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东莞市置拓投资有限公司水业大厦标识导向系统及消防栓、防火门美化采购项目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2025-037</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11</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lang w:val="zh-CN"/>
        </w:rPr>
        <w:t>日</w:t>
      </w:r>
    </w:p>
    <w:p w14:paraId="352B5600">
      <w:pPr>
        <w:pStyle w:val="35"/>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5"/>
        <w:tabs>
          <w:tab w:val="right" w:leader="dot" w:pos="8303"/>
          <w:tab w:val="clear" w:pos="1260"/>
          <w:tab w:val="clear" w:pos="8722"/>
        </w:tabs>
        <w:rPr>
          <w:color w:val="auto"/>
          <w:highlight w:val="none"/>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HYPERLINK \l _Toc15256 </w:instrText>
      </w:r>
      <w:r>
        <w:rPr>
          <w:rFonts w:asciiTheme="minorEastAsia" w:hAnsiTheme="minorEastAsia" w:eastAsiaTheme="minorEastAsia"/>
          <w:color w:val="auto"/>
          <w:szCs w:val="21"/>
          <w:highlight w:val="none"/>
        </w:rPr>
        <w:fldChar w:fldCharType="separate"/>
      </w:r>
      <w:r>
        <w:rPr>
          <w:rFonts w:hint="eastAsia" w:ascii="宋体" w:hAnsi="宋体"/>
          <w:color w:val="auto"/>
          <w:szCs w:val="30"/>
          <w:highlight w:val="none"/>
          <w:lang w:val="zh-CN"/>
        </w:rPr>
        <w:t>第一篇 询价公告</w:t>
      </w:r>
      <w:r>
        <w:rPr>
          <w:color w:val="auto"/>
          <w:highlight w:val="none"/>
        </w:rPr>
        <w:tab/>
      </w:r>
      <w:r>
        <w:rPr>
          <w:color w:val="auto"/>
          <w:highlight w:val="none"/>
        </w:rPr>
        <w:fldChar w:fldCharType="begin"/>
      </w:r>
      <w:r>
        <w:rPr>
          <w:color w:val="auto"/>
          <w:highlight w:val="none"/>
        </w:rPr>
        <w:instrText xml:space="preserve"> PAGEREF _Toc15256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1"/>
          <w:highlight w:val="none"/>
        </w:rPr>
        <w:fldChar w:fldCharType="end"/>
      </w:r>
    </w:p>
    <w:p w14:paraId="7D72976D">
      <w:pPr>
        <w:pStyle w:val="15"/>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_Toc24901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第二篇 报价人须知</w:t>
      </w:r>
      <w:r>
        <w:rPr>
          <w:color w:val="auto"/>
          <w:highlight w:val="none"/>
        </w:rPr>
        <w:tab/>
      </w:r>
      <w:r>
        <w:rPr>
          <w:color w:val="auto"/>
          <w:highlight w:val="none"/>
        </w:rPr>
        <w:fldChar w:fldCharType="begin"/>
      </w:r>
      <w:r>
        <w:rPr>
          <w:color w:val="auto"/>
          <w:highlight w:val="none"/>
        </w:rPr>
        <w:instrText xml:space="preserve"> PAGEREF _Toc24901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AAB1D5F">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_Toc30129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   资金来源：企业自筹资金。</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7ECCCD6">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_Toc4354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2   合格的报价人</w:t>
      </w:r>
      <w:r>
        <w:rPr>
          <w:color w:val="auto"/>
          <w:highlight w:val="none"/>
        </w:rPr>
        <w:tab/>
      </w:r>
      <w:r>
        <w:rPr>
          <w:color w:val="auto"/>
          <w:highlight w:val="none"/>
        </w:rPr>
        <w:fldChar w:fldCharType="begin"/>
      </w:r>
      <w:r>
        <w:rPr>
          <w:color w:val="auto"/>
          <w:highlight w:val="none"/>
        </w:rPr>
        <w:instrText xml:space="preserve"> PAGEREF _Toc4354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330760CB">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_Toc13268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合格的</w:t>
      </w:r>
      <w:r>
        <w:rPr>
          <w:rFonts w:hint="eastAsia" w:asciiTheme="minorEastAsia" w:hAnsiTheme="minorEastAsia" w:eastAsiaTheme="minorEastAsia"/>
          <w:color w:val="auto"/>
          <w:szCs w:val="21"/>
          <w:highlight w:val="none"/>
          <w:lang w:val="zh-CN"/>
        </w:rPr>
        <w:t>货物、</w:t>
      </w:r>
      <w:r>
        <w:rPr>
          <w:rFonts w:asciiTheme="minorEastAsia" w:hAnsiTheme="minorEastAsia" w:eastAsiaTheme="minorEastAsia"/>
          <w:color w:val="auto"/>
          <w:szCs w:val="21"/>
          <w:highlight w:val="none"/>
          <w:lang w:val="zh-CN"/>
        </w:rPr>
        <w:t>服务</w:t>
      </w:r>
      <w:r>
        <w:rPr>
          <w:rFonts w:hint="eastAsia" w:asciiTheme="minorEastAsia" w:hAnsiTheme="minorEastAsia" w:eastAsiaTheme="minorEastAsia"/>
          <w:color w:val="auto"/>
          <w:szCs w:val="21"/>
          <w:highlight w:val="none"/>
          <w:lang w:val="zh-CN"/>
        </w:rPr>
        <w:t>或工程</w:t>
      </w:r>
      <w:r>
        <w:rPr>
          <w:color w:val="auto"/>
          <w:highlight w:val="none"/>
        </w:rPr>
        <w:tab/>
      </w:r>
      <w:r>
        <w:rPr>
          <w:color w:val="auto"/>
          <w:highlight w:val="none"/>
        </w:rPr>
        <w:fldChar w:fldCharType="begin"/>
      </w:r>
      <w:r>
        <w:rPr>
          <w:color w:val="auto"/>
          <w:highlight w:val="none"/>
        </w:rPr>
        <w:instrText xml:space="preserve"> PAGEREF _Toc13268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1B94C18">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_Toc7938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纪律与保密事项</w:t>
      </w:r>
      <w:r>
        <w:rPr>
          <w:color w:val="auto"/>
          <w:highlight w:val="none"/>
        </w:rPr>
        <w:tab/>
      </w:r>
      <w:r>
        <w:rPr>
          <w:color w:val="auto"/>
          <w:highlight w:val="none"/>
        </w:rPr>
        <w:fldChar w:fldCharType="begin"/>
      </w:r>
      <w:r>
        <w:rPr>
          <w:color w:val="auto"/>
          <w:highlight w:val="none"/>
        </w:rPr>
        <w:instrText xml:space="preserve"> PAGEREF _Toc7938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BC6DB7B">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_Toc3257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en-US" w:eastAsia="zh-CN"/>
        </w:rPr>
        <w:t xml:space="preserve">   </w:t>
      </w:r>
      <w:r>
        <w:rPr>
          <w:rFonts w:hint="eastAsia" w:asciiTheme="minorEastAsia" w:hAnsiTheme="minorEastAsia" w:eastAsiaTheme="minorEastAsia"/>
          <w:color w:val="auto"/>
          <w:szCs w:val="21"/>
          <w:highlight w:val="none"/>
          <w:lang w:val="zh-CN"/>
        </w:rPr>
        <w:t>询价文件</w:t>
      </w:r>
      <w:r>
        <w:rPr>
          <w:color w:val="auto"/>
          <w:highlight w:val="none"/>
        </w:rPr>
        <w:tab/>
      </w:r>
      <w:r>
        <w:rPr>
          <w:color w:val="auto"/>
          <w:highlight w:val="none"/>
        </w:rPr>
        <w:fldChar w:fldCharType="begin"/>
      </w:r>
      <w:r>
        <w:rPr>
          <w:color w:val="auto"/>
          <w:highlight w:val="none"/>
        </w:rPr>
        <w:instrText xml:space="preserve"> PAGEREF _Toc3257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D1736EA">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_Toc30528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6   报价文件</w:t>
      </w:r>
      <w:r>
        <w:rPr>
          <w:color w:val="auto"/>
          <w:highlight w:val="none"/>
        </w:rPr>
        <w:tab/>
      </w:r>
      <w:r>
        <w:rPr>
          <w:color w:val="auto"/>
          <w:highlight w:val="none"/>
        </w:rPr>
        <w:fldChar w:fldCharType="begin"/>
      </w:r>
      <w:r>
        <w:rPr>
          <w:color w:val="auto"/>
          <w:highlight w:val="none"/>
        </w:rPr>
        <w:instrText xml:space="preserve"> PAGEREF _Toc30528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099830">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_Toc6233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7</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开</w:t>
      </w:r>
      <w:r>
        <w:rPr>
          <w:rFonts w:hint="eastAsia" w:asciiTheme="minorEastAsia" w:hAnsiTheme="minorEastAsia" w:eastAsiaTheme="minorEastAsia"/>
          <w:color w:val="auto"/>
          <w:szCs w:val="21"/>
          <w:highlight w:val="none"/>
          <w:lang w:val="zh-CN"/>
        </w:rPr>
        <w:t>封公开报价</w:t>
      </w:r>
      <w:r>
        <w:rPr>
          <w:color w:val="auto"/>
          <w:highlight w:val="none"/>
        </w:rPr>
        <w:tab/>
      </w:r>
      <w:r>
        <w:rPr>
          <w:color w:val="auto"/>
          <w:highlight w:val="none"/>
        </w:rPr>
        <w:fldChar w:fldCharType="begin"/>
      </w:r>
      <w:r>
        <w:rPr>
          <w:color w:val="auto"/>
          <w:highlight w:val="none"/>
        </w:rPr>
        <w:instrText xml:space="preserve"> PAGEREF _Toc6233 \h </w:instrText>
      </w:r>
      <w:r>
        <w:rPr>
          <w:color w:val="auto"/>
          <w:highlight w:val="none"/>
        </w:rPr>
        <w:fldChar w:fldCharType="separate"/>
      </w:r>
      <w:r>
        <w:rPr>
          <w:color w:val="auto"/>
          <w:highlight w:val="none"/>
        </w:rPr>
        <w:t>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37023AF">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_Toc24561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8</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询价小组</w:t>
      </w:r>
      <w:r>
        <w:rPr>
          <w:color w:val="auto"/>
          <w:highlight w:val="none"/>
        </w:rPr>
        <w:tab/>
      </w:r>
      <w:r>
        <w:rPr>
          <w:color w:val="auto"/>
          <w:highlight w:val="none"/>
        </w:rPr>
        <w:fldChar w:fldCharType="begin"/>
      </w:r>
      <w:r>
        <w:rPr>
          <w:color w:val="auto"/>
          <w:highlight w:val="none"/>
        </w:rPr>
        <w:instrText xml:space="preserve"> PAGEREF _Toc24561 \h </w:instrText>
      </w:r>
      <w:r>
        <w:rPr>
          <w:color w:val="auto"/>
          <w:highlight w:val="none"/>
        </w:rPr>
        <w:fldChar w:fldCharType="separate"/>
      </w:r>
      <w:r>
        <w:rPr>
          <w:color w:val="auto"/>
          <w:highlight w:val="none"/>
        </w:rPr>
        <w:t>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262C3BE">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_Toc25003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9</w:t>
      </w:r>
      <w:r>
        <w:rPr>
          <w:rFonts w:hint="eastAsia" w:asciiTheme="minorEastAsia" w:hAnsiTheme="minorEastAsia" w:eastAsiaTheme="minorEastAsia"/>
          <w:color w:val="auto"/>
          <w:szCs w:val="21"/>
          <w:highlight w:val="none"/>
          <w:lang w:val="zh-CN"/>
        </w:rPr>
        <w:t xml:space="preserve">   评审程序</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9</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4B11F84">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_Toc1894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10</w:t>
      </w:r>
      <w:r>
        <w:rPr>
          <w:rFonts w:hint="eastAsia" w:asciiTheme="minorEastAsia" w:hAnsiTheme="minorEastAsia" w:eastAsiaTheme="minorEastAsia"/>
          <w:color w:val="auto"/>
          <w:szCs w:val="21"/>
          <w:highlight w:val="none"/>
          <w:lang w:val="zh-CN"/>
        </w:rPr>
        <w:t xml:space="preserve">   评定成交的标准</w:t>
      </w:r>
      <w:r>
        <w:rPr>
          <w:color w:val="auto"/>
          <w:highlight w:val="none"/>
        </w:rPr>
        <w:tab/>
      </w:r>
      <w:r>
        <w:rPr>
          <w:color w:val="auto"/>
          <w:highlight w:val="none"/>
        </w:rPr>
        <w:fldChar w:fldCharType="begin"/>
      </w:r>
      <w:r>
        <w:rPr>
          <w:color w:val="auto"/>
          <w:highlight w:val="none"/>
        </w:rPr>
        <w:instrText xml:space="preserve"> PAGEREF _Toc1894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575E683">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_Toc14378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采购结果通知及异议、投诉</w:t>
      </w:r>
      <w:r>
        <w:rPr>
          <w:color w:val="auto"/>
          <w:highlight w:val="none"/>
        </w:rPr>
        <w:tab/>
      </w:r>
      <w:r>
        <w:rPr>
          <w:color w:val="auto"/>
          <w:highlight w:val="none"/>
        </w:rPr>
        <w:fldChar w:fldCharType="begin"/>
      </w:r>
      <w:r>
        <w:rPr>
          <w:color w:val="auto"/>
          <w:highlight w:val="none"/>
        </w:rPr>
        <w:instrText xml:space="preserve"> PAGEREF _Toc14378 \h </w:instrText>
      </w:r>
      <w:r>
        <w:rPr>
          <w:color w:val="auto"/>
          <w:highlight w:val="none"/>
        </w:rPr>
        <w:fldChar w:fldCharType="separate"/>
      </w:r>
      <w:r>
        <w:rPr>
          <w:color w:val="auto"/>
          <w:highlight w:val="none"/>
        </w:rPr>
        <w:t>10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2E52D8F">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_Toc6127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真实性审查</w:t>
      </w:r>
      <w:r>
        <w:rPr>
          <w:color w:val="auto"/>
          <w:highlight w:val="none"/>
        </w:rPr>
        <w:tab/>
      </w:r>
      <w:r>
        <w:rPr>
          <w:color w:val="auto"/>
          <w:highlight w:val="none"/>
        </w:rPr>
        <w:fldChar w:fldCharType="begin"/>
      </w:r>
      <w:r>
        <w:rPr>
          <w:color w:val="auto"/>
          <w:highlight w:val="none"/>
        </w:rPr>
        <w:instrText xml:space="preserve"> PAGEREF _Toc6127 \h </w:instrText>
      </w:r>
      <w:r>
        <w:rPr>
          <w:color w:val="auto"/>
          <w:highlight w:val="none"/>
        </w:rPr>
        <w:fldChar w:fldCharType="separate"/>
      </w:r>
      <w:r>
        <w:rPr>
          <w:color w:val="auto"/>
          <w:highlight w:val="none"/>
        </w:rPr>
        <w:t>11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441C381">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_Toc23200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3   </w:t>
      </w:r>
      <w:r>
        <w:rPr>
          <w:rFonts w:asciiTheme="minorEastAsia" w:hAnsiTheme="minorEastAsia" w:eastAsiaTheme="minorEastAsia"/>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_Toc23200 \h </w:instrText>
      </w:r>
      <w:r>
        <w:rPr>
          <w:color w:val="auto"/>
          <w:highlight w:val="none"/>
        </w:rPr>
        <w:fldChar w:fldCharType="separate"/>
      </w:r>
      <w:r>
        <w:rPr>
          <w:color w:val="auto"/>
          <w:highlight w:val="none"/>
        </w:rPr>
        <w:t>12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DF591DE">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_Toc1025 </w:instrText>
      </w:r>
      <w:r>
        <w:rPr>
          <w:rFonts w:asciiTheme="minorEastAsia" w:hAnsiTheme="minorEastAsia" w:eastAsiaTheme="minorEastAsia"/>
          <w:bCs/>
          <w:color w:val="auto"/>
          <w:szCs w:val="21"/>
          <w:highlight w:val="none"/>
          <w:lang w:val="zh-CN"/>
        </w:rPr>
        <w:fldChar w:fldCharType="separate"/>
      </w:r>
      <w:r>
        <w:rPr>
          <w:rFonts w:asciiTheme="minorEastAsia" w:hAnsiTheme="minorEastAsia" w:eastAsiaTheme="minorEastAsia"/>
          <w:color w:val="auto"/>
          <w:szCs w:val="21"/>
          <w:highlight w:val="none"/>
          <w:lang w:val="zh-CN"/>
        </w:rPr>
        <w:t>14</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发票</w:t>
      </w:r>
      <w:r>
        <w:rPr>
          <w:color w:val="auto"/>
          <w:highlight w:val="none"/>
        </w:rPr>
        <w:tab/>
      </w:r>
      <w:r>
        <w:rPr>
          <w:color w:val="auto"/>
          <w:highlight w:val="none"/>
        </w:rPr>
        <w:fldChar w:fldCharType="begin"/>
      </w:r>
      <w:r>
        <w:rPr>
          <w:color w:val="auto"/>
          <w:highlight w:val="none"/>
        </w:rPr>
        <w:instrText xml:space="preserve"> PAGEREF _Toc1025 \h </w:instrText>
      </w:r>
      <w:r>
        <w:rPr>
          <w:color w:val="auto"/>
          <w:highlight w:val="none"/>
        </w:rPr>
        <w:fldChar w:fldCharType="separate"/>
      </w:r>
      <w:r>
        <w:rPr>
          <w:color w:val="auto"/>
          <w:highlight w:val="none"/>
        </w:rPr>
        <w:t>12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685BDC8">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_Toc11573 </w:instrText>
      </w:r>
      <w:r>
        <w:rPr>
          <w:rFonts w:asciiTheme="minorEastAsia" w:hAnsiTheme="minorEastAsia" w:eastAsiaTheme="minorEastAsia"/>
          <w:bCs/>
          <w:color w:val="auto"/>
          <w:szCs w:val="21"/>
          <w:highlight w:val="none"/>
          <w:lang w:val="zh-CN"/>
        </w:rPr>
        <w:fldChar w:fldCharType="separate"/>
      </w: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5</w:t>
      </w:r>
      <w:r>
        <w:rPr>
          <w:rFonts w:hint="eastAsia" w:asciiTheme="minorEastAsia" w:hAnsiTheme="minorEastAsia" w:eastAsiaTheme="minorEastAsia"/>
          <w:color w:val="auto"/>
          <w:szCs w:val="21"/>
          <w:highlight w:val="none"/>
          <w:lang w:val="zh-CN"/>
        </w:rPr>
        <w:t xml:space="preserve">   其他说明</w:t>
      </w:r>
      <w:r>
        <w:rPr>
          <w:color w:val="auto"/>
          <w:highlight w:val="none"/>
        </w:rPr>
        <w:tab/>
      </w:r>
      <w:r>
        <w:rPr>
          <w:color w:val="auto"/>
          <w:highlight w:val="none"/>
        </w:rPr>
        <w:fldChar w:fldCharType="begin"/>
      </w:r>
      <w:r>
        <w:rPr>
          <w:color w:val="auto"/>
          <w:highlight w:val="none"/>
        </w:rPr>
        <w:instrText xml:space="preserve"> PAGEREF _Toc11573 \h </w:instrText>
      </w:r>
      <w:r>
        <w:rPr>
          <w:color w:val="auto"/>
          <w:highlight w:val="none"/>
        </w:rPr>
        <w:fldChar w:fldCharType="separate"/>
      </w:r>
      <w:r>
        <w:rPr>
          <w:color w:val="auto"/>
          <w:highlight w:val="none"/>
        </w:rPr>
        <w:t>12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90817DC">
      <w:pPr>
        <w:pStyle w:val="15"/>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_Toc5248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_Toc5248 \h </w:instrText>
      </w:r>
      <w:r>
        <w:rPr>
          <w:color w:val="auto"/>
          <w:highlight w:val="none"/>
        </w:rPr>
        <w:fldChar w:fldCharType="separate"/>
      </w:r>
      <w:r>
        <w:rPr>
          <w:color w:val="auto"/>
          <w:highlight w:val="none"/>
        </w:rPr>
        <w:t>14</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3C9B4D1">
      <w:pPr>
        <w:pStyle w:val="15"/>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_Toc32025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44"/>
          <w:highlight w:val="none"/>
          <w:lang w:val="zh-CN"/>
        </w:rPr>
        <w:t>第四篇 合同条款</w:t>
      </w:r>
      <w:r>
        <w:rPr>
          <w:color w:val="auto"/>
          <w:highlight w:val="none"/>
        </w:rPr>
        <w:tab/>
      </w:r>
      <w:r>
        <w:rPr>
          <w:color w:val="auto"/>
          <w:highlight w:val="none"/>
        </w:rPr>
        <w:fldChar w:fldCharType="begin"/>
      </w:r>
      <w:r>
        <w:rPr>
          <w:color w:val="auto"/>
          <w:highlight w:val="none"/>
        </w:rPr>
        <w:instrText xml:space="preserve"> PAGEREF _Toc32025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F591C60">
      <w:pPr>
        <w:pStyle w:val="15"/>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_Toc21077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第五篇 报价文件格式</w:t>
      </w:r>
      <w:r>
        <w:rPr>
          <w:color w:val="auto"/>
          <w:highlight w:val="none"/>
        </w:rPr>
        <w:tab/>
      </w:r>
      <w:r>
        <w:rPr>
          <w:color w:val="auto"/>
          <w:highlight w:val="none"/>
        </w:rPr>
        <w:fldChar w:fldCharType="begin"/>
      </w:r>
      <w:r>
        <w:rPr>
          <w:color w:val="auto"/>
          <w:highlight w:val="none"/>
        </w:rPr>
        <w:instrText xml:space="preserve"> PAGEREF _Toc21077 \h </w:instrText>
      </w:r>
      <w:r>
        <w:rPr>
          <w:color w:val="auto"/>
          <w:highlight w:val="none"/>
        </w:rPr>
        <w:fldChar w:fldCharType="separate"/>
      </w:r>
      <w:r>
        <w:rPr>
          <w:color w:val="auto"/>
          <w:highlight w:val="none"/>
        </w:rPr>
        <w:t>37</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1A2F7035">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_Toc9784 </w:instrText>
      </w:r>
      <w:r>
        <w:rPr>
          <w:rFonts w:asciiTheme="minorEastAsia" w:hAnsiTheme="minorEastAsia" w:eastAsiaTheme="minorEastAsia"/>
          <w:bCs/>
          <w:color w:val="auto"/>
          <w:szCs w:val="21"/>
          <w:highlight w:val="none"/>
          <w:lang w:val="zh-CN"/>
        </w:rPr>
        <w:fldChar w:fldCharType="separate"/>
      </w:r>
      <w:r>
        <w:rPr>
          <w:rFonts w:ascii="宋体" w:hAnsi="宋体"/>
          <w:color w:val="auto"/>
          <w:szCs w:val="30"/>
          <w:highlight w:val="none"/>
          <w:lang w:val="zh-CN"/>
        </w:rPr>
        <w:t>一</w:t>
      </w:r>
      <w:r>
        <w:rPr>
          <w:rFonts w:hint="eastAsia" w:ascii="宋体" w:hAnsi="宋体"/>
          <w:color w:val="auto"/>
          <w:szCs w:val="30"/>
          <w:highlight w:val="none"/>
          <w:lang w:val="zh-CN"/>
        </w:rPr>
        <w:t>、</w:t>
      </w:r>
      <w:r>
        <w:rPr>
          <w:rFonts w:ascii="宋体" w:hAnsi="宋体"/>
          <w:color w:val="auto"/>
          <w:szCs w:val="30"/>
          <w:highlight w:val="none"/>
          <w:lang w:val="zh-CN"/>
        </w:rPr>
        <w:t>纸质</w:t>
      </w:r>
      <w:r>
        <w:rPr>
          <w:rFonts w:hint="eastAsia" w:ascii="宋体" w:hAnsi="宋体"/>
          <w:color w:val="auto"/>
          <w:szCs w:val="30"/>
          <w:highlight w:val="none"/>
          <w:lang w:val="zh-CN"/>
        </w:rPr>
        <w:t>盖章版</w:t>
      </w:r>
      <w:r>
        <w:rPr>
          <w:rFonts w:ascii="宋体" w:hAnsi="宋体"/>
          <w:color w:val="auto"/>
          <w:szCs w:val="30"/>
          <w:highlight w:val="none"/>
          <w:lang w:val="zh-CN"/>
        </w:rPr>
        <w:t>报价文件</w:t>
      </w:r>
      <w:r>
        <w:rPr>
          <w:color w:val="auto"/>
          <w:highlight w:val="none"/>
        </w:rPr>
        <w:tab/>
      </w:r>
      <w:r>
        <w:rPr>
          <w:color w:val="auto"/>
          <w:highlight w:val="none"/>
        </w:rPr>
        <w:fldChar w:fldCharType="begin"/>
      </w:r>
      <w:r>
        <w:rPr>
          <w:color w:val="auto"/>
          <w:highlight w:val="none"/>
        </w:rPr>
        <w:instrText xml:space="preserve"> PAGEREF _Toc9784 \h </w:instrText>
      </w:r>
      <w:r>
        <w:rPr>
          <w:color w:val="auto"/>
          <w:highlight w:val="none"/>
        </w:rPr>
        <w:fldChar w:fldCharType="separate"/>
      </w:r>
      <w:r>
        <w:rPr>
          <w:color w:val="auto"/>
          <w:highlight w:val="none"/>
        </w:rPr>
        <w:t>38</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4B1D9B85">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highlight w:val="none"/>
        </w:rPr>
        <w:tab/>
      </w:r>
      <w:r>
        <w:rPr>
          <w:color w:val="auto"/>
          <w:highlight w:val="none"/>
        </w:rPr>
        <w:fldChar w:fldCharType="begin"/>
      </w:r>
      <w:r>
        <w:rPr>
          <w:color w:val="auto"/>
          <w:highlight w:val="none"/>
        </w:rPr>
        <w:instrText xml:space="preserve"> PAGEREF _Toc28092 \h </w:instrText>
      </w:r>
      <w:r>
        <w:rPr>
          <w:color w:val="auto"/>
          <w:highlight w:val="none"/>
        </w:rPr>
        <w:fldChar w:fldCharType="separate"/>
      </w:r>
      <w:r>
        <w:rPr>
          <w:color w:val="auto"/>
          <w:highlight w:val="none"/>
        </w:rPr>
        <w:t>40</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EB3EC34">
      <w:pPr>
        <w:pStyle w:val="16"/>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46</w:t>
      </w:r>
      <w:r>
        <w:rPr>
          <w:color w:val="auto"/>
          <w:highlight w:val="none"/>
        </w:rPr>
        <w:fldChar w:fldCharType="end"/>
      </w:r>
    </w:p>
    <w:p w14:paraId="5576989B">
      <w:pPr>
        <w:pStyle w:val="16"/>
        <w:tabs>
          <w:tab w:val="right" w:leader="dot" w:pos="8303"/>
          <w:tab w:val="clear" w:pos="8722"/>
        </w:tabs>
        <w:rPr>
          <w:color w:val="auto"/>
          <w:highlight w:val="none"/>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46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DB499E9">
      <w:pPr>
        <w:pStyle w:val="16"/>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highlight w:val="none"/>
        </w:rPr>
        <w:tab/>
      </w:r>
      <w:r>
        <w:rPr>
          <w:color w:val="auto"/>
          <w:highlight w:val="none"/>
        </w:rPr>
        <w:fldChar w:fldCharType="begin"/>
      </w:r>
      <w:r>
        <w:rPr>
          <w:color w:val="auto"/>
          <w:highlight w:val="none"/>
        </w:rPr>
        <w:instrText xml:space="preserve"> PAGEREF _Toc6377 \h </w:instrText>
      </w:r>
      <w:r>
        <w:rPr>
          <w:color w:val="auto"/>
          <w:highlight w:val="none"/>
        </w:rPr>
        <w:fldChar w:fldCharType="separate"/>
      </w:r>
      <w:r>
        <w:rPr>
          <w:color w:val="auto"/>
          <w:highlight w:val="none"/>
        </w:rPr>
        <w:t>51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9928031">
      <w:pPr>
        <w:pStyle w:val="15"/>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highlight w:val="none"/>
        </w:rPr>
        <w:tab/>
      </w:r>
      <w:r>
        <w:rPr>
          <w:color w:val="auto"/>
          <w:highlight w:val="none"/>
        </w:rPr>
        <w:fldChar w:fldCharType="begin"/>
      </w:r>
      <w:r>
        <w:rPr>
          <w:color w:val="auto"/>
          <w:highlight w:val="none"/>
        </w:rPr>
        <w:instrText xml:space="preserve"> PAGEREF _Toc6960 \h </w:instrText>
      </w:r>
      <w:r>
        <w:rPr>
          <w:color w:val="auto"/>
          <w:highlight w:val="none"/>
        </w:rPr>
        <w:fldChar w:fldCharType="separate"/>
      </w:r>
      <w:r>
        <w:rPr>
          <w:color w:val="auto"/>
          <w:highlight w:val="none"/>
        </w:rPr>
        <w:t>52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691D0F0B">
      <w:pPr>
        <w:pStyle w:val="16"/>
        <w:spacing w:before="0" w:after="0" w:line="312" w:lineRule="auto"/>
        <w:ind w:left="158"/>
        <w:jc w:val="center"/>
        <w:outlineLvl w:val="0"/>
        <w:rPr>
          <w:rFonts w:asciiTheme="minorEastAsia" w:hAnsiTheme="minorEastAsia" w:eastAsiaTheme="minorEastAsia"/>
          <w:bCs/>
          <w:color w:val="auto"/>
          <w:szCs w:val="21"/>
          <w:highlight w:val="none"/>
          <w:lang w:val="zh-CN"/>
        </w:rPr>
      </w:pPr>
    </w:p>
    <w:p w14:paraId="56804A12">
      <w:pPr>
        <w:pStyle w:val="16"/>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2241"/>
      <w:bookmarkStart w:id="1" w:name="_Toc15256"/>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东莞市置拓投资有限公司水业大厦标识导向系统及消防栓、防火门美化采购项目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2025-037</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w:t>
      </w:r>
      <w:r>
        <w:rPr>
          <w:rFonts w:hint="eastAsia"/>
          <w:color w:val="auto"/>
          <w:szCs w:val="21"/>
          <w:highlight w:val="none"/>
          <w:lang w:val="zh-CN"/>
        </w:rPr>
        <w:t>货物</w:t>
      </w:r>
      <w:r>
        <w:rPr>
          <w:rFonts w:hint="eastAsia" w:ascii="宋体" w:hAnsi="宋体" w:eastAsia="宋体" w:cs="宋体"/>
          <w:color w:val="auto"/>
          <w:szCs w:val="21"/>
          <w:highlight w:val="none"/>
          <w:lang w:val="zh-CN"/>
        </w:rPr>
        <w:t>及其相关的服务提交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eastAsia="宋体" w:cs="宋体"/>
          <w:szCs w:val="21"/>
        </w:rPr>
        <w:t>水业大厦标识导向系统及消防栓、防火门美化项目的设计、制作与安装。</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highlight w:val="none"/>
          <w:u w:val="single"/>
          <w:lang w:val="en-US" w:eastAsia="zh-CN"/>
        </w:rPr>
        <w:t>报价人</w:t>
      </w:r>
      <w:r>
        <w:rPr>
          <w:rFonts w:hint="eastAsia" w:ascii="宋体" w:hAnsi="宋体" w:eastAsia="宋体" w:cs="宋体"/>
          <w:b/>
          <w:bCs w:val="0"/>
          <w:color w:val="auto"/>
          <w:szCs w:val="21"/>
          <w:highlight w:val="none"/>
          <w:u w:val="single"/>
          <w:lang w:val="en-US" w:eastAsia="zh-CN"/>
        </w:rPr>
        <w:t>2022年1月1日以来具</w:t>
      </w:r>
      <w:r>
        <w:rPr>
          <w:rFonts w:hint="eastAsia" w:ascii="宋体" w:hAnsi="宋体" w:eastAsia="宋体" w:cs="宋体"/>
          <w:b/>
          <w:bCs w:val="0"/>
          <w:color w:val="auto"/>
          <w:szCs w:val="21"/>
          <w:highlight w:val="none"/>
          <w:u w:val="single"/>
          <w:shd w:val="clear"/>
          <w:lang w:val="en-US" w:eastAsia="zh-CN"/>
        </w:rPr>
        <w:t>有</w:t>
      </w:r>
      <w:r>
        <w:rPr>
          <w:rFonts w:hint="eastAsia" w:ascii="宋体" w:hAnsi="宋体" w:cs="宋体"/>
          <w:b/>
          <w:bCs w:val="0"/>
          <w:color w:val="auto"/>
          <w:szCs w:val="21"/>
          <w:highlight w:val="none"/>
          <w:u w:val="single"/>
          <w:shd w:val="clear"/>
          <w:lang w:val="en-US" w:eastAsia="zh-CN"/>
        </w:rPr>
        <w:t>一项标识牌或导视牌或广告牌或宣传牌供货</w:t>
      </w:r>
      <w:r>
        <w:rPr>
          <w:rFonts w:hint="eastAsia" w:ascii="宋体" w:hAnsi="宋体" w:eastAsia="宋体" w:cs="宋体"/>
          <w:b/>
          <w:bCs w:val="0"/>
          <w:color w:val="auto"/>
          <w:szCs w:val="21"/>
          <w:highlight w:val="none"/>
          <w:u w:val="single"/>
          <w:shd w:val="clear"/>
          <w:lang w:val="en-US" w:eastAsia="zh-CN"/>
        </w:rPr>
        <w:t>业绩（</w:t>
      </w:r>
      <w:r>
        <w:rPr>
          <w:rFonts w:hint="eastAsia" w:ascii="宋体" w:hAnsi="宋体" w:cs="宋体"/>
          <w:b/>
          <w:bCs w:val="0"/>
          <w:color w:val="auto"/>
          <w:szCs w:val="21"/>
          <w:highlight w:val="none"/>
          <w:u w:val="single"/>
          <w:shd w:val="clear"/>
          <w:lang w:val="en-US" w:eastAsia="zh-CN"/>
        </w:rPr>
        <w:t>合同签订日期</w:t>
      </w:r>
      <w:r>
        <w:rPr>
          <w:rFonts w:hint="eastAsia" w:ascii="宋体" w:hAnsi="宋体" w:eastAsia="宋体" w:cs="宋体"/>
          <w:b/>
          <w:bCs w:val="0"/>
          <w:color w:val="auto"/>
          <w:szCs w:val="21"/>
          <w:highlight w:val="none"/>
          <w:u w:val="single"/>
          <w:lang w:val="en-US" w:eastAsia="zh-CN"/>
        </w:rPr>
        <w:t>为2022年1月1日或以后）；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w:t>
      </w:r>
      <w:r>
        <w:rPr>
          <w:rFonts w:hint="eastAsia" w:ascii="宋体" w:hAnsi="宋体" w:cs="宋体"/>
          <w:b/>
          <w:bCs w:val="0"/>
          <w:color w:val="auto"/>
          <w:szCs w:val="21"/>
          <w:highlight w:val="none"/>
          <w:u w:val="single"/>
          <w:lang w:val="en-US" w:eastAsia="zh-CN"/>
        </w:rPr>
        <w:t>报价</w:t>
      </w:r>
      <w:r>
        <w:rPr>
          <w:rFonts w:hint="eastAsia" w:ascii="宋体" w:hAnsi="宋体" w:eastAsia="宋体" w:cs="宋体"/>
          <w:b/>
          <w:bCs w:val="0"/>
          <w:color w:val="auto"/>
          <w:szCs w:val="21"/>
          <w:highlight w:val="none"/>
          <w:u w:val="single"/>
          <w:lang w:val="en-US" w:eastAsia="zh-CN"/>
        </w:rPr>
        <w:t>。</w:t>
      </w:r>
    </w:p>
    <w:p w14:paraId="5D7CF0D9">
      <w:pPr>
        <w:rPr>
          <w:rFonts w:hint="eastAsia"/>
          <w:color w:val="auto"/>
          <w:highlight w:val="none"/>
        </w:rPr>
      </w:pPr>
    </w:p>
    <w:p w14:paraId="1AF654CA">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本采购项目</w:t>
      </w:r>
      <w:r>
        <w:rPr>
          <w:rFonts w:hint="eastAsia" w:ascii="宋体" w:hAnsi="宋体"/>
          <w:b/>
          <w:color w:val="auto"/>
          <w:szCs w:val="21"/>
          <w:highlight w:val="none"/>
          <w:u w:val="single"/>
          <w:lang w:val="en-US" w:eastAsia="zh-CN"/>
        </w:rPr>
        <w:t>报价（不含税）最高限价为428,752.66</w:t>
      </w:r>
      <w:r>
        <w:rPr>
          <w:rFonts w:hint="eastAsia" w:hAnsi="宋体"/>
          <w:b/>
          <w:bCs w:val="0"/>
          <w:color w:val="auto"/>
          <w:szCs w:val="21"/>
          <w:highlight w:val="none"/>
          <w:u w:val="single"/>
          <w:lang w:val="en-US" w:eastAsia="zh-CN"/>
        </w:rPr>
        <w:t>元</w:t>
      </w:r>
      <w:r>
        <w:rPr>
          <w:rFonts w:hint="eastAsia" w:hAnsi="宋体"/>
          <w:b/>
          <w:bCs w:val="0"/>
          <w:color w:val="auto"/>
          <w:szCs w:val="21"/>
          <w:highlight w:val="none"/>
          <w:u w:val="single"/>
          <w:lang w:val="zh-CN" w:eastAsia="zh-CN"/>
        </w:rPr>
        <w:t>，</w:t>
      </w:r>
      <w:r>
        <w:rPr>
          <w:rFonts w:hint="eastAsia" w:hAnsi="宋体"/>
          <w:b/>
          <w:bCs w:val="0"/>
          <w:color w:val="auto"/>
          <w:szCs w:val="21"/>
          <w:highlight w:val="none"/>
          <w:u w:val="single"/>
          <w:lang w:val="zh-CN"/>
        </w:rPr>
        <w:t>报价人的报价高于报价最高限价的，该报价人的报价文件将被视为无效报价</w:t>
      </w:r>
      <w:r>
        <w:rPr>
          <w:rFonts w:hint="eastAsia" w:hAnsi="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cs="宋体"/>
          <w:b/>
          <w:color w:val="auto"/>
          <w:szCs w:val="21"/>
          <w:highlight w:val="none"/>
          <w:u w:val="single"/>
          <w:lang w:val="zh-CN"/>
        </w:rPr>
        <w:t>本项目报价为不含税价，即为《中华人民共和国增值税</w:t>
      </w:r>
      <w:r>
        <w:rPr>
          <w:rFonts w:hint="eastAsia" w:ascii="宋体" w:hAnsi="宋体" w:cs="宋体"/>
          <w:b/>
          <w:color w:val="auto"/>
          <w:szCs w:val="21"/>
          <w:highlight w:val="none"/>
          <w:u w:val="single"/>
        </w:rPr>
        <w:t>暂行</w:t>
      </w:r>
      <w:r>
        <w:rPr>
          <w:rFonts w:hint="eastAsia" w:ascii="宋体" w:hAnsi="宋体" w:cs="宋体"/>
          <w:b/>
          <w:color w:val="auto"/>
          <w:szCs w:val="21"/>
          <w:highlight w:val="none"/>
          <w:u w:val="single"/>
          <w:lang w:val="zh-CN"/>
        </w:rPr>
        <w:t>条例》（国务院令第691号修订版）规定的销售额。</w:t>
      </w:r>
      <w:r>
        <w:rPr>
          <w:rFonts w:hint="eastAsia" w:ascii="宋体" w:hAnsi="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b/>
          <w:bCs/>
          <w:color w:val="auto"/>
          <w:szCs w:val="21"/>
          <w:highlight w:val="none"/>
          <w:u w:val="single"/>
          <w:lang w:val="zh-CN"/>
        </w:rPr>
      </w:pPr>
      <w:r>
        <w:rPr>
          <w:rFonts w:hint="eastAsia" w:ascii="宋体" w:hAnsi="宋体" w:cs="宋体"/>
          <w:b w:val="0"/>
          <w:bCs/>
          <w:color w:val="auto"/>
          <w:szCs w:val="21"/>
          <w:highlight w:val="none"/>
          <w:u w:val="none"/>
          <w:lang w:val="en-US" w:eastAsia="zh-CN"/>
        </w:rPr>
        <w:t xml:space="preserve">3.3 </w:t>
      </w:r>
      <w:r>
        <w:rPr>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default" w:ascii="宋体" w:hAnsi="宋体"/>
          <w:color w:val="auto"/>
          <w:szCs w:val="21"/>
          <w:highlight w:val="none"/>
          <w:lang w:eastAsia="zh-CN"/>
        </w:rPr>
        <w:t>4</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eastAsia="宋体" w:cs="宋体"/>
          <w:b/>
          <w:szCs w:val="21"/>
          <w:u w:val="single"/>
          <w:lang w:val="zh-CN"/>
        </w:rPr>
        <w:t>为包干价，</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（1）采购范围内所有货物及其相关的服务</w:t>
      </w:r>
      <w:r>
        <w:rPr>
          <w:rFonts w:hint="eastAsia" w:ascii="宋体" w:hAnsi="宋体" w:cs="Times New Roman"/>
          <w:b/>
          <w:bCs w:val="0"/>
          <w:color w:val="auto"/>
          <w:szCs w:val="21"/>
          <w:highlight w:val="none"/>
          <w:u w:val="single"/>
          <w:lang w:val="en-US" w:eastAsia="zh-CN"/>
        </w:rPr>
        <w:t>所需</w:t>
      </w:r>
      <w:r>
        <w:rPr>
          <w:rFonts w:hint="eastAsia" w:ascii="宋体" w:hAnsi="宋体" w:eastAsia="宋体" w:cs="Times New Roman"/>
          <w:b/>
          <w:bCs w:val="0"/>
          <w:color w:val="auto"/>
          <w:szCs w:val="21"/>
          <w:highlight w:val="none"/>
          <w:u w:val="single"/>
          <w:lang w:val="zh-CN"/>
        </w:rPr>
        <w:t>的</w:t>
      </w:r>
      <w:r>
        <w:rPr>
          <w:rFonts w:hint="eastAsia"/>
          <w:b/>
          <w:szCs w:val="21"/>
          <w:u w:val="single"/>
          <w:lang w:val="zh-CN"/>
        </w:rPr>
        <w:t>设计</w:t>
      </w:r>
      <w:r>
        <w:rPr>
          <w:rFonts w:hint="eastAsia"/>
          <w:b/>
          <w:szCs w:val="21"/>
          <w:u w:val="single"/>
          <w:lang w:val="en-US" w:eastAsia="zh-CN"/>
        </w:rPr>
        <w:t>费</w:t>
      </w:r>
      <w:r>
        <w:rPr>
          <w:rFonts w:hint="eastAsia"/>
          <w:b/>
          <w:szCs w:val="21"/>
          <w:u w:val="single"/>
          <w:lang w:val="zh-CN"/>
        </w:rPr>
        <w:t>、</w:t>
      </w:r>
      <w:r>
        <w:rPr>
          <w:rFonts w:hint="eastAsia"/>
          <w:b/>
          <w:szCs w:val="21"/>
          <w:highlight w:val="none"/>
          <w:u w:val="single"/>
          <w:lang w:val="zh-CN"/>
        </w:rPr>
        <w:t>采购</w:t>
      </w:r>
      <w:r>
        <w:rPr>
          <w:rFonts w:hint="eastAsia"/>
          <w:b/>
          <w:szCs w:val="21"/>
          <w:u w:val="single"/>
          <w:lang w:val="en-US" w:eastAsia="zh-CN"/>
        </w:rPr>
        <w:t>费</w:t>
      </w:r>
      <w:r>
        <w:rPr>
          <w:rFonts w:hint="eastAsia"/>
          <w:b/>
          <w:szCs w:val="21"/>
          <w:highlight w:val="none"/>
          <w:u w:val="single"/>
          <w:lang w:val="zh-CN"/>
        </w:rPr>
        <w:t>、制造</w:t>
      </w:r>
      <w:r>
        <w:rPr>
          <w:rFonts w:hint="eastAsia"/>
          <w:b/>
          <w:szCs w:val="21"/>
          <w:u w:val="single"/>
          <w:lang w:val="en-US" w:eastAsia="zh-CN"/>
        </w:rPr>
        <w:t>费</w:t>
      </w:r>
      <w:r>
        <w:rPr>
          <w:rFonts w:hint="eastAsia"/>
          <w:b/>
          <w:szCs w:val="21"/>
          <w:highlight w:val="none"/>
          <w:u w:val="single"/>
          <w:lang w:val="zh-CN"/>
        </w:rPr>
        <w:t>、</w:t>
      </w:r>
      <w:r>
        <w:rPr>
          <w:rFonts w:hint="eastAsia" w:ascii="宋体" w:hAnsi="宋体" w:eastAsia="宋体" w:cs="Times New Roman"/>
          <w:b/>
          <w:bCs w:val="0"/>
          <w:color w:val="auto"/>
          <w:szCs w:val="21"/>
          <w:highlight w:val="none"/>
          <w:u w:val="single"/>
          <w:lang w:val="zh-CN"/>
        </w:rPr>
        <w:t>包装费、运至采购指定地点的运输费（退送货）、装卸费、搬运费</w:t>
      </w:r>
      <w:r>
        <w:rPr>
          <w:rFonts w:hint="eastAsia" w:ascii="宋体" w:hAnsi="宋体" w:eastAsia="宋体" w:cs="宋体"/>
          <w:b/>
          <w:bCs/>
          <w:color w:val="auto"/>
          <w:highlight w:val="none"/>
          <w:u w:val="single"/>
          <w:lang w:val="en-US" w:eastAsia="zh-CN"/>
        </w:rPr>
        <w:t>、</w:t>
      </w:r>
      <w:r>
        <w:rPr>
          <w:rFonts w:hint="eastAsia" w:ascii="宋体" w:hAnsi="宋体" w:eastAsia="宋体" w:cs="宋体"/>
          <w:b/>
          <w:bCs/>
          <w:color w:val="auto"/>
          <w:szCs w:val="21"/>
          <w:highlight w:val="none"/>
          <w:u w:val="single"/>
          <w:lang w:val="zh-CN"/>
        </w:rPr>
        <w:t>材料费、安装（含安全防护）费、</w:t>
      </w:r>
      <w:r>
        <w:rPr>
          <w:rFonts w:hint="eastAsia" w:ascii="宋体" w:hAnsi="宋体" w:cs="宋体"/>
          <w:b/>
          <w:bCs/>
          <w:color w:val="auto"/>
          <w:szCs w:val="21"/>
          <w:highlight w:val="none"/>
          <w:u w:val="single"/>
          <w:lang w:val="en-US" w:eastAsia="zh-CN"/>
        </w:rPr>
        <w:t>小样制作及安装费</w:t>
      </w:r>
      <w:r>
        <w:rPr>
          <w:rFonts w:hint="eastAsia" w:ascii="宋体" w:hAnsi="宋体" w:cs="宋体"/>
          <w:b/>
          <w:bCs/>
          <w:color w:val="auto"/>
          <w:szCs w:val="21"/>
          <w:highlight w:val="none"/>
          <w:u w:val="single"/>
          <w:lang w:val="zh-CN"/>
        </w:rPr>
        <w:t>、</w:t>
      </w:r>
      <w:r>
        <w:rPr>
          <w:rFonts w:hint="eastAsia" w:ascii="宋体" w:hAnsi="宋体" w:eastAsia="宋体" w:cs="宋体"/>
          <w:b/>
          <w:bCs/>
          <w:color w:val="auto"/>
          <w:szCs w:val="21"/>
          <w:highlight w:val="none"/>
          <w:u w:val="single"/>
          <w:lang w:val="zh-CN"/>
        </w:rPr>
        <w:t>场地清洁费、</w:t>
      </w:r>
      <w:r>
        <w:rPr>
          <w:rFonts w:hint="eastAsia" w:ascii="宋体" w:hAnsi="宋体" w:eastAsia="宋体" w:cs="Times New Roman"/>
          <w:b/>
          <w:bCs w:val="0"/>
          <w:color w:val="auto"/>
          <w:szCs w:val="21"/>
          <w:highlight w:val="none"/>
          <w:u w:val="single"/>
          <w:lang w:val="zh-CN"/>
        </w:rPr>
        <w:t>保险费、人工费、调试费、验收费、售后服务费</w:t>
      </w:r>
      <w:r>
        <w:rPr>
          <w:rFonts w:hint="eastAsia" w:ascii="宋体" w:hAnsi="宋体" w:eastAsia="宋体" w:cs="宋体"/>
          <w:b/>
          <w:bCs/>
          <w:color w:val="auto"/>
          <w:szCs w:val="21"/>
          <w:highlight w:val="none"/>
          <w:u w:val="single"/>
          <w:lang w:val="zh-CN"/>
        </w:rPr>
        <w:t>等费用</w:t>
      </w:r>
      <w:r>
        <w:rPr>
          <w:rFonts w:hint="eastAsia" w:ascii="宋体" w:hAnsi="宋体" w:eastAsia="宋体" w:cs="Times New Roman"/>
          <w:b/>
          <w:bCs w:val="0"/>
          <w:color w:val="auto"/>
          <w:szCs w:val="21"/>
          <w:highlight w:val="none"/>
          <w:u w:val="single"/>
          <w:lang w:val="zh-CN"/>
        </w:rPr>
        <w:t>；（2）免费的质保服务</w:t>
      </w:r>
      <w:r>
        <w:rPr>
          <w:rFonts w:hint="eastAsia" w:ascii="宋体" w:hAnsi="宋体" w:cs="Times New Roman"/>
          <w:b/>
          <w:bCs w:val="0"/>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（3）供货货物及其工艺所有制造方、使用方应支付的对专有技术、商标权、专利权和版权、设计或其他知识产权而需要向其他方支付的版税；</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4</w:t>
      </w:r>
      <w:r>
        <w:rPr>
          <w:rFonts w:ascii="宋体" w:hAnsi="宋体" w:eastAsia="宋体" w:cs="Times New Roman"/>
          <w:b/>
          <w:bCs w:val="0"/>
          <w:color w:val="auto"/>
          <w:szCs w:val="21"/>
          <w:highlight w:val="none"/>
          <w:u w:val="single"/>
          <w:lang w:val="zh-CN"/>
        </w:rPr>
        <w:t>）合理利润</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报价人销项税额以外的税费等</w:t>
      </w:r>
      <w:r>
        <w:rPr>
          <w:rFonts w:hint="eastAsia" w:ascii="宋体" w:hAnsi="宋体" w:eastAsia="宋体" w:cs="Times New Roman"/>
          <w:b/>
          <w:bCs w:val="0"/>
          <w:color w:val="auto"/>
          <w:szCs w:val="21"/>
          <w:highlight w:val="none"/>
          <w:u w:val="single"/>
          <w:lang w:val="zh-CN"/>
        </w:rPr>
        <w:t>；</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5</w:t>
      </w:r>
      <w:r>
        <w:rPr>
          <w:rFonts w:ascii="宋体" w:hAnsi="宋体" w:eastAsia="宋体" w:cs="Times New Roman"/>
          <w:b/>
          <w:bCs w:val="0"/>
          <w:color w:val="auto"/>
          <w:szCs w:val="21"/>
          <w:highlight w:val="none"/>
          <w:u w:val="single"/>
          <w:lang w:val="zh-CN"/>
        </w:rPr>
        <w:t>）法律法规、商业公认、询价文件规定由</w:t>
      </w:r>
      <w:r>
        <w:rPr>
          <w:rFonts w:hint="eastAsia" w:ascii="宋体" w:hAnsi="宋体" w:cs="Times New Roman"/>
          <w:b/>
          <w:bCs w:val="0"/>
          <w:color w:val="auto"/>
          <w:szCs w:val="21"/>
          <w:highlight w:val="none"/>
          <w:u w:val="single"/>
          <w:lang w:val="en-US" w:eastAsia="zh-CN"/>
        </w:rPr>
        <w:t>成交</w:t>
      </w:r>
      <w:r>
        <w:rPr>
          <w:rFonts w:hint="eastAsia" w:ascii="宋体" w:hAnsi="宋体" w:eastAsia="宋体" w:cs="Times New Roman"/>
          <w:b/>
          <w:bCs w:val="0"/>
          <w:color w:val="auto"/>
          <w:szCs w:val="21"/>
          <w:highlight w:val="none"/>
          <w:u w:val="single"/>
          <w:lang w:val="zh-CN"/>
        </w:rPr>
        <w:t>人</w:t>
      </w:r>
      <w:r>
        <w:rPr>
          <w:rFonts w:ascii="宋体" w:hAnsi="宋体" w:eastAsia="宋体" w:cs="Times New Roman"/>
          <w:b/>
          <w:bCs w:val="0"/>
          <w:color w:val="auto"/>
          <w:szCs w:val="21"/>
          <w:highlight w:val="none"/>
          <w:u w:val="single"/>
          <w:lang w:val="zh-CN"/>
        </w:rPr>
        <w:t>承担的其他费用</w:t>
      </w:r>
      <w:r>
        <w:rPr>
          <w:rFonts w:hint="eastAsia" w:ascii="宋体" w:hAnsi="宋体" w:eastAsia="宋体" w:cs="Times New Roman"/>
          <w:b/>
          <w:bCs w:val="0"/>
          <w:color w:val="auto"/>
          <w:szCs w:val="21"/>
          <w:highlight w:val="none"/>
          <w:u w:val="single"/>
          <w:lang w:val="zh-CN"/>
        </w:rPr>
        <w:t>。未经采购人书面同意，成交人（包括但不限于成交人指定的第三方）不得要求采购人另行支付其他任何费用。</w:t>
      </w:r>
      <w:bookmarkEnd w:id="2"/>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11</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Ansi="宋体"/>
          <w:b/>
          <w:bCs/>
          <w:color w:val="auto"/>
          <w:szCs w:val="21"/>
          <w:highlight w:val="none"/>
          <w:u w:val="single"/>
        </w:rPr>
        <w:t>2</w:t>
      </w:r>
      <w:r>
        <w:rPr>
          <w:rFonts w:hint="eastAsia" w:hAnsi="宋体"/>
          <w:b/>
          <w:bCs/>
          <w:color w:val="auto"/>
          <w:szCs w:val="21"/>
          <w:highlight w:val="none"/>
          <w:u w:val="single"/>
          <w:lang w:val="en-US" w:eastAsia="zh-CN"/>
        </w:rPr>
        <w:t>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11</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6</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7"/>
        <w:rPr>
          <w:rFonts w:hint="eastAsia" w:ascii="宋体" w:hAnsi="宋体" w:eastAsia="宋体" w:cs="宋体"/>
          <w:color w:val="auto"/>
          <w:szCs w:val="21"/>
          <w:highlight w:val="none"/>
        </w:rPr>
      </w:pPr>
    </w:p>
    <w:p w14:paraId="265D6F20">
      <w:pPr>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11</w:t>
      </w:r>
      <w:r>
        <w:rPr>
          <w:rFonts w:ascii="宋体" w:hAnsi="宋体"/>
          <w:color w:val="auto"/>
          <w:szCs w:val="21"/>
          <w:highlight w:val="none"/>
        </w:rPr>
        <w:t>月</w:t>
      </w:r>
      <w:r>
        <w:rPr>
          <w:rFonts w:hint="eastAsia" w:ascii="宋体" w:hAnsi="宋体"/>
          <w:color w:val="auto"/>
          <w:szCs w:val="21"/>
          <w:highlight w:val="none"/>
          <w:lang w:val="en-US" w:eastAsia="zh-CN"/>
        </w:rPr>
        <w:t>3</w:t>
      </w:r>
      <w:r>
        <w:rPr>
          <w:rFonts w:ascii="宋体" w:hAnsi="宋体"/>
          <w:color w:val="auto"/>
          <w:szCs w:val="21"/>
          <w:highlight w:val="none"/>
        </w:rPr>
        <w:t>日</w:t>
      </w:r>
    </w:p>
    <w:p w14:paraId="620AD192">
      <w:pPr>
        <w:pStyle w:val="8"/>
        <w:pageBreakBefore/>
        <w:spacing w:before="0" w:after="0" w:line="360" w:lineRule="auto"/>
        <w:ind w:firstLine="3313" w:firstLineChars="1100"/>
        <w:jc w:val="both"/>
        <w:rPr>
          <w:rFonts w:ascii="宋体" w:hAnsi="宋体"/>
          <w:color w:val="auto"/>
          <w:sz w:val="30"/>
          <w:szCs w:val="30"/>
          <w:highlight w:val="none"/>
          <w:lang w:val="zh-CN"/>
        </w:rPr>
      </w:pPr>
      <w:bookmarkStart w:id="3" w:name="_Toc15511"/>
      <w:bookmarkStart w:id="4" w:name="_Toc24901"/>
      <w:r>
        <w:rPr>
          <w:rFonts w:hint="eastAsia" w:ascii="宋体" w:hAnsi="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30129"/>
      <w:bookmarkStart w:id="6" w:name="_Toc15524"/>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4354"/>
      <w:bookmarkStart w:id="8" w:name="_Toc13375"/>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3268"/>
      <w:bookmarkStart w:id="10" w:name="_Toc18139"/>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7938"/>
      <w:bookmarkStart w:id="12" w:name="_Toc16556"/>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highlight w:val="none"/>
          <w:lang w:val="zh-CN"/>
        </w:rPr>
      </w:pPr>
      <w:bookmarkStart w:id="13" w:name="_Toc9342"/>
      <w:bookmarkStart w:id="14" w:name="_Toc3257"/>
    </w:p>
    <w:p w14:paraId="7BBA361F">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4778"/>
      <w:bookmarkStart w:id="16" w:name="_Toc3052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521918084"/>
      <w:bookmarkStart w:id="18" w:name="_Toc450662866"/>
      <w:bookmarkStart w:id="19" w:name="_Toc37323058"/>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450662868"/>
      <w:bookmarkStart w:id="21" w:name="_Toc521918086"/>
      <w:bookmarkStart w:id="22" w:name="_Toc37323060"/>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521918087"/>
      <w:bookmarkStart w:id="24" w:name="_Toc450662869"/>
      <w:bookmarkStart w:id="25" w:name="_Toc37323061"/>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450662870"/>
      <w:bookmarkStart w:id="27" w:name="_Toc521918088"/>
      <w:bookmarkStart w:id="28" w:name="_Toc37323062"/>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521918089"/>
      <w:bookmarkStart w:id="30" w:name="_Toc450662871"/>
      <w:bookmarkStart w:id="31" w:name="_Toc37323063"/>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37323057"/>
      <w:bookmarkStart w:id="33" w:name="_Toc450662865"/>
      <w:bookmarkStart w:id="34" w:name="_Toc521918083"/>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521918091"/>
      <w:bookmarkStart w:id="36" w:name="_Toc450662873"/>
      <w:bookmarkStart w:id="37" w:name="_Toc37323065"/>
      <w:bookmarkStart w:id="38" w:name="_Toc4846"/>
      <w:bookmarkStart w:id="39" w:name="_Toc6233"/>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24561"/>
      <w:bookmarkStart w:id="41" w:name="_Toc10936"/>
      <w:bookmarkStart w:id="42" w:name="_Toc450662875"/>
      <w:bookmarkStart w:id="43" w:name="_Toc521918093"/>
      <w:bookmarkStart w:id="44" w:name="_Toc37323067"/>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28366"/>
      <w:bookmarkStart w:id="46" w:name="_Toc37323071"/>
      <w:bookmarkStart w:id="47" w:name="_Toc521918097"/>
      <w:bookmarkStart w:id="48" w:name="_Toc25003"/>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450662876"/>
      <w:bookmarkStart w:id="50" w:name="_Toc521918094"/>
      <w:bookmarkStart w:id="51" w:name="_Toc37323068"/>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37323069"/>
      <w:bookmarkStart w:id="53" w:name="_Toc450662877"/>
      <w:bookmarkStart w:id="54" w:name="_Toc521918095"/>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7"/>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7"/>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7"/>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7"/>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7"/>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6539"/>
      <w:bookmarkStart w:id="56" w:name="_Toc1894"/>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ascii="宋体" w:hAnsi="宋体"/>
          <w:color w:val="auto"/>
          <w:szCs w:val="21"/>
          <w:highlight w:val="none"/>
        </w:rPr>
        <w:t>若本次采购过程中有效报价人不足三家时，询价失败。当有效报价人只有2家时，经批准，询价小组及作出实质性响应的报价人代表同意后，本项目可以继续采购，不同意的报价人可以退出报价。</w:t>
      </w:r>
    </w:p>
    <w:p w14:paraId="51B2E13A">
      <w:pPr>
        <w:pStyle w:val="7"/>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14378"/>
      <w:bookmarkStart w:id="58" w:name="_Toc2859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466882018"/>
      <w:bookmarkStart w:id="60" w:name="_Toc14547"/>
      <w:bookmarkStart w:id="61" w:name="_Toc521918099"/>
      <w:bookmarkStart w:id="62" w:name="_Toc37323073"/>
      <w:bookmarkStart w:id="63" w:name="_Toc465358970"/>
      <w:bookmarkStart w:id="64" w:name="_Toc6127"/>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20062"/>
      <w:bookmarkStart w:id="66" w:name="_Toc521918104"/>
      <w:bookmarkStart w:id="67" w:name="_Toc37323077"/>
      <w:bookmarkStart w:id="68" w:name="_Toc23200"/>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7"/>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521918108"/>
      <w:bookmarkStart w:id="70" w:name="_Toc37323081"/>
      <w:bookmarkStart w:id="71" w:name="_Toc1025"/>
      <w:bookmarkStart w:id="72" w:name="_Toc7816"/>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具的发票类型为增值税专用发票</w:t>
      </w:r>
      <w:r>
        <w:rPr>
          <w:rFonts w:hAnsi="宋体"/>
          <w:color w:val="auto"/>
          <w:szCs w:val="21"/>
          <w:highlight w:val="none"/>
          <w:lang w:val="zh-CN"/>
        </w:rPr>
        <w:t>。</w:t>
      </w:r>
    </w:p>
    <w:p w14:paraId="16791AAF">
      <w:pPr>
        <w:pStyle w:val="7"/>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3"/>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4444"/>
      <w:bookmarkStart w:id="74" w:name="_Toc11573"/>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521918109"/>
      <w:bookmarkStart w:id="76" w:name="_Toc37323082"/>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8"/>
        <w:pageBreakBefore/>
        <w:rPr>
          <w:rFonts w:ascii="宋体" w:hAnsi="宋体"/>
          <w:color w:val="auto"/>
          <w:sz w:val="30"/>
          <w:szCs w:val="30"/>
          <w:highlight w:val="none"/>
          <w:lang w:val="zh-CN"/>
        </w:rPr>
      </w:pPr>
      <w:bookmarkStart w:id="77" w:name="_Toc5248"/>
      <w:bookmarkStart w:id="78" w:name="_Toc3543"/>
      <w:r>
        <w:rPr>
          <w:rFonts w:hint="eastAsia" w:ascii="宋体" w:hAnsi="宋体"/>
          <w:color w:val="auto"/>
          <w:sz w:val="30"/>
          <w:szCs w:val="30"/>
          <w:highlight w:val="none"/>
          <w:lang w:val="zh-CN"/>
        </w:rPr>
        <w:t>第三篇 用户需求书</w:t>
      </w:r>
      <w:bookmarkEnd w:id="77"/>
      <w:bookmarkEnd w:id="78"/>
      <w:bookmarkStart w:id="79" w:name="_Hlt133291417"/>
      <w:bookmarkEnd w:id="79"/>
      <w:bookmarkStart w:id="80" w:name="_Hlt107746026"/>
      <w:bookmarkEnd w:id="80"/>
      <w:bookmarkStart w:id="81" w:name="_Hlt92101665"/>
      <w:bookmarkEnd w:id="81"/>
      <w:bookmarkStart w:id="82" w:name="_Hlt92477987"/>
      <w:bookmarkEnd w:id="82"/>
      <w:bookmarkStart w:id="83" w:name="_Hlt107921814"/>
      <w:bookmarkEnd w:id="83"/>
      <w:bookmarkStart w:id="84" w:name="_Hlt92097802"/>
      <w:bookmarkEnd w:id="84"/>
      <w:bookmarkStart w:id="85" w:name="_Hlt507989741"/>
      <w:bookmarkEnd w:id="85"/>
      <w:bookmarkStart w:id="86" w:name="_Hlt92472623"/>
      <w:bookmarkEnd w:id="86"/>
      <w:bookmarkStart w:id="87" w:name="_Hlt92100255"/>
      <w:bookmarkEnd w:id="87"/>
      <w:bookmarkStart w:id="88" w:name="yqh"/>
      <w:bookmarkEnd w:id="88"/>
      <w:bookmarkStart w:id="89" w:name="_Hlt74192688"/>
      <w:bookmarkEnd w:id="89"/>
      <w:bookmarkStart w:id="90" w:name="_Hlt133639916"/>
      <w:bookmarkEnd w:id="90"/>
      <w:bookmarkStart w:id="91" w:name="_Hlt109563261"/>
      <w:bookmarkEnd w:id="91"/>
      <w:bookmarkStart w:id="92" w:name="_Hlt87773422"/>
      <w:bookmarkEnd w:id="92"/>
      <w:bookmarkStart w:id="93" w:name="_Hlt137959623"/>
      <w:bookmarkEnd w:id="93"/>
      <w:bookmarkStart w:id="94" w:name="_Hlt137898605"/>
      <w:bookmarkEnd w:id="94"/>
      <w:bookmarkStart w:id="95" w:name="_Hlt92097807"/>
      <w:bookmarkEnd w:id="95"/>
      <w:bookmarkStart w:id="96" w:name="_Hlt91899334"/>
      <w:bookmarkEnd w:id="96"/>
    </w:p>
    <w:p w14:paraId="4DF601A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一、项目背景及目标</w:t>
      </w:r>
    </w:p>
    <w:p w14:paraId="387C0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项目背景：水业大厦位于东莞市核心商务区，是东莞市水务集团在南城总部基地打造的首个标杆性产业投资项目，对提升城市品质、聚集涉水服务、人才、技术及整合盘活涉水土地资源具有重要示范性意义。其地理位置优越、交通便利、周边商业、文化及公共服务设施完善，建成后将整合水务管理、技术研发、企业办公等核心功能，成为华南地区水务行业标志性建筑。为提升水业大厦运营效率、优化用户体验，解决访客、商户及员工在大厦内的方向识别难题，需构建一套清晰、规范、高效的标识导向系统；为保证大厦内部消防设备、消防门统一美观，需进行统一美化包装提升大厦整体形象。</w:t>
      </w:r>
    </w:p>
    <w:p w14:paraId="481F64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核心目标：确保各类人群（包括普通访客、残障人士、商户工作人员等）能在3分钟内通过标识快速定位目标区域（如商铺、无障碍设施区、电梯厅、卫生间、停车场等），体现水业大厦品牌形象与商业定位；同时，将大厦内部消防栓、消防门外露部分统一美观提升整体形象。</w:t>
      </w:r>
    </w:p>
    <w:p w14:paraId="68B262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二、采购内容</w:t>
      </w:r>
    </w:p>
    <w:p w14:paraId="7787D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水业大厦标识导向系统及消防栓、防火门美化项目的设计、制作与安装。</w:t>
      </w:r>
    </w:p>
    <w:p w14:paraId="0F8E9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（一）标识导向系统范围为水业大厦地上建筑全域，包括但不限于：</w:t>
      </w:r>
    </w:p>
    <w:p w14:paraId="60808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1.大厦外部（入口广场、主入口、停车场入口、绿化地带、非机动车停放区）；</w:t>
      </w:r>
    </w:p>
    <w:p w14:paraId="3EDDA5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2.室内公共区域（一层大堂、各楼层走廊、电梯厅、楼梯间、集团内部办公区域）；</w:t>
      </w:r>
    </w:p>
    <w:p w14:paraId="167CA1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3.功能区域（卫生间、消防通道、设备间）。</w:t>
      </w:r>
    </w:p>
    <w:p w14:paraId="531B78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（二）消防栓、防火门美化项目范围为水业大厦内部消防栓、消防门外露部分</w:t>
      </w:r>
    </w:p>
    <w:p w14:paraId="3FAA8C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三、核心功能要求</w:t>
      </w:r>
    </w:p>
    <w:p w14:paraId="3A1984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导向功能：实现“多级导向”，从水业大厦外部入口→室内大堂→目标楼层→目标区域的连贯指引，避免导向断层。关键节点标识覆盖，在大堂入口、电梯厅、楼层拐角、岔路口等易迷路位置，设置“总平图标识”“区域指引标识”“方向指示标识”。</w:t>
      </w:r>
    </w:p>
    <w:p w14:paraId="52183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（二)识别功能：清晰标注信息，所有标识需明确标注“区域名称”“目标编号”“功能属性”等。</w:t>
      </w:r>
    </w:p>
    <w:p w14:paraId="4D4198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（三）警示与提示功能：安全警示，消防通道、消防设施、禁止吸烟区、高空作业区等位置，设置“警示标识”，采用红、黄等醒目颜色，搭配标准安全图标。</w:t>
      </w:r>
    </w:p>
    <w:p w14:paraId="02A086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（四）内部消防栓、消防门外露部分统一美化包装。</w:t>
      </w:r>
    </w:p>
    <w:p w14:paraId="1E1668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四、设计、制作、安装要求</w:t>
      </w:r>
    </w:p>
    <w:p w14:paraId="50821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（一）视觉设计：建筑协调性，与大厦外立面风格、室内装修风格统一，结合水务环境集团（采购人上级单位）logo及整体VI设计，材质/色彩符合国家及行业相关标准的规定。</w:t>
      </w:r>
    </w:p>
    <w:p w14:paraId="7065A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材质与工艺：外部标识需抗风雨、防腐蚀；室内高频接触区域（如电梯厅标识）需防刮擦、易清洁；所有材质包括但不限于不锈钢、铝合金、冷轧钢板、铜板、亚克力、PVC，需符合国家环保标准，避免异味、有毒物质释放。工艺适配性包括但不限于雕刻、烤漆、丝印、蚀刻、UV打印等。</w:t>
      </w:r>
    </w:p>
    <w:p w14:paraId="28024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（三）制作要求：在制作前须与采购人沟通明确品种、品牌、产地、型号规格、数量等内容，经采购人确认同意后执行。</w:t>
      </w:r>
    </w:p>
    <w:p w14:paraId="6C6BC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（四）安装要求:标识需安装在“视线平视范围内”避免被遮挡（如绿植、广告牌）;墙面标识需固定牢固，避免松动；悬挂式标识（如大堂总平图）需平衡稳定，无摇晃风险；地面标识需耐磨、防滑。</w:t>
      </w:r>
    </w:p>
    <w:p w14:paraId="14449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（五）水业大厦内部消防栓、消防门统一使用pvcuv打印木纹包黑边进行美化包装。</w:t>
      </w:r>
    </w:p>
    <w:p w14:paraId="7A7D72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五、质保服务</w:t>
      </w:r>
    </w:p>
    <w:p w14:paraId="5FF45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自验收合格之日起计算，质保期1年，质保期内成交人提供免费上门</w:t>
      </w:r>
      <w:r>
        <w:rPr>
          <w:rFonts w:hint="eastAsia" w:ascii="宋体" w:hAnsi="宋体" w:eastAsia="宋体" w:cs="宋体"/>
          <w:b/>
          <w:bCs/>
          <w:sz w:val="21"/>
          <w:szCs w:val="21"/>
          <w:highlight w:val="none"/>
          <w:lang w:val="en-US" w:eastAsia="zh-CN"/>
        </w:rPr>
        <w:t>质保</w:t>
      </w:r>
      <w:r>
        <w:rPr>
          <w:rFonts w:hint="eastAsia" w:ascii="宋体" w:hAnsi="宋体" w:eastAsia="宋体" w:cs="宋体"/>
          <w:sz w:val="21"/>
          <w:szCs w:val="21"/>
          <w:highlight w:val="none"/>
          <w:lang w:val="en-US" w:eastAsia="zh-CN"/>
        </w:rPr>
        <w:t>服务。质保期内成交人须在6小时内响应，12小时内到场完成维修或免费更换。</w:t>
      </w:r>
    </w:p>
    <w:p w14:paraId="1FA178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六、验收标准</w:t>
      </w:r>
    </w:p>
    <w:p w14:paraId="3E929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（一）设计方案与施工图符合技术规范。</w:t>
      </w:r>
    </w:p>
    <w:p w14:paraId="58F259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（二）现场安装效果与效果图一致，标识风格、色彩、字体符合设计要求，在强光、弱光、夜间等不同环境可清晰读取信息。</w:t>
      </w:r>
    </w:p>
    <w:p w14:paraId="3EA4B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（三）标识安装牢固，无松动、脱落风险；材质符合环保、耐用标准；应急标识（夜光、警示）功能正常。</w:t>
      </w:r>
    </w:p>
    <w:p w14:paraId="292A70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（四）提供标识制作图纸、材质检测报告等完整文档，确保后续维护可追溯。</w:t>
      </w:r>
    </w:p>
    <w:p w14:paraId="50864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（五）水业大厦内部消防栓、消防门外露部分统一美观。</w:t>
      </w:r>
    </w:p>
    <w:p w14:paraId="34AE52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七、交付时间与责任</w:t>
      </w:r>
    </w:p>
    <w:p w14:paraId="52A2B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交付时间：自合同签订之日起20天内完成</w:t>
      </w:r>
      <w:r>
        <w:rPr>
          <w:rFonts w:hint="eastAsia" w:ascii="宋体" w:hAnsi="宋体" w:eastAsia="宋体" w:cs="宋体"/>
          <w:sz w:val="21"/>
          <w:szCs w:val="21"/>
          <w:highlight w:val="none"/>
        </w:rPr>
        <w:t>合同约定的</w:t>
      </w:r>
      <w:r>
        <w:rPr>
          <w:rFonts w:hint="eastAsia" w:asciiTheme="minorEastAsia" w:hAnsiTheme="minorEastAsia" w:cstheme="minorEastAsia"/>
          <w:szCs w:val="21"/>
          <w:lang w:val="en-US" w:eastAsia="zh-CN"/>
        </w:rPr>
        <w:t>除</w:t>
      </w:r>
      <w:r>
        <w:rPr>
          <w:rFonts w:hint="eastAsia" w:ascii="宋体" w:hAnsi="宋体" w:eastAsia="宋体" w:cs="宋体"/>
          <w:sz w:val="21"/>
          <w:szCs w:val="21"/>
          <w:highlight w:val="none"/>
          <w:lang w:val="en-US" w:eastAsia="zh-CN"/>
        </w:rPr>
        <w:t>质保</w:t>
      </w:r>
      <w:r>
        <w:rPr>
          <w:rFonts w:hint="eastAsia" w:ascii="宋体" w:hAnsi="宋体" w:eastAsia="宋体" w:cs="宋体"/>
          <w:sz w:val="21"/>
          <w:szCs w:val="21"/>
          <w:highlight w:val="none"/>
        </w:rPr>
        <w:t>服务外的全部服务内容</w:t>
      </w:r>
      <w:r>
        <w:rPr>
          <w:rFonts w:hint="eastAsia" w:ascii="宋体" w:hAnsi="宋体" w:eastAsia="宋体" w:cs="宋体"/>
          <w:sz w:val="21"/>
          <w:szCs w:val="21"/>
          <w:highlight w:val="none"/>
          <w:lang w:val="en-US" w:eastAsia="zh-CN"/>
        </w:rPr>
        <w:t>，包含设计、制作、供货、安装等。另外，采购人要求成交人分阶段进行交付：</w:t>
      </w:r>
    </w:p>
    <w:p w14:paraId="7FC567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合同签订之日起3日内成交人完成所有标识设计初稿并报采购人确认，采购人提出修改意见后，成交人应在2日内完成深化设计，提交终稿并经采购人审议通过定稿。如采购人需成交人提供设计小样，并张挂至水业大厦指定位置，成交人应配合，费用包含在成交价内，采购人不另外支付费用。</w:t>
      </w:r>
    </w:p>
    <w:p w14:paraId="26A8E542">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ind w:left="740" w:leftChars="0" w:firstLine="0" w:firstLineChars="0"/>
        <w:textAlignment w:val="auto"/>
        <w:rPr>
          <w:rFonts w:hint="eastAsia" w:ascii="宋体" w:hAnsi="宋体" w:eastAsia="宋体" w:cs="宋体"/>
          <w:b/>
          <w:bCs w:val="0"/>
          <w:color w:val="auto"/>
          <w:spacing w:val="2"/>
          <w:w w:val="100"/>
          <w:position w:val="-3"/>
          <w:sz w:val="21"/>
          <w:szCs w:val="21"/>
          <w:highlight w:val="none"/>
          <w:lang w:val="en-US" w:eastAsia="zh-CN"/>
        </w:rPr>
      </w:pPr>
      <w:r>
        <w:rPr>
          <w:rFonts w:hint="eastAsia" w:ascii="宋体" w:hAnsi="宋体" w:eastAsia="宋体" w:cs="宋体"/>
          <w:b/>
          <w:bCs w:val="0"/>
          <w:color w:val="auto"/>
          <w:spacing w:val="2"/>
          <w:w w:val="100"/>
          <w:position w:val="-3"/>
          <w:sz w:val="21"/>
          <w:szCs w:val="21"/>
          <w:highlight w:val="none"/>
          <w:lang w:val="en-US" w:eastAsia="zh-CN"/>
        </w:rPr>
        <w:t>支付方式</w:t>
      </w:r>
    </w:p>
    <w:p w14:paraId="4D99B0C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人完成所有标识导向系统及消防栓、消防门外露部分美化的设计、制作、供货安装，并经采购人验收合格出具验收报告后，成交人向采购人提供请款报告及合法、有效的增值税专用发票并经采购人审核无误后15个工作日内向成交人支付合同价的90%及对应增值税税额（在成交人申请本期款时，需一并提交本合同结算款余款对应的增值税专用发票）。剩余合同价的10%及对应的税额作为质保金，质保期届满后根据成交人提供货物质量情况及履行质保期义务的情况，由采购人与成交人进行结算。采购人在收到成交人提交的请款报告及原已出具的增值税专用发票复印件并确认无误后15个工作日内向成交人支付。</w:t>
      </w:r>
    </w:p>
    <w:p w14:paraId="15B97CF4">
      <w:pPr>
        <w:keepNext w:val="0"/>
        <w:keepLines w:val="0"/>
        <w:pageBreakBefore w:val="0"/>
        <w:widowControl w:val="0"/>
        <w:kinsoku/>
        <w:wordWrap/>
        <w:overflowPunct/>
        <w:topLinePunct w:val="0"/>
        <w:autoSpaceDE/>
        <w:autoSpaceDN/>
        <w:bidi w:val="0"/>
        <w:adjustRightInd/>
        <w:snapToGrid/>
        <w:spacing w:line="360" w:lineRule="auto"/>
        <w:ind w:firstLine="644"/>
        <w:textAlignment w:val="auto"/>
        <w:rPr>
          <w:rFonts w:hint="eastAsia" w:ascii="宋体" w:hAnsi="宋体" w:eastAsia="宋体" w:cs="宋体"/>
          <w:b/>
          <w:bCs w:val="0"/>
          <w:color w:val="auto"/>
          <w:spacing w:val="2"/>
          <w:w w:val="100"/>
          <w:kern w:val="2"/>
          <w:position w:val="-3"/>
          <w:sz w:val="21"/>
          <w:szCs w:val="21"/>
          <w:highlight w:val="none"/>
          <w:lang w:val="en-US" w:eastAsia="zh-CN" w:bidi="ar-SA"/>
        </w:rPr>
      </w:pPr>
      <w:r>
        <w:rPr>
          <w:rFonts w:hint="eastAsia" w:ascii="宋体" w:hAnsi="宋体" w:eastAsia="宋体" w:cs="宋体"/>
          <w:b/>
          <w:bCs w:val="0"/>
          <w:color w:val="auto"/>
          <w:spacing w:val="2"/>
          <w:w w:val="100"/>
          <w:kern w:val="2"/>
          <w:position w:val="-3"/>
          <w:sz w:val="21"/>
          <w:szCs w:val="21"/>
          <w:highlight w:val="none"/>
          <w:lang w:val="en-US" w:eastAsia="zh-CN" w:bidi="ar-SA"/>
        </w:rPr>
        <w:t>九、违约责任与损失</w:t>
      </w:r>
    </w:p>
    <w:p w14:paraId="65F9E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一）逾期交付/安装违约：如成交人未按合同约定的时间完成设计、交货、安装的，每逾期一日，成交人应向采购人支付合同价税合计金额的0.5%作为违约金。成交人逾期超过5天的，采购人有权单方解除合同并有权要求成交人支付</w:t>
      </w:r>
      <w:r>
        <w:rPr>
          <w:rFonts w:hint="eastAsia" w:ascii="宋体" w:hAnsi="宋体" w:eastAsia="宋体" w:cs="宋体"/>
          <w:b w:val="0"/>
          <w:bCs/>
          <w:sz w:val="21"/>
          <w:szCs w:val="21"/>
          <w:highlight w:val="none"/>
        </w:rPr>
        <w:t>合同价税合计金额的20%作为违约金</w:t>
      </w:r>
      <w:r>
        <w:rPr>
          <w:rFonts w:hint="eastAsia" w:ascii="宋体" w:hAnsi="宋体" w:eastAsia="宋体" w:cs="宋体"/>
          <w:b w:val="0"/>
          <w:bCs w:val="0"/>
          <w:kern w:val="2"/>
          <w:sz w:val="21"/>
          <w:szCs w:val="21"/>
          <w:highlight w:val="none"/>
          <w:lang w:val="en-US" w:eastAsia="zh-CN" w:bidi="ar-SA"/>
        </w:rPr>
        <w:t>。</w:t>
      </w:r>
    </w:p>
    <w:p w14:paraId="65757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b w:val="0"/>
          <w:bCs w:val="0"/>
          <w:kern w:val="2"/>
          <w:sz w:val="21"/>
          <w:szCs w:val="21"/>
          <w:highlight w:val="none"/>
          <w:lang w:val="en-US" w:eastAsia="zh-CN" w:bidi="ar-SA"/>
        </w:rPr>
        <w:t>（二）质量与规格违约：</w:t>
      </w:r>
      <w:r>
        <w:rPr>
          <w:rFonts w:hint="eastAsia" w:ascii="宋体" w:hAnsi="宋体" w:eastAsia="宋体" w:cs="宋体"/>
          <w:sz w:val="21"/>
          <w:szCs w:val="21"/>
          <w:highlight w:val="none"/>
          <w:lang w:val="en-US" w:eastAsia="zh-CN"/>
        </w:rPr>
        <w:t>成交人</w:t>
      </w:r>
      <w:r>
        <w:rPr>
          <w:rFonts w:hint="eastAsia" w:ascii="宋体" w:hAnsi="宋体" w:eastAsia="宋体" w:cs="宋体"/>
          <w:sz w:val="21"/>
          <w:szCs w:val="21"/>
          <w:highlight w:val="none"/>
        </w:rPr>
        <w:t>所交货物（包括但不限于品种、型号、规格、质量）不符合</w:t>
      </w:r>
      <w:r>
        <w:rPr>
          <w:rFonts w:hint="eastAsia" w:ascii="宋体" w:hAnsi="宋体" w:eastAsia="宋体" w:cs="宋体"/>
          <w:sz w:val="21"/>
          <w:szCs w:val="21"/>
          <w:highlight w:val="none"/>
          <w:lang w:val="en-US" w:eastAsia="zh-CN"/>
        </w:rPr>
        <w:t>合同约定</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有权拒收，并要求</w:t>
      </w:r>
      <w:r>
        <w:rPr>
          <w:rFonts w:hint="eastAsia" w:ascii="宋体" w:hAnsi="宋体" w:eastAsia="宋体" w:cs="宋体"/>
          <w:sz w:val="21"/>
          <w:szCs w:val="21"/>
          <w:highlight w:val="none"/>
          <w:lang w:eastAsia="zh-CN"/>
        </w:rPr>
        <w:t>成交人</w:t>
      </w:r>
      <w:r>
        <w:rPr>
          <w:rFonts w:hint="eastAsia" w:ascii="宋体" w:hAnsi="宋体" w:eastAsia="宋体" w:cs="宋体"/>
          <w:sz w:val="21"/>
          <w:szCs w:val="21"/>
          <w:highlight w:val="none"/>
        </w:rPr>
        <w:t>免费予以更换或退货，同时</w:t>
      </w:r>
      <w:r>
        <w:rPr>
          <w:rFonts w:hint="eastAsia" w:ascii="宋体" w:hAnsi="宋体" w:eastAsia="宋体" w:cs="宋体"/>
          <w:sz w:val="21"/>
          <w:szCs w:val="21"/>
          <w:highlight w:val="none"/>
          <w:lang w:eastAsia="zh-CN"/>
        </w:rPr>
        <w:t>成交人</w:t>
      </w:r>
      <w:r>
        <w:rPr>
          <w:rFonts w:hint="eastAsia" w:ascii="宋体" w:hAnsi="宋体" w:eastAsia="宋体" w:cs="宋体"/>
          <w:sz w:val="21"/>
          <w:szCs w:val="21"/>
          <w:highlight w:val="none"/>
        </w:rPr>
        <w:t>应向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支付合同价税合计金额的5%作为违约金。</w:t>
      </w:r>
      <w:r>
        <w:rPr>
          <w:rFonts w:hint="eastAsia" w:ascii="宋体" w:hAnsi="宋体" w:eastAsia="宋体" w:cs="宋体"/>
          <w:sz w:val="21"/>
          <w:szCs w:val="21"/>
          <w:highlight w:val="none"/>
          <w:lang w:eastAsia="zh-CN"/>
        </w:rPr>
        <w:t>成交人</w:t>
      </w:r>
      <w:r>
        <w:rPr>
          <w:rFonts w:hint="eastAsia" w:ascii="宋体" w:hAnsi="宋体" w:eastAsia="宋体" w:cs="宋体"/>
          <w:sz w:val="21"/>
          <w:szCs w:val="21"/>
          <w:highlight w:val="none"/>
        </w:rPr>
        <w:t>所交货物经检验出现2次以上（含本数）的不合格情况时，除前述违约金外，</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有权单方解除合同，同时</w:t>
      </w:r>
      <w:r>
        <w:rPr>
          <w:rFonts w:hint="eastAsia" w:ascii="宋体" w:hAnsi="宋体" w:eastAsia="宋体" w:cs="宋体"/>
          <w:sz w:val="21"/>
          <w:szCs w:val="21"/>
          <w:highlight w:val="none"/>
          <w:lang w:eastAsia="zh-CN"/>
        </w:rPr>
        <w:t>成交人</w:t>
      </w:r>
      <w:r>
        <w:rPr>
          <w:rFonts w:hint="eastAsia" w:ascii="宋体" w:hAnsi="宋体" w:eastAsia="宋体" w:cs="宋体"/>
          <w:sz w:val="21"/>
          <w:szCs w:val="21"/>
          <w:highlight w:val="none"/>
        </w:rPr>
        <w:t>应额外向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支付合同价税合计金额的20%作为违约金。</w:t>
      </w:r>
    </w:p>
    <w:p w14:paraId="5AC68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（三）安全与事故违约：成交人必须接受采购人的检查与监督，并应主动配合，做好安全工作。</w:t>
      </w:r>
      <w:r>
        <w:rPr>
          <w:rFonts w:hint="eastAsia" w:ascii="宋体" w:hAnsi="宋体" w:eastAsia="宋体" w:cs="宋体"/>
          <w:b w:val="0"/>
          <w:bCs w:val="0"/>
          <w:color w:val="auto"/>
          <w:kern w:val="2"/>
          <w:sz w:val="21"/>
          <w:szCs w:val="21"/>
          <w:highlight w:val="none"/>
          <w:lang w:val="en-US" w:eastAsia="zh-CN" w:bidi="ar-SA"/>
        </w:rPr>
        <w:t>安装过程中发生的安全事故，对采购人和第三方造成人员、设备伤害和经济损失的，一切由</w:t>
      </w:r>
      <w:r>
        <w:rPr>
          <w:rFonts w:hint="eastAsia" w:ascii="宋体" w:hAnsi="宋体" w:eastAsia="宋体" w:cs="宋体"/>
          <w:b w:val="0"/>
          <w:bCs w:val="0"/>
          <w:kern w:val="2"/>
          <w:sz w:val="21"/>
          <w:szCs w:val="21"/>
          <w:highlight w:val="none"/>
          <w:lang w:val="en-US" w:eastAsia="zh-CN" w:bidi="ar-SA"/>
        </w:rPr>
        <w:t>成交人</w:t>
      </w:r>
      <w:r>
        <w:rPr>
          <w:rFonts w:hint="eastAsia" w:ascii="宋体" w:hAnsi="宋体" w:eastAsia="宋体" w:cs="宋体"/>
          <w:b w:val="0"/>
          <w:bCs w:val="0"/>
          <w:color w:val="auto"/>
          <w:kern w:val="2"/>
          <w:sz w:val="21"/>
          <w:szCs w:val="21"/>
          <w:highlight w:val="none"/>
          <w:lang w:val="en-US" w:eastAsia="zh-CN" w:bidi="ar-SA"/>
        </w:rPr>
        <w:t>负责承担全部责任，采购人不承担任何责任。</w:t>
      </w:r>
    </w:p>
    <w:p w14:paraId="58258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设计侵权违约：成交人应保证服务过程中提供的所有成果不侵犯任何第三方的专利、商标、版权以及其它权利，否则，由成交人负责处理并承担因此产生的所有责任及费用（包括但不限于诉讼费、律师费、公证费、执行费、差旅费等），因此造成采购人损失的，成交人应予以赔偿。</w:t>
      </w:r>
    </w:p>
    <w:p w14:paraId="699FEE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附件1水业大厦标识系统及消防栓、防火门清单</w:t>
      </w:r>
    </w:p>
    <w:tbl>
      <w:tblPr>
        <w:tblStyle w:val="20"/>
        <w:tblpPr w:leftFromText="180" w:rightFromText="180" w:vertAnchor="text" w:horzAnchor="page" w:tblpXSpec="center" w:tblpY="11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27"/>
        <w:gridCol w:w="1684"/>
        <w:gridCol w:w="1373"/>
        <w:gridCol w:w="1914"/>
        <w:gridCol w:w="2182"/>
      </w:tblGrid>
      <w:tr w14:paraId="007E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32" w:type="pct"/>
            <w:noWrap w:val="0"/>
            <w:vAlign w:val="center"/>
          </w:tcPr>
          <w:p w14:paraId="1BF8460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序号</w:t>
            </w:r>
          </w:p>
        </w:tc>
        <w:tc>
          <w:tcPr>
            <w:tcW w:w="1357" w:type="pct"/>
            <w:gridSpan w:val="2"/>
            <w:noWrap w:val="0"/>
            <w:vAlign w:val="center"/>
          </w:tcPr>
          <w:p w14:paraId="5FBCFA47">
            <w:pPr>
              <w:spacing w:line="46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名称</w:t>
            </w:r>
          </w:p>
        </w:tc>
        <w:tc>
          <w:tcPr>
            <w:tcW w:w="806" w:type="pct"/>
            <w:noWrap w:val="0"/>
            <w:vAlign w:val="center"/>
          </w:tcPr>
          <w:p w14:paraId="14B20A38">
            <w:pPr>
              <w:spacing w:line="46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数量</w:t>
            </w:r>
          </w:p>
        </w:tc>
        <w:tc>
          <w:tcPr>
            <w:tcW w:w="1124" w:type="pct"/>
            <w:noWrap w:val="0"/>
            <w:vAlign w:val="center"/>
          </w:tcPr>
          <w:p w14:paraId="19BC2A5E">
            <w:pPr>
              <w:spacing w:line="46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尺寸</w:t>
            </w:r>
          </w:p>
        </w:tc>
        <w:tc>
          <w:tcPr>
            <w:tcW w:w="1279" w:type="pct"/>
            <w:noWrap w:val="0"/>
            <w:vAlign w:val="center"/>
          </w:tcPr>
          <w:p w14:paraId="3FAF8E32">
            <w:pPr>
              <w:spacing w:line="46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材质及工艺</w:t>
            </w:r>
          </w:p>
        </w:tc>
      </w:tr>
      <w:tr w14:paraId="098C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0" w:type="pct"/>
            <w:gridSpan w:val="6"/>
            <w:noWrap w:val="0"/>
            <w:vAlign w:val="center"/>
          </w:tcPr>
          <w:p w14:paraId="3E718759">
            <w:pPr>
              <w:spacing w:line="46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一、标识导向系统清单</w:t>
            </w:r>
          </w:p>
        </w:tc>
      </w:tr>
      <w:tr w14:paraId="0ECA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32" w:type="pct"/>
            <w:noWrap w:val="0"/>
            <w:vAlign w:val="center"/>
          </w:tcPr>
          <w:p w14:paraId="0E16E4B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68" w:type="pct"/>
            <w:vMerge w:val="restart"/>
            <w:noWrap w:val="0"/>
            <w:vAlign w:val="center"/>
          </w:tcPr>
          <w:p w14:paraId="49FEDDD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写字楼外</w:t>
            </w:r>
          </w:p>
          <w:p w14:paraId="21EF489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广场</w:t>
            </w:r>
          </w:p>
        </w:tc>
        <w:tc>
          <w:tcPr>
            <w:tcW w:w="988" w:type="pct"/>
            <w:shd w:val="clear" w:color="auto" w:fill="auto"/>
            <w:noWrap w:val="0"/>
            <w:vAlign w:val="center"/>
          </w:tcPr>
          <w:p w14:paraId="114A80F2">
            <w:pPr>
              <w:spacing w:line="240" w:lineRule="auto"/>
              <w:jc w:val="center"/>
              <w:rPr>
                <w:rFonts w:hint="eastAsia" w:ascii="宋体" w:hAnsi="宋体" w:eastAsia="宋体" w:cs="宋体"/>
                <w:sz w:val="21"/>
                <w:szCs w:val="21"/>
                <w:highlight w:val="none"/>
                <w:lang w:val="en-US" w:eastAsia="zh-CN"/>
              </w:rPr>
            </w:pPr>
          </w:p>
          <w:p w14:paraId="675E83B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A、B楼栋指示牌</w:t>
            </w:r>
          </w:p>
        </w:tc>
        <w:tc>
          <w:tcPr>
            <w:tcW w:w="806" w:type="pct"/>
            <w:noWrap w:val="0"/>
            <w:vAlign w:val="center"/>
          </w:tcPr>
          <w:p w14:paraId="51AFEAA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2块</w:t>
            </w:r>
          </w:p>
        </w:tc>
        <w:tc>
          <w:tcPr>
            <w:tcW w:w="1124" w:type="pct"/>
            <w:noWrap w:val="0"/>
            <w:vAlign w:val="center"/>
          </w:tcPr>
          <w:p w14:paraId="72ED5E8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170x65cm</w:t>
            </w:r>
          </w:p>
        </w:tc>
        <w:tc>
          <w:tcPr>
            <w:tcW w:w="1279" w:type="pct"/>
            <w:noWrap w:val="0"/>
            <w:vAlign w:val="center"/>
          </w:tcPr>
          <w:p w14:paraId="1D1FFBE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不锈钢烤漆底座，烤漆立体字</w:t>
            </w:r>
          </w:p>
        </w:tc>
      </w:tr>
      <w:tr w14:paraId="6001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2" w:type="pct"/>
            <w:noWrap w:val="0"/>
            <w:vAlign w:val="center"/>
          </w:tcPr>
          <w:p w14:paraId="0F4CFBF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68" w:type="pct"/>
            <w:vMerge w:val="continue"/>
            <w:noWrap w:val="0"/>
            <w:vAlign w:val="center"/>
          </w:tcPr>
          <w:p w14:paraId="4F22DA5B">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627F6E5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外广场品牌墙不锈钢立体字</w:t>
            </w:r>
          </w:p>
        </w:tc>
        <w:tc>
          <w:tcPr>
            <w:tcW w:w="806" w:type="pct"/>
            <w:noWrap w:val="0"/>
            <w:vAlign w:val="center"/>
          </w:tcPr>
          <w:p w14:paraId="189282A1">
            <w:pPr>
              <w:spacing w:line="240" w:lineRule="auto"/>
              <w:jc w:val="center"/>
              <w:rPr>
                <w:rFonts w:hint="eastAsia" w:ascii="宋体" w:hAnsi="宋体" w:eastAsia="宋体" w:cs="宋体"/>
                <w:sz w:val="21"/>
                <w:szCs w:val="21"/>
                <w:highlight w:val="none"/>
                <w:lang w:val="en-US" w:eastAsia="zh-CN"/>
              </w:rPr>
            </w:pPr>
          </w:p>
          <w:p w14:paraId="5247E85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noWrap w:val="0"/>
            <w:vAlign w:val="center"/>
          </w:tcPr>
          <w:p w14:paraId="4F8BBAB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字体5.98x35cm</w:t>
            </w:r>
          </w:p>
          <w:p w14:paraId="7DEA1FF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英文3.95x12.5cm</w:t>
            </w:r>
          </w:p>
          <w:p w14:paraId="3E24807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LOGO105X105CM</w:t>
            </w:r>
          </w:p>
        </w:tc>
        <w:tc>
          <w:tcPr>
            <w:tcW w:w="1279" w:type="pct"/>
            <w:noWrap w:val="0"/>
            <w:vAlign w:val="center"/>
          </w:tcPr>
          <w:p w14:paraId="43C1F6B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不锈钢拉丝</w:t>
            </w:r>
          </w:p>
        </w:tc>
      </w:tr>
      <w:tr w14:paraId="127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32" w:type="pct"/>
            <w:noWrap w:val="0"/>
            <w:vAlign w:val="center"/>
          </w:tcPr>
          <w:p w14:paraId="2555C72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68" w:type="pct"/>
            <w:vMerge w:val="continue"/>
            <w:noWrap w:val="0"/>
            <w:vAlign w:val="center"/>
          </w:tcPr>
          <w:p w14:paraId="352FB91E">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388CDA3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水池边</w:t>
            </w:r>
          </w:p>
          <w:p w14:paraId="141B217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金色立体字</w:t>
            </w:r>
          </w:p>
        </w:tc>
        <w:tc>
          <w:tcPr>
            <w:tcW w:w="806" w:type="pct"/>
            <w:noWrap w:val="0"/>
            <w:vAlign w:val="center"/>
          </w:tcPr>
          <w:p w14:paraId="762C697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noWrap w:val="0"/>
            <w:vAlign w:val="center"/>
          </w:tcPr>
          <w:p w14:paraId="749C561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100x100cm</w:t>
            </w:r>
          </w:p>
        </w:tc>
        <w:tc>
          <w:tcPr>
            <w:tcW w:w="1279" w:type="pct"/>
            <w:noWrap w:val="0"/>
            <w:vAlign w:val="center"/>
          </w:tcPr>
          <w:p w14:paraId="5EB417D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304不锈钢</w:t>
            </w:r>
          </w:p>
          <w:p w14:paraId="30C4FF3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金色烤漆</w:t>
            </w:r>
          </w:p>
        </w:tc>
      </w:tr>
      <w:tr w14:paraId="7E46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2" w:type="pct"/>
            <w:noWrap w:val="0"/>
            <w:vAlign w:val="center"/>
          </w:tcPr>
          <w:p w14:paraId="49F7A6C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68" w:type="pct"/>
            <w:vMerge w:val="continue"/>
            <w:noWrap w:val="0"/>
            <w:vAlign w:val="center"/>
          </w:tcPr>
          <w:p w14:paraId="6B94CC74">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14F49B07">
            <w:pPr>
              <w:spacing w:line="240" w:lineRule="auto"/>
              <w:jc w:val="center"/>
              <w:rPr>
                <w:rFonts w:hint="eastAsia" w:ascii="宋体" w:hAnsi="宋体" w:eastAsia="宋体" w:cs="宋体"/>
                <w:sz w:val="21"/>
                <w:szCs w:val="21"/>
                <w:highlight w:val="none"/>
                <w:lang w:val="en-US" w:eastAsia="zh-CN"/>
              </w:rPr>
            </w:pPr>
          </w:p>
          <w:p w14:paraId="3FEBBC7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花草警示牌</w:t>
            </w:r>
          </w:p>
          <w:p w14:paraId="3F5CAD8A">
            <w:pPr>
              <w:spacing w:line="240" w:lineRule="auto"/>
              <w:jc w:val="center"/>
              <w:rPr>
                <w:rFonts w:hint="eastAsia" w:ascii="宋体" w:hAnsi="宋体" w:eastAsia="宋体" w:cs="宋体"/>
                <w:sz w:val="21"/>
                <w:szCs w:val="21"/>
                <w:highlight w:val="none"/>
                <w:lang w:val="en-US" w:eastAsia="zh-CN"/>
              </w:rPr>
            </w:pPr>
          </w:p>
        </w:tc>
        <w:tc>
          <w:tcPr>
            <w:tcW w:w="806" w:type="pct"/>
            <w:noWrap w:val="0"/>
            <w:vAlign w:val="center"/>
          </w:tcPr>
          <w:p w14:paraId="68B6634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6块</w:t>
            </w:r>
          </w:p>
        </w:tc>
        <w:tc>
          <w:tcPr>
            <w:tcW w:w="1124" w:type="pct"/>
            <w:noWrap w:val="0"/>
            <w:vAlign w:val="center"/>
          </w:tcPr>
          <w:p w14:paraId="3A3DFBC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58x45cm</w:t>
            </w:r>
          </w:p>
        </w:tc>
        <w:tc>
          <w:tcPr>
            <w:tcW w:w="1279" w:type="pct"/>
            <w:noWrap w:val="0"/>
            <w:vAlign w:val="center"/>
          </w:tcPr>
          <w:p w14:paraId="6319BBE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不锈钢烤漆，丝印</w:t>
            </w:r>
          </w:p>
        </w:tc>
      </w:tr>
      <w:tr w14:paraId="2948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2" w:type="pct"/>
            <w:noWrap w:val="0"/>
            <w:vAlign w:val="center"/>
          </w:tcPr>
          <w:p w14:paraId="58C287A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68" w:type="pct"/>
            <w:vMerge w:val="restart"/>
            <w:noWrap w:val="0"/>
            <w:vAlign w:val="center"/>
          </w:tcPr>
          <w:p w14:paraId="04FB4CF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大堂区域</w:t>
            </w:r>
          </w:p>
        </w:tc>
        <w:tc>
          <w:tcPr>
            <w:tcW w:w="988" w:type="pct"/>
            <w:noWrap w:val="0"/>
            <w:vAlign w:val="center"/>
          </w:tcPr>
          <w:p w14:paraId="25B41DA8">
            <w:pPr>
              <w:numPr>
                <w:ilvl w:val="0"/>
                <w:numId w:val="3"/>
              </w:num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B栋号标识牌</w:t>
            </w:r>
          </w:p>
          <w:p w14:paraId="62840D5F">
            <w:pPr>
              <w:numPr>
                <w:ilvl w:val="0"/>
                <w:numId w:val="0"/>
              </w:numPr>
              <w:spacing w:line="240" w:lineRule="auto"/>
              <w:jc w:val="center"/>
              <w:rPr>
                <w:rFonts w:hint="eastAsia" w:ascii="宋体" w:hAnsi="宋体" w:eastAsia="宋体" w:cs="宋体"/>
                <w:sz w:val="21"/>
                <w:szCs w:val="21"/>
                <w:highlight w:val="none"/>
                <w:lang w:val="en-US" w:eastAsia="zh-CN"/>
              </w:rPr>
            </w:pPr>
          </w:p>
        </w:tc>
        <w:tc>
          <w:tcPr>
            <w:tcW w:w="806" w:type="pct"/>
            <w:noWrap w:val="0"/>
            <w:vAlign w:val="center"/>
          </w:tcPr>
          <w:p w14:paraId="3B5BE94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2块</w:t>
            </w:r>
          </w:p>
        </w:tc>
        <w:tc>
          <w:tcPr>
            <w:tcW w:w="1124" w:type="pct"/>
            <w:noWrap w:val="0"/>
            <w:vAlign w:val="center"/>
          </w:tcPr>
          <w:p w14:paraId="31F4A6A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45x45cm</w:t>
            </w:r>
          </w:p>
        </w:tc>
        <w:tc>
          <w:tcPr>
            <w:tcW w:w="1279" w:type="pct"/>
            <w:noWrap w:val="0"/>
            <w:vAlign w:val="center"/>
          </w:tcPr>
          <w:p w14:paraId="1EB70B2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不锈钢烤漆底座，金属立体字</w:t>
            </w:r>
          </w:p>
        </w:tc>
      </w:tr>
      <w:tr w14:paraId="2329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432" w:type="pct"/>
            <w:noWrap w:val="0"/>
            <w:vAlign w:val="center"/>
          </w:tcPr>
          <w:p w14:paraId="11110C1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68" w:type="pct"/>
            <w:vMerge w:val="continue"/>
            <w:noWrap w:val="0"/>
            <w:vAlign w:val="center"/>
          </w:tcPr>
          <w:p w14:paraId="6655B77C">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55A892E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一楼大堂总索引牌</w:t>
            </w:r>
          </w:p>
        </w:tc>
        <w:tc>
          <w:tcPr>
            <w:tcW w:w="806" w:type="pct"/>
            <w:noWrap w:val="0"/>
            <w:vAlign w:val="center"/>
          </w:tcPr>
          <w:p w14:paraId="3D04168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noWrap w:val="0"/>
            <w:vAlign w:val="center"/>
          </w:tcPr>
          <w:p w14:paraId="37A1AA5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200x140cm</w:t>
            </w:r>
          </w:p>
        </w:tc>
        <w:tc>
          <w:tcPr>
            <w:tcW w:w="1279" w:type="pct"/>
            <w:noWrap w:val="0"/>
            <w:vAlign w:val="center"/>
          </w:tcPr>
          <w:p w14:paraId="61CCDD1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 ，金属立体字，磁吸企业名称栏，丝印内容</w:t>
            </w:r>
          </w:p>
        </w:tc>
      </w:tr>
      <w:tr w14:paraId="42AD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2" w:type="pct"/>
            <w:noWrap w:val="0"/>
            <w:vAlign w:val="center"/>
          </w:tcPr>
          <w:p w14:paraId="2F44F8A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368" w:type="pct"/>
            <w:vMerge w:val="continue"/>
            <w:noWrap w:val="0"/>
            <w:vAlign w:val="center"/>
          </w:tcPr>
          <w:p w14:paraId="58303670">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754226A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A、B栋号标识牌（内）</w:t>
            </w:r>
          </w:p>
        </w:tc>
        <w:tc>
          <w:tcPr>
            <w:tcW w:w="806" w:type="pct"/>
            <w:noWrap w:val="0"/>
            <w:vAlign w:val="center"/>
          </w:tcPr>
          <w:p w14:paraId="7D415E4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2块</w:t>
            </w:r>
          </w:p>
        </w:tc>
        <w:tc>
          <w:tcPr>
            <w:tcW w:w="1124" w:type="pct"/>
            <w:noWrap w:val="0"/>
            <w:vAlign w:val="center"/>
          </w:tcPr>
          <w:p w14:paraId="3021A71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50x35cm</w:t>
            </w:r>
          </w:p>
        </w:tc>
        <w:tc>
          <w:tcPr>
            <w:tcW w:w="1279" w:type="pct"/>
            <w:noWrap w:val="0"/>
            <w:vAlign w:val="center"/>
          </w:tcPr>
          <w:p w14:paraId="2378596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77565A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F60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32" w:type="pct"/>
            <w:noWrap w:val="0"/>
            <w:vAlign w:val="center"/>
          </w:tcPr>
          <w:p w14:paraId="676E144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368" w:type="pct"/>
            <w:vMerge w:val="continue"/>
            <w:noWrap w:val="0"/>
            <w:vAlign w:val="center"/>
          </w:tcPr>
          <w:p w14:paraId="0075A1DA">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7D75A13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A、B座侧门出入口牌</w:t>
            </w:r>
          </w:p>
        </w:tc>
        <w:tc>
          <w:tcPr>
            <w:tcW w:w="806" w:type="pct"/>
            <w:noWrap w:val="0"/>
            <w:vAlign w:val="center"/>
          </w:tcPr>
          <w:p w14:paraId="6666739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4块</w:t>
            </w:r>
          </w:p>
        </w:tc>
        <w:tc>
          <w:tcPr>
            <w:tcW w:w="1124" w:type="pct"/>
            <w:noWrap w:val="0"/>
            <w:vAlign w:val="center"/>
          </w:tcPr>
          <w:p w14:paraId="26299AAC">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50x35cm</w:t>
            </w:r>
          </w:p>
        </w:tc>
        <w:tc>
          <w:tcPr>
            <w:tcW w:w="1279" w:type="pct"/>
            <w:noWrap w:val="0"/>
            <w:vAlign w:val="center"/>
          </w:tcPr>
          <w:p w14:paraId="515A192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894683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D6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32" w:type="pct"/>
            <w:noWrap w:val="0"/>
            <w:vAlign w:val="center"/>
          </w:tcPr>
          <w:p w14:paraId="5FD4DF2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368" w:type="pct"/>
            <w:vMerge w:val="continue"/>
            <w:noWrap w:val="0"/>
            <w:vAlign w:val="center"/>
          </w:tcPr>
          <w:p w14:paraId="1717103F">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6A6FB461">
            <w:pPr>
              <w:spacing w:line="240" w:lineRule="auto"/>
              <w:jc w:val="center"/>
              <w:rPr>
                <w:rFonts w:hint="eastAsia" w:ascii="宋体" w:hAnsi="宋体" w:eastAsia="宋体" w:cs="宋体"/>
                <w:sz w:val="21"/>
                <w:szCs w:val="21"/>
                <w:highlight w:val="none"/>
                <w:lang w:val="en-US" w:eastAsia="zh-CN"/>
              </w:rPr>
            </w:pPr>
          </w:p>
          <w:p w14:paraId="6B368613">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洗手间指示牌</w:t>
            </w:r>
          </w:p>
        </w:tc>
        <w:tc>
          <w:tcPr>
            <w:tcW w:w="806" w:type="pct"/>
            <w:noWrap w:val="0"/>
            <w:vAlign w:val="center"/>
          </w:tcPr>
          <w:p w14:paraId="119C706D">
            <w:pPr>
              <w:spacing w:line="240" w:lineRule="auto"/>
              <w:jc w:val="center"/>
              <w:rPr>
                <w:rFonts w:hint="eastAsia" w:ascii="宋体" w:hAnsi="宋体" w:eastAsia="宋体" w:cs="宋体"/>
                <w:sz w:val="21"/>
                <w:szCs w:val="21"/>
                <w:highlight w:val="none"/>
                <w:lang w:val="en-US" w:eastAsia="zh-CN"/>
              </w:rPr>
            </w:pPr>
          </w:p>
          <w:p w14:paraId="7A09A85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noWrap w:val="0"/>
            <w:vAlign w:val="center"/>
          </w:tcPr>
          <w:p w14:paraId="22BC66C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35x25cm1块</w:t>
            </w:r>
          </w:p>
          <w:p w14:paraId="685BB6E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25x25cm1块</w:t>
            </w:r>
          </w:p>
          <w:p w14:paraId="6CAA039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25x25cm1块</w:t>
            </w:r>
          </w:p>
          <w:p w14:paraId="077DDFB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25x25cm1块</w:t>
            </w:r>
          </w:p>
        </w:tc>
        <w:tc>
          <w:tcPr>
            <w:tcW w:w="1279" w:type="pct"/>
            <w:noWrap w:val="0"/>
            <w:vAlign w:val="center"/>
          </w:tcPr>
          <w:p w14:paraId="153A1D4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D1246F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0E1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32" w:type="pct"/>
            <w:noWrap w:val="0"/>
            <w:vAlign w:val="center"/>
          </w:tcPr>
          <w:p w14:paraId="52E861B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368" w:type="pct"/>
            <w:vMerge w:val="restart"/>
            <w:noWrap w:val="0"/>
            <w:vAlign w:val="center"/>
          </w:tcPr>
          <w:p w14:paraId="05D92AA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电梯区域</w:t>
            </w:r>
          </w:p>
        </w:tc>
        <w:tc>
          <w:tcPr>
            <w:tcW w:w="988" w:type="pct"/>
            <w:noWrap w:val="0"/>
            <w:vAlign w:val="center"/>
          </w:tcPr>
          <w:p w14:paraId="6BA87A39">
            <w:pPr>
              <w:spacing w:line="240" w:lineRule="auto"/>
              <w:jc w:val="center"/>
              <w:rPr>
                <w:rFonts w:hint="eastAsia" w:ascii="宋体" w:hAnsi="宋体" w:eastAsia="宋体" w:cs="宋体"/>
                <w:sz w:val="21"/>
                <w:szCs w:val="21"/>
                <w:highlight w:val="none"/>
                <w:lang w:val="en-US" w:eastAsia="zh-CN"/>
              </w:rPr>
            </w:pPr>
          </w:p>
          <w:p w14:paraId="765BA47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楼层标识立体字</w:t>
            </w:r>
          </w:p>
          <w:p w14:paraId="7EC6F954">
            <w:pPr>
              <w:spacing w:line="240" w:lineRule="auto"/>
              <w:jc w:val="center"/>
              <w:rPr>
                <w:rFonts w:hint="eastAsia" w:ascii="宋体" w:hAnsi="宋体" w:eastAsia="宋体" w:cs="宋体"/>
                <w:sz w:val="21"/>
                <w:szCs w:val="21"/>
                <w:highlight w:val="none"/>
                <w:lang w:val="en-US" w:eastAsia="zh-CN"/>
              </w:rPr>
            </w:pPr>
          </w:p>
        </w:tc>
        <w:tc>
          <w:tcPr>
            <w:tcW w:w="806" w:type="pct"/>
            <w:noWrap w:val="0"/>
            <w:vAlign w:val="center"/>
          </w:tcPr>
          <w:p w14:paraId="6960EA53">
            <w:pPr>
              <w:spacing w:line="240" w:lineRule="auto"/>
              <w:jc w:val="center"/>
              <w:rPr>
                <w:rFonts w:hint="eastAsia" w:ascii="宋体" w:hAnsi="宋体" w:eastAsia="宋体" w:cs="宋体"/>
                <w:sz w:val="21"/>
                <w:szCs w:val="21"/>
                <w:highlight w:val="none"/>
                <w:lang w:val="en-US" w:eastAsia="zh-CN"/>
              </w:rPr>
            </w:pPr>
          </w:p>
          <w:p w14:paraId="347D337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A座34块</w:t>
            </w:r>
          </w:p>
          <w:p w14:paraId="5CFA588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B座44块</w:t>
            </w:r>
          </w:p>
          <w:p w14:paraId="35F8C4B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小计78块</w:t>
            </w:r>
          </w:p>
        </w:tc>
        <w:tc>
          <w:tcPr>
            <w:tcW w:w="1124" w:type="pct"/>
            <w:noWrap w:val="0"/>
            <w:vAlign w:val="center"/>
          </w:tcPr>
          <w:p w14:paraId="5E366A1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30x20cm</w:t>
            </w:r>
          </w:p>
        </w:tc>
        <w:tc>
          <w:tcPr>
            <w:tcW w:w="1279" w:type="pct"/>
            <w:noWrap w:val="0"/>
            <w:vAlign w:val="center"/>
          </w:tcPr>
          <w:p w14:paraId="3C5F6A6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6D7715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6BC4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32" w:type="pct"/>
            <w:noWrap w:val="0"/>
            <w:vAlign w:val="center"/>
          </w:tcPr>
          <w:p w14:paraId="790D2E3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368" w:type="pct"/>
            <w:vMerge w:val="continue"/>
            <w:noWrap w:val="0"/>
            <w:vAlign w:val="center"/>
          </w:tcPr>
          <w:p w14:paraId="61D74122">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16027F7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楼层功能指示牌</w:t>
            </w:r>
          </w:p>
        </w:tc>
        <w:tc>
          <w:tcPr>
            <w:tcW w:w="806" w:type="pct"/>
            <w:noWrap w:val="0"/>
            <w:vAlign w:val="center"/>
          </w:tcPr>
          <w:p w14:paraId="571A1D2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337536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w:t>
            </w:r>
          </w:p>
          <w:p w14:paraId="2F1C27F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小计39块</w:t>
            </w:r>
          </w:p>
        </w:tc>
        <w:tc>
          <w:tcPr>
            <w:tcW w:w="1124" w:type="pct"/>
            <w:noWrap w:val="0"/>
            <w:vAlign w:val="center"/>
          </w:tcPr>
          <w:p w14:paraId="4265F4B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130x50cm</w:t>
            </w:r>
          </w:p>
        </w:tc>
        <w:tc>
          <w:tcPr>
            <w:tcW w:w="1279" w:type="pct"/>
            <w:noWrap w:val="0"/>
            <w:vAlign w:val="center"/>
          </w:tcPr>
          <w:p w14:paraId="09B31F1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不锈钢烤漆底座,丝印内容，烤漆立体字</w:t>
            </w:r>
          </w:p>
        </w:tc>
      </w:tr>
      <w:tr w14:paraId="5ABD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noWrap w:val="0"/>
            <w:vAlign w:val="center"/>
          </w:tcPr>
          <w:p w14:paraId="68B26E3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368" w:type="pct"/>
            <w:vMerge w:val="continue"/>
            <w:noWrap w:val="0"/>
            <w:vAlign w:val="center"/>
          </w:tcPr>
          <w:p w14:paraId="718DBF26">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7BB15A7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货梯入口指示立体字</w:t>
            </w:r>
          </w:p>
        </w:tc>
        <w:tc>
          <w:tcPr>
            <w:tcW w:w="806" w:type="pct"/>
            <w:noWrap w:val="0"/>
            <w:vAlign w:val="center"/>
          </w:tcPr>
          <w:p w14:paraId="6825624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3FBAF83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w:t>
            </w:r>
          </w:p>
          <w:p w14:paraId="7ABFF46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小计39块</w:t>
            </w:r>
          </w:p>
        </w:tc>
        <w:tc>
          <w:tcPr>
            <w:tcW w:w="1124" w:type="pct"/>
            <w:noWrap w:val="0"/>
            <w:vAlign w:val="center"/>
          </w:tcPr>
          <w:p w14:paraId="363475A5">
            <w:pPr>
              <w:spacing w:line="240" w:lineRule="auto"/>
              <w:jc w:val="center"/>
              <w:rPr>
                <w:rFonts w:hint="eastAsia" w:ascii="宋体" w:hAnsi="宋体" w:eastAsia="宋体" w:cs="宋体"/>
                <w:sz w:val="21"/>
                <w:szCs w:val="21"/>
                <w:highlight w:val="none"/>
                <w:lang w:val="en-US" w:eastAsia="zh-CN"/>
              </w:rPr>
            </w:pPr>
          </w:p>
          <w:p w14:paraId="40A0F2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12x35cm</w:t>
            </w:r>
          </w:p>
          <w:p w14:paraId="6583FBDF">
            <w:pPr>
              <w:spacing w:line="240" w:lineRule="auto"/>
              <w:jc w:val="center"/>
              <w:rPr>
                <w:rFonts w:hint="eastAsia" w:ascii="宋体" w:hAnsi="宋体" w:eastAsia="宋体" w:cs="宋体"/>
                <w:sz w:val="21"/>
                <w:szCs w:val="21"/>
                <w:highlight w:val="none"/>
                <w:lang w:val="en-US" w:eastAsia="zh-CN"/>
              </w:rPr>
            </w:pPr>
          </w:p>
        </w:tc>
        <w:tc>
          <w:tcPr>
            <w:tcW w:w="1279" w:type="pct"/>
            <w:noWrap w:val="0"/>
            <w:vAlign w:val="center"/>
          </w:tcPr>
          <w:p w14:paraId="440D417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0E117D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423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77F3FE4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368" w:type="pct"/>
            <w:vMerge w:val="continue"/>
            <w:noWrap w:val="0"/>
            <w:vAlign w:val="center"/>
          </w:tcPr>
          <w:p w14:paraId="143DC66E">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3915A70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货梯标识牌</w:t>
            </w:r>
          </w:p>
          <w:p w14:paraId="22B031F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（楼层范围）</w:t>
            </w:r>
          </w:p>
        </w:tc>
        <w:tc>
          <w:tcPr>
            <w:tcW w:w="806" w:type="pct"/>
            <w:noWrap w:val="0"/>
            <w:vAlign w:val="center"/>
          </w:tcPr>
          <w:p w14:paraId="1DD7873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670A565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w:t>
            </w:r>
          </w:p>
          <w:p w14:paraId="0FB2D4A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小计39块</w:t>
            </w:r>
          </w:p>
        </w:tc>
        <w:tc>
          <w:tcPr>
            <w:tcW w:w="1124" w:type="pct"/>
            <w:noWrap w:val="0"/>
            <w:vAlign w:val="center"/>
          </w:tcPr>
          <w:p w14:paraId="263646D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35x25cm</w:t>
            </w:r>
          </w:p>
        </w:tc>
        <w:tc>
          <w:tcPr>
            <w:tcW w:w="1279" w:type="pct"/>
            <w:noWrap w:val="0"/>
            <w:vAlign w:val="center"/>
          </w:tcPr>
          <w:p w14:paraId="6EBED56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3F435B1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7501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432" w:type="pct"/>
            <w:noWrap w:val="0"/>
            <w:vAlign w:val="center"/>
          </w:tcPr>
          <w:p w14:paraId="2FDD5CC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368" w:type="pct"/>
            <w:vMerge w:val="continue"/>
            <w:noWrap w:val="0"/>
            <w:vAlign w:val="center"/>
          </w:tcPr>
          <w:p w14:paraId="615F7517">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2352500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裙楼电梯编号</w:t>
            </w:r>
          </w:p>
        </w:tc>
        <w:tc>
          <w:tcPr>
            <w:tcW w:w="806" w:type="pct"/>
            <w:noWrap w:val="0"/>
            <w:vAlign w:val="center"/>
          </w:tcPr>
          <w:p w14:paraId="4C29932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A座102块</w:t>
            </w:r>
          </w:p>
          <w:p w14:paraId="5791B48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B座132块</w:t>
            </w:r>
          </w:p>
          <w:p w14:paraId="38DC406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小计234块</w:t>
            </w:r>
          </w:p>
        </w:tc>
        <w:tc>
          <w:tcPr>
            <w:tcW w:w="1124" w:type="pct"/>
            <w:noWrap w:val="0"/>
            <w:vAlign w:val="center"/>
          </w:tcPr>
          <w:p w14:paraId="7365AC2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15x15cm</w:t>
            </w:r>
          </w:p>
        </w:tc>
        <w:tc>
          <w:tcPr>
            <w:tcW w:w="1279" w:type="pct"/>
            <w:noWrap w:val="0"/>
            <w:vAlign w:val="center"/>
          </w:tcPr>
          <w:p w14:paraId="1D4D0D2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CAC5B8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793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3AB99D4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368" w:type="pct"/>
            <w:vMerge w:val="continue"/>
            <w:noWrap w:val="0"/>
            <w:vAlign w:val="center"/>
          </w:tcPr>
          <w:p w14:paraId="25C101C7">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2B21EF2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高楼层范围</w:t>
            </w:r>
          </w:p>
        </w:tc>
        <w:tc>
          <w:tcPr>
            <w:tcW w:w="806" w:type="pct"/>
            <w:noWrap w:val="0"/>
            <w:vAlign w:val="center"/>
          </w:tcPr>
          <w:p w14:paraId="5907940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44块</w:t>
            </w:r>
          </w:p>
        </w:tc>
        <w:tc>
          <w:tcPr>
            <w:tcW w:w="1124" w:type="pct"/>
            <w:noWrap w:val="0"/>
            <w:vAlign w:val="center"/>
          </w:tcPr>
          <w:p w14:paraId="2A1B848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50x20cm组合</w:t>
            </w:r>
          </w:p>
        </w:tc>
        <w:tc>
          <w:tcPr>
            <w:tcW w:w="1279" w:type="pct"/>
            <w:noWrap w:val="0"/>
            <w:vAlign w:val="center"/>
          </w:tcPr>
          <w:p w14:paraId="662A3B1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DFF6B2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25E1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7407334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368" w:type="pct"/>
            <w:vMerge w:val="continue"/>
            <w:noWrap w:val="0"/>
            <w:vAlign w:val="center"/>
          </w:tcPr>
          <w:p w14:paraId="13718568">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56055E0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低楼层范围</w:t>
            </w:r>
          </w:p>
        </w:tc>
        <w:tc>
          <w:tcPr>
            <w:tcW w:w="806" w:type="pct"/>
            <w:noWrap w:val="0"/>
            <w:vAlign w:val="center"/>
          </w:tcPr>
          <w:p w14:paraId="27F55C0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44块</w:t>
            </w:r>
          </w:p>
        </w:tc>
        <w:tc>
          <w:tcPr>
            <w:tcW w:w="1124" w:type="pct"/>
            <w:noWrap w:val="0"/>
            <w:vAlign w:val="center"/>
          </w:tcPr>
          <w:p w14:paraId="44EC137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50x20cm组合</w:t>
            </w:r>
          </w:p>
        </w:tc>
        <w:tc>
          <w:tcPr>
            <w:tcW w:w="1279" w:type="pct"/>
            <w:noWrap w:val="0"/>
            <w:vAlign w:val="center"/>
          </w:tcPr>
          <w:p w14:paraId="5EEB7D3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2F4A2BF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40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20A6F81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368" w:type="pct"/>
            <w:vMerge w:val="restart"/>
            <w:noWrap w:val="0"/>
            <w:vAlign w:val="center"/>
          </w:tcPr>
          <w:p w14:paraId="4B989B2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塔楼</w:t>
            </w:r>
          </w:p>
        </w:tc>
        <w:tc>
          <w:tcPr>
            <w:tcW w:w="988" w:type="pct"/>
            <w:shd w:val="clear" w:color="auto" w:fill="auto"/>
            <w:noWrap w:val="0"/>
            <w:vAlign w:val="center"/>
          </w:tcPr>
          <w:p w14:paraId="298EB71C">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17楼集团背景墙字</w:t>
            </w:r>
          </w:p>
        </w:tc>
        <w:tc>
          <w:tcPr>
            <w:tcW w:w="806" w:type="pct"/>
            <w:shd w:val="clear" w:color="auto" w:fill="auto"/>
            <w:noWrap w:val="0"/>
            <w:vAlign w:val="center"/>
          </w:tcPr>
          <w:p w14:paraId="010C8C6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shd w:val="clear" w:color="auto" w:fill="auto"/>
            <w:noWrap w:val="0"/>
            <w:vAlign w:val="center"/>
          </w:tcPr>
          <w:p w14:paraId="66463BE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LOGO77X77CM</w:t>
            </w:r>
          </w:p>
          <w:p w14:paraId="1B0D08D0">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中文字255x35cm</w:t>
            </w:r>
          </w:p>
        </w:tc>
        <w:tc>
          <w:tcPr>
            <w:tcW w:w="1279" w:type="pct"/>
            <w:shd w:val="clear" w:color="auto" w:fill="auto"/>
            <w:noWrap w:val="0"/>
            <w:vAlign w:val="center"/>
          </w:tcPr>
          <w:p w14:paraId="396D51E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tc>
      </w:tr>
      <w:tr w14:paraId="35C8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32" w:type="pct"/>
            <w:noWrap w:val="0"/>
            <w:vAlign w:val="center"/>
          </w:tcPr>
          <w:p w14:paraId="102A589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368" w:type="pct"/>
            <w:vMerge w:val="continue"/>
            <w:noWrap w:val="0"/>
            <w:vAlign w:val="center"/>
          </w:tcPr>
          <w:p w14:paraId="07797A65">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3F16E15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21楼会议厅背景墙</w:t>
            </w:r>
          </w:p>
          <w:p w14:paraId="724BD17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为人民服务字体</w:t>
            </w:r>
          </w:p>
        </w:tc>
        <w:tc>
          <w:tcPr>
            <w:tcW w:w="806" w:type="pct"/>
            <w:noWrap w:val="0"/>
            <w:vAlign w:val="center"/>
          </w:tcPr>
          <w:p w14:paraId="0139A3A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1124" w:type="pct"/>
            <w:noWrap w:val="0"/>
            <w:vAlign w:val="center"/>
          </w:tcPr>
          <w:p w14:paraId="404558F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315x96cm</w:t>
            </w:r>
          </w:p>
        </w:tc>
        <w:tc>
          <w:tcPr>
            <w:tcW w:w="1279" w:type="pct"/>
            <w:noWrap w:val="0"/>
            <w:vAlign w:val="center"/>
          </w:tcPr>
          <w:p w14:paraId="482BD10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tc>
      </w:tr>
      <w:tr w14:paraId="655A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7F93982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368" w:type="pct"/>
            <w:vMerge w:val="continue"/>
            <w:noWrap w:val="0"/>
            <w:vAlign w:val="center"/>
          </w:tcPr>
          <w:p w14:paraId="47B9CC9F">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522F618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办公区科室牌</w:t>
            </w:r>
          </w:p>
        </w:tc>
        <w:tc>
          <w:tcPr>
            <w:tcW w:w="806" w:type="pct"/>
            <w:noWrap w:val="0"/>
            <w:vAlign w:val="center"/>
          </w:tcPr>
          <w:p w14:paraId="17EDE84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260块</w:t>
            </w:r>
          </w:p>
        </w:tc>
        <w:tc>
          <w:tcPr>
            <w:tcW w:w="1124" w:type="pct"/>
            <w:noWrap w:val="0"/>
            <w:vAlign w:val="center"/>
          </w:tcPr>
          <w:p w14:paraId="2524B6C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35x30cm</w:t>
            </w:r>
          </w:p>
        </w:tc>
        <w:tc>
          <w:tcPr>
            <w:tcW w:w="1279" w:type="pct"/>
            <w:noWrap w:val="0"/>
            <w:vAlign w:val="center"/>
          </w:tcPr>
          <w:p w14:paraId="4C112A7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9712CF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219C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5441B71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368" w:type="pct"/>
            <w:vMerge w:val="continue"/>
            <w:noWrap w:val="0"/>
            <w:vAlign w:val="center"/>
          </w:tcPr>
          <w:p w14:paraId="429176D8">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4ACE053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21楼会议室提示</w:t>
            </w:r>
          </w:p>
        </w:tc>
        <w:tc>
          <w:tcPr>
            <w:tcW w:w="806" w:type="pct"/>
            <w:noWrap w:val="0"/>
            <w:vAlign w:val="center"/>
          </w:tcPr>
          <w:p w14:paraId="713E207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1组</w:t>
            </w:r>
          </w:p>
        </w:tc>
        <w:tc>
          <w:tcPr>
            <w:tcW w:w="1124" w:type="pct"/>
            <w:noWrap w:val="0"/>
            <w:vAlign w:val="center"/>
          </w:tcPr>
          <w:p w14:paraId="2A6D176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1279" w:type="pct"/>
            <w:noWrap w:val="0"/>
            <w:vAlign w:val="center"/>
          </w:tcPr>
          <w:p w14:paraId="4AC441B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34D7DCD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150B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32" w:type="pct"/>
            <w:noWrap w:val="0"/>
            <w:vAlign w:val="center"/>
          </w:tcPr>
          <w:p w14:paraId="023CB7E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368" w:type="pct"/>
            <w:vMerge w:val="continue"/>
            <w:noWrap w:val="0"/>
            <w:vAlign w:val="center"/>
          </w:tcPr>
          <w:p w14:paraId="45D8E892">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17F66A6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会议室门牌</w:t>
            </w:r>
          </w:p>
        </w:tc>
        <w:tc>
          <w:tcPr>
            <w:tcW w:w="806" w:type="pct"/>
            <w:noWrap w:val="0"/>
            <w:vAlign w:val="center"/>
          </w:tcPr>
          <w:p w14:paraId="1D12895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1个</w:t>
            </w:r>
          </w:p>
        </w:tc>
        <w:tc>
          <w:tcPr>
            <w:tcW w:w="1124" w:type="pct"/>
            <w:noWrap w:val="0"/>
            <w:vAlign w:val="center"/>
          </w:tcPr>
          <w:p w14:paraId="046DC17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35x25cm</w:t>
            </w:r>
          </w:p>
        </w:tc>
        <w:tc>
          <w:tcPr>
            <w:tcW w:w="1279" w:type="pct"/>
            <w:noWrap w:val="0"/>
            <w:vAlign w:val="center"/>
          </w:tcPr>
          <w:p w14:paraId="1C101EC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602B57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3B37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32" w:type="pct"/>
            <w:noWrap w:val="0"/>
            <w:vAlign w:val="center"/>
          </w:tcPr>
          <w:p w14:paraId="66322C8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368" w:type="pct"/>
            <w:vMerge w:val="continue"/>
            <w:noWrap w:val="0"/>
            <w:vAlign w:val="center"/>
          </w:tcPr>
          <w:p w14:paraId="1C8C972D">
            <w:pPr>
              <w:spacing w:line="240" w:lineRule="auto"/>
              <w:jc w:val="center"/>
              <w:rPr>
                <w:rFonts w:hint="eastAsia" w:ascii="宋体" w:hAnsi="宋体" w:eastAsia="宋体" w:cs="宋体"/>
                <w:sz w:val="21"/>
                <w:szCs w:val="21"/>
                <w:highlight w:val="none"/>
                <w:lang w:val="en-US" w:eastAsia="zh-CN"/>
              </w:rPr>
            </w:pPr>
          </w:p>
        </w:tc>
        <w:tc>
          <w:tcPr>
            <w:tcW w:w="988" w:type="pct"/>
            <w:noWrap w:val="0"/>
            <w:vAlign w:val="center"/>
          </w:tcPr>
          <w:p w14:paraId="6AC2E07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3楼会议室提示</w:t>
            </w:r>
          </w:p>
        </w:tc>
        <w:tc>
          <w:tcPr>
            <w:tcW w:w="806" w:type="pct"/>
            <w:noWrap w:val="0"/>
            <w:vAlign w:val="center"/>
          </w:tcPr>
          <w:p w14:paraId="4CCB54B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1组</w:t>
            </w:r>
          </w:p>
        </w:tc>
        <w:tc>
          <w:tcPr>
            <w:tcW w:w="1124" w:type="pct"/>
            <w:noWrap w:val="0"/>
            <w:vAlign w:val="center"/>
          </w:tcPr>
          <w:p w14:paraId="2E62AFA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1279" w:type="pct"/>
            <w:noWrap w:val="0"/>
            <w:vAlign w:val="center"/>
          </w:tcPr>
          <w:p w14:paraId="578CBB4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A9118F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44E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3384B3B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368" w:type="pct"/>
            <w:vMerge w:val="continue"/>
            <w:noWrap w:val="0"/>
            <w:vAlign w:val="center"/>
          </w:tcPr>
          <w:p w14:paraId="6FBD98DA">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4419AEDB">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会议室门牌</w:t>
            </w:r>
          </w:p>
        </w:tc>
        <w:tc>
          <w:tcPr>
            <w:tcW w:w="806" w:type="pct"/>
            <w:noWrap w:val="0"/>
            <w:vAlign w:val="center"/>
          </w:tcPr>
          <w:p w14:paraId="05E594B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1个</w:t>
            </w:r>
          </w:p>
        </w:tc>
        <w:tc>
          <w:tcPr>
            <w:tcW w:w="1124" w:type="pct"/>
            <w:noWrap w:val="0"/>
            <w:vAlign w:val="center"/>
          </w:tcPr>
          <w:p w14:paraId="0A22654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35x25cm</w:t>
            </w:r>
          </w:p>
        </w:tc>
        <w:tc>
          <w:tcPr>
            <w:tcW w:w="1279" w:type="pct"/>
            <w:noWrap w:val="0"/>
            <w:vAlign w:val="center"/>
          </w:tcPr>
          <w:p w14:paraId="4CB00C5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B1246C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184E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0477CF7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368" w:type="pct"/>
            <w:vMerge w:val="continue"/>
            <w:noWrap w:val="0"/>
            <w:vAlign w:val="center"/>
          </w:tcPr>
          <w:p w14:paraId="4684722E">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8DB0FB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接待室</w:t>
            </w:r>
          </w:p>
        </w:tc>
        <w:tc>
          <w:tcPr>
            <w:tcW w:w="806" w:type="pct"/>
            <w:noWrap w:val="0"/>
            <w:vAlign w:val="center"/>
          </w:tcPr>
          <w:p w14:paraId="585A07D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10个</w:t>
            </w:r>
          </w:p>
        </w:tc>
        <w:tc>
          <w:tcPr>
            <w:tcW w:w="1124" w:type="pct"/>
            <w:noWrap w:val="0"/>
            <w:vAlign w:val="center"/>
          </w:tcPr>
          <w:p w14:paraId="5472FB7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35x25cm</w:t>
            </w:r>
          </w:p>
        </w:tc>
        <w:tc>
          <w:tcPr>
            <w:tcW w:w="1279" w:type="pct"/>
            <w:noWrap w:val="0"/>
            <w:vAlign w:val="center"/>
          </w:tcPr>
          <w:p w14:paraId="6E06617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7F86D1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7DAC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23BAF8C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368" w:type="pct"/>
            <w:vMerge w:val="continue"/>
            <w:noWrap w:val="0"/>
            <w:vAlign w:val="center"/>
          </w:tcPr>
          <w:p w14:paraId="358B97A9">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7035E9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3楼餐厅提示牌</w:t>
            </w:r>
          </w:p>
        </w:tc>
        <w:tc>
          <w:tcPr>
            <w:tcW w:w="806" w:type="pct"/>
            <w:noWrap w:val="0"/>
            <w:vAlign w:val="center"/>
          </w:tcPr>
          <w:p w14:paraId="417355C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1个</w:t>
            </w:r>
          </w:p>
        </w:tc>
        <w:tc>
          <w:tcPr>
            <w:tcW w:w="1124" w:type="pct"/>
            <w:noWrap w:val="0"/>
            <w:vAlign w:val="center"/>
          </w:tcPr>
          <w:p w14:paraId="353EFAD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1279" w:type="pct"/>
            <w:noWrap w:val="0"/>
            <w:vAlign w:val="center"/>
          </w:tcPr>
          <w:p w14:paraId="020D949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305C7DB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27E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5D82577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368" w:type="pct"/>
            <w:vMerge w:val="continue"/>
            <w:noWrap w:val="0"/>
            <w:vAlign w:val="center"/>
          </w:tcPr>
          <w:p w14:paraId="57B3FDA3">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4B3C525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茶水间提示牌</w:t>
            </w:r>
          </w:p>
        </w:tc>
        <w:tc>
          <w:tcPr>
            <w:tcW w:w="806" w:type="pct"/>
            <w:noWrap w:val="0"/>
            <w:vAlign w:val="center"/>
          </w:tcPr>
          <w:p w14:paraId="4401001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76B8221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1B592F8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35X10CM</w:t>
            </w:r>
          </w:p>
        </w:tc>
        <w:tc>
          <w:tcPr>
            <w:tcW w:w="1279" w:type="pct"/>
            <w:noWrap w:val="0"/>
            <w:vAlign w:val="center"/>
          </w:tcPr>
          <w:p w14:paraId="25E5865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03C5C8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5726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32" w:type="pct"/>
            <w:noWrap w:val="0"/>
            <w:vAlign w:val="center"/>
          </w:tcPr>
          <w:p w14:paraId="0895DFC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368" w:type="pct"/>
            <w:vMerge w:val="continue"/>
            <w:noWrap w:val="0"/>
            <w:vAlign w:val="center"/>
          </w:tcPr>
          <w:p w14:paraId="0EA32429">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5CD1EFF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清洁室</w:t>
            </w:r>
          </w:p>
        </w:tc>
        <w:tc>
          <w:tcPr>
            <w:tcW w:w="806" w:type="pct"/>
            <w:noWrap w:val="0"/>
            <w:vAlign w:val="center"/>
          </w:tcPr>
          <w:p w14:paraId="20D74C6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4DF3E4E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0244822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35x15cm</w:t>
            </w:r>
          </w:p>
        </w:tc>
        <w:tc>
          <w:tcPr>
            <w:tcW w:w="1279" w:type="pct"/>
            <w:noWrap w:val="0"/>
            <w:vAlign w:val="center"/>
          </w:tcPr>
          <w:p w14:paraId="14AE7C7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790F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584E480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368" w:type="pct"/>
            <w:vMerge w:val="continue"/>
            <w:noWrap w:val="0"/>
            <w:vAlign w:val="center"/>
          </w:tcPr>
          <w:p w14:paraId="379B1559">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72EBEA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洗手间</w:t>
            </w:r>
          </w:p>
        </w:tc>
        <w:tc>
          <w:tcPr>
            <w:tcW w:w="806" w:type="pct"/>
            <w:noWrap w:val="0"/>
            <w:vAlign w:val="center"/>
          </w:tcPr>
          <w:p w14:paraId="5311675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76套</w:t>
            </w:r>
          </w:p>
        </w:tc>
        <w:tc>
          <w:tcPr>
            <w:tcW w:w="1124" w:type="pct"/>
            <w:noWrap w:val="0"/>
            <w:vAlign w:val="center"/>
          </w:tcPr>
          <w:p w14:paraId="3639D90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男35x25cm1个</w:t>
            </w:r>
          </w:p>
          <w:p w14:paraId="086F716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女35x25cm1个</w:t>
            </w:r>
          </w:p>
        </w:tc>
        <w:tc>
          <w:tcPr>
            <w:tcW w:w="1279" w:type="pct"/>
            <w:noWrap w:val="0"/>
            <w:vAlign w:val="center"/>
          </w:tcPr>
          <w:p w14:paraId="3F2605E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不锈钢烤漆立体字</w:t>
            </w:r>
          </w:p>
        </w:tc>
      </w:tr>
      <w:tr w14:paraId="4A08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5567E8C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368" w:type="pct"/>
            <w:vMerge w:val="continue"/>
            <w:noWrap w:val="0"/>
            <w:vAlign w:val="center"/>
          </w:tcPr>
          <w:p w14:paraId="523F20C9">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CB54C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强电井</w:t>
            </w:r>
          </w:p>
        </w:tc>
        <w:tc>
          <w:tcPr>
            <w:tcW w:w="806" w:type="pct"/>
            <w:noWrap w:val="0"/>
            <w:vAlign w:val="center"/>
          </w:tcPr>
          <w:p w14:paraId="498E15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6D2AFBC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05AED15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1279" w:type="pct"/>
            <w:noWrap w:val="0"/>
            <w:vAlign w:val="center"/>
          </w:tcPr>
          <w:p w14:paraId="151C006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53C5701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64A7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79DCF7E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368" w:type="pct"/>
            <w:vMerge w:val="continue"/>
            <w:noWrap w:val="0"/>
            <w:vAlign w:val="center"/>
          </w:tcPr>
          <w:p w14:paraId="5D14D7B2">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586E9EE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弱电井</w:t>
            </w:r>
          </w:p>
        </w:tc>
        <w:tc>
          <w:tcPr>
            <w:tcW w:w="806" w:type="pct"/>
            <w:noWrap w:val="0"/>
            <w:vAlign w:val="center"/>
          </w:tcPr>
          <w:p w14:paraId="6A0DCCB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0012C2F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4E00A01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1279" w:type="pct"/>
            <w:noWrap w:val="0"/>
            <w:vAlign w:val="center"/>
          </w:tcPr>
          <w:p w14:paraId="15BF5C1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5273512">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293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5055A7DA">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368" w:type="pct"/>
            <w:vMerge w:val="continue"/>
            <w:noWrap w:val="0"/>
            <w:vAlign w:val="center"/>
          </w:tcPr>
          <w:p w14:paraId="309E8023">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3F9F074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空调管井</w:t>
            </w:r>
          </w:p>
        </w:tc>
        <w:tc>
          <w:tcPr>
            <w:tcW w:w="806" w:type="pct"/>
            <w:noWrap w:val="0"/>
            <w:vAlign w:val="center"/>
          </w:tcPr>
          <w:p w14:paraId="71AEACE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7C0B4F9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6BB5A03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1279" w:type="pct"/>
            <w:noWrap w:val="0"/>
            <w:vAlign w:val="center"/>
          </w:tcPr>
          <w:p w14:paraId="1F71AE6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C599CF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001A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08F35FE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w:t>
            </w:r>
          </w:p>
        </w:tc>
        <w:tc>
          <w:tcPr>
            <w:tcW w:w="368" w:type="pct"/>
            <w:vMerge w:val="continue"/>
            <w:noWrap w:val="0"/>
            <w:vAlign w:val="center"/>
          </w:tcPr>
          <w:p w14:paraId="2C7BFAA1">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2E7FA6A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水井</w:t>
            </w:r>
          </w:p>
        </w:tc>
        <w:tc>
          <w:tcPr>
            <w:tcW w:w="806" w:type="pct"/>
            <w:noWrap w:val="0"/>
            <w:vAlign w:val="center"/>
          </w:tcPr>
          <w:p w14:paraId="57B612C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7DC6D44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noWrap w:val="0"/>
            <w:vAlign w:val="center"/>
          </w:tcPr>
          <w:p w14:paraId="063BB3C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1279" w:type="pct"/>
            <w:noWrap w:val="0"/>
            <w:vAlign w:val="center"/>
          </w:tcPr>
          <w:p w14:paraId="684864E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8DC879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634F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485418F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w:t>
            </w:r>
          </w:p>
        </w:tc>
        <w:tc>
          <w:tcPr>
            <w:tcW w:w="368" w:type="pct"/>
            <w:vMerge w:val="continue"/>
            <w:noWrap w:val="0"/>
            <w:vAlign w:val="center"/>
          </w:tcPr>
          <w:p w14:paraId="19DE4328">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3A8CFCC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配电间</w:t>
            </w:r>
          </w:p>
        </w:tc>
        <w:tc>
          <w:tcPr>
            <w:tcW w:w="806" w:type="pct"/>
            <w:noWrap w:val="0"/>
            <w:vAlign w:val="center"/>
          </w:tcPr>
          <w:p w14:paraId="4F1E072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525738B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43A984B2">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1279" w:type="pct"/>
            <w:shd w:val="clear" w:color="auto" w:fill="auto"/>
            <w:noWrap w:val="0"/>
            <w:vAlign w:val="center"/>
          </w:tcPr>
          <w:p w14:paraId="1FE27CC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8E8238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85D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74F25FA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w:t>
            </w:r>
          </w:p>
        </w:tc>
        <w:tc>
          <w:tcPr>
            <w:tcW w:w="368" w:type="pct"/>
            <w:vMerge w:val="continue"/>
            <w:noWrap w:val="0"/>
            <w:vAlign w:val="center"/>
          </w:tcPr>
          <w:p w14:paraId="42A4126E">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2DACEAD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机房</w:t>
            </w:r>
          </w:p>
        </w:tc>
        <w:tc>
          <w:tcPr>
            <w:tcW w:w="806" w:type="pct"/>
            <w:noWrap w:val="0"/>
            <w:vAlign w:val="center"/>
          </w:tcPr>
          <w:p w14:paraId="12EC9D5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7FECF08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03108C30">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1279" w:type="pct"/>
            <w:shd w:val="clear" w:color="auto" w:fill="auto"/>
            <w:noWrap w:val="0"/>
            <w:vAlign w:val="center"/>
          </w:tcPr>
          <w:p w14:paraId="720AD4E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1A086C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20C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41A28C5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368" w:type="pct"/>
            <w:vMerge w:val="continue"/>
            <w:noWrap w:val="0"/>
            <w:vAlign w:val="center"/>
          </w:tcPr>
          <w:p w14:paraId="50FDD947">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01989CF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空调机房</w:t>
            </w:r>
          </w:p>
        </w:tc>
        <w:tc>
          <w:tcPr>
            <w:tcW w:w="806" w:type="pct"/>
            <w:noWrap w:val="0"/>
            <w:vAlign w:val="center"/>
          </w:tcPr>
          <w:p w14:paraId="38EAAC4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4F49F06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5489331B">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30x10组合</w:t>
            </w:r>
          </w:p>
        </w:tc>
        <w:tc>
          <w:tcPr>
            <w:tcW w:w="1279" w:type="pct"/>
            <w:shd w:val="clear" w:color="auto" w:fill="auto"/>
            <w:noWrap w:val="0"/>
            <w:vAlign w:val="center"/>
          </w:tcPr>
          <w:p w14:paraId="73578D5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8E163E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1ED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32" w:type="pct"/>
            <w:noWrap w:val="0"/>
            <w:vAlign w:val="center"/>
          </w:tcPr>
          <w:p w14:paraId="50BC7E1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p>
        </w:tc>
        <w:tc>
          <w:tcPr>
            <w:tcW w:w="368" w:type="pct"/>
            <w:vMerge w:val="continue"/>
            <w:noWrap w:val="0"/>
            <w:vAlign w:val="center"/>
          </w:tcPr>
          <w:p w14:paraId="0C7CDB43">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1A10D46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高压房</w:t>
            </w:r>
          </w:p>
        </w:tc>
        <w:tc>
          <w:tcPr>
            <w:tcW w:w="806" w:type="pct"/>
            <w:noWrap w:val="0"/>
            <w:vAlign w:val="center"/>
          </w:tcPr>
          <w:p w14:paraId="37107A1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64D8C31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325108E6">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1279" w:type="pct"/>
            <w:shd w:val="clear" w:color="auto" w:fill="auto"/>
            <w:noWrap w:val="0"/>
            <w:vAlign w:val="center"/>
          </w:tcPr>
          <w:p w14:paraId="2034541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A1F03F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4EC3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14C7E191">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w:t>
            </w:r>
          </w:p>
        </w:tc>
        <w:tc>
          <w:tcPr>
            <w:tcW w:w="368" w:type="pct"/>
            <w:vMerge w:val="continue"/>
            <w:noWrap w:val="0"/>
            <w:vAlign w:val="center"/>
          </w:tcPr>
          <w:p w14:paraId="7A9F48E6">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38A4858">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消防栓</w:t>
            </w:r>
          </w:p>
        </w:tc>
        <w:tc>
          <w:tcPr>
            <w:tcW w:w="806" w:type="pct"/>
            <w:noWrap w:val="0"/>
            <w:vAlign w:val="center"/>
          </w:tcPr>
          <w:p w14:paraId="26A10E1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0A8EC12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624CA71F">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1279" w:type="pct"/>
            <w:shd w:val="clear" w:color="auto" w:fill="auto"/>
            <w:noWrap w:val="0"/>
            <w:vAlign w:val="center"/>
          </w:tcPr>
          <w:p w14:paraId="720098E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2A4C10B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6B65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6956281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w:t>
            </w:r>
          </w:p>
        </w:tc>
        <w:tc>
          <w:tcPr>
            <w:tcW w:w="368" w:type="pct"/>
            <w:vMerge w:val="continue"/>
            <w:noWrap w:val="0"/>
            <w:vAlign w:val="center"/>
          </w:tcPr>
          <w:p w14:paraId="67A45ACC">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11BD7EC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灭火器</w:t>
            </w:r>
          </w:p>
        </w:tc>
        <w:tc>
          <w:tcPr>
            <w:tcW w:w="806" w:type="pct"/>
            <w:noWrap w:val="0"/>
            <w:vAlign w:val="center"/>
          </w:tcPr>
          <w:p w14:paraId="4C2401E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A座13块</w:t>
            </w:r>
          </w:p>
          <w:p w14:paraId="24A4102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B座19块小计32块</w:t>
            </w:r>
          </w:p>
        </w:tc>
        <w:tc>
          <w:tcPr>
            <w:tcW w:w="1124" w:type="pct"/>
            <w:shd w:val="clear" w:color="auto" w:fill="auto"/>
            <w:noWrap w:val="0"/>
            <w:vAlign w:val="center"/>
          </w:tcPr>
          <w:p w14:paraId="5944DEBD">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1279" w:type="pct"/>
            <w:shd w:val="clear" w:color="auto" w:fill="auto"/>
            <w:noWrap w:val="0"/>
            <w:vAlign w:val="center"/>
          </w:tcPr>
          <w:p w14:paraId="7D7EEE34">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94246F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r>
      <w:tr w14:paraId="3025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6DE359E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w:t>
            </w:r>
          </w:p>
        </w:tc>
        <w:tc>
          <w:tcPr>
            <w:tcW w:w="368" w:type="pct"/>
            <w:vMerge w:val="restart"/>
            <w:noWrap w:val="0"/>
            <w:vAlign w:val="center"/>
          </w:tcPr>
          <w:p w14:paraId="5853171D">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w:t>
            </w:r>
          </w:p>
        </w:tc>
        <w:tc>
          <w:tcPr>
            <w:tcW w:w="988" w:type="pct"/>
            <w:shd w:val="clear" w:color="auto" w:fill="auto"/>
            <w:noWrap w:val="0"/>
            <w:vAlign w:val="center"/>
          </w:tcPr>
          <w:p w14:paraId="36FE6BE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疏散指示</w:t>
            </w:r>
          </w:p>
        </w:tc>
        <w:tc>
          <w:tcPr>
            <w:tcW w:w="806" w:type="pct"/>
            <w:noWrap w:val="0"/>
            <w:vAlign w:val="center"/>
          </w:tcPr>
          <w:p w14:paraId="1C12498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05297BF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2E65341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35x20cm</w:t>
            </w:r>
          </w:p>
        </w:tc>
        <w:tc>
          <w:tcPr>
            <w:tcW w:w="1279" w:type="pct"/>
            <w:shd w:val="clear" w:color="auto" w:fill="auto"/>
            <w:noWrap w:val="0"/>
            <w:vAlign w:val="center"/>
          </w:tcPr>
          <w:p w14:paraId="49E00880">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5EBA104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立体字力，立体字</w:t>
            </w:r>
          </w:p>
        </w:tc>
      </w:tr>
      <w:tr w14:paraId="0CF6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1E80D74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368" w:type="pct"/>
            <w:vMerge w:val="continue"/>
            <w:noWrap w:val="0"/>
            <w:vAlign w:val="center"/>
          </w:tcPr>
          <w:p w14:paraId="61F1DEB1">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6F59AB0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楼层消防疏散图</w:t>
            </w:r>
          </w:p>
        </w:tc>
        <w:tc>
          <w:tcPr>
            <w:tcW w:w="806" w:type="pct"/>
            <w:noWrap w:val="0"/>
            <w:vAlign w:val="center"/>
          </w:tcPr>
          <w:p w14:paraId="499922AC">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27ACD7C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5F785F3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30x40cm</w:t>
            </w:r>
          </w:p>
        </w:tc>
        <w:tc>
          <w:tcPr>
            <w:tcW w:w="1279" w:type="pct"/>
            <w:shd w:val="clear" w:color="auto" w:fill="auto"/>
            <w:noWrap w:val="0"/>
            <w:vAlign w:val="center"/>
          </w:tcPr>
          <w:p w14:paraId="53B8463B">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4C38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432" w:type="pct"/>
            <w:noWrap w:val="0"/>
            <w:vAlign w:val="center"/>
          </w:tcPr>
          <w:p w14:paraId="555A0B95">
            <w:pPr>
              <w:spacing w:line="460" w:lineRule="exact"/>
              <w:ind w:firstLine="210" w:firstLineChars="100"/>
              <w:jc w:val="center"/>
              <w:rPr>
                <w:rFonts w:hint="eastAsia" w:ascii="宋体" w:hAnsi="宋体" w:eastAsia="宋体" w:cs="宋体"/>
                <w:sz w:val="21"/>
                <w:szCs w:val="21"/>
                <w:highlight w:val="none"/>
                <w:lang w:val="en-US" w:eastAsia="zh-CN"/>
              </w:rPr>
            </w:pPr>
          </w:p>
          <w:p w14:paraId="6DFC4E9C">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p>
        </w:tc>
        <w:tc>
          <w:tcPr>
            <w:tcW w:w="368" w:type="pct"/>
            <w:vMerge w:val="restart"/>
            <w:noWrap w:val="0"/>
            <w:vAlign w:val="center"/>
          </w:tcPr>
          <w:p w14:paraId="2CD63A4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温馨提示</w:t>
            </w:r>
          </w:p>
        </w:tc>
        <w:tc>
          <w:tcPr>
            <w:tcW w:w="988" w:type="pct"/>
            <w:shd w:val="clear" w:color="auto" w:fill="auto"/>
            <w:noWrap w:val="0"/>
            <w:vAlign w:val="center"/>
          </w:tcPr>
          <w:p w14:paraId="2E055B2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请勿吸烟</w:t>
            </w:r>
          </w:p>
        </w:tc>
        <w:tc>
          <w:tcPr>
            <w:tcW w:w="806" w:type="pct"/>
            <w:noWrap w:val="0"/>
            <w:vAlign w:val="center"/>
          </w:tcPr>
          <w:p w14:paraId="15B38D4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0A0579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54AD339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35x15cm</w:t>
            </w:r>
          </w:p>
        </w:tc>
        <w:tc>
          <w:tcPr>
            <w:tcW w:w="1279" w:type="pct"/>
            <w:shd w:val="clear" w:color="auto" w:fill="auto"/>
            <w:noWrap w:val="0"/>
            <w:vAlign w:val="center"/>
          </w:tcPr>
          <w:p w14:paraId="059D9C7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0FB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0561D8C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w:t>
            </w:r>
          </w:p>
        </w:tc>
        <w:tc>
          <w:tcPr>
            <w:tcW w:w="368" w:type="pct"/>
            <w:vMerge w:val="continue"/>
            <w:noWrap w:val="0"/>
            <w:vAlign w:val="center"/>
          </w:tcPr>
          <w:p w14:paraId="4DBA5232">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7E795CF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节约用水</w:t>
            </w:r>
          </w:p>
        </w:tc>
        <w:tc>
          <w:tcPr>
            <w:tcW w:w="806" w:type="pct"/>
            <w:noWrap w:val="0"/>
            <w:vAlign w:val="center"/>
          </w:tcPr>
          <w:p w14:paraId="5272202A">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1171DBE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77C41054">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35x15cm</w:t>
            </w:r>
          </w:p>
        </w:tc>
        <w:tc>
          <w:tcPr>
            <w:tcW w:w="1279" w:type="pct"/>
            <w:shd w:val="clear" w:color="auto" w:fill="auto"/>
            <w:noWrap w:val="0"/>
            <w:vAlign w:val="center"/>
          </w:tcPr>
          <w:p w14:paraId="5388E3E5">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68DE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304319F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w:t>
            </w:r>
          </w:p>
        </w:tc>
        <w:tc>
          <w:tcPr>
            <w:tcW w:w="368" w:type="pct"/>
            <w:vMerge w:val="continue"/>
            <w:noWrap w:val="0"/>
            <w:vAlign w:val="center"/>
          </w:tcPr>
          <w:p w14:paraId="75A42A1D">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0DCF2C5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小心地滑</w:t>
            </w:r>
          </w:p>
        </w:tc>
        <w:tc>
          <w:tcPr>
            <w:tcW w:w="806" w:type="pct"/>
            <w:noWrap w:val="0"/>
            <w:vAlign w:val="center"/>
          </w:tcPr>
          <w:p w14:paraId="1A77B8A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6C9B9403">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423460A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35x15cm</w:t>
            </w:r>
          </w:p>
        </w:tc>
        <w:tc>
          <w:tcPr>
            <w:tcW w:w="1279" w:type="pct"/>
            <w:shd w:val="clear" w:color="auto" w:fill="auto"/>
            <w:noWrap w:val="0"/>
            <w:vAlign w:val="center"/>
          </w:tcPr>
          <w:p w14:paraId="0DD1BA1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16C3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687B6B3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w:t>
            </w:r>
          </w:p>
        </w:tc>
        <w:tc>
          <w:tcPr>
            <w:tcW w:w="368" w:type="pct"/>
            <w:vMerge w:val="continue"/>
            <w:noWrap w:val="0"/>
            <w:vAlign w:val="center"/>
          </w:tcPr>
          <w:p w14:paraId="77B46F4D">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3CF1AE9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注意台阶</w:t>
            </w:r>
          </w:p>
        </w:tc>
        <w:tc>
          <w:tcPr>
            <w:tcW w:w="806" w:type="pct"/>
            <w:noWrap w:val="0"/>
            <w:vAlign w:val="center"/>
          </w:tcPr>
          <w:p w14:paraId="7D7C27CE">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2E38926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52E1AD6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35x20cm</w:t>
            </w:r>
          </w:p>
        </w:tc>
        <w:tc>
          <w:tcPr>
            <w:tcW w:w="1279" w:type="pct"/>
            <w:shd w:val="clear" w:color="auto" w:fill="auto"/>
            <w:noWrap w:val="0"/>
            <w:vAlign w:val="center"/>
          </w:tcPr>
          <w:p w14:paraId="4F031C3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78F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693AE689">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w:t>
            </w:r>
          </w:p>
        </w:tc>
        <w:tc>
          <w:tcPr>
            <w:tcW w:w="368" w:type="pct"/>
            <w:vMerge w:val="continue"/>
            <w:noWrap w:val="0"/>
            <w:vAlign w:val="center"/>
          </w:tcPr>
          <w:p w14:paraId="533D6C12">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443BE4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当心碰头</w:t>
            </w:r>
          </w:p>
        </w:tc>
        <w:tc>
          <w:tcPr>
            <w:tcW w:w="806" w:type="pct"/>
            <w:noWrap w:val="0"/>
            <w:vAlign w:val="center"/>
          </w:tcPr>
          <w:p w14:paraId="6775F2D5">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A座17块</w:t>
            </w:r>
          </w:p>
          <w:p w14:paraId="1629697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B座22块小计39块</w:t>
            </w:r>
          </w:p>
        </w:tc>
        <w:tc>
          <w:tcPr>
            <w:tcW w:w="1124" w:type="pct"/>
            <w:shd w:val="clear" w:color="auto" w:fill="auto"/>
            <w:noWrap w:val="0"/>
            <w:vAlign w:val="center"/>
          </w:tcPr>
          <w:p w14:paraId="117A437C">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35x20cm</w:t>
            </w:r>
          </w:p>
        </w:tc>
        <w:tc>
          <w:tcPr>
            <w:tcW w:w="1279" w:type="pct"/>
            <w:shd w:val="clear" w:color="auto" w:fill="auto"/>
            <w:noWrap w:val="0"/>
            <w:vAlign w:val="center"/>
          </w:tcPr>
          <w:p w14:paraId="7EA32E6F">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31F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noWrap w:val="0"/>
            <w:vAlign w:val="center"/>
          </w:tcPr>
          <w:p w14:paraId="0CBE673D">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w:t>
            </w:r>
          </w:p>
        </w:tc>
        <w:tc>
          <w:tcPr>
            <w:tcW w:w="368" w:type="pct"/>
            <w:vMerge w:val="continue"/>
            <w:noWrap w:val="0"/>
            <w:vAlign w:val="center"/>
          </w:tcPr>
          <w:p w14:paraId="6C432C1E">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2DE14D4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推（门）</w:t>
            </w:r>
          </w:p>
        </w:tc>
        <w:tc>
          <w:tcPr>
            <w:tcW w:w="806" w:type="pct"/>
            <w:noWrap w:val="0"/>
            <w:vAlign w:val="center"/>
          </w:tcPr>
          <w:p w14:paraId="5FA06CE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300个</w:t>
            </w:r>
          </w:p>
        </w:tc>
        <w:tc>
          <w:tcPr>
            <w:tcW w:w="1124" w:type="pct"/>
            <w:shd w:val="clear" w:color="auto" w:fill="auto"/>
            <w:noWrap w:val="0"/>
            <w:vAlign w:val="center"/>
          </w:tcPr>
          <w:p w14:paraId="39E04FB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15x15cm</w:t>
            </w:r>
          </w:p>
        </w:tc>
        <w:tc>
          <w:tcPr>
            <w:tcW w:w="1279" w:type="pct"/>
            <w:shd w:val="clear" w:color="auto" w:fill="auto"/>
            <w:noWrap w:val="0"/>
            <w:vAlign w:val="center"/>
          </w:tcPr>
          <w:p w14:paraId="5167076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7A67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32" w:type="pct"/>
            <w:noWrap w:val="0"/>
            <w:vAlign w:val="center"/>
          </w:tcPr>
          <w:p w14:paraId="0BAC7293">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w:t>
            </w:r>
          </w:p>
        </w:tc>
        <w:tc>
          <w:tcPr>
            <w:tcW w:w="368" w:type="pct"/>
            <w:vMerge w:val="continue"/>
            <w:noWrap w:val="0"/>
            <w:vAlign w:val="center"/>
          </w:tcPr>
          <w:p w14:paraId="641CABE0">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13A89CB7">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拉（门）</w:t>
            </w:r>
          </w:p>
        </w:tc>
        <w:tc>
          <w:tcPr>
            <w:tcW w:w="806" w:type="pct"/>
            <w:noWrap w:val="0"/>
            <w:vAlign w:val="center"/>
          </w:tcPr>
          <w:p w14:paraId="67313D1B">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300个</w:t>
            </w:r>
          </w:p>
        </w:tc>
        <w:tc>
          <w:tcPr>
            <w:tcW w:w="1124" w:type="pct"/>
            <w:shd w:val="clear" w:color="auto" w:fill="auto"/>
            <w:noWrap w:val="0"/>
            <w:vAlign w:val="center"/>
          </w:tcPr>
          <w:p w14:paraId="38B17E06">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15x15cm</w:t>
            </w:r>
          </w:p>
        </w:tc>
        <w:tc>
          <w:tcPr>
            <w:tcW w:w="1279" w:type="pct"/>
            <w:shd w:val="clear" w:color="auto" w:fill="auto"/>
            <w:noWrap w:val="0"/>
            <w:vAlign w:val="center"/>
          </w:tcPr>
          <w:p w14:paraId="656BDE8E">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亚克力底板背面丝印</w:t>
            </w:r>
          </w:p>
        </w:tc>
      </w:tr>
      <w:tr w14:paraId="0B18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32" w:type="pct"/>
            <w:noWrap w:val="0"/>
            <w:vAlign w:val="center"/>
          </w:tcPr>
          <w:p w14:paraId="56341E58">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w:t>
            </w:r>
          </w:p>
        </w:tc>
        <w:tc>
          <w:tcPr>
            <w:tcW w:w="368" w:type="pct"/>
            <w:vMerge w:val="continue"/>
            <w:noWrap w:val="0"/>
            <w:vAlign w:val="center"/>
          </w:tcPr>
          <w:p w14:paraId="4103AF71">
            <w:pPr>
              <w:spacing w:line="240" w:lineRule="auto"/>
              <w:jc w:val="center"/>
              <w:rPr>
                <w:rFonts w:hint="eastAsia" w:ascii="宋体" w:hAnsi="宋体" w:eastAsia="宋体" w:cs="宋体"/>
                <w:sz w:val="21"/>
                <w:szCs w:val="21"/>
                <w:highlight w:val="none"/>
                <w:lang w:val="en-US" w:eastAsia="zh-CN"/>
              </w:rPr>
            </w:pPr>
          </w:p>
        </w:tc>
        <w:tc>
          <w:tcPr>
            <w:tcW w:w="988" w:type="pct"/>
            <w:shd w:val="clear" w:color="auto" w:fill="auto"/>
            <w:noWrap w:val="0"/>
            <w:vAlign w:val="center"/>
          </w:tcPr>
          <w:p w14:paraId="0E725810">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总服务台</w:t>
            </w:r>
          </w:p>
        </w:tc>
        <w:tc>
          <w:tcPr>
            <w:tcW w:w="806" w:type="pct"/>
            <w:noWrap w:val="0"/>
            <w:vAlign w:val="center"/>
          </w:tcPr>
          <w:p w14:paraId="04EBE2C9">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1块</w:t>
            </w:r>
          </w:p>
        </w:tc>
        <w:tc>
          <w:tcPr>
            <w:tcW w:w="1124" w:type="pct"/>
            <w:shd w:val="clear" w:color="auto" w:fill="auto"/>
            <w:noWrap w:val="0"/>
            <w:vAlign w:val="center"/>
          </w:tcPr>
          <w:p w14:paraId="2D6CFCB1">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15x38cm</w:t>
            </w:r>
          </w:p>
        </w:tc>
        <w:tc>
          <w:tcPr>
            <w:tcW w:w="1279" w:type="pct"/>
            <w:shd w:val="clear" w:color="auto" w:fill="auto"/>
            <w:noWrap w:val="0"/>
            <w:vAlign w:val="center"/>
          </w:tcPr>
          <w:p w14:paraId="5DCCB9D7">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不锈钢烤漆，立体字</w:t>
            </w:r>
          </w:p>
        </w:tc>
      </w:tr>
      <w:tr w14:paraId="1E2E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6"/>
            <w:noWrap w:val="0"/>
            <w:vAlign w:val="center"/>
          </w:tcPr>
          <w:p w14:paraId="4431E8EC">
            <w:pPr>
              <w:spacing w:line="460" w:lineRule="exact"/>
              <w:jc w:val="both"/>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w:t>
            </w:r>
            <w:r>
              <w:rPr>
                <w:rFonts w:hint="eastAsia" w:ascii="宋体" w:hAnsi="宋体" w:eastAsia="宋体" w:cs="宋体"/>
                <w:sz w:val="21"/>
                <w:szCs w:val="21"/>
                <w:highlight w:val="none"/>
                <w:lang w:val="en-US" w:eastAsia="zh-CN"/>
              </w:rPr>
              <w:t>消防栓、防火门美化</w:t>
            </w:r>
          </w:p>
        </w:tc>
      </w:tr>
      <w:tr w14:paraId="7282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32" w:type="pct"/>
            <w:noWrap w:val="0"/>
            <w:vAlign w:val="center"/>
          </w:tcPr>
          <w:p w14:paraId="6AFC79FC">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49</w:t>
            </w:r>
          </w:p>
        </w:tc>
        <w:tc>
          <w:tcPr>
            <w:tcW w:w="368" w:type="pct"/>
            <w:vMerge w:val="restart"/>
            <w:noWrap w:val="0"/>
            <w:vAlign w:val="center"/>
          </w:tcPr>
          <w:p w14:paraId="0B93B1AF">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写字楼内部各楼层</w:t>
            </w:r>
          </w:p>
        </w:tc>
        <w:tc>
          <w:tcPr>
            <w:tcW w:w="988" w:type="pct"/>
            <w:shd w:val="clear" w:color="auto" w:fill="auto"/>
            <w:noWrap w:val="0"/>
            <w:vAlign w:val="center"/>
          </w:tcPr>
          <w:p w14:paraId="508897FF">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消防栓</w:t>
            </w:r>
          </w:p>
        </w:tc>
        <w:tc>
          <w:tcPr>
            <w:tcW w:w="806" w:type="pct"/>
            <w:noWrap w:val="0"/>
            <w:vAlign w:val="center"/>
          </w:tcPr>
          <w:p w14:paraId="1FE168A2">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88块</w:t>
            </w:r>
          </w:p>
        </w:tc>
        <w:tc>
          <w:tcPr>
            <w:tcW w:w="1124" w:type="pct"/>
            <w:shd w:val="clear" w:color="auto" w:fill="auto"/>
            <w:noWrap w:val="0"/>
            <w:vAlign w:val="center"/>
          </w:tcPr>
          <w:p w14:paraId="46AD92E8">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80x65cm</w:t>
            </w:r>
          </w:p>
        </w:tc>
        <w:tc>
          <w:tcPr>
            <w:tcW w:w="1279" w:type="pct"/>
            <w:shd w:val="clear" w:color="auto" w:fill="auto"/>
            <w:noWrap w:val="0"/>
            <w:vAlign w:val="center"/>
          </w:tcPr>
          <w:p w14:paraId="18A78F7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pvcuv打印木纹</w:t>
            </w:r>
          </w:p>
          <w:p w14:paraId="2B3DB4BA">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包黑边</w:t>
            </w:r>
          </w:p>
        </w:tc>
      </w:tr>
      <w:tr w14:paraId="3FF5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pct"/>
            <w:vMerge w:val="restart"/>
            <w:noWrap w:val="0"/>
            <w:vAlign w:val="center"/>
          </w:tcPr>
          <w:p w14:paraId="22AAB89D">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50</w:t>
            </w:r>
          </w:p>
        </w:tc>
        <w:tc>
          <w:tcPr>
            <w:tcW w:w="368" w:type="pct"/>
            <w:vMerge w:val="continue"/>
            <w:noWrap w:val="0"/>
            <w:vAlign w:val="center"/>
          </w:tcPr>
          <w:p w14:paraId="7F00F942">
            <w:pPr>
              <w:spacing w:line="240" w:lineRule="auto"/>
              <w:jc w:val="center"/>
              <w:rPr>
                <w:rFonts w:hint="eastAsia" w:ascii="宋体" w:hAnsi="宋体" w:eastAsia="宋体" w:cs="宋体"/>
                <w:sz w:val="21"/>
                <w:szCs w:val="21"/>
                <w:highlight w:val="none"/>
                <w:lang w:val="en-US" w:eastAsia="zh-CN"/>
              </w:rPr>
            </w:pPr>
          </w:p>
        </w:tc>
        <w:tc>
          <w:tcPr>
            <w:tcW w:w="988" w:type="pct"/>
            <w:vMerge w:val="restart"/>
            <w:shd w:val="clear" w:color="auto" w:fill="auto"/>
            <w:noWrap w:val="0"/>
            <w:vAlign w:val="center"/>
          </w:tcPr>
          <w:p w14:paraId="3A8F3A0E">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防火门</w:t>
            </w:r>
          </w:p>
        </w:tc>
        <w:tc>
          <w:tcPr>
            <w:tcW w:w="806" w:type="pct"/>
            <w:vMerge w:val="restart"/>
            <w:noWrap w:val="0"/>
            <w:vAlign w:val="center"/>
          </w:tcPr>
          <w:p w14:paraId="5E06953B">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140块</w:t>
            </w:r>
          </w:p>
        </w:tc>
        <w:tc>
          <w:tcPr>
            <w:tcW w:w="1124" w:type="pct"/>
            <w:shd w:val="clear" w:color="auto" w:fill="auto"/>
            <w:noWrap w:val="0"/>
            <w:vAlign w:val="center"/>
          </w:tcPr>
          <w:p w14:paraId="1CB4F12C">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210x137cm 45块</w:t>
            </w:r>
          </w:p>
        </w:tc>
        <w:tc>
          <w:tcPr>
            <w:tcW w:w="1279" w:type="pct"/>
            <w:vMerge w:val="restart"/>
            <w:shd w:val="clear" w:color="auto" w:fill="auto"/>
            <w:noWrap w:val="0"/>
            <w:vAlign w:val="center"/>
          </w:tcPr>
          <w:p w14:paraId="797ACDF6">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pvcuv打印木纹</w:t>
            </w:r>
          </w:p>
          <w:p w14:paraId="7AD37BFF">
            <w:pPr>
              <w:spacing w:line="4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包黑边</w:t>
            </w:r>
          </w:p>
        </w:tc>
      </w:tr>
      <w:tr w14:paraId="28A4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pct"/>
            <w:vMerge w:val="continue"/>
            <w:noWrap w:val="0"/>
            <w:vAlign w:val="center"/>
          </w:tcPr>
          <w:p w14:paraId="57E4C88D">
            <w:pPr>
              <w:spacing w:line="460" w:lineRule="exact"/>
              <w:jc w:val="center"/>
            </w:pPr>
          </w:p>
        </w:tc>
        <w:tc>
          <w:tcPr>
            <w:tcW w:w="368" w:type="pct"/>
            <w:vMerge w:val="continue"/>
            <w:noWrap w:val="0"/>
            <w:vAlign w:val="center"/>
          </w:tcPr>
          <w:p w14:paraId="02D541B3">
            <w:pPr>
              <w:spacing w:line="460" w:lineRule="exact"/>
              <w:jc w:val="center"/>
            </w:pPr>
          </w:p>
        </w:tc>
        <w:tc>
          <w:tcPr>
            <w:tcW w:w="988" w:type="pct"/>
            <w:vMerge w:val="continue"/>
            <w:shd w:val="clear" w:color="auto" w:fill="auto"/>
            <w:noWrap w:val="0"/>
            <w:vAlign w:val="center"/>
          </w:tcPr>
          <w:p w14:paraId="2613C67F">
            <w:pPr>
              <w:spacing w:line="460" w:lineRule="exact"/>
              <w:jc w:val="center"/>
            </w:pPr>
          </w:p>
        </w:tc>
        <w:tc>
          <w:tcPr>
            <w:tcW w:w="806" w:type="pct"/>
            <w:vMerge w:val="continue"/>
            <w:noWrap w:val="0"/>
            <w:vAlign w:val="center"/>
          </w:tcPr>
          <w:p w14:paraId="2ADE815C">
            <w:pPr>
              <w:spacing w:line="460" w:lineRule="exact"/>
              <w:jc w:val="center"/>
            </w:pPr>
          </w:p>
        </w:tc>
        <w:tc>
          <w:tcPr>
            <w:tcW w:w="1124" w:type="pct"/>
            <w:shd w:val="clear" w:color="auto" w:fill="auto"/>
            <w:noWrap w:val="0"/>
            <w:vAlign w:val="center"/>
          </w:tcPr>
          <w:p w14:paraId="59CBF002">
            <w:pPr>
              <w:spacing w:line="4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196x113</w:t>
            </w:r>
            <w:r>
              <w:rPr>
                <w:rFonts w:hint="eastAsia" w:ascii="宋体" w:hAnsi="宋体" w:eastAsia="宋体" w:cs="宋体"/>
                <w:sz w:val="21"/>
                <w:szCs w:val="21"/>
                <w:highlight w:val="none"/>
                <w:lang w:val="en-US" w:eastAsia="zh-CN"/>
              </w:rPr>
              <w:t>cm</w:t>
            </w:r>
            <w:r>
              <w:rPr>
                <w:rFonts w:hint="eastAsia" w:ascii="宋体" w:hAnsi="宋体" w:eastAsia="宋体" w:cs="宋体"/>
                <w:sz w:val="20"/>
                <w:szCs w:val="20"/>
                <w:highlight w:val="none"/>
                <w:lang w:val="en-US" w:eastAsia="zh-CN"/>
              </w:rPr>
              <w:t xml:space="preserve"> </w:t>
            </w:r>
            <w:r>
              <w:rPr>
                <w:rFonts w:hint="eastAsia" w:ascii="宋体" w:hAnsi="宋体" w:cs="宋体"/>
                <w:sz w:val="20"/>
                <w:szCs w:val="20"/>
                <w:highlight w:val="none"/>
                <w:lang w:val="en-US" w:eastAsia="zh-CN"/>
              </w:rPr>
              <w:t>50</w:t>
            </w:r>
            <w:r>
              <w:rPr>
                <w:rFonts w:hint="eastAsia" w:ascii="宋体" w:hAnsi="宋体" w:eastAsia="宋体" w:cs="宋体"/>
                <w:sz w:val="20"/>
                <w:szCs w:val="20"/>
                <w:highlight w:val="none"/>
                <w:lang w:val="en-US" w:eastAsia="zh-CN"/>
              </w:rPr>
              <w:t>块</w:t>
            </w:r>
          </w:p>
        </w:tc>
        <w:tc>
          <w:tcPr>
            <w:tcW w:w="1279" w:type="pct"/>
            <w:vMerge w:val="continue"/>
            <w:shd w:val="clear" w:color="auto" w:fill="auto"/>
            <w:noWrap w:val="0"/>
            <w:vAlign w:val="center"/>
          </w:tcPr>
          <w:p w14:paraId="01ADC46D">
            <w:pPr>
              <w:spacing w:line="460" w:lineRule="exact"/>
              <w:jc w:val="center"/>
              <w:rPr>
                <w:rFonts w:hint="eastAsia" w:ascii="宋体" w:hAnsi="宋体" w:eastAsia="宋体" w:cs="宋体"/>
                <w:sz w:val="20"/>
                <w:szCs w:val="20"/>
                <w:lang w:val="en-US" w:eastAsia="zh-CN"/>
              </w:rPr>
            </w:pPr>
          </w:p>
        </w:tc>
      </w:tr>
      <w:tr w14:paraId="035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pct"/>
            <w:vMerge w:val="continue"/>
            <w:noWrap w:val="0"/>
            <w:vAlign w:val="center"/>
          </w:tcPr>
          <w:p w14:paraId="051A8891">
            <w:pPr>
              <w:spacing w:line="460" w:lineRule="exact"/>
              <w:jc w:val="center"/>
              <w:rPr>
                <w:rFonts w:hint="eastAsia" w:ascii="宋体" w:hAnsi="宋体" w:eastAsia="宋体" w:cs="宋体"/>
                <w:sz w:val="20"/>
                <w:szCs w:val="20"/>
                <w:lang w:val="en-US" w:eastAsia="zh-CN"/>
              </w:rPr>
            </w:pPr>
          </w:p>
        </w:tc>
        <w:tc>
          <w:tcPr>
            <w:tcW w:w="368" w:type="pct"/>
            <w:vMerge w:val="continue"/>
            <w:noWrap w:val="0"/>
            <w:vAlign w:val="center"/>
          </w:tcPr>
          <w:p w14:paraId="6CC4D2DA">
            <w:pPr>
              <w:spacing w:line="460" w:lineRule="exact"/>
              <w:jc w:val="center"/>
              <w:rPr>
                <w:rFonts w:hint="eastAsia" w:ascii="宋体" w:hAnsi="宋体" w:eastAsia="宋体" w:cs="宋体"/>
                <w:sz w:val="20"/>
                <w:szCs w:val="20"/>
                <w:lang w:val="en-US" w:eastAsia="zh-CN"/>
              </w:rPr>
            </w:pPr>
          </w:p>
        </w:tc>
        <w:tc>
          <w:tcPr>
            <w:tcW w:w="988" w:type="pct"/>
            <w:vMerge w:val="continue"/>
            <w:shd w:val="clear" w:color="auto" w:fill="auto"/>
            <w:noWrap w:val="0"/>
            <w:vAlign w:val="center"/>
          </w:tcPr>
          <w:p w14:paraId="4ACA6D4C">
            <w:pPr>
              <w:spacing w:line="460" w:lineRule="exact"/>
              <w:jc w:val="center"/>
              <w:rPr>
                <w:rFonts w:hint="eastAsia" w:ascii="宋体" w:hAnsi="宋体" w:eastAsia="宋体" w:cs="宋体"/>
                <w:sz w:val="20"/>
                <w:szCs w:val="20"/>
                <w:lang w:val="en-US" w:eastAsia="zh-CN"/>
              </w:rPr>
            </w:pPr>
          </w:p>
        </w:tc>
        <w:tc>
          <w:tcPr>
            <w:tcW w:w="806" w:type="pct"/>
            <w:vMerge w:val="continue"/>
            <w:noWrap w:val="0"/>
            <w:vAlign w:val="center"/>
          </w:tcPr>
          <w:p w14:paraId="15E06CB7">
            <w:pPr>
              <w:spacing w:line="460" w:lineRule="exact"/>
              <w:jc w:val="center"/>
              <w:rPr>
                <w:rFonts w:hint="eastAsia" w:ascii="宋体" w:hAnsi="宋体" w:eastAsia="宋体" w:cs="宋体"/>
                <w:sz w:val="20"/>
                <w:szCs w:val="20"/>
                <w:lang w:val="en-US" w:eastAsia="zh-CN"/>
              </w:rPr>
            </w:pPr>
          </w:p>
        </w:tc>
        <w:tc>
          <w:tcPr>
            <w:tcW w:w="1124" w:type="pct"/>
            <w:shd w:val="clear" w:color="auto" w:fill="auto"/>
            <w:noWrap w:val="0"/>
            <w:vAlign w:val="center"/>
          </w:tcPr>
          <w:p w14:paraId="367C6252">
            <w:pPr>
              <w:spacing w:line="4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190x73</w:t>
            </w:r>
            <w:r>
              <w:rPr>
                <w:rFonts w:hint="eastAsia" w:ascii="宋体" w:hAnsi="宋体" w:eastAsia="宋体" w:cs="宋体"/>
                <w:sz w:val="21"/>
                <w:szCs w:val="21"/>
                <w:highlight w:val="none"/>
                <w:lang w:val="en-US" w:eastAsia="zh-CN"/>
              </w:rPr>
              <w:t>cm</w:t>
            </w:r>
            <w:r>
              <w:rPr>
                <w:rFonts w:hint="eastAsia" w:ascii="宋体" w:hAnsi="宋体" w:eastAsia="宋体" w:cs="宋体"/>
                <w:sz w:val="20"/>
                <w:szCs w:val="20"/>
                <w:highlight w:val="none"/>
                <w:lang w:val="en-US" w:eastAsia="zh-CN"/>
              </w:rPr>
              <w:t xml:space="preserve"> </w:t>
            </w:r>
            <w:r>
              <w:rPr>
                <w:rFonts w:hint="eastAsia" w:ascii="宋体" w:hAnsi="宋体" w:cs="宋体"/>
                <w:sz w:val="20"/>
                <w:szCs w:val="20"/>
                <w:highlight w:val="none"/>
                <w:lang w:val="en-US" w:eastAsia="zh-CN"/>
              </w:rPr>
              <w:t>40</w:t>
            </w:r>
            <w:r>
              <w:rPr>
                <w:rFonts w:hint="eastAsia" w:ascii="宋体" w:hAnsi="宋体" w:eastAsia="宋体" w:cs="宋体"/>
                <w:sz w:val="20"/>
                <w:szCs w:val="20"/>
                <w:highlight w:val="none"/>
                <w:lang w:val="en-US" w:eastAsia="zh-CN"/>
              </w:rPr>
              <w:t>块</w:t>
            </w:r>
          </w:p>
        </w:tc>
        <w:tc>
          <w:tcPr>
            <w:tcW w:w="1279" w:type="pct"/>
            <w:vMerge w:val="continue"/>
            <w:shd w:val="clear" w:color="auto" w:fill="auto"/>
            <w:noWrap w:val="0"/>
            <w:vAlign w:val="center"/>
          </w:tcPr>
          <w:p w14:paraId="5FED5FB7">
            <w:pPr>
              <w:spacing w:line="460" w:lineRule="exact"/>
              <w:jc w:val="center"/>
              <w:rPr>
                <w:rFonts w:hint="eastAsia" w:ascii="宋体" w:hAnsi="宋体" w:eastAsia="宋体" w:cs="宋体"/>
                <w:sz w:val="20"/>
                <w:szCs w:val="20"/>
                <w:lang w:val="en-US" w:eastAsia="zh-CN"/>
              </w:rPr>
            </w:pPr>
          </w:p>
        </w:tc>
      </w:tr>
      <w:tr w14:paraId="0585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pct"/>
            <w:vMerge w:val="continue"/>
            <w:noWrap w:val="0"/>
            <w:vAlign w:val="center"/>
          </w:tcPr>
          <w:p w14:paraId="4C6C74CF">
            <w:pPr>
              <w:spacing w:line="460" w:lineRule="exact"/>
              <w:jc w:val="center"/>
              <w:rPr>
                <w:rFonts w:hint="eastAsia" w:ascii="宋体" w:hAnsi="宋体" w:eastAsia="宋体" w:cs="宋体"/>
                <w:sz w:val="20"/>
                <w:szCs w:val="20"/>
                <w:lang w:val="en-US" w:eastAsia="zh-CN"/>
              </w:rPr>
            </w:pPr>
          </w:p>
        </w:tc>
        <w:tc>
          <w:tcPr>
            <w:tcW w:w="368" w:type="pct"/>
            <w:vMerge w:val="continue"/>
            <w:noWrap w:val="0"/>
            <w:vAlign w:val="center"/>
          </w:tcPr>
          <w:p w14:paraId="493DE8E4">
            <w:pPr>
              <w:spacing w:line="460" w:lineRule="exact"/>
              <w:jc w:val="center"/>
              <w:rPr>
                <w:rFonts w:hint="eastAsia" w:ascii="宋体" w:hAnsi="宋体" w:eastAsia="宋体" w:cs="宋体"/>
                <w:sz w:val="20"/>
                <w:szCs w:val="20"/>
                <w:lang w:val="en-US" w:eastAsia="zh-CN"/>
              </w:rPr>
            </w:pPr>
          </w:p>
        </w:tc>
        <w:tc>
          <w:tcPr>
            <w:tcW w:w="988" w:type="pct"/>
            <w:vMerge w:val="continue"/>
            <w:shd w:val="clear" w:color="auto" w:fill="auto"/>
            <w:noWrap w:val="0"/>
            <w:vAlign w:val="center"/>
          </w:tcPr>
          <w:p w14:paraId="34DE4321">
            <w:pPr>
              <w:spacing w:line="460" w:lineRule="exact"/>
              <w:jc w:val="center"/>
              <w:rPr>
                <w:rFonts w:hint="eastAsia" w:ascii="宋体" w:hAnsi="宋体" w:eastAsia="宋体" w:cs="宋体"/>
                <w:sz w:val="20"/>
                <w:szCs w:val="20"/>
                <w:lang w:val="en-US" w:eastAsia="zh-CN"/>
              </w:rPr>
            </w:pPr>
          </w:p>
        </w:tc>
        <w:tc>
          <w:tcPr>
            <w:tcW w:w="806" w:type="pct"/>
            <w:vMerge w:val="continue"/>
            <w:noWrap w:val="0"/>
            <w:vAlign w:val="center"/>
          </w:tcPr>
          <w:p w14:paraId="30F6BB0A">
            <w:pPr>
              <w:spacing w:line="460" w:lineRule="exact"/>
              <w:jc w:val="center"/>
              <w:rPr>
                <w:rFonts w:hint="eastAsia" w:ascii="宋体" w:hAnsi="宋体" w:eastAsia="宋体" w:cs="宋体"/>
                <w:sz w:val="20"/>
                <w:szCs w:val="20"/>
                <w:lang w:val="en-US" w:eastAsia="zh-CN"/>
              </w:rPr>
            </w:pPr>
          </w:p>
        </w:tc>
        <w:tc>
          <w:tcPr>
            <w:tcW w:w="1124" w:type="pct"/>
            <w:shd w:val="clear" w:color="auto" w:fill="auto"/>
            <w:noWrap w:val="0"/>
            <w:vAlign w:val="center"/>
          </w:tcPr>
          <w:p w14:paraId="4F7D08D0">
            <w:pPr>
              <w:spacing w:line="4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214x137</w:t>
            </w:r>
            <w:r>
              <w:rPr>
                <w:rFonts w:hint="eastAsia" w:ascii="宋体" w:hAnsi="宋体" w:eastAsia="宋体" w:cs="宋体"/>
                <w:sz w:val="21"/>
                <w:szCs w:val="21"/>
                <w:highlight w:val="none"/>
                <w:lang w:val="en-US" w:eastAsia="zh-CN"/>
              </w:rPr>
              <w:t>cm</w:t>
            </w:r>
            <w:r>
              <w:rPr>
                <w:rFonts w:hint="eastAsia" w:ascii="宋体" w:hAnsi="宋体" w:eastAsia="宋体" w:cs="宋体"/>
                <w:sz w:val="20"/>
                <w:szCs w:val="20"/>
                <w:highlight w:val="none"/>
                <w:lang w:val="en-US" w:eastAsia="zh-CN"/>
              </w:rPr>
              <w:t xml:space="preserve"> 4块</w:t>
            </w:r>
          </w:p>
        </w:tc>
        <w:tc>
          <w:tcPr>
            <w:tcW w:w="1279" w:type="pct"/>
            <w:vMerge w:val="continue"/>
            <w:shd w:val="clear" w:color="auto" w:fill="auto"/>
            <w:noWrap w:val="0"/>
            <w:vAlign w:val="center"/>
          </w:tcPr>
          <w:p w14:paraId="5A66CD28">
            <w:pPr>
              <w:spacing w:line="460" w:lineRule="exact"/>
              <w:jc w:val="center"/>
              <w:rPr>
                <w:rFonts w:hint="eastAsia" w:ascii="宋体" w:hAnsi="宋体" w:eastAsia="宋体" w:cs="宋体"/>
                <w:sz w:val="20"/>
                <w:szCs w:val="20"/>
                <w:lang w:val="en-US" w:eastAsia="zh-CN"/>
              </w:rPr>
            </w:pPr>
          </w:p>
        </w:tc>
      </w:tr>
      <w:tr w14:paraId="7B4D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pct"/>
            <w:vMerge w:val="continue"/>
            <w:noWrap w:val="0"/>
            <w:vAlign w:val="center"/>
          </w:tcPr>
          <w:p w14:paraId="45D3DDE3">
            <w:pPr>
              <w:spacing w:line="460" w:lineRule="exact"/>
              <w:jc w:val="center"/>
              <w:rPr>
                <w:rFonts w:hint="eastAsia" w:ascii="宋体" w:hAnsi="宋体" w:eastAsia="宋体" w:cs="宋体"/>
                <w:sz w:val="20"/>
                <w:szCs w:val="20"/>
                <w:lang w:val="en-US" w:eastAsia="zh-CN"/>
              </w:rPr>
            </w:pPr>
          </w:p>
        </w:tc>
        <w:tc>
          <w:tcPr>
            <w:tcW w:w="368" w:type="pct"/>
            <w:vMerge w:val="continue"/>
            <w:noWrap w:val="0"/>
            <w:vAlign w:val="center"/>
          </w:tcPr>
          <w:p w14:paraId="6EBFCA18">
            <w:pPr>
              <w:spacing w:line="460" w:lineRule="exact"/>
              <w:jc w:val="center"/>
              <w:rPr>
                <w:rFonts w:hint="eastAsia" w:ascii="宋体" w:hAnsi="宋体" w:eastAsia="宋体" w:cs="宋体"/>
                <w:sz w:val="20"/>
                <w:szCs w:val="20"/>
                <w:lang w:val="en-US" w:eastAsia="zh-CN"/>
              </w:rPr>
            </w:pPr>
          </w:p>
        </w:tc>
        <w:tc>
          <w:tcPr>
            <w:tcW w:w="988" w:type="pct"/>
            <w:vMerge w:val="continue"/>
            <w:shd w:val="clear" w:color="auto" w:fill="auto"/>
            <w:noWrap w:val="0"/>
            <w:vAlign w:val="center"/>
          </w:tcPr>
          <w:p w14:paraId="2D2591EE">
            <w:pPr>
              <w:spacing w:line="460" w:lineRule="exact"/>
              <w:jc w:val="center"/>
              <w:rPr>
                <w:rFonts w:hint="eastAsia" w:ascii="宋体" w:hAnsi="宋体" w:eastAsia="宋体" w:cs="宋体"/>
                <w:sz w:val="20"/>
                <w:szCs w:val="20"/>
                <w:lang w:val="en-US" w:eastAsia="zh-CN"/>
              </w:rPr>
            </w:pPr>
          </w:p>
        </w:tc>
        <w:tc>
          <w:tcPr>
            <w:tcW w:w="806" w:type="pct"/>
            <w:vMerge w:val="continue"/>
            <w:noWrap w:val="0"/>
            <w:vAlign w:val="center"/>
          </w:tcPr>
          <w:p w14:paraId="3871FAB9">
            <w:pPr>
              <w:spacing w:line="460" w:lineRule="exact"/>
              <w:jc w:val="center"/>
              <w:rPr>
                <w:rFonts w:hint="eastAsia" w:ascii="宋体" w:hAnsi="宋体" w:eastAsia="宋体" w:cs="宋体"/>
                <w:sz w:val="20"/>
                <w:szCs w:val="20"/>
                <w:lang w:val="en-US" w:eastAsia="zh-CN"/>
              </w:rPr>
            </w:pPr>
          </w:p>
        </w:tc>
        <w:tc>
          <w:tcPr>
            <w:tcW w:w="1124" w:type="pct"/>
            <w:shd w:val="clear" w:color="auto" w:fill="auto"/>
            <w:noWrap w:val="0"/>
            <w:vAlign w:val="center"/>
          </w:tcPr>
          <w:p w14:paraId="26F2EDE8">
            <w:pPr>
              <w:spacing w:line="46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213x134</w:t>
            </w:r>
            <w:r>
              <w:rPr>
                <w:rFonts w:hint="eastAsia" w:ascii="宋体" w:hAnsi="宋体" w:eastAsia="宋体" w:cs="宋体"/>
                <w:sz w:val="21"/>
                <w:szCs w:val="21"/>
                <w:highlight w:val="none"/>
                <w:lang w:val="en-US" w:eastAsia="zh-CN"/>
              </w:rPr>
              <w:t>cm</w:t>
            </w:r>
            <w:r>
              <w:rPr>
                <w:rFonts w:hint="eastAsia" w:ascii="宋体" w:hAnsi="宋体" w:eastAsia="宋体" w:cs="宋体"/>
                <w:sz w:val="20"/>
                <w:szCs w:val="20"/>
                <w:highlight w:val="none"/>
                <w:lang w:val="en-US" w:eastAsia="zh-CN"/>
              </w:rPr>
              <w:t xml:space="preserve"> 1块</w:t>
            </w:r>
          </w:p>
        </w:tc>
        <w:tc>
          <w:tcPr>
            <w:tcW w:w="1279" w:type="pct"/>
            <w:vMerge w:val="continue"/>
            <w:shd w:val="clear" w:color="auto" w:fill="auto"/>
            <w:noWrap w:val="0"/>
            <w:vAlign w:val="center"/>
          </w:tcPr>
          <w:p w14:paraId="4B6FB911">
            <w:pPr>
              <w:spacing w:line="460" w:lineRule="exact"/>
              <w:jc w:val="center"/>
              <w:rPr>
                <w:rFonts w:hint="eastAsia" w:ascii="宋体" w:hAnsi="宋体" w:eastAsia="宋体" w:cs="宋体"/>
                <w:sz w:val="20"/>
                <w:szCs w:val="20"/>
                <w:lang w:val="en-US" w:eastAsia="zh-CN"/>
              </w:rPr>
            </w:pPr>
          </w:p>
        </w:tc>
      </w:tr>
    </w:tbl>
    <w:p w14:paraId="59136A7B"/>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br w:type="page"/>
      </w:r>
    </w:p>
    <w:p w14:paraId="2C1DE623">
      <w:pPr>
        <w:pStyle w:val="8"/>
        <w:rPr>
          <w:rFonts w:ascii="宋体" w:hAnsi="宋体"/>
          <w:color w:val="auto"/>
          <w:sz w:val="44"/>
          <w:szCs w:val="44"/>
          <w:highlight w:val="none"/>
          <w:lang w:val="zh-CN"/>
        </w:rPr>
      </w:pPr>
      <w:bookmarkStart w:id="97" w:name="_Toc23728"/>
      <w:bookmarkStart w:id="98" w:name="_Toc32025"/>
      <w:r>
        <w:rPr>
          <w:rFonts w:hint="eastAsia" w:ascii="宋体" w:hAnsi="宋体"/>
          <w:color w:val="auto"/>
          <w:sz w:val="44"/>
          <w:szCs w:val="44"/>
          <w:highlight w:val="none"/>
          <w:lang w:val="zh-CN"/>
        </w:rPr>
        <w:t>第四篇 合同条款</w:t>
      </w:r>
      <w:bookmarkEnd w:id="97"/>
      <w:bookmarkEnd w:id="98"/>
    </w:p>
    <w:p w14:paraId="4220369F">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04364BA3">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1619FD15">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东莞市置拓投资有限公司水业大厦标识导向系统及消防栓、防火门美化采购合同</w:t>
      </w:r>
    </w:p>
    <w:p w14:paraId="5415832C">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0A0C61A0">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p>
    <w:p w14:paraId="0FEC4768">
      <w:pPr>
        <w:rPr>
          <w:rFonts w:ascii="宋体" w:hAnsi="宋体"/>
          <w:color w:val="auto"/>
          <w:highlight w:val="none"/>
        </w:rPr>
      </w:pPr>
    </w:p>
    <w:p w14:paraId="434A60E8">
      <w:pPr>
        <w:rPr>
          <w:rFonts w:ascii="宋体" w:hAnsi="宋体"/>
          <w:color w:val="auto"/>
          <w:highlight w:val="none"/>
        </w:rPr>
      </w:pPr>
    </w:p>
    <w:p w14:paraId="52B30762">
      <w:pPr>
        <w:rPr>
          <w:rFonts w:ascii="宋体" w:hAnsi="宋体"/>
          <w:color w:val="auto"/>
          <w:highlight w:val="none"/>
        </w:rPr>
      </w:pPr>
    </w:p>
    <w:p w14:paraId="50E4C85D">
      <w:pPr>
        <w:rPr>
          <w:rFonts w:ascii="宋体" w:hAnsi="宋体"/>
          <w:color w:val="auto"/>
          <w:highlight w:val="none"/>
        </w:rPr>
      </w:pPr>
    </w:p>
    <w:p w14:paraId="081FF14E">
      <w:pPr>
        <w:rPr>
          <w:rFonts w:ascii="宋体" w:hAnsi="宋体"/>
          <w:color w:val="auto"/>
          <w:highlight w:val="none"/>
        </w:rPr>
      </w:pPr>
    </w:p>
    <w:p w14:paraId="6BBA52D3">
      <w:pPr>
        <w:rPr>
          <w:rFonts w:ascii="宋体" w:hAnsi="宋体"/>
          <w:color w:val="auto"/>
          <w:highlight w:val="none"/>
        </w:rPr>
      </w:pPr>
    </w:p>
    <w:p w14:paraId="1D4D5D3B">
      <w:pPr>
        <w:rPr>
          <w:rFonts w:ascii="宋体" w:hAnsi="宋体"/>
          <w:color w:val="auto"/>
          <w:highlight w:val="none"/>
        </w:rPr>
      </w:pPr>
    </w:p>
    <w:p w14:paraId="7D3C6319">
      <w:pPr>
        <w:rPr>
          <w:rFonts w:ascii="宋体" w:hAnsi="宋体"/>
          <w:color w:val="auto"/>
          <w:highlight w:val="none"/>
        </w:rPr>
      </w:pPr>
    </w:p>
    <w:p w14:paraId="0D9695F3">
      <w:pPr>
        <w:pStyle w:val="7"/>
        <w:rPr>
          <w:rFonts w:ascii="宋体" w:hAnsi="宋体"/>
          <w:color w:val="auto"/>
          <w:highlight w:val="none"/>
        </w:rPr>
      </w:pPr>
    </w:p>
    <w:p w14:paraId="4B197319">
      <w:pPr>
        <w:rPr>
          <w:rFonts w:ascii="宋体" w:hAnsi="宋体"/>
          <w:color w:val="auto"/>
          <w:highlight w:val="none"/>
        </w:rPr>
      </w:pPr>
    </w:p>
    <w:p w14:paraId="65017E34">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highlight w:val="none"/>
        </w:rPr>
        <w:t>合同编号：</w:t>
      </w:r>
      <w:r>
        <w:rPr>
          <w:rFonts w:ascii="宋体" w:hAnsi="宋体"/>
          <w:b/>
          <w:color w:val="auto"/>
          <w:sz w:val="28"/>
          <w:szCs w:val="28"/>
          <w:highlight w:val="none"/>
          <w:u w:val="single"/>
        </w:rPr>
        <w:t xml:space="preserve">                 </w:t>
      </w:r>
    </w:p>
    <w:p w14:paraId="16CA7B70">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甲方：</w:t>
      </w:r>
      <w:r>
        <w:rPr>
          <w:rFonts w:hint="eastAsia" w:ascii="宋体" w:hAnsi="宋体"/>
          <w:b/>
          <w:color w:val="auto"/>
          <w:sz w:val="28"/>
          <w:szCs w:val="28"/>
          <w:highlight w:val="none"/>
          <w:u w:val="single"/>
        </w:rPr>
        <w:t xml:space="preserve">                     </w:t>
      </w:r>
    </w:p>
    <w:p w14:paraId="23DD0C75">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乙方：</w:t>
      </w:r>
      <w:r>
        <w:rPr>
          <w:rFonts w:hint="eastAsia" w:ascii="宋体" w:hAnsi="宋体"/>
          <w:b/>
          <w:color w:val="auto"/>
          <w:sz w:val="28"/>
          <w:szCs w:val="28"/>
          <w:highlight w:val="none"/>
          <w:u w:val="single"/>
        </w:rPr>
        <w:t xml:space="preserve">                     </w:t>
      </w:r>
    </w:p>
    <w:p w14:paraId="1E67F7A8">
      <w:pPr>
        <w:adjustRightInd w:val="0"/>
        <w:snapToGrid w:val="0"/>
        <w:spacing w:line="360" w:lineRule="auto"/>
        <w:jc w:val="center"/>
        <w:rPr>
          <w:rFonts w:ascii="宋体" w:hAnsi="宋体"/>
          <w:color w:val="auto"/>
          <w:sz w:val="28"/>
          <w:szCs w:val="28"/>
          <w:highlight w:val="none"/>
        </w:rPr>
      </w:pPr>
    </w:p>
    <w:p w14:paraId="6045E82E">
      <w:pPr>
        <w:adjustRightInd w:val="0"/>
        <w:snapToGrid w:val="0"/>
        <w:spacing w:line="360" w:lineRule="auto"/>
        <w:rPr>
          <w:rFonts w:ascii="宋体" w:hAnsi="宋体"/>
          <w:color w:val="auto"/>
          <w:sz w:val="28"/>
          <w:szCs w:val="28"/>
          <w:highlight w:val="none"/>
        </w:rPr>
      </w:pPr>
    </w:p>
    <w:p w14:paraId="52A84B1E">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567FE6B1">
      <w:pPr>
        <w:pStyle w:val="19"/>
        <w:ind w:firstLine="210"/>
        <w:rPr>
          <w:rFonts w:hint="eastAsia"/>
          <w:color w:val="auto"/>
          <w:highlight w:val="none"/>
        </w:rPr>
      </w:pPr>
    </w:p>
    <w:p w14:paraId="6F1755FD">
      <w:pPr>
        <w:snapToGrid w:val="0"/>
        <w:spacing w:line="360" w:lineRule="auto"/>
        <w:ind w:firstLine="420" w:firstLineChars="200"/>
        <w:rPr>
          <w:rFonts w:hint="eastAsia" w:ascii="宋体" w:hAnsi="宋体" w:cs="宋体"/>
          <w:color w:val="auto"/>
          <w:szCs w:val="21"/>
          <w:highlight w:val="none"/>
        </w:rPr>
      </w:pPr>
    </w:p>
    <w:p w14:paraId="49322E96">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甲方：</w:t>
      </w:r>
      <w:r>
        <w:rPr>
          <w:rFonts w:hint="eastAsia" w:ascii="宋体" w:hAnsi="宋体" w:cs="宋体"/>
          <w:color w:val="auto"/>
          <w:szCs w:val="21"/>
          <w:highlight w:val="none"/>
          <w:u w:val="single"/>
          <w:lang w:val="en-US" w:eastAsia="zh-CN"/>
        </w:rPr>
        <w:t xml:space="preserve">               </w:t>
      </w:r>
    </w:p>
    <w:p w14:paraId="545404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4157297D">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68C0F098">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6BC74650">
      <w:pPr>
        <w:snapToGrid w:val="0"/>
        <w:spacing w:line="360" w:lineRule="auto"/>
        <w:ind w:firstLine="422" w:firstLineChars="200"/>
        <w:rPr>
          <w:rFonts w:hint="eastAsia" w:ascii="宋体" w:hAnsi="宋体" w:cs="宋体"/>
          <w:b/>
          <w:bCs/>
          <w:color w:val="auto"/>
          <w:szCs w:val="21"/>
          <w:highlight w:val="none"/>
        </w:rPr>
      </w:pPr>
    </w:p>
    <w:p w14:paraId="68771393">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14:paraId="4B7B82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34DFE422">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692C3962">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3168B3E7">
      <w:pPr>
        <w:snapToGrid w:val="0"/>
        <w:spacing w:after="156" w:afterLines="50" w:line="360" w:lineRule="auto"/>
        <w:ind w:firstLine="420" w:firstLineChars="200"/>
        <w:rPr>
          <w:rFonts w:hint="eastAsia" w:ascii="宋体" w:hAnsi="宋体" w:eastAsia="宋体" w:cs="宋体"/>
          <w:color w:val="auto"/>
          <w:szCs w:val="21"/>
          <w:highlight w:val="none"/>
        </w:rPr>
      </w:pPr>
    </w:p>
    <w:p w14:paraId="1D53BD57">
      <w:pPr>
        <w:snapToGrid w:val="0"/>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根据《中华人民共和国民法典》及相关法律、法规的规定，甲乙双方本着诚实守信、合作共赢的原则，结合本项目的具体情况，甲、乙双方在自愿、平等、协商一致的基础上签订本合同。</w:t>
      </w:r>
    </w:p>
    <w:p w14:paraId="38205B0A">
      <w:pPr>
        <w:pStyle w:val="7"/>
        <w:rPr>
          <w:rFonts w:hint="eastAsia" w:asciiTheme="minorEastAsia" w:hAnsiTheme="minorEastAsia" w:cstheme="minorEastAsia"/>
        </w:rPr>
      </w:pPr>
    </w:p>
    <w:p w14:paraId="27075A00">
      <w:pPr>
        <w:snapToGrid w:val="0"/>
        <w:spacing w:line="360" w:lineRule="auto"/>
        <w:ind w:firstLine="426" w:firstLineChars="202"/>
        <w:rPr>
          <w:rFonts w:hint="eastAsia" w:ascii="宋体" w:hAnsi="宋体" w:eastAsia="宋体" w:cs="宋体"/>
          <w:b/>
          <w:bCs/>
          <w:szCs w:val="21"/>
          <w:shd w:val="clear" w:color="auto" w:fill="FFFFFF"/>
          <w:lang w:val="en-US" w:eastAsia="zh-CN"/>
        </w:rPr>
      </w:pPr>
      <w:bookmarkStart w:id="99" w:name="OLE_LINK21"/>
      <w:r>
        <w:rPr>
          <w:rFonts w:hint="eastAsia" w:ascii="宋体" w:hAnsi="宋体" w:eastAsia="宋体" w:cs="宋体"/>
          <w:b/>
          <w:bCs/>
          <w:szCs w:val="21"/>
          <w:shd w:val="clear" w:color="auto" w:fill="FFFFFF"/>
        </w:rPr>
        <w:t>第一条 合同</w:t>
      </w:r>
      <w:r>
        <w:rPr>
          <w:rFonts w:hint="eastAsia" w:ascii="宋体" w:hAnsi="宋体" w:eastAsia="宋体" w:cs="宋体"/>
          <w:b/>
          <w:bCs/>
          <w:szCs w:val="21"/>
          <w:shd w:val="clear" w:color="auto" w:fill="FFFFFF"/>
          <w:lang w:val="en-US" w:eastAsia="zh-CN"/>
        </w:rPr>
        <w:t>采购内容</w:t>
      </w:r>
    </w:p>
    <w:p w14:paraId="28C56EF3">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本合同采购水业大厦标识导向系统及消防栓、防火门美化的设计、制作与安装</w:t>
      </w:r>
      <w:r>
        <w:rPr>
          <w:rFonts w:hint="eastAsia" w:ascii="宋体" w:hAnsi="宋体" w:eastAsia="宋体" w:cs="宋体"/>
          <w:szCs w:val="21"/>
          <w:shd w:val="clear" w:color="auto" w:fill="FFFFFF"/>
          <w:lang w:eastAsia="zh-CN"/>
        </w:rPr>
        <w:t>。</w:t>
      </w:r>
    </w:p>
    <w:p w14:paraId="6892E320">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（一）标识导向系统范围为水业大厦地上建筑全域，包括但不限于：</w:t>
      </w:r>
    </w:p>
    <w:p w14:paraId="7134DD14">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1.大厦外部（入口广场、主入口、停车场入口、绿化地带、非机动车停放区）；</w:t>
      </w:r>
    </w:p>
    <w:p w14:paraId="10EB06A6">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2.室内公共区域（一层大堂、各楼层走廊、电梯厅、楼梯间、集团内部办公区域）；</w:t>
      </w:r>
    </w:p>
    <w:p w14:paraId="3529AC20">
      <w:pPr>
        <w:snapToGrid w:val="0"/>
        <w:spacing w:line="360" w:lineRule="auto"/>
        <w:ind w:firstLine="420" w:firstLineChars="200"/>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3.功能区域（卫生间、消防通道、设备间）；</w:t>
      </w:r>
    </w:p>
    <w:p w14:paraId="0D752D78">
      <w:pPr>
        <w:pStyle w:val="7"/>
        <w:spacing w:line="360" w:lineRule="auto"/>
        <w:ind w:firstLine="420" w:firstLineChars="200"/>
        <w:rPr>
          <w:rFonts w:hint="eastAsia" w:ascii="宋体" w:hAnsi="宋体"/>
          <w:szCs w:val="21"/>
          <w:lang w:val="zh-CN"/>
        </w:rPr>
      </w:pPr>
      <w:r>
        <w:rPr>
          <w:rFonts w:hint="eastAsia" w:ascii="宋体" w:hAnsi="宋体" w:eastAsia="宋体" w:cs="宋体"/>
          <w:szCs w:val="21"/>
          <w:shd w:val="clear" w:color="auto" w:fill="FFFFFF"/>
          <w:lang w:eastAsia="zh-CN"/>
        </w:rPr>
        <w:t>（二）消防栓、防火门美化项目范围为水业大厦内部消防栓、消防门外露部分。</w:t>
      </w:r>
    </w:p>
    <w:bookmarkEnd w:id="99"/>
    <w:p w14:paraId="0D22333C">
      <w:pPr>
        <w:pStyle w:val="7"/>
        <w:rPr>
          <w:rFonts w:hint="eastAsia" w:asciiTheme="minorEastAsia" w:hAnsiTheme="minorEastAsia" w:cstheme="minorEastAsia"/>
          <w:szCs w:val="21"/>
        </w:rPr>
      </w:pPr>
    </w:p>
    <w:p w14:paraId="16061935">
      <w:pPr>
        <w:spacing w:line="360" w:lineRule="auto"/>
        <w:ind w:firstLine="422" w:firstLineChars="200"/>
        <w:outlineLvl w:val="0"/>
        <w:rPr>
          <w:rFonts w:hint="eastAsia" w:ascii="宋体" w:hAnsi="宋体" w:eastAsia="宋体" w:cs="宋体"/>
          <w:szCs w:val="21"/>
          <w:u w:val="single"/>
          <w:lang w:eastAsia="zh-CN"/>
        </w:rPr>
      </w:pPr>
      <w:r>
        <w:rPr>
          <w:rFonts w:hint="eastAsia" w:ascii="宋体" w:hAnsi="宋体" w:eastAsia="宋体" w:cs="宋体"/>
          <w:b/>
          <w:szCs w:val="21"/>
        </w:rPr>
        <w:t xml:space="preserve">第二条 </w:t>
      </w:r>
      <w:r>
        <w:rPr>
          <w:rFonts w:hint="eastAsia" w:ascii="宋体" w:hAnsi="宋体" w:cs="宋体"/>
          <w:b/>
          <w:szCs w:val="21"/>
          <w:lang w:val="en-US" w:eastAsia="zh-CN"/>
        </w:rPr>
        <w:t>交货期</w:t>
      </w:r>
      <w:r>
        <w:rPr>
          <w:rFonts w:hint="eastAsia" w:ascii="宋体" w:hAnsi="宋体" w:eastAsia="宋体" w:cs="宋体"/>
          <w:b/>
          <w:szCs w:val="21"/>
        </w:rPr>
        <w:t>及</w:t>
      </w:r>
      <w:r>
        <w:rPr>
          <w:rFonts w:hint="eastAsia" w:ascii="宋体" w:hAnsi="宋体" w:cs="宋体"/>
          <w:b/>
          <w:szCs w:val="21"/>
          <w:lang w:val="en-US" w:eastAsia="zh-CN"/>
        </w:rPr>
        <w:t>交货地点</w:t>
      </w:r>
    </w:p>
    <w:p w14:paraId="55B6E497">
      <w:pPr>
        <w:spacing w:line="360" w:lineRule="auto"/>
        <w:ind w:firstLine="420" w:firstLineChars="200"/>
        <w:outlineLvl w:val="1"/>
        <w:rPr>
          <w:rFonts w:hint="default" w:ascii="宋体" w:hAnsi="宋体" w:eastAsia="宋体" w:cs="宋体"/>
          <w:szCs w:val="21"/>
          <w:lang w:val="en-US" w:eastAsia="zh-CN"/>
        </w:rPr>
      </w:pPr>
      <w:r>
        <w:rPr>
          <w:rFonts w:hint="eastAsia" w:ascii="宋体" w:hAnsi="宋体" w:eastAsia="宋体" w:cs="宋体"/>
          <w:szCs w:val="21"/>
          <w:shd w:val="clear" w:color="auto" w:fill="FFFFFF"/>
          <w:lang w:eastAsia="zh-CN"/>
        </w:rPr>
        <w:t>（一）</w:t>
      </w:r>
      <w:r>
        <w:rPr>
          <w:rFonts w:hint="eastAsia" w:ascii="宋体" w:hAnsi="宋体" w:cs="宋体"/>
          <w:szCs w:val="21"/>
          <w:lang w:val="en-US" w:eastAsia="zh-CN"/>
        </w:rPr>
        <w:t>交货期：自合同签订之日起20天内完成</w:t>
      </w:r>
      <w:r>
        <w:rPr>
          <w:rFonts w:hint="eastAsia" w:asciiTheme="minorEastAsia" w:hAnsiTheme="minorEastAsia" w:cstheme="minorEastAsia"/>
          <w:szCs w:val="21"/>
        </w:rPr>
        <w:t>合同约定的</w:t>
      </w:r>
      <w:r>
        <w:rPr>
          <w:rFonts w:hint="eastAsia" w:asciiTheme="minorEastAsia" w:hAnsiTheme="minorEastAsia" w:cstheme="minorEastAsia"/>
          <w:szCs w:val="21"/>
          <w:lang w:val="en-US" w:eastAsia="zh-CN"/>
        </w:rPr>
        <w:t>除质保</w:t>
      </w:r>
      <w:r>
        <w:rPr>
          <w:rFonts w:hint="eastAsia" w:asciiTheme="minorEastAsia" w:hAnsiTheme="minorEastAsia" w:cstheme="minorEastAsia"/>
          <w:szCs w:val="21"/>
        </w:rPr>
        <w:t>服务外的全部服务内容</w:t>
      </w:r>
      <w:r>
        <w:rPr>
          <w:rFonts w:hint="eastAsia" w:ascii="宋体" w:hAnsi="宋体" w:cs="宋体"/>
          <w:szCs w:val="21"/>
          <w:lang w:val="en-US" w:eastAsia="zh-CN"/>
        </w:rPr>
        <w:t>，包含设计、制作、供货、安装等。另外，甲方要求乙方分阶段进行交付：自合同签订之日起3日内乙方完成所有标识设计初稿并报甲方确认，甲方提出修改意见后，乙方应在2日内完成深化设计，提交终稿并经甲方审议通过定稿。如甲方需乙方提供设计小样，并张挂至水业大厦指定位置，乙方应配合，费用包含在合同价内，甲方不另外支付费用。</w:t>
      </w:r>
    </w:p>
    <w:p w14:paraId="1FB89D93">
      <w:pPr>
        <w:pStyle w:val="40"/>
        <w:spacing w:line="360" w:lineRule="auto"/>
        <w:rPr>
          <w:rFonts w:hint="eastAsia" w:asciiTheme="minorEastAsia" w:hAnsiTheme="minorEastAsia" w:cstheme="minorEastAsia"/>
          <w:szCs w:val="21"/>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二</w:t>
      </w:r>
      <w:r>
        <w:rPr>
          <w:rFonts w:hint="eastAsia" w:ascii="宋体" w:hAnsi="宋体" w:eastAsia="宋体" w:cs="宋体"/>
          <w:szCs w:val="21"/>
          <w:shd w:val="clear" w:color="auto" w:fill="FFFFFF"/>
          <w:lang w:eastAsia="zh-CN"/>
        </w:rPr>
        <w:t>）</w:t>
      </w:r>
      <w:r>
        <w:rPr>
          <w:rFonts w:hint="eastAsia" w:ascii="宋体" w:hAnsi="宋体" w:cs="宋体"/>
          <w:szCs w:val="21"/>
          <w:lang w:val="en-US" w:eastAsia="zh-CN"/>
        </w:rPr>
        <w:t>交货</w:t>
      </w:r>
      <w:r>
        <w:rPr>
          <w:rFonts w:hint="eastAsia" w:ascii="宋体" w:hAnsi="宋体" w:eastAsia="宋体" w:cs="宋体"/>
          <w:szCs w:val="21"/>
        </w:rPr>
        <w:t>地点：东莞市南城街道宏图路16号水业大厦。</w:t>
      </w:r>
    </w:p>
    <w:p w14:paraId="06D2C3EA">
      <w:pPr>
        <w:pStyle w:val="7"/>
        <w:rPr>
          <w:rFonts w:hint="eastAsia"/>
        </w:rPr>
      </w:pPr>
    </w:p>
    <w:p w14:paraId="436DC9CC">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bCs/>
          <w:szCs w:val="21"/>
          <w:shd w:val="clear" w:color="auto" w:fill="FFFFFF"/>
        </w:rPr>
        <w:t>第</w:t>
      </w:r>
      <w:r>
        <w:rPr>
          <w:rFonts w:hint="eastAsia" w:ascii="宋体" w:hAnsi="宋体" w:eastAsia="宋体" w:cs="宋体"/>
          <w:b/>
          <w:bCs/>
          <w:szCs w:val="21"/>
          <w:shd w:val="clear" w:color="auto" w:fill="FFFFFF"/>
          <w:lang w:val="en-US" w:eastAsia="zh-CN"/>
        </w:rPr>
        <w:t>三</w:t>
      </w:r>
      <w:r>
        <w:rPr>
          <w:rFonts w:hint="eastAsia" w:ascii="宋体" w:hAnsi="宋体" w:eastAsia="宋体" w:cs="宋体"/>
          <w:b/>
          <w:bCs/>
          <w:szCs w:val="21"/>
          <w:shd w:val="clear" w:color="auto" w:fill="FFFFFF"/>
        </w:rPr>
        <w:t xml:space="preserve">条 </w:t>
      </w:r>
      <w:r>
        <w:rPr>
          <w:rFonts w:hint="eastAsia" w:ascii="宋体" w:hAnsi="宋体" w:eastAsia="宋体" w:cs="宋体"/>
          <w:b/>
          <w:szCs w:val="21"/>
        </w:rPr>
        <w:t>合同价款及支付方式</w:t>
      </w:r>
    </w:p>
    <w:p w14:paraId="7D1823A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shd w:val="clear" w:color="auto" w:fill="FFFFFF"/>
          <w:lang w:eastAsia="zh-CN"/>
        </w:rPr>
        <w:t>（一）</w:t>
      </w:r>
      <w:r>
        <w:rPr>
          <w:rFonts w:hint="eastAsia" w:ascii="宋体" w:hAnsi="宋体" w:eastAsia="宋体" w:cs="宋体"/>
          <w:szCs w:val="21"/>
        </w:rPr>
        <w:t>本合同价（即销售额，不含乙方销项税额，下同）为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）。在本合同履行过程中，合同价（即销售额，不含乙方销项税额）不随法律法规政策、物价、人工、服务期调整而进行调整，未经甲方书面确认，乙方无权增加任何费用。</w:t>
      </w:r>
    </w:p>
    <w:p w14:paraId="0B3CBDD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二</w:t>
      </w:r>
      <w:r>
        <w:rPr>
          <w:rFonts w:hint="eastAsia" w:ascii="宋体" w:hAnsi="宋体" w:eastAsia="宋体" w:cs="宋体"/>
          <w:szCs w:val="21"/>
          <w:shd w:val="clear" w:color="auto" w:fill="FFFFFF"/>
          <w:lang w:eastAsia="zh-CN"/>
        </w:rPr>
        <w:t>）</w:t>
      </w:r>
      <w:r>
        <w:rPr>
          <w:rFonts w:hint="eastAsia" w:ascii="宋体" w:hAnsi="宋体" w:eastAsia="宋体" w:cs="宋体"/>
          <w:szCs w:val="21"/>
        </w:rPr>
        <w:t>依法计得并根据本合同约定确定的增值税销项税额由甲方承担。根据《中华人民共和国增值税暂行条例》(国务院令第691号修订版)及当前税务部门的相关规定，本合同项目的增值税税率暂定为  %，对应的销项税额暂定为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），乙方的增值税销项税额按实结算。但因乙方未根据合同要求按时按质完成</w:t>
      </w:r>
      <w:r>
        <w:rPr>
          <w:rFonts w:hint="eastAsia" w:ascii="宋体" w:hAnsi="宋体" w:cs="宋体"/>
          <w:szCs w:val="21"/>
          <w:lang w:val="en-US" w:eastAsia="zh-CN"/>
        </w:rPr>
        <w:t>供货</w:t>
      </w:r>
      <w:r>
        <w:rPr>
          <w:rFonts w:hint="eastAsia" w:ascii="宋体" w:hAnsi="宋体" w:eastAsia="宋体" w:cs="宋体"/>
          <w:szCs w:val="21"/>
        </w:rPr>
        <w:t>、未根据合同要求提供合法、完整、准确的请款资料等乙方原因导致增值税销项税额增加的，增加的税额及相应损失均由乙方承担。</w:t>
      </w:r>
    </w:p>
    <w:p w14:paraId="5935E9CA">
      <w:pPr>
        <w:adjustRightInd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r>
        <w:rPr>
          <w:rFonts w:hint="eastAsia" w:ascii="宋体" w:hAnsi="宋体" w:eastAsia="宋体" w:cs="宋体"/>
          <w:sz w:val="21"/>
          <w:szCs w:val="21"/>
          <w:lang w:eastAsia="zh-CN"/>
        </w:rPr>
        <w:t>。</w:t>
      </w:r>
    </w:p>
    <w:p w14:paraId="312C6D0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三</w:t>
      </w:r>
      <w:r>
        <w:rPr>
          <w:rFonts w:hint="eastAsia" w:ascii="宋体" w:hAnsi="宋体" w:eastAsia="宋体" w:cs="宋体"/>
          <w:szCs w:val="21"/>
          <w:shd w:val="clear" w:color="auto" w:fill="FFFFFF"/>
          <w:lang w:eastAsia="zh-CN"/>
        </w:rPr>
        <w:t>）</w:t>
      </w:r>
      <w:r>
        <w:rPr>
          <w:rFonts w:hint="eastAsia" w:ascii="宋体" w:hAnsi="宋体" w:eastAsia="宋体" w:cs="宋体"/>
          <w:sz w:val="21"/>
          <w:szCs w:val="21"/>
        </w:rPr>
        <w:t>合同价税合计为：</w:t>
      </w:r>
      <w:r>
        <w:rPr>
          <w:rFonts w:hint="eastAsia" w:ascii="宋体" w:hAnsi="宋体" w:eastAsia="宋体" w:cs="宋体"/>
          <w:sz w:val="21"/>
          <w:szCs w:val="21"/>
          <w:u w:val="single"/>
        </w:rPr>
        <w:t xml:space="preserve">    </w:t>
      </w:r>
      <w:r>
        <w:rPr>
          <w:rFonts w:hint="eastAsia" w:ascii="宋体" w:hAnsi="宋体" w:eastAsia="宋体" w:cs="宋体"/>
          <w:sz w:val="21"/>
          <w:szCs w:val="21"/>
        </w:rPr>
        <w:t>元（大写人民币</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合同履行期间根据本条第2项规定调整销项税额的，结算</w:t>
      </w:r>
      <w:r>
        <w:rPr>
          <w:rFonts w:hint="eastAsia" w:ascii="宋体" w:hAnsi="宋体" w:eastAsia="宋体" w:cs="宋体"/>
          <w:sz w:val="21"/>
          <w:szCs w:val="21"/>
          <w:lang w:val="en-US" w:eastAsia="zh-CN"/>
        </w:rPr>
        <w:t>合同</w:t>
      </w:r>
      <w:r>
        <w:rPr>
          <w:rFonts w:hint="eastAsia" w:ascii="宋体" w:hAnsi="宋体" w:eastAsia="宋体" w:cs="宋体"/>
          <w:sz w:val="21"/>
          <w:szCs w:val="21"/>
        </w:rPr>
        <w:t>价税合计对应调整。</w:t>
      </w:r>
    </w:p>
    <w:p w14:paraId="5EF0D9E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四</w:t>
      </w:r>
      <w:r>
        <w:rPr>
          <w:rFonts w:hint="eastAsia" w:ascii="宋体" w:hAnsi="宋体" w:eastAsia="宋体" w:cs="宋体"/>
          <w:szCs w:val="21"/>
          <w:shd w:val="clear" w:color="auto" w:fill="FFFFFF"/>
          <w:lang w:eastAsia="zh-CN"/>
        </w:rPr>
        <w:t>）</w:t>
      </w:r>
      <w:r>
        <w:rPr>
          <w:rFonts w:hint="eastAsia" w:ascii="宋体" w:hAnsi="宋体" w:eastAsia="宋体" w:cs="宋体"/>
          <w:sz w:val="21"/>
          <w:szCs w:val="21"/>
        </w:rPr>
        <w:t>合同价（不含乙方销项税额）</w:t>
      </w:r>
      <w:r>
        <w:rPr>
          <w:rFonts w:hint="eastAsia" w:ascii="宋体" w:hAnsi="宋体" w:eastAsia="宋体" w:cs="宋体"/>
          <w:sz w:val="21"/>
          <w:szCs w:val="21"/>
          <w:lang w:val="en-US" w:eastAsia="zh-CN"/>
        </w:rPr>
        <w:t>为</w:t>
      </w:r>
      <w:r>
        <w:rPr>
          <w:rFonts w:hint="eastAsia" w:ascii="宋体" w:hAnsi="宋体" w:eastAsia="宋体" w:cs="宋体"/>
          <w:sz w:val="21"/>
          <w:szCs w:val="21"/>
        </w:rPr>
        <w:t>乙方完成应承担合同义务的全部费用，包括但不限于：</w:t>
      </w:r>
    </w:p>
    <w:p w14:paraId="381C31F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1.合同</w:t>
      </w:r>
      <w:r>
        <w:rPr>
          <w:rFonts w:hint="eastAsia" w:ascii="宋体" w:hAnsi="宋体" w:eastAsia="宋体" w:cs="宋体"/>
          <w:sz w:val="21"/>
          <w:szCs w:val="21"/>
        </w:rPr>
        <w:t>范围内所有货物及其相关的服务所需的设计费、采购费、制造费、包装费、运至采购指定地点的运输费（退送货）、装卸费、搬运费、材料费、安装（含安全防护）费、小样制作及安装费、场地清洁费、保险费、人工费、调试费、验收费、售后服务费等费用；</w:t>
      </w:r>
    </w:p>
    <w:p w14:paraId="576500A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免费的质保服务；</w:t>
      </w:r>
    </w:p>
    <w:p w14:paraId="6C74D0F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供货货物及其工艺所有制造方、使用方应支付的对专有技术、商标权、专利权和版权、设计或其他知识产权而需要向其他方支付的版税</w:t>
      </w:r>
    </w:p>
    <w:p w14:paraId="1D351A5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合理利润、乙方销项税额以外的税费等；</w:t>
      </w:r>
    </w:p>
    <w:p w14:paraId="11766CC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法律法规、商业公认、询价文件规定由乙方承担的其他费用。未经甲方书面同意，乙方（包括但不限于乙方指定的第三方）不得要求甲方另行支付其他任何费用。</w:t>
      </w:r>
    </w:p>
    <w:p w14:paraId="7A497EFA">
      <w:pPr>
        <w:adjustRightInd w:val="0"/>
        <w:snapToGrid w:val="0"/>
        <w:spacing w:line="360" w:lineRule="auto"/>
        <w:ind w:firstLine="420" w:firstLineChars="200"/>
        <w:rPr>
          <w:rFonts w:hint="eastAsia" w:ascii="宋体" w:hAnsi="宋体" w:eastAsia="宋体" w:cs="宋体"/>
          <w:sz w:val="21"/>
          <w:szCs w:val="21"/>
          <w:highlight w:val="yellow"/>
          <w:lang w:val="en-US" w:eastAsia="zh-CN"/>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五</w:t>
      </w:r>
      <w:r>
        <w:rPr>
          <w:rFonts w:hint="eastAsia" w:ascii="宋体" w:hAnsi="宋体" w:eastAsia="宋体" w:cs="宋体"/>
          <w:szCs w:val="21"/>
          <w:shd w:val="clear" w:color="auto" w:fill="FFFFFF"/>
          <w:lang w:eastAsia="zh-CN"/>
        </w:rPr>
        <w:t>）</w:t>
      </w:r>
      <w:r>
        <w:rPr>
          <w:rFonts w:hint="eastAsia" w:ascii="宋体" w:hAnsi="宋体" w:eastAsia="宋体" w:cs="宋体"/>
          <w:sz w:val="21"/>
          <w:szCs w:val="21"/>
          <w:lang w:val="en-US" w:eastAsia="zh-CN"/>
        </w:rPr>
        <w:t>支付方式：</w:t>
      </w:r>
      <w:r>
        <w:rPr>
          <w:rFonts w:hint="eastAsia" w:ascii="宋体" w:hAnsi="宋体" w:eastAsia="宋体" w:cs="宋体"/>
          <w:b w:val="0"/>
          <w:bCs w:val="0"/>
          <w:color w:val="auto"/>
          <w:sz w:val="21"/>
          <w:szCs w:val="21"/>
          <w:highlight w:val="none"/>
          <w:lang w:val="en-US" w:eastAsia="zh-CN"/>
        </w:rPr>
        <w:t>乙方完成所有标识导向系统及消防栓、消防门外露部分美化的设计、制作、供货安装，并经甲方验收合格出具验收报告后，乙方向甲方提供请款报告及合法、有效的增值税专用发票并经甲方审核无误后15个工作日内向乙方支付合同价的90%及对应增值税税额（在乙方申请本期款时，需一并提交本合同结算款余款对应的增值税专用发票）。剩余合同价的10%及对应的税额作为质保金，质保期届满后根据乙方提供货物质量情况及履行质保期义务的情况，由甲乙双方进行结算。甲方在收到乙方提交的请款报告及原已出具的增值税专用发票复印件并确认无误后15个工作日内向乙方支付。</w:t>
      </w:r>
    </w:p>
    <w:p w14:paraId="76897C29">
      <w:pPr>
        <w:adjustRightInd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六</w:t>
      </w:r>
      <w:r>
        <w:rPr>
          <w:rFonts w:hint="eastAsia" w:ascii="宋体" w:hAnsi="宋体" w:eastAsia="宋体" w:cs="宋体"/>
          <w:szCs w:val="21"/>
          <w:shd w:val="clear" w:color="auto" w:fill="FFFFFF"/>
          <w:lang w:eastAsia="zh-CN"/>
        </w:rPr>
        <w:t>）</w:t>
      </w:r>
      <w:r>
        <w:rPr>
          <w:rFonts w:hint="eastAsia" w:ascii="宋体" w:hAnsi="宋体" w:eastAsia="宋体" w:cs="宋体"/>
          <w:sz w:val="21"/>
          <w:szCs w:val="21"/>
        </w:rPr>
        <w:t>以上款项由甲方直接以银行转账形式支付给乙方。乙方逾期提交请款材料或提交材料不符合甲方要求的，甲方有权顺延支付相应款项，并不承担逾期付款的违约责任，乙方不得以此为由拒绝履行合同义务。由于乙方提供的发票不符合税法规定，给甲方造成的损失由乙方承担赔偿责任</w:t>
      </w:r>
      <w:r>
        <w:rPr>
          <w:rFonts w:hint="eastAsia" w:ascii="宋体" w:hAnsi="宋体" w:cs="宋体"/>
          <w:sz w:val="21"/>
          <w:szCs w:val="21"/>
          <w:lang w:val="en-US" w:eastAsia="zh-CN"/>
        </w:rPr>
        <w:t>。</w:t>
      </w:r>
    </w:p>
    <w:p w14:paraId="1004AF1A">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Cs w:val="21"/>
          <w:shd w:val="clear" w:color="auto" w:fill="FFFFFF"/>
          <w:lang w:eastAsia="zh-CN"/>
        </w:rPr>
        <w:t>（</w:t>
      </w:r>
      <w:r>
        <w:rPr>
          <w:rFonts w:hint="eastAsia" w:ascii="宋体" w:hAnsi="宋体" w:cs="宋体"/>
          <w:szCs w:val="21"/>
          <w:shd w:val="clear" w:color="auto" w:fill="FFFFFF"/>
          <w:lang w:val="en-US" w:eastAsia="zh-CN"/>
        </w:rPr>
        <w:t>七</w:t>
      </w:r>
      <w:r>
        <w:rPr>
          <w:rFonts w:hint="eastAsia" w:ascii="宋体" w:hAnsi="宋体" w:eastAsia="宋体" w:cs="宋体"/>
          <w:szCs w:val="21"/>
          <w:shd w:val="clear" w:color="auto" w:fill="FFFFFF"/>
          <w:lang w:eastAsia="zh-CN"/>
        </w:rPr>
        <w:t>）</w:t>
      </w:r>
      <w:r>
        <w:rPr>
          <w:rFonts w:hint="eastAsia" w:ascii="宋体" w:hAnsi="宋体" w:eastAsia="宋体" w:cs="宋体"/>
          <w:sz w:val="21"/>
          <w:szCs w:val="21"/>
        </w:rPr>
        <w:t>乙方收款账户信息</w:t>
      </w:r>
    </w:p>
    <w:p w14:paraId="14656D3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户名：</w:t>
      </w:r>
      <w:r>
        <w:rPr>
          <w:rFonts w:hint="eastAsia" w:ascii="宋体" w:hAnsi="宋体" w:eastAsia="宋体" w:cs="宋体"/>
          <w:sz w:val="21"/>
          <w:szCs w:val="21"/>
          <w:u w:val="single"/>
        </w:rPr>
        <w:t xml:space="preserve">                                      </w:t>
      </w:r>
    </w:p>
    <w:p w14:paraId="7D23274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u w:val="single"/>
        </w:rPr>
        <w:t xml:space="preserve">                                    </w:t>
      </w:r>
    </w:p>
    <w:p w14:paraId="3D8C063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p>
    <w:p w14:paraId="1F97F58D">
      <w:pPr>
        <w:spacing w:line="360" w:lineRule="auto"/>
        <w:ind w:firstLine="420" w:firstLineChars="200"/>
        <w:rPr>
          <w:rFonts w:hint="eastAsia" w:ascii="宋体" w:hAnsi="宋体" w:eastAsia="宋体" w:cs="宋体"/>
          <w:sz w:val="21"/>
          <w:szCs w:val="21"/>
        </w:rPr>
      </w:pPr>
    </w:p>
    <w:p w14:paraId="21B75225">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第四条 核心功能要求</w:t>
      </w:r>
    </w:p>
    <w:p w14:paraId="6B61F9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导向功能：实现“多级导向”，从水业大厦外部入口→室内大堂→目标楼层→目标区域的连贯指引，避免导向断层。关键节点标识覆盖，在大堂入口、电梯厅、楼层拐角、岔路口等易迷路位置，设置“总平图标识”“区域指引标识”“方向指示标识”。</w:t>
      </w:r>
    </w:p>
    <w:p w14:paraId="6AF067E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（二)识别功能：清晰标注信息，所有标识需明确标注“区域名称”“目标编号”“功能属性”等。</w:t>
      </w:r>
    </w:p>
    <w:p w14:paraId="35E6CE8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（三）警示与提示功能：安全警示，消防通道、消防设施、禁止吸烟区、高空作业区等位置，设置“警示标识”，采用红、黄等醒目颜色，搭配标准安全图标。</w:t>
      </w:r>
    </w:p>
    <w:p w14:paraId="1AAF736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（四）内部消防栓、消防门外露部分统一美化包装。</w:t>
      </w:r>
    </w:p>
    <w:p w14:paraId="1F4AD316">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shd w:val="clear" w:color="auto" w:fill="FFFFFF"/>
        </w:rPr>
      </w:pPr>
    </w:p>
    <w:p w14:paraId="777BF9C0">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shd w:val="clear" w:color="auto" w:fill="FFFFFF"/>
        </w:rPr>
        <w:t>第</w:t>
      </w:r>
      <w:r>
        <w:rPr>
          <w:rFonts w:hint="eastAsia" w:ascii="宋体" w:hAnsi="宋体" w:eastAsia="宋体" w:cs="宋体"/>
          <w:b/>
          <w:bCs/>
          <w:sz w:val="21"/>
          <w:szCs w:val="21"/>
          <w:shd w:val="clear" w:color="auto" w:fill="FFFFFF"/>
          <w:lang w:val="en-US" w:eastAsia="zh-CN"/>
        </w:rPr>
        <w:t>五</w:t>
      </w:r>
      <w:r>
        <w:rPr>
          <w:rFonts w:hint="eastAsia" w:ascii="宋体" w:hAnsi="宋体" w:eastAsia="宋体" w:cs="宋体"/>
          <w:b/>
          <w:bCs/>
          <w:sz w:val="21"/>
          <w:szCs w:val="21"/>
          <w:shd w:val="clear" w:color="auto" w:fill="FFFFFF"/>
        </w:rPr>
        <w:t xml:space="preserve">条 </w:t>
      </w:r>
      <w:r>
        <w:rPr>
          <w:rFonts w:hint="eastAsia" w:ascii="宋体" w:hAnsi="宋体" w:eastAsia="宋体" w:cs="宋体"/>
          <w:b/>
          <w:bCs/>
          <w:sz w:val="21"/>
          <w:szCs w:val="21"/>
        </w:rPr>
        <w:t>设计</w:t>
      </w:r>
      <w:r>
        <w:rPr>
          <w:rFonts w:hint="eastAsia" w:ascii="宋体" w:hAnsi="宋体" w:eastAsia="宋体" w:cs="宋体"/>
          <w:b/>
          <w:bCs/>
          <w:sz w:val="21"/>
          <w:szCs w:val="21"/>
          <w:lang w:eastAsia="zh-CN"/>
        </w:rPr>
        <w:t>、</w:t>
      </w:r>
      <w:r>
        <w:rPr>
          <w:rFonts w:hint="eastAsia" w:ascii="宋体" w:hAnsi="宋体" w:eastAsia="宋体" w:cs="宋体"/>
          <w:b/>
          <w:bCs/>
          <w:sz w:val="21"/>
          <w:szCs w:val="21"/>
        </w:rPr>
        <w:t>制作</w:t>
      </w:r>
      <w:r>
        <w:rPr>
          <w:rFonts w:hint="eastAsia" w:ascii="宋体" w:hAnsi="宋体" w:eastAsia="宋体" w:cs="宋体"/>
          <w:b/>
          <w:bCs/>
          <w:sz w:val="21"/>
          <w:szCs w:val="21"/>
          <w:lang w:val="en-US" w:eastAsia="zh-CN"/>
        </w:rPr>
        <w:t>与安装</w:t>
      </w:r>
      <w:r>
        <w:rPr>
          <w:rFonts w:hint="eastAsia" w:ascii="宋体" w:hAnsi="宋体" w:eastAsia="宋体" w:cs="宋体"/>
          <w:b/>
          <w:bCs/>
          <w:sz w:val="21"/>
          <w:szCs w:val="21"/>
        </w:rPr>
        <w:t>要求</w:t>
      </w:r>
    </w:p>
    <w:p w14:paraId="7B071F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（一）视觉设计：建筑协调性，与大厦外立面风格、室内装修风格统一，结合水务环境集团（</w:t>
      </w:r>
      <w:r>
        <w:rPr>
          <w:rFonts w:hint="eastAsia" w:ascii="宋体" w:hAnsi="宋体" w:eastAsia="宋体" w:cs="宋体"/>
          <w:sz w:val="21"/>
          <w:szCs w:val="21"/>
          <w:lang w:eastAsia="zh-CN"/>
        </w:rPr>
        <w:t>甲方</w:t>
      </w:r>
      <w:r>
        <w:rPr>
          <w:rFonts w:hint="eastAsia" w:ascii="宋体" w:hAnsi="宋体" w:eastAsia="宋体" w:cs="宋体"/>
          <w:sz w:val="21"/>
          <w:szCs w:val="21"/>
        </w:rPr>
        <w:t>上级单位）logo及整体VI设计，材质/色彩符合国家及行业相关标准的规定。</w:t>
      </w:r>
    </w:p>
    <w:p w14:paraId="71F6E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材质与工艺：外部标识需抗风雨、防腐蚀；室内高频接触区域（如电梯厅标识）需防刮擦、易清洁；所有材质包括但不限于不锈钢、铝合金、冷轧钢板、铜板、亚克力、PVC，需符合国家环保标准，避免异味、有毒物质释放。工艺适配性包括但不限于雕刻、烤漆、丝印、蚀刻、UV打印等。</w:t>
      </w:r>
    </w:p>
    <w:p w14:paraId="1CE3E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（三）制作要求：在制作前须与</w:t>
      </w:r>
      <w:r>
        <w:rPr>
          <w:rFonts w:hint="eastAsia" w:ascii="宋体" w:hAnsi="宋体" w:eastAsia="宋体" w:cs="宋体"/>
          <w:sz w:val="21"/>
          <w:szCs w:val="21"/>
          <w:lang w:eastAsia="zh-CN"/>
        </w:rPr>
        <w:t>甲方</w:t>
      </w:r>
      <w:r>
        <w:rPr>
          <w:rFonts w:hint="eastAsia" w:ascii="宋体" w:hAnsi="宋体" w:eastAsia="宋体" w:cs="宋体"/>
          <w:sz w:val="21"/>
          <w:szCs w:val="21"/>
        </w:rPr>
        <w:t>沟通明确范围、数量、费用等内容，经确认同意后执行，</w:t>
      </w:r>
      <w:r>
        <w:rPr>
          <w:rFonts w:hint="eastAsia" w:ascii="宋体" w:hAnsi="宋体" w:eastAsia="宋体" w:cs="宋体"/>
          <w:sz w:val="21"/>
          <w:szCs w:val="21"/>
          <w:lang w:eastAsia="zh-CN"/>
        </w:rPr>
        <w:t>甲方</w:t>
      </w:r>
      <w:r>
        <w:rPr>
          <w:rFonts w:hint="eastAsia" w:ascii="宋体" w:hAnsi="宋体" w:eastAsia="宋体" w:cs="宋体"/>
          <w:sz w:val="21"/>
          <w:szCs w:val="21"/>
        </w:rPr>
        <w:t>可视实际情况开展或取消部分项目，设计和制作工程量，最后按实结算。</w:t>
      </w:r>
    </w:p>
    <w:p w14:paraId="56062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rPr>
        <w:t>（四）</w:t>
      </w:r>
      <w:r>
        <w:rPr>
          <w:rFonts w:hint="eastAsia" w:ascii="宋体" w:hAnsi="宋体" w:eastAsia="宋体" w:cs="宋体"/>
          <w:sz w:val="21"/>
          <w:szCs w:val="21"/>
          <w:shd w:val="clear" w:color="auto" w:fill="FFFFFF"/>
          <w:lang w:eastAsia="zh-CN"/>
        </w:rPr>
        <w:t>本合同项下货物的包装均应有良好的防湿、防锈、防潮、防雨、防腐及防碰撞的措施，且货物的包装、运输、装卸方式均应符合国家及行业相关标准的规定。</w:t>
      </w:r>
    </w:p>
    <w:p w14:paraId="0A7BEC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五</w:t>
      </w:r>
      <w:r>
        <w:rPr>
          <w:rFonts w:hint="eastAsia" w:ascii="宋体" w:hAnsi="宋体" w:eastAsia="宋体" w:cs="宋体"/>
          <w:sz w:val="21"/>
          <w:szCs w:val="21"/>
        </w:rPr>
        <w:t>）</w:t>
      </w:r>
      <w:r>
        <w:rPr>
          <w:rFonts w:hint="eastAsia" w:ascii="宋体" w:hAnsi="宋体" w:eastAsia="宋体" w:cs="宋体"/>
          <w:sz w:val="21"/>
          <w:szCs w:val="21"/>
          <w:shd w:val="clear" w:color="auto" w:fill="FFFFFF"/>
          <w:lang w:eastAsia="zh-CN"/>
        </w:rPr>
        <w:t>所有</w:t>
      </w:r>
      <w:r>
        <w:rPr>
          <w:rFonts w:hint="eastAsia" w:ascii="宋体" w:hAnsi="宋体" w:eastAsia="宋体" w:cs="宋体"/>
          <w:sz w:val="21"/>
          <w:szCs w:val="21"/>
          <w:shd w:val="clear" w:color="auto" w:fill="FFFFFF"/>
          <w:lang w:val="en-US" w:eastAsia="zh-CN"/>
        </w:rPr>
        <w:t>货物</w:t>
      </w:r>
      <w:r>
        <w:rPr>
          <w:rFonts w:hint="eastAsia" w:ascii="宋体" w:hAnsi="宋体" w:eastAsia="宋体" w:cs="宋体"/>
          <w:sz w:val="21"/>
          <w:szCs w:val="21"/>
          <w:shd w:val="clear" w:color="auto" w:fill="FFFFFF"/>
          <w:lang w:eastAsia="zh-CN"/>
        </w:rPr>
        <w:t>由乙方自行选择适当的运输方式，并承担相应费用，负责按甲方指定的时间运送至</w:t>
      </w:r>
      <w:r>
        <w:rPr>
          <w:rFonts w:hint="eastAsia" w:ascii="宋体" w:hAnsi="宋体" w:eastAsia="宋体" w:cs="宋体"/>
          <w:sz w:val="21"/>
          <w:szCs w:val="21"/>
          <w:shd w:val="clear" w:color="auto" w:fill="FFFFFF"/>
          <w:lang w:val="en-US" w:eastAsia="zh-CN"/>
        </w:rPr>
        <w:t>指定</w:t>
      </w:r>
      <w:r>
        <w:rPr>
          <w:rFonts w:hint="eastAsia" w:ascii="宋体" w:hAnsi="宋体" w:eastAsia="宋体" w:cs="宋体"/>
          <w:sz w:val="21"/>
          <w:szCs w:val="21"/>
          <w:shd w:val="clear" w:color="auto" w:fill="FFFFFF"/>
          <w:lang w:eastAsia="zh-CN"/>
        </w:rPr>
        <w:t>地点并安放至甲方指定位置。在交货地点的卸货责任及费用，由乙方承担。如因装卸不当导致货物损失或人身伤害，乙方应承担全部责任。</w:t>
      </w:r>
    </w:p>
    <w:p w14:paraId="7205B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六</w:t>
      </w:r>
      <w:r>
        <w:rPr>
          <w:rFonts w:hint="eastAsia" w:ascii="宋体" w:hAnsi="宋体" w:eastAsia="宋体" w:cs="宋体"/>
          <w:sz w:val="21"/>
          <w:szCs w:val="21"/>
        </w:rPr>
        <w:t>）安装要求:标识需安装在“视线平视范围内”避免被遮挡（如绿植、广告牌）;墙面标识需固定牢固，避免松动；悬挂式标识（如大堂总平图）需平衡稳定，无摇晃风险；地面标识需耐磨、防滑。</w:t>
      </w:r>
    </w:p>
    <w:p w14:paraId="679227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七</w:t>
      </w:r>
      <w:r>
        <w:rPr>
          <w:rFonts w:hint="eastAsia" w:ascii="宋体" w:hAnsi="宋体" w:eastAsia="宋体" w:cs="宋体"/>
          <w:sz w:val="21"/>
          <w:szCs w:val="21"/>
        </w:rPr>
        <w:t>）</w:t>
      </w:r>
      <w:r>
        <w:rPr>
          <w:rFonts w:hint="eastAsia" w:ascii="宋体" w:hAnsi="宋体" w:cs="宋体"/>
          <w:b w:val="0"/>
          <w:bCs w:val="0"/>
          <w:kern w:val="2"/>
          <w:sz w:val="21"/>
          <w:szCs w:val="21"/>
          <w:highlight w:val="none"/>
          <w:lang w:val="en-US" w:eastAsia="zh-CN" w:bidi="ar-SA"/>
        </w:rPr>
        <w:t>乙方</w:t>
      </w:r>
      <w:r>
        <w:rPr>
          <w:rFonts w:hint="eastAsia" w:ascii="宋体" w:hAnsi="宋体" w:eastAsia="宋体" w:cs="宋体"/>
          <w:b w:val="0"/>
          <w:bCs w:val="0"/>
          <w:kern w:val="2"/>
          <w:sz w:val="21"/>
          <w:szCs w:val="21"/>
          <w:highlight w:val="none"/>
          <w:lang w:val="en-US" w:eastAsia="zh-CN" w:bidi="ar-SA"/>
        </w:rPr>
        <w:t>必须接受</w:t>
      </w:r>
      <w:r>
        <w:rPr>
          <w:rFonts w:hint="eastAsia" w:ascii="宋体" w:hAnsi="宋体" w:cs="宋体"/>
          <w:b w:val="0"/>
          <w:bCs w:val="0"/>
          <w:kern w:val="2"/>
          <w:sz w:val="21"/>
          <w:szCs w:val="21"/>
          <w:highlight w:val="none"/>
          <w:lang w:val="en-US" w:eastAsia="zh-CN" w:bidi="ar-SA"/>
        </w:rPr>
        <w:t>甲方</w:t>
      </w:r>
      <w:r>
        <w:rPr>
          <w:rFonts w:hint="eastAsia" w:ascii="宋体" w:hAnsi="宋体" w:eastAsia="宋体" w:cs="宋体"/>
          <w:b w:val="0"/>
          <w:bCs w:val="0"/>
          <w:kern w:val="2"/>
          <w:sz w:val="21"/>
          <w:szCs w:val="21"/>
          <w:highlight w:val="none"/>
          <w:lang w:val="en-US" w:eastAsia="zh-CN" w:bidi="ar-SA"/>
        </w:rPr>
        <w:t>的检查与监督，并应主动配合，做好安全工作。</w:t>
      </w:r>
    </w:p>
    <w:p w14:paraId="7A684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八</w:t>
      </w:r>
      <w:r>
        <w:rPr>
          <w:rFonts w:hint="eastAsia" w:ascii="宋体" w:hAnsi="宋体" w:eastAsia="宋体" w:cs="宋体"/>
          <w:sz w:val="21"/>
          <w:szCs w:val="21"/>
        </w:rPr>
        <w:t>）水业大厦内部消防栓、消防门统一使用pvcuv打印木纹包黑边进行美化包装。</w:t>
      </w:r>
    </w:p>
    <w:p w14:paraId="4E5DE46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shd w:val="clear" w:color="auto" w:fill="FFFFFF"/>
          <w:lang w:eastAsia="zh-CN"/>
        </w:rPr>
      </w:pPr>
    </w:p>
    <w:p w14:paraId="6C2D7E8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sz w:val="21"/>
          <w:szCs w:val="21"/>
          <w:shd w:val="clear" w:color="auto" w:fill="FFFFFF"/>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六</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bCs/>
          <w:sz w:val="21"/>
          <w:szCs w:val="21"/>
          <w:shd w:val="clear" w:color="auto" w:fill="FFFFFF"/>
          <w:lang w:val="en-US" w:eastAsia="zh-CN"/>
        </w:rPr>
        <w:t>验收</w:t>
      </w:r>
    </w:p>
    <w:p w14:paraId="411FF7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（一）</w:t>
      </w:r>
      <w:r>
        <w:rPr>
          <w:rFonts w:hint="eastAsia" w:ascii="宋体" w:hAnsi="宋体" w:eastAsia="宋体" w:cs="宋体"/>
          <w:sz w:val="21"/>
          <w:szCs w:val="21"/>
          <w:shd w:val="clear" w:color="auto" w:fill="FFFFFF"/>
          <w:lang w:val="en-US" w:eastAsia="zh-CN"/>
        </w:rPr>
        <w:t>货物到达交货地点后，甲方(含甲方委托的第三方)、乙方代表共同验货。甲方按照本合同、国家相关法律法规以及规范的要求等相关的规定，对货物的品种、品牌、产地、型号规格、数量、外观质量、资料进行清点和全面的检验，并作详细的记录。</w:t>
      </w:r>
    </w:p>
    <w:p w14:paraId="297011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shd w:val="clear" w:color="auto" w:fill="FFFFFF"/>
          <w:lang w:val="en-US" w:eastAsia="zh-CN"/>
        </w:rPr>
        <w:t>如发现货物的品种、型号规格、数量、外观质量、资料与</w:t>
      </w:r>
      <w:r>
        <w:rPr>
          <w:rFonts w:hint="eastAsia" w:ascii="宋体" w:hAnsi="宋体" w:eastAsia="宋体" w:cs="宋体"/>
          <w:sz w:val="21"/>
          <w:szCs w:val="21"/>
          <w:shd w:val="clear" w:color="auto" w:fill="FFFFFF"/>
          <w:lang w:eastAsia="zh-CN"/>
        </w:rPr>
        <w:t>设计方案、</w:t>
      </w:r>
      <w:r>
        <w:rPr>
          <w:rFonts w:hint="eastAsia" w:ascii="宋体" w:hAnsi="宋体" w:eastAsia="宋体" w:cs="宋体"/>
          <w:sz w:val="21"/>
          <w:szCs w:val="21"/>
          <w:shd w:val="clear" w:color="auto" w:fill="FFFFFF"/>
          <w:lang w:val="en-US" w:eastAsia="zh-CN"/>
        </w:rPr>
        <w:t>合同不符，或货物短缺、质次、损坏等问题，应作详细记录，甲方有权拒绝收货及拒绝付款，或由乙方在甲方规定的时间内立即、无条件为甲方免费更换、补齐或无条件退货。更换或补齐后的货物，甲方有权按照本条有关验收的约定进行验收，由此产生的制造、修理和运费及保险费等费用均应由乙方负担，与甲方无关。</w:t>
      </w:r>
    </w:p>
    <w:p w14:paraId="192A9D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w:t>
      </w:r>
      <w:r>
        <w:rPr>
          <w:rFonts w:hint="eastAsia" w:ascii="宋体" w:hAnsi="宋体" w:eastAsia="宋体" w:cs="宋体"/>
          <w:sz w:val="21"/>
          <w:szCs w:val="21"/>
          <w:shd w:val="clear" w:color="auto" w:fill="FFFFFF"/>
          <w:lang w:eastAsia="zh-CN"/>
        </w:rPr>
        <w:t>验收标准：</w:t>
      </w:r>
    </w:p>
    <w:p w14:paraId="3B051A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lang w:eastAsia="zh-CN"/>
        </w:rPr>
        <w:t>设计方案与施工图符合技术规范。</w:t>
      </w:r>
    </w:p>
    <w:p w14:paraId="56DA8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lang w:eastAsia="zh-CN"/>
        </w:rPr>
        <w:t>现场安装效果与效果图一致，标识风格、色彩、字体符合设计要求，在强光、弱光、夜间等不同环境可清晰读取信息。</w:t>
      </w:r>
    </w:p>
    <w:p w14:paraId="7D0AB6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val="en-US" w:eastAsia="zh-CN"/>
        </w:rPr>
        <w:t>3.</w:t>
      </w:r>
      <w:r>
        <w:rPr>
          <w:rFonts w:hint="eastAsia" w:ascii="宋体" w:hAnsi="宋体" w:eastAsia="宋体" w:cs="宋体"/>
          <w:sz w:val="21"/>
          <w:szCs w:val="21"/>
          <w:shd w:val="clear" w:color="auto" w:fill="FFFFFF"/>
          <w:lang w:eastAsia="zh-CN"/>
        </w:rPr>
        <w:t>标识安装牢固，无松动、脱落风险；材质符合环保、耐用标准；应急标识（夜光、警示）功能正常。</w:t>
      </w:r>
    </w:p>
    <w:p w14:paraId="1BD96B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eastAsia="zh-CN"/>
        </w:rPr>
      </w:pPr>
      <w:r>
        <w:rPr>
          <w:rFonts w:hint="eastAsia" w:ascii="宋体" w:hAnsi="宋体" w:cs="宋体"/>
          <w:sz w:val="21"/>
          <w:szCs w:val="21"/>
          <w:lang w:val="en-US" w:eastAsia="zh-CN"/>
        </w:rPr>
        <w:t>4.</w:t>
      </w:r>
      <w:r>
        <w:rPr>
          <w:rFonts w:hint="eastAsia" w:ascii="宋体" w:hAnsi="宋体" w:eastAsia="宋体" w:cs="宋体"/>
          <w:sz w:val="21"/>
          <w:szCs w:val="21"/>
          <w:shd w:val="clear" w:color="auto" w:fill="FFFFFF"/>
          <w:lang w:eastAsia="zh-CN"/>
        </w:rPr>
        <w:t>提供标识制作图纸、材质检测报告等完整文档，确保后续维护可追溯。</w:t>
      </w:r>
    </w:p>
    <w:p w14:paraId="39651A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5.</w:t>
      </w:r>
      <w:r>
        <w:rPr>
          <w:rFonts w:hint="eastAsia" w:ascii="宋体" w:hAnsi="宋体" w:eastAsia="宋体" w:cs="宋体"/>
          <w:sz w:val="21"/>
          <w:szCs w:val="21"/>
          <w:shd w:val="clear" w:color="auto" w:fill="FFFFFF"/>
          <w:lang w:eastAsia="zh-CN"/>
        </w:rPr>
        <w:t>水业大厦内部消防栓、消防门外露部分统一美观。</w:t>
      </w:r>
    </w:p>
    <w:p w14:paraId="55B291E7">
      <w:pPr>
        <w:snapToGrid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w:t>
      </w:r>
      <w:r>
        <w:rPr>
          <w:rFonts w:hint="eastAsia" w:ascii="宋体" w:hAnsi="宋体" w:eastAsia="宋体" w:cs="宋体"/>
          <w:sz w:val="21"/>
          <w:szCs w:val="21"/>
          <w:shd w:val="clear" w:color="auto" w:fill="FFFFFF"/>
          <w:lang w:eastAsia="zh-CN"/>
        </w:rPr>
        <w:t>在甲方清点无误后，乙方在本合同约定的期限内完成安装工作。完成安装工作后，甲乙双方共同对货物进行验收。验收合格后，甲方出具相关签收手续。</w:t>
      </w:r>
    </w:p>
    <w:p w14:paraId="3A97BEBB">
      <w:pPr>
        <w:snapToGrid w:val="0"/>
        <w:spacing w:line="360" w:lineRule="auto"/>
        <w:ind w:firstLine="420" w:firstLineChars="200"/>
        <w:rPr>
          <w:rFonts w:hint="eastAsia" w:ascii="宋体" w:hAnsi="宋体" w:eastAsia="宋体" w:cs="宋体"/>
          <w:sz w:val="21"/>
          <w:szCs w:val="21"/>
          <w:shd w:val="clear" w:color="auto" w:fill="FFFFFF"/>
          <w:lang w:eastAsia="zh-CN"/>
        </w:rPr>
      </w:pPr>
      <w:r>
        <w:rPr>
          <w:rFonts w:hint="eastAsia" w:ascii="宋体" w:hAnsi="宋体" w:eastAsia="宋体" w:cs="宋体"/>
          <w:sz w:val="21"/>
          <w:szCs w:val="21"/>
        </w:rPr>
        <w:t>（</w:t>
      </w:r>
      <w:r>
        <w:rPr>
          <w:rFonts w:hint="eastAsia" w:ascii="宋体" w:hAnsi="宋体" w:cs="宋体"/>
          <w:sz w:val="21"/>
          <w:szCs w:val="21"/>
          <w:lang w:val="en-US" w:eastAsia="zh-CN"/>
        </w:rPr>
        <w:t>五</w:t>
      </w:r>
      <w:r>
        <w:rPr>
          <w:rFonts w:hint="eastAsia" w:ascii="宋体" w:hAnsi="宋体" w:eastAsia="宋体" w:cs="宋体"/>
          <w:sz w:val="21"/>
          <w:szCs w:val="21"/>
        </w:rPr>
        <w:t>）</w:t>
      </w:r>
      <w:r>
        <w:rPr>
          <w:rFonts w:hint="eastAsia" w:ascii="宋体" w:hAnsi="宋体" w:eastAsia="宋体" w:cs="宋体"/>
          <w:sz w:val="21"/>
          <w:szCs w:val="21"/>
          <w:shd w:val="clear" w:color="auto" w:fill="FFFFFF"/>
          <w:lang w:eastAsia="zh-CN"/>
        </w:rPr>
        <w:t>甲方根据本条规定对</w:t>
      </w:r>
      <w:r>
        <w:rPr>
          <w:rFonts w:hint="eastAsia" w:ascii="宋体" w:hAnsi="宋体" w:eastAsia="宋体" w:cs="宋体"/>
          <w:sz w:val="21"/>
          <w:szCs w:val="21"/>
          <w:shd w:val="clear" w:color="auto" w:fill="FFFFFF"/>
          <w:lang w:val="en-US" w:eastAsia="zh-CN"/>
        </w:rPr>
        <w:t>项目</w:t>
      </w:r>
      <w:r>
        <w:rPr>
          <w:rFonts w:hint="eastAsia" w:ascii="宋体" w:hAnsi="宋体" w:eastAsia="宋体" w:cs="宋体"/>
          <w:sz w:val="21"/>
          <w:szCs w:val="21"/>
          <w:shd w:val="clear" w:color="auto" w:fill="FFFFFF"/>
          <w:lang w:eastAsia="zh-CN"/>
        </w:rPr>
        <w:t>所做出的验收，仅作为起算付款期限及质保期之用，不视为双方对于货物及服务质量的最终认可，乙方仍应在质保期内对产品质量承担保证责任。</w:t>
      </w:r>
    </w:p>
    <w:p w14:paraId="54183705">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六</w:t>
      </w:r>
      <w:r>
        <w:rPr>
          <w:rFonts w:hint="eastAsia" w:ascii="宋体" w:hAnsi="宋体" w:eastAsia="宋体" w:cs="宋体"/>
          <w:sz w:val="21"/>
          <w:szCs w:val="21"/>
        </w:rPr>
        <w:t>）</w:t>
      </w:r>
      <w:r>
        <w:rPr>
          <w:rFonts w:hint="eastAsia" w:ascii="宋体" w:hAnsi="宋体" w:eastAsia="宋体" w:cs="宋体"/>
          <w:sz w:val="21"/>
          <w:szCs w:val="21"/>
          <w:shd w:val="clear" w:color="auto" w:fill="FFFFFF"/>
          <w:lang w:val="en-US" w:eastAsia="zh-CN"/>
        </w:rPr>
        <w:t>货物在全部经甲方验收合格前，其损耗、毁损、灭失等风险及责任由乙方承担，如因发生前述情形，导致乙方所供应的货物不能通过甲方验收的，乙方应按甲方要求予以更换或退货。若乙方未及时履约，甲方有权自行处置，由此产生的全部费用及损失由乙方全额赔偿。</w:t>
      </w:r>
    </w:p>
    <w:p w14:paraId="520502FB">
      <w:pPr>
        <w:snapToGrid w:val="0"/>
        <w:spacing w:line="360" w:lineRule="auto"/>
        <w:ind w:firstLine="420" w:firstLineChars="200"/>
        <w:rPr>
          <w:rFonts w:hint="eastAsia" w:ascii="宋体" w:hAnsi="宋体" w:eastAsia="宋体" w:cs="宋体"/>
          <w:sz w:val="21"/>
          <w:szCs w:val="21"/>
          <w:shd w:val="clear" w:color="auto" w:fill="FFFFFF"/>
          <w:lang w:val="en-US" w:eastAsia="zh-CN"/>
        </w:rPr>
      </w:pPr>
    </w:p>
    <w:p w14:paraId="6693272C">
      <w:pPr>
        <w:snapToGrid w:val="0"/>
        <w:spacing w:line="360" w:lineRule="auto"/>
        <w:ind w:firstLine="422" w:firstLineChars="200"/>
        <w:rPr>
          <w:rFonts w:hint="eastAsia" w:ascii="宋体" w:hAnsi="宋体" w:eastAsia="宋体" w:cs="宋体"/>
          <w:b/>
          <w:bCs/>
          <w:sz w:val="21"/>
          <w:szCs w:val="21"/>
          <w:shd w:val="clear" w:color="auto" w:fill="FFFFFF"/>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七</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bCs/>
          <w:sz w:val="21"/>
          <w:szCs w:val="21"/>
          <w:shd w:val="clear" w:color="auto" w:fill="FFFFFF"/>
          <w:lang w:val="en-US" w:eastAsia="zh-CN"/>
        </w:rPr>
        <w:t>质保期及售后服务</w:t>
      </w:r>
    </w:p>
    <w:p w14:paraId="62E3FD0E">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（一）</w:t>
      </w:r>
      <w:r>
        <w:rPr>
          <w:rFonts w:hint="eastAsia" w:ascii="宋体" w:hAnsi="宋体" w:eastAsia="宋体" w:cs="宋体"/>
          <w:sz w:val="21"/>
          <w:szCs w:val="21"/>
          <w:shd w:val="clear" w:color="auto" w:fill="FFFFFF"/>
          <w:lang w:val="en-US" w:eastAsia="zh-CN"/>
        </w:rPr>
        <w:t>乙方供货的</w:t>
      </w:r>
      <w:r>
        <w:rPr>
          <w:rFonts w:hint="eastAsia" w:ascii="宋体" w:hAnsi="宋体" w:eastAsia="宋体" w:cs="宋体"/>
          <w:sz w:val="21"/>
          <w:szCs w:val="21"/>
          <w:shd w:val="clear" w:color="auto" w:fill="FFFFFF"/>
          <w:lang w:eastAsia="zh-CN"/>
        </w:rPr>
        <w:t>质保期为</w:t>
      </w:r>
      <w:r>
        <w:rPr>
          <w:rFonts w:hint="eastAsia" w:ascii="宋体" w:hAnsi="宋体" w:eastAsia="宋体" w:cs="宋体"/>
          <w:sz w:val="21"/>
          <w:szCs w:val="21"/>
          <w:shd w:val="clear" w:color="auto" w:fill="FFFFFF"/>
          <w:lang w:val="en-US" w:eastAsia="zh-CN"/>
        </w:rPr>
        <w:t>1年</w:t>
      </w:r>
      <w:r>
        <w:rPr>
          <w:rFonts w:hint="eastAsia" w:ascii="宋体" w:hAnsi="宋体" w:eastAsia="宋体" w:cs="宋体"/>
          <w:sz w:val="21"/>
          <w:szCs w:val="21"/>
          <w:shd w:val="clear" w:color="auto" w:fill="FFFFFF"/>
          <w:lang w:eastAsia="zh-CN"/>
        </w:rPr>
        <w:t>。质保期自验收合格之日起计算，质保期内，</w:t>
      </w:r>
      <w:r>
        <w:rPr>
          <w:rFonts w:hint="eastAsia" w:ascii="宋体" w:hAnsi="宋体" w:eastAsia="宋体" w:cs="宋体"/>
          <w:sz w:val="21"/>
          <w:szCs w:val="21"/>
          <w:shd w:val="clear" w:color="auto" w:fill="FFFFFF"/>
          <w:lang w:val="en-US" w:eastAsia="zh-CN"/>
        </w:rPr>
        <w:t>乙方</w:t>
      </w:r>
      <w:r>
        <w:rPr>
          <w:rFonts w:hint="eastAsia" w:ascii="宋体" w:hAnsi="宋体" w:eastAsia="宋体" w:cs="宋体"/>
          <w:sz w:val="21"/>
          <w:szCs w:val="21"/>
          <w:shd w:val="clear" w:color="auto" w:fill="FFFFFF"/>
          <w:lang w:eastAsia="zh-CN"/>
        </w:rPr>
        <w:t>提供免费上门质保服务，免费质保服务包括但不限于由乙方承担完成质保期的工作而产生的设计费、维修</w:t>
      </w:r>
      <w:r>
        <w:rPr>
          <w:rFonts w:hint="eastAsia" w:ascii="宋体" w:hAnsi="宋体" w:eastAsia="宋体" w:cs="宋体"/>
          <w:sz w:val="21"/>
          <w:szCs w:val="21"/>
          <w:shd w:val="clear" w:color="auto" w:fill="FFFFFF"/>
          <w:lang w:val="en-US" w:eastAsia="zh-CN"/>
        </w:rPr>
        <w:t>费、</w:t>
      </w:r>
      <w:r>
        <w:rPr>
          <w:rFonts w:hint="eastAsia" w:ascii="宋体" w:hAnsi="宋体" w:eastAsia="宋体" w:cs="宋体"/>
          <w:sz w:val="21"/>
          <w:szCs w:val="21"/>
          <w:shd w:val="clear" w:color="auto" w:fill="FFFFFF"/>
          <w:lang w:eastAsia="zh-CN"/>
        </w:rPr>
        <w:t>更换零部件</w:t>
      </w:r>
      <w:r>
        <w:rPr>
          <w:rFonts w:hint="eastAsia" w:ascii="宋体" w:hAnsi="宋体" w:eastAsia="宋体" w:cs="宋体"/>
          <w:sz w:val="21"/>
          <w:szCs w:val="21"/>
          <w:shd w:val="clear" w:color="auto" w:fill="FFFFFF"/>
          <w:lang w:val="en-US" w:eastAsia="zh-CN"/>
        </w:rPr>
        <w:t>费用、</w:t>
      </w:r>
      <w:r>
        <w:rPr>
          <w:rFonts w:hint="eastAsia" w:ascii="宋体" w:hAnsi="宋体" w:eastAsia="宋体" w:cs="宋体"/>
          <w:sz w:val="21"/>
          <w:szCs w:val="21"/>
          <w:shd w:val="clear" w:color="auto" w:fill="FFFFFF"/>
          <w:lang w:eastAsia="zh-CN"/>
        </w:rPr>
        <w:t>制造费、运费、购置费、测试费、人工费等各项费用(包括进口关税和增值税等)。</w:t>
      </w:r>
    </w:p>
    <w:p w14:paraId="542BB45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shd w:val="clear" w:color="auto" w:fill="FFFFFF"/>
          <w:lang w:val="en-US" w:eastAsia="zh-CN"/>
        </w:rPr>
        <w:t>在合同约定的质保期内，乙方承诺将在接到甲方的</w:t>
      </w:r>
      <w:r>
        <w:rPr>
          <w:rFonts w:hint="eastAsia" w:ascii="宋体" w:hAnsi="宋体" w:eastAsia="宋体" w:cs="宋体"/>
          <w:sz w:val="21"/>
          <w:szCs w:val="21"/>
          <w:shd w:val="clear" w:color="auto" w:fill="FFFFFF"/>
          <w:lang w:eastAsia="zh-Hans"/>
        </w:rPr>
        <w:t>质保通知</w:t>
      </w:r>
      <w:r>
        <w:rPr>
          <w:rFonts w:hint="eastAsia" w:ascii="宋体" w:hAnsi="宋体" w:eastAsia="宋体" w:cs="宋体"/>
          <w:sz w:val="21"/>
          <w:szCs w:val="21"/>
          <w:shd w:val="clear" w:color="auto" w:fill="FFFFFF"/>
          <w:lang w:val="en-US" w:eastAsia="zh-CN"/>
        </w:rPr>
        <w:t>后6小时内响应，12小时内到达项目现场维修或免费更换</w:t>
      </w:r>
      <w:r>
        <w:rPr>
          <w:rFonts w:hint="eastAsia" w:ascii="宋体" w:hAnsi="宋体" w:eastAsia="宋体" w:cs="宋体"/>
          <w:sz w:val="21"/>
          <w:szCs w:val="21"/>
        </w:rPr>
        <w:t>。</w:t>
      </w:r>
    </w:p>
    <w:p w14:paraId="74543D1C">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w:t>
      </w:r>
      <w:r>
        <w:rPr>
          <w:rFonts w:hint="eastAsia" w:ascii="宋体" w:hAnsi="宋体" w:eastAsia="宋体" w:cs="宋体"/>
          <w:sz w:val="21"/>
          <w:szCs w:val="21"/>
          <w:shd w:val="clear" w:color="auto" w:fill="FFFFFF"/>
          <w:lang w:val="en-US" w:eastAsia="zh-CN"/>
        </w:rPr>
        <w:t>甲方在使用货物时所遇技术问题，乙方应按甲方要求及时向甲方无偿提供技术指导服务。</w:t>
      </w:r>
    </w:p>
    <w:p w14:paraId="65B42E16">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w:t>
      </w:r>
      <w:r>
        <w:rPr>
          <w:rFonts w:hint="eastAsia" w:ascii="宋体" w:hAnsi="宋体" w:eastAsia="宋体" w:cs="宋体"/>
          <w:sz w:val="21"/>
          <w:szCs w:val="21"/>
          <w:shd w:val="clear" w:color="auto" w:fill="FFFFFF"/>
          <w:lang w:val="en-US" w:eastAsia="zh-CN"/>
        </w:rPr>
        <w:t>乙方未按上述要求提供售后服务的，甲方有权</w:t>
      </w:r>
      <w:r>
        <w:rPr>
          <w:rFonts w:hint="eastAsia" w:ascii="宋体" w:hAnsi="宋体" w:cs="宋体"/>
          <w:sz w:val="21"/>
          <w:szCs w:val="21"/>
          <w:shd w:val="clear" w:color="auto" w:fill="FFFFFF"/>
          <w:lang w:val="en-US" w:eastAsia="zh-CN"/>
        </w:rPr>
        <w:t>委托</w:t>
      </w:r>
      <w:r>
        <w:rPr>
          <w:rFonts w:hint="eastAsia" w:ascii="宋体" w:hAnsi="宋体" w:eastAsia="宋体" w:cs="宋体"/>
          <w:sz w:val="21"/>
          <w:szCs w:val="21"/>
          <w:shd w:val="clear" w:color="auto" w:fill="FFFFFF"/>
          <w:lang w:val="en-US" w:eastAsia="zh-CN"/>
        </w:rPr>
        <w:t>其他第三方提供相关服务，因此产生的费用全部由乙方承担，</w:t>
      </w:r>
      <w:r>
        <w:rPr>
          <w:rFonts w:hint="eastAsia" w:ascii="宋体" w:hAnsi="宋体" w:eastAsia="宋体" w:cs="宋体"/>
          <w:i w:val="0"/>
          <w:iCs w:val="0"/>
          <w:caps w:val="0"/>
          <w:spacing w:val="0"/>
          <w:sz w:val="21"/>
          <w:szCs w:val="21"/>
          <w:shd w:val="clear" w:color="auto" w:fill="FFFFFF"/>
        </w:rPr>
        <w:t>包括但不限于服务费、材料费、运输费等</w:t>
      </w:r>
      <w:r>
        <w:rPr>
          <w:rFonts w:hint="eastAsia" w:ascii="宋体" w:hAnsi="宋体" w:eastAsia="宋体" w:cs="宋体"/>
          <w:sz w:val="21"/>
          <w:szCs w:val="21"/>
          <w:shd w:val="clear" w:color="auto" w:fill="FFFFFF"/>
          <w:lang w:val="en-US" w:eastAsia="zh-CN"/>
        </w:rPr>
        <w:t>。</w:t>
      </w:r>
      <w:r>
        <w:rPr>
          <w:rFonts w:hint="eastAsia" w:ascii="宋体" w:hAnsi="宋体" w:eastAsia="宋体" w:cs="宋体"/>
          <w:i w:val="0"/>
          <w:iCs w:val="0"/>
          <w:caps w:val="0"/>
          <w:spacing w:val="0"/>
          <w:sz w:val="21"/>
          <w:szCs w:val="21"/>
          <w:shd w:val="clear" w:color="auto" w:fill="FFFFFF"/>
        </w:rPr>
        <w:t>甲方有权从应付乙方款项中直接扣除上述费用，不足部分乙方应在接到通知后</w:t>
      </w:r>
      <w:r>
        <w:rPr>
          <w:rFonts w:hint="eastAsia" w:ascii="宋体" w:hAnsi="宋体" w:eastAsia="宋体" w:cs="宋体"/>
          <w:i w:val="0"/>
          <w:iCs w:val="0"/>
          <w:caps w:val="0"/>
          <w:spacing w:val="0"/>
          <w:sz w:val="21"/>
          <w:szCs w:val="21"/>
          <w:shd w:val="clear" w:color="auto" w:fill="FFFFFF"/>
          <w:lang w:val="en-US" w:eastAsia="zh-CN"/>
        </w:rPr>
        <w:t>3</w:t>
      </w:r>
      <w:r>
        <w:rPr>
          <w:rFonts w:hint="eastAsia" w:ascii="宋体" w:hAnsi="宋体" w:eastAsia="宋体" w:cs="宋体"/>
          <w:i w:val="0"/>
          <w:iCs w:val="0"/>
          <w:caps w:val="0"/>
          <w:spacing w:val="0"/>
          <w:sz w:val="21"/>
          <w:szCs w:val="21"/>
          <w:shd w:val="clear" w:color="auto" w:fill="FFFFFF"/>
        </w:rPr>
        <w:t>个工作日内补足。</w:t>
      </w:r>
    </w:p>
    <w:p w14:paraId="6289C01D">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五</w:t>
      </w:r>
      <w:r>
        <w:rPr>
          <w:rFonts w:hint="eastAsia" w:ascii="宋体" w:hAnsi="宋体" w:eastAsia="宋体" w:cs="宋体"/>
          <w:sz w:val="21"/>
          <w:szCs w:val="21"/>
        </w:rPr>
        <w:t>）</w:t>
      </w:r>
      <w:r>
        <w:rPr>
          <w:rFonts w:hint="eastAsia" w:ascii="宋体" w:hAnsi="宋体" w:eastAsia="宋体" w:cs="宋体"/>
          <w:sz w:val="21"/>
          <w:szCs w:val="21"/>
          <w:shd w:val="clear" w:color="auto" w:fill="FFFFFF"/>
          <w:lang w:eastAsia="zh-CN"/>
        </w:rPr>
        <w:t>因本条款约定导致更换或退货的，所产生的全部费用由乙方承担。</w:t>
      </w:r>
      <w:r>
        <w:rPr>
          <w:rFonts w:hint="eastAsia" w:ascii="宋体" w:hAnsi="宋体" w:eastAsia="宋体" w:cs="宋体"/>
          <w:sz w:val="21"/>
          <w:szCs w:val="21"/>
          <w:shd w:val="clear" w:color="auto" w:fill="FFFFFF"/>
          <w:lang w:val="en-US" w:eastAsia="zh-CN"/>
        </w:rPr>
        <w:t>更换的货物的质保期应按本合同的相关约定重新计算，即重新验收合格之日起1年。</w:t>
      </w:r>
    </w:p>
    <w:p w14:paraId="061920FE">
      <w:pPr>
        <w:snapToGrid w:val="0"/>
        <w:spacing w:line="360" w:lineRule="auto"/>
        <w:ind w:firstLine="422" w:firstLineChars="200"/>
        <w:rPr>
          <w:rFonts w:hint="eastAsia" w:ascii="宋体" w:hAnsi="宋体" w:eastAsia="宋体" w:cs="宋体"/>
          <w:b/>
          <w:bCs/>
          <w:sz w:val="21"/>
          <w:szCs w:val="21"/>
          <w:shd w:val="clear" w:color="auto" w:fill="FFFFFF"/>
          <w:lang w:eastAsia="zh-CN"/>
        </w:rPr>
      </w:pPr>
    </w:p>
    <w:p w14:paraId="5751339E">
      <w:pPr>
        <w:snapToGrid w:val="0"/>
        <w:spacing w:line="360" w:lineRule="auto"/>
        <w:ind w:firstLine="422" w:firstLineChars="200"/>
        <w:rPr>
          <w:rFonts w:hint="eastAsia" w:ascii="宋体" w:hAnsi="宋体" w:eastAsia="宋体" w:cs="宋体"/>
          <w:b/>
          <w:bCs/>
          <w:sz w:val="21"/>
          <w:szCs w:val="21"/>
          <w:shd w:val="clear" w:color="auto" w:fill="FFFFFF"/>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八</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bCs/>
          <w:sz w:val="21"/>
          <w:szCs w:val="21"/>
          <w:shd w:val="clear" w:color="auto" w:fill="FFFFFF"/>
          <w:lang w:val="en-US" w:eastAsia="zh-CN"/>
        </w:rPr>
        <w:t>权利保证</w:t>
      </w:r>
    </w:p>
    <w:p w14:paraId="38A4DCC4">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乙方应保证本合同项下提供的货物不侵犯任何第三方的专利、商标、版权以及其他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的总价款、甲方为维护自身权益所支付的律师费、诉讼费、鉴定费、差旅费、财产保全费等全部费用。</w:t>
      </w:r>
    </w:p>
    <w:p w14:paraId="55CCDBF8">
      <w:pPr>
        <w:snapToGrid w:val="0"/>
        <w:spacing w:line="360" w:lineRule="auto"/>
        <w:ind w:firstLine="422" w:firstLineChars="200"/>
        <w:rPr>
          <w:rFonts w:hint="eastAsia" w:ascii="宋体" w:hAnsi="宋体" w:eastAsia="宋体" w:cs="宋体"/>
          <w:b/>
          <w:bCs/>
          <w:sz w:val="21"/>
          <w:szCs w:val="21"/>
          <w:shd w:val="clear" w:color="auto" w:fill="FFFFFF"/>
          <w:lang w:eastAsia="zh-CN"/>
        </w:rPr>
      </w:pPr>
    </w:p>
    <w:p w14:paraId="6E93403F">
      <w:pPr>
        <w:snapToGrid w:val="0"/>
        <w:spacing w:line="360" w:lineRule="auto"/>
        <w:ind w:firstLine="422" w:firstLineChars="200"/>
        <w:rPr>
          <w:rFonts w:hint="eastAsia" w:ascii="宋体" w:hAnsi="宋体" w:eastAsia="宋体" w:cs="宋体"/>
          <w:b/>
          <w:bCs/>
          <w:sz w:val="21"/>
          <w:szCs w:val="21"/>
          <w:shd w:val="clear" w:color="auto" w:fill="FFFFFF"/>
          <w:lang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九</w:t>
      </w:r>
      <w:r>
        <w:rPr>
          <w:rFonts w:hint="eastAsia" w:ascii="宋体" w:hAnsi="宋体" w:eastAsia="宋体" w:cs="宋体"/>
          <w:b/>
          <w:bCs/>
          <w:sz w:val="21"/>
          <w:szCs w:val="21"/>
          <w:shd w:val="clear" w:color="auto" w:fill="FFFFFF"/>
          <w:lang w:eastAsia="zh-CN"/>
        </w:rPr>
        <w:t>条 保密责任</w:t>
      </w:r>
    </w:p>
    <w:p w14:paraId="09D7498C">
      <w:pPr>
        <w:snapToGrid w:val="0"/>
        <w:spacing w:line="360" w:lineRule="auto"/>
        <w:ind w:firstLine="420" w:firstLineChars="200"/>
        <w:rPr>
          <w:rStyle w:val="23"/>
          <w:rFonts w:hint="eastAsia" w:asciiTheme="minorEastAsia" w:hAnsiTheme="minorEastAsia" w:cstheme="minorEastAsia"/>
          <w:b w:val="0"/>
          <w:bCs w:val="0"/>
          <w:lang w:val="en-US" w:eastAsia="zh-CN"/>
        </w:rPr>
      </w:pPr>
      <w:r>
        <w:rPr>
          <w:rFonts w:hint="eastAsia" w:ascii="宋体" w:hAnsi="宋体" w:eastAsia="宋体" w:cs="宋体"/>
          <w:sz w:val="21"/>
          <w:szCs w:val="21"/>
          <w:shd w:val="clear" w:color="auto" w:fill="FFFFFF"/>
          <w:lang w:eastAsia="zh-CN"/>
        </w:rPr>
        <w:t>乙方保证对其在讨论、签订、履行本合同过程中所获悉的属于甲方的且无法从公开渠道获得的文件资料及项目信息（</w:t>
      </w:r>
      <w:r>
        <w:rPr>
          <w:rFonts w:hint="eastAsia" w:ascii="宋体" w:hAnsi="宋体" w:eastAsia="宋体" w:cs="宋体"/>
          <w:i w:val="0"/>
          <w:iCs w:val="0"/>
          <w:caps w:val="0"/>
          <w:spacing w:val="0"/>
          <w:sz w:val="21"/>
          <w:szCs w:val="21"/>
          <w:shd w:val="clear" w:color="auto" w:fill="FFFFFF"/>
        </w:rPr>
        <w:t>包括但不限于技术资料、财务数据、客户信息、项目方案等</w:t>
      </w:r>
      <w:r>
        <w:rPr>
          <w:rFonts w:hint="eastAsia" w:ascii="宋体" w:hAnsi="宋体" w:eastAsia="宋体" w:cs="宋体"/>
          <w:sz w:val="21"/>
          <w:szCs w:val="21"/>
          <w:shd w:val="clear" w:color="auto" w:fill="FFFFFF"/>
          <w:lang w:eastAsia="zh-CN"/>
        </w:rPr>
        <w:t>）予以严格保密并应采取相应的保密措施，保证其自身及工作人员不私自使用或向任何第三方泄露，否则，视为乙方违约。</w:t>
      </w:r>
      <w:r>
        <w:rPr>
          <w:rFonts w:hint="eastAsia" w:ascii="宋体" w:hAnsi="宋体" w:eastAsia="宋体" w:cs="宋体"/>
          <w:sz w:val="21"/>
          <w:szCs w:val="21"/>
          <w:shd w:val="clear" w:color="auto" w:fill="FFFFFF"/>
          <w:lang w:val="en-US" w:eastAsia="zh-CN"/>
        </w:rPr>
        <w:t>若乙方违约，</w:t>
      </w:r>
      <w:r>
        <w:rPr>
          <w:rFonts w:hint="eastAsia" w:ascii="宋体" w:hAnsi="宋体" w:eastAsia="宋体" w:cs="宋体"/>
          <w:sz w:val="21"/>
          <w:szCs w:val="21"/>
          <w:shd w:val="clear" w:color="auto" w:fill="FFFFFF"/>
          <w:lang w:eastAsia="zh-CN"/>
        </w:rPr>
        <w:t>乙方应按照本</w:t>
      </w:r>
      <w:r>
        <w:rPr>
          <w:rFonts w:hint="eastAsia" w:ascii="宋体" w:hAnsi="宋体" w:eastAsia="宋体" w:cs="宋体"/>
          <w:color w:val="auto"/>
          <w:sz w:val="21"/>
          <w:szCs w:val="21"/>
          <w:shd w:val="clear" w:color="auto" w:fill="FFFFFF"/>
          <w:lang w:eastAsia="zh-CN"/>
        </w:rPr>
        <w:t>合同第</w:t>
      </w:r>
      <w:r>
        <w:rPr>
          <w:rFonts w:hint="eastAsia" w:ascii="宋体" w:hAnsi="宋体" w:eastAsia="宋体" w:cs="宋体"/>
          <w:color w:val="auto"/>
          <w:sz w:val="21"/>
          <w:szCs w:val="21"/>
          <w:shd w:val="clear" w:color="auto" w:fill="FFFFFF"/>
          <w:lang w:val="en-US" w:eastAsia="zh-CN"/>
        </w:rPr>
        <w:t>十条第（八）</w:t>
      </w:r>
      <w:r>
        <w:rPr>
          <w:rFonts w:hint="eastAsia" w:ascii="宋体" w:hAnsi="宋体" w:eastAsia="宋体" w:cs="宋体"/>
          <w:color w:val="auto"/>
          <w:sz w:val="21"/>
          <w:szCs w:val="21"/>
          <w:shd w:val="clear" w:color="auto" w:fill="FFFFFF"/>
          <w:lang w:eastAsia="zh-CN"/>
        </w:rPr>
        <w:t>款约定向甲</w:t>
      </w:r>
      <w:r>
        <w:rPr>
          <w:rFonts w:hint="eastAsia" w:ascii="宋体" w:hAnsi="宋体" w:eastAsia="宋体" w:cs="宋体"/>
          <w:sz w:val="21"/>
          <w:szCs w:val="21"/>
          <w:shd w:val="clear" w:color="auto" w:fill="FFFFFF"/>
          <w:lang w:eastAsia="zh-CN"/>
        </w:rPr>
        <w:t>方承担违约责任。乙方及其工作人员的保密义务不因本合同的终止而终止，</w:t>
      </w:r>
      <w:r>
        <w:rPr>
          <w:rFonts w:hint="eastAsia" w:ascii="宋体" w:hAnsi="宋体" w:eastAsia="宋体" w:cs="宋体"/>
          <w:sz w:val="21"/>
          <w:szCs w:val="21"/>
          <w:shd w:val="clear" w:color="auto" w:fill="FFFFFF"/>
          <w:lang w:val="en-US" w:eastAsia="zh-CN"/>
        </w:rPr>
        <w:t>保密义务</w:t>
      </w:r>
      <w:r>
        <w:rPr>
          <w:rFonts w:hint="eastAsia" w:ascii="宋体" w:hAnsi="宋体" w:eastAsia="宋体" w:cs="宋体"/>
          <w:sz w:val="21"/>
          <w:szCs w:val="21"/>
          <w:shd w:val="clear" w:color="auto" w:fill="FFFFFF"/>
          <w:lang w:eastAsia="zh-CN"/>
        </w:rPr>
        <w:t>直至相关保密信息被合法公开、</w:t>
      </w:r>
      <w:r>
        <w:rPr>
          <w:rFonts w:hint="eastAsia" w:ascii="宋体" w:hAnsi="宋体" w:eastAsia="宋体" w:cs="宋体"/>
          <w:sz w:val="21"/>
          <w:szCs w:val="21"/>
          <w:shd w:val="clear" w:color="auto" w:fill="FFFFFF"/>
          <w:lang w:val="en-US" w:eastAsia="zh-CN"/>
        </w:rPr>
        <w:t>进入公共领域</w:t>
      </w:r>
      <w:r>
        <w:rPr>
          <w:rFonts w:hint="eastAsia" w:ascii="宋体" w:hAnsi="宋体" w:eastAsia="宋体" w:cs="宋体"/>
          <w:sz w:val="21"/>
          <w:szCs w:val="21"/>
          <w:shd w:val="clear" w:color="auto" w:fill="FFFFFF"/>
          <w:lang w:eastAsia="zh-CN"/>
        </w:rPr>
        <w:t>时</w:t>
      </w:r>
      <w:r>
        <w:rPr>
          <w:rFonts w:hint="eastAsia" w:ascii="宋体" w:hAnsi="宋体" w:eastAsia="宋体" w:cs="宋体"/>
          <w:sz w:val="21"/>
          <w:szCs w:val="21"/>
          <w:shd w:val="clear" w:color="auto" w:fill="FFFFFF"/>
          <w:lang w:val="en-US" w:eastAsia="zh-CN"/>
        </w:rPr>
        <w:t>方可终止</w:t>
      </w:r>
      <w:r>
        <w:rPr>
          <w:rFonts w:hint="eastAsia" w:ascii="宋体" w:hAnsi="宋体" w:eastAsia="宋体" w:cs="宋体"/>
          <w:sz w:val="21"/>
          <w:szCs w:val="21"/>
          <w:shd w:val="clear" w:color="auto" w:fill="FFFFFF"/>
          <w:lang w:eastAsia="zh-CN"/>
        </w:rPr>
        <w:t>。</w:t>
      </w:r>
    </w:p>
    <w:p w14:paraId="797F7036">
      <w:pPr>
        <w:spacing w:line="360" w:lineRule="auto"/>
        <w:ind w:firstLine="420" w:firstLineChars="200"/>
        <w:rPr>
          <w:rStyle w:val="23"/>
          <w:rFonts w:hint="eastAsia" w:asciiTheme="minorEastAsia" w:hAnsiTheme="minorEastAsia" w:cstheme="minorEastAsia"/>
          <w:b w:val="0"/>
          <w:bCs w:val="0"/>
        </w:rPr>
      </w:pPr>
    </w:p>
    <w:p w14:paraId="799E9347">
      <w:pPr>
        <w:spacing w:line="360" w:lineRule="auto"/>
        <w:ind w:firstLine="422" w:firstLineChars="200"/>
        <w:outlineLvl w:val="0"/>
        <w:rPr>
          <w:rFonts w:hint="eastAsia" w:asciiTheme="minorEastAsia" w:hAnsiTheme="minorEastAsia" w:cstheme="minorEastAsia"/>
          <w:b/>
          <w:szCs w:val="21"/>
        </w:rPr>
      </w:pPr>
      <w:bookmarkStart w:id="100" w:name="OLE_LINK16"/>
      <w:r>
        <w:rPr>
          <w:rFonts w:hint="eastAsia" w:asciiTheme="minorEastAsia" w:hAnsiTheme="minorEastAsia" w:cstheme="minorEastAsia"/>
          <w:b/>
          <w:szCs w:val="21"/>
        </w:rPr>
        <w:t>第</w:t>
      </w:r>
      <w:r>
        <w:rPr>
          <w:rFonts w:hint="eastAsia" w:asciiTheme="minorEastAsia" w:hAnsiTheme="minorEastAsia" w:cstheme="minorEastAsia"/>
          <w:b/>
          <w:szCs w:val="21"/>
          <w:lang w:val="en-US" w:eastAsia="zh-CN"/>
        </w:rPr>
        <w:t>十</w:t>
      </w:r>
      <w:r>
        <w:rPr>
          <w:rFonts w:hint="eastAsia" w:asciiTheme="minorEastAsia" w:hAnsiTheme="minorEastAsia" w:cstheme="minorEastAsia"/>
          <w:b/>
          <w:szCs w:val="21"/>
        </w:rPr>
        <w:t>条 违约责任</w:t>
      </w:r>
    </w:p>
    <w:p w14:paraId="75C06005">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（一）</w:t>
      </w:r>
      <w:r>
        <w:rPr>
          <w:rFonts w:hint="eastAsia" w:asciiTheme="minorEastAsia" w:hAnsiTheme="minorEastAsia" w:cstheme="minorEastAsia"/>
          <w:b w:val="0"/>
          <w:bCs/>
          <w:szCs w:val="21"/>
        </w:rPr>
        <w:t>乙方未按时完成设计</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rPr>
        <w:t>交货、安装的，或未在规定的时间内承担相应的更换、退货责任的，每逾期1日，乙方应向甲方支付合同价税合计金额的0.5%作为违约金。乙方逾期超过</w:t>
      </w:r>
      <w:r>
        <w:rPr>
          <w:rFonts w:hint="eastAsia" w:asciiTheme="minorEastAsia" w:hAnsiTheme="minorEastAsia" w:cstheme="minorEastAsia"/>
          <w:b w:val="0"/>
          <w:bCs/>
          <w:szCs w:val="21"/>
          <w:lang w:val="en-US" w:eastAsia="zh-CN"/>
        </w:rPr>
        <w:t>5</w:t>
      </w:r>
      <w:r>
        <w:rPr>
          <w:rFonts w:hint="eastAsia" w:asciiTheme="minorEastAsia" w:hAnsiTheme="minorEastAsia" w:cstheme="minorEastAsia"/>
          <w:b w:val="0"/>
          <w:bCs/>
          <w:szCs w:val="21"/>
        </w:rPr>
        <w:t>日的，甲方有权单方解除本合同，且无论甲方是否单方解除本合同，乙方除前述逾期违约金外，还应向甲方支付合同价税合计金额的20%作为违约金。</w:t>
      </w:r>
    </w:p>
    <w:p w14:paraId="344CD7AD">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二</w:t>
      </w:r>
      <w:r>
        <w:rPr>
          <w:rFonts w:hint="eastAsia" w:ascii="宋体" w:hAnsi="宋体" w:eastAsia="宋体" w:cs="宋体"/>
          <w:sz w:val="21"/>
          <w:szCs w:val="21"/>
        </w:rPr>
        <w:t>）</w:t>
      </w:r>
      <w:r>
        <w:rPr>
          <w:rFonts w:hint="eastAsia" w:asciiTheme="minorEastAsia" w:hAnsiTheme="minorEastAsia" w:cstheme="minorEastAsia"/>
          <w:b w:val="0"/>
          <w:bCs/>
          <w:szCs w:val="21"/>
        </w:rPr>
        <w:t>乙方所交货物（包括但不限于品种、型号、规格、质量）不符合甲方要求的，甲方有权拒收，并要求乙方免费予以更换或退货，同时乙方应向甲方支付合同价税合计金额的5%作为违约金。乙方所交货物经检验出现2次以上（含本数）的不合格情况时，除前述违约金外，甲方有权单方解除合同，同时乙方应额外向甲方支付合同价税合计金额的20%作为违约金。</w:t>
      </w:r>
    </w:p>
    <w:p w14:paraId="0FB9E27F">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三</w:t>
      </w:r>
      <w:r>
        <w:rPr>
          <w:rFonts w:hint="eastAsia" w:ascii="宋体" w:hAnsi="宋体" w:eastAsia="宋体" w:cs="宋体"/>
          <w:sz w:val="21"/>
          <w:szCs w:val="21"/>
        </w:rPr>
        <w:t>）</w:t>
      </w:r>
      <w:r>
        <w:rPr>
          <w:rFonts w:hint="eastAsia" w:asciiTheme="minorEastAsia" w:hAnsiTheme="minorEastAsia" w:cstheme="minorEastAsia"/>
          <w:b w:val="0"/>
          <w:bCs/>
          <w:szCs w:val="21"/>
        </w:rPr>
        <w:t>在货物安装、调试过程中，乙方违反甲方现场的管理规定或工程施工、安全生产、消防安全的有关管理规定，造成的损失（包括但不限于人身、财产损害等）均由乙方承担。</w:t>
      </w:r>
    </w:p>
    <w:p w14:paraId="56D633CC">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四</w:t>
      </w:r>
      <w:r>
        <w:rPr>
          <w:rFonts w:hint="eastAsia" w:ascii="宋体" w:hAnsi="宋体" w:eastAsia="宋体" w:cs="宋体"/>
          <w:sz w:val="21"/>
          <w:szCs w:val="21"/>
        </w:rPr>
        <w:t>）</w:t>
      </w:r>
      <w:r>
        <w:rPr>
          <w:rFonts w:hint="eastAsia" w:asciiTheme="minorEastAsia" w:hAnsiTheme="minorEastAsia" w:cstheme="minorEastAsia"/>
          <w:b w:val="0"/>
          <w:bCs/>
          <w:szCs w:val="21"/>
        </w:rPr>
        <w:t>乙方未按约定履行售后服务义务的，甲方有权要求限期改正，如乙方逾期仍未改正或整改后仍不符合合同约定的，甲方有权单方解除合同，</w:t>
      </w:r>
      <w:r>
        <w:rPr>
          <w:rFonts w:hint="eastAsia" w:asciiTheme="minorEastAsia" w:hAnsiTheme="minorEastAsia" w:cstheme="minorEastAsia"/>
          <w:b w:val="0"/>
          <w:bCs/>
          <w:szCs w:val="21"/>
          <w:lang w:eastAsia="zh-CN"/>
        </w:rPr>
        <w:t>并</w:t>
      </w:r>
      <w:r>
        <w:rPr>
          <w:rFonts w:hint="eastAsia" w:asciiTheme="minorEastAsia" w:hAnsiTheme="minorEastAsia" w:cstheme="minorEastAsia"/>
          <w:b w:val="0"/>
          <w:bCs/>
          <w:szCs w:val="21"/>
        </w:rPr>
        <w:t>有权没收质保金。同时，甲方有权另行委托其他第三方进行售后服务，甲方由此遭受的损失及产生的费用由乙方全部承担。</w:t>
      </w:r>
    </w:p>
    <w:p w14:paraId="528E70A1">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五</w:t>
      </w:r>
      <w:r>
        <w:rPr>
          <w:rFonts w:hint="eastAsia" w:ascii="宋体" w:hAnsi="宋体" w:eastAsia="宋体" w:cs="宋体"/>
          <w:sz w:val="21"/>
          <w:szCs w:val="21"/>
        </w:rPr>
        <w:t>）</w:t>
      </w:r>
      <w:r>
        <w:rPr>
          <w:rFonts w:hint="eastAsia" w:asciiTheme="minorEastAsia" w:hAnsiTheme="minorEastAsia" w:cstheme="minorEastAsia"/>
          <w:b w:val="0"/>
          <w:bCs/>
          <w:szCs w:val="21"/>
        </w:rPr>
        <w:t>无论是否在质保期内，因货物质量问题发生安全事故或引起其他损失、造成不良后果的，乙方应承担全部责任及损失赔偿。</w:t>
      </w:r>
    </w:p>
    <w:p w14:paraId="277AA770">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六</w:t>
      </w:r>
      <w:r>
        <w:rPr>
          <w:rFonts w:hint="eastAsia" w:ascii="宋体" w:hAnsi="宋体" w:eastAsia="宋体" w:cs="宋体"/>
          <w:sz w:val="21"/>
          <w:szCs w:val="21"/>
        </w:rPr>
        <w:t>）</w:t>
      </w:r>
      <w:r>
        <w:rPr>
          <w:rFonts w:hint="eastAsia" w:asciiTheme="minorEastAsia" w:hAnsiTheme="minorEastAsia" w:cstheme="minorEastAsia"/>
          <w:b w:val="0"/>
          <w:bCs/>
          <w:szCs w:val="21"/>
        </w:rPr>
        <w:t>未经甲方书面同意，乙方将本合同的义务转包或分包给第三方的，甲方有权解除本合同并要求乙方支付合同价税合计金额的20%作为违约金。</w:t>
      </w:r>
    </w:p>
    <w:p w14:paraId="14F1151F">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七</w:t>
      </w:r>
      <w:r>
        <w:rPr>
          <w:rFonts w:hint="eastAsia" w:ascii="宋体" w:hAnsi="宋体" w:eastAsia="宋体" w:cs="宋体"/>
          <w:sz w:val="21"/>
          <w:szCs w:val="21"/>
        </w:rPr>
        <w:t>）</w:t>
      </w:r>
      <w:r>
        <w:rPr>
          <w:rFonts w:hint="eastAsia" w:asciiTheme="minorEastAsia" w:hAnsiTheme="minorEastAsia" w:cstheme="minorEastAsia"/>
          <w:b w:val="0"/>
          <w:bCs/>
          <w:szCs w:val="21"/>
        </w:rPr>
        <w:t>在本合同履行过程中，无论何种原因，乙方均不得消极怠工或拒不履行合同义务（包括但不限于不提供成果提交后的维护、支持服务的），如有违反，甲方有权就违约事宜提出改正，如乙方仍拒不改正的，甲方有权解除本合同并要求乙方支付合同价税合计金额的20%作为违约金。同时并有权依法委托有资质的第三方继续履行本合同义务，由此产生的费用及给甲方造成的一切损失由乙方承担。</w:t>
      </w:r>
    </w:p>
    <w:p w14:paraId="25853B94">
      <w:pPr>
        <w:spacing w:line="360" w:lineRule="auto"/>
        <w:ind w:firstLine="420" w:firstLineChars="200"/>
        <w:outlineLvl w:val="0"/>
        <w:rPr>
          <w:rFonts w:hint="eastAsia" w:asciiTheme="minorEastAsia" w:hAnsiTheme="minorEastAsia" w:cstheme="minorEastAsia"/>
          <w:b w:val="0"/>
          <w:bCs/>
          <w:szCs w:val="21"/>
        </w:rPr>
      </w:pPr>
      <w:r>
        <w:rPr>
          <w:rFonts w:hint="eastAsia" w:ascii="宋体" w:hAnsi="宋体" w:eastAsia="宋体" w:cs="宋体"/>
          <w:sz w:val="21"/>
          <w:szCs w:val="21"/>
        </w:rPr>
        <w:t>（</w:t>
      </w:r>
      <w:r>
        <w:rPr>
          <w:rFonts w:hint="eastAsia" w:ascii="宋体" w:hAnsi="宋体" w:cs="宋体"/>
          <w:sz w:val="21"/>
          <w:szCs w:val="21"/>
          <w:lang w:val="en-US" w:eastAsia="zh-CN"/>
        </w:rPr>
        <w:t>八</w:t>
      </w:r>
      <w:r>
        <w:rPr>
          <w:rFonts w:hint="eastAsia" w:ascii="宋体" w:hAnsi="宋体" w:eastAsia="宋体" w:cs="宋体"/>
          <w:sz w:val="21"/>
          <w:szCs w:val="21"/>
        </w:rPr>
        <w:t>）</w:t>
      </w:r>
      <w:r>
        <w:rPr>
          <w:rFonts w:hint="eastAsia" w:asciiTheme="minorEastAsia" w:hAnsiTheme="minorEastAsia" w:cstheme="minorEastAsia"/>
          <w:b w:val="0"/>
          <w:bCs/>
          <w:szCs w:val="21"/>
        </w:rPr>
        <w:t>乙方保证对其在讨论、签订、履行本合同过程中所获悉的属于甲方的且无法从公开渠道获得的文件资料及项目信息予以严格保密并应采取相应的保密措施，保证其自身及工作人员不私下使用或向任何第三方泄露，否则，视为乙方违约，甲方有权要求乙方支付本合同价税合计金额的20%作为违约金，且乙方须承担由此给甲方造成的一切损失。乙方及其工作人员的保密义务不因本合同的终止而终止，直至相关保密信息被合法公开。</w:t>
      </w:r>
    </w:p>
    <w:bookmarkEnd w:id="100"/>
    <w:p w14:paraId="1E7840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九</w:t>
      </w:r>
      <w:r>
        <w:rPr>
          <w:rFonts w:hint="eastAsia" w:ascii="宋体" w:hAnsi="宋体" w:eastAsia="宋体" w:cs="宋体"/>
          <w:sz w:val="21"/>
          <w:szCs w:val="21"/>
        </w:rPr>
        <w:t>）若因乙方原因致使甲方遭受第三人索赔、政府部门行政处罚或其他损失，甲方在承担相关责任后，有权就全部损失向乙方进行追偿，追偿范围包括但不限于：诉讼费、财产保全费、担保费、公证费、评估费、鉴定费、律师费、差旅费、向第三人支付的赔偿款、违约金、费用，以及向政府部门缴纳的罚款等所有实际支出及合理费用。</w:t>
      </w:r>
    </w:p>
    <w:p w14:paraId="1E35DB5A">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lang w:eastAsia="zh-CN"/>
        </w:rPr>
        <w:t>（十）</w:t>
      </w:r>
      <w:r>
        <w:rPr>
          <w:rFonts w:hint="eastAsia" w:asciiTheme="minorEastAsia" w:hAnsiTheme="minorEastAsia" w:cstheme="minorEastAsia"/>
          <w:szCs w:val="21"/>
        </w:rPr>
        <w:t>因乙方违约而应向甲方支付的违约金或其他损失赔偿的款项，甲方有权从应付项目款项或质量保证金中直接扣除</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不够抵扣的，乙方应及时向甲方偿付。</w:t>
      </w:r>
    </w:p>
    <w:p w14:paraId="63B8517C">
      <w:pPr>
        <w:spacing w:line="360" w:lineRule="auto"/>
        <w:ind w:firstLine="420" w:firstLineChars="200"/>
        <w:rPr>
          <w:rFonts w:hint="eastAsia" w:asciiTheme="minorEastAsia" w:hAnsiTheme="minorEastAsia" w:cstheme="minorEastAsia"/>
          <w:szCs w:val="21"/>
        </w:rPr>
      </w:pPr>
      <w:r>
        <w:rPr>
          <w:rFonts w:hint="eastAsia" w:ascii="宋体" w:hAnsi="宋体" w:eastAsia="宋体" w:cs="宋体"/>
          <w:sz w:val="21"/>
          <w:szCs w:val="21"/>
        </w:rPr>
        <w:t>（</w:t>
      </w:r>
      <w:r>
        <w:rPr>
          <w:rFonts w:hint="eastAsia" w:ascii="宋体" w:hAnsi="宋体" w:cs="宋体"/>
          <w:sz w:val="21"/>
          <w:szCs w:val="21"/>
          <w:lang w:val="en-US" w:eastAsia="zh-CN"/>
        </w:rPr>
        <w:t>十一</w:t>
      </w:r>
      <w:r>
        <w:rPr>
          <w:rFonts w:hint="eastAsia" w:ascii="宋体" w:hAnsi="宋体" w:eastAsia="宋体" w:cs="宋体"/>
          <w:sz w:val="21"/>
          <w:szCs w:val="21"/>
        </w:rPr>
        <w:t>）</w:t>
      </w:r>
      <w:r>
        <w:rPr>
          <w:rFonts w:hint="eastAsia" w:asciiTheme="minorEastAsia" w:hAnsiTheme="minorEastAsia" w:cstheme="minorEastAsia"/>
          <w:szCs w:val="21"/>
        </w:rPr>
        <w:t>因乙方违约</w:t>
      </w:r>
      <w:r>
        <w:rPr>
          <w:rFonts w:hint="eastAsia" w:asciiTheme="minorEastAsia" w:hAnsiTheme="minorEastAsia" w:cstheme="minorEastAsia"/>
          <w:szCs w:val="21"/>
          <w:lang w:eastAsia="zh-CN"/>
        </w:rPr>
        <w:t>，甲方为解决争议支付的诉讼费、律师费、保全费、保全担保费、鉴定费、保管费、差旅费、评估费等一切合理费用，均由乙方承担。</w:t>
      </w:r>
    </w:p>
    <w:p w14:paraId="5B0A8A75">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第十</w:t>
      </w:r>
      <w:r>
        <w:rPr>
          <w:rFonts w:hint="eastAsia" w:asciiTheme="minorEastAsia" w:hAnsiTheme="minorEastAsia" w:cstheme="minorEastAsia"/>
          <w:b/>
          <w:szCs w:val="21"/>
          <w:lang w:val="en-US" w:eastAsia="zh-CN"/>
        </w:rPr>
        <w:t>一</w:t>
      </w:r>
      <w:r>
        <w:rPr>
          <w:rFonts w:hint="eastAsia" w:asciiTheme="minorEastAsia" w:hAnsiTheme="minorEastAsia" w:cstheme="minorEastAsia"/>
          <w:b/>
          <w:szCs w:val="21"/>
        </w:rPr>
        <w:t>条 不可抗力</w:t>
      </w:r>
    </w:p>
    <w:p w14:paraId="6DF9B7C6">
      <w:pPr>
        <w:spacing w:line="360" w:lineRule="auto"/>
        <w:ind w:firstLine="424" w:firstLineChars="202"/>
        <w:rPr>
          <w:rFonts w:hint="eastAsia" w:asciiTheme="minorEastAsia" w:hAnsiTheme="minorEastAsia" w:cstheme="minorEastAsia"/>
          <w:szCs w:val="21"/>
        </w:rPr>
      </w:pPr>
      <w:r>
        <w:rPr>
          <w:rFonts w:hint="eastAsia" w:ascii="宋体" w:hAnsi="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2476618">
      <w:pPr>
        <w:bidi w:val="0"/>
        <w:rPr>
          <w:rFonts w:hint="eastAsia"/>
        </w:rPr>
      </w:pPr>
    </w:p>
    <w:p w14:paraId="193F3AB0">
      <w:pPr>
        <w:spacing w:line="360" w:lineRule="auto"/>
        <w:ind w:left="473" w:leftChars="175" w:hanging="105" w:hangingChars="50"/>
        <w:outlineLvl w:val="0"/>
        <w:rPr>
          <w:rFonts w:hint="eastAsia" w:eastAsia="宋体" w:asciiTheme="minorEastAsia" w:hAnsiTheme="minorEastAsia" w:cstheme="minorEastAsia"/>
          <w:b/>
          <w:szCs w:val="21"/>
          <w:lang w:eastAsia="zh-CN"/>
        </w:rPr>
      </w:pPr>
      <w:r>
        <w:rPr>
          <w:rFonts w:hint="eastAsia" w:asciiTheme="minorEastAsia" w:hAnsiTheme="minorEastAsia" w:cstheme="minorEastAsia"/>
          <w:b/>
          <w:szCs w:val="21"/>
        </w:rPr>
        <w:t>第十</w:t>
      </w:r>
      <w:r>
        <w:rPr>
          <w:rFonts w:hint="eastAsia" w:asciiTheme="minorEastAsia" w:hAnsiTheme="minorEastAsia" w:cstheme="minorEastAsia"/>
          <w:b/>
          <w:szCs w:val="21"/>
          <w:lang w:val="en-US" w:eastAsia="zh-CN"/>
        </w:rPr>
        <w:t>二</w:t>
      </w:r>
      <w:r>
        <w:rPr>
          <w:rFonts w:hint="eastAsia" w:asciiTheme="minorEastAsia" w:hAnsiTheme="minorEastAsia" w:cstheme="minorEastAsia"/>
          <w:b/>
          <w:szCs w:val="21"/>
        </w:rPr>
        <w:t>条 争议解决</w:t>
      </w:r>
      <w:r>
        <w:rPr>
          <w:rFonts w:hint="eastAsia" w:asciiTheme="minorEastAsia" w:hAnsiTheme="minorEastAsia" w:cstheme="minorEastAsia"/>
          <w:b/>
          <w:szCs w:val="21"/>
          <w:lang w:eastAsia="zh-CN"/>
        </w:rPr>
        <w:t>及送达</w:t>
      </w:r>
    </w:p>
    <w:p w14:paraId="77BCD291">
      <w:pPr>
        <w:spacing w:line="360" w:lineRule="auto"/>
        <w:ind w:firstLine="424" w:firstLineChars="202"/>
        <w:rPr>
          <w:rFonts w:hint="eastAsia"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双方在履约中发生争执和分歧，应通过友好协商解决，如不能通过友好协商解决的，任何一方均可向甲方住所地有管辖权的人民法院提起诉讼。</w:t>
      </w:r>
    </w:p>
    <w:p w14:paraId="4259C126">
      <w:pPr>
        <w:spacing w:line="360" w:lineRule="auto"/>
        <w:ind w:firstLine="424" w:firstLineChars="202"/>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双方按本合同列明的地址为送达地址，其适用范围包括双方非诉时各类通知、协议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38FA2494">
      <w:pPr>
        <w:bidi w:val="0"/>
        <w:rPr>
          <w:rFonts w:hint="eastAsia"/>
        </w:rPr>
      </w:pPr>
    </w:p>
    <w:p w14:paraId="02768CD1">
      <w:pPr>
        <w:spacing w:line="360" w:lineRule="auto"/>
        <w:ind w:firstLine="422" w:firstLineChars="200"/>
        <w:outlineLvl w:val="0"/>
        <w:rPr>
          <w:rFonts w:hint="eastAsia" w:asciiTheme="minorEastAsia" w:hAnsiTheme="minorEastAsia" w:cstheme="minorEastAsia"/>
          <w:b/>
          <w:bCs/>
          <w:szCs w:val="21"/>
        </w:rPr>
      </w:pPr>
      <w:r>
        <w:rPr>
          <w:rFonts w:hint="eastAsia" w:asciiTheme="minorEastAsia" w:hAnsiTheme="minorEastAsia" w:cstheme="minorEastAsia"/>
          <w:b/>
          <w:bCs/>
          <w:szCs w:val="21"/>
        </w:rPr>
        <w:t>第十</w:t>
      </w:r>
      <w:r>
        <w:rPr>
          <w:rFonts w:hint="eastAsia" w:asciiTheme="minorEastAsia" w:hAnsiTheme="minorEastAsia" w:cstheme="minorEastAsia"/>
          <w:b/>
          <w:bCs/>
          <w:szCs w:val="21"/>
          <w:lang w:val="en-US" w:eastAsia="zh-CN"/>
        </w:rPr>
        <w:t>三</w:t>
      </w:r>
      <w:r>
        <w:rPr>
          <w:rFonts w:hint="eastAsia" w:asciiTheme="minorEastAsia" w:hAnsiTheme="minorEastAsia" w:cstheme="minorEastAsia"/>
          <w:b/>
          <w:bCs/>
          <w:szCs w:val="21"/>
        </w:rPr>
        <w:t>条 其他</w:t>
      </w:r>
    </w:p>
    <w:p w14:paraId="67E2CD9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1、本合同如有未尽事宜，由甲、乙双方签订补充协议，补充协议与本合同同具法律效力。</w:t>
      </w:r>
    </w:p>
    <w:p w14:paraId="153761E1">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2、本合同附件为本合同不可分割内容，与本合同同时生效、同具法律效力。当本合同附件与本合同内容不一致时，以本合同为准。</w:t>
      </w:r>
    </w:p>
    <w:p w14:paraId="76B67F44">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3、本合同一式</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份，甲方执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份，乙方执</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份，均具有同等效力。本合同经双方法定代表人或</w:t>
      </w:r>
      <w:r>
        <w:rPr>
          <w:rFonts w:hint="eastAsia" w:asciiTheme="minorEastAsia" w:hAnsiTheme="minorEastAsia" w:cstheme="minorEastAsia"/>
          <w:szCs w:val="21"/>
          <w:lang w:val="en-US" w:eastAsia="zh-CN"/>
        </w:rPr>
        <w:t>负责人</w:t>
      </w:r>
      <w:r>
        <w:rPr>
          <w:rFonts w:hint="eastAsia" w:asciiTheme="minorEastAsia" w:hAnsiTheme="minorEastAsia" w:cstheme="minorEastAsia"/>
          <w:szCs w:val="21"/>
        </w:rPr>
        <w:t>签</w:t>
      </w:r>
      <w:r>
        <w:rPr>
          <w:rFonts w:hint="eastAsia" w:asciiTheme="minorEastAsia" w:hAnsiTheme="minorEastAsia" w:cstheme="minorEastAsia"/>
          <w:szCs w:val="21"/>
          <w:lang w:eastAsia="zh-CN"/>
        </w:rPr>
        <w:t>字</w:t>
      </w:r>
      <w:r>
        <w:rPr>
          <w:rFonts w:hint="eastAsia" w:asciiTheme="minorEastAsia" w:hAnsiTheme="minorEastAsia" w:cstheme="minorEastAsia"/>
          <w:szCs w:val="21"/>
        </w:rPr>
        <w:t>并盖章之日起生效。</w:t>
      </w:r>
    </w:p>
    <w:p w14:paraId="569AC259">
      <w:pPr>
        <w:pStyle w:val="7"/>
        <w:rPr>
          <w:rFonts w:hint="eastAsia" w:asciiTheme="minorEastAsia" w:hAnsiTheme="minorEastAsia" w:cstheme="minorEastAsia"/>
        </w:rPr>
      </w:pPr>
    </w:p>
    <w:p w14:paraId="0800CB32">
      <w:pPr>
        <w:spacing w:line="360" w:lineRule="auto"/>
        <w:ind w:firstLine="422" w:firstLineChars="200"/>
        <w:rPr>
          <w:rFonts w:hint="eastAsia" w:asciiTheme="minorEastAsia" w:hAnsiTheme="minorEastAsia" w:cstheme="minorEastAsia"/>
          <w:b/>
          <w:szCs w:val="21"/>
        </w:rPr>
      </w:pPr>
      <w:r>
        <w:rPr>
          <w:rFonts w:hint="eastAsia" w:asciiTheme="minorEastAsia" w:hAnsiTheme="minorEastAsia" w:cstheme="minorEastAsia"/>
          <w:b/>
          <w:szCs w:val="21"/>
        </w:rPr>
        <w:t>附件：</w:t>
      </w:r>
    </w:p>
    <w:p w14:paraId="65675B50">
      <w:pPr>
        <w:spacing w:line="360" w:lineRule="auto"/>
        <w:ind w:firstLine="420" w:firstLineChars="200"/>
        <w:rPr>
          <w:rFonts w:hint="default" w:eastAsia="宋体" w:asciiTheme="minorEastAsia" w:hAnsiTheme="minorEastAsia" w:cstheme="minorEastAsia"/>
          <w:szCs w:val="21"/>
          <w:lang w:val="en-US" w:eastAsia="zh-CN"/>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安全生产管理协议</w:t>
      </w:r>
    </w:p>
    <w:p w14:paraId="38307989">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：阳光合作告知函</w:t>
      </w:r>
    </w:p>
    <w:p w14:paraId="7D20D4E2">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：报价表</w:t>
      </w:r>
    </w:p>
    <w:p w14:paraId="66EF3C28">
      <w:pPr>
        <w:spacing w:line="360" w:lineRule="auto"/>
        <w:ind w:firstLine="420" w:firstLineChars="200"/>
        <w:rPr>
          <w:rFonts w:hint="default" w:eastAsia="宋体" w:asciiTheme="minorEastAsia" w:hAnsiTheme="minorEastAsia" w:cstheme="minorEastAsia"/>
          <w:szCs w:val="21"/>
          <w:lang w:val="en-US" w:eastAsia="zh-CN"/>
        </w:rPr>
      </w:pPr>
      <w:r>
        <w:rPr>
          <w:rFonts w:hint="eastAsia" w:asciiTheme="minorEastAsia" w:hAnsiTheme="minorEastAsia" w:cstheme="minorEastAsia"/>
          <w:szCs w:val="21"/>
          <w:lang w:val="en-US" w:eastAsia="zh-CN"/>
        </w:rPr>
        <w:t>附件4：</w:t>
      </w:r>
      <w:r>
        <w:rPr>
          <w:rFonts w:hint="eastAsia" w:asciiTheme="minorEastAsia" w:hAnsiTheme="minorEastAsia" w:cstheme="minorEastAsia"/>
          <w:szCs w:val="21"/>
        </w:rPr>
        <w:t>用户需求书</w:t>
      </w:r>
    </w:p>
    <w:p w14:paraId="24759CE8">
      <w:pPr>
        <w:snapToGrid w:val="0"/>
        <w:spacing w:line="360" w:lineRule="auto"/>
        <w:ind w:firstLine="420" w:firstLineChars="200"/>
        <w:rPr>
          <w:rFonts w:hint="eastAsia" w:ascii="宋体" w:hAnsi="宋体" w:eastAsia="宋体" w:cs="宋体"/>
          <w:color w:val="auto"/>
          <w:szCs w:val="21"/>
          <w:highlight w:val="none"/>
        </w:rPr>
      </w:pPr>
    </w:p>
    <w:p w14:paraId="7DA60390">
      <w:pPr>
        <w:snapToGrid w:val="0"/>
        <w:spacing w:line="360" w:lineRule="auto"/>
        <w:rPr>
          <w:rFonts w:hint="eastAsia" w:ascii="宋体" w:hAnsi="宋体" w:eastAsia="宋体" w:cs="宋体"/>
          <w:color w:val="auto"/>
          <w:szCs w:val="21"/>
          <w:highlight w:val="none"/>
        </w:rPr>
      </w:pPr>
    </w:p>
    <w:p w14:paraId="65279CC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（以下无正文，为本合同签署栏）</w:t>
      </w:r>
    </w:p>
    <w:tbl>
      <w:tblPr>
        <w:tblStyle w:val="20"/>
        <w:tblW w:w="9974" w:type="dxa"/>
        <w:jc w:val="center"/>
        <w:tblLayout w:type="fixed"/>
        <w:tblCellMar>
          <w:top w:w="0" w:type="dxa"/>
          <w:left w:w="108" w:type="dxa"/>
          <w:bottom w:w="0" w:type="dxa"/>
          <w:right w:w="108" w:type="dxa"/>
        </w:tblCellMar>
      </w:tblPr>
      <w:tblGrid>
        <w:gridCol w:w="4832"/>
        <w:gridCol w:w="247"/>
        <w:gridCol w:w="4895"/>
      </w:tblGrid>
      <w:tr w14:paraId="1A899A36">
        <w:tblPrEx>
          <w:tblCellMar>
            <w:top w:w="0" w:type="dxa"/>
            <w:left w:w="108" w:type="dxa"/>
            <w:bottom w:w="0" w:type="dxa"/>
            <w:right w:w="108" w:type="dxa"/>
          </w:tblCellMar>
        </w:tblPrEx>
        <w:trPr>
          <w:jc w:val="center"/>
        </w:trPr>
        <w:tc>
          <w:tcPr>
            <w:tcW w:w="4832" w:type="dxa"/>
          </w:tcPr>
          <w:p w14:paraId="7ACF08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4B63E1E7">
            <w:pPr>
              <w:spacing w:line="360" w:lineRule="auto"/>
              <w:rPr>
                <w:rFonts w:hint="eastAsia" w:ascii="宋体" w:hAnsi="宋体" w:eastAsia="宋体" w:cs="宋体"/>
                <w:color w:val="auto"/>
                <w:szCs w:val="21"/>
                <w:highlight w:val="none"/>
              </w:rPr>
            </w:pPr>
          </w:p>
          <w:p w14:paraId="54E965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Theme="minorEastAsia" w:hAnsiTheme="minorEastAsia" w:cstheme="minorEastAsia"/>
                <w:szCs w:val="21"/>
                <w:lang w:val="en-US" w:eastAsia="zh-CN"/>
              </w:rPr>
              <w:t>负责人</w:t>
            </w:r>
            <w:r>
              <w:rPr>
                <w:rFonts w:hint="eastAsia" w:ascii="宋体" w:hAnsi="宋体" w:eastAsia="宋体" w:cs="宋体"/>
                <w:color w:val="auto"/>
                <w:szCs w:val="21"/>
                <w:highlight w:val="none"/>
              </w:rPr>
              <w:t>：</w:t>
            </w:r>
          </w:p>
          <w:p w14:paraId="17A8B214">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（盖章或签字）                                     </w:t>
            </w:r>
          </w:p>
        </w:tc>
        <w:tc>
          <w:tcPr>
            <w:tcW w:w="247" w:type="dxa"/>
          </w:tcPr>
          <w:p w14:paraId="6D4F7F9A">
            <w:pPr>
              <w:spacing w:line="360" w:lineRule="auto"/>
              <w:rPr>
                <w:rFonts w:hint="eastAsia" w:ascii="宋体" w:hAnsi="宋体" w:eastAsia="宋体" w:cs="宋体"/>
                <w:color w:val="auto"/>
                <w:szCs w:val="21"/>
                <w:highlight w:val="none"/>
              </w:rPr>
            </w:pPr>
          </w:p>
        </w:tc>
        <w:tc>
          <w:tcPr>
            <w:tcW w:w="4895" w:type="dxa"/>
          </w:tcPr>
          <w:p w14:paraId="32F756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7535FEB1">
            <w:pPr>
              <w:spacing w:line="360" w:lineRule="auto"/>
              <w:rPr>
                <w:rFonts w:hint="eastAsia" w:ascii="宋体" w:hAnsi="宋体" w:eastAsia="宋体" w:cs="宋体"/>
                <w:color w:val="auto"/>
                <w:szCs w:val="21"/>
                <w:highlight w:val="none"/>
              </w:rPr>
            </w:pPr>
          </w:p>
          <w:p w14:paraId="696875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Theme="minorEastAsia" w:hAnsiTheme="minorEastAsia" w:cstheme="minorEastAsia"/>
                <w:szCs w:val="21"/>
                <w:lang w:val="en-US" w:eastAsia="zh-CN"/>
              </w:rPr>
              <w:t>负责人</w:t>
            </w:r>
            <w:r>
              <w:rPr>
                <w:rFonts w:hint="eastAsia" w:ascii="宋体" w:hAnsi="宋体" w:eastAsia="宋体" w:cs="宋体"/>
                <w:color w:val="auto"/>
                <w:szCs w:val="21"/>
                <w:highlight w:val="none"/>
              </w:rPr>
              <w:t>：</w:t>
            </w:r>
          </w:p>
          <w:p w14:paraId="0A062AD5">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（盖章或签字）</w:t>
            </w:r>
          </w:p>
        </w:tc>
      </w:tr>
      <w:tr w14:paraId="302E3063">
        <w:tblPrEx>
          <w:tblCellMar>
            <w:top w:w="0" w:type="dxa"/>
            <w:left w:w="108" w:type="dxa"/>
            <w:bottom w:w="0" w:type="dxa"/>
            <w:right w:w="108" w:type="dxa"/>
          </w:tblCellMar>
        </w:tblPrEx>
        <w:trPr>
          <w:trHeight w:val="432" w:hRule="atLeast"/>
          <w:jc w:val="center"/>
        </w:trPr>
        <w:tc>
          <w:tcPr>
            <w:tcW w:w="4832" w:type="dxa"/>
          </w:tcPr>
          <w:p w14:paraId="2035F149">
            <w:pPr>
              <w:spacing w:line="360" w:lineRule="auto"/>
              <w:rPr>
                <w:rFonts w:hint="eastAsia" w:ascii="宋体" w:hAnsi="宋体" w:eastAsia="宋体" w:cs="宋体"/>
                <w:color w:val="auto"/>
                <w:szCs w:val="21"/>
                <w:highlight w:val="none"/>
              </w:rPr>
            </w:pPr>
          </w:p>
          <w:p w14:paraId="611B99CA">
            <w:pPr>
              <w:spacing w:line="360" w:lineRule="auto"/>
              <w:rPr>
                <w:rFonts w:hint="eastAsia" w:ascii="宋体" w:hAnsi="宋体" w:eastAsia="宋体" w:cs="宋体"/>
                <w:color w:val="auto"/>
                <w:szCs w:val="21"/>
                <w:highlight w:val="none"/>
              </w:rPr>
            </w:pPr>
          </w:p>
          <w:p w14:paraId="2B1D33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247" w:type="dxa"/>
          </w:tcPr>
          <w:p w14:paraId="6445D061">
            <w:pPr>
              <w:spacing w:line="360" w:lineRule="auto"/>
              <w:rPr>
                <w:rFonts w:hint="eastAsia" w:ascii="宋体" w:hAnsi="宋体" w:eastAsia="宋体" w:cs="宋体"/>
                <w:color w:val="auto"/>
                <w:szCs w:val="21"/>
                <w:highlight w:val="none"/>
              </w:rPr>
            </w:pPr>
          </w:p>
        </w:tc>
        <w:tc>
          <w:tcPr>
            <w:tcW w:w="4895" w:type="dxa"/>
          </w:tcPr>
          <w:p w14:paraId="016D0ACB">
            <w:pPr>
              <w:spacing w:line="360" w:lineRule="auto"/>
              <w:rPr>
                <w:rFonts w:hint="eastAsia" w:ascii="宋体" w:hAnsi="宋体" w:eastAsia="宋体" w:cs="宋体"/>
                <w:color w:val="auto"/>
                <w:szCs w:val="21"/>
                <w:highlight w:val="none"/>
              </w:rPr>
            </w:pPr>
          </w:p>
        </w:tc>
      </w:tr>
    </w:tbl>
    <w:p w14:paraId="3EE54F66">
      <w:pP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br w:type="page"/>
      </w:r>
    </w:p>
    <w:p w14:paraId="01D24068">
      <w:pPr>
        <w:autoSpaceDE/>
        <w:autoSpaceDN/>
        <w:adjustRightInd/>
        <w:spacing w:line="360" w:lineRule="auto"/>
        <w:jc w:val="both"/>
        <w:rPr>
          <w:rFonts w:hint="eastAsia" w:ascii="宋体" w:hAnsi="宋体" w:eastAsia="宋体" w:cs="宋体"/>
          <w:sz w:val="21"/>
          <w:szCs w:val="21"/>
          <w:highlight w:val="none"/>
        </w:rPr>
      </w:pPr>
      <w:r>
        <w:rPr>
          <w:rFonts w:hint="eastAsia" w:ascii="宋体" w:hAnsi="宋体" w:eastAsia="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hint="eastAsia" w:ascii="宋体" w:hAnsi="宋体" w:eastAsia="宋体" w:cs="宋体"/>
          <w:sz w:val="21"/>
          <w:szCs w:val="21"/>
          <w:highlight w:val="none"/>
        </w:rPr>
        <w:t>安全生产管理协议</w:t>
      </w:r>
    </w:p>
    <w:p w14:paraId="6537D6AD">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安全生产管理协议</w:t>
      </w:r>
    </w:p>
    <w:p w14:paraId="7B58FB05">
      <w:pPr>
        <w:spacing w:line="360" w:lineRule="auto"/>
        <w:rPr>
          <w:rFonts w:hint="eastAsia" w:ascii="宋体" w:hAnsi="宋体" w:eastAsia="宋体" w:cs="宋体"/>
          <w:sz w:val="21"/>
          <w:szCs w:val="21"/>
          <w:highlight w:val="none"/>
        </w:rPr>
      </w:pPr>
    </w:p>
    <w:p w14:paraId="2A3522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 xml:space="preserve"> </w:t>
      </w:r>
    </w:p>
    <w:p w14:paraId="5B875A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 xml:space="preserve"> </w:t>
      </w:r>
    </w:p>
    <w:p w14:paraId="1185D3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1E04315C">
      <w:pPr>
        <w:spacing w:line="360" w:lineRule="auto"/>
        <w:rPr>
          <w:rFonts w:hint="eastAsia" w:ascii="宋体" w:hAnsi="宋体" w:eastAsia="宋体" w:cs="宋体"/>
          <w:sz w:val="21"/>
          <w:szCs w:val="21"/>
          <w:highlight w:val="none"/>
        </w:rPr>
      </w:pPr>
    </w:p>
    <w:p w14:paraId="5BA88BF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14:paraId="59FEB8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4F7931D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4E330DF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sz w:val="21"/>
          <w:szCs w:val="21"/>
        </w:rPr>
        <w:t>根据《中华人民共和国安全生产法》和《建设工程安全生产管理条例》的要求，为加强施工（维修）现场的安全管理，落实各自</w:t>
      </w:r>
      <w:r>
        <w:rPr>
          <w:rFonts w:hint="eastAsia" w:ascii="宋体" w:hAnsi="宋体" w:eastAsia="宋体" w:cs="宋体"/>
          <w:kern w:val="2"/>
          <w:sz w:val="21"/>
          <w:szCs w:val="21"/>
        </w:rPr>
        <w:t>的安全生产职责，进一步加强施工（维修）单位和施工（维修）人员的安全管理，杜绝施工（维修）单位和施工（维修）人员因安全管理不善而引发的各类安全事故，保证甲、乙双方的财产和员工的人身安全不受侵害，经甲乙双方协商一致，签订协议如下：</w:t>
      </w:r>
    </w:p>
    <w:p w14:paraId="20CB232E">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维修）所在地所需办理的各种证件，不得使用未成年工、童工、超龄工和安排女工从事禁忌劳动，进场前，乙方必须严格遵守甲方及项目所在地的相关防疫要求。</w:t>
      </w:r>
    </w:p>
    <w:p w14:paraId="7769B56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2、乙方应设置专职或兼职安全员，对施工（维修）进行安全管理，并在施工（维修）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3842B35">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3、乙方使用被派遣劳动者的，应当将被派遣劳动者纳入本单位从业人员统一管理，对被派遣劳动者进行岗位安全操作规程和安全操作技能的教育和培训。</w:t>
      </w:r>
    </w:p>
    <w:p w14:paraId="421BD1D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4、乙方应当在有较大危险因素的施工（维修）场所和有关设施、设备上，设置明显的安全警示标志。乙方应当对安全设备进行经常性维护、保养，并定期检测，保证正常运转。维护、保养、检测应当做好记录，并由乙方安全员或代表签字。</w:t>
      </w:r>
    </w:p>
    <w:p w14:paraId="75224C9E">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5、乙方应当教育和督促从业人员严格执行本单位的安全生产规章制度和安全操作规程；并向从业人员如实告知作业场所和工作岗位存在的危险因素、防范措施以及事故应急措施。</w:t>
      </w:r>
    </w:p>
    <w:p w14:paraId="28FBAD35">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6、乙方应严格遵守国家、地方政府有关安全生产及劳动保护的法律法规、标准、规定，贯彻执行甲方的各项安全管理规章制度。</w:t>
      </w:r>
    </w:p>
    <w:p w14:paraId="3007457B">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7、乙方依法参加工伤保险，为从业人员缴纳保险费，并应当为从事危险作业的人员办理意外伤害保险。</w:t>
      </w:r>
    </w:p>
    <w:p w14:paraId="403CFC9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8、乙方应当服从甲方的安全管理，保证施工（维修）区域的现场文明安全管理达标，现场临时用电、机器设备、安全防护齐全、完好。接受和配合甲方的安全监督检查，乙方现场的所有安全装置、防护设施必须依据经甲方审批后的安全技术施工（维修）方案进行搭设、安装，乙方必须无条件保证安全防护设施使用的搭设材料的质量，在用于安全防护的物资进场前将有关物资的材质证明报甲方，经甲方确认后方可使用。</w:t>
      </w:r>
    </w:p>
    <w:p w14:paraId="08FA582F">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867AFF">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10、甲方有权对整个施工（维修）现场的安全管理工作进行协调和监督管理。指导、监督、检查乙方的</w:t>
      </w:r>
      <w:r>
        <w:rPr>
          <w:rFonts w:hint="eastAsia" w:ascii="宋体" w:hAnsi="宋体" w:eastAsia="宋体" w:cs="宋体"/>
          <w:kern w:val="2"/>
          <w:sz w:val="21"/>
          <w:szCs w:val="21"/>
          <w:lang w:val="en-US" w:eastAsia="zh-CN"/>
        </w:rPr>
        <w:t>职业</w:t>
      </w:r>
      <w:r>
        <w:rPr>
          <w:rFonts w:hint="eastAsia" w:ascii="宋体" w:hAnsi="宋体" w:eastAsia="宋体" w:cs="宋体"/>
          <w:kern w:val="2"/>
          <w:sz w:val="21"/>
          <w:szCs w:val="21"/>
        </w:rPr>
        <w:t>健康安全管理工作，对乙方施工（维修）中的违章指挥、违章作业和安全隐患提出整改意见，督促、检查乙方的隐患整改落实情况。</w:t>
      </w:r>
    </w:p>
    <w:p w14:paraId="3A11F73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11、乙方在施工（维修）过程中违反有关安全管理规定、有违章现象发生、安全问题整改不到位或拒不接受甲方的正常安全管理的，依据有关法律法规规定进行处理。乙方施工（维修）中存在重大隐患或险情时，甲方有权要求乙方立即整改直至隐患消除，若乙方整改后仍达不到甲方要求的，甲方有权要求与乙方解除合同，并要求乙方清退出场。</w:t>
      </w:r>
    </w:p>
    <w:p w14:paraId="53C88BD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12、乙方施工（维修）人员未经许可不得随意到施工（维修）区域以外的其它工作场所活动，乙方施工（维修）人员擅自到施工（维修）区域以外的其它工作场所活动，出现人身损伤或伤亡的，由乙方自行负责一切责任。乙方施工（维修）人员需动用或施工（维修）涉及到甲方所属设备、电器、管线及其他设施等，必须事先征得甲方代表的同意，并采取安全防护措施。</w:t>
      </w:r>
    </w:p>
    <w:p w14:paraId="7184C26A">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13、在施工（维修）过程中，需要进行动土、动火、登高、吊装、断路、进入限制性空间等危险性较高的作业时，乙方的施工（维修）负责人、专职或兼职安全员必须现场确认，确保安全后，方可开始施工（维修）。</w:t>
      </w:r>
    </w:p>
    <w:p w14:paraId="21BA5266">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14、因乙方原因，造成乙方损失，由乙方自负，给甲方造成财产损失和人员伤害，乙方要负全部责任，并全额赔偿甲方。</w:t>
      </w:r>
    </w:p>
    <w:p w14:paraId="289B37E9">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15、非因甲方原因，造成乙方损失的，甲方不承担任何责任，由乙方自行承担全部责任。</w:t>
      </w:r>
    </w:p>
    <w:p w14:paraId="7A1E7DC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16、乙方应严格遵守法律法规以及甲方的安全管理要求，并接受甲方的安全生产工作协调和监督，积极消除安全隐患。安全管理的基本要求包括但不限于以下条款：</w:t>
      </w:r>
    </w:p>
    <w:p w14:paraId="66B6BF9B">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①禁火区内严禁吸烟、动火。有火灾危险的作业区域，乙方必须配置足够的灭火设施。</w:t>
      </w:r>
    </w:p>
    <w:p w14:paraId="7511005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②焊接、气割作业时两瓶距离必须达到5M及以上，气瓶距可能产生火花的电器、设备和其它火源的间距必须达到10M及以上。</w:t>
      </w:r>
    </w:p>
    <w:p w14:paraId="695D2318">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③严禁在厂内道路、消防通道内搭建临时建筑或堆放物资。</w:t>
      </w:r>
    </w:p>
    <w:p w14:paraId="2C88859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④施工（维修）场所的电动工具、电焊机等须有漏电保护器和相应的安全防护装置。</w:t>
      </w:r>
    </w:p>
    <w:p w14:paraId="1F6B52AE">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⑤施工（维修）现场及居住室、办公室内的用电设施必须符合要求，严禁电线乱接、乱拉，刀闸和开关无盖，在电器设施上堆放物品。</w:t>
      </w:r>
    </w:p>
    <w:p w14:paraId="7A30FA5E">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⑥防雷、防静电设施及用电设施要有良好接地。</w:t>
      </w:r>
    </w:p>
    <w:p w14:paraId="7C74677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⑦施工（维修）现场的危险区域，如临边、深坑、土方堆填区等，必须设置围栏和危险标志，夜间要设信号灯。</w:t>
      </w:r>
    </w:p>
    <w:p w14:paraId="0E46050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2C21F1B">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72F19FB5">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72B293E">
      <w:pPr>
        <w:numPr>
          <w:ilvl w:val="0"/>
          <w:numId w:val="4"/>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乙方必须接受甲方的检查与监督，并应主动配合，做好安全工作，凡有违反上述协议的即视为乙方违约，甲方有权视情况要求乙方支付（1000-2000）元/次作为违约金。</w:t>
      </w:r>
    </w:p>
    <w:p w14:paraId="23727B84">
      <w:pPr>
        <w:numPr>
          <w:ilvl w:val="0"/>
          <w:numId w:val="4"/>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如违反本协议规定，造成甲方损失或被第三方追偿的，甲方有权向乙方追偿，甲方可直接从工程结算款/服务价款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510678E6">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19、乙方对施工（维修）过程中潜在的安全风险不明确的，不可盲目施工/作业，否则，造成的不良后果由乙方独自承担。</w:t>
      </w:r>
    </w:p>
    <w:p w14:paraId="15E19F6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20、本协议一式</w:t>
      </w:r>
      <w:r>
        <w:rPr>
          <w:rFonts w:hint="eastAsia" w:ascii="宋体" w:hAnsi="宋体" w:eastAsia="宋体" w:cs="宋体"/>
          <w:sz w:val="21"/>
          <w:szCs w:val="21"/>
          <w:u w:val="single"/>
          <w:lang w:val="en-US" w:eastAsia="zh-CN"/>
        </w:rPr>
        <w:t>肆</w:t>
      </w:r>
      <w:r>
        <w:rPr>
          <w:rFonts w:hint="eastAsia" w:ascii="宋体" w:hAnsi="宋体" w:eastAsia="宋体" w:cs="宋体"/>
          <w:sz w:val="21"/>
          <w:szCs w:val="21"/>
        </w:rPr>
        <w:t>份，其中甲方执</w:t>
      </w:r>
      <w:r>
        <w:rPr>
          <w:rFonts w:hint="eastAsia" w:ascii="宋体" w:hAnsi="宋体" w:eastAsia="宋体" w:cs="宋体"/>
          <w:sz w:val="21"/>
          <w:szCs w:val="21"/>
          <w:u w:val="single"/>
          <w:lang w:val="en-US" w:eastAsia="zh-CN"/>
        </w:rPr>
        <w:t>叁</w:t>
      </w:r>
      <w:r>
        <w:rPr>
          <w:rFonts w:hint="eastAsia" w:ascii="宋体" w:hAnsi="宋体" w:eastAsia="宋体" w:cs="宋体"/>
          <w:sz w:val="21"/>
          <w:szCs w:val="21"/>
        </w:rPr>
        <w:t>份，乙方执</w:t>
      </w:r>
      <w:r>
        <w:rPr>
          <w:rFonts w:hint="eastAsia" w:ascii="宋体" w:hAnsi="宋体" w:eastAsia="宋体" w:cs="宋体"/>
          <w:sz w:val="21"/>
          <w:szCs w:val="21"/>
          <w:u w:val="single"/>
          <w:lang w:val="en-US" w:eastAsia="zh-CN"/>
        </w:rPr>
        <w:t>壹</w:t>
      </w:r>
      <w:r>
        <w:rPr>
          <w:rFonts w:hint="eastAsia" w:ascii="宋体" w:hAnsi="宋体" w:eastAsia="宋体" w:cs="宋体"/>
          <w:sz w:val="21"/>
          <w:szCs w:val="21"/>
        </w:rPr>
        <w:t>份，自双方法定代表人或授权代表签字并加盖公章后生效。</w:t>
      </w:r>
    </w:p>
    <w:p w14:paraId="02F30260">
      <w:pPr>
        <w:spacing w:line="360" w:lineRule="auto"/>
        <w:ind w:firstLine="424" w:firstLineChars="202"/>
        <w:rPr>
          <w:rFonts w:hint="eastAsia" w:ascii="宋体" w:hAnsi="宋体" w:eastAsia="宋体" w:cs="宋体"/>
          <w:sz w:val="21"/>
          <w:szCs w:val="21"/>
        </w:rPr>
      </w:pPr>
    </w:p>
    <w:p w14:paraId="23506308">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乙方声明：</w:t>
      </w:r>
    </w:p>
    <w:p w14:paraId="2EF3AC32">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乙方已认真阅读协议内容，对协议条款、</w:t>
      </w:r>
      <w:r>
        <w:rPr>
          <w:rFonts w:hint="eastAsia" w:ascii="宋体" w:hAnsi="宋体" w:eastAsia="宋体" w:cs="宋体"/>
          <w:b/>
          <w:bCs/>
          <w:sz w:val="21"/>
          <w:szCs w:val="21"/>
          <w:u w:val="single"/>
          <w:lang w:eastAsia="zh-CN"/>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项目</w:t>
      </w:r>
      <w:r>
        <w:rPr>
          <w:rFonts w:hint="eastAsia" w:ascii="宋体" w:hAnsi="宋体" w:eastAsia="宋体" w:cs="宋体"/>
          <w:b/>
          <w:bCs/>
          <w:sz w:val="21"/>
          <w:szCs w:val="21"/>
        </w:rPr>
        <w:t>的安全管理要求、安全风险充分理解，并自愿承担因违约造成的一切后果。</w:t>
      </w:r>
    </w:p>
    <w:p w14:paraId="427C14DC">
      <w:pPr>
        <w:spacing w:line="360" w:lineRule="auto"/>
        <w:ind w:firstLine="420" w:firstLineChars="200"/>
        <w:rPr>
          <w:rFonts w:hint="eastAsia" w:ascii="宋体" w:hAnsi="宋体" w:eastAsia="宋体" w:cs="宋体"/>
          <w:sz w:val="21"/>
          <w:szCs w:val="21"/>
        </w:rPr>
      </w:pPr>
    </w:p>
    <w:p w14:paraId="73E59D6E">
      <w:pPr>
        <w:spacing w:line="360" w:lineRule="auto"/>
        <w:ind w:firstLine="420" w:firstLineChars="200"/>
        <w:rPr>
          <w:rFonts w:hint="eastAsia" w:ascii="宋体" w:hAnsi="宋体" w:eastAsia="宋体" w:cs="宋体"/>
          <w:sz w:val="21"/>
          <w:szCs w:val="21"/>
        </w:rPr>
      </w:pPr>
    </w:p>
    <w:tbl>
      <w:tblPr>
        <w:tblStyle w:val="57"/>
        <w:tblW w:w="9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2"/>
        <w:gridCol w:w="4828"/>
      </w:tblGrid>
      <w:tr w14:paraId="0F2B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2" w:type="dxa"/>
            <w:tcBorders>
              <w:tl2br w:val="nil"/>
              <w:tr2bl w:val="nil"/>
            </w:tcBorders>
            <w:tcMar>
              <w:top w:w="0" w:type="dxa"/>
              <w:left w:w="57" w:type="dxa"/>
              <w:bottom w:w="0" w:type="dxa"/>
              <w:right w:w="57" w:type="dxa"/>
            </w:tcMar>
          </w:tcPr>
          <w:p w14:paraId="2F67AE9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甲方（盖章）：</w:t>
            </w:r>
          </w:p>
          <w:p w14:paraId="548385C7">
            <w:pPr>
              <w:spacing w:line="360" w:lineRule="auto"/>
              <w:jc w:val="both"/>
              <w:rPr>
                <w:rFonts w:hint="eastAsia" w:ascii="宋体" w:hAnsi="宋体" w:eastAsia="宋体" w:cs="宋体"/>
                <w:sz w:val="21"/>
                <w:szCs w:val="21"/>
                <w:lang w:val="en-US" w:eastAsia="zh-CN"/>
              </w:rPr>
            </w:pPr>
          </w:p>
        </w:tc>
        <w:tc>
          <w:tcPr>
            <w:tcW w:w="4828" w:type="dxa"/>
            <w:tcBorders>
              <w:tl2br w:val="nil"/>
              <w:tr2bl w:val="nil"/>
            </w:tcBorders>
            <w:tcMar>
              <w:top w:w="0" w:type="dxa"/>
              <w:left w:w="57" w:type="dxa"/>
              <w:bottom w:w="0" w:type="dxa"/>
              <w:right w:w="57" w:type="dxa"/>
            </w:tcMar>
          </w:tcPr>
          <w:p w14:paraId="7723BE09">
            <w:pPr>
              <w:spacing w:line="360" w:lineRule="auto"/>
              <w:jc w:val="both"/>
              <w:rPr>
                <w:rFonts w:hint="eastAsia" w:ascii="宋体" w:hAnsi="宋体" w:eastAsia="宋体" w:cs="宋体"/>
                <w:sz w:val="21"/>
                <w:szCs w:val="21"/>
              </w:rPr>
            </w:pPr>
            <w:r>
              <w:rPr>
                <w:rFonts w:hint="eastAsia" w:ascii="宋体" w:hAnsi="宋体" w:eastAsia="宋体" w:cs="宋体"/>
                <w:sz w:val="21"/>
                <w:szCs w:val="21"/>
              </w:rPr>
              <w:t>乙方（盖章）：</w:t>
            </w:r>
          </w:p>
        </w:tc>
      </w:tr>
      <w:tr w14:paraId="1CE7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2" w:type="dxa"/>
            <w:tcBorders>
              <w:tl2br w:val="nil"/>
              <w:tr2bl w:val="nil"/>
            </w:tcBorders>
            <w:tcMar>
              <w:top w:w="0" w:type="dxa"/>
              <w:left w:w="57" w:type="dxa"/>
              <w:bottom w:w="0" w:type="dxa"/>
              <w:right w:w="57" w:type="dxa"/>
            </w:tcMar>
          </w:tcPr>
          <w:p w14:paraId="6C816AC8">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c>
          <w:tcPr>
            <w:tcW w:w="4828" w:type="dxa"/>
            <w:tcBorders>
              <w:tl2br w:val="nil"/>
              <w:tr2bl w:val="nil"/>
            </w:tcBorders>
            <w:tcMar>
              <w:top w:w="0" w:type="dxa"/>
              <w:left w:w="57" w:type="dxa"/>
              <w:bottom w:w="0" w:type="dxa"/>
              <w:right w:w="57" w:type="dxa"/>
            </w:tcMar>
          </w:tcPr>
          <w:p w14:paraId="6866BFE0">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r>
    </w:tbl>
    <w:p w14:paraId="42A0C72F">
      <w:pPr>
        <w:spacing w:line="360" w:lineRule="auto"/>
        <w:rPr>
          <w:rFonts w:hint="eastAsia" w:ascii="宋体" w:hAnsi="宋体" w:eastAsia="宋体" w:cs="宋体"/>
          <w:sz w:val="21"/>
          <w:szCs w:val="21"/>
        </w:rPr>
      </w:pPr>
    </w:p>
    <w:p w14:paraId="26E7A2C5">
      <w:pPr>
        <w:spacing w:line="360" w:lineRule="auto"/>
        <w:rPr>
          <w:rFonts w:hint="eastAsia" w:ascii="宋体" w:hAnsi="宋体" w:eastAsia="宋体" w:cs="宋体"/>
          <w:sz w:val="21"/>
          <w:szCs w:val="21"/>
        </w:rPr>
      </w:pPr>
      <w:r>
        <w:rPr>
          <w:rFonts w:hint="eastAsia" w:ascii="宋体" w:hAnsi="宋体" w:eastAsia="宋体" w:cs="宋体"/>
          <w:sz w:val="21"/>
          <w:szCs w:val="21"/>
        </w:rPr>
        <w:t>签订日期：</w:t>
      </w:r>
    </w:p>
    <w:p w14:paraId="3F5A84A0">
      <w:pPr>
        <w:spacing w:line="360" w:lineRule="auto"/>
        <w:jc w:val="left"/>
        <w:rPr>
          <w:rFonts w:hint="eastAsia" w:ascii="宋体" w:hAnsi="宋体" w:eastAsia="宋体" w:cs="宋体"/>
          <w:sz w:val="21"/>
          <w:szCs w:val="21"/>
        </w:rPr>
      </w:pPr>
      <w:r>
        <w:rPr>
          <w:rFonts w:hint="eastAsia" w:ascii="宋体" w:hAnsi="宋体" w:eastAsia="宋体" w:cs="宋体"/>
          <w:sz w:val="21"/>
          <w:szCs w:val="21"/>
        </w:rPr>
        <w:t>签订地点：</w:t>
      </w:r>
    </w:p>
    <w:p w14:paraId="6C8FEDB4">
      <w:pPr>
        <w:tabs>
          <w:tab w:val="left" w:pos="540"/>
          <w:tab w:val="left" w:pos="780"/>
        </w:tabs>
        <w:spacing w:line="360" w:lineRule="auto"/>
        <w:outlineLvl w:val="9"/>
        <w:rPr>
          <w:rFonts w:hint="eastAsia" w:ascii="宋体" w:hAnsi="宋体" w:eastAsia="宋体" w:cs="宋体"/>
          <w:b/>
          <w:bCs/>
          <w:color w:val="auto"/>
          <w:szCs w:val="21"/>
          <w:highlight w:val="none"/>
        </w:rPr>
      </w:pPr>
    </w:p>
    <w:p w14:paraId="258A1032">
      <w:pPr>
        <w:tabs>
          <w:tab w:val="left" w:pos="540"/>
          <w:tab w:val="left" w:pos="780"/>
        </w:tabs>
        <w:spacing w:line="360" w:lineRule="auto"/>
        <w:outlineLvl w:val="9"/>
        <w:rPr>
          <w:rFonts w:hint="eastAsia" w:ascii="宋体" w:hAnsi="宋体" w:eastAsia="宋体" w:cs="宋体"/>
          <w:b/>
          <w:bCs/>
          <w:color w:val="auto"/>
          <w:szCs w:val="21"/>
          <w:highlight w:val="none"/>
        </w:rPr>
      </w:pPr>
    </w:p>
    <w:p w14:paraId="3DB9CCA5">
      <w:pPr>
        <w:tabs>
          <w:tab w:val="left" w:pos="540"/>
          <w:tab w:val="left" w:pos="780"/>
        </w:tabs>
        <w:spacing w:line="360" w:lineRule="auto"/>
        <w:outlineLvl w:val="9"/>
        <w:rPr>
          <w:rFonts w:hint="eastAsia" w:ascii="宋体" w:hAnsi="宋体" w:eastAsia="宋体" w:cs="宋体"/>
          <w:b/>
          <w:bCs/>
          <w:color w:val="auto"/>
          <w:szCs w:val="21"/>
          <w:highlight w:val="none"/>
        </w:rPr>
      </w:pPr>
    </w:p>
    <w:p w14:paraId="33223193">
      <w:pPr>
        <w:tabs>
          <w:tab w:val="left" w:pos="540"/>
          <w:tab w:val="left" w:pos="780"/>
        </w:tabs>
        <w:spacing w:line="360" w:lineRule="auto"/>
        <w:outlineLvl w:val="9"/>
        <w:rPr>
          <w:rFonts w:hint="eastAsia" w:ascii="宋体" w:hAnsi="宋体" w:eastAsia="宋体" w:cs="宋体"/>
          <w:b/>
          <w:bCs/>
          <w:color w:val="auto"/>
          <w:szCs w:val="21"/>
          <w:highlight w:val="none"/>
        </w:rPr>
      </w:pPr>
    </w:p>
    <w:p w14:paraId="5A152DA5">
      <w:pPr>
        <w:tabs>
          <w:tab w:val="left" w:pos="540"/>
          <w:tab w:val="left" w:pos="780"/>
        </w:tabs>
        <w:spacing w:line="360" w:lineRule="auto"/>
        <w:outlineLvl w:val="9"/>
        <w:rPr>
          <w:rFonts w:hint="eastAsia" w:ascii="宋体" w:hAnsi="宋体" w:eastAsia="宋体" w:cs="宋体"/>
          <w:b/>
          <w:bCs/>
          <w:color w:val="auto"/>
          <w:szCs w:val="21"/>
          <w:highlight w:val="none"/>
        </w:rPr>
      </w:pPr>
    </w:p>
    <w:p w14:paraId="55BC7916">
      <w:pPr>
        <w:tabs>
          <w:tab w:val="left" w:pos="540"/>
          <w:tab w:val="left" w:pos="780"/>
        </w:tabs>
        <w:spacing w:line="360" w:lineRule="auto"/>
        <w:outlineLvl w:val="9"/>
        <w:rPr>
          <w:rFonts w:hint="eastAsia" w:ascii="宋体" w:hAnsi="宋体" w:eastAsia="宋体" w:cs="宋体"/>
          <w:b/>
          <w:bCs/>
          <w:color w:val="auto"/>
          <w:szCs w:val="21"/>
          <w:highlight w:val="none"/>
        </w:rPr>
      </w:pPr>
    </w:p>
    <w:p w14:paraId="478D7E97">
      <w:pPr>
        <w:tabs>
          <w:tab w:val="left" w:pos="540"/>
          <w:tab w:val="left" w:pos="780"/>
        </w:tabs>
        <w:spacing w:line="360" w:lineRule="auto"/>
        <w:outlineLvl w:val="9"/>
        <w:rPr>
          <w:rFonts w:hint="eastAsia" w:ascii="宋体" w:hAnsi="宋体" w:eastAsia="宋体" w:cs="宋体"/>
          <w:b/>
          <w:bCs/>
          <w:color w:val="auto"/>
          <w:szCs w:val="21"/>
          <w:highlight w:val="none"/>
        </w:rPr>
      </w:pPr>
    </w:p>
    <w:p w14:paraId="790E0742">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附件2：</w:t>
      </w:r>
      <w:r>
        <w:rPr>
          <w:rFonts w:hint="eastAsia" w:ascii="宋体" w:hAnsi="宋体" w:eastAsia="宋体" w:cs="宋体"/>
          <w:b/>
          <w:bCs/>
          <w:color w:val="auto"/>
          <w:szCs w:val="21"/>
          <w:highlight w:val="none"/>
        </w:rPr>
        <w:t>阳光合作告知函</w:t>
      </w:r>
    </w:p>
    <w:p w14:paraId="063C9C1E">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297CD268">
      <w:pPr>
        <w:spacing w:line="560" w:lineRule="exact"/>
        <w:outlineLvl w:val="9"/>
        <w:rPr>
          <w:rFonts w:hint="eastAsia" w:ascii="宋体" w:hAnsi="宋体" w:eastAsia="宋体" w:cs="宋体"/>
          <w:b/>
          <w:bCs/>
          <w:color w:val="auto"/>
          <w:sz w:val="32"/>
          <w:szCs w:val="32"/>
          <w:highlight w:val="none"/>
        </w:rPr>
      </w:pPr>
    </w:p>
    <w:p w14:paraId="5FA5CCD2">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0C65B3">
      <w:pPr>
        <w:pStyle w:val="56"/>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BFB6B6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2402590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1CF41EB9">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475B3452">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061E9401">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34464E4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20ED2B4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7CF6C0A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410A575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6CF51DB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4BCDFAA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3799877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44A8101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7E24AD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790E4D4A">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0E2A4E3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3C73145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7BDFA96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01" w:name="OLE_LINK1"/>
      <w:r>
        <w:rPr>
          <w:rFonts w:hint="eastAsia" w:ascii="宋体" w:hAnsi="宋体" w:eastAsia="宋体" w:cs="宋体"/>
          <w:color w:val="auto"/>
          <w:highlight w:val="none"/>
        </w:rPr>
        <w:t>其他</w:t>
      </w:r>
    </w:p>
    <w:p w14:paraId="4992E52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01"/>
    <w:p w14:paraId="2698A8C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4D1AC3BC">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025B6B92">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5D117FFB">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421EAE1F">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062F5CF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50956CA0">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695624F4">
      <w:pPr>
        <w:pStyle w:val="56"/>
        <w:snapToGrid w:val="0"/>
        <w:spacing w:line="580" w:lineRule="exact"/>
        <w:ind w:firstLine="0"/>
        <w:outlineLvl w:val="9"/>
        <w:rPr>
          <w:rFonts w:hint="eastAsia" w:ascii="宋体" w:hAnsi="宋体" w:eastAsia="宋体" w:cs="宋体"/>
          <w:color w:val="auto"/>
          <w:highlight w:val="none"/>
        </w:rPr>
      </w:pPr>
    </w:p>
    <w:p w14:paraId="4CC151CE">
      <w:pPr>
        <w:pStyle w:val="56"/>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19781DB3">
      <w:pPr>
        <w:pStyle w:val="56"/>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02" w:name="现场签证通知单"/>
      <w:bookmarkEnd w:id="102"/>
      <w:bookmarkStart w:id="103" w:name="设计变更通知单"/>
      <w:bookmarkEnd w:id="103"/>
    </w:p>
    <w:p w14:paraId="1349CF1A">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1D2F963C">
      <w:pPr>
        <w:pStyle w:val="56"/>
        <w:snapToGrid w:val="0"/>
        <w:spacing w:line="580" w:lineRule="exact"/>
        <w:ind w:firstLine="0"/>
        <w:jc w:val="both"/>
        <w:outlineLvl w:val="9"/>
        <w:rPr>
          <w:rFonts w:hint="eastAsia" w:ascii="宋体" w:hAnsi="宋体" w:eastAsia="宋体" w:cs="宋体"/>
          <w:color w:val="auto"/>
          <w:sz w:val="48"/>
          <w:szCs w:val="48"/>
          <w:highlight w:val="none"/>
          <w:lang w:val="zh-CN"/>
        </w:rPr>
      </w:pPr>
    </w:p>
    <w:p w14:paraId="18805970">
      <w:pPr>
        <w:pStyle w:val="56"/>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7D89B23F">
      <w:pPr>
        <w:pStyle w:val="56"/>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059F1C1">
      <w:pPr>
        <w:pStyle w:val="56"/>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77264C7">
      <w:pPr>
        <w:pStyle w:val="56"/>
        <w:snapToGrid w:val="0"/>
        <w:spacing w:line="580" w:lineRule="exact"/>
        <w:ind w:firstLine="0"/>
        <w:jc w:val="center"/>
        <w:outlineLvl w:val="9"/>
        <w:rPr>
          <w:rFonts w:hint="eastAsia" w:ascii="宋体" w:hAnsi="宋体" w:eastAsia="宋体" w:cs="宋体"/>
          <w:color w:val="auto"/>
          <w:highlight w:val="none"/>
          <w:lang w:val="zh-CN"/>
        </w:rPr>
      </w:pPr>
    </w:p>
    <w:p w14:paraId="35CEC22C">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5AE1117A">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6234F7B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5C57C172">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2286D363">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63FB83A7">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880EAE">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42C996E7">
      <w:pPr>
        <w:pStyle w:val="19"/>
        <w:ind w:firstLine="210"/>
        <w:rPr>
          <w:rFonts w:hint="eastAsia"/>
          <w:color w:val="auto"/>
          <w:highlight w:val="none"/>
        </w:rPr>
      </w:pPr>
    </w:p>
    <w:p w14:paraId="220AA0F4">
      <w:pPr>
        <w:pStyle w:val="8"/>
        <w:pageBreakBefore/>
        <w:spacing w:before="0" w:after="0" w:line="360" w:lineRule="auto"/>
        <w:ind w:firstLine="3120" w:firstLineChars="1036"/>
        <w:jc w:val="both"/>
        <w:rPr>
          <w:rFonts w:ascii="宋体" w:hAnsi="宋体"/>
          <w:color w:val="auto"/>
          <w:sz w:val="30"/>
          <w:szCs w:val="30"/>
          <w:highlight w:val="none"/>
          <w:lang w:val="zh-CN"/>
        </w:rPr>
      </w:pPr>
      <w:bookmarkStart w:id="104" w:name="_Toc1352"/>
      <w:bookmarkStart w:id="105" w:name="_Toc21077"/>
      <w:r>
        <w:rPr>
          <w:rFonts w:hint="eastAsia" w:ascii="宋体" w:hAnsi="宋体"/>
          <w:color w:val="auto"/>
          <w:sz w:val="30"/>
          <w:szCs w:val="30"/>
          <w:highlight w:val="none"/>
          <w:lang w:val="zh-CN"/>
        </w:rPr>
        <w:t>第五篇 报价文件格式</w:t>
      </w:r>
      <w:bookmarkEnd w:id="104"/>
      <w:bookmarkEnd w:id="105"/>
    </w:p>
    <w:p w14:paraId="62DE07EC">
      <w:pPr>
        <w:spacing w:line="360" w:lineRule="auto"/>
        <w:rPr>
          <w:b/>
          <w:bCs/>
          <w:color w:val="auto"/>
          <w:sz w:val="30"/>
          <w:szCs w:val="30"/>
          <w:highlight w:val="none"/>
          <w:shd w:val="clear" w:color="auto" w:fill="FFFFFF"/>
        </w:rPr>
      </w:pPr>
      <w:bookmarkStart w:id="106" w:name="_Toc51333928"/>
      <w:bookmarkStart w:id="107" w:name="_Toc50572123"/>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06"/>
      <w:bookmarkEnd w:id="107"/>
    </w:p>
    <w:p w14:paraId="2EB8B34E">
      <w:pPr>
        <w:spacing w:line="360" w:lineRule="auto"/>
        <w:rPr>
          <w:b/>
          <w:bCs/>
          <w:color w:val="auto"/>
          <w:sz w:val="30"/>
          <w:szCs w:val="30"/>
          <w:highlight w:val="none"/>
          <w:shd w:val="clear" w:color="auto" w:fill="FFFFFF"/>
        </w:rPr>
      </w:pPr>
      <w:bookmarkStart w:id="108" w:name="_Toc51333929"/>
      <w:bookmarkStart w:id="109" w:name="_Toc50572124"/>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08"/>
      <w:bookmarkEnd w:id="109"/>
    </w:p>
    <w:p w14:paraId="0155EBA6">
      <w:pPr>
        <w:tabs>
          <w:tab w:val="left" w:pos="540"/>
        </w:tabs>
        <w:spacing w:line="280" w:lineRule="exact"/>
        <w:rPr>
          <w:rFonts w:ascii="宋体" w:hAnsi="宋体"/>
          <w:color w:val="auto"/>
          <w:sz w:val="24"/>
          <w:highlight w:val="none"/>
        </w:rPr>
      </w:pPr>
    </w:p>
    <w:p w14:paraId="0DE771B9">
      <w:pPr>
        <w:pStyle w:val="7"/>
        <w:rPr>
          <w:rFonts w:ascii="宋体" w:hAnsi="宋体"/>
          <w:color w:val="auto"/>
          <w:highlight w:val="none"/>
        </w:rPr>
      </w:pPr>
    </w:p>
    <w:p w14:paraId="421E6CA3">
      <w:pPr>
        <w:pStyle w:val="7"/>
        <w:rPr>
          <w:rFonts w:ascii="宋体" w:hAnsi="宋体"/>
          <w:color w:val="auto"/>
          <w:highlight w:val="none"/>
        </w:rPr>
      </w:pPr>
    </w:p>
    <w:p w14:paraId="35B96921">
      <w:pPr>
        <w:pStyle w:val="7"/>
        <w:rPr>
          <w:rFonts w:ascii="宋体" w:hAnsi="宋体"/>
          <w:color w:val="auto"/>
          <w:highlight w:val="none"/>
        </w:rPr>
      </w:pPr>
    </w:p>
    <w:p w14:paraId="48F62FAA">
      <w:pPr>
        <w:pStyle w:val="7"/>
        <w:rPr>
          <w:rFonts w:ascii="宋体" w:hAnsi="宋体"/>
          <w:color w:val="auto"/>
          <w:highlight w:val="none"/>
        </w:rPr>
      </w:pPr>
    </w:p>
    <w:p w14:paraId="0D2816B2">
      <w:pPr>
        <w:pStyle w:val="7"/>
        <w:rPr>
          <w:rFonts w:ascii="宋体" w:hAnsi="宋体"/>
          <w:color w:val="auto"/>
          <w:highlight w:val="none"/>
        </w:rPr>
      </w:pPr>
    </w:p>
    <w:p w14:paraId="5C135A95">
      <w:pPr>
        <w:pStyle w:val="7"/>
        <w:rPr>
          <w:rFonts w:ascii="宋体" w:hAnsi="宋体"/>
          <w:color w:val="auto"/>
          <w:highlight w:val="none"/>
        </w:rPr>
      </w:pPr>
    </w:p>
    <w:p w14:paraId="61973B65">
      <w:pPr>
        <w:pStyle w:val="7"/>
        <w:rPr>
          <w:rFonts w:ascii="宋体" w:hAnsi="宋体"/>
          <w:color w:val="auto"/>
          <w:highlight w:val="none"/>
        </w:rPr>
      </w:pPr>
    </w:p>
    <w:p w14:paraId="7FFD67DB">
      <w:pPr>
        <w:pStyle w:val="7"/>
        <w:rPr>
          <w:rFonts w:ascii="宋体" w:hAnsi="宋体"/>
          <w:color w:val="auto"/>
          <w:highlight w:val="none"/>
        </w:rPr>
      </w:pPr>
    </w:p>
    <w:p w14:paraId="1489EF64">
      <w:pPr>
        <w:pStyle w:val="7"/>
        <w:rPr>
          <w:rFonts w:ascii="宋体" w:hAnsi="宋体"/>
          <w:color w:val="auto"/>
          <w:highlight w:val="none"/>
        </w:rPr>
      </w:pPr>
    </w:p>
    <w:p w14:paraId="2E9E81B6">
      <w:pPr>
        <w:pStyle w:val="7"/>
        <w:rPr>
          <w:rFonts w:ascii="宋体" w:hAnsi="宋体"/>
          <w:color w:val="auto"/>
          <w:highlight w:val="none"/>
        </w:rPr>
      </w:pPr>
    </w:p>
    <w:p w14:paraId="64E87CA7">
      <w:pPr>
        <w:pStyle w:val="7"/>
        <w:rPr>
          <w:rFonts w:ascii="宋体" w:hAnsi="宋体"/>
          <w:color w:val="auto"/>
          <w:highlight w:val="none"/>
        </w:rPr>
      </w:pPr>
    </w:p>
    <w:p w14:paraId="11657335">
      <w:pPr>
        <w:pStyle w:val="7"/>
        <w:rPr>
          <w:rFonts w:ascii="宋体" w:hAnsi="宋体"/>
          <w:color w:val="auto"/>
          <w:highlight w:val="none"/>
        </w:rPr>
      </w:pPr>
    </w:p>
    <w:p w14:paraId="35FF736E">
      <w:pPr>
        <w:pStyle w:val="7"/>
        <w:rPr>
          <w:rFonts w:ascii="宋体" w:hAnsi="宋体"/>
          <w:color w:val="auto"/>
          <w:highlight w:val="none"/>
        </w:rPr>
      </w:pPr>
    </w:p>
    <w:p w14:paraId="77B6E208">
      <w:pPr>
        <w:pStyle w:val="7"/>
        <w:rPr>
          <w:rFonts w:ascii="宋体" w:hAnsi="宋体"/>
          <w:color w:val="auto"/>
          <w:highlight w:val="none"/>
        </w:rPr>
      </w:pPr>
    </w:p>
    <w:p w14:paraId="33545018">
      <w:pPr>
        <w:pStyle w:val="7"/>
        <w:rPr>
          <w:rFonts w:ascii="宋体" w:hAnsi="宋体"/>
          <w:color w:val="auto"/>
          <w:highlight w:val="none"/>
        </w:rPr>
      </w:pPr>
    </w:p>
    <w:p w14:paraId="154DA085">
      <w:pPr>
        <w:pStyle w:val="7"/>
        <w:rPr>
          <w:rFonts w:ascii="宋体" w:hAnsi="宋体"/>
          <w:color w:val="auto"/>
          <w:highlight w:val="none"/>
        </w:rPr>
      </w:pPr>
    </w:p>
    <w:p w14:paraId="72CAAF58">
      <w:pPr>
        <w:pStyle w:val="7"/>
        <w:rPr>
          <w:rFonts w:ascii="宋体" w:hAnsi="宋体"/>
          <w:color w:val="auto"/>
          <w:highlight w:val="none"/>
        </w:rPr>
      </w:pPr>
    </w:p>
    <w:p w14:paraId="4187AAA5">
      <w:pPr>
        <w:pStyle w:val="7"/>
        <w:rPr>
          <w:rFonts w:ascii="宋体" w:hAnsi="宋体"/>
          <w:color w:val="auto"/>
          <w:highlight w:val="none"/>
        </w:rPr>
      </w:pPr>
    </w:p>
    <w:p w14:paraId="13816D2A">
      <w:pPr>
        <w:pStyle w:val="7"/>
        <w:rPr>
          <w:rFonts w:ascii="宋体" w:hAnsi="宋体"/>
          <w:color w:val="auto"/>
          <w:highlight w:val="none"/>
        </w:rPr>
      </w:pPr>
    </w:p>
    <w:p w14:paraId="2E2C680E">
      <w:pPr>
        <w:pStyle w:val="7"/>
        <w:rPr>
          <w:rFonts w:ascii="宋体" w:hAnsi="宋体"/>
          <w:color w:val="auto"/>
          <w:highlight w:val="none"/>
        </w:rPr>
      </w:pPr>
    </w:p>
    <w:p w14:paraId="7FF4ED9E">
      <w:pPr>
        <w:pStyle w:val="7"/>
        <w:rPr>
          <w:rFonts w:ascii="宋体" w:hAnsi="宋体"/>
          <w:color w:val="auto"/>
          <w:highlight w:val="none"/>
        </w:rPr>
      </w:pPr>
    </w:p>
    <w:p w14:paraId="720306A8">
      <w:pPr>
        <w:pStyle w:val="7"/>
        <w:rPr>
          <w:rFonts w:ascii="宋体" w:hAnsi="宋体"/>
          <w:color w:val="auto"/>
          <w:highlight w:val="none"/>
        </w:rPr>
      </w:pPr>
    </w:p>
    <w:p w14:paraId="322CBA8F">
      <w:pPr>
        <w:pStyle w:val="7"/>
        <w:rPr>
          <w:rFonts w:ascii="宋体" w:hAnsi="宋体"/>
          <w:color w:val="auto"/>
          <w:highlight w:val="none"/>
        </w:rPr>
      </w:pPr>
    </w:p>
    <w:p w14:paraId="56978FAD">
      <w:pPr>
        <w:pStyle w:val="7"/>
        <w:rPr>
          <w:rFonts w:ascii="宋体" w:hAnsi="宋体"/>
          <w:color w:val="auto"/>
          <w:highlight w:val="none"/>
        </w:rPr>
      </w:pPr>
    </w:p>
    <w:p w14:paraId="111C8CA8">
      <w:pPr>
        <w:pStyle w:val="7"/>
        <w:rPr>
          <w:rFonts w:ascii="宋体" w:hAnsi="宋体"/>
          <w:color w:val="auto"/>
          <w:highlight w:val="none"/>
        </w:rPr>
      </w:pPr>
    </w:p>
    <w:p w14:paraId="2B5B85B0">
      <w:pPr>
        <w:pStyle w:val="8"/>
        <w:spacing w:line="360" w:lineRule="auto"/>
        <w:jc w:val="left"/>
        <w:outlineLvl w:val="1"/>
        <w:rPr>
          <w:rFonts w:ascii="宋体" w:hAnsi="宋体"/>
          <w:color w:val="auto"/>
          <w:sz w:val="30"/>
          <w:szCs w:val="30"/>
          <w:highlight w:val="none"/>
          <w:lang w:val="zh-CN"/>
        </w:rPr>
      </w:pPr>
      <w:bookmarkStart w:id="110" w:name="_Toc284"/>
      <w:bookmarkStart w:id="111" w:name="_Toc50572985"/>
      <w:bookmarkStart w:id="112" w:name="_Toc51333930"/>
      <w:bookmarkStart w:id="113" w:name="_Toc9784"/>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10"/>
      <w:bookmarkEnd w:id="111"/>
      <w:bookmarkEnd w:id="112"/>
      <w:bookmarkEnd w:id="113"/>
    </w:p>
    <w:p w14:paraId="4ED0D237">
      <w:pPr>
        <w:pStyle w:val="7"/>
        <w:rPr>
          <w:rFonts w:ascii="宋体" w:hAnsi="宋体"/>
          <w:color w:val="auto"/>
          <w:highlight w:val="none"/>
        </w:rPr>
      </w:pPr>
    </w:p>
    <w:p w14:paraId="0DB5AF79">
      <w:pPr>
        <w:pStyle w:val="7"/>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14" w:name="_Toc34746052"/>
      <w:bookmarkStart w:id="115" w:name="_Toc34746360"/>
      <w:bookmarkStart w:id="116" w:name="_Toc34745985"/>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7"/>
        <w:spacing w:line="360" w:lineRule="auto"/>
        <w:jc w:val="left"/>
        <w:rPr>
          <w:rFonts w:ascii="宋体" w:hAnsi="宋体"/>
          <w:color w:val="auto"/>
          <w:highlight w:val="none"/>
        </w:rPr>
      </w:pPr>
    </w:p>
    <w:p w14:paraId="27E9421D">
      <w:pPr>
        <w:pStyle w:val="7"/>
        <w:spacing w:line="360" w:lineRule="auto"/>
        <w:jc w:val="left"/>
        <w:rPr>
          <w:rFonts w:ascii="宋体" w:hAnsi="宋体"/>
          <w:color w:val="auto"/>
          <w:highlight w:val="none"/>
        </w:rPr>
      </w:pPr>
    </w:p>
    <w:p w14:paraId="5C0647C4">
      <w:pPr>
        <w:pStyle w:val="7"/>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东莞市置拓投资有限公司水业大厦标识导向系统及消防栓、防火门美化采购项目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17"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7"/>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7"/>
        <w:rPr>
          <w:rFonts w:ascii="宋体" w:hAnsi="宋体"/>
          <w:color w:val="auto"/>
          <w:sz w:val="28"/>
          <w:szCs w:val="28"/>
          <w:highlight w:val="none"/>
        </w:rPr>
      </w:pPr>
    </w:p>
    <w:p w14:paraId="68A81AE3">
      <w:pPr>
        <w:pStyle w:val="7"/>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7"/>
        <w:rPr>
          <w:rFonts w:ascii="宋体" w:hAnsi="宋体"/>
          <w:color w:val="auto"/>
          <w:sz w:val="28"/>
          <w:szCs w:val="28"/>
          <w:highlight w:val="none"/>
        </w:rPr>
      </w:pPr>
    </w:p>
    <w:p w14:paraId="449A7251">
      <w:pPr>
        <w:pStyle w:val="7"/>
        <w:rPr>
          <w:color w:val="auto"/>
          <w:highlight w:val="none"/>
        </w:rPr>
      </w:pPr>
    </w:p>
    <w:p w14:paraId="3D55E4BB">
      <w:pPr>
        <w:pStyle w:val="7"/>
        <w:rPr>
          <w:color w:val="auto"/>
          <w:highlight w:val="none"/>
        </w:rPr>
      </w:pPr>
    </w:p>
    <w:p w14:paraId="4F66FC82">
      <w:pPr>
        <w:pStyle w:val="3"/>
        <w:pageBreakBefore/>
        <w:spacing w:before="0" w:after="0" w:line="360" w:lineRule="auto"/>
        <w:jc w:val="center"/>
        <w:rPr>
          <w:rFonts w:ascii="宋体" w:hAnsi="宋体" w:eastAsia="宋体"/>
          <w:color w:val="auto"/>
          <w:sz w:val="36"/>
          <w:szCs w:val="36"/>
          <w:highlight w:val="none"/>
        </w:rPr>
      </w:pPr>
      <w:bookmarkStart w:id="118" w:name="_Toc28092"/>
      <w:bookmarkStart w:id="119" w:name="_Toc24461"/>
      <w:r>
        <w:rPr>
          <w:rFonts w:hint="eastAsia" w:ascii="宋体" w:hAnsi="宋体" w:eastAsia="宋体"/>
          <w:color w:val="auto"/>
          <w:sz w:val="36"/>
          <w:szCs w:val="36"/>
          <w:highlight w:val="none"/>
        </w:rPr>
        <w:t>1、报 价 表</w:t>
      </w:r>
      <w:bookmarkEnd w:id="114"/>
      <w:bookmarkEnd w:id="115"/>
      <w:bookmarkEnd w:id="116"/>
      <w:bookmarkEnd w:id="117"/>
      <w:bookmarkEnd w:id="118"/>
      <w:bookmarkEnd w:id="119"/>
    </w:p>
    <w:p w14:paraId="29C4493C">
      <w:pPr>
        <w:spacing w:line="360" w:lineRule="auto"/>
        <w:ind w:firstLine="5040" w:firstLineChars="2400"/>
        <w:jc w:val="right"/>
        <w:rPr>
          <w:rFonts w:ascii="宋体" w:hAnsi="宋体"/>
          <w:color w:val="auto"/>
          <w:szCs w:val="21"/>
          <w:highlight w:val="none"/>
          <w:lang w:val="zh-CN"/>
        </w:rPr>
      </w:pPr>
    </w:p>
    <w:p w14:paraId="1054B5B2">
      <w:pPr>
        <w:pStyle w:val="7"/>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东莞市置拓投资有限公司水业大厦标识导向系统及消防栓、防火门美化采购项目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4DEDA052">
            <w:pPr>
              <w:jc w:val="center"/>
            </w:pPr>
            <w:r>
              <w:t>不含税报价</w:t>
            </w:r>
          </w:p>
          <w:p w14:paraId="4136D148">
            <w:pPr>
              <w:jc w:val="center"/>
              <w:rPr>
                <w:rFonts w:hint="eastAsia" w:ascii="宋体" w:hAnsi="宋体" w:eastAsia="宋体" w:cs="宋体"/>
                <w:color w:val="auto"/>
                <w:szCs w:val="21"/>
                <w:highlight w:val="none"/>
                <w:lang w:val="en-US" w:eastAsia="zh-CN"/>
              </w:rPr>
            </w:pPr>
            <w:r>
              <w:rPr>
                <w:rFonts w:hint="eastAsia"/>
                <w:szCs w:val="21"/>
              </w:rPr>
              <w:t>（总价，保留小数点后两位）</w:t>
            </w:r>
          </w:p>
        </w:tc>
        <w:tc>
          <w:tcPr>
            <w:tcW w:w="6925" w:type="dxa"/>
            <w:vAlign w:val="center"/>
          </w:tcPr>
          <w:p w14:paraId="66B1696B">
            <w:pPr>
              <w:pStyle w:val="10"/>
              <w:spacing w:line="360" w:lineRule="auto"/>
              <w:rPr>
                <w:rFonts w:hint="eastAsia" w:ascii="宋体" w:hAnsi="宋体" w:eastAsia="宋体" w:cs="宋体"/>
                <w:color w:val="auto"/>
                <w:szCs w:val="21"/>
                <w:highlight w:val="none"/>
              </w:rPr>
            </w:pPr>
            <w:r>
              <w:rPr>
                <w:rFonts w:ascii="Times New Roman" w:hAnsi="Times New Roman"/>
                <w:szCs w:val="21"/>
                <w:u w:val="single"/>
              </w:rPr>
              <w:t xml:space="preserve">             </w:t>
            </w:r>
            <w:r>
              <w:rPr>
                <w:rFonts w:hint="eastAsia" w:ascii="Times New Roman" w:hAnsi="Times New Roman"/>
                <w:szCs w:val="21"/>
              </w:rPr>
              <w:t>元</w:t>
            </w:r>
            <w:r>
              <w:rPr>
                <w:rFonts w:hint="eastAsia" w:hAnsi="宋体"/>
                <w:b/>
                <w:szCs w:val="21"/>
              </w:rPr>
              <w:t>。</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10"/>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10"/>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.报价包括成交人完成询价文件和合同规定的全部工作所需支付的一切费用，</w:t>
            </w:r>
            <w:r>
              <w:rPr>
                <w:rFonts w:hint="eastAsia" w:ascii="宋体" w:hAnsi="宋体" w:cs="宋体"/>
                <w:color w:val="auto"/>
                <w:highlight w:val="none"/>
                <w:lang w:val="en-US" w:eastAsia="zh-CN"/>
              </w:rPr>
              <w:t>为包干价，</w:t>
            </w:r>
            <w:r>
              <w:rPr>
                <w:rFonts w:hint="eastAsia" w:ascii="宋体" w:hAnsi="宋体" w:eastAsia="宋体" w:cs="宋体"/>
                <w:color w:val="auto"/>
                <w:highlight w:val="none"/>
                <w:lang w:val="en-US" w:eastAsia="zh-CN"/>
              </w:rPr>
              <w:t>包括但不限于：（1）采购范围内所有货物及其相关的服务所需的设计费、采购费、制造费、包装费、运至采购指定地点的运输费（退送货）、装卸费、搬运费、材料费、安装（含安全防护）费、小样制作及安装费、场地清洁费、保险费、人工费、调试费、验收费、售后服务费等费用；（2）免费的质保服务；（3）供货货物及其工艺所有制造方、使用方应支付的对专有技术、商标权、专利权和版权、设计或其他知识产权而需要向其他方支付的版税；（4）合理利润、报价人销项税额以外的税费等；（5）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color w:val="auto"/>
                <w:highlight w:val="none"/>
                <w:lang w:val="en-US" w:eastAsia="zh-CN"/>
              </w:rPr>
              <w:t>3.本采购项目报价（不含税）最高限价为428,752.66元，报价人的报价高于报价最高限价的，该报价人的报价文件将被视为无效报价。</w:t>
            </w:r>
          </w:p>
        </w:tc>
      </w:tr>
    </w:tbl>
    <w:p w14:paraId="37981D3A">
      <w:pPr>
        <w:pStyle w:val="7"/>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20" w:name="_Toc34746361"/>
      <w:bookmarkStart w:id="121" w:name="_Toc34746053"/>
      <w:bookmarkStart w:id="122" w:name="_Toc34745986"/>
    </w:p>
    <w:p w14:paraId="121C3300">
      <w:pPr>
        <w:pStyle w:val="7"/>
        <w:rPr>
          <w:rFonts w:ascii="宋体" w:hAnsi="宋体"/>
          <w:b/>
          <w:color w:val="auto"/>
          <w:sz w:val="28"/>
          <w:highlight w:val="none"/>
          <w:lang w:val="zh-CN"/>
        </w:rPr>
      </w:pPr>
    </w:p>
    <w:p w14:paraId="5D62F07F">
      <w:pPr>
        <w:pStyle w:val="7"/>
        <w:rPr>
          <w:rFonts w:ascii="宋体" w:hAnsi="宋体"/>
          <w:b/>
          <w:color w:val="auto"/>
          <w:sz w:val="28"/>
          <w:highlight w:val="none"/>
          <w:lang w:val="zh-CN"/>
        </w:rPr>
      </w:pPr>
    </w:p>
    <w:p w14:paraId="472BED37">
      <w:pPr>
        <w:pStyle w:val="7"/>
        <w:rPr>
          <w:rFonts w:ascii="宋体" w:hAnsi="宋体"/>
          <w:b/>
          <w:color w:val="auto"/>
          <w:sz w:val="28"/>
          <w:highlight w:val="none"/>
          <w:lang w:val="zh-CN"/>
        </w:rPr>
      </w:pPr>
    </w:p>
    <w:p w14:paraId="5EF562F3">
      <w:pPr>
        <w:pStyle w:val="7"/>
        <w:rPr>
          <w:rFonts w:hint="eastAsia" w:ascii="宋体" w:hAnsi="宋体"/>
          <w:b/>
          <w:sz w:val="28"/>
        </w:rPr>
      </w:pPr>
      <w:r>
        <w:rPr>
          <w:rFonts w:ascii="宋体" w:hAnsi="宋体"/>
          <w:b/>
          <w:color w:val="auto"/>
          <w:sz w:val="28"/>
          <w:highlight w:val="none"/>
          <w:lang w:val="zh-CN"/>
        </w:rPr>
        <w:t>1.</w:t>
      </w:r>
      <w:r>
        <w:rPr>
          <w:rFonts w:hint="eastAsia" w:ascii="宋体" w:hAnsi="宋体"/>
          <w:b/>
          <w:color w:val="auto"/>
          <w:sz w:val="28"/>
          <w:highlight w:val="none"/>
          <w:lang w:val="en-US" w:eastAsia="zh-CN"/>
        </w:rPr>
        <w:t>2</w:t>
      </w:r>
      <w:r>
        <w:rPr>
          <w:rFonts w:ascii="宋体" w:hAnsi="宋体"/>
          <w:b/>
          <w:color w:val="auto"/>
          <w:sz w:val="28"/>
          <w:highlight w:val="none"/>
          <w:lang w:val="zh-CN"/>
        </w:rPr>
        <w:t xml:space="preserve"> </w:t>
      </w:r>
      <w:r>
        <w:rPr>
          <w:rFonts w:hint="eastAsia" w:ascii="宋体" w:hAnsi="宋体"/>
          <w:b/>
          <w:sz w:val="28"/>
        </w:rPr>
        <w:t>报价明细表</w:t>
      </w:r>
    </w:p>
    <w:tbl>
      <w:tblPr>
        <w:tblStyle w:val="20"/>
        <w:tblpPr w:leftFromText="180" w:rightFromText="180" w:vertAnchor="text" w:horzAnchor="page" w:tblpXSpec="center" w:tblpY="116"/>
        <w:tblOverlap w:val="never"/>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847"/>
        <w:gridCol w:w="1381"/>
        <w:gridCol w:w="1655"/>
        <w:gridCol w:w="2154"/>
        <w:gridCol w:w="562"/>
        <w:gridCol w:w="487"/>
        <w:gridCol w:w="1272"/>
        <w:gridCol w:w="1151"/>
      </w:tblGrid>
      <w:tr w14:paraId="042E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 w:hRule="atLeast"/>
          <w:jc w:val="center"/>
        </w:trPr>
        <w:tc>
          <w:tcPr>
            <w:tcW w:w="0" w:type="auto"/>
            <w:noWrap w:val="0"/>
            <w:vAlign w:val="center"/>
          </w:tcPr>
          <w:p w14:paraId="6C4642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序号</w:t>
            </w:r>
          </w:p>
        </w:tc>
        <w:tc>
          <w:tcPr>
            <w:tcW w:w="2223" w:type="dxa"/>
            <w:gridSpan w:val="2"/>
            <w:noWrap w:val="0"/>
            <w:vAlign w:val="center"/>
          </w:tcPr>
          <w:p w14:paraId="1EA787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名称</w:t>
            </w:r>
          </w:p>
        </w:tc>
        <w:tc>
          <w:tcPr>
            <w:tcW w:w="1655" w:type="dxa"/>
            <w:noWrap w:val="0"/>
            <w:vAlign w:val="center"/>
          </w:tcPr>
          <w:p w14:paraId="6FDD13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尺寸</w:t>
            </w:r>
          </w:p>
        </w:tc>
        <w:tc>
          <w:tcPr>
            <w:tcW w:w="0" w:type="auto"/>
            <w:noWrap w:val="0"/>
            <w:vAlign w:val="center"/>
          </w:tcPr>
          <w:p w14:paraId="5FD2E0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材质及工艺</w:t>
            </w:r>
          </w:p>
        </w:tc>
        <w:tc>
          <w:tcPr>
            <w:tcW w:w="0" w:type="auto"/>
            <w:noWrap w:val="0"/>
            <w:vAlign w:val="center"/>
          </w:tcPr>
          <w:p w14:paraId="6A018E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数量</w:t>
            </w:r>
          </w:p>
        </w:tc>
        <w:tc>
          <w:tcPr>
            <w:tcW w:w="0" w:type="auto"/>
            <w:noWrap w:val="0"/>
            <w:vAlign w:val="center"/>
          </w:tcPr>
          <w:p w14:paraId="20B121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单位</w:t>
            </w:r>
          </w:p>
        </w:tc>
        <w:tc>
          <w:tcPr>
            <w:tcW w:w="0" w:type="auto"/>
            <w:noWrap w:val="0"/>
            <w:vAlign w:val="center"/>
          </w:tcPr>
          <w:p w14:paraId="6B927F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1"/>
                <w:szCs w:val="21"/>
                <w:lang w:val="en-US" w:eastAsia="zh-CN"/>
              </w:rPr>
            </w:pPr>
            <w:r>
              <w:rPr>
                <w:rFonts w:hint="eastAsia" w:ascii="宋体" w:hAnsi="宋体" w:eastAsia="宋体" w:cs="宋体"/>
                <w:b/>
                <w:bCs/>
                <w:kern w:val="0"/>
                <w:sz w:val="21"/>
                <w:szCs w:val="21"/>
                <w:lang w:bidi="ar"/>
              </w:rPr>
              <w:t>不含税综合单价（元）</w:t>
            </w:r>
          </w:p>
        </w:tc>
        <w:tc>
          <w:tcPr>
            <w:tcW w:w="0" w:type="auto"/>
            <w:noWrap w:val="0"/>
            <w:vAlign w:val="center"/>
          </w:tcPr>
          <w:p w14:paraId="7AC22B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1"/>
                <w:szCs w:val="21"/>
                <w:lang w:val="en-US" w:eastAsia="zh-CN"/>
              </w:rPr>
            </w:pPr>
            <w:r>
              <w:rPr>
                <w:rFonts w:hint="eastAsia" w:ascii="宋体" w:hAnsi="宋体" w:eastAsia="宋体" w:cs="宋体"/>
                <w:b/>
                <w:bCs/>
                <w:kern w:val="0"/>
                <w:sz w:val="21"/>
                <w:szCs w:val="21"/>
                <w:lang w:bidi="ar"/>
              </w:rPr>
              <w:t>不含税合价（元）</w:t>
            </w:r>
          </w:p>
        </w:tc>
      </w:tr>
      <w:tr w14:paraId="0919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0" w:type="auto"/>
            <w:gridSpan w:val="9"/>
            <w:noWrap w:val="0"/>
            <w:vAlign w:val="center"/>
          </w:tcPr>
          <w:p w14:paraId="7B14B85C">
            <w:pPr>
              <w:keepNext w:val="0"/>
              <w:keepLines w:val="0"/>
              <w:pageBreakBefore w:val="0"/>
              <w:kinsoku/>
              <w:wordWrap/>
              <w:overflowPunct/>
              <w:topLinePunct w:val="0"/>
              <w:autoSpaceDE/>
              <w:autoSpaceDN/>
              <w:bidi w:val="0"/>
              <w:adjustRightInd/>
              <w:snapToGrid/>
              <w:spacing w:line="240" w:lineRule="auto"/>
              <w:ind w:left="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一、标识导向系统清单</w:t>
            </w:r>
          </w:p>
        </w:tc>
      </w:tr>
      <w:tr w14:paraId="5130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0" w:type="auto"/>
            <w:noWrap w:val="0"/>
            <w:vAlign w:val="center"/>
          </w:tcPr>
          <w:p w14:paraId="7E36C6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vMerge w:val="restart"/>
            <w:noWrap w:val="0"/>
            <w:vAlign w:val="center"/>
          </w:tcPr>
          <w:p w14:paraId="7771CA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写字楼外</w:t>
            </w:r>
          </w:p>
          <w:p w14:paraId="5EEC8AE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广场</w:t>
            </w:r>
          </w:p>
        </w:tc>
        <w:tc>
          <w:tcPr>
            <w:tcW w:w="1381" w:type="dxa"/>
            <w:shd w:val="clear" w:color="auto" w:fill="auto"/>
            <w:noWrap w:val="0"/>
            <w:vAlign w:val="center"/>
          </w:tcPr>
          <w:p w14:paraId="79868B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A、B楼栋指示牌</w:t>
            </w:r>
          </w:p>
        </w:tc>
        <w:tc>
          <w:tcPr>
            <w:tcW w:w="1655" w:type="dxa"/>
            <w:noWrap w:val="0"/>
            <w:vAlign w:val="center"/>
          </w:tcPr>
          <w:p w14:paraId="7A6439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170x65cm</w:t>
            </w:r>
          </w:p>
        </w:tc>
        <w:tc>
          <w:tcPr>
            <w:tcW w:w="0" w:type="auto"/>
            <w:noWrap w:val="0"/>
            <w:vAlign w:val="center"/>
          </w:tcPr>
          <w:p w14:paraId="76A470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不锈钢烤漆底座，烤漆立体字</w:t>
            </w:r>
          </w:p>
        </w:tc>
        <w:tc>
          <w:tcPr>
            <w:tcW w:w="0" w:type="auto"/>
            <w:noWrap w:val="0"/>
            <w:vAlign w:val="center"/>
          </w:tcPr>
          <w:p w14:paraId="0E2B34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noWrap w:val="0"/>
            <w:vAlign w:val="center"/>
          </w:tcPr>
          <w:p w14:paraId="3A884E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0" w:type="auto"/>
            <w:noWrap w:val="0"/>
            <w:vAlign w:val="center"/>
          </w:tcPr>
          <w:p w14:paraId="33482A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0896BD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52A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0" w:type="auto"/>
            <w:noWrap w:val="0"/>
            <w:vAlign w:val="center"/>
          </w:tcPr>
          <w:p w14:paraId="78B5E1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vMerge w:val="continue"/>
            <w:noWrap w:val="0"/>
            <w:vAlign w:val="center"/>
          </w:tcPr>
          <w:p w14:paraId="4EADBE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101BB2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外广场品牌墙不锈钢立体字</w:t>
            </w:r>
          </w:p>
        </w:tc>
        <w:tc>
          <w:tcPr>
            <w:tcW w:w="1655" w:type="dxa"/>
            <w:noWrap w:val="0"/>
            <w:vAlign w:val="center"/>
          </w:tcPr>
          <w:p w14:paraId="7858FC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字体5.98x35cm</w:t>
            </w:r>
          </w:p>
          <w:p w14:paraId="42B504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英文3.95x12.5cm</w:t>
            </w:r>
          </w:p>
          <w:p w14:paraId="1E4451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LOGO105X105CM</w:t>
            </w:r>
          </w:p>
        </w:tc>
        <w:tc>
          <w:tcPr>
            <w:tcW w:w="0" w:type="auto"/>
            <w:noWrap w:val="0"/>
            <w:vAlign w:val="center"/>
          </w:tcPr>
          <w:p w14:paraId="2D0C99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不锈钢拉丝</w:t>
            </w:r>
          </w:p>
        </w:tc>
        <w:tc>
          <w:tcPr>
            <w:tcW w:w="0" w:type="auto"/>
            <w:noWrap w:val="0"/>
            <w:vAlign w:val="center"/>
          </w:tcPr>
          <w:p w14:paraId="2DD0FC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14:paraId="328F45A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0" w:type="auto"/>
            <w:noWrap w:val="0"/>
            <w:vAlign w:val="center"/>
          </w:tcPr>
          <w:p w14:paraId="2E61B2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AFEF8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703C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0" w:type="auto"/>
            <w:noWrap w:val="0"/>
            <w:vAlign w:val="center"/>
          </w:tcPr>
          <w:p w14:paraId="346B9D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0" w:type="auto"/>
            <w:vMerge w:val="continue"/>
            <w:noWrap w:val="0"/>
            <w:vAlign w:val="center"/>
          </w:tcPr>
          <w:p w14:paraId="59A75B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59F7DE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水池边</w:t>
            </w:r>
          </w:p>
          <w:p w14:paraId="1F052A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金色立体字</w:t>
            </w:r>
          </w:p>
        </w:tc>
        <w:tc>
          <w:tcPr>
            <w:tcW w:w="1655" w:type="dxa"/>
            <w:noWrap w:val="0"/>
            <w:vAlign w:val="center"/>
          </w:tcPr>
          <w:p w14:paraId="3B0AC0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100x100cm</w:t>
            </w:r>
          </w:p>
        </w:tc>
        <w:tc>
          <w:tcPr>
            <w:tcW w:w="0" w:type="auto"/>
            <w:noWrap w:val="0"/>
            <w:vAlign w:val="center"/>
          </w:tcPr>
          <w:p w14:paraId="709B21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304不锈钢</w:t>
            </w:r>
          </w:p>
          <w:p w14:paraId="1725B2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金色烤漆</w:t>
            </w:r>
          </w:p>
        </w:tc>
        <w:tc>
          <w:tcPr>
            <w:tcW w:w="0" w:type="auto"/>
            <w:noWrap w:val="0"/>
            <w:vAlign w:val="center"/>
          </w:tcPr>
          <w:p w14:paraId="714507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noWrap w:val="0"/>
            <w:vAlign w:val="center"/>
          </w:tcPr>
          <w:p w14:paraId="19F7E99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0" w:type="auto"/>
            <w:noWrap w:val="0"/>
            <w:vAlign w:val="center"/>
          </w:tcPr>
          <w:p w14:paraId="0ECF1C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406FB6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24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0" w:type="auto"/>
            <w:noWrap w:val="0"/>
            <w:vAlign w:val="center"/>
          </w:tcPr>
          <w:p w14:paraId="6CFFBB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0" w:type="auto"/>
            <w:vMerge w:val="continue"/>
            <w:noWrap w:val="0"/>
            <w:vAlign w:val="center"/>
          </w:tcPr>
          <w:p w14:paraId="0A3198B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4B91B3A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花草警示牌</w:t>
            </w:r>
          </w:p>
        </w:tc>
        <w:tc>
          <w:tcPr>
            <w:tcW w:w="1655" w:type="dxa"/>
            <w:noWrap w:val="0"/>
            <w:vAlign w:val="center"/>
          </w:tcPr>
          <w:p w14:paraId="1618DF3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58x45cm</w:t>
            </w:r>
          </w:p>
        </w:tc>
        <w:tc>
          <w:tcPr>
            <w:tcW w:w="0" w:type="auto"/>
            <w:noWrap w:val="0"/>
            <w:vAlign w:val="center"/>
          </w:tcPr>
          <w:p w14:paraId="6F38CE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不锈钢烤漆，丝印</w:t>
            </w:r>
          </w:p>
        </w:tc>
        <w:tc>
          <w:tcPr>
            <w:tcW w:w="0" w:type="auto"/>
            <w:shd w:val="clear" w:color="auto" w:fill="auto"/>
            <w:noWrap w:val="0"/>
            <w:vAlign w:val="center"/>
          </w:tcPr>
          <w:p w14:paraId="776851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0" w:type="auto"/>
            <w:shd w:val="clear" w:color="auto" w:fill="auto"/>
            <w:noWrap w:val="0"/>
            <w:vAlign w:val="center"/>
          </w:tcPr>
          <w:p w14:paraId="5E46E75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063139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5195C18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357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0" w:type="auto"/>
            <w:noWrap w:val="0"/>
            <w:vAlign w:val="center"/>
          </w:tcPr>
          <w:p w14:paraId="7CAA4D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0" w:type="auto"/>
            <w:vMerge w:val="restart"/>
            <w:noWrap w:val="0"/>
            <w:vAlign w:val="center"/>
          </w:tcPr>
          <w:p w14:paraId="351EF4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大堂区域</w:t>
            </w:r>
          </w:p>
        </w:tc>
        <w:tc>
          <w:tcPr>
            <w:tcW w:w="1381" w:type="dxa"/>
            <w:noWrap w:val="0"/>
            <w:vAlign w:val="center"/>
          </w:tcPr>
          <w:p w14:paraId="0A0C1526">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A、B栋号标识牌</w:t>
            </w:r>
          </w:p>
        </w:tc>
        <w:tc>
          <w:tcPr>
            <w:tcW w:w="1655" w:type="dxa"/>
            <w:noWrap w:val="0"/>
            <w:vAlign w:val="center"/>
          </w:tcPr>
          <w:p w14:paraId="78CD1B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45x45cm</w:t>
            </w:r>
          </w:p>
        </w:tc>
        <w:tc>
          <w:tcPr>
            <w:tcW w:w="0" w:type="auto"/>
            <w:noWrap w:val="0"/>
            <w:vAlign w:val="center"/>
          </w:tcPr>
          <w:p w14:paraId="625A7B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不锈钢烤漆底座，金属立体字</w:t>
            </w:r>
          </w:p>
        </w:tc>
        <w:tc>
          <w:tcPr>
            <w:tcW w:w="0" w:type="auto"/>
            <w:shd w:val="clear" w:color="auto" w:fill="auto"/>
            <w:noWrap w:val="0"/>
            <w:vAlign w:val="center"/>
          </w:tcPr>
          <w:p w14:paraId="7DA409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0" w:type="auto"/>
            <w:shd w:val="clear" w:color="auto" w:fill="auto"/>
            <w:noWrap w:val="0"/>
            <w:vAlign w:val="center"/>
          </w:tcPr>
          <w:p w14:paraId="0DDA77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58CB30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31B1B3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BF8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0" w:type="auto"/>
            <w:noWrap w:val="0"/>
            <w:vAlign w:val="center"/>
          </w:tcPr>
          <w:p w14:paraId="5B4FE10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0" w:type="auto"/>
            <w:vMerge w:val="continue"/>
            <w:noWrap w:val="0"/>
            <w:vAlign w:val="center"/>
          </w:tcPr>
          <w:p w14:paraId="5A441E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61F41D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一楼大堂总索引牌</w:t>
            </w:r>
          </w:p>
        </w:tc>
        <w:tc>
          <w:tcPr>
            <w:tcW w:w="1655" w:type="dxa"/>
            <w:noWrap w:val="0"/>
            <w:vAlign w:val="center"/>
          </w:tcPr>
          <w:p w14:paraId="49C306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200x140cm</w:t>
            </w:r>
          </w:p>
        </w:tc>
        <w:tc>
          <w:tcPr>
            <w:tcW w:w="0" w:type="auto"/>
            <w:noWrap w:val="0"/>
            <w:vAlign w:val="center"/>
          </w:tcPr>
          <w:p w14:paraId="1460EA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不锈钢烤漆底座，金属立体字，磁吸企业名称栏，丝印内容</w:t>
            </w:r>
          </w:p>
        </w:tc>
        <w:tc>
          <w:tcPr>
            <w:tcW w:w="0" w:type="auto"/>
            <w:shd w:val="clear" w:color="auto" w:fill="auto"/>
            <w:noWrap w:val="0"/>
            <w:vAlign w:val="center"/>
          </w:tcPr>
          <w:p w14:paraId="07EDA8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0" w:type="auto"/>
            <w:shd w:val="clear" w:color="auto" w:fill="auto"/>
            <w:noWrap w:val="0"/>
            <w:vAlign w:val="center"/>
          </w:tcPr>
          <w:p w14:paraId="1F6904E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0" w:type="auto"/>
            <w:noWrap w:val="0"/>
            <w:vAlign w:val="center"/>
          </w:tcPr>
          <w:p w14:paraId="02523A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54B458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7E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0" w:type="auto"/>
            <w:noWrap w:val="0"/>
            <w:vAlign w:val="center"/>
          </w:tcPr>
          <w:p w14:paraId="0E9B04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0" w:type="auto"/>
            <w:vMerge w:val="continue"/>
            <w:noWrap w:val="0"/>
            <w:vAlign w:val="center"/>
          </w:tcPr>
          <w:p w14:paraId="3DCB50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157496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A、B栋号标识牌（内）</w:t>
            </w:r>
          </w:p>
        </w:tc>
        <w:tc>
          <w:tcPr>
            <w:tcW w:w="1655" w:type="dxa"/>
            <w:noWrap w:val="0"/>
            <w:vAlign w:val="center"/>
          </w:tcPr>
          <w:p w14:paraId="3399E4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50x35cm</w:t>
            </w:r>
          </w:p>
        </w:tc>
        <w:tc>
          <w:tcPr>
            <w:tcW w:w="0" w:type="auto"/>
            <w:noWrap w:val="0"/>
            <w:vAlign w:val="center"/>
          </w:tcPr>
          <w:p w14:paraId="5C38CD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4135DA4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56D220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0" w:type="auto"/>
            <w:shd w:val="clear" w:color="auto" w:fill="auto"/>
            <w:noWrap w:val="0"/>
            <w:vAlign w:val="center"/>
          </w:tcPr>
          <w:p w14:paraId="508326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25CB48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60432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3DCA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0" w:type="auto"/>
            <w:noWrap w:val="0"/>
            <w:vAlign w:val="center"/>
          </w:tcPr>
          <w:p w14:paraId="2994DFA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0" w:type="auto"/>
            <w:vMerge w:val="continue"/>
            <w:noWrap w:val="0"/>
            <w:vAlign w:val="center"/>
          </w:tcPr>
          <w:p w14:paraId="65C68A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450386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A、B座侧门出入口牌</w:t>
            </w:r>
          </w:p>
        </w:tc>
        <w:tc>
          <w:tcPr>
            <w:tcW w:w="1655" w:type="dxa"/>
            <w:noWrap w:val="0"/>
            <w:vAlign w:val="center"/>
          </w:tcPr>
          <w:p w14:paraId="2B41C8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50x35cm</w:t>
            </w:r>
          </w:p>
        </w:tc>
        <w:tc>
          <w:tcPr>
            <w:tcW w:w="0" w:type="auto"/>
            <w:noWrap w:val="0"/>
            <w:vAlign w:val="center"/>
          </w:tcPr>
          <w:p w14:paraId="0EAA7E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11F772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66117BC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0" w:type="auto"/>
            <w:shd w:val="clear" w:color="auto" w:fill="auto"/>
            <w:noWrap w:val="0"/>
            <w:vAlign w:val="center"/>
          </w:tcPr>
          <w:p w14:paraId="529979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16CD15E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44C93D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2FEF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0" w:type="auto"/>
            <w:noWrap w:val="0"/>
            <w:vAlign w:val="center"/>
          </w:tcPr>
          <w:p w14:paraId="1236FD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0" w:type="auto"/>
            <w:vMerge w:val="continue"/>
            <w:noWrap w:val="0"/>
            <w:vAlign w:val="center"/>
          </w:tcPr>
          <w:p w14:paraId="1ACC4C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744F82B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洗手间指示牌</w:t>
            </w:r>
          </w:p>
        </w:tc>
        <w:tc>
          <w:tcPr>
            <w:tcW w:w="1655" w:type="dxa"/>
            <w:noWrap w:val="0"/>
            <w:vAlign w:val="center"/>
          </w:tcPr>
          <w:p w14:paraId="243902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35x25cm1块</w:t>
            </w:r>
          </w:p>
          <w:p w14:paraId="244E19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25x25cm1块</w:t>
            </w:r>
          </w:p>
          <w:p w14:paraId="247A29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25x25cm1块</w:t>
            </w:r>
          </w:p>
          <w:p w14:paraId="2C1CAD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25x25cm1块</w:t>
            </w:r>
          </w:p>
        </w:tc>
        <w:tc>
          <w:tcPr>
            <w:tcW w:w="0" w:type="auto"/>
            <w:noWrap w:val="0"/>
            <w:vAlign w:val="center"/>
          </w:tcPr>
          <w:p w14:paraId="502C00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702403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7A386E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shd w:val="clear" w:color="auto" w:fill="auto"/>
            <w:noWrap w:val="0"/>
            <w:vAlign w:val="center"/>
          </w:tcPr>
          <w:p w14:paraId="5FA7C50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p w14:paraId="0B1712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0" w:type="auto"/>
            <w:noWrap w:val="0"/>
            <w:vAlign w:val="center"/>
          </w:tcPr>
          <w:p w14:paraId="7E1CD1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2D884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792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0" w:type="auto"/>
            <w:noWrap w:val="0"/>
            <w:vAlign w:val="center"/>
          </w:tcPr>
          <w:p w14:paraId="7A458D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0" w:type="auto"/>
            <w:vMerge w:val="restart"/>
            <w:noWrap w:val="0"/>
            <w:vAlign w:val="center"/>
          </w:tcPr>
          <w:p w14:paraId="1F151A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电梯区域</w:t>
            </w:r>
          </w:p>
        </w:tc>
        <w:tc>
          <w:tcPr>
            <w:tcW w:w="1381" w:type="dxa"/>
            <w:noWrap w:val="0"/>
            <w:vAlign w:val="center"/>
          </w:tcPr>
          <w:p w14:paraId="332604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楼层标识立体字</w:t>
            </w:r>
          </w:p>
        </w:tc>
        <w:tc>
          <w:tcPr>
            <w:tcW w:w="1655" w:type="dxa"/>
            <w:noWrap w:val="0"/>
            <w:vAlign w:val="center"/>
          </w:tcPr>
          <w:p w14:paraId="252AF3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30x20cm</w:t>
            </w:r>
          </w:p>
        </w:tc>
        <w:tc>
          <w:tcPr>
            <w:tcW w:w="0" w:type="auto"/>
            <w:noWrap w:val="0"/>
            <w:vAlign w:val="center"/>
          </w:tcPr>
          <w:p w14:paraId="566CFF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7DA3A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7C728D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78</w:t>
            </w:r>
          </w:p>
        </w:tc>
        <w:tc>
          <w:tcPr>
            <w:tcW w:w="0" w:type="auto"/>
            <w:shd w:val="clear" w:color="auto" w:fill="auto"/>
            <w:noWrap w:val="0"/>
            <w:vAlign w:val="center"/>
          </w:tcPr>
          <w:p w14:paraId="5AE622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4F3D49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5DC19F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38A2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0" w:type="auto"/>
            <w:noWrap w:val="0"/>
            <w:vAlign w:val="center"/>
          </w:tcPr>
          <w:p w14:paraId="1C4F05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0" w:type="auto"/>
            <w:vMerge w:val="continue"/>
            <w:noWrap w:val="0"/>
            <w:vAlign w:val="center"/>
          </w:tcPr>
          <w:p w14:paraId="59CEC0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4AB09D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楼层功能指示牌</w:t>
            </w:r>
          </w:p>
        </w:tc>
        <w:tc>
          <w:tcPr>
            <w:tcW w:w="1655" w:type="dxa"/>
            <w:noWrap w:val="0"/>
            <w:vAlign w:val="center"/>
          </w:tcPr>
          <w:p w14:paraId="56A6AC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130x50cm</w:t>
            </w:r>
          </w:p>
        </w:tc>
        <w:tc>
          <w:tcPr>
            <w:tcW w:w="0" w:type="auto"/>
            <w:noWrap w:val="0"/>
            <w:vAlign w:val="center"/>
          </w:tcPr>
          <w:p w14:paraId="6992BB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不锈钢烤漆底座,丝印内容，烤漆立体字</w:t>
            </w:r>
          </w:p>
        </w:tc>
        <w:tc>
          <w:tcPr>
            <w:tcW w:w="0" w:type="auto"/>
            <w:shd w:val="clear" w:color="auto" w:fill="auto"/>
            <w:noWrap w:val="0"/>
            <w:vAlign w:val="center"/>
          </w:tcPr>
          <w:p w14:paraId="1107FA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4C4BC54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16B3BA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5579FA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3590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0" w:type="auto"/>
            <w:noWrap w:val="0"/>
            <w:vAlign w:val="center"/>
          </w:tcPr>
          <w:p w14:paraId="51BB11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vMerge w:val="continue"/>
            <w:noWrap w:val="0"/>
            <w:vAlign w:val="center"/>
          </w:tcPr>
          <w:p w14:paraId="7E9623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04105E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货梯入口指示立体字</w:t>
            </w:r>
          </w:p>
        </w:tc>
        <w:tc>
          <w:tcPr>
            <w:tcW w:w="1655" w:type="dxa"/>
            <w:noWrap w:val="0"/>
            <w:vAlign w:val="center"/>
          </w:tcPr>
          <w:p w14:paraId="2069A1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12x35cm</w:t>
            </w:r>
          </w:p>
        </w:tc>
        <w:tc>
          <w:tcPr>
            <w:tcW w:w="0" w:type="auto"/>
            <w:noWrap w:val="0"/>
            <w:vAlign w:val="center"/>
          </w:tcPr>
          <w:p w14:paraId="20D640A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2BBACA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7E204B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1BD9EBD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5798C9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45E91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2A7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0" w:type="auto"/>
            <w:noWrap w:val="0"/>
            <w:vAlign w:val="center"/>
          </w:tcPr>
          <w:p w14:paraId="2FD245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0" w:type="auto"/>
            <w:vMerge w:val="continue"/>
            <w:noWrap w:val="0"/>
            <w:vAlign w:val="center"/>
          </w:tcPr>
          <w:p w14:paraId="329175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2265A6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货梯标识牌</w:t>
            </w:r>
          </w:p>
          <w:p w14:paraId="0DB33C8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（楼层范围）</w:t>
            </w:r>
          </w:p>
        </w:tc>
        <w:tc>
          <w:tcPr>
            <w:tcW w:w="1655" w:type="dxa"/>
            <w:noWrap w:val="0"/>
            <w:vAlign w:val="center"/>
          </w:tcPr>
          <w:p w14:paraId="09DFC8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35x25cm</w:t>
            </w:r>
          </w:p>
        </w:tc>
        <w:tc>
          <w:tcPr>
            <w:tcW w:w="0" w:type="auto"/>
            <w:noWrap w:val="0"/>
            <w:vAlign w:val="center"/>
          </w:tcPr>
          <w:p w14:paraId="7D9F02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2046C4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2850F4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2BBC20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3D7F35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4E616C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7B5D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0" w:type="auto"/>
            <w:noWrap w:val="0"/>
            <w:vAlign w:val="center"/>
          </w:tcPr>
          <w:p w14:paraId="2EE64A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0" w:type="auto"/>
            <w:vMerge w:val="continue"/>
            <w:noWrap w:val="0"/>
            <w:vAlign w:val="center"/>
          </w:tcPr>
          <w:p w14:paraId="30C404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37EA92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裙楼电梯编号</w:t>
            </w:r>
          </w:p>
        </w:tc>
        <w:tc>
          <w:tcPr>
            <w:tcW w:w="1655" w:type="dxa"/>
            <w:noWrap w:val="0"/>
            <w:vAlign w:val="center"/>
          </w:tcPr>
          <w:p w14:paraId="626F032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15x15cm</w:t>
            </w:r>
          </w:p>
        </w:tc>
        <w:tc>
          <w:tcPr>
            <w:tcW w:w="0" w:type="auto"/>
            <w:noWrap w:val="0"/>
            <w:vAlign w:val="center"/>
          </w:tcPr>
          <w:p w14:paraId="77AA770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5CC7C70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12BEC8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234</w:t>
            </w:r>
          </w:p>
        </w:tc>
        <w:tc>
          <w:tcPr>
            <w:tcW w:w="0" w:type="auto"/>
            <w:shd w:val="clear" w:color="auto" w:fill="auto"/>
            <w:noWrap w:val="0"/>
            <w:vAlign w:val="center"/>
          </w:tcPr>
          <w:p w14:paraId="027750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7971BD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161927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294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02F05F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0" w:type="auto"/>
            <w:vMerge w:val="continue"/>
            <w:noWrap w:val="0"/>
            <w:vAlign w:val="center"/>
          </w:tcPr>
          <w:p w14:paraId="11BFA0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611CE7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高楼层范围</w:t>
            </w:r>
          </w:p>
        </w:tc>
        <w:tc>
          <w:tcPr>
            <w:tcW w:w="1655" w:type="dxa"/>
            <w:noWrap w:val="0"/>
            <w:vAlign w:val="center"/>
          </w:tcPr>
          <w:p w14:paraId="396FF2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50x20cm组合</w:t>
            </w:r>
          </w:p>
        </w:tc>
        <w:tc>
          <w:tcPr>
            <w:tcW w:w="0" w:type="auto"/>
            <w:noWrap w:val="0"/>
            <w:vAlign w:val="center"/>
          </w:tcPr>
          <w:p w14:paraId="498020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5D96D8A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34E035D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44</w:t>
            </w:r>
          </w:p>
        </w:tc>
        <w:tc>
          <w:tcPr>
            <w:tcW w:w="0" w:type="auto"/>
            <w:shd w:val="clear" w:color="auto" w:fill="auto"/>
            <w:noWrap w:val="0"/>
            <w:vAlign w:val="center"/>
          </w:tcPr>
          <w:p w14:paraId="593231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7B0E33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46DD31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F18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157C24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0" w:type="auto"/>
            <w:vMerge w:val="continue"/>
            <w:noWrap w:val="0"/>
            <w:vAlign w:val="center"/>
          </w:tcPr>
          <w:p w14:paraId="6B1810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3D71F9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低楼层范围</w:t>
            </w:r>
          </w:p>
        </w:tc>
        <w:tc>
          <w:tcPr>
            <w:tcW w:w="1655" w:type="dxa"/>
            <w:noWrap w:val="0"/>
            <w:vAlign w:val="center"/>
          </w:tcPr>
          <w:p w14:paraId="313324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50x20cm组合</w:t>
            </w:r>
          </w:p>
        </w:tc>
        <w:tc>
          <w:tcPr>
            <w:tcW w:w="0" w:type="auto"/>
            <w:noWrap w:val="0"/>
            <w:vAlign w:val="center"/>
          </w:tcPr>
          <w:p w14:paraId="7A730D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068C48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495D2A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44</w:t>
            </w:r>
          </w:p>
        </w:tc>
        <w:tc>
          <w:tcPr>
            <w:tcW w:w="0" w:type="auto"/>
            <w:shd w:val="clear" w:color="auto" w:fill="auto"/>
            <w:noWrap w:val="0"/>
            <w:vAlign w:val="center"/>
          </w:tcPr>
          <w:p w14:paraId="199345D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4826CA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2441E7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D9D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0" w:type="auto"/>
            <w:noWrap w:val="0"/>
            <w:vAlign w:val="center"/>
          </w:tcPr>
          <w:p w14:paraId="6AC30D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0" w:type="auto"/>
            <w:vMerge w:val="restart"/>
            <w:noWrap w:val="0"/>
            <w:vAlign w:val="center"/>
          </w:tcPr>
          <w:p w14:paraId="336C59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塔楼</w:t>
            </w:r>
          </w:p>
        </w:tc>
        <w:tc>
          <w:tcPr>
            <w:tcW w:w="1381" w:type="dxa"/>
            <w:shd w:val="clear" w:color="auto" w:fill="auto"/>
            <w:noWrap w:val="0"/>
            <w:vAlign w:val="center"/>
          </w:tcPr>
          <w:p w14:paraId="6ED2A08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17楼集团背景墙字</w:t>
            </w:r>
          </w:p>
        </w:tc>
        <w:tc>
          <w:tcPr>
            <w:tcW w:w="1655" w:type="dxa"/>
            <w:shd w:val="clear" w:color="auto" w:fill="auto"/>
            <w:noWrap w:val="0"/>
            <w:vAlign w:val="center"/>
          </w:tcPr>
          <w:p w14:paraId="738235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LOGO77X77CM</w:t>
            </w:r>
          </w:p>
          <w:p w14:paraId="2C1EBE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中文字255x35cm</w:t>
            </w:r>
          </w:p>
        </w:tc>
        <w:tc>
          <w:tcPr>
            <w:tcW w:w="0" w:type="auto"/>
            <w:shd w:val="clear" w:color="auto" w:fill="auto"/>
            <w:noWrap w:val="0"/>
            <w:vAlign w:val="center"/>
          </w:tcPr>
          <w:p w14:paraId="5AEF76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tc>
        <w:tc>
          <w:tcPr>
            <w:tcW w:w="0" w:type="auto"/>
            <w:shd w:val="clear" w:color="auto" w:fill="auto"/>
            <w:noWrap w:val="0"/>
            <w:vAlign w:val="center"/>
          </w:tcPr>
          <w:p w14:paraId="1750C9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1套</w:t>
            </w:r>
          </w:p>
        </w:tc>
        <w:tc>
          <w:tcPr>
            <w:tcW w:w="0" w:type="auto"/>
            <w:shd w:val="clear" w:color="auto" w:fill="auto"/>
            <w:noWrap w:val="0"/>
            <w:vAlign w:val="center"/>
          </w:tcPr>
          <w:p w14:paraId="56DE73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0" w:type="auto"/>
            <w:shd w:val="clear" w:color="auto" w:fill="auto"/>
            <w:noWrap w:val="0"/>
            <w:vAlign w:val="center"/>
          </w:tcPr>
          <w:p w14:paraId="3C0F9B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252AE6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482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0" w:type="auto"/>
            <w:noWrap w:val="0"/>
            <w:vAlign w:val="center"/>
          </w:tcPr>
          <w:p w14:paraId="180549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0" w:type="auto"/>
            <w:vMerge w:val="continue"/>
            <w:noWrap w:val="0"/>
            <w:vAlign w:val="center"/>
          </w:tcPr>
          <w:p w14:paraId="7281EFD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760DFD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21楼会议厅背景墙</w:t>
            </w:r>
          </w:p>
          <w:p w14:paraId="6C74E8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为人民服务字体</w:t>
            </w:r>
          </w:p>
        </w:tc>
        <w:tc>
          <w:tcPr>
            <w:tcW w:w="1655" w:type="dxa"/>
            <w:noWrap w:val="0"/>
            <w:vAlign w:val="center"/>
          </w:tcPr>
          <w:p w14:paraId="52F729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315x96cm</w:t>
            </w:r>
          </w:p>
        </w:tc>
        <w:tc>
          <w:tcPr>
            <w:tcW w:w="0" w:type="auto"/>
            <w:noWrap w:val="0"/>
            <w:vAlign w:val="center"/>
          </w:tcPr>
          <w:p w14:paraId="5B82C1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tc>
        <w:tc>
          <w:tcPr>
            <w:tcW w:w="0" w:type="auto"/>
            <w:shd w:val="clear" w:color="auto" w:fill="auto"/>
            <w:noWrap w:val="0"/>
            <w:vAlign w:val="center"/>
          </w:tcPr>
          <w:p w14:paraId="26B61C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shd w:val="clear" w:color="auto" w:fill="auto"/>
            <w:noWrap w:val="0"/>
            <w:vAlign w:val="center"/>
          </w:tcPr>
          <w:p w14:paraId="109AF2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0" w:type="auto"/>
            <w:noWrap w:val="0"/>
            <w:vAlign w:val="center"/>
          </w:tcPr>
          <w:p w14:paraId="60FCA5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19DFEFF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586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2A28587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0" w:type="auto"/>
            <w:vMerge w:val="continue"/>
            <w:noWrap w:val="0"/>
            <w:vAlign w:val="center"/>
          </w:tcPr>
          <w:p w14:paraId="1D1FDA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6972BA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办公区科室牌</w:t>
            </w:r>
          </w:p>
        </w:tc>
        <w:tc>
          <w:tcPr>
            <w:tcW w:w="1655" w:type="dxa"/>
            <w:noWrap w:val="0"/>
            <w:vAlign w:val="center"/>
          </w:tcPr>
          <w:p w14:paraId="226F93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35x30cm</w:t>
            </w:r>
          </w:p>
        </w:tc>
        <w:tc>
          <w:tcPr>
            <w:tcW w:w="0" w:type="auto"/>
            <w:noWrap w:val="0"/>
            <w:vAlign w:val="center"/>
          </w:tcPr>
          <w:p w14:paraId="5EDE146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02C39C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626DE0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260</w:t>
            </w:r>
          </w:p>
        </w:tc>
        <w:tc>
          <w:tcPr>
            <w:tcW w:w="0" w:type="auto"/>
            <w:shd w:val="clear" w:color="auto" w:fill="auto"/>
            <w:noWrap w:val="0"/>
            <w:vAlign w:val="center"/>
          </w:tcPr>
          <w:p w14:paraId="42CD0D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11693D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146BE8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AA0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121025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0" w:type="auto"/>
            <w:vMerge w:val="continue"/>
            <w:noWrap w:val="0"/>
            <w:vAlign w:val="center"/>
          </w:tcPr>
          <w:p w14:paraId="076A53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2C9AC6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21楼会议室提示</w:t>
            </w:r>
          </w:p>
        </w:tc>
        <w:tc>
          <w:tcPr>
            <w:tcW w:w="1655" w:type="dxa"/>
            <w:noWrap w:val="0"/>
            <w:vAlign w:val="center"/>
          </w:tcPr>
          <w:p w14:paraId="504C954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0" w:type="auto"/>
            <w:noWrap w:val="0"/>
            <w:vAlign w:val="center"/>
          </w:tcPr>
          <w:p w14:paraId="6DE5C6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7B59A0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6CCB96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0" w:type="auto"/>
            <w:shd w:val="clear" w:color="auto" w:fill="auto"/>
            <w:noWrap w:val="0"/>
            <w:vAlign w:val="center"/>
          </w:tcPr>
          <w:p w14:paraId="07848F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组</w:t>
            </w:r>
          </w:p>
        </w:tc>
        <w:tc>
          <w:tcPr>
            <w:tcW w:w="0" w:type="auto"/>
            <w:noWrap w:val="0"/>
            <w:vAlign w:val="center"/>
          </w:tcPr>
          <w:p w14:paraId="370479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7DF4DC6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5E1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0" w:type="auto"/>
            <w:noWrap w:val="0"/>
            <w:vAlign w:val="center"/>
          </w:tcPr>
          <w:p w14:paraId="16BB83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0" w:type="auto"/>
            <w:vMerge w:val="continue"/>
            <w:noWrap w:val="0"/>
            <w:vAlign w:val="center"/>
          </w:tcPr>
          <w:p w14:paraId="72A0F9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1D1995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会议室门牌</w:t>
            </w:r>
          </w:p>
        </w:tc>
        <w:tc>
          <w:tcPr>
            <w:tcW w:w="1655" w:type="dxa"/>
            <w:noWrap w:val="0"/>
            <w:vAlign w:val="center"/>
          </w:tcPr>
          <w:p w14:paraId="7BA747F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35x25cm</w:t>
            </w:r>
          </w:p>
        </w:tc>
        <w:tc>
          <w:tcPr>
            <w:tcW w:w="0" w:type="auto"/>
            <w:noWrap w:val="0"/>
            <w:vAlign w:val="center"/>
          </w:tcPr>
          <w:p w14:paraId="57E824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3A6B7B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1590C5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shd w:val="clear" w:color="auto" w:fill="auto"/>
            <w:noWrap w:val="0"/>
            <w:vAlign w:val="center"/>
          </w:tcPr>
          <w:p w14:paraId="14ACAE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c>
          <w:tcPr>
            <w:tcW w:w="0" w:type="auto"/>
            <w:noWrap w:val="0"/>
            <w:vAlign w:val="center"/>
          </w:tcPr>
          <w:p w14:paraId="7B7FE4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466883A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89E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0" w:type="auto"/>
            <w:noWrap w:val="0"/>
            <w:vAlign w:val="center"/>
          </w:tcPr>
          <w:p w14:paraId="3DAB2BD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0" w:type="auto"/>
            <w:vMerge w:val="continue"/>
            <w:noWrap w:val="0"/>
            <w:vAlign w:val="center"/>
          </w:tcPr>
          <w:p w14:paraId="1905C8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noWrap w:val="0"/>
            <w:vAlign w:val="center"/>
          </w:tcPr>
          <w:p w14:paraId="2878F5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3楼会议室提示</w:t>
            </w:r>
          </w:p>
        </w:tc>
        <w:tc>
          <w:tcPr>
            <w:tcW w:w="1655" w:type="dxa"/>
            <w:noWrap w:val="0"/>
            <w:vAlign w:val="center"/>
          </w:tcPr>
          <w:p w14:paraId="20A2447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0" w:type="auto"/>
            <w:noWrap w:val="0"/>
            <w:vAlign w:val="center"/>
          </w:tcPr>
          <w:p w14:paraId="1C3B01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345F47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66F2B7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0" w:type="auto"/>
            <w:shd w:val="clear" w:color="auto" w:fill="auto"/>
            <w:noWrap w:val="0"/>
            <w:vAlign w:val="center"/>
          </w:tcPr>
          <w:p w14:paraId="384EED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组</w:t>
            </w:r>
          </w:p>
        </w:tc>
        <w:tc>
          <w:tcPr>
            <w:tcW w:w="0" w:type="auto"/>
            <w:noWrap w:val="0"/>
            <w:vAlign w:val="center"/>
          </w:tcPr>
          <w:p w14:paraId="362044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72CE78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516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11474D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0" w:type="auto"/>
            <w:vMerge w:val="continue"/>
            <w:noWrap w:val="0"/>
            <w:vAlign w:val="center"/>
          </w:tcPr>
          <w:p w14:paraId="4D282C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578650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会议室门牌</w:t>
            </w:r>
          </w:p>
        </w:tc>
        <w:tc>
          <w:tcPr>
            <w:tcW w:w="1655" w:type="dxa"/>
            <w:noWrap w:val="0"/>
            <w:vAlign w:val="center"/>
          </w:tcPr>
          <w:p w14:paraId="31EFEE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35x25cm</w:t>
            </w:r>
          </w:p>
        </w:tc>
        <w:tc>
          <w:tcPr>
            <w:tcW w:w="0" w:type="auto"/>
            <w:noWrap w:val="0"/>
            <w:vAlign w:val="center"/>
          </w:tcPr>
          <w:p w14:paraId="34DB79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0457CB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5F9D92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shd w:val="clear" w:color="auto" w:fill="auto"/>
            <w:noWrap w:val="0"/>
            <w:vAlign w:val="center"/>
          </w:tcPr>
          <w:p w14:paraId="4B6F94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c>
          <w:tcPr>
            <w:tcW w:w="0" w:type="auto"/>
            <w:noWrap w:val="0"/>
            <w:vAlign w:val="center"/>
          </w:tcPr>
          <w:p w14:paraId="340CB2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695D1D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596D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7BFC40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0" w:type="auto"/>
            <w:vMerge w:val="continue"/>
            <w:noWrap w:val="0"/>
            <w:vAlign w:val="center"/>
          </w:tcPr>
          <w:p w14:paraId="32BDEE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1273F06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接待室</w:t>
            </w:r>
          </w:p>
        </w:tc>
        <w:tc>
          <w:tcPr>
            <w:tcW w:w="1655" w:type="dxa"/>
            <w:noWrap w:val="0"/>
            <w:vAlign w:val="center"/>
          </w:tcPr>
          <w:p w14:paraId="4AB4E3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35x25cm</w:t>
            </w:r>
          </w:p>
        </w:tc>
        <w:tc>
          <w:tcPr>
            <w:tcW w:w="0" w:type="auto"/>
            <w:noWrap w:val="0"/>
            <w:vAlign w:val="center"/>
          </w:tcPr>
          <w:p w14:paraId="1F38DF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014C50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7CC3438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0" w:type="auto"/>
            <w:shd w:val="clear" w:color="auto" w:fill="auto"/>
            <w:noWrap w:val="0"/>
            <w:vAlign w:val="center"/>
          </w:tcPr>
          <w:p w14:paraId="3B10BF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c>
          <w:tcPr>
            <w:tcW w:w="0" w:type="auto"/>
            <w:noWrap w:val="0"/>
            <w:vAlign w:val="center"/>
          </w:tcPr>
          <w:p w14:paraId="57BE0E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5D19EF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E54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03EFDA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0" w:type="auto"/>
            <w:vMerge w:val="continue"/>
            <w:noWrap w:val="0"/>
            <w:vAlign w:val="center"/>
          </w:tcPr>
          <w:p w14:paraId="012460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6CF171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3楼餐厅提示牌</w:t>
            </w:r>
          </w:p>
        </w:tc>
        <w:tc>
          <w:tcPr>
            <w:tcW w:w="1655" w:type="dxa"/>
            <w:noWrap w:val="0"/>
            <w:vAlign w:val="center"/>
          </w:tcPr>
          <w:p w14:paraId="42CF80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20x60cm组合</w:t>
            </w:r>
          </w:p>
        </w:tc>
        <w:tc>
          <w:tcPr>
            <w:tcW w:w="0" w:type="auto"/>
            <w:noWrap w:val="0"/>
            <w:vAlign w:val="center"/>
          </w:tcPr>
          <w:p w14:paraId="1A2914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327C3E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66A58E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0" w:type="auto"/>
            <w:shd w:val="clear" w:color="auto" w:fill="auto"/>
            <w:noWrap w:val="0"/>
            <w:vAlign w:val="center"/>
          </w:tcPr>
          <w:p w14:paraId="6E1250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0" w:type="auto"/>
            <w:noWrap w:val="0"/>
            <w:vAlign w:val="center"/>
          </w:tcPr>
          <w:p w14:paraId="47BAA5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6B3161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507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0" w:type="auto"/>
            <w:noWrap w:val="0"/>
            <w:vAlign w:val="center"/>
          </w:tcPr>
          <w:p w14:paraId="1E3DD0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0" w:type="auto"/>
            <w:vMerge w:val="continue"/>
            <w:noWrap w:val="0"/>
            <w:vAlign w:val="center"/>
          </w:tcPr>
          <w:p w14:paraId="104903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62FFDB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茶水间提示牌</w:t>
            </w:r>
          </w:p>
        </w:tc>
        <w:tc>
          <w:tcPr>
            <w:tcW w:w="1655" w:type="dxa"/>
            <w:noWrap w:val="0"/>
            <w:vAlign w:val="center"/>
          </w:tcPr>
          <w:p w14:paraId="6B2A53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35X10CM</w:t>
            </w:r>
          </w:p>
        </w:tc>
        <w:tc>
          <w:tcPr>
            <w:tcW w:w="0" w:type="auto"/>
            <w:noWrap w:val="0"/>
            <w:vAlign w:val="center"/>
          </w:tcPr>
          <w:p w14:paraId="748BAA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660D3A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w:t>
            </w:r>
          </w:p>
        </w:tc>
        <w:tc>
          <w:tcPr>
            <w:tcW w:w="0" w:type="auto"/>
            <w:shd w:val="clear" w:color="auto" w:fill="auto"/>
            <w:noWrap w:val="0"/>
            <w:vAlign w:val="center"/>
          </w:tcPr>
          <w:p w14:paraId="5B2075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0" w:type="auto"/>
            <w:shd w:val="clear" w:color="auto" w:fill="auto"/>
            <w:noWrap w:val="0"/>
            <w:vAlign w:val="center"/>
          </w:tcPr>
          <w:p w14:paraId="6C389E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68AB67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3CBA1D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9D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0" w:type="auto"/>
            <w:noWrap w:val="0"/>
            <w:vAlign w:val="center"/>
          </w:tcPr>
          <w:p w14:paraId="37AC70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0" w:type="auto"/>
            <w:vMerge w:val="continue"/>
            <w:noWrap w:val="0"/>
            <w:vAlign w:val="center"/>
          </w:tcPr>
          <w:p w14:paraId="03E240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348E66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清洁室</w:t>
            </w:r>
          </w:p>
        </w:tc>
        <w:tc>
          <w:tcPr>
            <w:tcW w:w="1655" w:type="dxa"/>
            <w:noWrap w:val="0"/>
            <w:vAlign w:val="center"/>
          </w:tcPr>
          <w:p w14:paraId="617D6B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35x15cm</w:t>
            </w:r>
          </w:p>
        </w:tc>
        <w:tc>
          <w:tcPr>
            <w:tcW w:w="0" w:type="auto"/>
            <w:noWrap w:val="0"/>
            <w:vAlign w:val="center"/>
          </w:tcPr>
          <w:p w14:paraId="05C965D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173556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0" w:type="auto"/>
            <w:shd w:val="clear" w:color="auto" w:fill="auto"/>
            <w:noWrap w:val="0"/>
            <w:vAlign w:val="center"/>
          </w:tcPr>
          <w:p w14:paraId="7E6CC2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noWrap w:val="0"/>
            <w:vAlign w:val="center"/>
          </w:tcPr>
          <w:p w14:paraId="38E7FA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7EA71F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C9A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0" w:type="auto"/>
            <w:noWrap w:val="0"/>
            <w:vAlign w:val="center"/>
          </w:tcPr>
          <w:p w14:paraId="5EE286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0" w:type="auto"/>
            <w:vMerge w:val="continue"/>
            <w:noWrap w:val="0"/>
            <w:vAlign w:val="center"/>
          </w:tcPr>
          <w:p w14:paraId="3D5FC7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0AB62A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洗手间</w:t>
            </w:r>
          </w:p>
        </w:tc>
        <w:tc>
          <w:tcPr>
            <w:tcW w:w="1655" w:type="dxa"/>
            <w:noWrap w:val="0"/>
            <w:vAlign w:val="center"/>
          </w:tcPr>
          <w:p w14:paraId="4598F4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男35x25cm1个</w:t>
            </w:r>
          </w:p>
          <w:p w14:paraId="23EB3D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女35x25cm1个</w:t>
            </w:r>
          </w:p>
        </w:tc>
        <w:tc>
          <w:tcPr>
            <w:tcW w:w="0" w:type="auto"/>
            <w:noWrap w:val="0"/>
            <w:vAlign w:val="center"/>
          </w:tcPr>
          <w:p w14:paraId="3353F2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不锈钢烤漆立体字</w:t>
            </w:r>
          </w:p>
        </w:tc>
        <w:tc>
          <w:tcPr>
            <w:tcW w:w="0" w:type="auto"/>
            <w:shd w:val="clear" w:color="auto" w:fill="auto"/>
            <w:noWrap w:val="0"/>
            <w:vAlign w:val="center"/>
          </w:tcPr>
          <w:p w14:paraId="645CB5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76</w:t>
            </w:r>
          </w:p>
        </w:tc>
        <w:tc>
          <w:tcPr>
            <w:tcW w:w="0" w:type="auto"/>
            <w:shd w:val="clear" w:color="auto" w:fill="auto"/>
            <w:noWrap w:val="0"/>
            <w:vAlign w:val="center"/>
          </w:tcPr>
          <w:p w14:paraId="0749D0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0" w:type="auto"/>
            <w:noWrap w:val="0"/>
            <w:vAlign w:val="center"/>
          </w:tcPr>
          <w:p w14:paraId="439970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noWrap w:val="0"/>
            <w:vAlign w:val="center"/>
          </w:tcPr>
          <w:p w14:paraId="5D0054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907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311C18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0" w:type="auto"/>
            <w:vMerge w:val="continue"/>
            <w:noWrap w:val="0"/>
            <w:vAlign w:val="center"/>
          </w:tcPr>
          <w:p w14:paraId="560C28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555664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强电井</w:t>
            </w:r>
          </w:p>
        </w:tc>
        <w:tc>
          <w:tcPr>
            <w:tcW w:w="1655" w:type="dxa"/>
            <w:noWrap w:val="0"/>
            <w:vAlign w:val="center"/>
          </w:tcPr>
          <w:p w14:paraId="23EB3D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0" w:type="auto"/>
            <w:noWrap w:val="0"/>
            <w:vAlign w:val="center"/>
          </w:tcPr>
          <w:p w14:paraId="63DE3B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37E64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579884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44B43B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4F2930D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21A84C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963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2E8279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0" w:type="auto"/>
            <w:vMerge w:val="continue"/>
            <w:noWrap w:val="0"/>
            <w:vAlign w:val="center"/>
          </w:tcPr>
          <w:p w14:paraId="4A9434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07EEE6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弱电井</w:t>
            </w:r>
          </w:p>
        </w:tc>
        <w:tc>
          <w:tcPr>
            <w:tcW w:w="1655" w:type="dxa"/>
            <w:noWrap w:val="0"/>
            <w:vAlign w:val="center"/>
          </w:tcPr>
          <w:p w14:paraId="2726D3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0" w:type="auto"/>
            <w:noWrap w:val="0"/>
            <w:vAlign w:val="center"/>
          </w:tcPr>
          <w:p w14:paraId="497A84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D63BD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3BE648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3F156D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20DB4B6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76A983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805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4A6696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0" w:type="auto"/>
            <w:vMerge w:val="continue"/>
            <w:noWrap w:val="0"/>
            <w:vAlign w:val="center"/>
          </w:tcPr>
          <w:p w14:paraId="21955D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4F623E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空调管井</w:t>
            </w:r>
          </w:p>
        </w:tc>
        <w:tc>
          <w:tcPr>
            <w:tcW w:w="1655" w:type="dxa"/>
            <w:noWrap w:val="0"/>
            <w:vAlign w:val="center"/>
          </w:tcPr>
          <w:p w14:paraId="36F5CA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0" w:type="auto"/>
            <w:noWrap w:val="0"/>
            <w:vAlign w:val="center"/>
          </w:tcPr>
          <w:p w14:paraId="04C5A5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16A3B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4A67219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4E95CC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70AC04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6E44A7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E7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3654DF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0" w:type="auto"/>
            <w:vMerge w:val="continue"/>
            <w:noWrap w:val="0"/>
            <w:vAlign w:val="center"/>
          </w:tcPr>
          <w:p w14:paraId="0299F0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474412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水井</w:t>
            </w:r>
          </w:p>
        </w:tc>
        <w:tc>
          <w:tcPr>
            <w:tcW w:w="1655" w:type="dxa"/>
            <w:noWrap w:val="0"/>
            <w:vAlign w:val="center"/>
          </w:tcPr>
          <w:p w14:paraId="652CB3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0" w:type="auto"/>
            <w:noWrap w:val="0"/>
            <w:vAlign w:val="center"/>
          </w:tcPr>
          <w:p w14:paraId="57AA59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7CAA1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477901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28C2E9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noWrap w:val="0"/>
            <w:vAlign w:val="center"/>
          </w:tcPr>
          <w:p w14:paraId="1230709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noWrap w:val="0"/>
            <w:vAlign w:val="center"/>
          </w:tcPr>
          <w:p w14:paraId="45B17B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339A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57F577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0" w:type="auto"/>
            <w:vMerge w:val="continue"/>
            <w:noWrap w:val="0"/>
            <w:vAlign w:val="center"/>
          </w:tcPr>
          <w:p w14:paraId="45376C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3AD94D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配电间</w:t>
            </w:r>
          </w:p>
        </w:tc>
        <w:tc>
          <w:tcPr>
            <w:tcW w:w="1655" w:type="dxa"/>
            <w:shd w:val="clear" w:color="auto" w:fill="auto"/>
            <w:noWrap w:val="0"/>
            <w:vAlign w:val="center"/>
          </w:tcPr>
          <w:p w14:paraId="57CCF9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0" w:type="auto"/>
            <w:shd w:val="clear" w:color="auto" w:fill="auto"/>
            <w:noWrap w:val="0"/>
            <w:vAlign w:val="center"/>
          </w:tcPr>
          <w:p w14:paraId="73024F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65B33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245AFF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7F9B35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034578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1F26BB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563D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2AFA13D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0" w:type="auto"/>
            <w:vMerge w:val="continue"/>
            <w:noWrap w:val="0"/>
            <w:vAlign w:val="center"/>
          </w:tcPr>
          <w:p w14:paraId="731304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55C78D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机房</w:t>
            </w:r>
          </w:p>
        </w:tc>
        <w:tc>
          <w:tcPr>
            <w:tcW w:w="1655" w:type="dxa"/>
            <w:shd w:val="clear" w:color="auto" w:fill="auto"/>
            <w:noWrap w:val="0"/>
            <w:vAlign w:val="center"/>
          </w:tcPr>
          <w:p w14:paraId="3C1DD0F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0" w:type="auto"/>
            <w:shd w:val="clear" w:color="auto" w:fill="auto"/>
            <w:noWrap w:val="0"/>
            <w:vAlign w:val="center"/>
          </w:tcPr>
          <w:p w14:paraId="71A6A2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5F2AF02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3047C68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45F711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1B6762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584AEC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595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65789A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0" w:type="auto"/>
            <w:vMerge w:val="continue"/>
            <w:noWrap w:val="0"/>
            <w:vAlign w:val="center"/>
          </w:tcPr>
          <w:p w14:paraId="3A7115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283B68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空调机房</w:t>
            </w:r>
          </w:p>
        </w:tc>
        <w:tc>
          <w:tcPr>
            <w:tcW w:w="1655" w:type="dxa"/>
            <w:shd w:val="clear" w:color="auto" w:fill="auto"/>
            <w:noWrap w:val="0"/>
            <w:vAlign w:val="center"/>
          </w:tcPr>
          <w:p w14:paraId="0A19BD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30x10组合</w:t>
            </w:r>
          </w:p>
        </w:tc>
        <w:tc>
          <w:tcPr>
            <w:tcW w:w="0" w:type="auto"/>
            <w:shd w:val="clear" w:color="auto" w:fill="auto"/>
            <w:noWrap w:val="0"/>
            <w:vAlign w:val="center"/>
          </w:tcPr>
          <w:p w14:paraId="7EE478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69FE26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55F66C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43C307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756219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4A3951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BA1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0" w:type="auto"/>
            <w:noWrap w:val="0"/>
            <w:vAlign w:val="center"/>
          </w:tcPr>
          <w:p w14:paraId="02740B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0" w:type="auto"/>
            <w:vMerge w:val="continue"/>
            <w:noWrap w:val="0"/>
            <w:vAlign w:val="center"/>
          </w:tcPr>
          <w:p w14:paraId="583E97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2A2C86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高压房</w:t>
            </w:r>
          </w:p>
        </w:tc>
        <w:tc>
          <w:tcPr>
            <w:tcW w:w="1655" w:type="dxa"/>
            <w:shd w:val="clear" w:color="auto" w:fill="auto"/>
            <w:noWrap w:val="0"/>
            <w:vAlign w:val="center"/>
          </w:tcPr>
          <w:p w14:paraId="24C289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0" w:type="auto"/>
            <w:shd w:val="clear" w:color="auto" w:fill="auto"/>
            <w:noWrap w:val="0"/>
            <w:vAlign w:val="center"/>
          </w:tcPr>
          <w:p w14:paraId="223289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4A907A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05E153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6D9DE9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4FC257A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14D78D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0AC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70D47F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0" w:type="auto"/>
            <w:vMerge w:val="continue"/>
            <w:noWrap w:val="0"/>
            <w:vAlign w:val="center"/>
          </w:tcPr>
          <w:p w14:paraId="7AA1AC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53B1DEB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消防栓</w:t>
            </w:r>
          </w:p>
        </w:tc>
        <w:tc>
          <w:tcPr>
            <w:tcW w:w="1655" w:type="dxa"/>
            <w:shd w:val="clear" w:color="auto" w:fill="auto"/>
            <w:noWrap w:val="0"/>
            <w:vAlign w:val="center"/>
          </w:tcPr>
          <w:p w14:paraId="5C9669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30x10cm组合</w:t>
            </w:r>
          </w:p>
        </w:tc>
        <w:tc>
          <w:tcPr>
            <w:tcW w:w="0" w:type="auto"/>
            <w:shd w:val="clear" w:color="auto" w:fill="auto"/>
            <w:noWrap w:val="0"/>
            <w:vAlign w:val="center"/>
          </w:tcPr>
          <w:p w14:paraId="724668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6C560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4199DE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61B697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24FB76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107DA1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66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07D923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0" w:type="auto"/>
            <w:vMerge w:val="continue"/>
            <w:noWrap w:val="0"/>
            <w:vAlign w:val="center"/>
          </w:tcPr>
          <w:p w14:paraId="274D9A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18646F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灭火器</w:t>
            </w:r>
          </w:p>
        </w:tc>
        <w:tc>
          <w:tcPr>
            <w:tcW w:w="1655" w:type="dxa"/>
            <w:shd w:val="clear" w:color="auto" w:fill="auto"/>
            <w:noWrap w:val="0"/>
            <w:vAlign w:val="center"/>
          </w:tcPr>
          <w:p w14:paraId="11EC9C2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30x10cm组合</w:t>
            </w:r>
          </w:p>
        </w:tc>
        <w:tc>
          <w:tcPr>
            <w:tcW w:w="0" w:type="auto"/>
            <w:shd w:val="clear" w:color="auto" w:fill="auto"/>
            <w:noWrap w:val="0"/>
            <w:vAlign w:val="center"/>
          </w:tcPr>
          <w:p w14:paraId="1D79E8D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不锈钢烤漆</w:t>
            </w:r>
          </w:p>
          <w:p w14:paraId="1FB1B8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立体字</w:t>
            </w:r>
          </w:p>
        </w:tc>
        <w:tc>
          <w:tcPr>
            <w:tcW w:w="0" w:type="auto"/>
            <w:shd w:val="clear" w:color="auto" w:fill="auto"/>
            <w:noWrap w:val="0"/>
            <w:vAlign w:val="center"/>
          </w:tcPr>
          <w:p w14:paraId="350E04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noWrap w:val="0"/>
            <w:vAlign w:val="center"/>
          </w:tcPr>
          <w:p w14:paraId="558BB26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609A7F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39FD5F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25E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noWrap w:val="0"/>
            <w:vAlign w:val="center"/>
          </w:tcPr>
          <w:p w14:paraId="10269D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0" w:type="auto"/>
            <w:vMerge w:val="restart"/>
            <w:noWrap w:val="0"/>
            <w:vAlign w:val="center"/>
          </w:tcPr>
          <w:p w14:paraId="5AE1807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消防</w:t>
            </w:r>
          </w:p>
        </w:tc>
        <w:tc>
          <w:tcPr>
            <w:tcW w:w="1381" w:type="dxa"/>
            <w:shd w:val="clear" w:color="auto" w:fill="auto"/>
            <w:noWrap w:val="0"/>
            <w:vAlign w:val="center"/>
          </w:tcPr>
          <w:p w14:paraId="29AE6E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疏散指示</w:t>
            </w:r>
          </w:p>
        </w:tc>
        <w:tc>
          <w:tcPr>
            <w:tcW w:w="1655" w:type="dxa"/>
            <w:shd w:val="clear" w:color="auto" w:fill="auto"/>
            <w:noWrap w:val="0"/>
            <w:vAlign w:val="center"/>
          </w:tcPr>
          <w:p w14:paraId="5CC098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35x20cm</w:t>
            </w:r>
          </w:p>
        </w:tc>
        <w:tc>
          <w:tcPr>
            <w:tcW w:w="0" w:type="auto"/>
            <w:shd w:val="clear" w:color="auto" w:fill="auto"/>
            <w:noWrap w:val="0"/>
            <w:vAlign w:val="center"/>
          </w:tcPr>
          <w:p w14:paraId="68AFB8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w:t>
            </w:r>
          </w:p>
          <w:p w14:paraId="4C36D9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立体字力，立体字</w:t>
            </w:r>
          </w:p>
        </w:tc>
        <w:tc>
          <w:tcPr>
            <w:tcW w:w="0" w:type="auto"/>
            <w:shd w:val="clear" w:color="auto" w:fill="auto"/>
            <w:noWrap w:val="0"/>
            <w:vAlign w:val="center"/>
          </w:tcPr>
          <w:p w14:paraId="53192C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2E731F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049F8A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1896D2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C4E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5909EF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0" w:type="auto"/>
            <w:vMerge w:val="continue"/>
            <w:noWrap w:val="0"/>
            <w:vAlign w:val="center"/>
          </w:tcPr>
          <w:p w14:paraId="5289FA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43D29D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楼层消防疏散图</w:t>
            </w:r>
          </w:p>
        </w:tc>
        <w:tc>
          <w:tcPr>
            <w:tcW w:w="1655" w:type="dxa"/>
            <w:shd w:val="clear" w:color="auto" w:fill="auto"/>
            <w:noWrap w:val="0"/>
            <w:vAlign w:val="center"/>
          </w:tcPr>
          <w:p w14:paraId="3F1B34A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30x40cm</w:t>
            </w:r>
          </w:p>
        </w:tc>
        <w:tc>
          <w:tcPr>
            <w:tcW w:w="0" w:type="auto"/>
            <w:shd w:val="clear" w:color="auto" w:fill="auto"/>
            <w:noWrap w:val="0"/>
            <w:vAlign w:val="center"/>
          </w:tcPr>
          <w:p w14:paraId="6217CE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28C23B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3C5ABC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3A2D82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4BFEBC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BC9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0" w:type="auto"/>
            <w:noWrap w:val="0"/>
            <w:vAlign w:val="center"/>
          </w:tcPr>
          <w:p w14:paraId="06EDFABE">
            <w:pPr>
              <w:keepNext w:val="0"/>
              <w:keepLines w:val="0"/>
              <w:pageBreakBefore w:val="0"/>
              <w:kinsoku/>
              <w:wordWrap/>
              <w:overflowPunct/>
              <w:topLinePunct w:val="0"/>
              <w:autoSpaceDE/>
              <w:autoSpaceDN/>
              <w:bidi w:val="0"/>
              <w:adjustRightInd/>
              <w:snapToGrid/>
              <w:spacing w:line="240" w:lineRule="auto"/>
              <w:ind w:firstLine="210" w:firstLineChars="100"/>
              <w:jc w:val="center"/>
              <w:rPr>
                <w:rFonts w:hint="eastAsia" w:ascii="宋体" w:hAnsi="宋体" w:eastAsia="宋体" w:cs="宋体"/>
                <w:sz w:val="21"/>
                <w:szCs w:val="21"/>
                <w:lang w:val="en-US" w:eastAsia="zh-CN"/>
              </w:rPr>
            </w:pPr>
          </w:p>
          <w:p w14:paraId="2D9C3F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0" w:type="auto"/>
            <w:vMerge w:val="restart"/>
            <w:noWrap w:val="0"/>
            <w:vAlign w:val="center"/>
          </w:tcPr>
          <w:p w14:paraId="5EFAA4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温馨提示</w:t>
            </w:r>
          </w:p>
        </w:tc>
        <w:tc>
          <w:tcPr>
            <w:tcW w:w="1381" w:type="dxa"/>
            <w:shd w:val="clear" w:color="auto" w:fill="auto"/>
            <w:noWrap w:val="0"/>
            <w:vAlign w:val="center"/>
          </w:tcPr>
          <w:p w14:paraId="7D60F3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请勿吸烟</w:t>
            </w:r>
          </w:p>
        </w:tc>
        <w:tc>
          <w:tcPr>
            <w:tcW w:w="1655" w:type="dxa"/>
            <w:shd w:val="clear" w:color="auto" w:fill="auto"/>
            <w:noWrap w:val="0"/>
            <w:vAlign w:val="center"/>
          </w:tcPr>
          <w:p w14:paraId="4FA27A8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35x15cm</w:t>
            </w:r>
          </w:p>
        </w:tc>
        <w:tc>
          <w:tcPr>
            <w:tcW w:w="0" w:type="auto"/>
            <w:shd w:val="clear" w:color="auto" w:fill="auto"/>
            <w:noWrap w:val="0"/>
            <w:vAlign w:val="center"/>
          </w:tcPr>
          <w:p w14:paraId="75F5762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3F5FEB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38FB8B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225EF18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59A3CA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E60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581AAB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0" w:type="auto"/>
            <w:vMerge w:val="continue"/>
            <w:noWrap w:val="0"/>
            <w:vAlign w:val="center"/>
          </w:tcPr>
          <w:p w14:paraId="3150CC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0EB85A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节约用水</w:t>
            </w:r>
          </w:p>
        </w:tc>
        <w:tc>
          <w:tcPr>
            <w:tcW w:w="1655" w:type="dxa"/>
            <w:shd w:val="clear" w:color="auto" w:fill="auto"/>
            <w:noWrap w:val="0"/>
            <w:vAlign w:val="center"/>
          </w:tcPr>
          <w:p w14:paraId="76948D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35x15cm</w:t>
            </w:r>
          </w:p>
        </w:tc>
        <w:tc>
          <w:tcPr>
            <w:tcW w:w="0" w:type="auto"/>
            <w:shd w:val="clear" w:color="auto" w:fill="auto"/>
            <w:noWrap w:val="0"/>
            <w:vAlign w:val="center"/>
          </w:tcPr>
          <w:p w14:paraId="6FB944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6EC5D5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3A6FAA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6128BEA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0BE116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255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092A4D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0" w:type="auto"/>
            <w:vMerge w:val="continue"/>
            <w:noWrap w:val="0"/>
            <w:vAlign w:val="center"/>
          </w:tcPr>
          <w:p w14:paraId="013FD2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393866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小心地滑</w:t>
            </w:r>
          </w:p>
        </w:tc>
        <w:tc>
          <w:tcPr>
            <w:tcW w:w="1655" w:type="dxa"/>
            <w:shd w:val="clear" w:color="auto" w:fill="auto"/>
            <w:noWrap w:val="0"/>
            <w:vAlign w:val="center"/>
          </w:tcPr>
          <w:p w14:paraId="2F0D6F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35x15cm</w:t>
            </w:r>
          </w:p>
        </w:tc>
        <w:tc>
          <w:tcPr>
            <w:tcW w:w="0" w:type="auto"/>
            <w:shd w:val="clear" w:color="auto" w:fill="auto"/>
            <w:noWrap w:val="0"/>
            <w:vAlign w:val="center"/>
          </w:tcPr>
          <w:p w14:paraId="528518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1A0427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3260D3D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7D3AAB6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4B81BA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56F9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405DB1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0" w:type="auto"/>
            <w:vMerge w:val="continue"/>
            <w:noWrap w:val="0"/>
            <w:vAlign w:val="center"/>
          </w:tcPr>
          <w:p w14:paraId="703B2C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4C9465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注意台阶</w:t>
            </w:r>
          </w:p>
        </w:tc>
        <w:tc>
          <w:tcPr>
            <w:tcW w:w="1655" w:type="dxa"/>
            <w:shd w:val="clear" w:color="auto" w:fill="auto"/>
            <w:noWrap w:val="0"/>
            <w:vAlign w:val="center"/>
          </w:tcPr>
          <w:p w14:paraId="1E11E8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35x20cm</w:t>
            </w:r>
          </w:p>
        </w:tc>
        <w:tc>
          <w:tcPr>
            <w:tcW w:w="0" w:type="auto"/>
            <w:shd w:val="clear" w:color="auto" w:fill="auto"/>
            <w:noWrap w:val="0"/>
            <w:vAlign w:val="center"/>
          </w:tcPr>
          <w:p w14:paraId="694AC4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646875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6F4236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1616A2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70ED05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0A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566303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0" w:type="auto"/>
            <w:vMerge w:val="continue"/>
            <w:noWrap w:val="0"/>
            <w:vAlign w:val="center"/>
          </w:tcPr>
          <w:p w14:paraId="483791D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30B7BC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当心碰头</w:t>
            </w:r>
          </w:p>
        </w:tc>
        <w:tc>
          <w:tcPr>
            <w:tcW w:w="1655" w:type="dxa"/>
            <w:shd w:val="clear" w:color="auto" w:fill="auto"/>
            <w:noWrap w:val="0"/>
            <w:vAlign w:val="center"/>
          </w:tcPr>
          <w:p w14:paraId="1BEAE9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35x20cm</w:t>
            </w:r>
          </w:p>
        </w:tc>
        <w:tc>
          <w:tcPr>
            <w:tcW w:w="0" w:type="auto"/>
            <w:shd w:val="clear" w:color="auto" w:fill="auto"/>
            <w:noWrap w:val="0"/>
            <w:vAlign w:val="center"/>
          </w:tcPr>
          <w:p w14:paraId="5D0A47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39781BA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39</w:t>
            </w:r>
          </w:p>
        </w:tc>
        <w:tc>
          <w:tcPr>
            <w:tcW w:w="0" w:type="auto"/>
            <w:shd w:val="clear" w:color="auto" w:fill="auto"/>
            <w:noWrap w:val="0"/>
            <w:vAlign w:val="center"/>
          </w:tcPr>
          <w:p w14:paraId="04B2AE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1C78B5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251D7F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EDF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noWrap w:val="0"/>
            <w:vAlign w:val="center"/>
          </w:tcPr>
          <w:p w14:paraId="66A318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0" w:type="auto"/>
            <w:vMerge w:val="continue"/>
            <w:noWrap w:val="0"/>
            <w:vAlign w:val="center"/>
          </w:tcPr>
          <w:p w14:paraId="316491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2C09A2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推（门）</w:t>
            </w:r>
          </w:p>
        </w:tc>
        <w:tc>
          <w:tcPr>
            <w:tcW w:w="1655" w:type="dxa"/>
            <w:shd w:val="clear" w:color="auto" w:fill="auto"/>
            <w:noWrap w:val="0"/>
            <w:vAlign w:val="center"/>
          </w:tcPr>
          <w:p w14:paraId="53B3EAF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15x15cm</w:t>
            </w:r>
          </w:p>
        </w:tc>
        <w:tc>
          <w:tcPr>
            <w:tcW w:w="0" w:type="auto"/>
            <w:shd w:val="clear" w:color="auto" w:fill="auto"/>
            <w:noWrap w:val="0"/>
            <w:vAlign w:val="center"/>
          </w:tcPr>
          <w:p w14:paraId="6A4E93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6EA0BD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300</w:t>
            </w:r>
          </w:p>
        </w:tc>
        <w:tc>
          <w:tcPr>
            <w:tcW w:w="0" w:type="auto"/>
            <w:shd w:val="clear" w:color="auto" w:fill="auto"/>
            <w:noWrap w:val="0"/>
            <w:vAlign w:val="center"/>
          </w:tcPr>
          <w:p w14:paraId="1EABCD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c>
          <w:tcPr>
            <w:tcW w:w="0" w:type="auto"/>
            <w:shd w:val="clear" w:color="auto" w:fill="auto"/>
            <w:noWrap w:val="0"/>
            <w:vAlign w:val="center"/>
          </w:tcPr>
          <w:p w14:paraId="255F4E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3298AF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25A9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0" w:type="auto"/>
            <w:noWrap w:val="0"/>
            <w:vAlign w:val="center"/>
          </w:tcPr>
          <w:p w14:paraId="45B378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0" w:type="auto"/>
            <w:vMerge w:val="continue"/>
            <w:noWrap w:val="0"/>
            <w:vAlign w:val="center"/>
          </w:tcPr>
          <w:p w14:paraId="5DF1CA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0197FE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拉（门）</w:t>
            </w:r>
          </w:p>
        </w:tc>
        <w:tc>
          <w:tcPr>
            <w:tcW w:w="1655" w:type="dxa"/>
            <w:shd w:val="clear" w:color="auto" w:fill="auto"/>
            <w:noWrap w:val="0"/>
            <w:vAlign w:val="center"/>
          </w:tcPr>
          <w:p w14:paraId="57E940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15x15cm</w:t>
            </w:r>
          </w:p>
        </w:tc>
        <w:tc>
          <w:tcPr>
            <w:tcW w:w="0" w:type="auto"/>
            <w:shd w:val="clear" w:color="auto" w:fill="auto"/>
            <w:noWrap w:val="0"/>
            <w:vAlign w:val="center"/>
          </w:tcPr>
          <w:p w14:paraId="1ED536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亚克力底板背面丝印</w:t>
            </w:r>
          </w:p>
        </w:tc>
        <w:tc>
          <w:tcPr>
            <w:tcW w:w="0" w:type="auto"/>
            <w:shd w:val="clear" w:color="auto" w:fill="auto"/>
            <w:noWrap w:val="0"/>
            <w:vAlign w:val="center"/>
          </w:tcPr>
          <w:p w14:paraId="5A719CA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300</w:t>
            </w:r>
          </w:p>
        </w:tc>
        <w:tc>
          <w:tcPr>
            <w:tcW w:w="0" w:type="auto"/>
            <w:shd w:val="clear" w:color="auto" w:fill="auto"/>
            <w:noWrap w:val="0"/>
            <w:vAlign w:val="center"/>
          </w:tcPr>
          <w:p w14:paraId="30FA1E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个</w:t>
            </w:r>
          </w:p>
        </w:tc>
        <w:tc>
          <w:tcPr>
            <w:tcW w:w="0" w:type="auto"/>
            <w:shd w:val="clear" w:color="auto" w:fill="auto"/>
            <w:noWrap w:val="0"/>
            <w:vAlign w:val="center"/>
          </w:tcPr>
          <w:p w14:paraId="36F256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156F5C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9C8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0" w:type="auto"/>
            <w:noWrap w:val="0"/>
            <w:vAlign w:val="center"/>
          </w:tcPr>
          <w:p w14:paraId="51B28D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0" w:type="auto"/>
            <w:vMerge w:val="continue"/>
            <w:noWrap w:val="0"/>
            <w:vAlign w:val="center"/>
          </w:tcPr>
          <w:p w14:paraId="0ED252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shd w:val="clear" w:color="auto" w:fill="auto"/>
            <w:noWrap w:val="0"/>
            <w:vAlign w:val="center"/>
          </w:tcPr>
          <w:p w14:paraId="29F2C2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总服务台</w:t>
            </w:r>
          </w:p>
        </w:tc>
        <w:tc>
          <w:tcPr>
            <w:tcW w:w="1655" w:type="dxa"/>
            <w:shd w:val="clear" w:color="auto" w:fill="auto"/>
            <w:noWrap w:val="0"/>
            <w:vAlign w:val="center"/>
          </w:tcPr>
          <w:p w14:paraId="590937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15x38cm</w:t>
            </w:r>
          </w:p>
        </w:tc>
        <w:tc>
          <w:tcPr>
            <w:tcW w:w="0" w:type="auto"/>
            <w:shd w:val="clear" w:color="auto" w:fill="auto"/>
            <w:noWrap w:val="0"/>
            <w:vAlign w:val="center"/>
          </w:tcPr>
          <w:p w14:paraId="4C7349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不锈钢烤漆，立体字</w:t>
            </w:r>
          </w:p>
        </w:tc>
        <w:tc>
          <w:tcPr>
            <w:tcW w:w="0" w:type="auto"/>
            <w:shd w:val="clear" w:color="auto" w:fill="auto"/>
            <w:noWrap w:val="0"/>
            <w:vAlign w:val="center"/>
          </w:tcPr>
          <w:p w14:paraId="7CA054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0" w:type="auto"/>
            <w:shd w:val="clear" w:color="auto" w:fill="auto"/>
            <w:noWrap w:val="0"/>
            <w:vAlign w:val="center"/>
          </w:tcPr>
          <w:p w14:paraId="7DE304B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4B94ABD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7E25B4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9F2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gridSpan w:val="9"/>
            <w:noWrap w:val="0"/>
            <w:vAlign w:val="center"/>
          </w:tcPr>
          <w:p w14:paraId="507729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二、消防栓、防火门美化</w:t>
            </w:r>
          </w:p>
        </w:tc>
      </w:tr>
      <w:tr w14:paraId="74F9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0" w:type="auto"/>
            <w:noWrap w:val="0"/>
            <w:vAlign w:val="center"/>
          </w:tcPr>
          <w:p w14:paraId="468B4F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49</w:t>
            </w:r>
          </w:p>
        </w:tc>
        <w:tc>
          <w:tcPr>
            <w:tcW w:w="0" w:type="auto"/>
            <w:vMerge w:val="restart"/>
            <w:noWrap w:val="0"/>
            <w:vAlign w:val="center"/>
          </w:tcPr>
          <w:p w14:paraId="755F26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写字楼内部各楼层</w:t>
            </w:r>
          </w:p>
        </w:tc>
        <w:tc>
          <w:tcPr>
            <w:tcW w:w="1381" w:type="dxa"/>
            <w:shd w:val="clear" w:color="auto" w:fill="auto"/>
            <w:noWrap w:val="0"/>
            <w:vAlign w:val="center"/>
          </w:tcPr>
          <w:p w14:paraId="69BFAE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消防栓</w:t>
            </w:r>
          </w:p>
        </w:tc>
        <w:tc>
          <w:tcPr>
            <w:tcW w:w="1655" w:type="dxa"/>
            <w:shd w:val="clear" w:color="auto" w:fill="auto"/>
            <w:noWrap w:val="0"/>
            <w:vAlign w:val="center"/>
          </w:tcPr>
          <w:p w14:paraId="1A114A8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80x65cm</w:t>
            </w:r>
          </w:p>
        </w:tc>
        <w:tc>
          <w:tcPr>
            <w:tcW w:w="0" w:type="auto"/>
            <w:shd w:val="clear" w:color="auto" w:fill="auto"/>
            <w:noWrap w:val="0"/>
            <w:vAlign w:val="center"/>
          </w:tcPr>
          <w:p w14:paraId="0B90BE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pvcuv打印木纹</w:t>
            </w:r>
          </w:p>
          <w:p w14:paraId="0F8F36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包黑边</w:t>
            </w:r>
          </w:p>
        </w:tc>
        <w:tc>
          <w:tcPr>
            <w:tcW w:w="0" w:type="auto"/>
            <w:shd w:val="clear" w:color="auto" w:fill="auto"/>
            <w:noWrap w:val="0"/>
            <w:vAlign w:val="center"/>
          </w:tcPr>
          <w:p w14:paraId="7C7D5B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88</w:t>
            </w:r>
          </w:p>
        </w:tc>
        <w:tc>
          <w:tcPr>
            <w:tcW w:w="0" w:type="auto"/>
            <w:shd w:val="clear" w:color="auto" w:fill="auto"/>
            <w:noWrap w:val="0"/>
            <w:vAlign w:val="center"/>
          </w:tcPr>
          <w:p w14:paraId="6BFA7E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16D174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559B8C5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4388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0" w:type="auto"/>
            <w:vMerge w:val="restart"/>
            <w:noWrap w:val="0"/>
            <w:vAlign w:val="center"/>
          </w:tcPr>
          <w:p w14:paraId="0EA5E1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w:t>
            </w:r>
          </w:p>
        </w:tc>
        <w:tc>
          <w:tcPr>
            <w:tcW w:w="0" w:type="auto"/>
            <w:vMerge w:val="continue"/>
            <w:noWrap w:val="0"/>
            <w:vAlign w:val="center"/>
          </w:tcPr>
          <w:p w14:paraId="219AF6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vMerge w:val="restart"/>
            <w:shd w:val="clear" w:color="auto" w:fill="auto"/>
            <w:noWrap w:val="0"/>
            <w:vAlign w:val="center"/>
          </w:tcPr>
          <w:p w14:paraId="286FCFE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防火门</w:t>
            </w:r>
          </w:p>
        </w:tc>
        <w:tc>
          <w:tcPr>
            <w:tcW w:w="1655" w:type="dxa"/>
            <w:shd w:val="clear" w:color="auto" w:fill="auto"/>
            <w:noWrap w:val="0"/>
            <w:vAlign w:val="center"/>
          </w:tcPr>
          <w:p w14:paraId="156502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210x137cm</w:t>
            </w:r>
          </w:p>
        </w:tc>
        <w:tc>
          <w:tcPr>
            <w:tcW w:w="0" w:type="auto"/>
            <w:vMerge w:val="restart"/>
            <w:shd w:val="clear" w:color="auto" w:fill="auto"/>
            <w:noWrap w:val="0"/>
            <w:vAlign w:val="center"/>
          </w:tcPr>
          <w:p w14:paraId="79F12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pvcuv打印木纹</w:t>
            </w:r>
          </w:p>
          <w:p w14:paraId="6D7720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包黑边</w:t>
            </w:r>
          </w:p>
        </w:tc>
        <w:tc>
          <w:tcPr>
            <w:tcW w:w="0" w:type="auto"/>
            <w:shd w:val="clear" w:color="auto" w:fill="auto"/>
            <w:noWrap w:val="0"/>
            <w:vAlign w:val="center"/>
          </w:tcPr>
          <w:p w14:paraId="7BD55F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0" w:type="auto"/>
            <w:shd w:val="clear" w:color="auto" w:fill="auto"/>
            <w:noWrap w:val="0"/>
            <w:vAlign w:val="center"/>
          </w:tcPr>
          <w:p w14:paraId="2F80FE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0" w:type="auto"/>
            <w:shd w:val="clear" w:color="auto" w:fill="auto"/>
            <w:noWrap w:val="0"/>
            <w:vAlign w:val="center"/>
          </w:tcPr>
          <w:p w14:paraId="62A091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shd w:val="clear" w:color="auto" w:fill="auto"/>
            <w:noWrap w:val="0"/>
            <w:vAlign w:val="center"/>
          </w:tcPr>
          <w:p w14:paraId="2F5E331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0F46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0" w:type="auto"/>
            <w:vMerge w:val="continue"/>
            <w:noWrap w:val="0"/>
            <w:vAlign w:val="center"/>
          </w:tcPr>
          <w:p w14:paraId="24A279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p>
        </w:tc>
        <w:tc>
          <w:tcPr>
            <w:tcW w:w="0" w:type="auto"/>
            <w:vMerge w:val="continue"/>
            <w:noWrap w:val="0"/>
            <w:vAlign w:val="center"/>
          </w:tcPr>
          <w:p w14:paraId="5E1F8B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rPr>
            </w:pPr>
          </w:p>
        </w:tc>
        <w:tc>
          <w:tcPr>
            <w:tcW w:w="1381" w:type="dxa"/>
            <w:vMerge w:val="continue"/>
            <w:shd w:val="clear" w:color="auto" w:fill="auto"/>
            <w:noWrap w:val="0"/>
            <w:vAlign w:val="center"/>
          </w:tcPr>
          <w:p w14:paraId="366343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rPr>
            </w:pPr>
          </w:p>
        </w:tc>
        <w:tc>
          <w:tcPr>
            <w:tcW w:w="1655" w:type="dxa"/>
            <w:shd w:val="clear" w:color="auto" w:fill="auto"/>
            <w:noWrap w:val="0"/>
            <w:vAlign w:val="center"/>
          </w:tcPr>
          <w:p w14:paraId="57144A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196x113cm</w:t>
            </w:r>
          </w:p>
        </w:tc>
        <w:tc>
          <w:tcPr>
            <w:tcW w:w="0" w:type="auto"/>
            <w:vMerge w:val="continue"/>
            <w:shd w:val="clear" w:color="auto" w:fill="auto"/>
            <w:noWrap w:val="0"/>
            <w:vAlign w:val="center"/>
          </w:tcPr>
          <w:p w14:paraId="34F19C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4A17F1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0" w:type="auto"/>
            <w:shd w:val="clear" w:color="auto" w:fill="auto"/>
            <w:noWrap w:val="0"/>
            <w:vAlign w:val="center"/>
          </w:tcPr>
          <w:p w14:paraId="4BF79B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2F74BD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7FAE5B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666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noWrap w:val="0"/>
            <w:vAlign w:val="center"/>
          </w:tcPr>
          <w:p w14:paraId="474135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vMerge w:val="continue"/>
            <w:noWrap w:val="0"/>
            <w:vAlign w:val="center"/>
          </w:tcPr>
          <w:p w14:paraId="26E8F0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vMerge w:val="continue"/>
            <w:shd w:val="clear" w:color="auto" w:fill="auto"/>
            <w:noWrap w:val="0"/>
            <w:vAlign w:val="center"/>
          </w:tcPr>
          <w:p w14:paraId="6A3F37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655" w:type="dxa"/>
            <w:shd w:val="clear" w:color="auto" w:fill="auto"/>
            <w:noWrap w:val="0"/>
            <w:vAlign w:val="center"/>
          </w:tcPr>
          <w:p w14:paraId="0A020C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190x73cm</w:t>
            </w:r>
          </w:p>
        </w:tc>
        <w:tc>
          <w:tcPr>
            <w:tcW w:w="0" w:type="auto"/>
            <w:vMerge w:val="continue"/>
            <w:shd w:val="clear" w:color="auto" w:fill="auto"/>
            <w:noWrap w:val="0"/>
            <w:vAlign w:val="center"/>
          </w:tcPr>
          <w:p w14:paraId="67BC34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2C0488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0" w:type="auto"/>
            <w:shd w:val="clear" w:color="auto" w:fill="auto"/>
            <w:noWrap w:val="0"/>
            <w:vAlign w:val="center"/>
          </w:tcPr>
          <w:p w14:paraId="462A17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720B99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71B65F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6DF6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noWrap w:val="0"/>
            <w:vAlign w:val="center"/>
          </w:tcPr>
          <w:p w14:paraId="37BD22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vMerge w:val="continue"/>
            <w:noWrap w:val="0"/>
            <w:vAlign w:val="center"/>
          </w:tcPr>
          <w:p w14:paraId="71DE8D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vMerge w:val="continue"/>
            <w:shd w:val="clear" w:color="auto" w:fill="auto"/>
            <w:noWrap w:val="0"/>
            <w:vAlign w:val="center"/>
          </w:tcPr>
          <w:p w14:paraId="1D7D24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655" w:type="dxa"/>
            <w:shd w:val="clear" w:color="auto" w:fill="auto"/>
            <w:noWrap w:val="0"/>
            <w:vAlign w:val="center"/>
          </w:tcPr>
          <w:p w14:paraId="1364E9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214x137cm</w:t>
            </w:r>
          </w:p>
        </w:tc>
        <w:tc>
          <w:tcPr>
            <w:tcW w:w="0" w:type="auto"/>
            <w:vMerge w:val="continue"/>
            <w:shd w:val="clear" w:color="auto" w:fill="auto"/>
            <w:noWrap w:val="0"/>
            <w:vAlign w:val="center"/>
          </w:tcPr>
          <w:p w14:paraId="53E83F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48F92C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0" w:type="auto"/>
            <w:shd w:val="clear" w:color="auto" w:fill="auto"/>
            <w:noWrap w:val="0"/>
            <w:vAlign w:val="center"/>
          </w:tcPr>
          <w:p w14:paraId="79695A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692592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3E7EB5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29FB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noWrap w:val="0"/>
            <w:vAlign w:val="center"/>
          </w:tcPr>
          <w:p w14:paraId="56C3AE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0" w:type="auto"/>
            <w:vMerge w:val="continue"/>
            <w:noWrap w:val="0"/>
            <w:vAlign w:val="center"/>
          </w:tcPr>
          <w:p w14:paraId="74766B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c>
          <w:tcPr>
            <w:tcW w:w="1381" w:type="dxa"/>
            <w:vMerge w:val="continue"/>
            <w:shd w:val="clear" w:color="auto" w:fill="auto"/>
            <w:noWrap w:val="0"/>
            <w:vAlign w:val="center"/>
          </w:tcPr>
          <w:p w14:paraId="3F783C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1655" w:type="dxa"/>
            <w:shd w:val="clear" w:color="auto" w:fill="auto"/>
            <w:noWrap w:val="0"/>
            <w:vAlign w:val="center"/>
          </w:tcPr>
          <w:p w14:paraId="4834203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213x134cm</w:t>
            </w:r>
          </w:p>
        </w:tc>
        <w:tc>
          <w:tcPr>
            <w:tcW w:w="0" w:type="auto"/>
            <w:vMerge w:val="continue"/>
            <w:shd w:val="clear" w:color="auto" w:fill="auto"/>
            <w:noWrap w:val="0"/>
            <w:vAlign w:val="center"/>
          </w:tcPr>
          <w:p w14:paraId="5FA57C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77606FA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0" w:type="auto"/>
            <w:shd w:val="clear" w:color="auto" w:fill="auto"/>
            <w:noWrap w:val="0"/>
            <w:vAlign w:val="center"/>
          </w:tcPr>
          <w:p w14:paraId="57F228A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块</w:t>
            </w:r>
          </w:p>
        </w:tc>
        <w:tc>
          <w:tcPr>
            <w:tcW w:w="0" w:type="auto"/>
            <w:shd w:val="clear" w:color="auto" w:fill="auto"/>
            <w:noWrap w:val="0"/>
            <w:vAlign w:val="center"/>
          </w:tcPr>
          <w:p w14:paraId="299294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highlight w:val="none"/>
                <w:lang w:val="en-US" w:eastAsia="zh-CN"/>
              </w:rPr>
            </w:pPr>
          </w:p>
        </w:tc>
        <w:tc>
          <w:tcPr>
            <w:tcW w:w="0" w:type="auto"/>
            <w:shd w:val="clear" w:color="auto" w:fill="auto"/>
            <w:noWrap w:val="0"/>
            <w:vAlign w:val="center"/>
          </w:tcPr>
          <w:p w14:paraId="3069ABD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r w14:paraId="1746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gridSpan w:val="8"/>
            <w:noWrap w:val="0"/>
            <w:vAlign w:val="center"/>
          </w:tcPr>
          <w:p w14:paraId="694FF8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b/>
                <w:bCs/>
                <w:sz w:val="18"/>
                <w:szCs w:val="18"/>
              </w:rPr>
              <w:t>不含税总价（元）</w:t>
            </w:r>
          </w:p>
        </w:tc>
        <w:tc>
          <w:tcPr>
            <w:tcW w:w="0" w:type="auto"/>
            <w:shd w:val="clear" w:color="auto" w:fill="auto"/>
            <w:noWrap w:val="0"/>
            <w:vAlign w:val="center"/>
          </w:tcPr>
          <w:p w14:paraId="3A2ADCC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21"/>
                <w:szCs w:val="21"/>
                <w:lang w:val="en-US" w:eastAsia="zh-CN"/>
              </w:rPr>
            </w:pPr>
          </w:p>
        </w:tc>
      </w:tr>
    </w:tbl>
    <w:p w14:paraId="2903748B">
      <w:pPr>
        <w:spacing w:line="360" w:lineRule="auto"/>
        <w:rPr>
          <w:szCs w:val="21"/>
        </w:rPr>
      </w:pPr>
      <w:r>
        <w:rPr>
          <w:szCs w:val="21"/>
        </w:rPr>
        <w:t>备注：此表为报价表之明细表，如果本报价明细累计与报价表内</w:t>
      </w:r>
      <w:r>
        <w:rPr>
          <w:rFonts w:hint="eastAsia"/>
          <w:szCs w:val="21"/>
        </w:rPr>
        <w:t>总</w:t>
      </w:r>
      <w:r>
        <w:rPr>
          <w:szCs w:val="21"/>
        </w:rPr>
        <w:t>报价不符时，以报价表为准，修正本报价明细。</w:t>
      </w:r>
    </w:p>
    <w:p w14:paraId="2CD8BB78">
      <w:pPr>
        <w:rPr>
          <w:rFonts w:hint="eastAsia" w:ascii="宋体" w:hAnsi="宋体"/>
          <w:b/>
          <w:color w:val="auto"/>
          <w:sz w:val="28"/>
          <w:highlight w:val="none"/>
          <w:lang w:val="zh-CN"/>
        </w:rPr>
      </w:pPr>
      <w:bookmarkStart w:id="183" w:name="_GoBack"/>
      <w:bookmarkEnd w:id="183"/>
    </w:p>
    <w:bookmarkEnd w:id="120"/>
    <w:bookmarkEnd w:id="121"/>
    <w:bookmarkEnd w:id="122"/>
    <w:p w14:paraId="14876C7B">
      <w:pPr>
        <w:pStyle w:val="3"/>
        <w:pageBreakBefore/>
        <w:spacing w:before="0" w:after="0" w:line="360" w:lineRule="auto"/>
        <w:jc w:val="center"/>
        <w:rPr>
          <w:rFonts w:hint="eastAsia" w:ascii="宋体" w:hAnsi="宋体" w:eastAsia="宋体"/>
          <w:color w:val="auto"/>
          <w:sz w:val="36"/>
          <w:szCs w:val="36"/>
          <w:highlight w:val="none"/>
          <w:lang w:val="en-US" w:eastAsia="zh-CN"/>
        </w:rPr>
      </w:pPr>
      <w:bookmarkStart w:id="123" w:name="_Toc2353"/>
      <w:bookmarkStart w:id="124" w:name="_Toc25342"/>
      <w:bookmarkStart w:id="125" w:name="_Toc18720"/>
      <w:bookmarkStart w:id="126" w:name="_Toc26644"/>
      <w:bookmarkStart w:id="127" w:name="_Toc27788"/>
      <w:bookmarkStart w:id="128" w:name="_Toc8153"/>
      <w:bookmarkStart w:id="129" w:name="_Toc12569"/>
      <w:bookmarkStart w:id="130" w:name="_Toc79146599"/>
      <w:bookmarkStart w:id="131" w:name="_Toc56076625"/>
      <w:bookmarkStart w:id="132" w:name="_Toc54334008"/>
      <w:bookmarkStart w:id="133" w:name="_Toc7650"/>
      <w:bookmarkStart w:id="134" w:name="_Toc34746362"/>
      <w:bookmarkStart w:id="135" w:name="_Toc34746054"/>
      <w:bookmarkStart w:id="136" w:name="_Toc34752517"/>
      <w:bookmarkStart w:id="137" w:name="_Toc34745987"/>
      <w:bookmarkStart w:id="138" w:name="_Toc21467"/>
      <w:r>
        <w:rPr>
          <w:rFonts w:hint="eastAsia" w:ascii="宋体" w:hAnsi="宋体" w:eastAsia="宋体"/>
          <w:color w:val="auto"/>
          <w:sz w:val="36"/>
          <w:szCs w:val="36"/>
          <w:highlight w:val="none"/>
          <w:lang w:val="en-US" w:eastAsia="zh-CN"/>
        </w:rPr>
        <w:t>2、报价人资格证明文件</w:t>
      </w:r>
      <w:bookmarkEnd w:id="123"/>
      <w:bookmarkEnd w:id="124"/>
      <w:bookmarkEnd w:id="125"/>
      <w:bookmarkEnd w:id="126"/>
      <w:bookmarkEnd w:id="127"/>
      <w:bookmarkEnd w:id="128"/>
      <w:bookmarkEnd w:id="129"/>
      <w:bookmarkEnd w:id="130"/>
      <w:bookmarkEnd w:id="131"/>
      <w:bookmarkEnd w:id="132"/>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39" w:name="_Toc54334011"/>
      <w:bookmarkStart w:id="140" w:name="_Toc1123955"/>
      <w:bookmarkStart w:id="141" w:name="_Toc19008829"/>
      <w:bookmarkStart w:id="142" w:name="_Toc521918126"/>
      <w:bookmarkStart w:id="143" w:name="_Toc522047385"/>
      <w:bookmarkStart w:id="144" w:name="_Toc79146602"/>
      <w:bookmarkStart w:id="145" w:name="_Toc521576305"/>
      <w:bookmarkStart w:id="146" w:name="_Toc519153444"/>
      <w:bookmarkStart w:id="147" w:name="_Toc532576769"/>
      <w:bookmarkStart w:id="148" w:name="_Toc521918323"/>
      <w:bookmarkStart w:id="149" w:name="_Toc40288703"/>
      <w:bookmarkStart w:id="150" w:name="_Toc5098073"/>
      <w:bookmarkStart w:id="151" w:name="_Toc38982594"/>
      <w:bookmarkStart w:id="152" w:name="_Toc56076628"/>
      <w:r>
        <w:rPr>
          <w:rFonts w:hint="eastAsia" w:ascii="宋体" w:hAnsi="宋体" w:eastAsia="宋体"/>
          <w:color w:val="auto"/>
          <w:sz w:val="28"/>
          <w:szCs w:val="28"/>
          <w:highlight w:val="none"/>
          <w:lang w:val="en-US" w:eastAsia="zh-CN"/>
        </w:rPr>
        <w:t xml:space="preserve">2.2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olor w:val="auto"/>
          <w:sz w:val="28"/>
          <w:szCs w:val="28"/>
          <w:highlight w:val="none"/>
          <w:lang w:val="en-US" w:eastAsia="zh-CN"/>
        </w:rPr>
        <w:t>资格业绩【报价人2022年1月1日以来具有一项标识牌或导视牌或广告牌或宣传牌供货业绩（合同签订日期为2022年1月1日或以后）】</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53" w:name="_Toc24862"/>
      <w:bookmarkStart w:id="154" w:name="_Toc12931"/>
      <w:bookmarkStart w:id="155" w:name="_Toc20010"/>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合同供货内容必须含标识牌或导视牌或广告牌或宣传牌</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53"/>
      <w:bookmarkEnd w:id="154"/>
      <w:bookmarkEnd w:id="155"/>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56" w:name="_Toc21843"/>
      <w:bookmarkStart w:id="157" w:name="_Toc8121"/>
      <w:bookmarkStart w:id="158" w:name="_Toc7508"/>
      <w:bookmarkStart w:id="159" w:name="_Toc5098074"/>
      <w:bookmarkStart w:id="160" w:name="_Toc532576770"/>
      <w:bookmarkStart w:id="161" w:name="_Toc38982595"/>
      <w:bookmarkStart w:id="162" w:name="_Toc54334012"/>
      <w:bookmarkStart w:id="163" w:name="_Toc521576306"/>
      <w:bookmarkStart w:id="164" w:name="_Toc522047386"/>
      <w:bookmarkStart w:id="165" w:name="_Toc1123957"/>
      <w:bookmarkStart w:id="166" w:name="_Toc56076629"/>
      <w:bookmarkStart w:id="167" w:name="_Toc521918127"/>
      <w:bookmarkStart w:id="168" w:name="_Toc521918324"/>
      <w:bookmarkStart w:id="169" w:name="_Toc79146603"/>
      <w:bookmarkStart w:id="170" w:name="_Toc19008830"/>
      <w:bookmarkStart w:id="171" w:name="_Toc40288704"/>
      <w:r>
        <w:rPr>
          <w:rFonts w:hint="eastAsia" w:ascii="宋体" w:hAnsi="宋体" w:eastAsia="宋体" w:cs="Times New Roman"/>
          <w:b/>
          <w:color w:val="auto"/>
          <w:kern w:val="0"/>
          <w:sz w:val="28"/>
          <w:szCs w:val="28"/>
          <w:highlight w:val="none"/>
          <w:lang w:val="en-US" w:eastAsia="zh-CN" w:bidi="ar-SA"/>
        </w:rPr>
        <w:t>2.3 最近3年供应商牵涉的其他（失信和违法）处罚说明格式</w:t>
      </w:r>
      <w:bookmarkEnd w:id="156"/>
      <w:bookmarkEnd w:id="157"/>
      <w:bookmarkEnd w:id="158"/>
    </w:p>
    <w:bookmarkEnd w:id="159"/>
    <w:bookmarkEnd w:id="160"/>
    <w:bookmarkEnd w:id="161"/>
    <w:bookmarkEnd w:id="162"/>
    <w:bookmarkEnd w:id="163"/>
    <w:bookmarkEnd w:id="164"/>
    <w:bookmarkEnd w:id="165"/>
    <w:bookmarkEnd w:id="166"/>
    <w:bookmarkEnd w:id="167"/>
    <w:bookmarkEnd w:id="168"/>
    <w:bookmarkEnd w:id="169"/>
    <w:bookmarkEnd w:id="170"/>
    <w:bookmarkEnd w:id="171"/>
    <w:p w14:paraId="7EB23D0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w:t>
      </w:r>
      <w:r>
        <w:rPr>
          <w:rFonts w:hint="eastAsia" w:ascii="宋体" w:hAnsi="宋体" w:cs="Times New Roman"/>
          <w:b/>
          <w:color w:val="auto"/>
          <w:kern w:val="0"/>
          <w:sz w:val="28"/>
          <w:szCs w:val="28"/>
          <w:highlight w:val="none"/>
          <w:lang w:val="en-US" w:eastAsia="zh-CN" w:bidi="ar-SA"/>
        </w:rPr>
        <w:t>报价人</w:t>
      </w:r>
      <w:r>
        <w:rPr>
          <w:rFonts w:hint="eastAsia" w:ascii="宋体" w:hAnsi="宋体" w:eastAsia="宋体" w:cs="Times New Roman"/>
          <w:b/>
          <w:color w:val="auto"/>
          <w:kern w:val="0"/>
          <w:sz w:val="28"/>
          <w:szCs w:val="28"/>
          <w:highlight w:val="none"/>
          <w:lang w:val="en-US" w:eastAsia="zh-CN" w:bidi="ar-SA"/>
        </w:rPr>
        <w:t>牵涉的其他（失信和违法）</w:t>
      </w:r>
      <w:r>
        <w:rPr>
          <w:rFonts w:hint="eastAsia" w:ascii="宋体" w:hAnsi="宋体" w:eastAsia="宋体" w:cs="Times New Roman"/>
          <w:b/>
          <w:color w:val="auto"/>
          <w:kern w:val="0"/>
          <w:sz w:val="28"/>
          <w:szCs w:val="28"/>
          <w:highlight w:val="none"/>
          <w:lang w:val="zh-CN" w:eastAsia="zh-CN" w:bidi="ar-SA"/>
        </w:rPr>
        <w:t>处罚说明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2FD3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0E16CA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73A145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9B8A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66568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679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470F8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D8A5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5278F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43327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66C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415B51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1BFC6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3312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51153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30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052091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7AF4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AA2C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19056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3B08813F">
      <w:pPr>
        <w:spacing w:line="360" w:lineRule="auto"/>
        <w:rPr>
          <w:rFonts w:hint="eastAsia" w:ascii="宋体" w:hAnsi="宋体" w:eastAsia="宋体" w:cs="宋体"/>
          <w:color w:val="auto"/>
          <w:sz w:val="21"/>
          <w:szCs w:val="21"/>
          <w:highlight w:val="none"/>
          <w:shd w:val="clear" w:color="auto" w:fill="FFFFFF"/>
        </w:rPr>
      </w:pPr>
    </w:p>
    <w:p w14:paraId="4B2F3862">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【请提供“信用中国”网站（www.creditchina.gov.cn）专项查询结果截图佐证】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783049EE">
      <w:pPr>
        <w:spacing w:after="120" w:line="360" w:lineRule="auto"/>
        <w:ind w:firstLine="5040" w:firstLineChars="2400"/>
        <w:rPr>
          <w:rFonts w:hint="eastAsia"/>
          <w:color w:val="auto"/>
          <w:highlight w:val="none"/>
          <w:lang w:val="zh-CN"/>
        </w:rPr>
      </w:pPr>
    </w:p>
    <w:p w14:paraId="22D198E6">
      <w:pPr>
        <w:spacing w:after="120" w:line="360" w:lineRule="auto"/>
        <w:ind w:firstLine="5040" w:firstLineChars="2400"/>
        <w:rPr>
          <w:rFonts w:hint="eastAsia"/>
          <w:color w:val="auto"/>
          <w:highlight w:val="none"/>
          <w:lang w:val="zh-CN"/>
        </w:rPr>
      </w:pPr>
    </w:p>
    <w:p w14:paraId="4792C645">
      <w:pPr>
        <w:spacing w:after="120" w:line="360" w:lineRule="auto"/>
        <w:ind w:firstLine="5040" w:firstLineChars="2400"/>
        <w:rPr>
          <w:rFonts w:hint="eastAsia"/>
          <w:color w:val="auto"/>
          <w:highlight w:val="none"/>
          <w:lang w:val="zh-CN"/>
        </w:rPr>
      </w:pPr>
    </w:p>
    <w:p w14:paraId="49D76F0C">
      <w:pPr>
        <w:spacing w:after="120" w:line="360" w:lineRule="auto"/>
        <w:ind w:firstLine="5040" w:firstLineChars="2400"/>
        <w:rPr>
          <w:color w:val="auto"/>
          <w:highlight w:val="none"/>
          <w:lang w:val="zh-CN"/>
        </w:rPr>
      </w:pPr>
      <w:r>
        <w:rPr>
          <w:rFonts w:hint="eastAsia"/>
          <w:color w:val="auto"/>
          <w:highlight w:val="none"/>
          <w:lang w:val="zh-CN"/>
        </w:rPr>
        <w:t>报价人：（加盖报价人公章）</w:t>
      </w:r>
    </w:p>
    <w:p w14:paraId="715E23CF">
      <w:pPr>
        <w:spacing w:after="120" w:line="360" w:lineRule="auto"/>
        <w:ind w:firstLine="5040" w:firstLineChars="2400"/>
        <w:rPr>
          <w:color w:val="auto"/>
          <w:highlight w:val="none"/>
          <w:lang w:val="zh-CN"/>
        </w:rPr>
      </w:pPr>
      <w:r>
        <w:rPr>
          <w:rFonts w:hint="eastAsia"/>
          <w:color w:val="auto"/>
          <w:highlight w:val="none"/>
          <w:lang w:val="zh-CN"/>
        </w:rPr>
        <w:t>日期：</w:t>
      </w:r>
      <w:r>
        <w:rPr>
          <w:color w:val="auto"/>
          <w:highlight w:val="none"/>
          <w:lang w:val="zh-CN"/>
        </w:rPr>
        <w:t xml:space="preserve">   </w:t>
      </w:r>
      <w:r>
        <w:rPr>
          <w:rFonts w:hint="eastAsia"/>
          <w:color w:val="auto"/>
          <w:highlight w:val="none"/>
          <w:lang w:val="zh-CN"/>
        </w:rPr>
        <w:t>年</w:t>
      </w:r>
      <w:r>
        <w:rPr>
          <w:color w:val="auto"/>
          <w:highlight w:val="none"/>
          <w:lang w:val="zh-CN"/>
        </w:rPr>
        <w:t xml:space="preserve">   </w:t>
      </w:r>
      <w:r>
        <w:rPr>
          <w:rFonts w:hint="eastAsia"/>
          <w:color w:val="auto"/>
          <w:highlight w:val="none"/>
          <w:lang w:val="zh-CN"/>
        </w:rPr>
        <w:t>月</w:t>
      </w:r>
      <w:r>
        <w:rPr>
          <w:color w:val="auto"/>
          <w:highlight w:val="none"/>
          <w:lang w:val="zh-CN"/>
        </w:rPr>
        <w:t xml:space="preserve">   </w:t>
      </w:r>
      <w:r>
        <w:rPr>
          <w:rFonts w:hint="eastAsia"/>
          <w:color w:val="auto"/>
          <w:highlight w:val="none"/>
          <w:lang w:val="zh-CN"/>
        </w:rPr>
        <w:t>日</w:t>
      </w:r>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color w:val="auto"/>
          <w:sz w:val="32"/>
          <w:szCs w:val="32"/>
          <w:highlight w:val="none"/>
          <w:lang w:val="zh-CN"/>
        </w:rPr>
      </w:pPr>
      <w:r>
        <w:rPr>
          <w:rFonts w:hint="eastAsia"/>
          <w:b/>
          <w:color w:val="auto"/>
          <w:sz w:val="32"/>
          <w:szCs w:val="32"/>
          <w:highlight w:val="none"/>
        </w:rPr>
        <w:t>“信用中国”网站专项查询结果截图</w:t>
      </w:r>
      <w:r>
        <w:rPr>
          <w:rFonts w:hint="eastAsia"/>
          <w:color w:val="auto"/>
          <w:sz w:val="32"/>
          <w:szCs w:val="32"/>
          <w:highlight w:val="none"/>
          <w:lang w:val="zh-CN"/>
        </w:rPr>
        <w:t>：</w:t>
      </w:r>
    </w:p>
    <w:p w14:paraId="652C70F9">
      <w:pPr>
        <w:pStyle w:val="3"/>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33"/>
      <w:bookmarkEnd w:id="134"/>
      <w:bookmarkEnd w:id="135"/>
      <w:bookmarkEnd w:id="136"/>
      <w:bookmarkEnd w:id="137"/>
      <w:r>
        <w:rPr>
          <w:rFonts w:hint="eastAsia" w:ascii="宋体" w:hAnsi="宋体" w:eastAsia="宋体"/>
          <w:color w:val="auto"/>
          <w:sz w:val="36"/>
          <w:szCs w:val="36"/>
          <w:highlight w:val="none"/>
          <w:lang w:val="en-US" w:eastAsia="zh-CN"/>
        </w:rPr>
        <w:t>项目响应声明</w:t>
      </w:r>
      <w:bookmarkEnd w:id="138"/>
    </w:p>
    <w:p w14:paraId="3F26B788">
      <w:pPr>
        <w:spacing w:line="360" w:lineRule="auto"/>
        <w:jc w:val="center"/>
        <w:rPr>
          <w:rFonts w:hint="default" w:ascii="宋体" w:hAnsi="宋体" w:eastAsia="宋体"/>
          <w:b/>
          <w:color w:val="auto"/>
          <w:sz w:val="28"/>
          <w:highlight w:val="none"/>
          <w:lang w:val="en-US" w:eastAsia="zh-CN"/>
        </w:rPr>
      </w:pPr>
      <w:bookmarkStart w:id="172" w:name="_Toc534278252"/>
      <w:bookmarkStart w:id="173" w:name="_Toc534701786"/>
      <w:bookmarkStart w:id="174" w:name="_Toc513226437"/>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7"/>
        <w:rPr>
          <w:color w:val="auto"/>
          <w:highlight w:val="none"/>
        </w:rPr>
      </w:pPr>
    </w:p>
    <w:p w14:paraId="75C172E0">
      <w:pPr>
        <w:rPr>
          <w:color w:val="auto"/>
          <w:highlight w:val="none"/>
        </w:rPr>
      </w:pPr>
    </w:p>
    <w:p w14:paraId="58CE9DE8">
      <w:pPr>
        <w:pStyle w:val="7"/>
        <w:rPr>
          <w:color w:val="auto"/>
          <w:highlight w:val="none"/>
        </w:rPr>
      </w:pPr>
    </w:p>
    <w:p w14:paraId="4C1AE91C">
      <w:pPr>
        <w:rPr>
          <w:color w:val="auto"/>
          <w:highlight w:val="none"/>
        </w:rPr>
      </w:pPr>
    </w:p>
    <w:p w14:paraId="6DD778DF">
      <w:pPr>
        <w:pStyle w:val="7"/>
        <w:rPr>
          <w:color w:val="auto"/>
          <w:highlight w:val="none"/>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72"/>
    <w:bookmarkEnd w:id="173"/>
    <w:bookmarkEnd w:id="174"/>
    <w:p w14:paraId="23C23BDE">
      <w:pPr>
        <w:pStyle w:val="3"/>
        <w:pageBreakBefore/>
        <w:spacing w:before="0" w:after="0" w:line="360" w:lineRule="auto"/>
        <w:jc w:val="center"/>
        <w:rPr>
          <w:rFonts w:ascii="宋体" w:hAnsi="宋体"/>
          <w:color w:val="auto"/>
          <w:sz w:val="28"/>
          <w:szCs w:val="28"/>
          <w:highlight w:val="none"/>
        </w:rPr>
      </w:pPr>
      <w:bookmarkStart w:id="175" w:name="_Toc1860"/>
      <w:bookmarkStart w:id="176" w:name="_Toc6377"/>
      <w:bookmarkStart w:id="177" w:name="_Toc34746056"/>
      <w:bookmarkStart w:id="178" w:name="_Toc34746364"/>
      <w:bookmarkStart w:id="179" w:name="_Toc34745989"/>
      <w:bookmarkStart w:id="180" w:name="_Toc34752519"/>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75"/>
      <w:bookmarkEnd w:id="176"/>
    </w:p>
    <w:p w14:paraId="630BBAFB">
      <w:pPr>
        <w:pStyle w:val="7"/>
        <w:spacing w:after="0" w:line="360" w:lineRule="auto"/>
        <w:rPr>
          <w:color w:val="auto"/>
          <w:highlight w:val="none"/>
        </w:rPr>
      </w:pPr>
    </w:p>
    <w:p w14:paraId="11200683">
      <w:pPr>
        <w:pStyle w:val="7"/>
        <w:numPr>
          <w:ilvl w:val="0"/>
          <w:numId w:val="5"/>
        </w:numPr>
        <w:spacing w:after="0" w:line="360" w:lineRule="auto"/>
        <w:ind w:left="0" w:firstLine="0"/>
        <w:rPr>
          <w:color w:val="auto"/>
          <w:highlight w:val="none"/>
        </w:rPr>
      </w:pPr>
      <w:r>
        <w:rPr>
          <w:rFonts w:hint="eastAsia"/>
          <w:color w:val="auto"/>
          <w:highlight w:val="none"/>
        </w:rPr>
        <w:t>总公司授权资料复印件（报价人为分支机构时提供）。</w:t>
      </w:r>
    </w:p>
    <w:p w14:paraId="056F0431">
      <w:pPr>
        <w:pStyle w:val="7"/>
        <w:numPr>
          <w:ilvl w:val="-1"/>
          <w:numId w:val="0"/>
        </w:numPr>
        <w:spacing w:after="0" w:line="360" w:lineRule="auto"/>
        <w:ind w:left="420" w:leftChars="200" w:firstLine="0"/>
        <w:rPr>
          <w:rFonts w:hint="eastAsia"/>
          <w:color w:val="auto"/>
          <w:highlight w:val="none"/>
        </w:rPr>
      </w:pPr>
      <w:r>
        <w:rPr>
          <w:rFonts w:hint="eastAsia"/>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color w:val="auto"/>
          <w:highlight w:val="none"/>
        </w:rPr>
      </w:pPr>
    </w:p>
    <w:p w14:paraId="6C82DFAE">
      <w:pPr>
        <w:pStyle w:val="7"/>
        <w:numPr>
          <w:ilvl w:val="0"/>
          <w:numId w:val="5"/>
        </w:numPr>
        <w:spacing w:after="0" w:line="360" w:lineRule="auto"/>
        <w:rPr>
          <w:color w:val="auto"/>
          <w:highlight w:val="none"/>
        </w:rPr>
      </w:pPr>
      <w:r>
        <w:rPr>
          <w:rFonts w:hint="eastAsia"/>
          <w:color w:val="auto"/>
          <w:highlight w:val="none"/>
        </w:rPr>
        <w:t>开户许可证复印件</w:t>
      </w:r>
      <w:r>
        <w:rPr>
          <w:rFonts w:hint="eastAsia"/>
          <w:bCs/>
          <w:color w:val="auto"/>
          <w:highlight w:val="none"/>
        </w:rPr>
        <w:t>（基本存款账户）</w:t>
      </w:r>
      <w:r>
        <w:rPr>
          <w:rFonts w:hint="eastAsia"/>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color w:val="auto"/>
          <w:highlight w:val="none"/>
        </w:rPr>
      </w:pPr>
    </w:p>
    <w:p w14:paraId="15703CF1">
      <w:pPr>
        <w:pStyle w:val="7"/>
        <w:numPr>
          <w:ilvl w:val="0"/>
          <w:numId w:val="5"/>
        </w:numPr>
        <w:spacing w:after="0" w:line="360" w:lineRule="auto"/>
        <w:rPr>
          <w:color w:val="auto"/>
          <w:highlight w:val="none"/>
        </w:rPr>
      </w:pPr>
      <w:r>
        <w:rPr>
          <w:rFonts w:hint="eastAsia"/>
          <w:color w:val="auto"/>
          <w:highlight w:val="none"/>
        </w:rPr>
        <w:t>纳税人类型证明材料复印件。</w:t>
      </w:r>
    </w:p>
    <w:p w14:paraId="64AE4794">
      <w:pPr>
        <w:pStyle w:val="7"/>
        <w:spacing w:after="0" w:line="360" w:lineRule="auto"/>
        <w:ind w:left="360"/>
        <w:rPr>
          <w:color w:val="auto"/>
          <w:highlight w:val="none"/>
        </w:rPr>
      </w:pPr>
      <w:r>
        <w:rPr>
          <w:rFonts w:hint="eastAsia"/>
          <w:color w:val="auto"/>
          <w:highlight w:val="none"/>
        </w:rPr>
        <w:t>如：税务事项通知书（一般纳税人资格认定）复印件。</w:t>
      </w:r>
    </w:p>
    <w:p w14:paraId="1083D989">
      <w:pPr>
        <w:pStyle w:val="7"/>
        <w:spacing w:after="0" w:line="360" w:lineRule="auto"/>
        <w:ind w:left="360"/>
        <w:rPr>
          <w:color w:val="auto"/>
          <w:highlight w:val="none"/>
        </w:rPr>
      </w:pPr>
    </w:p>
    <w:p w14:paraId="76C61A74">
      <w:pPr>
        <w:pStyle w:val="7"/>
        <w:numPr>
          <w:ilvl w:val="0"/>
          <w:numId w:val="5"/>
        </w:numPr>
        <w:spacing w:after="0" w:line="360" w:lineRule="auto"/>
        <w:ind w:left="360" w:leftChars="0" w:hanging="360" w:firstLineChars="0"/>
        <w:rPr>
          <w:color w:val="auto"/>
          <w:szCs w:val="21"/>
          <w:highlight w:val="none"/>
        </w:rPr>
      </w:pPr>
      <w:r>
        <w:rPr>
          <w:rFonts w:hint="eastAsia"/>
          <w:color w:val="auto"/>
          <w:highlight w:val="none"/>
        </w:rPr>
        <w:t>相关资质、许可证书复印件。</w:t>
      </w:r>
    </w:p>
    <w:p w14:paraId="190214A1">
      <w:pPr>
        <w:pStyle w:val="7"/>
        <w:numPr>
          <w:ilvl w:val="-1"/>
          <w:numId w:val="0"/>
        </w:numPr>
        <w:spacing w:after="0" w:line="360" w:lineRule="auto"/>
        <w:ind w:left="0" w:leftChars="0" w:firstLine="0" w:firstLineChars="0"/>
        <w:rPr>
          <w:color w:val="auto"/>
          <w:szCs w:val="21"/>
          <w:highlight w:val="none"/>
        </w:rPr>
      </w:pPr>
    </w:p>
    <w:p w14:paraId="49CF7AB7">
      <w:pPr>
        <w:pStyle w:val="7"/>
        <w:spacing w:after="0" w:line="360" w:lineRule="auto"/>
        <w:rPr>
          <w:color w:val="auto"/>
          <w:highlight w:val="none"/>
        </w:rPr>
      </w:pPr>
      <w:r>
        <w:rPr>
          <w:rFonts w:hint="eastAsia"/>
          <w:color w:val="auto"/>
          <w:highlight w:val="none"/>
          <w:lang w:val="en-US" w:eastAsia="zh-CN"/>
        </w:rPr>
        <w:t>5、</w:t>
      </w:r>
      <w:r>
        <w:rPr>
          <w:rFonts w:hint="eastAsia"/>
          <w:color w:val="auto"/>
          <w:highlight w:val="none"/>
        </w:rPr>
        <w:t>报价人认为有必要提供证明履约能力的其他材料。</w:t>
      </w:r>
    </w:p>
    <w:p w14:paraId="4169E046">
      <w:pPr>
        <w:pStyle w:val="7"/>
        <w:spacing w:after="0" w:line="360" w:lineRule="auto"/>
        <w:rPr>
          <w:color w:val="auto"/>
          <w:highlight w:val="none"/>
        </w:rPr>
      </w:pPr>
    </w:p>
    <w:p w14:paraId="66292DA7">
      <w:pPr>
        <w:rPr>
          <w:color w:val="auto"/>
          <w:highlight w:val="none"/>
        </w:rPr>
      </w:pPr>
    </w:p>
    <w:p w14:paraId="035280AE">
      <w:pPr>
        <w:pStyle w:val="7"/>
        <w:rPr>
          <w:color w:val="auto"/>
          <w:highlight w:val="none"/>
        </w:rPr>
      </w:pPr>
    </w:p>
    <w:p w14:paraId="21BCD3CE">
      <w:pPr>
        <w:rPr>
          <w:color w:val="auto"/>
          <w:highlight w:val="none"/>
        </w:rPr>
      </w:pPr>
    </w:p>
    <w:p w14:paraId="4B0FF5E6">
      <w:pPr>
        <w:pStyle w:val="7"/>
        <w:rPr>
          <w:color w:val="auto"/>
          <w:highlight w:val="none"/>
        </w:rPr>
      </w:pPr>
    </w:p>
    <w:p w14:paraId="4B2664F6">
      <w:pPr>
        <w:pStyle w:val="7"/>
        <w:rPr>
          <w:color w:val="auto"/>
          <w:highlight w:val="none"/>
        </w:rPr>
      </w:pPr>
    </w:p>
    <w:p w14:paraId="0144F023">
      <w:pPr>
        <w:pStyle w:val="7"/>
        <w:rPr>
          <w:color w:val="auto"/>
          <w:highlight w:val="none"/>
        </w:rPr>
      </w:pPr>
    </w:p>
    <w:p w14:paraId="4769DAF7">
      <w:pPr>
        <w:pStyle w:val="7"/>
        <w:rPr>
          <w:color w:val="auto"/>
          <w:highlight w:val="none"/>
        </w:rPr>
      </w:pPr>
    </w:p>
    <w:p w14:paraId="357627BA">
      <w:pPr>
        <w:pStyle w:val="7"/>
        <w:rPr>
          <w:color w:val="auto"/>
          <w:highlight w:val="none"/>
        </w:rPr>
      </w:pPr>
    </w:p>
    <w:p w14:paraId="57AAFF60">
      <w:pPr>
        <w:pStyle w:val="7"/>
        <w:rPr>
          <w:color w:val="auto"/>
          <w:highlight w:val="none"/>
        </w:rPr>
      </w:pPr>
    </w:p>
    <w:p w14:paraId="0E3C8A50">
      <w:pPr>
        <w:pStyle w:val="7"/>
        <w:rPr>
          <w:color w:val="auto"/>
          <w:highlight w:val="none"/>
        </w:rPr>
      </w:pPr>
    </w:p>
    <w:p w14:paraId="176D1E3C">
      <w:pPr>
        <w:pStyle w:val="8"/>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81" w:name="_Toc20741"/>
      <w:bookmarkStart w:id="182"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81"/>
      <w:bookmarkEnd w:id="182"/>
    </w:p>
    <w:p w14:paraId="1C6687EB">
      <w:pPr>
        <w:pStyle w:val="7"/>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7"/>
        <w:rPr>
          <w:color w:val="auto"/>
          <w:highlight w:val="none"/>
        </w:rPr>
      </w:pPr>
    </w:p>
    <w:bookmarkEnd w:id="177"/>
    <w:bookmarkEnd w:id="178"/>
    <w:bookmarkEnd w:id="179"/>
    <w:bookmarkEnd w:id="180"/>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1C8C7390">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3"/>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3"/>
      <w:framePr w:wrap="around" w:vAnchor="text" w:hAnchor="margin" w:xAlign="center" w:y="1"/>
      <w:jc w:val="center"/>
      <w:rPr>
        <w:rStyle w:val="24"/>
      </w:rPr>
    </w:pPr>
    <w:r>
      <w:fldChar w:fldCharType="begin"/>
    </w:r>
    <w:r>
      <w:rPr>
        <w:rStyle w:val="24"/>
      </w:rPr>
      <w:instrText xml:space="preserve">PAGE  </w:instrText>
    </w:r>
    <w:r>
      <w:fldChar w:fldCharType="end"/>
    </w:r>
  </w:p>
  <w:p w14:paraId="01FDFD46">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4"/>
      <w:rPr>
        <w:rFonts w:hint="eastAsia"/>
        <w:lang w:eastAsia="zh-CN"/>
      </w:rPr>
    </w:pPr>
    <w:r>
      <w:rPr>
        <w:rFonts w:hint="eastAsia"/>
        <w:lang w:eastAsia="zh-CN"/>
      </w:rPr>
      <w:t>东莞市置拓投资有限公司水业大厦标识导向系统及消防栓、防火门美化采购项目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A5E2A"/>
    <w:multiLevelType w:val="singleLevel"/>
    <w:tmpl w:val="D0DA5E2A"/>
    <w:lvl w:ilvl="0" w:tentative="0">
      <w:start w:val="1"/>
      <w:numFmt w:val="upperLetter"/>
      <w:suff w:val="nothing"/>
      <w:lvlText w:val="%1、"/>
      <w:lvlJc w:val="left"/>
    </w:lvl>
  </w:abstractNum>
  <w:abstractNum w:abstractNumId="1">
    <w:nsid w:val="E00C80A5"/>
    <w:multiLevelType w:val="singleLevel"/>
    <w:tmpl w:val="E00C80A5"/>
    <w:lvl w:ilvl="0" w:tentative="0">
      <w:start w:val="8"/>
      <w:numFmt w:val="chineseCounting"/>
      <w:suff w:val="nothing"/>
      <w:lvlText w:val="%1、"/>
      <w:lvlJc w:val="left"/>
      <w:pPr>
        <w:ind w:left="740" w:leftChars="0" w:firstLine="0" w:firstLineChars="0"/>
      </w:pPr>
      <w:rPr>
        <w:rFonts w:hint="eastAsia"/>
      </w:rPr>
    </w:lvl>
  </w:abstractNum>
  <w:abstractNum w:abstractNumId="2">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65B68A"/>
    <w:multiLevelType w:val="singleLevel"/>
    <w:tmpl w:val="6665B68A"/>
    <w:lvl w:ilvl="0" w:tentative="0">
      <w:start w:val="17"/>
      <w:numFmt w:val="decimal"/>
      <w:suff w:val="nothing"/>
      <w:lvlText w:val="%1、"/>
      <w:lvlJc w:val="left"/>
    </w:lvl>
  </w:abstractNum>
  <w:abstractNum w:abstractNumId="4">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57E2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01A"/>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150C84"/>
    <w:rsid w:val="014B238D"/>
    <w:rsid w:val="017B5688"/>
    <w:rsid w:val="01974DE5"/>
    <w:rsid w:val="02A813BE"/>
    <w:rsid w:val="032D650E"/>
    <w:rsid w:val="033578FA"/>
    <w:rsid w:val="035D5442"/>
    <w:rsid w:val="04575F38"/>
    <w:rsid w:val="045B64CD"/>
    <w:rsid w:val="048900BC"/>
    <w:rsid w:val="04B213C1"/>
    <w:rsid w:val="04E83035"/>
    <w:rsid w:val="050E411D"/>
    <w:rsid w:val="05415488"/>
    <w:rsid w:val="058F40B3"/>
    <w:rsid w:val="05E51FE4"/>
    <w:rsid w:val="06530982"/>
    <w:rsid w:val="06562BAE"/>
    <w:rsid w:val="06571B7A"/>
    <w:rsid w:val="06B807E5"/>
    <w:rsid w:val="06BC4ED0"/>
    <w:rsid w:val="06F1065B"/>
    <w:rsid w:val="07061F6C"/>
    <w:rsid w:val="071874D5"/>
    <w:rsid w:val="073D0CEA"/>
    <w:rsid w:val="08143C2A"/>
    <w:rsid w:val="083D1A72"/>
    <w:rsid w:val="08512C9F"/>
    <w:rsid w:val="08B96833"/>
    <w:rsid w:val="08FA3336"/>
    <w:rsid w:val="08FF756F"/>
    <w:rsid w:val="0958005D"/>
    <w:rsid w:val="097951E0"/>
    <w:rsid w:val="09F83A71"/>
    <w:rsid w:val="0B0220BB"/>
    <w:rsid w:val="0B32384A"/>
    <w:rsid w:val="0B885C40"/>
    <w:rsid w:val="0B8D0492"/>
    <w:rsid w:val="0C654DF9"/>
    <w:rsid w:val="0D3678AD"/>
    <w:rsid w:val="0D43599F"/>
    <w:rsid w:val="0D605384"/>
    <w:rsid w:val="0DA41102"/>
    <w:rsid w:val="0DA85CA6"/>
    <w:rsid w:val="0DBE1C14"/>
    <w:rsid w:val="0DEA598B"/>
    <w:rsid w:val="0E1331F5"/>
    <w:rsid w:val="0E4B1576"/>
    <w:rsid w:val="0E71409B"/>
    <w:rsid w:val="0F5B2655"/>
    <w:rsid w:val="0FE97C61"/>
    <w:rsid w:val="10655129"/>
    <w:rsid w:val="107F4CF8"/>
    <w:rsid w:val="10DD77C5"/>
    <w:rsid w:val="112179BF"/>
    <w:rsid w:val="116F3FC8"/>
    <w:rsid w:val="121865DB"/>
    <w:rsid w:val="13280AA0"/>
    <w:rsid w:val="13F111F5"/>
    <w:rsid w:val="141F00B4"/>
    <w:rsid w:val="14270D58"/>
    <w:rsid w:val="14DE1D5E"/>
    <w:rsid w:val="153320AA"/>
    <w:rsid w:val="154C0F75"/>
    <w:rsid w:val="154F7C69"/>
    <w:rsid w:val="159A0C03"/>
    <w:rsid w:val="159E329B"/>
    <w:rsid w:val="15A308B2"/>
    <w:rsid w:val="15C50828"/>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3A5CAC"/>
    <w:rsid w:val="1A7D7923"/>
    <w:rsid w:val="1A9C4FC2"/>
    <w:rsid w:val="1AA17AB6"/>
    <w:rsid w:val="1B1738D4"/>
    <w:rsid w:val="1B6A063C"/>
    <w:rsid w:val="1B940D77"/>
    <w:rsid w:val="1BC021BE"/>
    <w:rsid w:val="1BEC4D61"/>
    <w:rsid w:val="1BEC6B0F"/>
    <w:rsid w:val="1BFC2B59"/>
    <w:rsid w:val="1C382524"/>
    <w:rsid w:val="1C434466"/>
    <w:rsid w:val="1CE92A10"/>
    <w:rsid w:val="1E0738E5"/>
    <w:rsid w:val="1E201B9E"/>
    <w:rsid w:val="1E55612B"/>
    <w:rsid w:val="1E6029D2"/>
    <w:rsid w:val="1ED41ADC"/>
    <w:rsid w:val="1F0B19A2"/>
    <w:rsid w:val="1F1C595D"/>
    <w:rsid w:val="1F4E749F"/>
    <w:rsid w:val="1F665ECF"/>
    <w:rsid w:val="1F673F85"/>
    <w:rsid w:val="1F7946A8"/>
    <w:rsid w:val="1FE43FA1"/>
    <w:rsid w:val="200563F1"/>
    <w:rsid w:val="201D0697"/>
    <w:rsid w:val="202820DF"/>
    <w:rsid w:val="202F7912"/>
    <w:rsid w:val="20457135"/>
    <w:rsid w:val="2052555B"/>
    <w:rsid w:val="20A6268A"/>
    <w:rsid w:val="218D48F0"/>
    <w:rsid w:val="21B52099"/>
    <w:rsid w:val="22553D29"/>
    <w:rsid w:val="22A334B0"/>
    <w:rsid w:val="22D24CAD"/>
    <w:rsid w:val="22E9024C"/>
    <w:rsid w:val="23103A2A"/>
    <w:rsid w:val="23AE3635"/>
    <w:rsid w:val="23D64F4F"/>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86B599C"/>
    <w:rsid w:val="28732536"/>
    <w:rsid w:val="28CA1820"/>
    <w:rsid w:val="28E82D54"/>
    <w:rsid w:val="29341AF5"/>
    <w:rsid w:val="2999547A"/>
    <w:rsid w:val="299B7100"/>
    <w:rsid w:val="29CF0173"/>
    <w:rsid w:val="2A2C7F02"/>
    <w:rsid w:val="2AD678EF"/>
    <w:rsid w:val="2AE64A27"/>
    <w:rsid w:val="2B5D17D7"/>
    <w:rsid w:val="2B8A1EA0"/>
    <w:rsid w:val="2BAE2033"/>
    <w:rsid w:val="2BDD6474"/>
    <w:rsid w:val="2BE041B6"/>
    <w:rsid w:val="2C0D32A5"/>
    <w:rsid w:val="2C1319B2"/>
    <w:rsid w:val="2C567FD4"/>
    <w:rsid w:val="2CD4797C"/>
    <w:rsid w:val="2D360531"/>
    <w:rsid w:val="2D5C5ABE"/>
    <w:rsid w:val="2D914A72"/>
    <w:rsid w:val="2E19303F"/>
    <w:rsid w:val="2F55416A"/>
    <w:rsid w:val="2F690A43"/>
    <w:rsid w:val="2F7011BF"/>
    <w:rsid w:val="2FBA494F"/>
    <w:rsid w:val="30077F63"/>
    <w:rsid w:val="3035585F"/>
    <w:rsid w:val="3038011D"/>
    <w:rsid w:val="30BF3162"/>
    <w:rsid w:val="317950C5"/>
    <w:rsid w:val="31DB16A7"/>
    <w:rsid w:val="32110C25"/>
    <w:rsid w:val="321E3342"/>
    <w:rsid w:val="3237386E"/>
    <w:rsid w:val="324F174E"/>
    <w:rsid w:val="32960DFA"/>
    <w:rsid w:val="32973B96"/>
    <w:rsid w:val="32F66794"/>
    <w:rsid w:val="33596AB8"/>
    <w:rsid w:val="340053F5"/>
    <w:rsid w:val="34060532"/>
    <w:rsid w:val="34090758"/>
    <w:rsid w:val="344D6838"/>
    <w:rsid w:val="34980AE0"/>
    <w:rsid w:val="34D8363B"/>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1F234D"/>
    <w:rsid w:val="3A783974"/>
    <w:rsid w:val="3AF722B0"/>
    <w:rsid w:val="3B1D063B"/>
    <w:rsid w:val="3B292E53"/>
    <w:rsid w:val="3B677B08"/>
    <w:rsid w:val="3B7010B2"/>
    <w:rsid w:val="3B985F13"/>
    <w:rsid w:val="3BA37AC2"/>
    <w:rsid w:val="3BA50630"/>
    <w:rsid w:val="3BEE558A"/>
    <w:rsid w:val="3C00262B"/>
    <w:rsid w:val="3C414629"/>
    <w:rsid w:val="3C592D3F"/>
    <w:rsid w:val="3C642299"/>
    <w:rsid w:val="3C6A3D54"/>
    <w:rsid w:val="3C7026E1"/>
    <w:rsid w:val="3C8D359F"/>
    <w:rsid w:val="3CDE2504"/>
    <w:rsid w:val="3CE46170"/>
    <w:rsid w:val="3D175F78"/>
    <w:rsid w:val="3D606765"/>
    <w:rsid w:val="3D6967B2"/>
    <w:rsid w:val="3D804CB1"/>
    <w:rsid w:val="3DB31A8E"/>
    <w:rsid w:val="3DBD46F4"/>
    <w:rsid w:val="3DFD29A6"/>
    <w:rsid w:val="3DFD6502"/>
    <w:rsid w:val="3E464B87"/>
    <w:rsid w:val="3E5527E2"/>
    <w:rsid w:val="3E82530D"/>
    <w:rsid w:val="3EA80CBF"/>
    <w:rsid w:val="3F165ACD"/>
    <w:rsid w:val="3F3660CC"/>
    <w:rsid w:val="3F733903"/>
    <w:rsid w:val="3F760C61"/>
    <w:rsid w:val="3FD22A9E"/>
    <w:rsid w:val="407D2605"/>
    <w:rsid w:val="40B732E0"/>
    <w:rsid w:val="40CA3013"/>
    <w:rsid w:val="41006A35"/>
    <w:rsid w:val="411424E0"/>
    <w:rsid w:val="41856F3A"/>
    <w:rsid w:val="41F97033"/>
    <w:rsid w:val="427753D4"/>
    <w:rsid w:val="42FF2D1C"/>
    <w:rsid w:val="43600C36"/>
    <w:rsid w:val="44316F05"/>
    <w:rsid w:val="44472BCC"/>
    <w:rsid w:val="44494651"/>
    <w:rsid w:val="444A0FF4"/>
    <w:rsid w:val="447C4F20"/>
    <w:rsid w:val="44B00772"/>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5A0995"/>
    <w:rsid w:val="4661409B"/>
    <w:rsid w:val="46A377BC"/>
    <w:rsid w:val="46C6427C"/>
    <w:rsid w:val="46D149CF"/>
    <w:rsid w:val="473D3173"/>
    <w:rsid w:val="474E7DCE"/>
    <w:rsid w:val="475A0ED2"/>
    <w:rsid w:val="47BC742D"/>
    <w:rsid w:val="482C2540"/>
    <w:rsid w:val="4833286A"/>
    <w:rsid w:val="484A6345"/>
    <w:rsid w:val="48D367DD"/>
    <w:rsid w:val="49217C8F"/>
    <w:rsid w:val="497C13F6"/>
    <w:rsid w:val="4B5454BD"/>
    <w:rsid w:val="4BDC009E"/>
    <w:rsid w:val="4BFA6B23"/>
    <w:rsid w:val="4C261319"/>
    <w:rsid w:val="4C53424A"/>
    <w:rsid w:val="4D6319D5"/>
    <w:rsid w:val="4E221C46"/>
    <w:rsid w:val="4E564138"/>
    <w:rsid w:val="4E5B3F1D"/>
    <w:rsid w:val="4E90378B"/>
    <w:rsid w:val="4EC77B79"/>
    <w:rsid w:val="4EDF237F"/>
    <w:rsid w:val="4F607C3C"/>
    <w:rsid w:val="4F68361D"/>
    <w:rsid w:val="4F993153"/>
    <w:rsid w:val="50395ABF"/>
    <w:rsid w:val="507538CB"/>
    <w:rsid w:val="50B32844"/>
    <w:rsid w:val="50E06768"/>
    <w:rsid w:val="5111148D"/>
    <w:rsid w:val="51142088"/>
    <w:rsid w:val="511A2F7B"/>
    <w:rsid w:val="51C72A55"/>
    <w:rsid w:val="52570187"/>
    <w:rsid w:val="52A225E9"/>
    <w:rsid w:val="52D14CD6"/>
    <w:rsid w:val="52DC2732"/>
    <w:rsid w:val="530D6135"/>
    <w:rsid w:val="53B06098"/>
    <w:rsid w:val="53C439C2"/>
    <w:rsid w:val="53D77AC9"/>
    <w:rsid w:val="53EC4BF7"/>
    <w:rsid w:val="541E7772"/>
    <w:rsid w:val="54632F33"/>
    <w:rsid w:val="54F239E2"/>
    <w:rsid w:val="54FC13C2"/>
    <w:rsid w:val="55152D13"/>
    <w:rsid w:val="557D64FE"/>
    <w:rsid w:val="562803B5"/>
    <w:rsid w:val="562C1C22"/>
    <w:rsid w:val="56596FC8"/>
    <w:rsid w:val="56637A98"/>
    <w:rsid w:val="56C6554D"/>
    <w:rsid w:val="57035A47"/>
    <w:rsid w:val="571A045F"/>
    <w:rsid w:val="572E1C13"/>
    <w:rsid w:val="589776C4"/>
    <w:rsid w:val="58B032AD"/>
    <w:rsid w:val="59017AEC"/>
    <w:rsid w:val="596353BD"/>
    <w:rsid w:val="597628B4"/>
    <w:rsid w:val="5979577F"/>
    <w:rsid w:val="598454B4"/>
    <w:rsid w:val="59957BA3"/>
    <w:rsid w:val="59CD742D"/>
    <w:rsid w:val="59DB028E"/>
    <w:rsid w:val="5A2570B4"/>
    <w:rsid w:val="5A517EA9"/>
    <w:rsid w:val="5A6E0A5B"/>
    <w:rsid w:val="5A70032F"/>
    <w:rsid w:val="5AA03537"/>
    <w:rsid w:val="5AD05272"/>
    <w:rsid w:val="5AD07020"/>
    <w:rsid w:val="5B690172"/>
    <w:rsid w:val="5BA90BEB"/>
    <w:rsid w:val="5BB10BFF"/>
    <w:rsid w:val="5BBB382C"/>
    <w:rsid w:val="5BC57C52"/>
    <w:rsid w:val="5BE66CE8"/>
    <w:rsid w:val="5C6A5252"/>
    <w:rsid w:val="5C7752AC"/>
    <w:rsid w:val="5CC00E9C"/>
    <w:rsid w:val="5CD87361"/>
    <w:rsid w:val="5CFB1CCD"/>
    <w:rsid w:val="5CFF599B"/>
    <w:rsid w:val="5D005D18"/>
    <w:rsid w:val="5D1F7DEB"/>
    <w:rsid w:val="5D9E4FC5"/>
    <w:rsid w:val="5DD60DF1"/>
    <w:rsid w:val="5DF5058D"/>
    <w:rsid w:val="5E320CBA"/>
    <w:rsid w:val="5E6A126D"/>
    <w:rsid w:val="5E7D126D"/>
    <w:rsid w:val="5EAA35A6"/>
    <w:rsid w:val="5EE44E48"/>
    <w:rsid w:val="5F0E7548"/>
    <w:rsid w:val="5F2C42C4"/>
    <w:rsid w:val="5F4857B2"/>
    <w:rsid w:val="5F5441E8"/>
    <w:rsid w:val="5F645F89"/>
    <w:rsid w:val="5FBE1535"/>
    <w:rsid w:val="5FE5531C"/>
    <w:rsid w:val="5FF11F12"/>
    <w:rsid w:val="5FF94273"/>
    <w:rsid w:val="60830691"/>
    <w:rsid w:val="60B3709E"/>
    <w:rsid w:val="60C2565D"/>
    <w:rsid w:val="60C856EA"/>
    <w:rsid w:val="60F14AC8"/>
    <w:rsid w:val="61141E2A"/>
    <w:rsid w:val="618F21F1"/>
    <w:rsid w:val="61B14546"/>
    <w:rsid w:val="61B91585"/>
    <w:rsid w:val="61F938D8"/>
    <w:rsid w:val="61FE26C5"/>
    <w:rsid w:val="622A465E"/>
    <w:rsid w:val="62465E1A"/>
    <w:rsid w:val="62BD2580"/>
    <w:rsid w:val="62DE42A4"/>
    <w:rsid w:val="63224191"/>
    <w:rsid w:val="636B3D52"/>
    <w:rsid w:val="64271BA0"/>
    <w:rsid w:val="643D30F8"/>
    <w:rsid w:val="645066B3"/>
    <w:rsid w:val="64535BAC"/>
    <w:rsid w:val="648B3FB8"/>
    <w:rsid w:val="64CB4D1D"/>
    <w:rsid w:val="6522491C"/>
    <w:rsid w:val="6558008C"/>
    <w:rsid w:val="656C7056"/>
    <w:rsid w:val="660179E7"/>
    <w:rsid w:val="66225BA7"/>
    <w:rsid w:val="66DA04BD"/>
    <w:rsid w:val="67B210CD"/>
    <w:rsid w:val="68425862"/>
    <w:rsid w:val="687C07E7"/>
    <w:rsid w:val="68863414"/>
    <w:rsid w:val="689526D7"/>
    <w:rsid w:val="69066F6D"/>
    <w:rsid w:val="69085BD7"/>
    <w:rsid w:val="690F51B7"/>
    <w:rsid w:val="69220DF6"/>
    <w:rsid w:val="69421FF4"/>
    <w:rsid w:val="69855891"/>
    <w:rsid w:val="6A4805A1"/>
    <w:rsid w:val="6AFD7A33"/>
    <w:rsid w:val="6B6F63E1"/>
    <w:rsid w:val="6B757AC3"/>
    <w:rsid w:val="6BC95AF1"/>
    <w:rsid w:val="6C1D5E3D"/>
    <w:rsid w:val="6C40749D"/>
    <w:rsid w:val="6C482371"/>
    <w:rsid w:val="6C5E257D"/>
    <w:rsid w:val="6C6E6699"/>
    <w:rsid w:val="6C877A8D"/>
    <w:rsid w:val="6CD47526"/>
    <w:rsid w:val="6D0773A5"/>
    <w:rsid w:val="6D37140D"/>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6FEF3644"/>
    <w:rsid w:val="70145B7D"/>
    <w:rsid w:val="701F74FE"/>
    <w:rsid w:val="70413D51"/>
    <w:rsid w:val="705362D1"/>
    <w:rsid w:val="715656AE"/>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512E53"/>
    <w:rsid w:val="77585F7B"/>
    <w:rsid w:val="77CB0E43"/>
    <w:rsid w:val="77DE2925"/>
    <w:rsid w:val="7817699C"/>
    <w:rsid w:val="783E74F0"/>
    <w:rsid w:val="78AA6C17"/>
    <w:rsid w:val="79080911"/>
    <w:rsid w:val="79440545"/>
    <w:rsid w:val="798C7645"/>
    <w:rsid w:val="79E36E65"/>
    <w:rsid w:val="7A096B0B"/>
    <w:rsid w:val="7A2605B3"/>
    <w:rsid w:val="7A3E3B4E"/>
    <w:rsid w:val="7A3F3423"/>
    <w:rsid w:val="7AC04356"/>
    <w:rsid w:val="7B083DE4"/>
    <w:rsid w:val="7B2C39A7"/>
    <w:rsid w:val="7B5D6256"/>
    <w:rsid w:val="7BA53B14"/>
    <w:rsid w:val="7C484EC4"/>
    <w:rsid w:val="7C4E06B1"/>
    <w:rsid w:val="7D0818B3"/>
    <w:rsid w:val="7D165317"/>
    <w:rsid w:val="7D384885"/>
    <w:rsid w:val="7D566C57"/>
    <w:rsid w:val="7D9127E8"/>
    <w:rsid w:val="7DBA45B5"/>
    <w:rsid w:val="7DEA5BDC"/>
    <w:rsid w:val="7E0E1A8A"/>
    <w:rsid w:val="7E140BC2"/>
    <w:rsid w:val="7E880EC6"/>
    <w:rsid w:val="7E9374BB"/>
    <w:rsid w:val="7EB663A9"/>
    <w:rsid w:val="7EBD389B"/>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2"/>
    <w:qFormat/>
    <w:uiPriority w:val="0"/>
    <w:pPr>
      <w:jc w:val="left"/>
    </w:pPr>
  </w:style>
  <w:style w:type="paragraph" w:styleId="7">
    <w:name w:val="Body Text"/>
    <w:basedOn w:val="1"/>
    <w:next w:val="8"/>
    <w:link w:val="31"/>
    <w:autoRedefine/>
    <w:qFormat/>
    <w:uiPriority w:val="0"/>
    <w:pPr>
      <w:spacing w:after="120"/>
    </w:pPr>
  </w:style>
  <w:style w:type="paragraph" w:styleId="8">
    <w:name w:val="Title"/>
    <w:basedOn w:val="1"/>
    <w:next w:val="9"/>
    <w:link w:val="34"/>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9">
    <w:name w:val="Body Text Indent"/>
    <w:basedOn w:val="1"/>
    <w:next w:val="1"/>
    <w:unhideWhenUsed/>
    <w:qFormat/>
    <w:uiPriority w:val="0"/>
    <w:pPr>
      <w:spacing w:after="120"/>
      <w:ind w:left="420" w:leftChars="200"/>
    </w:pPr>
  </w:style>
  <w:style w:type="paragraph" w:styleId="10">
    <w:name w:val="Plain Text"/>
    <w:basedOn w:val="1"/>
    <w:link w:val="33"/>
    <w:autoRedefine/>
    <w:qFormat/>
    <w:uiPriority w:val="0"/>
    <w:rPr>
      <w:rFonts w:ascii="宋体" w:hAnsi="Courier New"/>
      <w:szCs w:val="20"/>
    </w:rPr>
  </w:style>
  <w:style w:type="paragraph" w:styleId="11">
    <w:name w:val="Date"/>
    <w:basedOn w:val="1"/>
    <w:next w:val="1"/>
    <w:link w:val="50"/>
    <w:autoRedefine/>
    <w:semiHidden/>
    <w:unhideWhenUsed/>
    <w:qFormat/>
    <w:uiPriority w:val="99"/>
    <w:pPr>
      <w:ind w:left="100" w:leftChars="2500"/>
    </w:p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6">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7">
    <w:name w:val="Normal (Web)"/>
    <w:basedOn w:val="1"/>
    <w:autoRedefine/>
    <w:qFormat/>
    <w:uiPriority w:val="0"/>
    <w:pPr>
      <w:spacing w:beforeAutospacing="1" w:afterAutospacing="1"/>
      <w:jc w:val="left"/>
    </w:pPr>
    <w:rPr>
      <w:kern w:val="0"/>
      <w:sz w:val="24"/>
    </w:rPr>
  </w:style>
  <w:style w:type="paragraph" w:styleId="18">
    <w:name w:val="annotation subject"/>
    <w:basedOn w:val="6"/>
    <w:next w:val="6"/>
    <w:link w:val="44"/>
    <w:semiHidden/>
    <w:unhideWhenUsed/>
    <w:qFormat/>
    <w:uiPriority w:val="99"/>
    <w:rPr>
      <w:b/>
      <w:bCs/>
    </w:rPr>
  </w:style>
  <w:style w:type="paragraph" w:styleId="19">
    <w:name w:val="Body Text First Indent"/>
    <w:basedOn w:val="7"/>
    <w:autoRedefine/>
    <w:unhideWhenUsed/>
    <w:qFormat/>
    <w:uiPriority w:val="99"/>
    <w:pPr>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basedOn w:val="22"/>
    <w:autoRedefine/>
    <w:qFormat/>
    <w:uiPriority w:val="0"/>
    <w:rPr>
      <w:sz w:val="21"/>
      <w:szCs w:val="21"/>
    </w:rPr>
  </w:style>
  <w:style w:type="character" w:customStyle="1" w:styleId="28">
    <w:name w:val="页眉 字符"/>
    <w:basedOn w:val="22"/>
    <w:link w:val="14"/>
    <w:qFormat/>
    <w:uiPriority w:val="99"/>
    <w:rPr>
      <w:sz w:val="18"/>
      <w:szCs w:val="18"/>
    </w:rPr>
  </w:style>
  <w:style w:type="character" w:customStyle="1" w:styleId="29">
    <w:name w:val="页脚 字符"/>
    <w:basedOn w:val="22"/>
    <w:link w:val="13"/>
    <w:qFormat/>
    <w:uiPriority w:val="99"/>
    <w:rPr>
      <w:sz w:val="18"/>
      <w:szCs w:val="18"/>
    </w:rPr>
  </w:style>
  <w:style w:type="character" w:customStyle="1" w:styleId="30">
    <w:name w:val="标题 2 字符"/>
    <w:basedOn w:val="22"/>
    <w:link w:val="3"/>
    <w:autoRedefine/>
    <w:qFormat/>
    <w:uiPriority w:val="0"/>
    <w:rPr>
      <w:rFonts w:ascii="Arial" w:hAnsi="Arial" w:eastAsia="黑体" w:cs="Times New Roman"/>
      <w:b/>
      <w:kern w:val="0"/>
      <w:sz w:val="32"/>
      <w:szCs w:val="20"/>
    </w:rPr>
  </w:style>
  <w:style w:type="character" w:customStyle="1" w:styleId="31">
    <w:name w:val="正文文本 字符"/>
    <w:basedOn w:val="22"/>
    <w:link w:val="7"/>
    <w:qFormat/>
    <w:uiPriority w:val="0"/>
    <w:rPr>
      <w:rFonts w:ascii="Times New Roman" w:hAnsi="Times New Roman" w:eastAsia="宋体" w:cs="Times New Roman"/>
      <w:szCs w:val="24"/>
    </w:rPr>
  </w:style>
  <w:style w:type="character" w:customStyle="1" w:styleId="32">
    <w:name w:val="批注文字 字符"/>
    <w:basedOn w:val="22"/>
    <w:link w:val="6"/>
    <w:qFormat/>
    <w:uiPriority w:val="0"/>
    <w:rPr>
      <w:rFonts w:ascii="Times New Roman" w:hAnsi="Times New Roman" w:eastAsia="宋体" w:cs="Times New Roman"/>
      <w:szCs w:val="24"/>
    </w:rPr>
  </w:style>
  <w:style w:type="character" w:customStyle="1" w:styleId="33">
    <w:name w:val="纯文本 字符"/>
    <w:basedOn w:val="22"/>
    <w:link w:val="10"/>
    <w:autoRedefine/>
    <w:qFormat/>
    <w:uiPriority w:val="0"/>
    <w:rPr>
      <w:rFonts w:ascii="宋体" w:hAnsi="Courier New" w:eastAsia="宋体" w:cs="Times New Roman"/>
      <w:szCs w:val="20"/>
    </w:rPr>
  </w:style>
  <w:style w:type="character" w:customStyle="1" w:styleId="34">
    <w:name w:val="标题 字符"/>
    <w:basedOn w:val="22"/>
    <w:link w:val="8"/>
    <w:autoRedefine/>
    <w:qFormat/>
    <w:uiPriority w:val="10"/>
    <w:rPr>
      <w:rFonts w:ascii="Cambria" w:hAnsi="Cambria" w:eastAsia="宋体" w:cs="Times New Roman"/>
      <w:b/>
      <w:bCs/>
      <w:kern w:val="0"/>
      <w:sz w:val="32"/>
      <w:szCs w:val="32"/>
    </w:rPr>
  </w:style>
  <w:style w:type="paragraph" w:customStyle="1" w:styleId="35">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6">
    <w:name w:val="页眉 Char1"/>
    <w:qFormat/>
    <w:uiPriority w:val="0"/>
    <w:rPr>
      <w:kern w:val="2"/>
      <w:sz w:val="18"/>
      <w:szCs w:val="18"/>
    </w:rPr>
  </w:style>
  <w:style w:type="character" w:customStyle="1" w:styleId="37">
    <w:name w:val="页脚 Char1"/>
    <w:autoRedefine/>
    <w:qFormat/>
    <w:uiPriority w:val="0"/>
    <w:rPr>
      <w:kern w:val="2"/>
      <w:sz w:val="18"/>
      <w:szCs w:val="18"/>
    </w:rPr>
  </w:style>
  <w:style w:type="character" w:customStyle="1" w:styleId="38">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9">
    <w:name w:val="批注框文本 字符"/>
    <w:basedOn w:val="22"/>
    <w:link w:val="12"/>
    <w:autoRedefine/>
    <w:semiHidden/>
    <w:qFormat/>
    <w:uiPriority w:val="99"/>
    <w:rPr>
      <w:rFonts w:ascii="Times New Roman" w:hAnsi="Times New Roman" w:eastAsia="宋体" w:cs="Times New Roman"/>
      <w:sz w:val="18"/>
      <w:szCs w:val="18"/>
    </w:rPr>
  </w:style>
  <w:style w:type="paragraph" w:styleId="40">
    <w:name w:val="List Paragraph"/>
    <w:basedOn w:val="1"/>
    <w:autoRedefine/>
    <w:qFormat/>
    <w:uiPriority w:val="34"/>
    <w:pPr>
      <w:ind w:firstLine="420" w:firstLineChars="200"/>
    </w:pPr>
    <w:rPr>
      <w:rFonts w:ascii="Calibri" w:hAnsi="Calibri"/>
      <w:szCs w:val="22"/>
    </w:rPr>
  </w:style>
  <w:style w:type="paragraph" w:customStyle="1" w:styleId="41">
    <w:name w:val="列出段落1"/>
    <w:basedOn w:val="1"/>
    <w:link w:val="43"/>
    <w:autoRedefine/>
    <w:qFormat/>
    <w:uiPriority w:val="34"/>
    <w:pPr>
      <w:ind w:firstLine="420" w:firstLineChars="200"/>
    </w:pPr>
    <w:rPr>
      <w:rFonts w:ascii="Calibri" w:hAnsi="Calibri"/>
      <w:szCs w:val="22"/>
      <w:lang w:val="zh-CN"/>
    </w:rPr>
  </w:style>
  <w:style w:type="paragraph" w:customStyle="1" w:styleId="42">
    <w:name w:val="p0"/>
    <w:basedOn w:val="1"/>
    <w:autoRedefine/>
    <w:qFormat/>
    <w:uiPriority w:val="99"/>
    <w:pPr>
      <w:widowControl/>
    </w:pPr>
    <w:rPr>
      <w:rFonts w:hAnsi="Calibri"/>
      <w:kern w:val="0"/>
      <w:szCs w:val="20"/>
    </w:rPr>
  </w:style>
  <w:style w:type="character" w:customStyle="1" w:styleId="43">
    <w:name w:val="List Paragraph Char"/>
    <w:link w:val="41"/>
    <w:autoRedefine/>
    <w:qFormat/>
    <w:locked/>
    <w:uiPriority w:val="34"/>
    <w:rPr>
      <w:rFonts w:ascii="Calibri" w:hAnsi="Calibri" w:eastAsia="宋体" w:cs="Times New Roman"/>
      <w:lang w:val="zh-CN" w:eastAsia="zh-CN"/>
    </w:rPr>
  </w:style>
  <w:style w:type="character" w:customStyle="1" w:styleId="44">
    <w:name w:val="批注主题 字符"/>
    <w:basedOn w:val="32"/>
    <w:link w:val="18"/>
    <w:autoRedefine/>
    <w:semiHidden/>
    <w:qFormat/>
    <w:uiPriority w:val="99"/>
    <w:rPr>
      <w:rFonts w:ascii="Times New Roman" w:hAnsi="Times New Roman" w:eastAsia="宋体" w:cs="Times New Roman"/>
      <w:b/>
      <w:bCs/>
      <w:szCs w:val="24"/>
    </w:rPr>
  </w:style>
  <w:style w:type="paragraph" w:customStyle="1" w:styleId="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正文缩进2格 Char"/>
    <w:link w:val="47"/>
    <w:autoRedefine/>
    <w:qFormat/>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纯文本 字符1"/>
    <w:basedOn w:val="22"/>
    <w:autoRedefine/>
    <w:qFormat/>
    <w:uiPriority w:val="0"/>
    <w:rPr>
      <w:rFonts w:ascii="宋体" w:hAnsi="Courier New" w:eastAsia="宋体" w:cs="Times New Roman"/>
      <w:szCs w:val="20"/>
    </w:rPr>
  </w:style>
  <w:style w:type="character" w:customStyle="1" w:styleId="49">
    <w:name w:val="正文文本 字符1"/>
    <w:basedOn w:val="22"/>
    <w:autoRedefine/>
    <w:qFormat/>
    <w:uiPriority w:val="0"/>
    <w:rPr>
      <w:rFonts w:ascii="Times New Roman" w:hAnsi="Times New Roman" w:eastAsia="宋体" w:cs="Times New Roman"/>
      <w:szCs w:val="24"/>
    </w:rPr>
  </w:style>
  <w:style w:type="character" w:customStyle="1" w:styleId="50">
    <w:name w:val="日期 字符"/>
    <w:basedOn w:val="22"/>
    <w:link w:val="11"/>
    <w:autoRedefine/>
    <w:semiHidden/>
    <w:qFormat/>
    <w:uiPriority w:val="99"/>
    <w:rPr>
      <w:rFonts w:ascii="Times New Roman" w:hAnsi="Times New Roman" w:eastAsia="宋体" w:cs="Times New Roman"/>
      <w:szCs w:val="24"/>
    </w:rPr>
  </w:style>
  <w:style w:type="paragraph" w:customStyle="1" w:styleId="5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标题 3 字符"/>
    <w:basedOn w:val="22"/>
    <w:link w:val="4"/>
    <w:autoRedefine/>
    <w:semiHidden/>
    <w:qFormat/>
    <w:uiPriority w:val="9"/>
    <w:rPr>
      <w:b/>
      <w:bCs/>
      <w:kern w:val="2"/>
      <w:sz w:val="32"/>
      <w:szCs w:val="32"/>
    </w:rPr>
  </w:style>
  <w:style w:type="character" w:customStyle="1" w:styleId="53">
    <w:name w:val="纯文本 Char1"/>
    <w:autoRedefine/>
    <w:qFormat/>
    <w:uiPriority w:val="0"/>
    <w:rPr>
      <w:rFonts w:ascii="宋体" w:hAnsi="Courier New" w:eastAsia="宋体" w:cs="Times New Roman"/>
      <w:szCs w:val="20"/>
      <w:lang w:val="en-US" w:eastAsia="zh-CN"/>
    </w:rPr>
  </w:style>
  <w:style w:type="character" w:customStyle="1" w:styleId="54">
    <w:name w:val="font01"/>
    <w:basedOn w:val="22"/>
    <w:autoRedefine/>
    <w:qFormat/>
    <w:uiPriority w:val="0"/>
    <w:rPr>
      <w:rFonts w:hint="eastAsia" w:ascii="宋体" w:hAnsi="宋体" w:eastAsia="宋体" w:cs="宋体"/>
      <w:color w:val="000000"/>
      <w:sz w:val="22"/>
      <w:szCs w:val="22"/>
      <w:u w:val="none"/>
    </w:rPr>
  </w:style>
  <w:style w:type="paragraph" w:customStyle="1" w:styleId="55">
    <w:name w:val="样式 宋体 行距: 1.5 倍行距"/>
    <w:basedOn w:val="1"/>
    <w:autoRedefine/>
    <w:qFormat/>
    <w:uiPriority w:val="0"/>
    <w:pPr>
      <w:jc w:val="center"/>
    </w:pPr>
    <w:rPr>
      <w:b/>
    </w:rPr>
  </w:style>
  <w:style w:type="paragraph" w:customStyle="1" w:styleId="56">
    <w:name w:val="正文文本缩进 21"/>
    <w:basedOn w:val="1"/>
    <w:qFormat/>
    <w:uiPriority w:val="0"/>
    <w:pPr>
      <w:adjustRightInd w:val="0"/>
      <w:spacing w:line="480" w:lineRule="auto"/>
      <w:ind w:firstLine="540"/>
      <w:textAlignment w:val="baseline"/>
    </w:pPr>
    <w:rPr>
      <w:rFonts w:ascii="Calibri" w:hAnsi="Calibri"/>
      <w:szCs w:val="21"/>
    </w:rPr>
  </w:style>
  <w:style w:type="table" w:customStyle="1" w:styleId="57">
    <w:name w:val="网格型2"/>
    <w:basedOn w:val="2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font21"/>
    <w:basedOn w:val="22"/>
    <w:qFormat/>
    <w:uiPriority w:val="0"/>
    <w:rPr>
      <w:rFonts w:hint="eastAsia" w:ascii="宋体" w:hAnsi="宋体" w:eastAsia="宋体" w:cs="宋体"/>
      <w:color w:val="000000"/>
      <w:sz w:val="21"/>
      <w:szCs w:val="21"/>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52</Pages>
  <Words>12650</Words>
  <Characters>13182</Characters>
  <Lines>200</Lines>
  <Paragraphs>56</Paragraphs>
  <TotalTime>3</TotalTime>
  <ScaleCrop>false</ScaleCrop>
  <LinksUpToDate>false</LinksUpToDate>
  <CharactersWithSpaces>13440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2025-11-03T06:55:55Z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