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7A2A6">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2885EB3">
      <w:pPr>
        <w:autoSpaceDE w:val="0"/>
        <w:autoSpaceDN w:val="0"/>
        <w:adjustRightInd w:val="0"/>
        <w:ind w:right="-23" w:rightChars="-11"/>
        <w:jc w:val="center"/>
        <w:rPr>
          <w:rFonts w:ascii="宋体" w:hAnsi="宋体" w:eastAsia="宋体" w:cs="宋体"/>
          <w:b/>
          <w:bCs/>
          <w:color w:val="auto"/>
          <w:sz w:val="60"/>
          <w:szCs w:val="60"/>
          <w:highlight w:val="none"/>
          <w:lang w:val="zh-CN"/>
        </w:rPr>
      </w:pPr>
      <w:r>
        <w:rPr>
          <w:rFonts w:hint="eastAsia" w:ascii="宋体" w:hAnsi="宋体" w:eastAsia="宋体" w:cs="宋体"/>
          <w:b/>
          <w:bCs/>
          <w:color w:val="auto"/>
          <w:sz w:val="60"/>
          <w:szCs w:val="60"/>
          <w:highlight w:val="none"/>
          <w:lang w:val="zh-CN"/>
        </w:rPr>
        <w:t>东莞市水务环境投资控股集团分布式光伏发电项目（第一批）净水厂项目</w:t>
      </w:r>
    </w:p>
    <w:p w14:paraId="284D6648">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55742890">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60B68682">
      <w:pPr>
        <w:autoSpaceDE w:val="0"/>
        <w:autoSpaceDN w:val="0"/>
        <w:adjustRightInd w:val="0"/>
        <w:ind w:right="-23" w:rightChars="-11"/>
        <w:jc w:val="center"/>
        <w:rPr>
          <w:rFonts w:ascii="宋体" w:hAnsi="宋体" w:eastAsia="宋体" w:cs="宋体"/>
          <w:b/>
          <w:bCs/>
          <w:color w:val="auto"/>
          <w:sz w:val="72"/>
          <w:szCs w:val="72"/>
          <w:highlight w:val="none"/>
          <w:lang w:val="zh-CN"/>
        </w:rPr>
      </w:pPr>
    </w:p>
    <w:p w14:paraId="0616BBD0">
      <w:pPr>
        <w:autoSpaceDE w:val="0"/>
        <w:autoSpaceDN w:val="0"/>
        <w:adjustRightInd w:val="0"/>
        <w:ind w:right="-23" w:rightChars="-11"/>
        <w:jc w:val="center"/>
        <w:rPr>
          <w:rFonts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2EFE884B">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6FC7DC4">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63842211">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0278A19E">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3DCDB532">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号：SSZSSE12501902</w:t>
      </w:r>
    </w:p>
    <w:p w14:paraId="141C1A2C">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 标 人：东莞市水务集团科技发展有限公司</w:t>
      </w:r>
    </w:p>
    <w:p w14:paraId="29CBD04A">
      <w:pPr>
        <w:autoSpaceDE w:val="0"/>
        <w:autoSpaceDN w:val="0"/>
        <w:adjustRightInd w:val="0"/>
        <w:spacing w:line="480" w:lineRule="auto"/>
        <w:ind w:left="1842" w:leftChars="877" w:firstLine="19" w:firstLineChars="6"/>
        <w:jc w:val="left"/>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招标代理机构：广州宏达工程顾问集团有限公司</w:t>
      </w:r>
    </w:p>
    <w:p w14:paraId="51FCD09F">
      <w:pPr>
        <w:autoSpaceDE w:val="0"/>
        <w:autoSpaceDN w:val="0"/>
        <w:adjustRightInd w:val="0"/>
        <w:ind w:right="-23" w:rightChars="-11"/>
        <w:jc w:val="left"/>
        <w:rPr>
          <w:rFonts w:ascii="宋体" w:hAnsi="宋体" w:eastAsia="宋体" w:cs="宋体"/>
          <w:b/>
          <w:bCs/>
          <w:color w:val="auto"/>
          <w:kern w:val="0"/>
          <w:sz w:val="32"/>
          <w:szCs w:val="32"/>
          <w:highlight w:val="none"/>
          <w:lang w:val="zh-CN"/>
        </w:rPr>
      </w:pPr>
    </w:p>
    <w:p w14:paraId="385DE119">
      <w:pPr>
        <w:autoSpaceDE w:val="0"/>
        <w:autoSpaceDN w:val="0"/>
        <w:adjustRightInd w:val="0"/>
        <w:ind w:right="-23" w:rightChars="-11"/>
        <w:jc w:val="center"/>
        <w:rPr>
          <w:rFonts w:ascii="宋体" w:hAnsi="宋体" w:eastAsia="宋体" w:cs="宋体"/>
          <w:b/>
          <w:bCs/>
          <w:color w:val="auto"/>
          <w:kern w:val="0"/>
          <w:sz w:val="84"/>
          <w:szCs w:val="84"/>
          <w:highlight w:val="none"/>
          <w:lang w:val="zh-CN"/>
        </w:rPr>
      </w:pPr>
    </w:p>
    <w:p w14:paraId="4036B293">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09</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30</w:t>
      </w:r>
      <w:r>
        <w:rPr>
          <w:rFonts w:hint="eastAsia" w:ascii="宋体" w:hAnsi="宋体" w:eastAsia="宋体" w:cs="宋体"/>
          <w:b/>
          <w:bCs/>
          <w:color w:val="auto"/>
          <w:sz w:val="32"/>
          <w:szCs w:val="32"/>
          <w:highlight w:val="none"/>
          <w:lang w:val="zh-CN"/>
        </w:rPr>
        <w:t>日</w:t>
      </w:r>
    </w:p>
    <w:p w14:paraId="1A4A4E3A">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sz w:val="32"/>
          <w:szCs w:val="32"/>
          <w:highlight w:val="none"/>
          <w:lang w:val="zh-CN"/>
        </w:rPr>
        <w:sectPr>
          <w:footerReference r:id="rId3" w:type="default"/>
          <w:pgSz w:w="12240" w:h="15840"/>
          <w:pgMar w:top="1191" w:right="1043" w:bottom="1191" w:left="1043" w:header="720" w:footer="720" w:gutter="0"/>
          <w:cols w:space="720" w:num="1"/>
          <w:docGrid w:linePitch="326" w:charSpace="0"/>
        </w:sectPr>
      </w:pPr>
    </w:p>
    <w:p w14:paraId="16E6D630">
      <w:pPr>
        <w:autoSpaceDE w:val="0"/>
        <w:autoSpaceDN w:val="0"/>
        <w:adjustRightInd w:val="0"/>
        <w:spacing w:line="360" w:lineRule="auto"/>
        <w:ind w:right="-23" w:rightChars="-11"/>
        <w:jc w:val="center"/>
        <w:rPr>
          <w:rFonts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重要提示</w:t>
      </w:r>
    </w:p>
    <w:p w14:paraId="386922F9">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1.本次招标项目采用电子标书。</w:t>
      </w:r>
    </w:p>
    <w:p w14:paraId="1F4159C1">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0D0E8CA0">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2F2CFAE8">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635255C2">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5.投标人在交易系统中对投标文件进行解密的电子签名认证证书必须为机构证书或制作本项目投标文件的业务证书。</w:t>
      </w:r>
    </w:p>
    <w:p w14:paraId="1251400A">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6.投标人应及时提交投标文件，如在投标文件截止时间前因网络等任何原因未能成功上传投标文件，相关后果由投标人自行承担。</w:t>
      </w:r>
    </w:p>
    <w:p w14:paraId="5D33F5F1">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3CE97271">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0CC0D4FD">
      <w:pPr>
        <w:pStyle w:val="41"/>
        <w:widowControl w:val="0"/>
        <w:spacing w:before="0" w:beforeAutospacing="0" w:after="0" w:afterAutospacing="0" w:line="360" w:lineRule="auto"/>
        <w:ind w:firstLine="420" w:firstLineChars="200"/>
        <w:jc w:val="both"/>
        <w:rPr>
          <w:rFonts w:eastAsia="宋体" w:cs="宋体"/>
          <w:color w:val="auto"/>
          <w:sz w:val="21"/>
          <w:szCs w:val="21"/>
          <w:highlight w:val="none"/>
          <w:lang w:bidi="ar"/>
        </w:rPr>
      </w:pPr>
      <w:r>
        <w:rPr>
          <w:rFonts w:hint="eastAsia" w:eastAsia="宋体" w:cs="宋体"/>
          <w:color w:val="auto"/>
          <w:sz w:val="21"/>
          <w:szCs w:val="21"/>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52A8F423">
      <w:pPr>
        <w:pStyle w:val="18"/>
        <w:rPr>
          <w:rFonts w:ascii="宋体" w:hAnsi="宋体" w:eastAsia="宋体" w:cs="宋体"/>
          <w:color w:val="auto"/>
          <w:highlight w:val="none"/>
        </w:rPr>
      </w:pPr>
    </w:p>
    <w:sdt>
      <w:sdtPr>
        <w:rPr>
          <w:rFonts w:hint="eastAsia" w:ascii="宋体" w:hAnsi="宋体" w:eastAsia="宋体" w:cs="宋体"/>
          <w:color w:val="auto"/>
          <w:highlight w:val="none"/>
        </w:rPr>
        <w:id w:val="147477141"/>
        <w15:color w:val="DBDBDB"/>
        <w:docPartObj>
          <w:docPartGallery w:val="Table of Contents"/>
          <w:docPartUnique/>
        </w:docPartObj>
      </w:sdtPr>
      <w:sdtEndPr>
        <w:rPr>
          <w:rFonts w:hint="eastAsia" w:ascii="宋体" w:hAnsi="宋体" w:eastAsia="宋体" w:cs="宋体"/>
          <w:color w:val="auto"/>
          <w:highlight w:val="none"/>
        </w:rPr>
      </w:sdtEndPr>
      <w:sdtContent>
        <w:p w14:paraId="48E4A9E2">
          <w:pPr>
            <w:pageBreakBefore/>
            <w:jc w:val="center"/>
            <w:rPr>
              <w:rFonts w:ascii="宋体" w:hAnsi="宋体" w:eastAsia="宋体" w:cs="宋体"/>
              <w:color w:val="auto"/>
              <w:sz w:val="36"/>
              <w:szCs w:val="40"/>
              <w:highlight w:val="none"/>
            </w:rPr>
          </w:pPr>
          <w:r>
            <w:rPr>
              <w:rFonts w:hint="eastAsia" w:ascii="宋体" w:hAnsi="宋体" w:eastAsia="宋体" w:cs="宋体"/>
              <w:b/>
              <w:bCs/>
              <w:color w:val="auto"/>
              <w:sz w:val="36"/>
              <w:szCs w:val="40"/>
              <w:highlight w:val="none"/>
            </w:rPr>
            <w:t>目  录</w:t>
          </w:r>
        </w:p>
        <w:p w14:paraId="055A956B">
          <w:pPr>
            <w:pStyle w:val="37"/>
            <w:tabs>
              <w:tab w:val="right" w:leader="dot" w:pos="10154"/>
            </w:tabs>
            <w:spacing w:line="360" w:lineRule="auto"/>
            <w:ind w:left="0" w:leftChars="0"/>
            <w:rPr>
              <w:rFonts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"_Toc7476" </w:instrText>
          </w:r>
          <w:r>
            <w:rPr>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_Toc7476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EA7D761">
          <w:pPr>
            <w:pStyle w:val="37"/>
            <w:tabs>
              <w:tab w:val="right" w:leader="dot" w:pos="10154"/>
            </w:tabs>
            <w:spacing w:line="360" w:lineRule="auto"/>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"_Toc22549" </w:instrText>
          </w:r>
          <w:r>
            <w:rPr>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_Toc22549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5B913D6">
          <w:pPr>
            <w:pStyle w:val="37"/>
            <w:tabs>
              <w:tab w:val="right" w:leader="dot" w:pos="10154"/>
            </w:tabs>
            <w:spacing w:line="360" w:lineRule="auto"/>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"_Toc31438" </w:instrText>
          </w:r>
          <w:r>
            <w:rPr>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_Toc31438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BAED6A">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"_Toc16455" </w:instrText>
          </w:r>
          <w:r>
            <w:rPr>
              <w:color w:val="auto"/>
              <w:highlight w:val="none"/>
            </w:rPr>
            <w:fldChar w:fldCharType="separate"/>
          </w:r>
          <w:r>
            <w:rPr>
              <w:rFonts w:hint="eastAsia" w:ascii="宋体" w:hAnsi="宋体" w:eastAsia="宋体" w:cs="宋体"/>
              <w:color w:val="auto"/>
              <w:szCs w:val="21"/>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E00AF9">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"_Toc9699" </w:instrText>
          </w:r>
          <w:r>
            <w:rPr>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F92C1A">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"_Toc22057" </w:instrText>
          </w:r>
          <w:r>
            <w:rPr>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rPr>
            <w:t>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CF0C1D">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"_Toc22647" </w:instrText>
          </w:r>
          <w:r>
            <w:rPr>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711FB8">
          <w:pPr>
            <w:pStyle w:val="24"/>
            <w:tabs>
              <w:tab w:val="right" w:leader="dot" w:pos="10154"/>
              <w:tab w:val="clear" w:pos="10144"/>
            </w:tabs>
            <w:spacing w:line="360" w:lineRule="auto"/>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"_Toc761" </w:instrText>
          </w:r>
          <w:r>
            <w:rPr>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CB2CA1">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"_Toc14330" </w:instrText>
          </w:r>
          <w:r>
            <w:rPr>
              <w:color w:val="auto"/>
              <w:highlight w:val="none"/>
            </w:rPr>
            <w:fldChar w:fldCharType="separate"/>
          </w:r>
          <w:r>
            <w:rPr>
              <w:rFonts w:hint="eastAsia" w:ascii="宋体" w:hAnsi="宋体" w:eastAsia="宋体" w:cs="宋体"/>
              <w:color w:val="auto"/>
              <w:szCs w:val="21"/>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89B787">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"_Toc6400" </w:instrText>
          </w:r>
          <w:r>
            <w:rPr>
              <w:color w:val="auto"/>
              <w:highlight w:val="none"/>
            </w:rPr>
            <w:fldChar w:fldCharType="separate"/>
          </w:r>
          <w:r>
            <w:rPr>
              <w:rFonts w:hint="eastAsia" w:ascii="宋体" w:hAnsi="宋体" w:eastAsia="宋体" w:cs="宋体"/>
              <w:color w:val="auto"/>
              <w:szCs w:val="21"/>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_Toc6400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EA5CB5">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"_Toc4028" </w:instrText>
          </w:r>
          <w:r>
            <w:rPr>
              <w:color w:val="auto"/>
              <w:highlight w:val="none"/>
            </w:rPr>
            <w:fldChar w:fldCharType="separate"/>
          </w:r>
          <w:r>
            <w:rPr>
              <w:rFonts w:hint="eastAsia" w:ascii="宋体" w:hAnsi="宋体" w:eastAsia="宋体" w:cs="宋体"/>
              <w:color w:val="auto"/>
              <w:szCs w:val="21"/>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EA77B2">
          <w:pPr>
            <w:pStyle w:val="37"/>
            <w:tabs>
              <w:tab w:val="right" w:leader="dot" w:pos="10154"/>
            </w:tabs>
            <w:spacing w:line="360" w:lineRule="auto"/>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"_Toc5569" </w:instrText>
          </w:r>
          <w:r>
            <w:rPr>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25BB77">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"_Toc22201" </w:instrText>
          </w:r>
          <w:r>
            <w:rPr>
              <w:color w:val="auto"/>
              <w:highlight w:val="none"/>
            </w:rPr>
            <w:fldChar w:fldCharType="separate"/>
          </w:r>
          <w:r>
            <w:rPr>
              <w:rFonts w:hint="eastAsia" w:ascii="宋体" w:hAnsi="宋体" w:eastAsia="宋体" w:cs="宋体"/>
              <w:color w:val="auto"/>
              <w:szCs w:val="21"/>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9770DC">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"_Toc9647" </w:instrText>
          </w:r>
          <w:r>
            <w:rPr>
              <w:color w:val="auto"/>
              <w:highlight w:val="none"/>
            </w:rPr>
            <w:fldChar w:fldCharType="separate"/>
          </w:r>
          <w:r>
            <w:rPr>
              <w:rFonts w:hint="eastAsia" w:ascii="宋体" w:hAnsi="宋体" w:eastAsia="宋体" w:cs="宋体"/>
              <w:color w:val="auto"/>
              <w:szCs w:val="21"/>
              <w:highlight w:val="none"/>
              <w:lang w:val="zh-CN"/>
            </w:rPr>
            <w:t>9</w:t>
          </w:r>
          <w:r>
            <w:rPr>
              <w:rFonts w:hint="eastAsia" w:ascii="宋体" w:hAnsi="宋体" w:eastAsia="宋体" w:cs="宋体"/>
              <w:color w:val="auto"/>
              <w:szCs w:val="24"/>
              <w:highlight w:val="none"/>
              <w:lang w:val="zh-CN"/>
            </w:rPr>
            <w:t xml:space="preserve"> </w:t>
          </w:r>
          <w:r>
            <w:rPr>
              <w:rFonts w:hint="eastAsia" w:ascii="宋体" w:hAnsi="宋体" w:eastAsia="宋体" w:cs="宋体"/>
              <w:color w:val="auto"/>
              <w:szCs w:val="21"/>
              <w:highlight w:val="none"/>
              <w:lang w:val="zh-CN"/>
            </w:rPr>
            <w:t>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_Toc9647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504844">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"_Toc16938" </w:instrText>
          </w:r>
          <w:r>
            <w:rPr>
              <w:color w:val="auto"/>
              <w:highlight w:val="none"/>
            </w:rPr>
            <w:fldChar w:fldCharType="separate"/>
          </w:r>
          <w:r>
            <w:rPr>
              <w:rFonts w:hint="eastAsia" w:ascii="宋体" w:hAnsi="宋体" w:eastAsia="宋体" w:cs="宋体"/>
              <w:color w:val="auto"/>
              <w:szCs w:val="21"/>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_Toc16938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C90807">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"_Toc14736" </w:instrText>
          </w:r>
          <w:r>
            <w:rPr>
              <w:color w:val="auto"/>
              <w:highlight w:val="none"/>
            </w:rPr>
            <w:fldChar w:fldCharType="separate"/>
          </w:r>
          <w:r>
            <w:rPr>
              <w:rFonts w:hint="eastAsia" w:ascii="宋体" w:hAnsi="宋体" w:eastAsia="宋体" w:cs="宋体"/>
              <w:color w:val="auto"/>
              <w:szCs w:val="21"/>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4BB137">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"_Toc20950" </w:instrText>
          </w:r>
          <w:r>
            <w:rPr>
              <w:color w:val="auto"/>
              <w:highlight w:val="none"/>
            </w:rPr>
            <w:fldChar w:fldCharType="separate"/>
          </w:r>
          <w:r>
            <w:rPr>
              <w:rFonts w:hint="eastAsia" w:ascii="宋体" w:hAnsi="宋体" w:eastAsia="宋体" w:cs="宋体"/>
              <w:color w:val="auto"/>
              <w:szCs w:val="21"/>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_Toc20950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8E26A">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"_Toc9097" </w:instrText>
          </w:r>
          <w:r>
            <w:rPr>
              <w:color w:val="auto"/>
              <w:highlight w:val="none"/>
            </w:rPr>
            <w:fldChar w:fldCharType="separate"/>
          </w:r>
          <w:r>
            <w:rPr>
              <w:rFonts w:hint="eastAsia" w:ascii="宋体" w:hAnsi="宋体" w:eastAsia="宋体" w:cs="宋体"/>
              <w:color w:val="auto"/>
              <w:szCs w:val="21"/>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35C00C">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"_Toc18559" </w:instrText>
          </w:r>
          <w:r>
            <w:rPr>
              <w:color w:val="auto"/>
              <w:highlight w:val="none"/>
            </w:rPr>
            <w:fldChar w:fldCharType="separate"/>
          </w:r>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D3AE46">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"_Toc9240" </w:instrText>
          </w:r>
          <w:r>
            <w:rPr>
              <w:color w:val="auto"/>
              <w:highlight w:val="none"/>
            </w:rPr>
            <w:fldChar w:fldCharType="separate"/>
          </w:r>
          <w:r>
            <w:rPr>
              <w:rFonts w:hint="eastAsia" w:ascii="宋体" w:hAnsi="宋体" w:eastAsia="宋体" w:cs="宋体"/>
              <w:color w:val="auto"/>
              <w:szCs w:val="21"/>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64FBA3">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"_Toc2317" </w:instrText>
          </w:r>
          <w:r>
            <w:rPr>
              <w:color w:val="auto"/>
              <w:highlight w:val="none"/>
            </w:rPr>
            <w:fldChar w:fldCharType="separate"/>
          </w:r>
          <w:r>
            <w:rPr>
              <w:rFonts w:hint="eastAsia" w:ascii="宋体" w:hAnsi="宋体" w:eastAsia="宋体" w:cs="宋体"/>
              <w:color w:val="auto"/>
              <w:szCs w:val="21"/>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7010E3">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"_Toc32032" </w:instrText>
          </w:r>
          <w:r>
            <w:rPr>
              <w:color w:val="auto"/>
              <w:highlight w:val="none"/>
            </w:rPr>
            <w:fldChar w:fldCharType="separate"/>
          </w:r>
          <w:r>
            <w:rPr>
              <w:rFonts w:hint="eastAsia" w:ascii="宋体" w:hAnsi="宋体" w:eastAsia="宋体" w:cs="宋体"/>
              <w:color w:val="auto"/>
              <w:szCs w:val="21"/>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_Toc32032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7CBD256">
          <w:pPr>
            <w:pStyle w:val="37"/>
            <w:tabs>
              <w:tab w:val="right" w:leader="dot" w:pos="10154"/>
            </w:tabs>
            <w:spacing w:line="360" w:lineRule="auto"/>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"_Toc21624" </w:instrText>
          </w:r>
          <w:r>
            <w:rPr>
              <w:color w:val="auto"/>
              <w:highlight w:val="none"/>
            </w:rPr>
            <w:fldChar w:fldCharType="separate"/>
          </w:r>
          <w:r>
            <w:rPr>
              <w:rFonts w:hint="eastAsia" w:ascii="宋体" w:hAnsi="宋体" w:eastAsia="宋体" w:cs="宋体"/>
              <w:bCs/>
              <w:color w:val="auto"/>
              <w:kern w:val="44"/>
              <w:szCs w:val="21"/>
              <w:highlight w:val="none"/>
              <w:lang w:val="zh-CN"/>
            </w:rPr>
            <w:t>四、投标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98554E">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"_Toc12343" </w:instrText>
          </w:r>
          <w:r>
            <w:rPr>
              <w:color w:val="auto"/>
              <w:highlight w:val="none"/>
            </w:rPr>
            <w:fldChar w:fldCharType="separate"/>
          </w:r>
          <w:r>
            <w:rPr>
              <w:rFonts w:hint="eastAsia" w:ascii="宋体" w:hAnsi="宋体" w:eastAsia="宋体" w:cs="宋体"/>
              <w:color w:val="auto"/>
              <w:szCs w:val="21"/>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F7BD2C">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"_Toc21351" </w:instrText>
          </w:r>
          <w:r>
            <w:rPr>
              <w:color w:val="auto"/>
              <w:highlight w:val="none"/>
            </w:rPr>
            <w:fldChar w:fldCharType="separate"/>
          </w:r>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893047">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"_Toc360" </w:instrText>
          </w:r>
          <w:r>
            <w:rPr>
              <w:color w:val="auto"/>
              <w:highlight w:val="none"/>
            </w:rPr>
            <w:fldChar w:fldCharType="separate"/>
          </w:r>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81FFA1F">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"_Toc17411"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_Toc17411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DF7811">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"_Toc21097"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39FC0E">
          <w:pPr>
            <w:pStyle w:val="37"/>
            <w:tabs>
              <w:tab w:val="right" w:leader="dot" w:pos="10154"/>
            </w:tabs>
            <w:spacing w:line="360" w:lineRule="auto"/>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"_Toc11843" </w:instrText>
          </w:r>
          <w:r>
            <w:rPr>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_Toc11843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27BDC9">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"_Toc10369"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34BC11">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"_Toc26515" </w:instrText>
          </w:r>
          <w:r>
            <w:rPr>
              <w:color w:val="auto"/>
              <w:highlight w:val="none"/>
            </w:rPr>
            <w:fldChar w:fldCharType="separate"/>
          </w: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1E6A572">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"_Toc23401" </w:instrText>
          </w:r>
          <w:r>
            <w:rPr>
              <w:color w:val="auto"/>
              <w:highlight w:val="none"/>
            </w:rPr>
            <w:fldChar w:fldCharType="separate"/>
          </w: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_Toc23401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01F8DA">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"_Toc32114" </w:instrText>
          </w:r>
          <w:r>
            <w:rPr>
              <w:color w:val="auto"/>
              <w:highlight w:val="none"/>
            </w:rPr>
            <w:fldChar w:fldCharType="separate"/>
          </w:r>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05E331">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"_Toc3515"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_Toc3515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9257436">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"_Toc26001"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_Toc26001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5ACBE3">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"_Toc28909" </w:instrText>
          </w:r>
          <w:r>
            <w:rPr>
              <w:color w:val="auto"/>
              <w:highlight w:val="none"/>
            </w:rPr>
            <w:fldChar w:fldCharType="separate"/>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_Toc28909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933EFF">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"_Toc17653" </w:instrText>
          </w:r>
          <w:r>
            <w:rPr>
              <w:color w:val="auto"/>
              <w:highlight w:val="none"/>
            </w:rPr>
            <w:fldChar w:fldCharType="separate"/>
          </w: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_Toc17653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4D32DA">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"_Toc18766" </w:instrText>
          </w:r>
          <w:r>
            <w:rPr>
              <w:color w:val="auto"/>
              <w:highlight w:val="none"/>
            </w:rPr>
            <w:fldChar w:fldCharType="separate"/>
          </w: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66128E">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"_Toc545" </w:instrText>
          </w:r>
          <w:r>
            <w:rPr>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75056D">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"_Toc19798" </w:instrText>
          </w:r>
          <w:r>
            <w:rPr>
              <w:color w:val="auto"/>
              <w:highlight w:val="none"/>
            </w:rPr>
            <w:fldChar w:fldCharType="separate"/>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_Toc19798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64F4342">
          <w:pPr>
            <w:pStyle w:val="37"/>
            <w:tabs>
              <w:tab w:val="right" w:leader="dot" w:pos="10154"/>
            </w:tabs>
            <w:spacing w:line="360" w:lineRule="auto"/>
            <w:ind w:left="0" w:leftChars="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"_Toc31130" </w:instrText>
          </w:r>
          <w:r>
            <w:rPr>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C06368">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"_Toc15958" </w:instrText>
          </w:r>
          <w:r>
            <w:rPr>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_Toc15958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4C19CC">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"_Toc31229" </w:instrText>
          </w:r>
          <w:r>
            <w:rPr>
              <w:color w:val="auto"/>
              <w:highlight w:val="none"/>
            </w:rPr>
            <w:fldChar w:fldCharType="separate"/>
          </w: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BB07DE">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"_Toc13861" </w:instrText>
          </w:r>
          <w:r>
            <w:rPr>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609F85">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"_Toc20036" </w:instrText>
          </w:r>
          <w:r>
            <w:rPr>
              <w:color w:val="auto"/>
              <w:highlight w:val="none"/>
            </w:rPr>
            <w:fldChar w:fldCharType="separate"/>
          </w: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_Toc20036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9F0F29">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"_Toc31651" </w:instrText>
          </w:r>
          <w:r>
            <w:rPr>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_Toc31651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9D3412">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"_Toc1997" </w:instrText>
          </w:r>
          <w:r>
            <w:rPr>
              <w:color w:val="auto"/>
              <w:highlight w:val="none"/>
            </w:rPr>
            <w:fldChar w:fldCharType="separate"/>
          </w:r>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5E7065">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"_Toc26459" </w:instrText>
          </w:r>
          <w:r>
            <w:rPr>
              <w:color w:val="auto"/>
              <w:highlight w:val="none"/>
            </w:rPr>
            <w:fldChar w:fldCharType="separate"/>
          </w: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40727C">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"_Toc26433" </w:instrText>
          </w:r>
          <w:r>
            <w:rPr>
              <w:color w:val="auto"/>
              <w:highlight w:val="none"/>
            </w:rPr>
            <w:fldChar w:fldCharType="separate"/>
          </w:r>
          <w:r>
            <w:rPr>
              <w:rFonts w:hint="eastAsia" w:ascii="宋体" w:hAnsi="宋体" w:eastAsia="宋体" w:cs="宋体"/>
              <w:color w:val="auto"/>
              <w:szCs w:val="21"/>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3DE8C7">
          <w:pPr>
            <w:pStyle w:val="24"/>
            <w:tabs>
              <w:tab w:val="right" w:leader="dot" w:pos="10154"/>
              <w:tab w:val="clear" w:pos="10144"/>
            </w:tabs>
            <w:spacing w:line="360" w:lineRule="auto"/>
            <w:ind w:left="0" w:leftChars="0"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"_Toc19408" </w:instrText>
          </w:r>
          <w:r>
            <w:rPr>
              <w:color w:val="auto"/>
              <w:highlight w:val="none"/>
            </w:rPr>
            <w:fldChar w:fldCharType="separate"/>
          </w:r>
          <w:r>
            <w:rPr>
              <w:rFonts w:hint="eastAsia" w:ascii="宋体" w:hAnsi="宋体" w:eastAsia="宋体" w:cs="宋体"/>
              <w:color w:val="auto"/>
              <w:szCs w:val="21"/>
              <w:highlight w:val="none"/>
            </w:rPr>
            <w:t>42 以联合体形式投标的，应符合以下规定：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CE872EC">
          <w:pPr>
            <w:pStyle w:val="24"/>
            <w:tabs>
              <w:tab w:val="right" w:leader="dot" w:pos="10154"/>
              <w:tab w:val="clear" w:pos="10144"/>
            </w:tabs>
            <w:spacing w:line="360" w:lineRule="auto"/>
            <w:ind w:left="0" w:leftChars="0"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"_Toc29070" </w:instrText>
          </w:r>
          <w:r>
            <w:rPr>
              <w:color w:val="auto"/>
              <w:highlight w:val="none"/>
            </w:rPr>
            <w:fldChar w:fldCharType="separate"/>
          </w:r>
          <w:r>
            <w:rPr>
              <w:rFonts w:hint="eastAsia" w:ascii="宋体" w:hAnsi="宋体" w:eastAsia="宋体" w:cs="宋体"/>
              <w:color w:val="auto"/>
              <w:szCs w:val="21"/>
              <w:highlight w:val="none"/>
            </w:rPr>
            <w:t>43 以联合体形式投标的企业说明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_Toc29070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262D7F">
          <w:pPr>
            <w:pStyle w:val="32"/>
            <w:tabs>
              <w:tab w:val="right" w:leader="dot" w:pos="10154"/>
            </w:tabs>
            <w:spacing w:line="360" w:lineRule="auto"/>
            <w:ind w:firstLine="420" w:firstLineChars="200"/>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"_Toc17799" </w:instrText>
          </w:r>
          <w:r>
            <w:rPr>
              <w:color w:val="auto"/>
              <w:highlight w:val="none"/>
            </w:rPr>
            <w:fldChar w:fldCharType="separate"/>
          </w:r>
          <w:r>
            <w:rPr>
              <w:rFonts w:hint="eastAsia" w:ascii="宋体" w:hAnsi="宋体" w:eastAsia="宋体" w:cs="宋体"/>
              <w:color w:val="auto"/>
              <w:szCs w:val="21"/>
              <w:highlight w:val="none"/>
            </w:rPr>
            <w:t>44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_Toc17799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4DF8FE">
          <w:pPr>
            <w:pStyle w:val="37"/>
            <w:tabs>
              <w:tab w:val="right" w:leader="dot" w:pos="10154"/>
            </w:tabs>
            <w:spacing w:line="360" w:lineRule="auto"/>
            <w:ind w:left="0" w:leftChars="0"/>
            <w:rPr>
              <w:rFonts w:ascii="宋体" w:hAnsi="宋体" w:eastAsia="宋体" w:cs="宋体"/>
              <w:b/>
              <w:bCs/>
              <w:color w:val="auto"/>
              <w:highlight w:val="none"/>
            </w:rPr>
          </w:pPr>
          <w:r>
            <w:rPr>
              <w:color w:val="auto"/>
              <w:highlight w:val="none"/>
            </w:rPr>
            <w:fldChar w:fldCharType="begin"/>
          </w:r>
          <w:r>
            <w:rPr>
              <w:color w:val="auto"/>
              <w:highlight w:val="none"/>
            </w:rPr>
            <w:instrText xml:space="preserve"> HYPERLINK \l "_Toc31662" </w:instrText>
          </w:r>
          <w:r>
            <w:rPr>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155669B">
          <w:pPr>
            <w:pStyle w:val="32"/>
            <w:tabs>
              <w:tab w:val="right" w:leader="dot" w:pos="10154"/>
            </w:tabs>
            <w:spacing w:line="360" w:lineRule="auto"/>
            <w:rPr>
              <w:rFonts w:ascii="宋体" w:hAnsi="宋体" w:eastAsia="宋体" w:cs="宋体"/>
              <w:b/>
              <w:bCs/>
              <w:color w:val="auto"/>
              <w:highlight w:val="none"/>
            </w:rPr>
          </w:pPr>
          <w:r>
            <w:rPr>
              <w:color w:val="auto"/>
              <w:highlight w:val="none"/>
            </w:rPr>
            <w:fldChar w:fldCharType="begin"/>
          </w:r>
          <w:r>
            <w:rPr>
              <w:color w:val="auto"/>
              <w:highlight w:val="none"/>
            </w:rPr>
            <w:instrText xml:space="preserve"> HYPERLINK \l "_Toc32243" </w:instrText>
          </w:r>
          <w:r>
            <w:rPr>
              <w:color w:val="auto"/>
              <w:highlight w:val="none"/>
            </w:rPr>
            <w:fldChar w:fldCharType="separate"/>
          </w:r>
          <w:r>
            <w:rPr>
              <w:rFonts w:hint="eastAsia" w:ascii="宋体" w:hAnsi="宋体" w:eastAsia="宋体" w:cs="宋体"/>
              <w:b/>
              <w:bCs/>
              <w:color w:val="auto"/>
              <w:kern w:val="44"/>
              <w:szCs w:val="32"/>
              <w:highlight w:val="none"/>
            </w:rPr>
            <w:t>第</w:t>
          </w:r>
          <w:r>
            <w:rPr>
              <w:rFonts w:hint="eastAsia" w:ascii="宋体" w:hAnsi="宋体" w:eastAsia="宋体" w:cs="宋体"/>
              <w:b/>
              <w:bCs/>
              <w:color w:val="auto"/>
              <w:kern w:val="44"/>
              <w:szCs w:val="32"/>
              <w:highlight w:val="none"/>
              <w:lang w:val="zh-CN"/>
            </w:rPr>
            <w:t>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_Toc32243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5F7CBD4">
          <w:pPr>
            <w:pStyle w:val="37"/>
            <w:tabs>
              <w:tab w:val="right" w:leader="dot" w:pos="10154"/>
            </w:tabs>
            <w:spacing w:line="360" w:lineRule="auto"/>
            <w:ind w:left="0" w:leftChars="0"/>
            <w:rPr>
              <w:rFonts w:ascii="宋体" w:hAnsi="宋体" w:eastAsia="宋体" w:cs="宋体"/>
              <w:b/>
              <w:bCs/>
              <w:color w:val="auto"/>
              <w:highlight w:val="none"/>
            </w:rPr>
          </w:pPr>
          <w:r>
            <w:rPr>
              <w:color w:val="auto"/>
              <w:highlight w:val="none"/>
            </w:rPr>
            <w:fldChar w:fldCharType="begin"/>
          </w:r>
          <w:r>
            <w:rPr>
              <w:color w:val="auto"/>
              <w:highlight w:val="none"/>
            </w:rPr>
            <w:instrText xml:space="preserve"> HYPERLINK \l "_Toc30969" </w:instrText>
          </w:r>
          <w:r>
            <w:rPr>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_Toc30969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B2798D3">
          <w:pPr>
            <w:pStyle w:val="24"/>
            <w:tabs>
              <w:tab w:val="right" w:leader="dot" w:pos="10154"/>
              <w:tab w:val="clear" w:pos="10144"/>
            </w:tabs>
            <w:spacing w:line="360" w:lineRule="auto"/>
            <w:ind w:left="0" w:leftChars="0"/>
            <w:rPr>
              <w:rFonts w:ascii="宋体" w:hAnsi="宋体" w:eastAsia="宋体" w:cs="宋体"/>
              <w:b/>
              <w:bCs/>
              <w:color w:val="auto"/>
              <w:highlight w:val="none"/>
            </w:rPr>
          </w:pPr>
          <w:r>
            <w:rPr>
              <w:color w:val="auto"/>
              <w:highlight w:val="none"/>
            </w:rPr>
            <w:fldChar w:fldCharType="begin"/>
          </w:r>
          <w:r>
            <w:rPr>
              <w:color w:val="auto"/>
              <w:highlight w:val="none"/>
            </w:rPr>
            <w:instrText xml:space="preserve"> HYPERLINK \l "_Toc14777" </w:instrText>
          </w:r>
          <w:r>
            <w:rPr>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_Toc14777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77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C5B1D25">
          <w:pPr>
            <w:pStyle w:val="32"/>
            <w:tabs>
              <w:tab w:val="right" w:leader="dot" w:pos="10154"/>
            </w:tabs>
            <w:spacing w:line="360" w:lineRule="auto"/>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"_Toc21901" </w:instrText>
          </w:r>
          <w:r>
            <w:rPr>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_Toc21901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140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0910530">
          <w:pPr>
            <w:spacing w:line="360" w:lineRule="auto"/>
            <w:rPr>
              <w:rFonts w:ascii="宋体" w:hAnsi="宋体" w:eastAsia="宋体" w:cs="宋体"/>
              <w:color w:val="auto"/>
              <w:highlight w:val="none"/>
            </w:rPr>
          </w:pPr>
          <w:r>
            <w:rPr>
              <w:rFonts w:hint="eastAsia" w:ascii="宋体" w:hAnsi="宋体" w:eastAsia="宋体" w:cs="宋体"/>
              <w:color w:val="auto"/>
              <w:highlight w:val="none"/>
            </w:rPr>
            <w:fldChar w:fldCharType="end"/>
          </w:r>
        </w:p>
      </w:sdtContent>
    </w:sdt>
    <w:p w14:paraId="7A08C1BA">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0" w:name="_Toc477"/>
      <w:bookmarkStart w:id="1" w:name="_Toc4205"/>
      <w:bookmarkStart w:id="2" w:name="_Toc9529"/>
      <w:bookmarkStart w:id="3" w:name="_Toc7476"/>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rPr>
        <w:t>一</w:t>
      </w:r>
      <w:r>
        <w:rPr>
          <w:rFonts w:hint="eastAsia" w:ascii="宋体" w:hAnsi="宋体" w:eastAsia="宋体" w:cs="宋体"/>
          <w:b/>
          <w:bCs/>
          <w:color w:val="auto"/>
          <w:kern w:val="44"/>
          <w:sz w:val="32"/>
          <w:szCs w:val="32"/>
          <w:highlight w:val="none"/>
          <w:lang w:val="zh-CN"/>
        </w:rPr>
        <w:t>篇</w:t>
      </w:r>
      <w:r>
        <w:rPr>
          <w:rFonts w:hint="eastAsia" w:ascii="宋体" w:hAnsi="宋体" w:eastAsia="宋体" w:cs="宋体"/>
          <w:b/>
          <w:bCs/>
          <w:color w:val="auto"/>
          <w:kern w:val="44"/>
          <w:sz w:val="32"/>
          <w:szCs w:val="32"/>
          <w:highlight w:val="none"/>
        </w:rPr>
        <w:t xml:space="preserve"> 招标公告</w:t>
      </w:r>
      <w:bookmarkEnd w:id="0"/>
      <w:bookmarkEnd w:id="1"/>
      <w:bookmarkEnd w:id="2"/>
      <w:bookmarkEnd w:id="3"/>
    </w:p>
    <w:p w14:paraId="6755F214">
      <w:pPr>
        <w:rPr>
          <w:rFonts w:ascii="宋体" w:hAnsi="宋体" w:eastAsia="宋体" w:cs="宋体"/>
          <w:color w:val="auto"/>
          <w:highlight w:val="none"/>
        </w:rPr>
      </w:pPr>
    </w:p>
    <w:p w14:paraId="10B32D52">
      <w:pPr>
        <w:autoSpaceDE w:val="0"/>
        <w:autoSpaceDN w:val="0"/>
        <w:adjustRightInd w:val="0"/>
        <w:snapToGrid w:val="0"/>
        <w:spacing w:line="360" w:lineRule="auto"/>
        <w:ind w:right="-34" w:firstLine="420" w:firstLineChars="20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广州宏达工程顾问集团有限公司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rPr>
        <w:t>东莞市水务集团科技发展有限公司</w:t>
      </w:r>
      <w:r>
        <w:rPr>
          <w:rFonts w:hint="eastAsia" w:ascii="宋体" w:hAnsi="宋体" w:eastAsia="宋体" w:cs="宋体"/>
          <w:color w:val="auto"/>
          <w:szCs w:val="21"/>
          <w:highlight w:val="none"/>
          <w:lang w:val="zh-CN"/>
        </w:rPr>
        <w:t>（以下简称“招标人”）的委托，对</w:t>
      </w:r>
      <w:bookmarkStart w:id="4" w:name="_Hlk41903390"/>
      <w:r>
        <w:rPr>
          <w:rFonts w:hint="eastAsia" w:ascii="宋体" w:hAnsi="宋体" w:eastAsia="宋体" w:cs="宋体"/>
          <w:color w:val="auto"/>
          <w:kern w:val="0"/>
          <w:szCs w:val="21"/>
          <w:highlight w:val="none"/>
          <w:lang w:eastAsia="zh-CN"/>
        </w:rPr>
        <w:t>东莞市水务环境投资控股集团分布式光伏发电项目（第一批）净水厂项目</w:t>
      </w:r>
      <w:r>
        <w:rPr>
          <w:rFonts w:hint="eastAsia" w:ascii="宋体" w:hAnsi="宋体" w:eastAsia="宋体" w:cs="宋体"/>
          <w:color w:val="auto"/>
          <w:szCs w:val="21"/>
          <w:highlight w:val="none"/>
          <w:lang w:val="zh-CN"/>
        </w:rPr>
        <w:t>(招标编号：SSZSSE12501902)</w:t>
      </w:r>
      <w:bookmarkEnd w:id="4"/>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CF56437">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14:paraId="3A7C5172">
      <w:pPr>
        <w:numPr>
          <w:ilvl w:val="0"/>
          <w:numId w:val="1"/>
        </w:numPr>
        <w:autoSpaceDE w:val="0"/>
        <w:autoSpaceDN w:val="0"/>
        <w:adjustRightInd w:val="0"/>
        <w:snapToGrid w:val="0"/>
        <w:spacing w:line="360" w:lineRule="auto"/>
        <w:ind w:left="0" w:right="-34" w:firstLine="0"/>
        <w:jc w:val="left"/>
        <w:rPr>
          <w:rFonts w:ascii="宋体" w:hAnsi="宋体" w:eastAsia="宋体" w:cs="宋体"/>
          <w:b/>
          <w:bCs/>
          <w:color w:val="auto"/>
          <w:szCs w:val="21"/>
          <w:highlight w:val="none"/>
          <w:lang w:val="zh-CN"/>
        </w:rPr>
      </w:pPr>
      <w:bookmarkStart w:id="5" w:name="_Toc8759"/>
      <w:bookmarkStart w:id="6" w:name="_Toc6549"/>
      <w:bookmarkStart w:id="7" w:name="_Toc12649"/>
      <w:r>
        <w:rPr>
          <w:rFonts w:hint="eastAsia" w:ascii="宋体" w:hAnsi="宋体" w:eastAsia="宋体" w:cs="宋体"/>
          <w:b/>
          <w:bCs/>
          <w:color w:val="auto"/>
          <w:szCs w:val="21"/>
          <w:highlight w:val="none"/>
          <w:lang w:val="zh-CN"/>
        </w:rPr>
        <w:t>招标范围：</w:t>
      </w:r>
      <w:bookmarkEnd w:id="5"/>
      <w:bookmarkEnd w:id="6"/>
      <w:bookmarkEnd w:id="7"/>
    </w:p>
    <w:tbl>
      <w:tblPr>
        <w:tblStyle w:val="46"/>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12"/>
        <w:gridCol w:w="6404"/>
      </w:tblGrid>
      <w:tr w14:paraId="71CC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412" w:type="dxa"/>
            <w:vAlign w:val="center"/>
          </w:tcPr>
          <w:p w14:paraId="1EE45AA8">
            <w:pPr>
              <w:spacing w:line="360" w:lineRule="auto"/>
              <w:ind w:firstLine="840" w:firstLineChars="40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项目内容</w:t>
            </w:r>
          </w:p>
        </w:tc>
        <w:tc>
          <w:tcPr>
            <w:tcW w:w="6404" w:type="dxa"/>
            <w:vAlign w:val="center"/>
          </w:tcPr>
          <w:p w14:paraId="46D49BC7">
            <w:pPr>
              <w:spacing w:line="360" w:lineRule="auto"/>
              <w:ind w:firstLine="2100" w:firstLineChars="1000"/>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完工</w:t>
            </w:r>
            <w:r>
              <w:rPr>
                <w:rFonts w:hint="eastAsia" w:ascii="宋体" w:hAnsi="宋体" w:eastAsia="宋体" w:cs="宋体"/>
                <w:bCs/>
                <w:color w:val="auto"/>
                <w:szCs w:val="21"/>
                <w:highlight w:val="none"/>
              </w:rPr>
              <w:t>期</w:t>
            </w:r>
          </w:p>
        </w:tc>
      </w:tr>
      <w:tr w14:paraId="53F0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412" w:type="dxa"/>
            <w:vAlign w:val="center"/>
          </w:tcPr>
          <w:p w14:paraId="5A00926B">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分布式光伏发电</w:t>
            </w:r>
            <w:r>
              <w:rPr>
                <w:rFonts w:hint="eastAsia" w:ascii="宋体" w:hAnsi="宋体" w:eastAsia="宋体" w:cs="宋体"/>
                <w:bCs/>
                <w:color w:val="auto"/>
                <w:szCs w:val="21"/>
                <w:highlight w:val="none"/>
                <w:lang w:eastAsia="zh-CN"/>
              </w:rPr>
              <w:t>产品及设计服务、</w:t>
            </w:r>
            <w:r>
              <w:rPr>
                <w:rFonts w:hint="eastAsia" w:ascii="宋体" w:hAnsi="宋体" w:eastAsia="宋体" w:cs="宋体"/>
                <w:bCs/>
                <w:color w:val="auto"/>
                <w:szCs w:val="21"/>
                <w:highlight w:val="none"/>
                <w:lang w:val="en-US" w:eastAsia="zh-CN"/>
              </w:rPr>
              <w:t>1年运营维护服务</w:t>
            </w:r>
            <w:r>
              <w:rPr>
                <w:rFonts w:hint="eastAsia" w:ascii="宋体" w:hAnsi="宋体" w:eastAsia="宋体" w:cs="宋体"/>
                <w:bCs/>
                <w:color w:val="auto"/>
                <w:szCs w:val="21"/>
                <w:highlight w:val="none"/>
                <w:lang w:eastAsia="zh-CN"/>
              </w:rPr>
              <w:t>采购</w:t>
            </w:r>
          </w:p>
        </w:tc>
        <w:tc>
          <w:tcPr>
            <w:tcW w:w="6404" w:type="dxa"/>
            <w:vAlign w:val="center"/>
          </w:tcPr>
          <w:p w14:paraId="72C20B1A">
            <w:pPr>
              <w:pStyle w:val="25"/>
              <w:spacing w:line="360" w:lineRule="auto"/>
              <w:rPr>
                <w:rFonts w:hint="eastAsia" w:hAnsi="宋体"/>
                <w:color w:val="auto"/>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1）深化设计工期：</w:t>
            </w:r>
            <w:r>
              <w:rPr>
                <w:rFonts w:hint="eastAsia"/>
                <w:color w:val="auto"/>
                <w:highlight w:val="none"/>
                <w:lang w:val="en-US" w:eastAsia="zh-CN"/>
              </w:rPr>
              <w:t>10</w:t>
            </w:r>
            <w:r>
              <w:rPr>
                <w:rFonts w:hint="eastAsia"/>
                <w:color w:val="auto"/>
                <w:highlight w:val="none"/>
              </w:rPr>
              <w:t>日</w:t>
            </w:r>
            <w:r>
              <w:rPr>
                <w:rFonts w:hint="eastAsia" w:hAnsi="宋体" w:cs="宋体"/>
                <w:color w:val="auto"/>
                <w:highlight w:val="none"/>
              </w:rPr>
              <w:t>（日历日，下同）</w:t>
            </w:r>
            <w:r>
              <w:rPr>
                <w:rFonts w:hint="eastAsia" w:hAnsi="宋体"/>
                <w:color w:val="auto"/>
                <w:highlight w:val="none"/>
                <w:lang w:eastAsia="zh-CN"/>
              </w:rPr>
              <w:t>。</w:t>
            </w:r>
          </w:p>
          <w:p w14:paraId="5E123B9F">
            <w:pPr>
              <w:pStyle w:val="25"/>
              <w:spacing w:line="360" w:lineRule="auto"/>
              <w:rPr>
                <w:rFonts w:hint="eastAsia" w:ascii="宋体" w:hAnsi="宋体" w:eastAsia="宋体" w:cs="宋体"/>
                <w:bCs/>
                <w:color w:val="auto"/>
                <w:szCs w:val="21"/>
                <w:highlight w:val="none"/>
                <w:lang w:val="en-US" w:eastAsia="zh-CN"/>
              </w:rPr>
            </w:pPr>
            <w:r>
              <w:rPr>
                <w:rFonts w:hint="eastAsia" w:hAnsi="宋体"/>
                <w:color w:val="auto"/>
                <w:highlight w:val="none"/>
                <w:lang w:eastAsia="zh-CN"/>
              </w:rPr>
              <w:t>（</w:t>
            </w:r>
            <w:r>
              <w:rPr>
                <w:rFonts w:hint="eastAsia" w:hAnsi="宋体"/>
                <w:color w:val="auto"/>
                <w:highlight w:val="none"/>
                <w:lang w:val="en-US" w:eastAsia="zh-CN"/>
              </w:rPr>
              <w:t>2）供货（包安装、并网通电）工期：</w:t>
            </w:r>
            <w:r>
              <w:rPr>
                <w:rFonts w:hint="eastAsia" w:hAnsi="宋体" w:cs="宋体"/>
                <w:color w:val="auto"/>
                <w:szCs w:val="21"/>
                <w:highlight w:val="none"/>
              </w:rPr>
              <w:t>每个子项目（厂区）的基准实施周期为150</w:t>
            </w:r>
            <w:r>
              <w:rPr>
                <w:rFonts w:hint="eastAsia" w:hAnsi="宋体" w:cs="宋体"/>
                <w:color w:val="auto"/>
                <w:highlight w:val="none"/>
              </w:rPr>
              <w:t>日</w:t>
            </w:r>
            <w:r>
              <w:rPr>
                <w:rFonts w:hint="eastAsia" w:hAnsi="宋体" w:cs="宋体"/>
                <w:color w:val="auto"/>
                <w:szCs w:val="21"/>
                <w:highlight w:val="none"/>
              </w:rPr>
              <w:t>。</w:t>
            </w:r>
          </w:p>
        </w:tc>
      </w:tr>
    </w:tbl>
    <w:p w14:paraId="363A5BFD">
      <w:pPr>
        <w:spacing w:line="360" w:lineRule="auto"/>
        <w:ind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rPr>
        <w:t>东莞市水务环境投资控股集团分布式光伏发电项目（第一批）7家净水厂光伏发电</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包括但不限于完成太阳能光伏组件至并网点全部项目的勘察与设计、设备材料供应及安装（含并网设施、光伏组件、交流汇流箱、逆变器、开关柜、光伏支架、电缆、监控、防雷及</w:t>
      </w:r>
      <w:r>
        <w:rPr>
          <w:rFonts w:hint="eastAsia" w:ascii="宋体" w:hAnsi="宋体" w:eastAsia="宋体" w:cs="宋体"/>
          <w:bCs/>
          <w:color w:val="auto"/>
          <w:szCs w:val="21"/>
          <w:highlight w:val="none"/>
          <w:lang w:val="zh-CN"/>
        </w:rPr>
        <w:t>安全等配套设施</w:t>
      </w:r>
      <w:r>
        <w:rPr>
          <w:rFonts w:hint="eastAsia" w:ascii="宋体" w:hAnsi="宋体" w:eastAsia="宋体" w:cs="宋体"/>
          <w:bCs/>
          <w:color w:val="auto"/>
          <w:szCs w:val="21"/>
          <w:highlight w:val="none"/>
        </w:rPr>
        <w:t>等光伏发电项目所有设备材料，运输、储存），以及在各水质净化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以及供电局所需的试验）并交付生产、培训、质量保修期内的消缺等</w:t>
      </w:r>
      <w:r>
        <w:rPr>
          <w:rFonts w:hint="eastAsia" w:ascii="宋体" w:hAnsi="宋体" w:eastAsia="宋体" w:cs="宋体"/>
          <w:color w:val="auto"/>
          <w:szCs w:val="21"/>
          <w:highlight w:val="none"/>
        </w:rPr>
        <w:t>完成并网投运</w:t>
      </w:r>
      <w:r>
        <w:rPr>
          <w:rFonts w:hint="eastAsia" w:ascii="宋体" w:hAnsi="宋体" w:eastAsia="宋体" w:cs="宋体"/>
          <w:bCs/>
          <w:color w:val="auto"/>
          <w:szCs w:val="21"/>
          <w:highlight w:val="none"/>
        </w:rPr>
        <w:t>全过程的工作，办理从项目备案到供电局并网投运全过程中所需的各类手续，在满足合同其它责任和义务的同时使本项目符合相关达标验收的要求，提供1年的</w:t>
      </w:r>
      <w:r>
        <w:rPr>
          <w:rFonts w:hint="eastAsia" w:ascii="宋体" w:hAnsi="宋体" w:eastAsia="宋体" w:cs="宋体"/>
          <w:bCs/>
          <w:color w:val="auto"/>
          <w:szCs w:val="21"/>
          <w:highlight w:val="none"/>
          <w:lang w:val="zh-CN"/>
        </w:rPr>
        <w:t>运营维护服务</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zh-CN"/>
        </w:rPr>
        <w:t>（具体内容详见：第三篇用户需求书）。</w:t>
      </w:r>
    </w:p>
    <w:p w14:paraId="3B91471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注：投标人</w:t>
      </w:r>
      <w:r>
        <w:rPr>
          <w:rFonts w:hint="eastAsia" w:ascii="宋体" w:hAnsi="宋体" w:eastAsia="宋体" w:cs="宋体"/>
          <w:b/>
          <w:bCs/>
          <w:color w:val="auto"/>
          <w:highlight w:val="none"/>
        </w:rPr>
        <w:t>（或联合体投标时的任一成员）</w:t>
      </w:r>
      <w:r>
        <w:rPr>
          <w:rFonts w:hint="eastAsia" w:ascii="宋体" w:hAnsi="宋体" w:eastAsia="宋体" w:cs="宋体"/>
          <w:b/>
          <w:color w:val="auto"/>
          <w:szCs w:val="21"/>
          <w:highlight w:val="none"/>
        </w:rPr>
        <w:t>可参加东莞市水务环境投资控股集团分布式光伏发电项目（第一批）供水厂项目和</w:t>
      </w:r>
      <w:r>
        <w:rPr>
          <w:rFonts w:hint="eastAsia" w:ascii="宋体" w:hAnsi="宋体" w:eastAsia="宋体" w:cs="宋体"/>
          <w:b/>
          <w:color w:val="auto"/>
          <w:szCs w:val="21"/>
          <w:highlight w:val="none"/>
          <w:lang w:eastAsia="zh-CN"/>
        </w:rPr>
        <w:t>东莞市水务环境投资控股集团分布式光伏发电项目（第一批）净水厂项目</w:t>
      </w:r>
      <w:r>
        <w:rPr>
          <w:rFonts w:hint="eastAsia" w:ascii="宋体" w:hAnsi="宋体" w:eastAsia="宋体" w:cs="宋体"/>
          <w:b/>
          <w:color w:val="auto"/>
          <w:szCs w:val="21"/>
          <w:highlight w:val="none"/>
        </w:rPr>
        <w:t>的投标，但仅可承接其中一个光伏发电项目。若投标人</w:t>
      </w:r>
      <w:r>
        <w:rPr>
          <w:rFonts w:hint="eastAsia" w:ascii="宋体" w:hAnsi="宋体" w:eastAsia="宋体" w:cs="宋体"/>
          <w:b/>
          <w:bCs/>
          <w:color w:val="auto"/>
          <w:highlight w:val="none"/>
        </w:rPr>
        <w:t>（或联合体投标时的任一成员）</w:t>
      </w:r>
      <w:r>
        <w:rPr>
          <w:rFonts w:hint="eastAsia" w:ascii="宋体" w:hAnsi="宋体" w:eastAsia="宋体" w:cs="宋体"/>
          <w:b/>
          <w:color w:val="auto"/>
          <w:szCs w:val="21"/>
          <w:highlight w:val="none"/>
        </w:rPr>
        <w:t>已在前述任意一个项目的评审中被推荐为第一中标候选人，则在另一个项目的评审时，该投标人</w:t>
      </w:r>
      <w:r>
        <w:rPr>
          <w:rFonts w:hint="eastAsia" w:ascii="宋体" w:hAnsi="宋体" w:eastAsia="宋体" w:cs="宋体"/>
          <w:b/>
          <w:bCs/>
          <w:color w:val="auto"/>
          <w:highlight w:val="none"/>
        </w:rPr>
        <w:t>（或联合体投标时的任一成员，以及有该成员组成的新联合体）</w:t>
      </w:r>
      <w:r>
        <w:rPr>
          <w:rFonts w:hint="eastAsia" w:ascii="宋体" w:hAnsi="宋体" w:eastAsia="宋体" w:cs="宋体"/>
          <w:b/>
          <w:color w:val="auto"/>
          <w:szCs w:val="21"/>
          <w:highlight w:val="none"/>
        </w:rPr>
        <w:t>不可被推荐为中标候选人，由其他得分次高的投标人替代。</w:t>
      </w:r>
    </w:p>
    <w:p w14:paraId="38D7FC0D">
      <w:pPr>
        <w:autoSpaceDE w:val="0"/>
        <w:autoSpaceDN w:val="0"/>
        <w:adjustRightInd w:val="0"/>
        <w:spacing w:line="360" w:lineRule="auto"/>
        <w:ind w:right="-29" w:rightChars="-14"/>
        <w:rPr>
          <w:rFonts w:ascii="宋体" w:hAnsi="宋体" w:eastAsia="宋体" w:cs="宋体"/>
          <w:color w:val="auto"/>
          <w:szCs w:val="21"/>
          <w:highlight w:val="none"/>
          <w:lang w:val="zh-CN"/>
        </w:rPr>
      </w:pPr>
    </w:p>
    <w:p w14:paraId="77A01DB3">
      <w:pPr>
        <w:numPr>
          <w:ilvl w:val="0"/>
          <w:numId w:val="1"/>
        </w:numPr>
        <w:autoSpaceDE w:val="0"/>
        <w:autoSpaceDN w:val="0"/>
        <w:adjustRightInd w:val="0"/>
        <w:snapToGrid w:val="0"/>
        <w:spacing w:line="360" w:lineRule="auto"/>
        <w:ind w:right="-34"/>
        <w:jc w:val="left"/>
        <w:rPr>
          <w:rFonts w:ascii="宋体" w:hAnsi="宋体" w:eastAsia="宋体" w:cs="宋体"/>
          <w:b/>
          <w:color w:val="auto"/>
          <w:szCs w:val="21"/>
          <w:highlight w:val="none"/>
          <w:lang w:val="zh-CN"/>
        </w:rPr>
      </w:pPr>
      <w:bookmarkStart w:id="8" w:name="_Toc11466"/>
      <w:bookmarkStart w:id="9" w:name="_Toc540"/>
      <w:bookmarkStart w:id="10" w:name="_Toc3508"/>
      <w:r>
        <w:rPr>
          <w:rFonts w:hint="eastAsia" w:ascii="宋体" w:hAnsi="宋体" w:eastAsia="宋体" w:cs="宋体"/>
          <w:b/>
          <w:color w:val="auto"/>
          <w:szCs w:val="21"/>
          <w:highlight w:val="none"/>
          <w:lang w:val="zh-CN"/>
        </w:rPr>
        <w:t>合格投标人资格要求：</w:t>
      </w:r>
      <w:bookmarkEnd w:id="8"/>
      <w:bookmarkEnd w:id="9"/>
      <w:bookmarkEnd w:id="10"/>
    </w:p>
    <w:p w14:paraId="18FC236B">
      <w:pPr>
        <w:pStyle w:val="170"/>
        <w:spacing w:line="360" w:lineRule="auto"/>
        <w:ind w:left="422" w:right="-29" w:rightChars="-14" w:hanging="422" w:hangingChars="200"/>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2.1 在中华人民共和国境内登记注册、合法存续、正常经营且具有独立承担民事责任能力的法人或其他组织。</w:t>
      </w:r>
    </w:p>
    <w:p w14:paraId="25976754">
      <w:pPr>
        <w:spacing w:line="360" w:lineRule="auto"/>
        <w:ind w:left="422" w:hanging="422" w:hangingChars="200"/>
        <w:rPr>
          <w:rFonts w:ascii="宋体" w:hAnsi="宋体" w:eastAsia="宋体" w:cs="宋体"/>
          <w:b/>
          <w:color w:val="auto"/>
          <w:szCs w:val="21"/>
          <w:highlight w:val="none"/>
          <w:lang w:val="zh-CN"/>
        </w:rPr>
      </w:pPr>
      <w:bookmarkStart w:id="11" w:name="_Toc25819"/>
      <w:r>
        <w:rPr>
          <w:rFonts w:hint="eastAsia" w:ascii="宋体" w:hAnsi="宋体" w:eastAsia="宋体" w:cs="宋体"/>
          <w:b/>
          <w:color w:val="auto"/>
          <w:szCs w:val="21"/>
          <w:highlight w:val="none"/>
          <w:lang w:val="zh-CN"/>
        </w:rPr>
        <w:t xml:space="preserve">2.2 </w:t>
      </w:r>
      <w:r>
        <w:rPr>
          <w:rFonts w:hint="eastAsia" w:ascii="宋体" w:hAnsi="宋体" w:eastAsia="宋体" w:cs="宋体"/>
          <w:b/>
          <w:color w:val="auto"/>
          <w:szCs w:val="21"/>
          <w:highlight w:val="none"/>
        </w:rPr>
        <w:t>本项目的特定资格要求：</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供货安装</w:t>
      </w:r>
      <w:r>
        <w:rPr>
          <w:rFonts w:hint="eastAsia" w:ascii="宋体" w:hAnsi="宋体" w:eastAsia="宋体" w:cs="宋体"/>
          <w:b/>
          <w:color w:val="auto"/>
          <w:szCs w:val="21"/>
          <w:highlight w:val="none"/>
          <w:lang w:val="zh-CN"/>
        </w:rPr>
        <w:t>资质：①具有以下其中一种资质：a）电力工程施工总承包</w:t>
      </w:r>
      <w:r>
        <w:rPr>
          <w:rFonts w:hint="eastAsia" w:ascii="宋体" w:hAnsi="宋体" w:eastAsia="宋体" w:cs="宋体"/>
          <w:b/>
          <w:color w:val="auto"/>
          <w:szCs w:val="21"/>
          <w:highlight w:val="none"/>
        </w:rPr>
        <w:t>乙级</w:t>
      </w:r>
      <w:r>
        <w:rPr>
          <w:rFonts w:hint="eastAsia" w:ascii="宋体" w:hAnsi="宋体" w:eastAsia="宋体" w:cs="宋体"/>
          <w:b/>
          <w:color w:val="auto"/>
          <w:szCs w:val="21"/>
          <w:highlight w:val="none"/>
          <w:lang w:val="zh-CN"/>
        </w:rPr>
        <w:t>（或以上）企业资质；</w:t>
      </w:r>
      <w:r>
        <w:rPr>
          <w:rFonts w:hint="eastAsia" w:ascii="宋体" w:hAnsi="宋体" w:eastAsia="宋体" w:cs="宋体"/>
          <w:b/>
          <w:color w:val="auto"/>
          <w:szCs w:val="21"/>
          <w:highlight w:val="none"/>
        </w:rPr>
        <w:t>b</w:t>
      </w:r>
      <w:r>
        <w:rPr>
          <w:rFonts w:hint="eastAsia" w:ascii="宋体" w:hAnsi="宋体" w:eastAsia="宋体" w:cs="宋体"/>
          <w:b/>
          <w:color w:val="auto"/>
          <w:szCs w:val="21"/>
          <w:highlight w:val="none"/>
          <w:lang w:val="zh-CN"/>
        </w:rPr>
        <w:t>）输变电工程专业承包</w:t>
      </w:r>
      <w:r>
        <w:rPr>
          <w:rFonts w:hint="eastAsia" w:ascii="宋体" w:hAnsi="宋体" w:eastAsia="宋体" w:cs="宋体"/>
          <w:b/>
          <w:color w:val="auto"/>
          <w:szCs w:val="21"/>
          <w:highlight w:val="none"/>
        </w:rPr>
        <w:t>乙级</w:t>
      </w:r>
      <w:r>
        <w:rPr>
          <w:rFonts w:hint="eastAsia" w:ascii="宋体" w:hAnsi="宋体" w:eastAsia="宋体" w:cs="宋体"/>
          <w:b/>
          <w:color w:val="auto"/>
          <w:szCs w:val="21"/>
          <w:highlight w:val="none"/>
          <w:lang w:val="zh-CN"/>
        </w:rPr>
        <w:t>（或以上）企业资质【</w:t>
      </w:r>
      <w:r>
        <w:rPr>
          <w:rFonts w:hint="eastAsia" w:ascii="宋体" w:hAnsi="宋体" w:eastAsia="宋体" w:cs="宋体"/>
          <w:b/>
          <w:color w:val="auto"/>
          <w:szCs w:val="21"/>
          <w:highlight w:val="none"/>
        </w:rPr>
        <w:t>或更换资质证书前有效期内：</w:t>
      </w:r>
      <w:bookmarkStart w:id="12" w:name="OLE_LINK129"/>
      <w:r>
        <w:rPr>
          <w:rFonts w:hint="eastAsia" w:ascii="宋体" w:hAnsi="宋体" w:eastAsia="宋体" w:cs="宋体"/>
          <w:b/>
          <w:color w:val="auto"/>
          <w:szCs w:val="21"/>
          <w:highlight w:val="none"/>
          <w:lang w:val="zh-CN"/>
        </w:rPr>
        <w:t>电力工程施工总承包三级（或以上）企业资质；</w:t>
      </w:r>
      <w:r>
        <w:rPr>
          <w:rFonts w:hint="eastAsia" w:ascii="宋体" w:hAnsi="宋体" w:eastAsia="宋体" w:cs="宋体"/>
          <w:b/>
          <w:color w:val="auto"/>
          <w:szCs w:val="21"/>
          <w:highlight w:val="none"/>
        </w:rPr>
        <w:t>或</w:t>
      </w:r>
      <w:r>
        <w:rPr>
          <w:rFonts w:hint="eastAsia" w:ascii="宋体" w:hAnsi="宋体" w:eastAsia="宋体" w:cs="宋体"/>
          <w:b/>
          <w:color w:val="auto"/>
          <w:szCs w:val="21"/>
          <w:highlight w:val="none"/>
          <w:lang w:val="zh-CN"/>
        </w:rPr>
        <w:t>输变电工程专业承包三级（或以上）企业资质</w:t>
      </w:r>
      <w:bookmarkEnd w:id="12"/>
      <w:r>
        <w:rPr>
          <w:rFonts w:hint="eastAsia" w:ascii="宋体" w:hAnsi="宋体" w:eastAsia="宋体" w:cs="宋体"/>
          <w:b/>
          <w:color w:val="auto"/>
          <w:szCs w:val="21"/>
          <w:highlight w:val="none"/>
          <w:lang w:val="zh-CN"/>
        </w:rPr>
        <w:t>】；②具有《承装（修、试）电力设施许可证》承装类五级或以上资质【或具</w:t>
      </w:r>
      <w:r>
        <w:rPr>
          <w:rFonts w:hint="eastAsia" w:ascii="宋体" w:hAnsi="宋体" w:eastAsia="宋体" w:cs="宋体"/>
          <w:b/>
          <w:color w:val="auto"/>
          <w:szCs w:val="21"/>
          <w:highlight w:val="none"/>
        </w:rPr>
        <w:t>有</w:t>
      </w:r>
      <w:r>
        <w:rPr>
          <w:rFonts w:hint="eastAsia" w:ascii="宋体" w:hAnsi="宋体" w:eastAsia="宋体" w:cs="宋体"/>
          <w:b/>
          <w:bCs/>
          <w:color w:val="auto"/>
          <w:szCs w:val="24"/>
          <w:highlight w:val="none"/>
        </w:rPr>
        <w:t>2025年7月1日</w:t>
      </w:r>
      <w:r>
        <w:rPr>
          <w:rFonts w:hint="eastAsia" w:ascii="宋体" w:hAnsi="宋体" w:eastAsia="宋体" w:cs="宋体"/>
          <w:b/>
          <w:color w:val="auto"/>
          <w:szCs w:val="21"/>
          <w:highlight w:val="none"/>
        </w:rPr>
        <w:t>以来</w:t>
      </w:r>
      <w:r>
        <w:rPr>
          <w:rFonts w:hint="eastAsia" w:ascii="宋体" w:hAnsi="宋体" w:eastAsia="宋体" w:cs="宋体"/>
          <w:b/>
          <w:color w:val="auto"/>
          <w:szCs w:val="21"/>
          <w:highlight w:val="none"/>
          <w:lang w:val="zh-CN"/>
        </w:rPr>
        <w:t>颁发</w:t>
      </w:r>
      <w:r>
        <w:rPr>
          <w:rFonts w:hint="eastAsia" w:ascii="宋体" w:hAnsi="宋体" w:eastAsia="宋体" w:cs="宋体"/>
          <w:b/>
          <w:color w:val="auto"/>
          <w:szCs w:val="21"/>
          <w:highlight w:val="none"/>
        </w:rPr>
        <w:t>或换领</w:t>
      </w:r>
      <w:r>
        <w:rPr>
          <w:rFonts w:hint="eastAsia" w:ascii="宋体" w:hAnsi="宋体" w:eastAsia="宋体" w:cs="宋体"/>
          <w:b/>
          <w:color w:val="auto"/>
          <w:szCs w:val="21"/>
          <w:highlight w:val="none"/>
          <w:lang w:val="zh-CN"/>
        </w:rPr>
        <w:t>的《承装（修、试）电力设施许可证》承装类三级或以上电子证照】；③具有在效期内的《安全生产许可证》。（</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）设</w:t>
      </w:r>
      <w:bookmarkStart w:id="13" w:name="OLE_LINK25"/>
      <w:r>
        <w:rPr>
          <w:rFonts w:hint="eastAsia" w:ascii="宋体" w:hAnsi="宋体" w:eastAsia="宋体" w:cs="宋体"/>
          <w:b/>
          <w:color w:val="auto"/>
          <w:szCs w:val="21"/>
          <w:highlight w:val="none"/>
          <w:lang w:val="zh-CN"/>
        </w:rPr>
        <w:t>计</w:t>
      </w:r>
      <w:bookmarkEnd w:id="13"/>
      <w:r>
        <w:rPr>
          <w:rFonts w:hint="eastAsia" w:ascii="宋体" w:hAnsi="宋体" w:eastAsia="宋体" w:cs="宋体"/>
          <w:b/>
          <w:color w:val="auto"/>
          <w:szCs w:val="21"/>
          <w:highlight w:val="none"/>
          <w:lang w:val="zh-CN"/>
        </w:rPr>
        <w:t>资质：具有有效期内</w:t>
      </w:r>
      <w:r>
        <w:rPr>
          <w:rFonts w:hint="eastAsia" w:ascii="宋体" w:hAnsi="宋体" w:eastAsia="宋体" w:cs="宋体"/>
          <w:b/>
          <w:color w:val="auto"/>
          <w:szCs w:val="21"/>
          <w:highlight w:val="none"/>
        </w:rPr>
        <w:t>的</w:t>
      </w:r>
      <w:r>
        <w:rPr>
          <w:rFonts w:hint="eastAsia" w:ascii="宋体" w:hAnsi="宋体" w:eastAsia="宋体" w:cs="宋体"/>
          <w:b/>
          <w:color w:val="auto"/>
          <w:szCs w:val="21"/>
          <w:highlight w:val="none"/>
          <w:lang w:val="zh-CN"/>
        </w:rPr>
        <w:t>工程设计综合资质，或工程设计电力行业乙级（或以上）资质，或工程设计电力行业（送</w:t>
      </w:r>
      <w:r>
        <w:rPr>
          <w:rFonts w:hint="eastAsia" w:ascii="宋体" w:hAnsi="宋体" w:eastAsia="宋体" w:cs="宋体"/>
          <w:b/>
          <w:color w:val="auto"/>
          <w:szCs w:val="21"/>
          <w:highlight w:val="none"/>
        </w:rPr>
        <w:t>变</w:t>
      </w:r>
      <w:r>
        <w:rPr>
          <w:rFonts w:hint="eastAsia" w:ascii="宋体" w:hAnsi="宋体" w:eastAsia="宋体" w:cs="宋体"/>
          <w:b/>
          <w:color w:val="auto"/>
          <w:szCs w:val="21"/>
          <w:highlight w:val="none"/>
          <w:lang w:val="zh-CN"/>
        </w:rPr>
        <w:t>电工程）专业乙级（或以上）资质，或工程设计电力行业（新能源发电</w:t>
      </w:r>
      <w:r>
        <w:rPr>
          <w:rFonts w:hint="eastAsia" w:ascii="宋体" w:hAnsi="宋体" w:eastAsia="宋体" w:cs="宋体"/>
          <w:b/>
          <w:color w:val="auto"/>
          <w:szCs w:val="21"/>
          <w:highlight w:val="none"/>
        </w:rPr>
        <w:t>工程</w:t>
      </w:r>
      <w:r>
        <w:rPr>
          <w:rFonts w:hint="eastAsia" w:ascii="宋体" w:hAnsi="宋体" w:eastAsia="宋体" w:cs="宋体"/>
          <w:b/>
          <w:color w:val="auto"/>
          <w:szCs w:val="21"/>
          <w:highlight w:val="none"/>
          <w:lang w:val="zh-CN"/>
        </w:rPr>
        <w:t>）专业乙级（或以上）资质【</w:t>
      </w:r>
      <w:r>
        <w:rPr>
          <w:rFonts w:hint="eastAsia" w:ascii="宋体" w:hAnsi="宋体" w:eastAsia="宋体" w:cs="宋体"/>
          <w:b/>
          <w:color w:val="auto"/>
          <w:szCs w:val="21"/>
          <w:highlight w:val="none"/>
        </w:rPr>
        <w:t>或更换资质证书前有效期内</w:t>
      </w:r>
      <w:r>
        <w:rPr>
          <w:rFonts w:hint="eastAsia" w:ascii="宋体" w:hAnsi="宋体" w:eastAsia="宋体" w:cs="宋体"/>
          <w:b/>
          <w:color w:val="auto"/>
          <w:szCs w:val="21"/>
          <w:highlight w:val="none"/>
          <w:lang w:val="zh-CN"/>
        </w:rPr>
        <w:t>：工程设计综合</w:t>
      </w:r>
      <w:r>
        <w:rPr>
          <w:rFonts w:hint="eastAsia" w:ascii="宋体" w:hAnsi="宋体" w:eastAsia="宋体" w:cs="宋体"/>
          <w:b/>
          <w:color w:val="auto"/>
          <w:szCs w:val="21"/>
          <w:highlight w:val="none"/>
        </w:rPr>
        <w:t>甲级</w:t>
      </w:r>
      <w:r>
        <w:rPr>
          <w:rFonts w:hint="eastAsia" w:ascii="宋体" w:hAnsi="宋体" w:eastAsia="宋体" w:cs="宋体"/>
          <w:b/>
          <w:color w:val="auto"/>
          <w:szCs w:val="21"/>
          <w:highlight w:val="none"/>
          <w:lang w:val="zh-CN"/>
        </w:rPr>
        <w:t>资质，或</w:t>
      </w:r>
      <w:bookmarkStart w:id="14" w:name="OLE_LINK156"/>
      <w:r>
        <w:rPr>
          <w:rFonts w:hint="eastAsia" w:ascii="宋体" w:hAnsi="宋体" w:eastAsia="宋体" w:cs="宋体"/>
          <w:b/>
          <w:color w:val="auto"/>
          <w:szCs w:val="21"/>
          <w:highlight w:val="none"/>
          <w:lang w:val="zh-CN"/>
        </w:rPr>
        <w:t>工程设计电力行业</w:t>
      </w:r>
      <w:bookmarkEnd w:id="14"/>
      <w:r>
        <w:rPr>
          <w:rFonts w:hint="eastAsia" w:ascii="宋体" w:hAnsi="宋体" w:eastAsia="宋体" w:cs="宋体"/>
          <w:b/>
          <w:color w:val="auto"/>
          <w:szCs w:val="21"/>
          <w:highlight w:val="none"/>
          <w:lang w:val="zh-CN"/>
        </w:rPr>
        <w:t>乙级（或以上）资质，或</w:t>
      </w:r>
      <w:bookmarkStart w:id="15" w:name="OLE_LINK157"/>
      <w:r>
        <w:rPr>
          <w:rFonts w:hint="eastAsia" w:ascii="宋体" w:hAnsi="宋体" w:eastAsia="宋体" w:cs="宋体"/>
          <w:b/>
          <w:color w:val="auto"/>
          <w:szCs w:val="21"/>
          <w:highlight w:val="none"/>
          <w:lang w:val="zh-CN"/>
        </w:rPr>
        <w:t>工程设计电力行业（送电工程或变电工程）专业</w:t>
      </w:r>
      <w:bookmarkEnd w:id="15"/>
      <w:r>
        <w:rPr>
          <w:rFonts w:hint="eastAsia" w:ascii="宋体" w:hAnsi="宋体" w:eastAsia="宋体" w:cs="宋体"/>
          <w:b/>
          <w:color w:val="auto"/>
          <w:szCs w:val="21"/>
          <w:highlight w:val="none"/>
          <w:lang w:val="zh-CN"/>
        </w:rPr>
        <w:t>丙级（或以上）资质，或</w:t>
      </w:r>
      <w:bookmarkStart w:id="16" w:name="OLE_LINK158"/>
      <w:r>
        <w:rPr>
          <w:rFonts w:hint="eastAsia" w:ascii="宋体" w:hAnsi="宋体" w:eastAsia="宋体" w:cs="宋体"/>
          <w:b/>
          <w:color w:val="auto"/>
          <w:szCs w:val="21"/>
          <w:highlight w:val="none"/>
          <w:lang w:val="zh-CN"/>
        </w:rPr>
        <w:t>工程设计电力行业（新能源发电）专业</w:t>
      </w:r>
      <w:bookmarkEnd w:id="16"/>
      <w:r>
        <w:rPr>
          <w:rFonts w:hint="eastAsia" w:ascii="宋体" w:hAnsi="宋体" w:eastAsia="宋体" w:cs="宋体"/>
          <w:b/>
          <w:color w:val="auto"/>
          <w:szCs w:val="21"/>
          <w:highlight w:val="none"/>
          <w:lang w:val="zh-CN"/>
        </w:rPr>
        <w:t>乙级资质】。</w:t>
      </w:r>
    </w:p>
    <w:p w14:paraId="43FAFCA2">
      <w:pPr>
        <w:pStyle w:val="170"/>
        <w:spacing w:line="360" w:lineRule="auto"/>
        <w:ind w:left="422" w:right="-29" w:rightChars="-14" w:hanging="422" w:hangingChars="200"/>
        <w:jc w:val="both"/>
        <w:rPr>
          <w:rFonts w:hint="default" w:hAnsi="宋体" w:eastAsia="宋体" w:cs="宋体"/>
          <w:b/>
          <w:color w:val="auto"/>
          <w:sz w:val="21"/>
          <w:szCs w:val="21"/>
          <w:highlight w:val="none"/>
          <w:lang w:val="en-US" w:eastAsia="zh-CN"/>
        </w:rPr>
      </w:pPr>
      <w:bookmarkStart w:id="17" w:name="OLE_LINK30"/>
      <w:r>
        <w:rPr>
          <w:rFonts w:hint="eastAsia" w:hAnsi="宋体" w:eastAsia="宋体" w:cs="宋体"/>
          <w:b/>
          <w:color w:val="auto"/>
          <w:sz w:val="21"/>
          <w:szCs w:val="21"/>
          <w:highlight w:val="none"/>
          <w:lang w:val="en-US" w:eastAsia="zh-CN"/>
        </w:rPr>
        <w:t>2.3 项目负责人要求（若为联合体投标的，以联合体牵头单位提供的人员为准，联合体成员单位提供的人员不予认可）：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w:t>
      </w:r>
    </w:p>
    <w:p w14:paraId="76A35DD4">
      <w:pPr>
        <w:pStyle w:val="170"/>
        <w:spacing w:line="360" w:lineRule="auto"/>
        <w:ind w:left="422" w:right="-29" w:rightChars="-14" w:hanging="422" w:hangingChars="200"/>
        <w:jc w:val="both"/>
        <w:rPr>
          <w:rFonts w:hAnsi="宋体" w:eastAsia="宋体" w:cs="宋体"/>
          <w:b/>
          <w:color w:val="auto"/>
          <w:sz w:val="21"/>
          <w:szCs w:val="21"/>
          <w:highlight w:val="none"/>
        </w:rPr>
      </w:pPr>
      <w:r>
        <w:rPr>
          <w:rFonts w:hint="eastAsia" w:hAnsi="宋体" w:eastAsia="宋体" w:cs="宋体"/>
          <w:b/>
          <w:color w:val="auto"/>
          <w:sz w:val="21"/>
          <w:szCs w:val="21"/>
          <w:highlight w:val="none"/>
        </w:rPr>
        <w:t>2.</w:t>
      </w:r>
      <w:r>
        <w:rPr>
          <w:rFonts w:hint="eastAsia" w:hAnsi="宋体" w:eastAsia="宋体" w:cs="宋体"/>
          <w:b/>
          <w:color w:val="auto"/>
          <w:sz w:val="21"/>
          <w:szCs w:val="21"/>
          <w:highlight w:val="none"/>
          <w:lang w:val="en-US" w:eastAsia="zh-CN"/>
        </w:rPr>
        <w:t>4</w:t>
      </w:r>
      <w:r>
        <w:rPr>
          <w:rFonts w:hint="eastAsia" w:hAnsi="宋体" w:eastAsia="宋体" w:cs="宋体"/>
          <w:b/>
          <w:color w:val="auto"/>
          <w:sz w:val="21"/>
          <w:szCs w:val="21"/>
          <w:highlight w:val="none"/>
        </w:rPr>
        <w:t xml:space="preserve"> </w:t>
      </w:r>
      <w:r>
        <w:rPr>
          <w:rFonts w:hint="eastAsia" w:hAnsi="宋体" w:eastAsia="宋体" w:cs="宋体"/>
          <w:b/>
          <w:color w:val="auto"/>
          <w:sz w:val="21"/>
          <w:szCs w:val="21"/>
          <w:highlight w:val="none"/>
          <w:lang w:val="zh-CN"/>
        </w:rPr>
        <w:t>投标人</w:t>
      </w:r>
      <w:r>
        <w:rPr>
          <w:rFonts w:hint="eastAsia" w:hAnsi="宋体" w:eastAsia="宋体" w:cs="宋体"/>
          <w:b/>
          <w:color w:val="auto"/>
          <w:sz w:val="21"/>
          <w:szCs w:val="21"/>
          <w:highlight w:val="none"/>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日以来具有一份</w:t>
      </w:r>
      <w:bookmarkStart w:id="18" w:name="OLE_LINK46"/>
      <w:r>
        <w:rPr>
          <w:rFonts w:hint="eastAsia" w:hAnsi="宋体" w:eastAsia="宋体" w:cs="宋体"/>
          <w:b/>
          <w:color w:val="auto"/>
          <w:sz w:val="21"/>
          <w:szCs w:val="21"/>
          <w:highlight w:val="none"/>
          <w:lang w:val="zh-CN"/>
        </w:rPr>
        <w:t>分布式光伏发电的</w:t>
      </w:r>
      <w:bookmarkEnd w:id="18"/>
      <w:r>
        <w:rPr>
          <w:rFonts w:hint="eastAsia" w:hAnsi="宋体" w:eastAsia="宋体" w:cs="宋体"/>
          <w:b/>
          <w:color w:val="auto"/>
          <w:sz w:val="21"/>
          <w:szCs w:val="21"/>
          <w:highlight w:val="none"/>
          <w:lang w:val="zh-CN"/>
        </w:rPr>
        <w:t>业绩（合同签订日期为</w:t>
      </w:r>
      <w:r>
        <w:rPr>
          <w:rFonts w:hint="eastAsia" w:hAnsi="宋体" w:eastAsia="宋体" w:cs="宋体"/>
          <w:b/>
          <w:color w:val="auto"/>
          <w:sz w:val="21"/>
          <w:szCs w:val="21"/>
          <w:highlight w:val="none"/>
        </w:rPr>
        <w:t>2022</w:t>
      </w:r>
      <w:r>
        <w:rPr>
          <w:rFonts w:hint="eastAsia" w:hAnsi="宋体" w:eastAsia="宋体" w:cs="宋体"/>
          <w:b/>
          <w:color w:val="auto"/>
          <w:sz w:val="21"/>
          <w:szCs w:val="21"/>
          <w:highlight w:val="none"/>
          <w:lang w:val="zh-CN"/>
        </w:rPr>
        <w:t>年</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月</w:t>
      </w:r>
      <w:r>
        <w:rPr>
          <w:rFonts w:hint="eastAsia" w:hAnsi="宋体" w:eastAsia="宋体" w:cs="宋体"/>
          <w:b/>
          <w:color w:val="auto"/>
          <w:sz w:val="21"/>
          <w:szCs w:val="21"/>
          <w:highlight w:val="none"/>
        </w:rPr>
        <w:t>1</w:t>
      </w:r>
      <w:r>
        <w:rPr>
          <w:rFonts w:hint="eastAsia" w:hAnsi="宋体" w:eastAsia="宋体" w:cs="宋体"/>
          <w:b/>
          <w:color w:val="auto"/>
          <w:sz w:val="21"/>
          <w:szCs w:val="21"/>
          <w:highlight w:val="none"/>
          <w:lang w:val="zh-CN"/>
        </w:rPr>
        <w:t>日或以后）</w:t>
      </w:r>
      <w:bookmarkEnd w:id="17"/>
      <w:r>
        <w:rPr>
          <w:rFonts w:hint="eastAsia" w:hAnsi="宋体" w:eastAsia="宋体" w:cs="宋体"/>
          <w:b/>
          <w:color w:val="auto"/>
          <w:sz w:val="21"/>
          <w:szCs w:val="21"/>
          <w:highlight w:val="none"/>
          <w:lang w:val="zh-CN"/>
        </w:rPr>
        <w:t>。</w:t>
      </w:r>
    </w:p>
    <w:p w14:paraId="4D50C04B">
      <w:pPr>
        <w:pStyle w:val="170"/>
        <w:spacing w:line="360" w:lineRule="auto"/>
        <w:ind w:right="-29" w:rightChars="-14" w:firstLine="0" w:firstLineChars="0"/>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rPr>
        <w:t>2.</w:t>
      </w:r>
      <w:r>
        <w:rPr>
          <w:rFonts w:hint="eastAsia" w:hAnsi="宋体" w:eastAsia="宋体" w:cs="宋体"/>
          <w:b/>
          <w:color w:val="auto"/>
          <w:sz w:val="21"/>
          <w:szCs w:val="21"/>
          <w:highlight w:val="none"/>
          <w:lang w:val="en-US" w:eastAsia="zh-CN"/>
        </w:rPr>
        <w:t>5</w:t>
      </w:r>
      <w:r>
        <w:rPr>
          <w:rFonts w:hint="eastAsia" w:hAnsi="宋体" w:eastAsia="宋体" w:cs="宋体"/>
          <w:b/>
          <w:color w:val="auto"/>
          <w:sz w:val="21"/>
          <w:szCs w:val="21"/>
          <w:highlight w:val="none"/>
        </w:rPr>
        <w:t xml:space="preserve"> </w:t>
      </w:r>
      <w:bookmarkStart w:id="19" w:name="OLE_LINK32"/>
      <w:r>
        <w:rPr>
          <w:rFonts w:hint="eastAsia" w:hAnsi="宋体" w:eastAsia="宋体" w:cs="宋体"/>
          <w:b/>
          <w:color w:val="auto"/>
          <w:sz w:val="21"/>
          <w:szCs w:val="21"/>
          <w:highlight w:val="none"/>
          <w:lang w:val="zh-CN"/>
        </w:rPr>
        <w:t>本项目接受联合体投标</w:t>
      </w:r>
      <w:bookmarkEnd w:id="19"/>
      <w:r>
        <w:rPr>
          <w:rFonts w:hint="eastAsia" w:hAnsi="宋体" w:eastAsia="宋体" w:cs="宋体"/>
          <w:b/>
          <w:color w:val="auto"/>
          <w:sz w:val="21"/>
          <w:szCs w:val="21"/>
          <w:highlight w:val="none"/>
          <w:lang w:val="zh-CN"/>
        </w:rPr>
        <w:t>，联合体组成成员不得多于2家（含联合体牵头</w:t>
      </w:r>
      <w:r>
        <w:rPr>
          <w:rFonts w:hint="eastAsia" w:hAnsi="宋体" w:eastAsia="宋体" w:cs="宋体"/>
          <w:b/>
          <w:color w:val="auto"/>
          <w:sz w:val="21"/>
          <w:szCs w:val="21"/>
          <w:highlight w:val="none"/>
        </w:rPr>
        <w:t>单位</w:t>
      </w:r>
      <w:r>
        <w:rPr>
          <w:rFonts w:hint="eastAsia" w:hAnsi="宋体" w:eastAsia="宋体" w:cs="宋体"/>
          <w:b/>
          <w:color w:val="auto"/>
          <w:sz w:val="21"/>
          <w:szCs w:val="21"/>
          <w:highlight w:val="none"/>
          <w:lang w:val="zh-CN"/>
        </w:rPr>
        <w:t>）</w:t>
      </w:r>
      <w:bookmarkEnd w:id="11"/>
      <w:r>
        <w:rPr>
          <w:rFonts w:hint="eastAsia" w:hAnsi="宋体" w:eastAsia="宋体" w:cs="宋体"/>
          <w:b/>
          <w:color w:val="auto"/>
          <w:sz w:val="21"/>
          <w:szCs w:val="21"/>
          <w:highlight w:val="none"/>
          <w:lang w:val="zh-CN"/>
        </w:rPr>
        <w:t>。</w:t>
      </w:r>
    </w:p>
    <w:p w14:paraId="38ACC262">
      <w:pPr>
        <w:pStyle w:val="170"/>
        <w:spacing w:line="360" w:lineRule="auto"/>
        <w:ind w:right="-29" w:rightChars="-14" w:firstLine="0" w:firstLineChars="0"/>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rPr>
        <w:t>2</w:t>
      </w:r>
      <w:r>
        <w:rPr>
          <w:rFonts w:hint="eastAsia" w:hAnsi="宋体" w:eastAsia="宋体" w:cs="宋体"/>
          <w:b/>
          <w:color w:val="auto"/>
          <w:sz w:val="21"/>
          <w:szCs w:val="21"/>
          <w:highlight w:val="none"/>
          <w:lang w:val="zh-CN"/>
        </w:rPr>
        <w:t>.</w:t>
      </w:r>
      <w:r>
        <w:rPr>
          <w:rFonts w:hint="eastAsia" w:hAnsi="宋体" w:eastAsia="宋体" w:cs="宋体"/>
          <w:b/>
          <w:color w:val="auto"/>
          <w:sz w:val="21"/>
          <w:szCs w:val="21"/>
          <w:highlight w:val="none"/>
          <w:lang w:val="en-US" w:eastAsia="zh-CN"/>
        </w:rPr>
        <w:t>6</w:t>
      </w:r>
      <w:r>
        <w:rPr>
          <w:rFonts w:hint="eastAsia" w:hAnsi="宋体" w:eastAsia="宋体" w:cs="宋体"/>
          <w:b/>
          <w:color w:val="auto"/>
          <w:sz w:val="21"/>
          <w:szCs w:val="21"/>
          <w:highlight w:val="none"/>
        </w:rPr>
        <w:t xml:space="preserve"> </w:t>
      </w:r>
      <w:r>
        <w:rPr>
          <w:rFonts w:hint="eastAsia" w:hAnsi="宋体" w:eastAsia="宋体" w:cs="宋体"/>
          <w:b/>
          <w:color w:val="auto"/>
          <w:sz w:val="21"/>
          <w:szCs w:val="21"/>
          <w:highlight w:val="none"/>
          <w:lang w:val="zh-CN"/>
        </w:rPr>
        <w:t>其他要求：</w:t>
      </w:r>
    </w:p>
    <w:p w14:paraId="22189F30">
      <w:pPr>
        <w:pStyle w:val="170"/>
        <w:autoSpaceDE/>
        <w:autoSpaceDN/>
        <w:spacing w:line="360" w:lineRule="auto"/>
        <w:ind w:firstLine="422" w:firstLineChars="200"/>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（1）投标人应在东莞市公共资源交易企业库建档；</w:t>
      </w:r>
    </w:p>
    <w:p w14:paraId="7B1B908A">
      <w:pPr>
        <w:pStyle w:val="170"/>
        <w:autoSpaceDE/>
        <w:autoSpaceDN/>
        <w:spacing w:line="360" w:lineRule="auto"/>
        <w:ind w:firstLine="422" w:firstLineChars="200"/>
        <w:jc w:val="both"/>
        <w:rPr>
          <w:rFonts w:hAnsi="宋体" w:eastAsia="宋体" w:cs="宋体"/>
          <w:b/>
          <w:color w:val="auto"/>
          <w:sz w:val="21"/>
          <w:szCs w:val="21"/>
          <w:highlight w:val="none"/>
          <w:lang w:val="zh-CN"/>
        </w:rPr>
      </w:pPr>
      <w:r>
        <w:rPr>
          <w:rFonts w:hint="eastAsia" w:hAnsi="宋体" w:eastAsia="宋体" w:cs="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467AEFAE">
      <w:pPr>
        <w:autoSpaceDE w:val="0"/>
        <w:autoSpaceDN w:val="0"/>
        <w:adjustRightInd w:val="0"/>
        <w:spacing w:line="360" w:lineRule="auto"/>
        <w:ind w:right="-29" w:rightChars="-14" w:firstLine="420" w:firstLineChars="200"/>
        <w:rPr>
          <w:rFonts w:ascii="宋体" w:hAnsi="宋体" w:eastAsia="宋体" w:cs="宋体"/>
          <w:color w:val="auto"/>
          <w:szCs w:val="21"/>
          <w:highlight w:val="none"/>
          <w:lang w:val="zh-CN"/>
        </w:rPr>
      </w:pPr>
    </w:p>
    <w:p w14:paraId="51BB7DCA">
      <w:pPr>
        <w:pStyle w:val="188"/>
        <w:numPr>
          <w:ilvl w:val="0"/>
          <w:numId w:val="1"/>
        </w:numPr>
        <w:spacing w:line="360" w:lineRule="auto"/>
        <w:ind w:left="426" w:right="-34" w:hanging="426" w:firstLineChars="0"/>
        <w:rPr>
          <w:rFonts w:ascii="宋体" w:hAnsi="宋体" w:cs="宋体"/>
          <w:color w:val="auto"/>
          <w:szCs w:val="21"/>
          <w:highlight w:val="none"/>
        </w:rPr>
      </w:pPr>
      <w:r>
        <w:rPr>
          <w:rFonts w:hint="eastAsia" w:ascii="宋体" w:hAnsi="宋体" w:cs="宋体"/>
          <w:color w:val="auto"/>
          <w:szCs w:val="21"/>
          <w:highlight w:val="none"/>
          <w:lang w:val="zh-CN"/>
        </w:rPr>
        <w:t>获取招标文件的方式：凡有意参加投标者，可于</w:t>
      </w:r>
      <w:r>
        <w:rPr>
          <w:rFonts w:hint="eastAsia" w:ascii="宋体" w:hAnsi="宋体" w:cs="宋体"/>
          <w:color w:val="auto"/>
          <w:szCs w:val="21"/>
          <w:highlight w:val="none"/>
          <w:u w:val="single"/>
          <w:lang w:val="zh-CN"/>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lang w:val="zh-CN"/>
        </w:rPr>
        <w:t>月</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lang w:val="zh-CN"/>
        </w:rPr>
        <w:t>日</w:t>
      </w:r>
      <w:r>
        <w:rPr>
          <w:rFonts w:hint="eastAsia" w:ascii="宋体" w:hAnsi="宋体" w:cs="宋体"/>
          <w:color w:val="auto"/>
          <w:szCs w:val="21"/>
          <w:highlight w:val="none"/>
          <w:lang w:val="zh-CN"/>
        </w:rPr>
        <w:t>至投标截止时间前登录交易系统下载本次招标项目的招标文件等资料。</w:t>
      </w:r>
    </w:p>
    <w:p w14:paraId="6362EC52">
      <w:pPr>
        <w:autoSpaceDE w:val="0"/>
        <w:autoSpaceDN w:val="0"/>
        <w:adjustRightInd w:val="0"/>
        <w:spacing w:line="360" w:lineRule="auto"/>
        <w:ind w:left="630" w:leftChars="100" w:right="-29" w:rightChars="-14" w:hanging="420" w:hangingChars="200"/>
        <w:rPr>
          <w:rFonts w:ascii="宋体" w:hAnsi="宋体" w:eastAsia="宋体" w:cs="宋体"/>
          <w:color w:val="auto"/>
          <w:szCs w:val="21"/>
          <w:highlight w:val="none"/>
          <w:lang w:val="zh-CN"/>
        </w:rPr>
      </w:pPr>
    </w:p>
    <w:p w14:paraId="16388F85">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rPr>
        <w:t>名单</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202F83B6">
      <w:pPr>
        <w:autoSpaceDE w:val="0"/>
        <w:autoSpaceDN w:val="0"/>
        <w:adjustRightInd w:val="0"/>
        <w:spacing w:line="360" w:lineRule="auto"/>
        <w:ind w:right="-29" w:rightChars="-14" w:firstLine="420"/>
        <w:rPr>
          <w:rFonts w:ascii="宋体" w:hAnsi="宋体" w:eastAsia="宋体" w:cs="宋体"/>
          <w:color w:val="auto"/>
          <w:szCs w:val="21"/>
          <w:highlight w:val="none"/>
          <w:lang w:val="zh-CN"/>
        </w:rPr>
      </w:pPr>
    </w:p>
    <w:p w14:paraId="2032DF45">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lang w:val="zh-CN"/>
        </w:rPr>
      </w:pPr>
      <w:bookmarkStart w:id="20" w:name="_Toc17690"/>
      <w:bookmarkStart w:id="21" w:name="_Toc2241"/>
      <w:bookmarkStart w:id="22" w:name="_Toc31933"/>
      <w:r>
        <w:rPr>
          <w:rFonts w:hint="eastAsia" w:ascii="宋体" w:hAnsi="宋体" w:eastAsia="宋体" w:cs="宋体"/>
          <w:color w:val="auto"/>
          <w:szCs w:val="21"/>
          <w:highlight w:val="none"/>
          <w:lang w:val="zh-CN"/>
        </w:rPr>
        <w:t>投标会时间、地点及投标文件提交截止时间：</w:t>
      </w:r>
      <w:bookmarkEnd w:id="20"/>
      <w:bookmarkEnd w:id="21"/>
      <w:bookmarkEnd w:id="22"/>
    </w:p>
    <w:p w14:paraId="5712C424">
      <w:pPr>
        <w:pStyle w:val="170"/>
        <w:spacing w:line="360" w:lineRule="auto"/>
        <w:ind w:left="420" w:hanging="420" w:hangingChars="200"/>
        <w:jc w:val="both"/>
        <w:rPr>
          <w:rFonts w:hAnsi="宋体" w:eastAsia="宋体" w:cs="宋体"/>
          <w:bCs/>
          <w:color w:val="auto"/>
          <w:sz w:val="21"/>
          <w:szCs w:val="21"/>
          <w:highlight w:val="none"/>
          <w:lang w:val="zh-CN"/>
        </w:rPr>
      </w:pPr>
      <w:r>
        <w:rPr>
          <w:rFonts w:hint="eastAsia" w:hAnsi="宋体" w:eastAsia="宋体" w:cs="宋体"/>
          <w:bCs/>
          <w:color w:val="auto"/>
          <w:sz w:val="21"/>
          <w:szCs w:val="21"/>
          <w:highlight w:val="none"/>
        </w:rPr>
        <w:t xml:space="preserve">5.1 </w:t>
      </w:r>
      <w:r>
        <w:rPr>
          <w:rFonts w:hint="eastAsia"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zh-CN"/>
        </w:rPr>
        <w:t>2025年</w:t>
      </w:r>
      <w:r>
        <w:rPr>
          <w:rFonts w:hint="eastAsia" w:hAnsi="宋体" w:eastAsia="宋体" w:cs="宋体"/>
          <w:bCs/>
          <w:color w:val="auto"/>
          <w:sz w:val="21"/>
          <w:szCs w:val="21"/>
          <w:highlight w:val="none"/>
          <w:u w:val="single"/>
          <w:lang w:val="en-US" w:eastAsia="zh-CN"/>
        </w:rPr>
        <w:t>10</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21</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hAnsi="宋体" w:eastAsia="宋体" w:cs="宋体"/>
          <w:bCs/>
          <w:color w:val="auto"/>
          <w:sz w:val="21"/>
          <w:szCs w:val="21"/>
          <w:highlight w:val="none"/>
          <w:u w:val="single"/>
          <w:lang w:val="zh-CN"/>
        </w:rPr>
        <w:t>分</w:t>
      </w:r>
      <w:r>
        <w:rPr>
          <w:rFonts w:hint="eastAsia" w:hAnsi="宋体" w:eastAsia="宋体" w:cs="宋体"/>
          <w:bCs/>
          <w:color w:val="auto"/>
          <w:sz w:val="21"/>
          <w:szCs w:val="21"/>
          <w:highlight w:val="none"/>
          <w:lang w:val="zh-CN"/>
        </w:rPr>
        <w:t>，投标会召开地点：东莞市南城</w:t>
      </w:r>
      <w:r>
        <w:rPr>
          <w:rFonts w:hint="eastAsia" w:hAnsi="宋体" w:eastAsia="宋体" w:cs="宋体"/>
          <w:bCs/>
          <w:color w:val="auto"/>
          <w:sz w:val="21"/>
          <w:szCs w:val="21"/>
          <w:highlight w:val="none"/>
        </w:rPr>
        <w:t>街道</w:t>
      </w:r>
      <w:r>
        <w:rPr>
          <w:rFonts w:hint="eastAsia"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10</w:t>
      </w:r>
      <w:r>
        <w:rPr>
          <w:rFonts w:hint="eastAsia" w:hAnsi="宋体" w:eastAsia="宋体" w:cs="宋体"/>
          <w:bCs/>
          <w:color w:val="auto"/>
          <w:sz w:val="21"/>
          <w:szCs w:val="21"/>
          <w:highlight w:val="none"/>
          <w:lang w:val="zh-CN"/>
        </w:rPr>
        <w:t>）；</w:t>
      </w:r>
    </w:p>
    <w:p w14:paraId="17CC68EC">
      <w:pPr>
        <w:pStyle w:val="170"/>
        <w:spacing w:line="360" w:lineRule="auto"/>
        <w:ind w:left="420" w:hanging="420" w:hangingChars="200"/>
        <w:jc w:val="both"/>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5.</w:t>
      </w:r>
      <w:r>
        <w:rPr>
          <w:rFonts w:hint="eastAsia" w:hAnsi="宋体" w:eastAsia="宋体" w:cs="宋体"/>
          <w:bCs/>
          <w:color w:val="auto"/>
          <w:sz w:val="21"/>
          <w:szCs w:val="21"/>
          <w:highlight w:val="none"/>
        </w:rPr>
        <w:t>2</w:t>
      </w:r>
      <w:r>
        <w:rPr>
          <w:rFonts w:hint="eastAsia"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zh-CN"/>
        </w:rPr>
        <w:t>2025年</w:t>
      </w:r>
      <w:r>
        <w:rPr>
          <w:rFonts w:hint="eastAsia" w:hAnsi="宋体" w:eastAsia="宋体" w:cs="宋体"/>
          <w:bCs/>
          <w:color w:val="auto"/>
          <w:sz w:val="21"/>
          <w:szCs w:val="21"/>
          <w:highlight w:val="none"/>
          <w:u w:val="single"/>
          <w:lang w:val="en-US" w:eastAsia="zh-CN"/>
        </w:rPr>
        <w:t>10</w:t>
      </w:r>
      <w:r>
        <w:rPr>
          <w:rFonts w:hint="eastAsia"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21</w:t>
      </w:r>
      <w:r>
        <w:rPr>
          <w:rFonts w:hint="eastAsia"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09</w:t>
      </w:r>
      <w:r>
        <w:rPr>
          <w:rFonts w:hint="eastAsia"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hAnsi="宋体" w:eastAsia="宋体" w:cs="宋体"/>
          <w:bCs/>
          <w:color w:val="auto"/>
          <w:sz w:val="21"/>
          <w:szCs w:val="21"/>
          <w:highlight w:val="none"/>
          <w:u w:val="single"/>
          <w:lang w:val="zh-CN"/>
        </w:rPr>
        <w:t>分</w:t>
      </w:r>
      <w:r>
        <w:rPr>
          <w:rFonts w:hint="eastAsia" w:hAnsi="宋体" w:eastAsia="宋体" w:cs="宋体"/>
          <w:bCs/>
          <w:color w:val="auto"/>
          <w:sz w:val="21"/>
          <w:szCs w:val="21"/>
          <w:highlight w:val="none"/>
          <w:u w:val="none"/>
          <w:lang w:val="zh-CN"/>
        </w:rPr>
        <w:t>，</w:t>
      </w:r>
      <w:r>
        <w:rPr>
          <w:rFonts w:hint="eastAsia" w:hAnsi="宋体" w:eastAsia="宋体" w:cs="宋体"/>
          <w:bCs/>
          <w:color w:val="auto"/>
          <w:sz w:val="21"/>
          <w:szCs w:val="21"/>
          <w:highlight w:val="none"/>
          <w:lang w:val="zh-CN"/>
        </w:rPr>
        <w:t>地点：通过东莞市公共资源交易E网通管理平台建设工程交易系统网上提交；</w:t>
      </w:r>
    </w:p>
    <w:p w14:paraId="3F6AE411">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5.</w:t>
      </w:r>
      <w:r>
        <w:rPr>
          <w:rFonts w:hint="eastAsia" w:hAnsi="宋体" w:eastAsia="宋体" w:cs="宋体"/>
          <w:bCs/>
          <w:color w:val="auto"/>
          <w:sz w:val="21"/>
          <w:szCs w:val="21"/>
          <w:highlight w:val="none"/>
        </w:rPr>
        <w:t>3</w:t>
      </w:r>
      <w:r>
        <w:rPr>
          <w:rFonts w:hint="eastAsia"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4E04D5EE">
      <w:pPr>
        <w:pStyle w:val="170"/>
        <w:spacing w:line="360" w:lineRule="auto"/>
        <w:ind w:left="420" w:hanging="420" w:hangingChars="200"/>
        <w:rPr>
          <w:rFonts w:hAnsi="宋体" w:eastAsia="宋体" w:cs="宋体"/>
          <w:bCs/>
          <w:color w:val="auto"/>
          <w:sz w:val="21"/>
          <w:szCs w:val="21"/>
          <w:highlight w:val="none"/>
          <w:lang w:val="zh-CN"/>
        </w:rPr>
      </w:pPr>
    </w:p>
    <w:p w14:paraId="6743CA8C">
      <w:pPr>
        <w:numPr>
          <w:ilvl w:val="0"/>
          <w:numId w:val="1"/>
        </w:numPr>
        <w:snapToGrid w:val="0"/>
        <w:spacing w:line="360" w:lineRule="auto"/>
        <w:ind w:right="-34"/>
        <w:rPr>
          <w:rFonts w:ascii="宋体" w:hAnsi="宋体" w:eastAsia="宋体" w:cs="宋体"/>
          <w:bCs/>
          <w:color w:val="auto"/>
          <w:szCs w:val="21"/>
          <w:highlight w:val="none"/>
          <w:lang w:val="zh-CN"/>
        </w:rPr>
      </w:pPr>
      <w:bookmarkStart w:id="23" w:name="_Toc7906"/>
      <w:bookmarkStart w:id="24" w:name="_Toc9021"/>
      <w:bookmarkStart w:id="25" w:name="_Toc26758"/>
      <w:r>
        <w:rPr>
          <w:rFonts w:hint="eastAsia" w:ascii="宋体" w:hAnsi="宋体" w:eastAsia="宋体" w:cs="宋体"/>
          <w:bCs/>
          <w:color w:val="auto"/>
          <w:szCs w:val="21"/>
          <w:highlight w:val="none"/>
          <w:lang w:val="zh-CN"/>
        </w:rPr>
        <w:t>开标时间和地点：</w:t>
      </w:r>
      <w:bookmarkEnd w:id="23"/>
      <w:bookmarkEnd w:id="24"/>
      <w:bookmarkEnd w:id="25"/>
    </w:p>
    <w:p w14:paraId="16EF6CD0">
      <w:pPr>
        <w:pStyle w:val="170"/>
        <w:spacing w:line="360" w:lineRule="auto"/>
        <w:ind w:left="420" w:hanging="420" w:hangingChars="200"/>
        <w:rPr>
          <w:rFonts w:hAnsi="宋体" w:eastAsia="宋体" w:cs="宋体"/>
          <w:bCs/>
          <w:color w:val="auto"/>
          <w:sz w:val="21"/>
          <w:szCs w:val="21"/>
          <w:highlight w:val="none"/>
          <w:lang w:val="zh-CN"/>
        </w:rPr>
      </w:pPr>
      <w:bookmarkStart w:id="26" w:name="_Toc5195"/>
      <w:bookmarkStart w:id="27" w:name="_Toc26126"/>
      <w:bookmarkStart w:id="28" w:name="_Toc13924"/>
      <w:r>
        <w:rPr>
          <w:rFonts w:hint="eastAsia" w:hAnsi="宋体" w:eastAsia="宋体" w:cs="宋体"/>
          <w:bCs/>
          <w:color w:val="auto"/>
          <w:sz w:val="21"/>
          <w:szCs w:val="21"/>
          <w:highlight w:val="none"/>
          <w:lang w:val="zh-CN"/>
        </w:rPr>
        <w:t>6.1 开标时间：同投标截止时间；</w:t>
      </w:r>
      <w:bookmarkEnd w:id="26"/>
      <w:bookmarkEnd w:id="27"/>
      <w:bookmarkEnd w:id="28"/>
    </w:p>
    <w:p w14:paraId="363D1BF0">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6.2 开标地点：东莞市南城</w:t>
      </w:r>
      <w:r>
        <w:rPr>
          <w:rFonts w:hint="eastAsia" w:hAnsi="宋体" w:eastAsia="宋体" w:cs="宋体"/>
          <w:bCs/>
          <w:color w:val="auto"/>
          <w:sz w:val="21"/>
          <w:szCs w:val="21"/>
          <w:highlight w:val="none"/>
        </w:rPr>
        <w:t>街道</w:t>
      </w:r>
      <w:r>
        <w:rPr>
          <w:rFonts w:hint="eastAsia"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10</w:t>
      </w:r>
      <w:r>
        <w:rPr>
          <w:rFonts w:hint="eastAsia" w:hAnsi="宋体" w:eastAsia="宋体" w:cs="宋体"/>
          <w:bCs/>
          <w:color w:val="auto"/>
          <w:sz w:val="21"/>
          <w:szCs w:val="21"/>
          <w:highlight w:val="none"/>
          <w:lang w:val="zh-CN"/>
        </w:rPr>
        <w:t>）。</w:t>
      </w:r>
    </w:p>
    <w:p w14:paraId="7CCBC315">
      <w:pPr>
        <w:autoSpaceDE w:val="0"/>
        <w:autoSpaceDN w:val="0"/>
        <w:adjustRightInd w:val="0"/>
        <w:spacing w:line="360" w:lineRule="auto"/>
        <w:ind w:left="210" w:leftChars="100" w:right="-29" w:rightChars="-14"/>
        <w:rPr>
          <w:rFonts w:ascii="宋体" w:hAnsi="宋体" w:eastAsia="宋体" w:cs="宋体"/>
          <w:color w:val="auto"/>
          <w:szCs w:val="21"/>
          <w:highlight w:val="none"/>
          <w:lang w:val="zh-CN"/>
        </w:rPr>
      </w:pPr>
    </w:p>
    <w:p w14:paraId="1AF38757">
      <w:pPr>
        <w:numPr>
          <w:ilvl w:val="0"/>
          <w:numId w:val="1"/>
        </w:numPr>
        <w:wordWrap w:val="0"/>
        <w:autoSpaceDE w:val="0"/>
        <w:autoSpaceDN w:val="0"/>
        <w:adjustRightInd w:val="0"/>
        <w:snapToGrid w:val="0"/>
        <w:spacing w:line="360" w:lineRule="auto"/>
        <w:ind w:left="363" w:right="-34" w:hanging="363"/>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中国招标投标公共服务平台（www.cebpubservice.com）、东莞市水务环境投资控股集团有限公司网（www.dgswjt.cn）、招标代理机构网站（www.wangtat.com.cn）</w:t>
      </w:r>
      <w:r>
        <w:rPr>
          <w:rFonts w:hint="eastAsia" w:ascii="宋体" w:hAnsi="宋体" w:eastAsia="宋体" w:cs="宋体"/>
          <w:color w:val="auto"/>
          <w:szCs w:val="21"/>
          <w:highlight w:val="none"/>
          <w:lang w:val="zh-CN"/>
        </w:rPr>
        <w:t>。</w:t>
      </w:r>
    </w:p>
    <w:p w14:paraId="58FFF43C">
      <w:pPr>
        <w:autoSpaceDE w:val="0"/>
        <w:autoSpaceDN w:val="0"/>
        <w:adjustRightInd w:val="0"/>
        <w:snapToGrid w:val="0"/>
        <w:spacing w:line="360" w:lineRule="auto"/>
        <w:ind w:right="-34"/>
        <w:jc w:val="left"/>
        <w:rPr>
          <w:rFonts w:ascii="宋体" w:hAnsi="宋体" w:eastAsia="宋体" w:cs="宋体"/>
          <w:bCs/>
          <w:color w:val="auto"/>
          <w:szCs w:val="21"/>
          <w:highlight w:val="none"/>
        </w:rPr>
      </w:pPr>
    </w:p>
    <w:p w14:paraId="7EC573D1">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bookmarkStart w:id="29" w:name="_Toc20125"/>
      <w:bookmarkStart w:id="30" w:name="_Toc21239"/>
      <w:bookmarkStart w:id="31" w:name="_Toc32046"/>
      <w:r>
        <w:rPr>
          <w:rFonts w:hint="eastAsia" w:ascii="宋体" w:hAnsi="宋体" w:eastAsia="宋体" w:cs="宋体"/>
          <w:color w:val="auto"/>
          <w:szCs w:val="21"/>
          <w:highlight w:val="none"/>
        </w:rPr>
        <w:t>投标保证金</w:t>
      </w:r>
      <w:bookmarkEnd w:id="29"/>
      <w:bookmarkEnd w:id="30"/>
      <w:bookmarkEnd w:id="31"/>
    </w:p>
    <w:p w14:paraId="17AFD534">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rPr>
        <w:t>8</w:t>
      </w:r>
      <w:r>
        <w:rPr>
          <w:rFonts w:hint="eastAsia"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rPr>
        <w:t>500,000.00</w:t>
      </w:r>
      <w:r>
        <w:rPr>
          <w:rFonts w:hint="eastAsia" w:hAnsi="宋体" w:eastAsia="宋体" w:cs="宋体"/>
          <w:bCs/>
          <w:color w:val="auto"/>
          <w:sz w:val="21"/>
          <w:szCs w:val="21"/>
          <w:highlight w:val="none"/>
          <w:lang w:val="zh-CN"/>
        </w:rPr>
        <w:t>元。</w:t>
      </w:r>
    </w:p>
    <w:p w14:paraId="3C71D5EC">
      <w:pPr>
        <w:pStyle w:val="170"/>
        <w:spacing w:line="360" w:lineRule="auto"/>
        <w:ind w:left="420" w:hanging="420" w:hangingChars="200"/>
        <w:rPr>
          <w:rFonts w:hAnsi="宋体" w:eastAsia="宋体" w:cs="宋体"/>
          <w:bCs/>
          <w:color w:val="auto"/>
          <w:sz w:val="21"/>
          <w:szCs w:val="21"/>
          <w:highlight w:val="none"/>
          <w:lang w:val="zh-CN"/>
        </w:rPr>
      </w:pPr>
      <w:r>
        <w:rPr>
          <w:rFonts w:hint="eastAsia" w:hAnsi="宋体" w:eastAsia="宋体" w:cs="宋体"/>
          <w:bCs/>
          <w:color w:val="auto"/>
          <w:sz w:val="21"/>
          <w:szCs w:val="21"/>
          <w:highlight w:val="none"/>
        </w:rPr>
        <w:t>8</w:t>
      </w:r>
      <w:r>
        <w:rPr>
          <w:rFonts w:hint="eastAsia" w:hAnsi="宋体" w:eastAsia="宋体" w:cs="宋体"/>
          <w:bCs/>
          <w:color w:val="auto"/>
          <w:sz w:val="21"/>
          <w:szCs w:val="21"/>
          <w:highlight w:val="none"/>
          <w:lang w:val="zh-CN"/>
        </w:rPr>
        <w:t>.2</w:t>
      </w:r>
      <w:r>
        <w:rPr>
          <w:rFonts w:hint="eastAsia" w:hAnsi="宋体" w:eastAsia="宋体" w:cs="宋体"/>
          <w:bCs/>
          <w:color w:val="auto"/>
          <w:sz w:val="21"/>
          <w:szCs w:val="21"/>
          <w:highlight w:val="none"/>
        </w:rPr>
        <w:t xml:space="preserve"> </w:t>
      </w:r>
      <w:r>
        <w:rPr>
          <w:rFonts w:hint="eastAsia" w:hAnsi="宋体" w:eastAsia="宋体" w:cs="宋体"/>
          <w:bCs/>
          <w:color w:val="auto"/>
          <w:sz w:val="21"/>
          <w:szCs w:val="21"/>
          <w:highlight w:val="none"/>
          <w:lang w:val="zh-CN"/>
        </w:rPr>
        <w:t>投标保证金形式：单项投标保证金；银行电子保函；保险电子保单；</w:t>
      </w:r>
    </w:p>
    <w:p w14:paraId="68601413">
      <w:pPr>
        <w:pStyle w:val="170"/>
        <w:spacing w:line="360" w:lineRule="auto"/>
        <w:ind w:left="420" w:leftChars="200" w:firstLine="0" w:firstLineChars="0"/>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其它：/。</w:t>
      </w:r>
    </w:p>
    <w:p w14:paraId="64433134">
      <w:pPr>
        <w:pStyle w:val="170"/>
        <w:spacing w:line="360" w:lineRule="auto"/>
        <w:ind w:left="420" w:hanging="420" w:hangingChars="200"/>
        <w:rPr>
          <w:rFonts w:hAnsi="宋体" w:eastAsia="宋体" w:cs="宋体"/>
          <w:bCs/>
          <w:color w:val="auto"/>
          <w:sz w:val="21"/>
          <w:szCs w:val="21"/>
          <w:highlight w:val="none"/>
          <w:lang w:val="zh-CN"/>
        </w:rPr>
      </w:pPr>
      <w:bookmarkStart w:id="32" w:name="_Toc21919"/>
      <w:bookmarkStart w:id="33" w:name="_Toc26589"/>
      <w:bookmarkStart w:id="34" w:name="_Toc32037"/>
      <w:r>
        <w:rPr>
          <w:rFonts w:hint="eastAsia" w:hAnsi="宋体" w:eastAsia="宋体" w:cs="宋体"/>
          <w:bCs/>
          <w:color w:val="auto"/>
          <w:sz w:val="21"/>
          <w:szCs w:val="21"/>
          <w:highlight w:val="none"/>
        </w:rPr>
        <w:t>8</w:t>
      </w:r>
      <w:r>
        <w:rPr>
          <w:rFonts w:hint="eastAsia" w:hAnsi="宋体" w:eastAsia="宋体" w:cs="宋体"/>
          <w:bCs/>
          <w:color w:val="auto"/>
          <w:sz w:val="21"/>
          <w:szCs w:val="21"/>
          <w:highlight w:val="none"/>
          <w:lang w:val="zh-CN"/>
        </w:rPr>
        <w:t>.</w:t>
      </w:r>
      <w:r>
        <w:rPr>
          <w:rFonts w:hint="eastAsia" w:hAnsi="宋体" w:eastAsia="宋体" w:cs="宋体"/>
          <w:bCs/>
          <w:color w:val="auto"/>
          <w:sz w:val="21"/>
          <w:szCs w:val="21"/>
          <w:highlight w:val="none"/>
        </w:rPr>
        <w:t xml:space="preserve">3 </w:t>
      </w:r>
      <w:r>
        <w:rPr>
          <w:rFonts w:hint="eastAsia" w:hAnsi="宋体" w:eastAsia="宋体" w:cs="宋体"/>
          <w:bCs/>
          <w:color w:val="auto"/>
          <w:sz w:val="21"/>
          <w:szCs w:val="21"/>
          <w:highlight w:val="none"/>
          <w:lang w:val="zh-CN"/>
        </w:rPr>
        <w:t>投标保证金形式注意事项：</w:t>
      </w:r>
      <w:bookmarkEnd w:id="32"/>
      <w:bookmarkEnd w:id="33"/>
      <w:bookmarkEnd w:id="34"/>
    </w:p>
    <w:p w14:paraId="21DFA4E7">
      <w:pPr>
        <w:pStyle w:val="170"/>
        <w:spacing w:line="360" w:lineRule="auto"/>
        <w:ind w:left="218" w:hanging="218" w:hangingChars="104"/>
        <w:rPr>
          <w:rFonts w:hAnsi="宋体" w:eastAsia="宋体" w:cs="宋体"/>
          <w:bCs/>
          <w:color w:val="auto"/>
          <w:sz w:val="21"/>
          <w:szCs w:val="21"/>
          <w:highlight w:val="none"/>
          <w:lang w:val="zh-CN"/>
        </w:rPr>
      </w:pPr>
      <w:bookmarkStart w:id="35" w:name="_Toc12677"/>
      <w:bookmarkStart w:id="36" w:name="_Toc17239"/>
      <w:bookmarkStart w:id="37" w:name="_Toc19438"/>
      <w:r>
        <w:rPr>
          <w:rFonts w:hint="eastAsia" w:hAnsi="宋体" w:eastAsia="宋体" w:cs="宋体"/>
          <w:bCs/>
          <w:color w:val="auto"/>
          <w:sz w:val="21"/>
          <w:szCs w:val="21"/>
          <w:highlight w:val="none"/>
          <w:lang w:val="zh-CN"/>
        </w:rPr>
        <w:t>（1）投标保证金到账时间应为投标保证金的关联时间。</w:t>
      </w:r>
      <w:bookmarkEnd w:id="35"/>
      <w:bookmarkEnd w:id="36"/>
      <w:bookmarkEnd w:id="37"/>
    </w:p>
    <w:p w14:paraId="0F1BDD87">
      <w:pPr>
        <w:pStyle w:val="170"/>
        <w:spacing w:line="360" w:lineRule="auto"/>
        <w:ind w:left="218" w:hanging="218" w:hangingChars="104"/>
        <w:rPr>
          <w:rFonts w:hAnsi="宋体" w:eastAsia="宋体" w:cs="宋体"/>
          <w:bCs/>
          <w:color w:val="auto"/>
          <w:sz w:val="21"/>
          <w:szCs w:val="21"/>
          <w:highlight w:val="none"/>
          <w:lang w:val="zh-CN"/>
        </w:rPr>
      </w:pPr>
      <w:r>
        <w:rPr>
          <w:rFonts w:hint="eastAsia" w:hAnsi="宋体" w:eastAsia="宋体" w:cs="宋体"/>
          <w:bCs/>
          <w:color w:val="auto"/>
          <w:sz w:val="21"/>
          <w:szCs w:val="21"/>
          <w:highlight w:val="none"/>
          <w:lang w:val="zh-CN"/>
        </w:rPr>
        <w:t>（2）投标保证金数据超过投标截止时间后到达交易系统的，无法关联。</w:t>
      </w:r>
    </w:p>
    <w:p w14:paraId="2E20C23F">
      <w:pPr>
        <w:pStyle w:val="170"/>
        <w:spacing w:line="360" w:lineRule="auto"/>
        <w:ind w:left="218" w:hanging="218" w:hangingChars="104"/>
        <w:rPr>
          <w:rFonts w:hAnsi="宋体" w:eastAsia="宋体" w:cs="宋体"/>
          <w:bCs/>
          <w:color w:val="auto"/>
          <w:sz w:val="21"/>
          <w:szCs w:val="21"/>
          <w:highlight w:val="none"/>
          <w:lang w:val="zh-CN"/>
        </w:rPr>
      </w:pPr>
      <w:bookmarkStart w:id="38" w:name="_Toc5435"/>
      <w:bookmarkStart w:id="39" w:name="_Toc8924"/>
      <w:bookmarkStart w:id="40" w:name="_Toc10697"/>
      <w:r>
        <w:rPr>
          <w:rFonts w:hint="eastAsia" w:hAnsi="宋体" w:eastAsia="宋体" w:cs="宋体"/>
          <w:bCs/>
          <w:color w:val="auto"/>
          <w:sz w:val="21"/>
          <w:szCs w:val="21"/>
          <w:highlight w:val="none"/>
          <w:lang w:val="zh-CN"/>
        </w:rPr>
        <w:t>（3）投标人应提前办理投标保证金手续，自行承担数据延误风险。</w:t>
      </w:r>
      <w:bookmarkEnd w:id="38"/>
      <w:bookmarkEnd w:id="39"/>
      <w:bookmarkEnd w:id="40"/>
    </w:p>
    <w:p w14:paraId="6ED6A90B">
      <w:pPr>
        <w:autoSpaceDE w:val="0"/>
        <w:autoSpaceDN w:val="0"/>
        <w:adjustRightInd w:val="0"/>
        <w:snapToGrid w:val="0"/>
        <w:spacing w:line="360" w:lineRule="auto"/>
        <w:ind w:right="-34"/>
        <w:jc w:val="left"/>
        <w:rPr>
          <w:rFonts w:ascii="宋体" w:hAnsi="宋体" w:eastAsia="宋体" w:cs="宋体"/>
          <w:bCs/>
          <w:color w:val="auto"/>
          <w:szCs w:val="21"/>
          <w:highlight w:val="none"/>
        </w:rPr>
      </w:pPr>
    </w:p>
    <w:p w14:paraId="2FEA60ED">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bookmarkStart w:id="41" w:name="_Toc6677"/>
      <w:bookmarkStart w:id="42" w:name="_Toc15855"/>
      <w:bookmarkStart w:id="43" w:name="_Toc16631"/>
      <w:r>
        <w:rPr>
          <w:rFonts w:hint="eastAsia" w:ascii="宋体" w:hAnsi="宋体" w:eastAsia="宋体" w:cs="宋体"/>
          <w:bCs/>
          <w:color w:val="auto"/>
          <w:szCs w:val="21"/>
          <w:highlight w:val="none"/>
          <w:lang w:val="zh-CN"/>
        </w:rPr>
        <w:t>招标人联系方式</w:t>
      </w:r>
      <w:bookmarkEnd w:id="41"/>
      <w:bookmarkEnd w:id="42"/>
      <w:bookmarkEnd w:id="43"/>
    </w:p>
    <w:p w14:paraId="4BF917E1">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招标人：东莞市水务集团科技发展有限公司</w:t>
      </w:r>
    </w:p>
    <w:p w14:paraId="5B9759BF">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址：广东省东莞市南城街道滨河路100号二期3号楼4楼</w:t>
      </w:r>
    </w:p>
    <w:p w14:paraId="718F1C87">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联系人：王俊</w:t>
      </w:r>
    </w:p>
    <w:p w14:paraId="3E594E91">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话：0769-22867952</w:t>
      </w:r>
    </w:p>
    <w:p w14:paraId="7D4387DC">
      <w:pPr>
        <w:autoSpaceDE w:val="0"/>
        <w:autoSpaceDN w:val="0"/>
        <w:adjustRightInd w:val="0"/>
        <w:spacing w:line="360" w:lineRule="auto"/>
        <w:ind w:right="-29" w:rightChars="-14" w:firstLine="420"/>
        <w:rPr>
          <w:rFonts w:ascii="宋体" w:hAnsi="宋体" w:eastAsia="宋体" w:cs="宋体"/>
          <w:color w:val="auto"/>
          <w:kern w:val="0"/>
          <w:szCs w:val="21"/>
          <w:highlight w:val="none"/>
        </w:rPr>
      </w:pPr>
    </w:p>
    <w:p w14:paraId="0B03AF51">
      <w:pPr>
        <w:numPr>
          <w:ilvl w:val="0"/>
          <w:numId w:val="1"/>
        </w:numPr>
        <w:autoSpaceDE w:val="0"/>
        <w:autoSpaceDN w:val="0"/>
        <w:adjustRightInd w:val="0"/>
        <w:snapToGrid w:val="0"/>
        <w:spacing w:line="360" w:lineRule="auto"/>
        <w:ind w:right="-34"/>
        <w:jc w:val="left"/>
        <w:rPr>
          <w:rFonts w:ascii="宋体" w:hAnsi="宋体" w:eastAsia="宋体" w:cs="宋体"/>
          <w:color w:val="auto"/>
          <w:szCs w:val="21"/>
          <w:highlight w:val="none"/>
        </w:rPr>
      </w:pPr>
      <w:bookmarkStart w:id="44" w:name="_Toc24373"/>
      <w:bookmarkStart w:id="45" w:name="_Toc15466"/>
      <w:bookmarkStart w:id="46" w:name="_Toc9257"/>
      <w:r>
        <w:rPr>
          <w:rFonts w:hint="eastAsia" w:ascii="宋体" w:hAnsi="宋体" w:eastAsia="宋体" w:cs="宋体"/>
          <w:color w:val="auto"/>
          <w:szCs w:val="21"/>
          <w:highlight w:val="none"/>
        </w:rPr>
        <w:t>招标代理机构及异议受理联系方式</w:t>
      </w:r>
      <w:bookmarkEnd w:id="44"/>
      <w:bookmarkEnd w:id="45"/>
      <w:bookmarkEnd w:id="46"/>
    </w:p>
    <w:p w14:paraId="3B7459F2">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bookmarkStart w:id="47" w:name="_Toc15111"/>
      <w:bookmarkStart w:id="48" w:name="_Toc31764_WPSOffice_Level1"/>
      <w:bookmarkStart w:id="49" w:name="_Toc18212"/>
      <w:bookmarkStart w:id="50" w:name="_Toc195714215"/>
      <w:bookmarkStart w:id="51" w:name="_Toc450662847"/>
      <w:bookmarkStart w:id="52" w:name="_Toc142508311"/>
      <w:bookmarkStart w:id="53" w:name="_Toc486167661"/>
      <w:r>
        <w:rPr>
          <w:rFonts w:hint="eastAsia" w:ascii="宋体" w:hAnsi="宋体" w:eastAsia="宋体" w:cs="宋体"/>
          <w:color w:val="auto"/>
          <w:kern w:val="0"/>
          <w:szCs w:val="21"/>
          <w:highlight w:val="none"/>
        </w:rPr>
        <w:t>招标代理机构：广州宏达工程顾问集团有限公司</w:t>
      </w:r>
    </w:p>
    <w:p w14:paraId="68CBC41A">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址：广东省东莞市南城街道宏图路105号1栋313室</w:t>
      </w:r>
    </w:p>
    <w:p w14:paraId="68DCC20B">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联系人：邓晓欣</w:t>
      </w:r>
    </w:p>
    <w:p w14:paraId="4D483DFF">
      <w:pPr>
        <w:widowControl/>
        <w:autoSpaceDE w:val="0"/>
        <w:autoSpaceDN w:val="0"/>
        <w:adjustRightInd w:val="0"/>
        <w:spacing w:line="360" w:lineRule="auto"/>
        <w:ind w:right="-31" w:rightChars="-15" w:firstLine="424" w:firstLineChars="202"/>
        <w:jc w:val="left"/>
        <w:textAlignment w:val="bottom"/>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话：0769-28056866-804</w:t>
      </w:r>
    </w:p>
    <w:p w14:paraId="0894F0D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54" w:name="_Toc22549"/>
      <w:bookmarkStart w:id="55" w:name="_Toc25459"/>
      <w:bookmarkStart w:id="56" w:name="_Toc24405"/>
      <w:bookmarkStart w:id="57" w:name="_Toc1096"/>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47"/>
      <w:bookmarkEnd w:id="48"/>
      <w:bookmarkEnd w:id="49"/>
      <w:bookmarkEnd w:id="50"/>
      <w:bookmarkEnd w:id="51"/>
      <w:bookmarkEnd w:id="52"/>
      <w:bookmarkEnd w:id="53"/>
      <w:bookmarkEnd w:id="54"/>
      <w:bookmarkEnd w:id="55"/>
      <w:bookmarkEnd w:id="56"/>
      <w:bookmarkEnd w:id="57"/>
    </w:p>
    <w:p w14:paraId="2F76A228">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58" w:name="_Toc450662848"/>
      <w:bookmarkStart w:id="59" w:name="_Toc24479"/>
      <w:bookmarkStart w:id="60" w:name="_Toc195714216"/>
      <w:bookmarkStart w:id="61" w:name="_Toc22195"/>
      <w:bookmarkStart w:id="62" w:name="_Toc140596871"/>
      <w:bookmarkStart w:id="63" w:name="_Toc486167662"/>
      <w:bookmarkStart w:id="64" w:name="_Toc15366_WPSOffice_Level2"/>
      <w:bookmarkStart w:id="65" w:name="_Toc18040"/>
      <w:bookmarkStart w:id="66" w:name="_Toc9555"/>
      <w:bookmarkStart w:id="67" w:name="_Toc29769"/>
      <w:bookmarkStart w:id="68" w:name="_Toc31438"/>
      <w:bookmarkStart w:id="69" w:name="_Toc142508312"/>
      <w:r>
        <w:rPr>
          <w:rFonts w:hint="eastAsia" w:ascii="宋体" w:hAnsi="宋体" w:eastAsia="宋体" w:cs="宋体"/>
          <w:b/>
          <w:bCs/>
          <w:color w:val="auto"/>
          <w:kern w:val="44"/>
          <w:szCs w:val="21"/>
          <w:highlight w:val="none"/>
          <w:lang w:val="zh-CN"/>
        </w:rPr>
        <w:t>一、总则</w:t>
      </w:r>
      <w:bookmarkEnd w:id="58"/>
      <w:bookmarkEnd w:id="59"/>
      <w:bookmarkEnd w:id="60"/>
      <w:bookmarkEnd w:id="61"/>
      <w:bookmarkEnd w:id="62"/>
      <w:bookmarkEnd w:id="63"/>
      <w:bookmarkEnd w:id="64"/>
      <w:bookmarkEnd w:id="65"/>
      <w:bookmarkEnd w:id="66"/>
      <w:bookmarkEnd w:id="67"/>
      <w:bookmarkEnd w:id="68"/>
      <w:bookmarkEnd w:id="69"/>
    </w:p>
    <w:p w14:paraId="57496C2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0" w:name="_Toc142508313"/>
      <w:bookmarkStart w:id="71" w:name="_Toc19598"/>
      <w:bookmarkStart w:id="72" w:name="_Toc450662849"/>
      <w:bookmarkStart w:id="73" w:name="_Toc6460"/>
      <w:bookmarkStart w:id="74" w:name="_Toc195714217"/>
      <w:bookmarkStart w:id="75" w:name="_Toc21710_WPSOffice_Level3"/>
      <w:bookmarkStart w:id="76" w:name="_Toc23333"/>
      <w:bookmarkStart w:id="77" w:name="_Toc9608"/>
      <w:bookmarkStart w:id="78" w:name="_Toc16455"/>
      <w:bookmarkStart w:id="79" w:name="_Toc486167663"/>
      <w:bookmarkStart w:id="80" w:name="_Toc21700"/>
      <w:r>
        <w:rPr>
          <w:rFonts w:hint="eastAsia" w:ascii="宋体" w:hAnsi="宋体" w:eastAsia="宋体" w:cs="宋体"/>
          <w:color w:val="auto"/>
          <w:szCs w:val="21"/>
          <w:highlight w:val="none"/>
          <w:lang w:val="zh-CN"/>
        </w:rPr>
        <w:t>1 资金来源：企业自筹资金。</w:t>
      </w:r>
      <w:bookmarkEnd w:id="70"/>
      <w:bookmarkEnd w:id="71"/>
      <w:bookmarkEnd w:id="72"/>
      <w:bookmarkEnd w:id="73"/>
      <w:bookmarkEnd w:id="74"/>
      <w:bookmarkEnd w:id="75"/>
      <w:bookmarkEnd w:id="76"/>
      <w:bookmarkEnd w:id="77"/>
      <w:bookmarkEnd w:id="78"/>
      <w:bookmarkEnd w:id="79"/>
      <w:bookmarkEnd w:id="80"/>
    </w:p>
    <w:p w14:paraId="58D8CC20">
      <w:pPr>
        <w:autoSpaceDE w:val="0"/>
        <w:autoSpaceDN w:val="0"/>
        <w:adjustRightInd w:val="0"/>
        <w:jc w:val="left"/>
        <w:rPr>
          <w:rFonts w:ascii="宋体" w:hAnsi="宋体" w:eastAsia="宋体" w:cs="宋体"/>
          <w:color w:val="auto"/>
          <w:kern w:val="0"/>
          <w:sz w:val="24"/>
          <w:szCs w:val="24"/>
          <w:highlight w:val="none"/>
        </w:rPr>
      </w:pPr>
    </w:p>
    <w:p w14:paraId="23CEAD5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81" w:name="_Toc9699"/>
      <w:bookmarkStart w:id="82" w:name="_Toc450662850"/>
      <w:bookmarkStart w:id="83" w:name="_Toc195714218"/>
      <w:bookmarkStart w:id="84" w:name="_Toc80_WPSOffice_Level3"/>
      <w:bookmarkStart w:id="85" w:name="_Toc4952"/>
      <w:bookmarkStart w:id="86" w:name="_Toc486167664"/>
      <w:bookmarkStart w:id="87" w:name="_Toc18557"/>
      <w:bookmarkStart w:id="88" w:name="_Toc22976"/>
      <w:bookmarkStart w:id="89" w:name="_Toc142508314"/>
      <w:bookmarkStart w:id="90" w:name="_Toc24809"/>
      <w:bookmarkStart w:id="91" w:name="_Toc32244"/>
      <w:r>
        <w:rPr>
          <w:rFonts w:hint="eastAsia" w:ascii="宋体" w:hAnsi="宋体" w:eastAsia="宋体" w:cs="宋体"/>
          <w:b/>
          <w:color w:val="auto"/>
          <w:szCs w:val="21"/>
          <w:highlight w:val="none"/>
          <w:lang w:val="zh-CN"/>
        </w:rPr>
        <w:t>2 合格的投标人</w:t>
      </w:r>
      <w:bookmarkEnd w:id="81"/>
      <w:bookmarkEnd w:id="82"/>
      <w:bookmarkEnd w:id="83"/>
      <w:bookmarkEnd w:id="84"/>
      <w:bookmarkEnd w:id="85"/>
      <w:bookmarkEnd w:id="86"/>
      <w:bookmarkEnd w:id="87"/>
      <w:bookmarkEnd w:id="88"/>
      <w:bookmarkEnd w:id="89"/>
      <w:bookmarkEnd w:id="90"/>
      <w:bookmarkEnd w:id="91"/>
    </w:p>
    <w:p w14:paraId="3C4AFEB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w:t>
      </w:r>
      <w:r>
        <w:rPr>
          <w:rFonts w:hint="eastAsia" w:ascii="宋体" w:hAnsi="宋体" w:eastAsia="宋体" w:cs="宋体"/>
          <w:b/>
          <w:color w:val="auto"/>
          <w:szCs w:val="21"/>
          <w:highlight w:val="none"/>
        </w:rPr>
        <w:t>2.5</w:t>
      </w:r>
      <w:r>
        <w:rPr>
          <w:rFonts w:hint="eastAsia" w:ascii="宋体" w:hAnsi="宋体" w:eastAsia="宋体" w:cs="宋体"/>
          <w:b/>
          <w:color w:val="auto"/>
          <w:szCs w:val="21"/>
          <w:highlight w:val="none"/>
          <w:lang w:val="zh-CN"/>
        </w:rPr>
        <w:t>款的通用要求。</w:t>
      </w:r>
    </w:p>
    <w:p w14:paraId="37655BF5">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305288C1">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5400746A">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投标人（含其不具有独立法人资格的分支机构）未被列入“信用中国”网站（www.creditchina.gov.cn）失信被执行人、重大税收违法失信主体名单、政府采购严重违法失信行为记录名单（处罚期限届满的除外）。</w:t>
      </w:r>
    </w:p>
    <w:p w14:paraId="05EAC29A">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56029B7D">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392AED16">
      <w:pPr>
        <w:tabs>
          <w:tab w:val="left" w:pos="570"/>
        </w:tabs>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92" w:name="_Toc8199"/>
      <w:bookmarkStart w:id="93" w:name="_Toc195714219"/>
      <w:bookmarkStart w:id="94" w:name="_Toc4066"/>
      <w:bookmarkStart w:id="95" w:name="_Toc2613"/>
      <w:bookmarkStart w:id="96" w:name="_Toc16471"/>
      <w:bookmarkStart w:id="97" w:name="_Toc26151"/>
      <w:bookmarkStart w:id="98" w:name="_Toc22057"/>
      <w:bookmarkStart w:id="99" w:name="_Toc19774"/>
      <w:bookmarkStart w:id="100" w:name="_Toc23847_WPSOffice_Level3"/>
      <w:bookmarkStart w:id="101" w:name="_Toc11689"/>
      <w:bookmarkStart w:id="102" w:name="_Toc142508315"/>
      <w:bookmarkStart w:id="103" w:name="_Toc450662851"/>
      <w:bookmarkStart w:id="104" w:name="_Toc486167665"/>
      <w:r>
        <w:rPr>
          <w:rFonts w:hint="eastAsia" w:ascii="宋体" w:hAnsi="宋体" w:eastAsia="宋体" w:cs="宋体"/>
          <w:b/>
          <w:color w:val="auto"/>
          <w:szCs w:val="21"/>
          <w:highlight w:val="none"/>
          <w:lang w:val="zh-CN"/>
        </w:rPr>
        <w:t>3 合格的</w:t>
      </w:r>
      <w:bookmarkEnd w:id="92"/>
      <w:bookmarkEnd w:id="93"/>
      <w:bookmarkEnd w:id="94"/>
      <w:bookmarkEnd w:id="95"/>
      <w:r>
        <w:rPr>
          <w:rFonts w:hint="eastAsia" w:ascii="宋体" w:hAnsi="宋体" w:eastAsia="宋体" w:cs="宋体"/>
          <w:b/>
          <w:color w:val="auto"/>
          <w:szCs w:val="21"/>
          <w:highlight w:val="none"/>
        </w:rPr>
        <w:t>货物</w:t>
      </w:r>
      <w:bookmarkEnd w:id="96"/>
      <w:bookmarkEnd w:id="97"/>
      <w:bookmarkEnd w:id="98"/>
    </w:p>
    <w:bookmarkEnd w:id="99"/>
    <w:bookmarkEnd w:id="100"/>
    <w:bookmarkEnd w:id="101"/>
    <w:bookmarkEnd w:id="102"/>
    <w:p w14:paraId="746708E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2F3D68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5" w:name="_Toc533708063"/>
      <w:bookmarkStart w:id="106" w:name="_Toc1977663"/>
      <w:r>
        <w:rPr>
          <w:rFonts w:hint="eastAsia" w:ascii="宋体" w:hAnsi="宋体" w:eastAsia="宋体" w:cs="宋体"/>
          <w:color w:val="auto"/>
          <w:szCs w:val="21"/>
          <w:highlight w:val="none"/>
          <w:lang w:val="zh-CN"/>
        </w:rPr>
        <w:t>3.2  投标人中标后提供的货物</w:t>
      </w:r>
      <w:r>
        <w:rPr>
          <w:rFonts w:hint="eastAsia" w:ascii="宋体" w:hAnsi="宋体" w:eastAsia="宋体" w:cs="宋体"/>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hint="eastAsia" w:ascii="宋体" w:hAnsi="宋体" w:eastAsia="宋体" w:cs="宋体"/>
          <w:color w:val="auto"/>
          <w:szCs w:val="21"/>
          <w:highlight w:val="none"/>
          <w:lang w:val="zh-CN"/>
        </w:rPr>
        <w:t>。</w:t>
      </w:r>
    </w:p>
    <w:bookmarkEnd w:id="105"/>
    <w:bookmarkEnd w:id="106"/>
    <w:p w14:paraId="4A86376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07" w:name="_Toc1977664"/>
      <w:bookmarkStart w:id="108" w:name="_Toc533708064"/>
      <w:r>
        <w:rPr>
          <w:rFonts w:hint="eastAsia" w:ascii="宋体" w:hAnsi="宋体" w:eastAsia="宋体" w:cs="宋体"/>
          <w:color w:val="auto"/>
          <w:szCs w:val="21"/>
          <w:highlight w:val="none"/>
          <w:lang w:val="zh-CN"/>
        </w:rPr>
        <w:t xml:space="preserve">3.3  </w:t>
      </w:r>
      <w:bookmarkEnd w:id="107"/>
      <w:bookmarkEnd w:id="108"/>
      <w:bookmarkStart w:id="109" w:name="_Toc533708065"/>
      <w:bookmarkStart w:id="110" w:name="_Toc1977665"/>
      <w:r>
        <w:rPr>
          <w:rFonts w:hint="eastAsia" w:ascii="宋体" w:hAnsi="宋体" w:eastAsia="宋体" w:cs="宋体"/>
          <w:color w:val="auto"/>
          <w:szCs w:val="21"/>
          <w:highlight w:val="none"/>
          <w:lang w:val="zh-CN"/>
        </w:rPr>
        <w:t>投标人必须保证提供的所有货物或货物的任何部分均为最新正式版本。</w:t>
      </w:r>
      <w:bookmarkEnd w:id="109"/>
      <w:bookmarkEnd w:id="110"/>
    </w:p>
    <w:p w14:paraId="2115107C">
      <w:pPr>
        <w:autoSpaceDE w:val="0"/>
        <w:autoSpaceDN w:val="0"/>
        <w:adjustRightInd w:val="0"/>
        <w:spacing w:line="360" w:lineRule="auto"/>
        <w:ind w:left="315" w:leftChars="-100" w:hanging="525" w:hangingChars="250"/>
        <w:rPr>
          <w:rFonts w:ascii="宋体" w:hAnsi="宋体" w:eastAsia="宋体" w:cs="宋体"/>
          <w:color w:val="auto"/>
          <w:kern w:val="0"/>
          <w:szCs w:val="21"/>
          <w:highlight w:val="none"/>
        </w:rPr>
      </w:pPr>
      <w:bookmarkStart w:id="111" w:name="_Toc1977666"/>
      <w:bookmarkStart w:id="112"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111"/>
    <w:bookmarkEnd w:id="112"/>
    <w:p w14:paraId="09ADBD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13" w:name="_Toc533708067"/>
      <w:bookmarkStart w:id="114"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宋体"/>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113"/>
      <w:bookmarkEnd w:id="114"/>
    </w:p>
    <w:p w14:paraId="334BE96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15" w:name="_Toc1977668"/>
      <w:bookmarkStart w:id="116"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宋体"/>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bookmarkEnd w:id="115"/>
      <w:bookmarkEnd w:id="116"/>
    </w:p>
    <w:p w14:paraId="07AAAB78">
      <w:pPr>
        <w:autoSpaceDE w:val="0"/>
        <w:autoSpaceDN w:val="0"/>
        <w:adjustRightInd w:val="0"/>
        <w:spacing w:line="360" w:lineRule="auto"/>
        <w:jc w:val="left"/>
        <w:rPr>
          <w:rFonts w:ascii="宋体" w:hAnsi="宋体" w:eastAsia="宋体" w:cs="宋体"/>
          <w:color w:val="auto"/>
          <w:szCs w:val="21"/>
          <w:highlight w:val="none"/>
          <w:lang w:val="zh-CN"/>
        </w:rPr>
      </w:pPr>
    </w:p>
    <w:p w14:paraId="1F8B72FE">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7" w:name="_Toc3404"/>
      <w:bookmarkStart w:id="118" w:name="_Toc22647"/>
      <w:bookmarkStart w:id="119" w:name="_Toc142508316"/>
      <w:bookmarkStart w:id="120" w:name="_Toc195714220"/>
      <w:bookmarkStart w:id="121" w:name="_Toc25225"/>
      <w:bookmarkStart w:id="122" w:name="_Toc9658_WPSOffice_Level3"/>
      <w:bookmarkStart w:id="123" w:name="_Toc1526"/>
      <w:bookmarkStart w:id="124" w:name="_Toc11533"/>
      <w:bookmarkStart w:id="125" w:name="_Toc11536"/>
      <w:r>
        <w:rPr>
          <w:rFonts w:hint="eastAsia" w:ascii="宋体" w:hAnsi="宋体" w:eastAsia="宋体" w:cs="宋体"/>
          <w:color w:val="auto"/>
          <w:szCs w:val="21"/>
          <w:highlight w:val="none"/>
          <w:lang w:val="zh-CN"/>
        </w:rPr>
        <w:t>4 其它说明</w:t>
      </w:r>
      <w:bookmarkEnd w:id="117"/>
      <w:bookmarkEnd w:id="118"/>
      <w:bookmarkEnd w:id="119"/>
      <w:bookmarkEnd w:id="120"/>
      <w:bookmarkEnd w:id="121"/>
      <w:bookmarkEnd w:id="122"/>
      <w:bookmarkEnd w:id="123"/>
      <w:bookmarkEnd w:id="124"/>
      <w:bookmarkEnd w:id="125"/>
    </w:p>
    <w:p w14:paraId="2C395BE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26" w:name="_Toc13533"/>
      <w:bookmarkStart w:id="127" w:name="_Toc21017"/>
      <w:bookmarkStart w:id="128" w:name="_Toc1977670"/>
      <w:bookmarkStart w:id="129" w:name="_Toc533708070"/>
      <w:bookmarkStart w:id="130" w:name="_Toc7480"/>
      <w:r>
        <w:rPr>
          <w:rFonts w:hint="eastAsia" w:ascii="宋体" w:hAnsi="宋体" w:eastAsia="宋体" w:cs="宋体"/>
          <w:color w:val="auto"/>
          <w:szCs w:val="21"/>
          <w:highlight w:val="none"/>
          <w:lang w:val="zh-CN"/>
        </w:rPr>
        <w:t>4.1  投标费用</w:t>
      </w:r>
      <w:bookmarkEnd w:id="126"/>
      <w:bookmarkEnd w:id="127"/>
      <w:bookmarkEnd w:id="128"/>
      <w:bookmarkEnd w:id="129"/>
      <w:bookmarkEnd w:id="130"/>
    </w:p>
    <w:p w14:paraId="6EBDFFF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131" w:name="_Toc1977672"/>
      <w:bookmarkStart w:id="132"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131"/>
      <w:bookmarkEnd w:id="132"/>
    </w:p>
    <w:p w14:paraId="083EF40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33" w:name="_Toc30017"/>
      <w:bookmarkStart w:id="134" w:name="_Toc24488"/>
      <w:bookmarkStart w:id="135" w:name="_Toc533708073"/>
      <w:bookmarkStart w:id="136" w:name="_Toc1977673"/>
      <w:bookmarkStart w:id="137" w:name="_Toc15519"/>
      <w:r>
        <w:rPr>
          <w:rFonts w:hint="eastAsia" w:ascii="宋体" w:hAnsi="宋体" w:eastAsia="宋体" w:cs="宋体"/>
          <w:color w:val="auto"/>
          <w:szCs w:val="21"/>
          <w:highlight w:val="none"/>
          <w:lang w:val="zh-CN"/>
        </w:rPr>
        <w:t>4.2  踏勘现场</w:t>
      </w:r>
      <w:bookmarkEnd w:id="133"/>
      <w:bookmarkEnd w:id="134"/>
      <w:bookmarkEnd w:id="135"/>
      <w:bookmarkEnd w:id="136"/>
      <w:bookmarkEnd w:id="137"/>
    </w:p>
    <w:p w14:paraId="42EB4F99">
      <w:pPr>
        <w:autoSpaceDE w:val="0"/>
        <w:autoSpaceDN w:val="0"/>
        <w:adjustRightInd w:val="0"/>
        <w:spacing w:line="360" w:lineRule="auto"/>
        <w:ind w:left="300" w:leftChars="-59" w:hanging="424" w:hangingChars="202"/>
        <w:jc w:val="left"/>
        <w:rPr>
          <w:rFonts w:ascii="宋体" w:hAnsi="宋体" w:eastAsia="宋体" w:cs="宋体"/>
          <w:color w:val="auto"/>
          <w:kern w:val="0"/>
          <w:szCs w:val="21"/>
          <w:highlight w:val="none"/>
        </w:rPr>
      </w:pPr>
      <w:bookmarkStart w:id="138" w:name="_Toc1977676"/>
      <w:bookmarkStart w:id="139" w:name="_Toc533708076"/>
      <w:r>
        <w:rPr>
          <w:rFonts w:hint="eastAsia" w:ascii="宋体" w:hAnsi="宋体" w:eastAsia="宋体" w:cs="宋体"/>
          <w:color w:val="auto"/>
          <w:kern w:val="0"/>
          <w:szCs w:val="21"/>
          <w:highlight w:val="none"/>
        </w:rPr>
        <w:t>（1）本项目不组织集中踏勘现场和答疑。</w:t>
      </w:r>
    </w:p>
    <w:p w14:paraId="7DAE9B77">
      <w:pPr>
        <w:autoSpaceDE w:val="0"/>
        <w:autoSpaceDN w:val="0"/>
        <w:adjustRightInd w:val="0"/>
        <w:spacing w:line="360" w:lineRule="auto"/>
        <w:ind w:left="300" w:leftChars="-59" w:hanging="424" w:hangingChars="202"/>
        <w:jc w:val="left"/>
        <w:rPr>
          <w:rFonts w:ascii="宋体" w:hAnsi="宋体" w:eastAsia="宋体" w:cs="宋体"/>
          <w:color w:val="auto"/>
          <w:kern w:val="0"/>
          <w:szCs w:val="21"/>
          <w:highlight w:val="none"/>
        </w:rPr>
      </w:pPr>
      <w:bookmarkStart w:id="140" w:name="_Toc23386"/>
      <w:bookmarkStart w:id="141" w:name="_Toc8582"/>
      <w:bookmarkStart w:id="142" w:name="_Toc20773"/>
      <w:r>
        <w:rPr>
          <w:rFonts w:hint="eastAsia" w:ascii="宋体" w:hAnsi="宋体" w:eastAsia="宋体" w:cs="宋体"/>
          <w:color w:val="auto"/>
          <w:kern w:val="0"/>
          <w:szCs w:val="21"/>
          <w:highlight w:val="none"/>
        </w:rPr>
        <w:t>（2）潜在投标人应承担踏勘现场自身所发生的费用。</w:t>
      </w:r>
      <w:bookmarkEnd w:id="140"/>
      <w:bookmarkEnd w:id="141"/>
      <w:bookmarkEnd w:id="142"/>
    </w:p>
    <w:p w14:paraId="363D45D3">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210A9A7E">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64516C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143" w:name="_Toc6446"/>
      <w:bookmarkStart w:id="144" w:name="_Toc26298"/>
      <w:bookmarkStart w:id="145" w:name="_Toc20123"/>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103"/>
      <w:bookmarkEnd w:id="104"/>
      <w:bookmarkEnd w:id="138"/>
      <w:bookmarkEnd w:id="139"/>
      <w:bookmarkEnd w:id="143"/>
      <w:bookmarkEnd w:id="144"/>
      <w:bookmarkEnd w:id="145"/>
    </w:p>
    <w:p w14:paraId="3B79AFA4">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02FB038D">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6CD8572B">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14:paraId="4F2EEBA5">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C46EBE6">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6EF3CBE">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42A0B39C">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15602290">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146" w:name="_Toc1565"/>
      <w:bookmarkStart w:id="147" w:name="_Toc195714221"/>
      <w:bookmarkStart w:id="148" w:name="_Toc486167667"/>
      <w:bookmarkStart w:id="149" w:name="_Toc450662853"/>
      <w:bookmarkStart w:id="150" w:name="_Toc25760"/>
      <w:bookmarkStart w:id="151" w:name="_Toc142508317"/>
      <w:bookmarkStart w:id="152" w:name="_Toc22242"/>
      <w:bookmarkStart w:id="153" w:name="_Toc140596876"/>
      <w:bookmarkStart w:id="154" w:name="_Toc761"/>
      <w:bookmarkStart w:id="155" w:name="_Toc30507_WPSOffice_Level2"/>
      <w:bookmarkStart w:id="156" w:name="_Toc5395"/>
      <w:bookmarkStart w:id="157" w:name="_Toc32346"/>
      <w:r>
        <w:rPr>
          <w:rFonts w:hint="eastAsia" w:ascii="宋体" w:hAnsi="宋体" w:eastAsia="宋体" w:cs="宋体"/>
          <w:b/>
          <w:bCs/>
          <w:color w:val="auto"/>
          <w:kern w:val="44"/>
          <w:szCs w:val="21"/>
          <w:highlight w:val="none"/>
          <w:lang w:val="zh-CN"/>
        </w:rPr>
        <w:t>二、招标文件</w:t>
      </w:r>
      <w:bookmarkEnd w:id="146"/>
      <w:bookmarkEnd w:id="147"/>
      <w:bookmarkEnd w:id="148"/>
      <w:bookmarkEnd w:id="149"/>
      <w:bookmarkEnd w:id="150"/>
      <w:bookmarkEnd w:id="151"/>
      <w:bookmarkEnd w:id="152"/>
      <w:bookmarkEnd w:id="153"/>
      <w:bookmarkEnd w:id="154"/>
      <w:bookmarkEnd w:id="155"/>
      <w:bookmarkEnd w:id="156"/>
      <w:bookmarkEnd w:id="157"/>
    </w:p>
    <w:p w14:paraId="0D3ED9A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8" w:name="_Toc195714222"/>
      <w:bookmarkStart w:id="159" w:name="_Toc9362"/>
      <w:bookmarkStart w:id="160" w:name="_Toc26635_WPSOffice_Level3"/>
      <w:bookmarkStart w:id="161" w:name="_Toc142508318"/>
      <w:bookmarkStart w:id="162" w:name="_Toc2406"/>
      <w:bookmarkStart w:id="163" w:name="_Toc486167668"/>
      <w:bookmarkStart w:id="164" w:name="_Toc450662854"/>
      <w:bookmarkStart w:id="165" w:name="_Toc28893"/>
      <w:bookmarkStart w:id="166" w:name="_Toc13964"/>
      <w:bookmarkStart w:id="167" w:name="_Toc8584"/>
      <w:bookmarkStart w:id="168" w:name="_Toc14330"/>
      <w:r>
        <w:rPr>
          <w:rFonts w:hint="eastAsia" w:ascii="宋体" w:hAnsi="宋体" w:eastAsia="宋体" w:cs="宋体"/>
          <w:color w:val="auto"/>
          <w:szCs w:val="21"/>
          <w:highlight w:val="none"/>
          <w:lang w:val="zh-CN"/>
        </w:rPr>
        <w:t>5 招标文件的构成</w:t>
      </w:r>
      <w:bookmarkEnd w:id="158"/>
      <w:bookmarkEnd w:id="159"/>
      <w:bookmarkEnd w:id="160"/>
      <w:bookmarkEnd w:id="161"/>
      <w:bookmarkEnd w:id="162"/>
      <w:bookmarkEnd w:id="163"/>
      <w:bookmarkEnd w:id="164"/>
      <w:bookmarkEnd w:id="165"/>
      <w:bookmarkEnd w:id="166"/>
      <w:bookmarkEnd w:id="167"/>
      <w:bookmarkEnd w:id="168"/>
    </w:p>
    <w:p w14:paraId="65417B8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169" w:name="_Toc9923"/>
      <w:bookmarkStart w:id="170" w:name="_Toc21463"/>
      <w:bookmarkStart w:id="171" w:name="_Toc4658"/>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bookmarkEnd w:id="169"/>
      <w:bookmarkEnd w:id="170"/>
      <w:bookmarkEnd w:id="171"/>
    </w:p>
    <w:p w14:paraId="281DA0A4">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6EF8E45E">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bookmarkStart w:id="172" w:name="_Toc22078"/>
      <w:bookmarkStart w:id="173" w:name="_Toc11838"/>
      <w:bookmarkStart w:id="174" w:name="_Toc31759"/>
      <w:r>
        <w:rPr>
          <w:rFonts w:hint="eastAsia" w:ascii="宋体" w:hAnsi="宋体" w:eastAsia="宋体" w:cs="宋体"/>
          <w:color w:val="auto"/>
          <w:szCs w:val="21"/>
          <w:highlight w:val="none"/>
          <w:lang w:val="zh-CN"/>
        </w:rPr>
        <w:t>第二篇 投标人须知</w:t>
      </w:r>
      <w:bookmarkEnd w:id="172"/>
      <w:bookmarkEnd w:id="173"/>
      <w:bookmarkEnd w:id="174"/>
    </w:p>
    <w:p w14:paraId="55CF86B4">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22FCCA98">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rPr>
        <w:t>格式</w:t>
      </w:r>
    </w:p>
    <w:p w14:paraId="7C2DC722">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333B2D2E">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79E1C1DC">
      <w:pPr>
        <w:tabs>
          <w:tab w:val="left" w:pos="1890"/>
        </w:tabs>
        <w:autoSpaceDE w:val="0"/>
        <w:autoSpaceDN w:val="0"/>
        <w:adjustRightInd w:val="0"/>
        <w:spacing w:line="360" w:lineRule="auto"/>
        <w:ind w:firstLine="424" w:firstLineChars="20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4B4195EC">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w:t>
      </w:r>
      <w:r>
        <w:rPr>
          <w:rFonts w:hint="eastAsia" w:ascii="宋体" w:hAnsi="宋体" w:eastAsia="宋体" w:cs="宋体"/>
          <w:b/>
          <w:bCs/>
          <w:color w:val="auto"/>
          <w:szCs w:val="21"/>
          <w:highlight w:val="none"/>
          <w:u w:val="single"/>
        </w:rPr>
        <w:t>服务</w:t>
      </w:r>
      <w:r>
        <w:rPr>
          <w:rFonts w:hint="eastAsia" w:ascii="宋体" w:hAnsi="宋体" w:eastAsia="宋体" w:cs="宋体"/>
          <w:b/>
          <w:bCs/>
          <w:color w:val="auto"/>
          <w:szCs w:val="21"/>
          <w:highlight w:val="none"/>
          <w:u w:val="single"/>
          <w:lang w:val="zh-CN"/>
        </w:rPr>
        <w:t>必备的条件或重要指示），那么投标人的投标文件将有可能被拒绝接收或评审为无效投标文件。</w:t>
      </w:r>
    </w:p>
    <w:p w14:paraId="1A4D459A">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bookmarkStart w:id="175" w:name="_Toc23056"/>
      <w:bookmarkStart w:id="176" w:name="_Toc19114"/>
      <w:bookmarkStart w:id="177" w:name="_Toc32312"/>
      <w:r>
        <w:rPr>
          <w:rFonts w:hint="eastAsia" w:ascii="宋体" w:hAnsi="宋体" w:eastAsia="宋体" w:cs="宋体"/>
          <w:color w:val="auto"/>
          <w:szCs w:val="21"/>
          <w:highlight w:val="none"/>
          <w:lang w:val="zh-CN"/>
        </w:rPr>
        <w:t>5.3  本招标文件使用的词语有如下定义：</w:t>
      </w:r>
      <w:bookmarkEnd w:id="175"/>
      <w:bookmarkEnd w:id="176"/>
      <w:bookmarkEnd w:id="177"/>
    </w:p>
    <w:p w14:paraId="3D54629F">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（1）“招标人”指东莞市水务集团科技发展有限公司；</w:t>
      </w:r>
    </w:p>
    <w:p w14:paraId="3656CD71">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（2）“招标代理机构”指广州宏达工程顾问集团有限公司；</w:t>
      </w:r>
    </w:p>
    <w:p w14:paraId="3DD5C6F3">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东莞市水务环境投资控股集团分布式光伏发电项目（第一批）净水厂项目</w:t>
      </w:r>
      <w:r>
        <w:rPr>
          <w:rFonts w:hint="eastAsia" w:ascii="宋体" w:hAnsi="宋体" w:eastAsia="宋体" w:cs="宋体"/>
          <w:color w:val="auto"/>
          <w:kern w:val="0"/>
          <w:szCs w:val="21"/>
          <w:highlight w:val="none"/>
        </w:rPr>
        <w:t>所需的货物及有关服务的投标，并向招标代理机构提交投标文件的当事人；</w:t>
      </w:r>
    </w:p>
    <w:p w14:paraId="20572569">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4524AC93">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1923B6D6">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（6）“甲方”指在合同条款中指明的购买货物及有关服务的单位，即东莞市水务集团科技发展有限公司；</w:t>
      </w:r>
    </w:p>
    <w:p w14:paraId="26D81F48">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（7）“乙方”指在合同条款中指明的本合同项下提供货物及有关服务的公司或实体；</w:t>
      </w:r>
    </w:p>
    <w:p w14:paraId="3377DB34">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（8）“招标文件”指包括招标公告和招标文件及其补充、变更和澄清等一系列文件；</w:t>
      </w:r>
    </w:p>
    <w:p w14:paraId="27AA1EAB">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（9）“投标文件”指投标人根据本招标文件向招标代理机构提交的全部文件；</w:t>
      </w:r>
    </w:p>
    <w:p w14:paraId="79090027">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7AB35446">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609CED1F">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157D0039">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14F6A3A0">
      <w:pPr>
        <w:autoSpaceDE w:val="0"/>
        <w:autoSpaceDN w:val="0"/>
        <w:adjustRightInd w:val="0"/>
        <w:spacing w:line="360" w:lineRule="auto"/>
        <w:ind w:left="441" w:leftChars="-6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4FF7B61E">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6061981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8233"/>
      <w:bookmarkStart w:id="179" w:name="_Toc6400"/>
      <w:bookmarkStart w:id="180" w:name="_Toc3727"/>
      <w:bookmarkStart w:id="181" w:name="_Toc11346"/>
      <w:bookmarkStart w:id="182" w:name="_Toc142508319"/>
      <w:bookmarkStart w:id="183" w:name="_Toc195714223"/>
      <w:bookmarkStart w:id="184" w:name="_Toc28652"/>
      <w:bookmarkStart w:id="185" w:name="_Toc7112"/>
      <w:bookmarkStart w:id="186" w:name="_Toc486167669"/>
      <w:bookmarkStart w:id="187" w:name="_Toc29125_WPSOffice_Level3"/>
      <w:bookmarkStart w:id="188" w:name="_Toc450662855"/>
      <w:r>
        <w:rPr>
          <w:rFonts w:hint="eastAsia" w:ascii="宋体" w:hAnsi="宋体" w:eastAsia="宋体" w:cs="宋体"/>
          <w:color w:val="auto"/>
          <w:szCs w:val="21"/>
          <w:highlight w:val="none"/>
          <w:lang w:val="zh-CN"/>
        </w:rPr>
        <w:t>6 招标文件的异议</w:t>
      </w:r>
      <w:bookmarkEnd w:id="178"/>
      <w:bookmarkEnd w:id="179"/>
      <w:bookmarkEnd w:id="180"/>
      <w:bookmarkEnd w:id="181"/>
      <w:bookmarkEnd w:id="182"/>
      <w:bookmarkEnd w:id="183"/>
      <w:bookmarkEnd w:id="184"/>
      <w:bookmarkEnd w:id="185"/>
      <w:bookmarkEnd w:id="186"/>
      <w:bookmarkEnd w:id="187"/>
      <w:bookmarkEnd w:id="188"/>
    </w:p>
    <w:p w14:paraId="3A99142F">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投标人或者其他利害关系人对招标文件有异议的，应当在投标截止时间10日前以书面形式</w:t>
      </w:r>
      <w:r>
        <w:rPr>
          <w:rFonts w:hint="eastAsia" w:ascii="宋体" w:hAnsi="宋体" w:eastAsia="宋体" w:cs="宋体"/>
          <w:color w:val="auto"/>
          <w:szCs w:val="21"/>
          <w:highlight w:val="none"/>
          <w:lang w:val="zh-CN"/>
        </w:rPr>
        <w:t>向招标代理机构提出，并将材料原件送达招标代理机构，逾期则视为对招标文件所有内容无异议。异议书面材料必须加盖投标人法人公章，并注明联系人、联系电话、联系地址。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C898D8D">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48234F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9" w:name="_Toc13298"/>
      <w:bookmarkStart w:id="190" w:name="_Toc450662856"/>
      <w:bookmarkStart w:id="191" w:name="_Toc4028"/>
      <w:bookmarkStart w:id="192" w:name="_Toc195714224"/>
      <w:bookmarkStart w:id="193" w:name="_Toc142508320"/>
      <w:bookmarkStart w:id="194" w:name="_Toc17145"/>
      <w:bookmarkStart w:id="195" w:name="_Toc22225"/>
      <w:bookmarkStart w:id="196" w:name="_Toc23483_WPSOffice_Level3"/>
      <w:bookmarkStart w:id="197" w:name="_Toc486167670"/>
      <w:bookmarkStart w:id="198" w:name="_Toc15580"/>
      <w:bookmarkStart w:id="199" w:name="_Toc29864"/>
      <w:r>
        <w:rPr>
          <w:rFonts w:hint="eastAsia" w:ascii="宋体" w:hAnsi="宋体" w:eastAsia="宋体" w:cs="宋体"/>
          <w:color w:val="auto"/>
          <w:szCs w:val="21"/>
          <w:highlight w:val="none"/>
          <w:lang w:val="zh-CN"/>
        </w:rPr>
        <w:t>7 招标文件的澄清及修改</w:t>
      </w:r>
      <w:bookmarkEnd w:id="189"/>
      <w:bookmarkEnd w:id="190"/>
      <w:bookmarkEnd w:id="191"/>
      <w:bookmarkEnd w:id="192"/>
      <w:bookmarkEnd w:id="193"/>
      <w:bookmarkEnd w:id="194"/>
      <w:bookmarkEnd w:id="195"/>
      <w:bookmarkEnd w:id="196"/>
      <w:bookmarkEnd w:id="197"/>
      <w:bookmarkEnd w:id="198"/>
      <w:bookmarkEnd w:id="199"/>
    </w:p>
    <w:p w14:paraId="2D8E3DE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153FEFC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5525C6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宋体"/>
          <w:bCs/>
          <w:color w:val="auto"/>
          <w:szCs w:val="21"/>
          <w:highlight w:val="none"/>
        </w:rPr>
        <w:t>全国公共资源交易平台（广东省·东莞市）（https://ygp.gdzwfw.gov.cn/#/441900/index）、</w:t>
      </w:r>
      <w:r>
        <w:rPr>
          <w:rFonts w:hint="eastAsia" w:ascii="宋体" w:hAnsi="宋体" w:eastAsia="宋体" w:cs="宋体"/>
          <w:color w:val="auto"/>
          <w:szCs w:val="21"/>
          <w:highlight w:val="none"/>
          <w:lang w:val="zh-CN"/>
        </w:rPr>
        <w:t>中国招标投标公共服务平台</w:t>
      </w:r>
      <w:r>
        <w:rPr>
          <w:rFonts w:hint="eastAsia" w:ascii="宋体" w:hAnsi="宋体" w:eastAsia="宋体" w:cs="宋体"/>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hint="eastAsia" w:ascii="宋体" w:hAnsi="宋体" w:eastAsia="宋体" w:cs="宋体"/>
          <w:color w:val="auto"/>
          <w:szCs w:val="21"/>
          <w:highlight w:val="none"/>
        </w:rPr>
        <w:t>www.cebpubservice.com）</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东莞市水务环境投资控股集团有限公司网</w:t>
      </w:r>
      <w:r>
        <w:rPr>
          <w:rFonts w:hint="eastAsia" w:ascii="宋体" w:hAnsi="宋体" w:eastAsia="宋体" w:cs="宋体"/>
          <w:color w:val="auto"/>
          <w:szCs w:val="21"/>
          <w:highlight w:val="none"/>
        </w:rPr>
        <w:t>（</w:t>
      </w:r>
      <w:r>
        <w:rPr>
          <w:color w:val="auto"/>
          <w:highlight w:val="none"/>
        </w:rPr>
        <w:fldChar w:fldCharType="begin"/>
      </w:r>
      <w:r>
        <w:rPr>
          <w:color w:val="auto"/>
          <w:highlight w:val="none"/>
        </w:rPr>
        <w:instrText xml:space="preserve"> HYPERLINK "file:///E:\\05%20科技公司--工作文件\\合同管理部--招标采购\\05%202025年度招标采购项目\\10%20东莞市水务集团分布式光伏发电项目（第一批）净水厂项目\\10%20东莞市水务集团分布式光伏发电项目（第一批）净水厂项目--科技公司班子会上会资料\\www.dgswjt.cn）、招标代理公司网站（http:\\%20%20%20%20%20%20%20%20%20%20%20%20%20%20）" </w:instrText>
      </w:r>
      <w:r>
        <w:rPr>
          <w:color w:val="auto"/>
          <w:highlight w:val="none"/>
        </w:rPr>
        <w:fldChar w:fldCharType="separate"/>
      </w:r>
      <w:r>
        <w:rPr>
          <w:rStyle w:val="53"/>
          <w:rFonts w:hint="eastAsia" w:ascii="宋体" w:hAnsi="宋体" w:eastAsia="宋体" w:cs="宋体"/>
          <w:color w:val="auto"/>
          <w:sz w:val="21"/>
          <w:szCs w:val="21"/>
          <w:highlight w:val="none"/>
        </w:rPr>
        <w:t>www.dgswjt.cn）</w:t>
      </w:r>
      <w:r>
        <w:rPr>
          <w:rStyle w:val="53"/>
          <w:rFonts w:hint="eastAsia" w:ascii="宋体" w:hAnsi="宋体" w:eastAsia="宋体" w:cs="宋体"/>
          <w:color w:val="auto"/>
          <w:sz w:val="21"/>
          <w:szCs w:val="21"/>
          <w:highlight w:val="none"/>
          <w:lang w:val="zh-CN"/>
        </w:rPr>
        <w:t>、</w:t>
      </w:r>
      <w:r>
        <w:rPr>
          <w:rStyle w:val="53"/>
          <w:rFonts w:hint="eastAsia" w:ascii="宋体" w:hAnsi="宋体" w:eastAsia="宋体" w:cs="宋体"/>
          <w:bCs/>
          <w:color w:val="auto"/>
          <w:kern w:val="0"/>
          <w:sz w:val="21"/>
          <w:szCs w:val="21"/>
          <w:highlight w:val="none"/>
        </w:rPr>
        <w:t>招标代理机构网站（www.wangtat.com.cn）</w:t>
      </w:r>
      <w:r>
        <w:rPr>
          <w:rStyle w:val="53"/>
          <w:rFonts w:hint="eastAsia" w:ascii="宋体" w:hAnsi="宋体" w:eastAsia="宋体" w:cs="宋体"/>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86A7D35">
      <w:pPr>
        <w:autoSpaceDE w:val="0"/>
        <w:autoSpaceDN w:val="0"/>
        <w:adjustRightInd w:val="0"/>
        <w:spacing w:line="360" w:lineRule="auto"/>
        <w:ind w:left="357" w:leftChars="-100" w:hanging="567"/>
        <w:rPr>
          <w:rFonts w:ascii="宋体" w:hAnsi="宋体" w:eastAsia="宋体" w:cs="宋体"/>
          <w:color w:val="auto"/>
          <w:szCs w:val="21"/>
          <w:highlight w:val="none"/>
        </w:rPr>
      </w:pPr>
    </w:p>
    <w:p w14:paraId="3E69AC71">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200" w:name="_Toc18752"/>
      <w:bookmarkStart w:id="201" w:name="_Toc23342"/>
      <w:bookmarkStart w:id="202" w:name="_Toc142508321"/>
      <w:bookmarkStart w:id="203" w:name="_Toc2920"/>
      <w:bookmarkStart w:id="204" w:name="_Toc195714225"/>
      <w:bookmarkStart w:id="205" w:name="_Toc450662857"/>
      <w:bookmarkStart w:id="206" w:name="_Toc140596880"/>
      <w:bookmarkStart w:id="207" w:name="_Toc8711"/>
      <w:bookmarkStart w:id="208" w:name="_Toc28593"/>
      <w:bookmarkStart w:id="209" w:name="_Toc5569"/>
      <w:bookmarkStart w:id="210" w:name="_Toc486167671"/>
      <w:bookmarkStart w:id="211" w:name="_Toc29659_WPSOffice_Level2"/>
      <w:r>
        <w:rPr>
          <w:rFonts w:hint="eastAsia" w:ascii="宋体" w:hAnsi="宋体" w:eastAsia="宋体" w:cs="宋体"/>
          <w:b/>
          <w:bCs/>
          <w:color w:val="auto"/>
          <w:kern w:val="44"/>
          <w:szCs w:val="21"/>
          <w:highlight w:val="none"/>
          <w:lang w:val="zh-CN"/>
        </w:rPr>
        <w:t>三、投标文件的编制</w:t>
      </w:r>
      <w:bookmarkEnd w:id="200"/>
      <w:bookmarkEnd w:id="201"/>
      <w:bookmarkEnd w:id="202"/>
      <w:bookmarkEnd w:id="203"/>
      <w:bookmarkEnd w:id="204"/>
      <w:bookmarkEnd w:id="205"/>
      <w:bookmarkEnd w:id="206"/>
      <w:bookmarkEnd w:id="207"/>
      <w:bookmarkEnd w:id="208"/>
      <w:bookmarkEnd w:id="209"/>
      <w:bookmarkEnd w:id="210"/>
      <w:bookmarkEnd w:id="211"/>
    </w:p>
    <w:p w14:paraId="353D0D0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2" w:name="_Toc450662858"/>
      <w:bookmarkStart w:id="213" w:name="_Toc486167672"/>
      <w:bookmarkStart w:id="214" w:name="_Toc18883"/>
      <w:bookmarkStart w:id="215" w:name="_Toc10850"/>
      <w:bookmarkStart w:id="216" w:name="_Toc19175"/>
      <w:bookmarkStart w:id="217" w:name="_Toc142508322"/>
      <w:bookmarkStart w:id="218" w:name="_Toc31162"/>
      <w:bookmarkStart w:id="219" w:name="_Toc10015_WPSOffice_Level3"/>
      <w:bookmarkStart w:id="220" w:name="_Toc6244"/>
      <w:bookmarkStart w:id="221" w:name="_Toc195714226"/>
      <w:bookmarkStart w:id="222" w:name="_Toc22201"/>
      <w:r>
        <w:rPr>
          <w:rFonts w:hint="eastAsia" w:ascii="宋体" w:hAnsi="宋体" w:eastAsia="宋体" w:cs="宋体"/>
          <w:color w:val="auto"/>
          <w:szCs w:val="21"/>
          <w:highlight w:val="none"/>
          <w:lang w:val="zh-CN"/>
        </w:rPr>
        <w:t>8 投标使用的文字及度量衡单位</w:t>
      </w:r>
      <w:bookmarkEnd w:id="212"/>
      <w:bookmarkEnd w:id="213"/>
      <w:bookmarkEnd w:id="214"/>
      <w:bookmarkEnd w:id="215"/>
      <w:bookmarkEnd w:id="216"/>
      <w:bookmarkEnd w:id="217"/>
      <w:bookmarkEnd w:id="218"/>
      <w:bookmarkEnd w:id="219"/>
      <w:bookmarkEnd w:id="220"/>
      <w:bookmarkEnd w:id="221"/>
      <w:bookmarkEnd w:id="222"/>
    </w:p>
    <w:p w14:paraId="026E4B9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4E8274B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3D3BB05">
      <w:pPr>
        <w:autoSpaceDE w:val="0"/>
        <w:autoSpaceDN w:val="0"/>
        <w:adjustRightInd w:val="0"/>
        <w:spacing w:line="360" w:lineRule="auto"/>
        <w:rPr>
          <w:rFonts w:ascii="宋体" w:hAnsi="宋体" w:eastAsia="宋体" w:cs="宋体"/>
          <w:color w:val="auto"/>
          <w:szCs w:val="21"/>
          <w:highlight w:val="none"/>
          <w:lang w:val="zh-CN"/>
        </w:rPr>
      </w:pPr>
    </w:p>
    <w:p w14:paraId="69AEDE0B">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223" w:name="_Toc7348"/>
      <w:bookmarkStart w:id="224" w:name="_Toc450662859"/>
      <w:bookmarkStart w:id="225" w:name="_Toc9647"/>
      <w:bookmarkStart w:id="226" w:name="_Toc29313"/>
      <w:bookmarkStart w:id="227" w:name="_Toc4443"/>
      <w:bookmarkStart w:id="228" w:name="_Toc142508323"/>
      <w:bookmarkStart w:id="229" w:name="_Toc195714227"/>
      <w:bookmarkStart w:id="230" w:name="_Toc14943"/>
      <w:bookmarkStart w:id="231" w:name="_Toc24916_WPSOffice_Level3"/>
      <w:bookmarkStart w:id="232" w:name="_Toc13447"/>
      <w:bookmarkStart w:id="233" w:name="_Toc48616767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223"/>
      <w:bookmarkEnd w:id="224"/>
      <w:bookmarkEnd w:id="225"/>
      <w:bookmarkEnd w:id="226"/>
      <w:bookmarkEnd w:id="227"/>
      <w:bookmarkEnd w:id="228"/>
      <w:bookmarkEnd w:id="229"/>
      <w:bookmarkEnd w:id="230"/>
      <w:bookmarkEnd w:id="231"/>
      <w:bookmarkEnd w:id="232"/>
      <w:bookmarkEnd w:id="233"/>
    </w:p>
    <w:p w14:paraId="090DD8E4">
      <w:pPr>
        <w:autoSpaceDE w:val="0"/>
        <w:autoSpaceDN w:val="0"/>
        <w:adjustRightInd w:val="0"/>
        <w:spacing w:line="360" w:lineRule="auto"/>
        <w:ind w:left="422" w:leftChars="-100"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p>
    <w:p w14:paraId="365C372E">
      <w:pPr>
        <w:autoSpaceDE w:val="0"/>
        <w:autoSpaceDN w:val="0"/>
        <w:adjustRightInd w:val="0"/>
        <w:spacing w:line="360" w:lineRule="auto"/>
        <w:ind w:left="422" w:leftChars="-100" w:hanging="632" w:hangingChars="300"/>
        <w:rPr>
          <w:rFonts w:ascii="宋体" w:hAnsi="宋体" w:eastAsia="宋体" w:cs="宋体"/>
          <w:b/>
          <w:color w:val="auto"/>
          <w:kern w:val="0"/>
          <w:szCs w:val="21"/>
          <w:highlight w:val="none"/>
        </w:rPr>
      </w:pPr>
      <w:bookmarkStart w:id="234" w:name="_Toc23592"/>
      <w:bookmarkStart w:id="235" w:name="_Toc8802"/>
      <w:bookmarkStart w:id="236" w:name="_Toc9290"/>
      <w:r>
        <w:rPr>
          <w:rFonts w:hint="eastAsia" w:ascii="宋体" w:hAnsi="宋体" w:eastAsia="宋体" w:cs="宋体"/>
          <w:b/>
          <w:color w:val="auto"/>
          <w:kern w:val="0"/>
          <w:szCs w:val="24"/>
          <w:highlight w:val="none"/>
        </w:rPr>
        <w:t>9.1.1 商务标：</w:t>
      </w:r>
      <w:bookmarkEnd w:id="234"/>
      <w:bookmarkEnd w:id="235"/>
      <w:bookmarkEnd w:id="236"/>
    </w:p>
    <w:p w14:paraId="3E5E60B6">
      <w:pPr>
        <w:autoSpaceDE w:val="0"/>
        <w:autoSpaceDN w:val="0"/>
        <w:adjustRightInd w:val="0"/>
        <w:spacing w:line="360" w:lineRule="auto"/>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03D7565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660B3A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413C42D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09402F1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）投标人资格证明文件：</w:t>
      </w:r>
    </w:p>
    <w:p w14:paraId="4A5F4780">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bookmarkStart w:id="237" w:name="_Toc20984"/>
      <w:bookmarkStart w:id="238" w:name="_Toc28143"/>
      <w:bookmarkStart w:id="239" w:name="_Toc17559"/>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szCs w:val="21"/>
          <w:highlight w:val="none"/>
          <w:lang w:val="zh-CN"/>
        </w:rPr>
        <w:t>原件扫描件；</w:t>
      </w:r>
      <w:bookmarkEnd w:id="237"/>
      <w:bookmarkEnd w:id="238"/>
      <w:bookmarkEnd w:id="239"/>
    </w:p>
    <w:p w14:paraId="549A87E6">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39E83D56">
      <w:pPr>
        <w:autoSpaceDE w:val="0"/>
        <w:autoSpaceDN w:val="0"/>
        <w:adjustRightInd w:val="0"/>
        <w:spacing w:line="360" w:lineRule="auto"/>
        <w:ind w:left="283" w:hanging="283" w:hangingChars="135"/>
        <w:rPr>
          <w:rFonts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73F490B9">
      <w:pPr>
        <w:spacing w:line="360" w:lineRule="auto"/>
        <w:ind w:left="218" w:hanging="218" w:hangingChars="104"/>
        <w:rPr>
          <w:rFonts w:ascii="宋体" w:hAnsi="宋体" w:eastAsia="宋体" w:cs="宋体"/>
          <w:color w:val="auto"/>
          <w:szCs w:val="21"/>
          <w:highlight w:val="none"/>
          <w:lang w:val="zh-CN"/>
        </w:rPr>
      </w:pPr>
      <w:bookmarkStart w:id="240" w:name="OLE_LINK400"/>
      <w:r>
        <w:rPr>
          <w:rFonts w:hint="eastAsia" w:ascii="宋体" w:hAnsi="宋体" w:eastAsia="宋体" w:cs="宋体"/>
          <w:color w:val="auto"/>
          <w:szCs w:val="21"/>
          <w:highlight w:val="none"/>
        </w:rPr>
        <w:t>4）</w:t>
      </w:r>
      <w:bookmarkStart w:id="241" w:name="OLE_LINK401"/>
      <w:r>
        <w:rPr>
          <w:rFonts w:hint="eastAsia" w:ascii="宋体" w:hAnsi="宋体" w:eastAsia="宋体" w:cs="宋体"/>
          <w:color w:val="auto"/>
          <w:szCs w:val="21"/>
          <w:highlight w:val="none"/>
        </w:rPr>
        <w:t>本项目的特定</w:t>
      </w:r>
      <w:bookmarkStart w:id="242" w:name="OLE_LINK159"/>
      <w:r>
        <w:rPr>
          <w:rFonts w:hint="eastAsia" w:ascii="宋体" w:hAnsi="宋体" w:eastAsia="宋体" w:cs="宋体"/>
          <w:color w:val="auto"/>
          <w:szCs w:val="21"/>
          <w:highlight w:val="none"/>
        </w:rPr>
        <w:t>资格要</w:t>
      </w:r>
      <w:bookmarkEnd w:id="242"/>
      <w:r>
        <w:rPr>
          <w:rFonts w:hint="eastAsia" w:ascii="宋体" w:hAnsi="宋体" w:eastAsia="宋体" w:cs="宋体"/>
          <w:color w:val="auto"/>
          <w:szCs w:val="21"/>
          <w:highlight w:val="none"/>
        </w:rPr>
        <w:t>求</w:t>
      </w:r>
      <w:bookmarkEnd w:id="241"/>
      <w:r>
        <w:rPr>
          <w:rFonts w:hint="eastAsia" w:ascii="宋体" w:hAnsi="宋体" w:eastAsia="宋体" w:cs="宋体"/>
          <w:color w:val="auto"/>
          <w:szCs w:val="21"/>
          <w:highlight w:val="none"/>
        </w:rPr>
        <w:t>：</w:t>
      </w:r>
      <w:bookmarkStart w:id="243" w:name="OLE_LINK403"/>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供货安装</w:t>
      </w:r>
      <w:r>
        <w:rPr>
          <w:rFonts w:hint="eastAsia" w:ascii="宋体" w:hAnsi="宋体" w:eastAsia="宋体" w:cs="宋体"/>
          <w:color w:val="auto"/>
          <w:szCs w:val="21"/>
          <w:highlight w:val="none"/>
          <w:lang w:val="zh-CN"/>
        </w:rPr>
        <w:t>资质：①具有以下其中一种资质：a）电力工程施工总承包</w:t>
      </w:r>
      <w:r>
        <w:rPr>
          <w:rFonts w:hint="eastAsia" w:ascii="宋体" w:hAnsi="宋体" w:eastAsia="宋体" w:cs="宋体"/>
          <w:color w:val="auto"/>
          <w:szCs w:val="21"/>
          <w:highlight w:val="none"/>
        </w:rPr>
        <w:t>乙级</w:t>
      </w:r>
      <w:r>
        <w:rPr>
          <w:rFonts w:hint="eastAsia" w:ascii="宋体" w:hAnsi="宋体" w:eastAsia="宋体" w:cs="宋体"/>
          <w:color w:val="auto"/>
          <w:szCs w:val="21"/>
          <w:highlight w:val="none"/>
          <w:lang w:val="zh-CN"/>
        </w:rPr>
        <w:t>（或以上）企业资质；</w:t>
      </w:r>
      <w:r>
        <w:rPr>
          <w:rFonts w:hint="eastAsia" w:ascii="宋体" w:hAnsi="宋体" w:eastAsia="宋体" w:cs="宋体"/>
          <w:color w:val="auto"/>
          <w:szCs w:val="21"/>
          <w:highlight w:val="none"/>
        </w:rPr>
        <w:t>b</w:t>
      </w:r>
      <w:r>
        <w:rPr>
          <w:rFonts w:hint="eastAsia" w:ascii="宋体" w:hAnsi="宋体" w:eastAsia="宋体" w:cs="宋体"/>
          <w:color w:val="auto"/>
          <w:szCs w:val="21"/>
          <w:highlight w:val="none"/>
          <w:lang w:val="zh-CN"/>
        </w:rPr>
        <w:t>）输变电工程专业承包</w:t>
      </w:r>
      <w:r>
        <w:rPr>
          <w:rFonts w:hint="eastAsia" w:ascii="宋体" w:hAnsi="宋体" w:eastAsia="宋体" w:cs="宋体"/>
          <w:color w:val="auto"/>
          <w:szCs w:val="21"/>
          <w:highlight w:val="none"/>
        </w:rPr>
        <w:t>乙级</w:t>
      </w:r>
      <w:r>
        <w:rPr>
          <w:rFonts w:hint="eastAsia" w:ascii="宋体" w:hAnsi="宋体" w:eastAsia="宋体" w:cs="宋体"/>
          <w:color w:val="auto"/>
          <w:szCs w:val="21"/>
          <w:highlight w:val="none"/>
          <w:lang w:val="zh-CN"/>
        </w:rPr>
        <w:t>（或以上）企业资质【</w:t>
      </w:r>
      <w:r>
        <w:rPr>
          <w:rFonts w:hint="eastAsia" w:ascii="宋体" w:hAnsi="宋体" w:eastAsia="宋体" w:cs="宋体"/>
          <w:color w:val="auto"/>
          <w:szCs w:val="21"/>
          <w:highlight w:val="none"/>
        </w:rPr>
        <w:t>或更换资质证书前有效期内：</w:t>
      </w:r>
      <w:r>
        <w:rPr>
          <w:rFonts w:hint="eastAsia" w:ascii="宋体" w:hAnsi="宋体" w:eastAsia="宋体" w:cs="宋体"/>
          <w:color w:val="auto"/>
          <w:szCs w:val="21"/>
          <w:highlight w:val="none"/>
          <w:lang w:val="zh-CN"/>
        </w:rPr>
        <w:t>电力工程施工总承包三级（或以上）企业资质；</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val="zh-CN"/>
        </w:rPr>
        <w:t>输变电工程专业承包三级（或以上）企业资质】；②具有《承装（修、试）电力设施许可证》承装类五级或以上资质</w:t>
      </w:r>
      <w:r>
        <w:rPr>
          <w:rFonts w:hint="eastAsia" w:ascii="宋体" w:hAnsi="宋体" w:eastAsia="宋体" w:cs="宋体"/>
          <w:bCs/>
          <w:color w:val="auto"/>
          <w:szCs w:val="21"/>
          <w:highlight w:val="none"/>
          <w:lang w:val="zh-CN"/>
        </w:rPr>
        <w:t>【或具</w:t>
      </w:r>
      <w:r>
        <w:rPr>
          <w:rFonts w:hint="eastAsia" w:ascii="宋体" w:hAnsi="宋体" w:eastAsia="宋体" w:cs="宋体"/>
          <w:bCs/>
          <w:color w:val="auto"/>
          <w:szCs w:val="21"/>
          <w:highlight w:val="none"/>
        </w:rPr>
        <w:t>有</w:t>
      </w:r>
      <w:r>
        <w:rPr>
          <w:rFonts w:hint="eastAsia" w:ascii="宋体" w:hAnsi="宋体" w:eastAsia="宋体" w:cs="宋体"/>
          <w:bCs/>
          <w:color w:val="auto"/>
          <w:szCs w:val="24"/>
          <w:highlight w:val="none"/>
        </w:rPr>
        <w:t>2025年7月1日</w:t>
      </w:r>
      <w:r>
        <w:rPr>
          <w:rFonts w:hint="eastAsia" w:ascii="宋体" w:hAnsi="宋体" w:eastAsia="宋体" w:cs="宋体"/>
          <w:bCs/>
          <w:color w:val="auto"/>
          <w:szCs w:val="21"/>
          <w:highlight w:val="none"/>
        </w:rPr>
        <w:t>以来</w:t>
      </w:r>
      <w:r>
        <w:rPr>
          <w:rFonts w:hint="eastAsia" w:ascii="宋体" w:hAnsi="宋体" w:eastAsia="宋体" w:cs="宋体"/>
          <w:bCs/>
          <w:color w:val="auto"/>
          <w:szCs w:val="21"/>
          <w:highlight w:val="none"/>
          <w:lang w:val="zh-CN"/>
        </w:rPr>
        <w:t>颁发</w:t>
      </w:r>
      <w:r>
        <w:rPr>
          <w:rFonts w:hint="eastAsia" w:ascii="宋体" w:hAnsi="宋体" w:eastAsia="宋体" w:cs="宋体"/>
          <w:bCs/>
          <w:color w:val="auto"/>
          <w:szCs w:val="21"/>
          <w:highlight w:val="none"/>
        </w:rPr>
        <w:t>或换领</w:t>
      </w:r>
      <w:r>
        <w:rPr>
          <w:rFonts w:hint="eastAsia" w:ascii="宋体" w:hAnsi="宋体" w:eastAsia="宋体" w:cs="宋体"/>
          <w:bCs/>
          <w:color w:val="auto"/>
          <w:szCs w:val="21"/>
          <w:highlight w:val="none"/>
          <w:lang w:val="zh-CN"/>
        </w:rPr>
        <w:t>的《承装（修、试）电力设施许可证》承装类三级或以上电子证照】；</w:t>
      </w:r>
      <w:r>
        <w:rPr>
          <w:rFonts w:hint="eastAsia" w:ascii="宋体" w:hAnsi="宋体" w:eastAsia="宋体" w:cs="宋体"/>
          <w:color w:val="auto"/>
          <w:szCs w:val="21"/>
          <w:highlight w:val="none"/>
          <w:lang w:val="zh-CN"/>
        </w:rPr>
        <w:t>③具有在效期内的《安全生产许可证》。（</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）设计资质：具有有效期内</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工程设计综合资质，或工程设计电力行业乙级（或以上）资质，或工程设计电力行业（送</w:t>
      </w:r>
      <w:r>
        <w:rPr>
          <w:rFonts w:hint="eastAsia" w:ascii="宋体" w:hAnsi="宋体" w:eastAsia="宋体" w:cs="宋体"/>
          <w:color w:val="auto"/>
          <w:szCs w:val="21"/>
          <w:highlight w:val="none"/>
        </w:rPr>
        <w:t>变</w:t>
      </w:r>
      <w:r>
        <w:rPr>
          <w:rFonts w:hint="eastAsia" w:ascii="宋体" w:hAnsi="宋体" w:eastAsia="宋体" w:cs="宋体"/>
          <w:color w:val="auto"/>
          <w:szCs w:val="21"/>
          <w:highlight w:val="none"/>
          <w:lang w:val="zh-CN"/>
        </w:rPr>
        <w:t>电工程）专业乙级（或以上）资质，或工程设计电力行业（新能源发电</w:t>
      </w:r>
      <w:r>
        <w:rPr>
          <w:rFonts w:hint="eastAsia" w:ascii="宋体" w:hAnsi="宋体" w:eastAsia="宋体" w:cs="宋体"/>
          <w:color w:val="auto"/>
          <w:szCs w:val="21"/>
          <w:highlight w:val="none"/>
        </w:rPr>
        <w:t>工程</w:t>
      </w:r>
      <w:r>
        <w:rPr>
          <w:rFonts w:hint="eastAsia" w:ascii="宋体" w:hAnsi="宋体" w:eastAsia="宋体" w:cs="宋体"/>
          <w:color w:val="auto"/>
          <w:szCs w:val="21"/>
          <w:highlight w:val="none"/>
          <w:lang w:val="zh-CN"/>
        </w:rPr>
        <w:t>）专业乙级（或以上）资质【</w:t>
      </w:r>
      <w:r>
        <w:rPr>
          <w:rFonts w:hint="eastAsia" w:ascii="宋体" w:hAnsi="宋体" w:eastAsia="宋体" w:cs="宋体"/>
          <w:color w:val="auto"/>
          <w:szCs w:val="21"/>
          <w:highlight w:val="none"/>
        </w:rPr>
        <w:t>或更换资质证书前有效期内</w:t>
      </w:r>
      <w:r>
        <w:rPr>
          <w:rFonts w:hint="eastAsia" w:ascii="宋体" w:hAnsi="宋体" w:eastAsia="宋体" w:cs="宋体"/>
          <w:color w:val="auto"/>
          <w:szCs w:val="21"/>
          <w:highlight w:val="none"/>
          <w:lang w:val="zh-CN"/>
        </w:rPr>
        <w:t>：工程设计综合</w:t>
      </w:r>
      <w:r>
        <w:rPr>
          <w:rFonts w:hint="eastAsia" w:ascii="宋体" w:hAnsi="宋体" w:eastAsia="宋体" w:cs="宋体"/>
          <w:color w:val="auto"/>
          <w:szCs w:val="21"/>
          <w:highlight w:val="none"/>
        </w:rPr>
        <w:t>甲级</w:t>
      </w:r>
      <w:r>
        <w:rPr>
          <w:rFonts w:hint="eastAsia" w:ascii="宋体" w:hAnsi="宋体" w:eastAsia="宋体" w:cs="宋体"/>
          <w:color w:val="auto"/>
          <w:szCs w:val="21"/>
          <w:highlight w:val="none"/>
          <w:lang w:val="zh-CN"/>
        </w:rPr>
        <w:t>资质，或工程设计电力行业乙级（或以上）资质，或工程设计电力行业（送电工程或变电工程）专业丙级（或以上）资质，或工程设计电力行业（新能源发电）专业乙级资质】；</w:t>
      </w:r>
      <w:r>
        <w:rPr>
          <w:rFonts w:hint="eastAsia" w:ascii="宋体" w:hAnsi="宋体" w:eastAsia="宋体" w:cs="宋体"/>
          <w:color w:val="auto"/>
          <w:szCs w:val="21"/>
          <w:highlight w:val="none"/>
        </w:rPr>
        <w:t>【投标人提供以上资质证书扫描件】</w:t>
      </w:r>
      <w:bookmarkEnd w:id="240"/>
      <w:bookmarkEnd w:id="243"/>
    </w:p>
    <w:p w14:paraId="5FE662C1">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项目负责人要求（若为联合体投标的，以联合体牵头单位提供的人员为准，联合体成员单位提供的人员不予认可）：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提供有效的相关证书扫描件，并提供由人力资源和社会保障部门（或税务部门）出具的投标人2025年2月至2025年7月为其缴纳的社会保险凭证扫描件】</w:t>
      </w:r>
    </w:p>
    <w:p w14:paraId="26F48894">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【投标人提供一份2022年1月1日以来分布式光伏发电的业绩（合同签订日期为2022年1月1日或以后），资格业绩证明材料提交要求详见招标文件第六篇投标文件格式4.</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p>
    <w:p w14:paraId="22F17204">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bookmarkStart w:id="244" w:name="_Toc27355"/>
      <w:bookmarkStart w:id="245" w:name="_Toc15361"/>
      <w:bookmarkStart w:id="246" w:name="_Toc21927"/>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bookmarkEnd w:id="244"/>
      <w:bookmarkEnd w:id="245"/>
      <w:bookmarkEnd w:id="246"/>
    </w:p>
    <w:p w14:paraId="3B6CB570">
      <w:pPr>
        <w:autoSpaceDE w:val="0"/>
        <w:autoSpaceDN w:val="0"/>
        <w:adjustRightInd w:val="0"/>
        <w:spacing w:line="360" w:lineRule="auto"/>
        <w:ind w:left="913" w:hanging="913" w:hangingChars="435"/>
        <w:rPr>
          <w:rFonts w:ascii="宋体" w:hAnsi="宋体" w:eastAsia="宋体" w:cs="宋体"/>
          <w:color w:val="auto"/>
          <w:szCs w:val="21"/>
          <w:highlight w:val="none"/>
          <w:lang w:val="zh-CN"/>
        </w:rPr>
      </w:pPr>
      <w:bookmarkStart w:id="247" w:name="OLE_LINK67"/>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）联合体共同投标协议书（</w:t>
      </w:r>
      <w:bookmarkStart w:id="248" w:name="OLE_LINK231"/>
      <w:r>
        <w:rPr>
          <w:rFonts w:hint="eastAsia" w:ascii="宋体" w:hAnsi="宋体" w:eastAsia="宋体" w:cs="宋体"/>
          <w:color w:val="auto"/>
          <w:szCs w:val="21"/>
          <w:highlight w:val="none"/>
        </w:rPr>
        <w:t>当联合体投标时提供</w:t>
      </w:r>
      <w:bookmarkEnd w:id="248"/>
      <w:r>
        <w:rPr>
          <w:rFonts w:hint="eastAsia" w:ascii="宋体" w:hAnsi="宋体" w:eastAsia="宋体" w:cs="宋体"/>
          <w:color w:val="auto"/>
          <w:szCs w:val="21"/>
          <w:highlight w:val="none"/>
        </w:rPr>
        <w:t>）；</w:t>
      </w:r>
      <w:bookmarkEnd w:id="247"/>
    </w:p>
    <w:p w14:paraId="3032F5C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）投标人基本情况一览表；</w:t>
      </w:r>
    </w:p>
    <w:p w14:paraId="562B7E5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）投标人财务状况表；</w:t>
      </w:r>
    </w:p>
    <w:p w14:paraId="4B4DD63A">
      <w:pPr>
        <w:tabs>
          <w:tab w:val="left" w:pos="567"/>
        </w:tabs>
        <w:autoSpaceDE w:val="0"/>
        <w:autoSpaceDN w:val="0"/>
        <w:adjustRightInd w:val="0"/>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（7）标准化体系认证；</w:t>
      </w:r>
    </w:p>
    <w:p w14:paraId="275C91C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（8）合同条款响应程度（合同条款偏离表）；</w:t>
      </w:r>
    </w:p>
    <w:p w14:paraId="0D8A71E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）业绩表；</w:t>
      </w:r>
    </w:p>
    <w:p w14:paraId="2C1933CD">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）中标服务费承诺书；</w:t>
      </w:r>
    </w:p>
    <w:p w14:paraId="4D70531F">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63A414DD">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bookmarkStart w:id="249" w:name="_Toc31177"/>
      <w:bookmarkStart w:id="250" w:name="_Toc7987"/>
      <w:bookmarkStart w:id="251" w:name="_Toc21437"/>
      <w:r>
        <w:rPr>
          <w:rFonts w:hint="eastAsia" w:ascii="宋体" w:hAnsi="宋体" w:eastAsia="宋体" w:cs="宋体"/>
          <w:b/>
          <w:color w:val="auto"/>
          <w:kern w:val="0"/>
          <w:szCs w:val="24"/>
          <w:highlight w:val="none"/>
        </w:rPr>
        <w:t>9.1.2 技术标：</w:t>
      </w:r>
      <w:bookmarkEnd w:id="249"/>
      <w:bookmarkEnd w:id="250"/>
      <w:bookmarkEnd w:id="251"/>
    </w:p>
    <w:p w14:paraId="42EF74C8">
      <w:pPr>
        <w:autoSpaceDE w:val="0"/>
        <w:autoSpaceDN w:val="0"/>
        <w:adjustRightInd w:val="0"/>
        <w:spacing w:line="360" w:lineRule="auto"/>
        <w:ind w:right="-23" w:rightChars="-11"/>
        <w:jc w:val="left"/>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14075518">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（1）用户需求的响应程度（即用户需求偏离表）；</w:t>
      </w:r>
    </w:p>
    <w:p w14:paraId="219C5487">
      <w:pPr>
        <w:spacing w:line="360" w:lineRule="auto"/>
        <w:ind w:left="222" w:leftChars="-100" w:hanging="432" w:hangingChars="206"/>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供货货物清单表</w:t>
      </w:r>
      <w:bookmarkStart w:id="252" w:name="OLE_LINK367"/>
      <w:r>
        <w:rPr>
          <w:rFonts w:hint="eastAsia" w:ascii="宋体" w:hAnsi="宋体" w:eastAsia="宋体" w:cs="宋体"/>
          <w:color w:val="auto"/>
          <w:kern w:val="0"/>
          <w:szCs w:val="21"/>
          <w:highlight w:val="none"/>
          <w:lang w:val="zh-CN"/>
        </w:rPr>
        <w:t>（货物明细中的</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名称、</w:t>
      </w:r>
      <w:r>
        <w:rPr>
          <w:rFonts w:hint="eastAsia" w:ascii="宋体" w:hAnsi="宋体" w:eastAsia="宋体" w:cs="宋体"/>
          <w:color w:val="auto"/>
          <w:kern w:val="0"/>
          <w:szCs w:val="21"/>
          <w:highlight w:val="none"/>
        </w:rPr>
        <w:t>单位</w:t>
      </w:r>
      <w:r>
        <w:rPr>
          <w:rFonts w:hint="eastAsia" w:ascii="宋体" w:hAnsi="宋体" w:eastAsia="宋体" w:cs="宋体"/>
          <w:color w:val="auto"/>
          <w:kern w:val="0"/>
          <w:szCs w:val="21"/>
          <w:highlight w:val="none"/>
          <w:lang w:val="zh-CN"/>
        </w:rPr>
        <w:t>、数量等，应与用户需求书 附件1项目清单一致，需包含光伏组件、逆变器、电缆、汇流箱、并网柜、计量设备、支架材料、监控设备等主材）</w:t>
      </w:r>
      <w:bookmarkEnd w:id="252"/>
      <w:r>
        <w:rPr>
          <w:rFonts w:hint="eastAsia" w:ascii="宋体" w:hAnsi="宋体" w:eastAsia="宋体" w:cs="宋体"/>
          <w:color w:val="auto"/>
          <w:kern w:val="0"/>
          <w:szCs w:val="21"/>
          <w:highlight w:val="none"/>
          <w:lang w:val="zh-CN"/>
        </w:rPr>
        <w:t>；</w:t>
      </w:r>
    </w:p>
    <w:p w14:paraId="7ACB633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（3）光伏发电设施技术证明材料；</w:t>
      </w:r>
    </w:p>
    <w:p w14:paraId="6B6527D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（4）光伏系统主要设备产品性能；</w:t>
      </w:r>
    </w:p>
    <w:p w14:paraId="08116691">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（5）质保时间</w:t>
      </w:r>
      <w:r>
        <w:rPr>
          <w:rFonts w:hint="eastAsia" w:ascii="宋体" w:hAnsi="宋体" w:eastAsia="宋体" w:cs="宋体"/>
          <w:color w:val="auto"/>
          <w:szCs w:val="21"/>
          <w:highlight w:val="none"/>
        </w:rPr>
        <w:t>（质保说明书）；</w:t>
      </w:r>
    </w:p>
    <w:p w14:paraId="1F811AE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（6）技术服务团队实力（投标人提供证明资料）；</w:t>
      </w:r>
    </w:p>
    <w:p w14:paraId="3F3ADBA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（7）系统总体设计方案（投标人自行编写）；</w:t>
      </w:r>
    </w:p>
    <w:p w14:paraId="6A8DA462">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r>
        <w:rPr>
          <w:rFonts w:hint="eastAsia" w:ascii="宋体" w:hAnsi="宋体" w:eastAsia="宋体" w:cs="宋体"/>
          <w:color w:val="auto"/>
          <w:szCs w:val="21"/>
          <w:highlight w:val="none"/>
          <w:lang w:bidi="ar"/>
        </w:rPr>
        <w:t>项目实施方案</w:t>
      </w:r>
      <w:r>
        <w:rPr>
          <w:rFonts w:hint="eastAsia" w:ascii="宋体" w:hAnsi="宋体" w:eastAsia="宋体" w:cs="宋体"/>
          <w:color w:val="auto"/>
          <w:kern w:val="0"/>
          <w:szCs w:val="21"/>
          <w:highlight w:val="none"/>
        </w:rPr>
        <w:t>（投标人自行编写）；</w:t>
      </w:r>
    </w:p>
    <w:p w14:paraId="0A8BC8DF">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lang w:bidi="ar"/>
        </w:rPr>
        <w:t>安全保证措施</w:t>
      </w:r>
      <w:r>
        <w:rPr>
          <w:rFonts w:hint="eastAsia" w:ascii="宋体" w:hAnsi="宋体" w:eastAsia="宋体" w:cs="宋体"/>
          <w:color w:val="auto"/>
          <w:kern w:val="0"/>
          <w:szCs w:val="21"/>
          <w:highlight w:val="none"/>
        </w:rPr>
        <w:t>（投标人自行编写）；</w:t>
      </w:r>
    </w:p>
    <w:p w14:paraId="38E3E41C">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（10）技术服务运维方案（投标人自行编写）；</w:t>
      </w:r>
    </w:p>
    <w:p w14:paraId="4BA211EA">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（11）投标人认为有必要提供的其它材料（不做强制要求）。</w:t>
      </w:r>
    </w:p>
    <w:p w14:paraId="3F2D515A">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bookmarkStart w:id="253" w:name="_Toc28692"/>
      <w:bookmarkStart w:id="254" w:name="_Toc25430"/>
      <w:bookmarkStart w:id="255" w:name="_Toc29166"/>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253"/>
      <w:bookmarkEnd w:id="254"/>
      <w:bookmarkEnd w:id="255"/>
      <w:r>
        <w:rPr>
          <w:rFonts w:hint="eastAsia" w:ascii="宋体" w:hAnsi="宋体" w:eastAsia="宋体" w:cs="宋体"/>
          <w:b/>
          <w:bCs/>
          <w:color w:val="auto"/>
          <w:szCs w:val="21"/>
          <w:highlight w:val="none"/>
          <w:lang w:val="zh-CN"/>
        </w:rPr>
        <w:t>：</w:t>
      </w:r>
    </w:p>
    <w:p w14:paraId="2121D3DA">
      <w:pPr>
        <w:autoSpaceDE w:val="0"/>
        <w:autoSpaceDN w:val="0"/>
        <w:adjustRightInd w:val="0"/>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19D6ED19">
      <w:pPr>
        <w:autoSpaceDE w:val="0"/>
        <w:autoSpaceDN w:val="0"/>
        <w:adjustRightInd w:val="0"/>
        <w:spacing w:line="360" w:lineRule="auto"/>
        <w:ind w:left="317" w:leftChars="-100" w:hanging="527" w:hangingChars="250"/>
        <w:rPr>
          <w:rFonts w:ascii="宋体" w:hAnsi="宋体" w:eastAsia="宋体" w:cs="宋体"/>
          <w:b/>
          <w:bCs/>
          <w:color w:val="auto"/>
          <w:szCs w:val="21"/>
          <w:highlight w:val="none"/>
        </w:rPr>
      </w:pPr>
      <w:bookmarkStart w:id="256" w:name="_Toc6136"/>
      <w:bookmarkStart w:id="257" w:name="_Toc14519"/>
      <w:bookmarkStart w:id="258" w:name="_Toc6364"/>
      <w:r>
        <w:rPr>
          <w:rFonts w:hint="eastAsia" w:ascii="宋体" w:hAnsi="宋体" w:eastAsia="宋体" w:cs="宋体"/>
          <w:b/>
          <w:bCs/>
          <w:color w:val="auto"/>
          <w:szCs w:val="21"/>
          <w:highlight w:val="none"/>
        </w:rPr>
        <w:t>9.2  投标文件格式</w:t>
      </w:r>
      <w:bookmarkEnd w:id="256"/>
      <w:bookmarkEnd w:id="257"/>
      <w:bookmarkEnd w:id="258"/>
      <w:r>
        <w:rPr>
          <w:rFonts w:hint="eastAsia" w:ascii="宋体" w:hAnsi="宋体" w:eastAsia="宋体" w:cs="宋体"/>
          <w:b/>
          <w:bCs/>
          <w:color w:val="auto"/>
          <w:szCs w:val="21"/>
          <w:highlight w:val="none"/>
        </w:rPr>
        <w:t xml:space="preserve"> </w:t>
      </w:r>
    </w:p>
    <w:p w14:paraId="6FF80C1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127A82C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44C0A35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1E9EDE1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30EDDC2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3CFE4D1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3F44BC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1170"/>
      <w:bookmarkStart w:id="260" w:name="_Toc195714228"/>
      <w:bookmarkStart w:id="261" w:name="_Toc142508324"/>
      <w:bookmarkStart w:id="262" w:name="_Toc8675_WPSOffice_Level3"/>
      <w:bookmarkStart w:id="263" w:name="_Toc19362"/>
      <w:bookmarkStart w:id="264" w:name="_Toc486167674"/>
      <w:bookmarkStart w:id="265" w:name="_Toc450662860"/>
      <w:bookmarkStart w:id="266" w:name="_Toc16938"/>
      <w:bookmarkStart w:id="267" w:name="_Toc10119"/>
      <w:bookmarkStart w:id="268" w:name="_Toc13214"/>
      <w:bookmarkStart w:id="269" w:name="_Toc7017"/>
      <w:r>
        <w:rPr>
          <w:rFonts w:hint="eastAsia" w:ascii="宋体" w:hAnsi="宋体" w:eastAsia="宋体" w:cs="宋体"/>
          <w:color w:val="auto"/>
          <w:szCs w:val="21"/>
          <w:highlight w:val="none"/>
          <w:lang w:val="zh-CN"/>
        </w:rPr>
        <w:t>10 投标函</w:t>
      </w:r>
      <w:bookmarkEnd w:id="259"/>
      <w:bookmarkEnd w:id="260"/>
      <w:bookmarkEnd w:id="261"/>
      <w:bookmarkEnd w:id="262"/>
      <w:bookmarkEnd w:id="263"/>
      <w:bookmarkEnd w:id="264"/>
      <w:bookmarkEnd w:id="265"/>
      <w:bookmarkEnd w:id="266"/>
      <w:bookmarkEnd w:id="267"/>
      <w:bookmarkEnd w:id="268"/>
      <w:bookmarkEnd w:id="269"/>
    </w:p>
    <w:p w14:paraId="1BA1257B">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CF5FF73">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1A9B1EC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0" w:name="_Toc15933"/>
      <w:bookmarkStart w:id="271" w:name="_Toc142508325"/>
      <w:bookmarkStart w:id="272" w:name="_Toc450662861"/>
      <w:bookmarkStart w:id="273" w:name="_Toc15427"/>
      <w:bookmarkStart w:id="274" w:name="_Toc486167675"/>
      <w:bookmarkStart w:id="275" w:name="_Toc24311"/>
      <w:bookmarkStart w:id="276" w:name="_Toc27908"/>
      <w:bookmarkStart w:id="277" w:name="_Toc4385_WPSOffice_Level3"/>
      <w:bookmarkStart w:id="278" w:name="_Toc14736"/>
      <w:bookmarkStart w:id="279" w:name="_Toc10582"/>
      <w:bookmarkStart w:id="280" w:name="_Toc195714229"/>
      <w:r>
        <w:rPr>
          <w:rFonts w:hint="eastAsia" w:ascii="宋体" w:hAnsi="宋体" w:eastAsia="宋体" w:cs="宋体"/>
          <w:color w:val="auto"/>
          <w:szCs w:val="21"/>
          <w:highlight w:val="none"/>
          <w:lang w:val="zh-CN"/>
        </w:rPr>
        <w:t>11 投标报价</w:t>
      </w:r>
      <w:bookmarkEnd w:id="270"/>
      <w:bookmarkEnd w:id="271"/>
      <w:bookmarkEnd w:id="272"/>
      <w:bookmarkEnd w:id="273"/>
      <w:bookmarkEnd w:id="274"/>
      <w:bookmarkEnd w:id="275"/>
      <w:bookmarkEnd w:id="276"/>
      <w:bookmarkEnd w:id="277"/>
      <w:bookmarkEnd w:id="278"/>
      <w:bookmarkEnd w:id="279"/>
      <w:bookmarkEnd w:id="280"/>
    </w:p>
    <w:p w14:paraId="58D0AC4B">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highlight w:val="none"/>
          <w:u w:val="single"/>
          <w:lang w:val="zh-CN"/>
        </w:rPr>
        <w:t>本项目只允许有一个报价价格，任何有选择的或</w:t>
      </w:r>
      <w:r>
        <w:rPr>
          <w:rFonts w:hint="eastAsia" w:ascii="宋体" w:hAnsi="宋体" w:eastAsia="宋体" w:cs="宋体"/>
          <w:b/>
          <w:color w:val="auto"/>
          <w:kern w:val="0"/>
          <w:szCs w:val="21"/>
          <w:highlight w:val="none"/>
          <w:u w:val="single"/>
          <w:lang w:val="zh-CN"/>
        </w:rPr>
        <w:t>不是固定价的</w:t>
      </w:r>
      <w:r>
        <w:rPr>
          <w:rFonts w:hint="eastAsia" w:ascii="宋体" w:hAnsi="宋体" w:eastAsia="宋体" w:cs="宋体"/>
          <w:b/>
          <w:color w:val="auto"/>
          <w:szCs w:val="21"/>
          <w:highlight w:val="none"/>
          <w:u w:val="single"/>
          <w:lang w:val="zh-CN"/>
        </w:rPr>
        <w:t>投标报价将不予接受，</w:t>
      </w:r>
      <w:r>
        <w:rPr>
          <w:rFonts w:hint="eastAsia" w:ascii="宋体" w:hAnsi="宋体" w:eastAsia="宋体" w:cs="宋体"/>
          <w:b/>
          <w:color w:val="auto"/>
          <w:kern w:val="0"/>
          <w:szCs w:val="21"/>
          <w:highlight w:val="none"/>
          <w:u w:val="single"/>
          <w:lang w:val="zh-CN"/>
        </w:rPr>
        <w:t>作为非实质性响应投标而予以拒绝。</w:t>
      </w:r>
      <w:r>
        <w:rPr>
          <w:rFonts w:hint="eastAsia" w:ascii="宋体" w:hAnsi="宋体" w:eastAsia="宋体" w:cs="宋体"/>
          <w:b/>
          <w:color w:val="auto"/>
          <w:kern w:val="0"/>
          <w:szCs w:val="21"/>
          <w:highlight w:val="none"/>
          <w:u w:val="single"/>
        </w:rPr>
        <w:t>投标人不得以低于企业自身成本的价格竞投</w:t>
      </w:r>
      <w:r>
        <w:rPr>
          <w:rFonts w:hint="eastAsia" w:ascii="宋体" w:hAnsi="宋体" w:eastAsia="宋体" w:cs="宋体"/>
          <w:b/>
          <w:color w:val="auto"/>
          <w:szCs w:val="21"/>
          <w:highlight w:val="none"/>
          <w:lang w:val="zh-CN"/>
        </w:rPr>
        <w:t>。</w:t>
      </w:r>
    </w:p>
    <w:p w14:paraId="2FBD6755">
      <w:pPr>
        <w:tabs>
          <w:tab w:val="left" w:pos="567"/>
        </w:tabs>
        <w:autoSpaceDE w:val="0"/>
        <w:autoSpaceDN w:val="0"/>
        <w:adjustRightInd w:val="0"/>
        <w:spacing w:line="360" w:lineRule="auto"/>
        <w:ind w:left="399" w:leftChars="190" w:firstLine="358" w:firstLineChars="1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eastAsia="宋体" w:cs="宋体"/>
          <w:b/>
          <w:color w:val="auto"/>
          <w:szCs w:val="21"/>
          <w:highlight w:val="none"/>
          <w:lang w:val="zh-CN"/>
        </w:rPr>
        <w:t>。</w:t>
      </w:r>
    </w:p>
    <w:p w14:paraId="175E73CB">
      <w:pPr>
        <w:tabs>
          <w:tab w:val="left" w:pos="567"/>
        </w:tabs>
        <w:autoSpaceDE w:val="0"/>
        <w:autoSpaceDN w:val="0"/>
        <w:adjustRightInd w:val="0"/>
        <w:spacing w:line="360" w:lineRule="auto"/>
        <w:ind w:left="199" w:leftChars="95" w:firstLine="569" w:firstLineChars="270"/>
        <w:rPr>
          <w:rFonts w:ascii="宋体" w:hAnsi="宋体" w:eastAsia="宋体" w:cs="宋体"/>
          <w:b/>
          <w:color w:val="auto"/>
          <w:szCs w:val="21"/>
          <w:highlight w:val="none"/>
          <w:lang w:val="zh-CN"/>
        </w:rPr>
      </w:pPr>
      <w:r>
        <w:rPr>
          <w:rFonts w:hint="eastAsia" w:ascii="宋体" w:hAnsi="宋体" w:eastAsia="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eastAsia="宋体" w:cs="宋体"/>
          <w:b/>
          <w:color w:val="auto"/>
          <w:szCs w:val="21"/>
          <w:highlight w:val="none"/>
          <w:u w:val="single"/>
        </w:rPr>
        <w:t>根据少数服从多数的原则，获多数表决通过</w:t>
      </w:r>
      <w:r>
        <w:rPr>
          <w:rFonts w:hint="eastAsia" w:ascii="宋体" w:hAnsi="宋体" w:eastAsia="宋体" w:cs="宋体"/>
          <w:b/>
          <w:color w:val="auto"/>
          <w:szCs w:val="21"/>
          <w:highlight w:val="none"/>
          <w:u w:val="single"/>
          <w:lang w:val="zh-CN"/>
        </w:rPr>
        <w:t>的投标人才有资格进入下一阶段的评审，否则将按无效投标处理</w:t>
      </w:r>
      <w:r>
        <w:rPr>
          <w:rFonts w:hint="eastAsia" w:ascii="宋体" w:hAnsi="宋体" w:eastAsia="宋体" w:cs="宋体"/>
          <w:b/>
          <w:color w:val="auto"/>
          <w:szCs w:val="21"/>
          <w:highlight w:val="none"/>
          <w:lang w:val="zh-CN"/>
        </w:rPr>
        <w:t>。</w:t>
      </w:r>
    </w:p>
    <w:p w14:paraId="6CA8FE7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本项目投标报价为不含税</w:t>
      </w:r>
      <w:r>
        <w:rPr>
          <w:rFonts w:hint="eastAsia" w:ascii="宋体" w:hAnsi="宋体" w:eastAsia="宋体" w:cs="宋体"/>
          <w:b/>
          <w:color w:val="auto"/>
          <w:szCs w:val="21"/>
          <w:highlight w:val="none"/>
          <w:u w:val="single"/>
        </w:rPr>
        <w:t>总</w:t>
      </w:r>
      <w:r>
        <w:rPr>
          <w:rFonts w:hint="eastAsia" w:ascii="宋体" w:hAnsi="宋体" w:eastAsia="宋体" w:cs="宋体"/>
          <w:b/>
          <w:color w:val="auto"/>
          <w:szCs w:val="21"/>
          <w:highlight w:val="none"/>
          <w:u w:val="single"/>
          <w:lang w:val="zh-CN"/>
        </w:rPr>
        <w:t>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w:t>
      </w:r>
      <w:r>
        <w:rPr>
          <w:rFonts w:hint="eastAsia" w:ascii="宋体" w:hAnsi="宋体" w:eastAsia="宋体" w:cs="宋体"/>
          <w:color w:val="auto"/>
          <w:szCs w:val="21"/>
          <w:highlight w:val="none"/>
        </w:rPr>
        <w:t>总</w:t>
      </w:r>
      <w:r>
        <w:rPr>
          <w:rFonts w:hint="eastAsia" w:ascii="宋体" w:hAnsi="宋体" w:eastAsia="宋体" w:cs="宋体"/>
          <w:color w:val="auto"/>
          <w:szCs w:val="21"/>
          <w:highlight w:val="none"/>
          <w:lang w:val="zh-CN"/>
        </w:rPr>
        <w:t>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bookmarkStart w:id="281" w:name="OLE_LINK373"/>
    </w:p>
    <w:p w14:paraId="362E70B2">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1）太阳能光伏组件至并网点全部项目的勘察与设计、设备材料供应及安装费用（含并网设施、光伏组件、交流汇流箱、逆变器、开关柜、光伏支架、电缆、监控、防雷及安全等配套设施等光伏发电项目所有设备材料，运输、储存），以及在各水质净化厂现状条件下为满足本项目实施的相关拆除、迁改、基础制作、安装所产生的费用，按厂区要求增设的钢结构室外楼梯和安全线缆的费用，电网接入系统检测、全部项目系统调试及试运、验收（含为满足并网条件，需按供电局要求完成线路改造、安健环改造、网络安防、电能质量优化及调度控制系统建设等相关工作，</w:t>
      </w:r>
      <w:r>
        <w:rPr>
          <w:rFonts w:hint="eastAsia" w:ascii="宋体" w:hAnsi="宋体" w:eastAsia="宋体" w:cs="宋体"/>
          <w:bCs/>
          <w:color w:val="auto"/>
          <w:szCs w:val="21"/>
          <w:highlight w:val="none"/>
        </w:rPr>
        <w:t>以及供电局所需的试验</w:t>
      </w:r>
      <w:r>
        <w:rPr>
          <w:rFonts w:hint="eastAsia" w:ascii="宋体" w:hAnsi="宋体" w:eastAsia="宋体" w:cs="宋体"/>
          <w:color w:val="auto"/>
          <w:szCs w:val="21"/>
          <w:highlight w:val="none"/>
        </w:rPr>
        <w:t>）并交付生产、培训、质量保修期内的消缺等完成并网投运全过程费用，即包括但不限于勘察与设计费、货物及零配件成本费、运输费、包装费、装卸费、搬运（含二次搬运）费、保险费、安装费及安装设备所需的配件等费用、安装所需的一切配套工作费用、安全防护文明施工措施费（其中含不停产情况下池面上空作业、高空作业、带电作业的安全措施费）、调试费、材料费、验收费（含验收所需的专家费、会务费、差旅费、验收材料费、满足供电局验收要求的试验费，竣工验收阶段委托第三方检测机构的检测费等）、人工费、技术培训费、技术服务（包括技术资料、图纸的提供等）等；</w:t>
      </w:r>
    </w:p>
    <w:p w14:paraId="08908054">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（2）</w:t>
      </w:r>
      <w:bookmarkStart w:id="282" w:name="OLE_LINK438"/>
      <w:r>
        <w:rPr>
          <w:rFonts w:hint="eastAsia" w:ascii="宋体" w:hAnsi="宋体" w:eastAsia="宋体" w:cs="宋体"/>
          <w:color w:val="auto"/>
          <w:szCs w:val="21"/>
          <w:highlight w:val="none"/>
        </w:rPr>
        <w:t>1年的运营维护服务</w:t>
      </w:r>
      <w:bookmarkEnd w:id="282"/>
      <w:bookmarkStart w:id="283" w:name="OLE_LINK439"/>
      <w:r>
        <w:rPr>
          <w:rFonts w:hint="eastAsia" w:ascii="宋体" w:hAnsi="宋体" w:eastAsia="宋体" w:cs="宋体"/>
          <w:color w:val="auto"/>
          <w:szCs w:val="21"/>
          <w:highlight w:val="none"/>
        </w:rPr>
        <w:t>费用（含日常办公、设备巡检、维修养护、组件清洗、耗材更换、人员工资及保险、管理酬金等所有相关费用）</w:t>
      </w:r>
      <w:bookmarkEnd w:id="283"/>
      <w:r>
        <w:rPr>
          <w:rFonts w:hint="eastAsia" w:ascii="宋体" w:hAnsi="宋体" w:eastAsia="宋体" w:cs="宋体"/>
          <w:color w:val="auto"/>
          <w:szCs w:val="21"/>
          <w:highlight w:val="none"/>
        </w:rPr>
        <w:t>；</w:t>
      </w:r>
    </w:p>
    <w:p w14:paraId="1A894CD5">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（3）72块预留光伏组件的费用；</w:t>
      </w:r>
    </w:p>
    <w:p w14:paraId="00829329">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4）项目实施过程中需按要求办理项目的全部手续及合规性工作所需费用，包括但不限于：①向项目所在地相关主管部门办理备案手续；②供电局对项目接入意见办理、接入方案的设计与编制、评审、接入施工图纸的设计、评审、接入系统的设备、材料的采购、施工、调试以及竣工验收；③政府部门或售电公司上网项目核准；④为满足并网条件，需按供电局要求完成线路改造、对侧变电站改造、网络安防、电能质量优化及调度控制系统建设等相关工作；</w:t>
      </w:r>
      <w:r>
        <w:rPr>
          <w:rFonts w:hint="eastAsia" w:ascii="宋体" w:hAnsi="宋体" w:eastAsia="宋体" w:cs="宋体"/>
          <w:color w:val="auto"/>
          <w:szCs w:val="21"/>
          <w:highlight w:val="none"/>
          <w:shd w:val="clear" w:color="auto" w:fill="FFFFFF"/>
        </w:rPr>
        <w:t>⑤办理对应手续需向有关部门、单位缴纳的费用；</w:t>
      </w:r>
    </w:p>
    <w:p w14:paraId="2328918B">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5）中标人负责为项目招标范围内的设计、供货、安装和验收及满足并网投运所需要的一切手续的费用，即便在合同或招标文件内没有载明，但实际证明是确保项目发电运行所必须的，均纳入设计、采购、安装及提供服务范围，费用已包含在不含税固定每瓦单价内；</w:t>
      </w:r>
    </w:p>
    <w:p w14:paraId="36191DCD">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（6）供货货物及其工艺所有制造方、使用方应支付的对专有技术、商标权、专利权和版权、设计或其他知识产权而需要向其他方支付的版税；</w:t>
      </w:r>
    </w:p>
    <w:p w14:paraId="5E41FAC7">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（7）日常技术指导，免费的质保服务，包括但不限于免费现场质量问题处理或更换失效产品；</w:t>
      </w:r>
    </w:p>
    <w:p w14:paraId="6C7AC5D7">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（8）中标服务费、合理利润、中标人销项税额以外的税费及合同实施过程中的应预见和不可预见费用等完成合同规定责任和义务、达到合同目的的一切费用等；</w:t>
      </w:r>
    </w:p>
    <w:p w14:paraId="7EF3E2B3">
      <w:pPr>
        <w:spacing w:line="360" w:lineRule="auto"/>
        <w:ind w:left="315" w:leftChars="-100" w:hanging="525" w:hangingChars="250"/>
        <w:rPr>
          <w:rFonts w:ascii="宋体" w:hAnsi="宋体" w:eastAsia="宋体" w:cs="宋体"/>
          <w:color w:val="auto"/>
          <w:szCs w:val="21"/>
          <w:highlight w:val="none"/>
        </w:rPr>
      </w:pPr>
      <w:r>
        <w:rPr>
          <w:rFonts w:hint="eastAsia" w:ascii="宋体" w:hAnsi="宋体" w:eastAsia="宋体" w:cs="宋体"/>
          <w:color w:val="auto"/>
          <w:szCs w:val="21"/>
          <w:highlight w:val="none"/>
        </w:rPr>
        <w:t>（9）法律法规、商业公认、招标文件规定由中标人承担的其他直接及间接费用。</w:t>
      </w:r>
    </w:p>
    <w:bookmarkEnd w:id="281"/>
    <w:p w14:paraId="0F44491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2BACF9BA">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23CB608F">
      <w:pPr>
        <w:autoSpaceDE w:val="0"/>
        <w:autoSpaceDN w:val="0"/>
        <w:adjustRightInd w:val="0"/>
        <w:spacing w:line="360" w:lineRule="auto"/>
        <w:ind w:left="357" w:leftChars="-100" w:hanging="567"/>
        <w:rPr>
          <w:rFonts w:ascii="宋体" w:hAnsi="宋体" w:eastAsia="宋体" w:cs="宋体"/>
          <w:b/>
          <w:bCs/>
          <w:color w:val="auto"/>
          <w:szCs w:val="21"/>
          <w:highlight w:val="none"/>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合同项下，招标人需要的货物及</w:t>
      </w:r>
      <w:r>
        <w:rPr>
          <w:rFonts w:hint="eastAsia" w:ascii="宋体" w:hAnsi="宋体" w:eastAsia="宋体" w:cs="宋体"/>
          <w:b/>
          <w:bCs/>
          <w:color w:val="auto"/>
          <w:szCs w:val="21"/>
          <w:highlight w:val="none"/>
        </w:rPr>
        <w:t>有关</w:t>
      </w:r>
      <w:r>
        <w:rPr>
          <w:rFonts w:hint="eastAsia" w:ascii="宋体" w:hAnsi="宋体" w:eastAsia="宋体" w:cs="宋体"/>
          <w:b/>
          <w:bCs/>
          <w:color w:val="auto"/>
          <w:szCs w:val="21"/>
          <w:highlight w:val="none"/>
          <w:lang w:val="zh-CN"/>
        </w:rPr>
        <w:t>服务所需的费用，投标人都应计入</w:t>
      </w:r>
      <w:r>
        <w:rPr>
          <w:rFonts w:hint="eastAsia" w:ascii="宋体" w:hAnsi="宋体" w:eastAsia="宋体" w:cs="宋体"/>
          <w:b/>
          <w:bCs/>
          <w:color w:val="auto"/>
          <w:szCs w:val="21"/>
          <w:highlight w:val="none"/>
        </w:rPr>
        <w:t>不含税</w:t>
      </w:r>
      <w:r>
        <w:rPr>
          <w:rFonts w:hint="eastAsia" w:ascii="宋体" w:hAnsi="宋体" w:eastAsia="宋体" w:cs="宋体"/>
          <w:b/>
          <w:bCs/>
          <w:color w:val="auto"/>
          <w:szCs w:val="21"/>
          <w:highlight w:val="none"/>
          <w:lang w:val="zh-CN"/>
        </w:rPr>
        <w:t>投标报价总价</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最终根据合同约定的结算装机容量、不含税固定每瓦单价及对应的销项税额结算。不含税</w:t>
      </w:r>
      <w:r>
        <w:rPr>
          <w:rFonts w:hint="eastAsia" w:ascii="宋体" w:hAnsi="宋体" w:eastAsia="宋体" w:cs="宋体"/>
          <w:b/>
          <w:bCs/>
          <w:color w:val="auto"/>
          <w:kern w:val="0"/>
          <w:szCs w:val="21"/>
          <w:highlight w:val="none"/>
          <w:u w:val="single"/>
        </w:rPr>
        <w:t>固定每瓦单价=暂定不含税总价（即中标人的投标报价）÷用户需求书约定的暂定总装机容量（计算的单价按四舍五入保留小数点后3位小数）。</w:t>
      </w:r>
    </w:p>
    <w:p w14:paraId="2F8178C6">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11.6</w:t>
      </w:r>
      <w:bookmarkStart w:id="284" w:name="OLE_LINK121"/>
      <w:r>
        <w:rPr>
          <w:rFonts w:hint="eastAsia" w:ascii="宋体" w:hAnsi="宋体" w:eastAsia="宋体" w:cs="宋体"/>
          <w:b/>
          <w:bCs/>
          <w:color w:val="auto"/>
          <w:szCs w:val="21"/>
          <w:highlight w:val="none"/>
        </w:rPr>
        <w:t xml:space="preserve"> </w:t>
      </w:r>
      <w:bookmarkStart w:id="285" w:name="OLE_LINK519"/>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w:t>
      </w:r>
      <w:bookmarkStart w:id="286" w:name="OLE_LINK521"/>
      <w:r>
        <w:rPr>
          <w:rFonts w:hint="eastAsia" w:ascii="宋体" w:hAnsi="宋体" w:eastAsia="宋体" w:cs="宋体"/>
          <w:b/>
          <w:bCs/>
          <w:color w:val="auto"/>
          <w:kern w:val="0"/>
          <w:szCs w:val="24"/>
          <w:highlight w:val="none"/>
          <w:u w:val="single"/>
        </w:rPr>
        <w:t>投标报价</w:t>
      </w:r>
      <w:bookmarkEnd w:id="286"/>
      <w:r>
        <w:rPr>
          <w:rFonts w:hint="eastAsia" w:ascii="宋体" w:hAnsi="宋体" w:eastAsia="宋体" w:cs="宋体"/>
          <w:b/>
          <w:bCs/>
          <w:color w:val="auto"/>
          <w:kern w:val="0"/>
          <w:szCs w:val="24"/>
          <w:highlight w:val="none"/>
          <w:u w:val="single"/>
        </w:rPr>
        <w:t>高于</w:t>
      </w:r>
      <w:bookmarkStart w:id="287" w:name="OLE_LINK371"/>
      <w:bookmarkStart w:id="288" w:name="OLE_LINK520"/>
      <w:r>
        <w:rPr>
          <w:rFonts w:hint="eastAsia" w:ascii="宋体" w:hAnsi="宋体" w:eastAsia="宋体" w:cs="宋体"/>
          <w:b/>
          <w:color w:val="auto"/>
          <w:kern w:val="0"/>
          <w:szCs w:val="21"/>
          <w:highlight w:val="none"/>
          <w:u w:val="single"/>
        </w:rPr>
        <w:t>本项目投标最高限价的</w:t>
      </w:r>
      <w:bookmarkEnd w:id="287"/>
      <w:bookmarkEnd w:id="288"/>
      <w:r>
        <w:rPr>
          <w:rFonts w:hint="eastAsia" w:ascii="宋体" w:hAnsi="宋体" w:eastAsia="宋体" w:cs="宋体"/>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。本项目的不含税</w:t>
      </w:r>
      <w:bookmarkStart w:id="289" w:name="OLE_LINK374"/>
      <w:r>
        <w:rPr>
          <w:rFonts w:hint="eastAsia" w:ascii="宋体" w:hAnsi="宋体" w:eastAsia="宋体" w:cs="宋体"/>
          <w:b/>
          <w:color w:val="auto"/>
          <w:szCs w:val="21"/>
          <w:highlight w:val="none"/>
          <w:u w:val="single"/>
        </w:rPr>
        <w:t>总价</w:t>
      </w:r>
      <w:bookmarkEnd w:id="289"/>
      <w:r>
        <w:rPr>
          <w:rFonts w:hint="eastAsia" w:ascii="宋体" w:hAnsi="宋体" w:eastAsia="宋体" w:cs="宋体"/>
          <w:b/>
          <w:color w:val="auto"/>
          <w:kern w:val="0"/>
          <w:szCs w:val="21"/>
          <w:highlight w:val="none"/>
          <w:u w:val="single"/>
        </w:rPr>
        <w:t>投标最高限价</w:t>
      </w:r>
      <w:r>
        <w:rPr>
          <w:rFonts w:hint="eastAsia" w:ascii="宋体" w:hAnsi="宋体" w:eastAsia="宋体" w:cs="宋体"/>
          <w:b/>
          <w:bCs/>
          <w:color w:val="auto"/>
          <w:szCs w:val="21"/>
          <w:highlight w:val="none"/>
          <w:u w:val="single"/>
          <w:lang w:val="zh-CN"/>
        </w:rPr>
        <w:t>为</w:t>
      </w:r>
      <w:bookmarkStart w:id="290" w:name="OLE_LINK378"/>
      <w:r>
        <w:rPr>
          <w:rFonts w:hint="eastAsia" w:ascii="宋体" w:hAnsi="宋体" w:eastAsia="宋体" w:cs="宋体"/>
          <w:b/>
          <w:color w:val="auto"/>
          <w:szCs w:val="21"/>
          <w:highlight w:val="none"/>
          <w:u w:val="single"/>
        </w:rPr>
        <w:t>¥37,368,835.87</w:t>
      </w:r>
      <w:r>
        <w:rPr>
          <w:rFonts w:hint="eastAsia" w:ascii="宋体" w:hAnsi="宋体" w:eastAsia="宋体" w:cs="宋体"/>
          <w:b/>
          <w:bCs/>
          <w:color w:val="auto"/>
          <w:szCs w:val="21"/>
          <w:highlight w:val="none"/>
          <w:u w:val="single"/>
          <w:lang w:val="zh-CN"/>
        </w:rPr>
        <w:t>元</w:t>
      </w:r>
      <w:bookmarkEnd w:id="290"/>
      <w:r>
        <w:rPr>
          <w:rFonts w:hint="eastAsia" w:ascii="宋体" w:hAnsi="宋体" w:eastAsia="宋体" w:cs="宋体"/>
          <w:b/>
          <w:bCs/>
          <w:color w:val="auto"/>
          <w:szCs w:val="21"/>
          <w:highlight w:val="none"/>
          <w:u w:val="single"/>
          <w:lang w:val="zh-CN"/>
        </w:rPr>
        <w:t>（大写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叁仟柒佰叁拾陆万捌仟捌佰叁拾伍元捌角柒分</w:t>
      </w:r>
      <w:r>
        <w:rPr>
          <w:rFonts w:hint="eastAsia" w:ascii="宋体" w:hAnsi="宋体" w:eastAsia="宋体" w:cs="宋体"/>
          <w:b/>
          <w:color w:val="auto"/>
          <w:szCs w:val="21"/>
          <w:highlight w:val="none"/>
          <w:u w:val="single"/>
          <w:lang w:val="zh-CN"/>
        </w:rPr>
        <w:t>）</w:t>
      </w:r>
      <w:bookmarkEnd w:id="284"/>
      <w:bookmarkEnd w:id="285"/>
      <w:r>
        <w:rPr>
          <w:rFonts w:hint="eastAsia" w:ascii="宋体" w:hAnsi="宋体" w:eastAsia="宋体" w:cs="宋体"/>
          <w:b/>
          <w:bCs/>
          <w:color w:val="auto"/>
          <w:szCs w:val="21"/>
          <w:highlight w:val="none"/>
          <w:lang w:val="zh-CN"/>
        </w:rPr>
        <w:t>。</w:t>
      </w:r>
    </w:p>
    <w:p w14:paraId="03164D89">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34A5B063">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1" w:name="_Toc20312"/>
      <w:bookmarkStart w:id="292" w:name="_Toc486167676"/>
      <w:bookmarkStart w:id="293" w:name="_Toc32740"/>
      <w:bookmarkStart w:id="294" w:name="_Toc195714230"/>
      <w:bookmarkStart w:id="295" w:name="_Toc450662862"/>
      <w:bookmarkStart w:id="296" w:name="_Toc3469"/>
      <w:bookmarkStart w:id="297" w:name="_Toc199"/>
      <w:bookmarkStart w:id="298" w:name="_Toc2284"/>
      <w:bookmarkStart w:id="299" w:name="_Toc20950"/>
      <w:bookmarkStart w:id="300" w:name="_Toc142508326"/>
      <w:bookmarkStart w:id="301" w:name="_Toc30042_WPSOffice_Level3"/>
      <w:r>
        <w:rPr>
          <w:rFonts w:hint="eastAsia" w:ascii="宋体" w:hAnsi="宋体" w:eastAsia="宋体" w:cs="宋体"/>
          <w:b/>
          <w:color w:val="auto"/>
          <w:szCs w:val="21"/>
          <w:highlight w:val="none"/>
          <w:lang w:val="zh-CN"/>
        </w:rPr>
        <w:t>12 投标报价货币</w:t>
      </w:r>
      <w:bookmarkEnd w:id="291"/>
      <w:bookmarkEnd w:id="292"/>
      <w:bookmarkEnd w:id="293"/>
      <w:bookmarkEnd w:id="294"/>
      <w:bookmarkEnd w:id="295"/>
      <w:bookmarkEnd w:id="296"/>
      <w:bookmarkEnd w:id="297"/>
      <w:bookmarkEnd w:id="298"/>
      <w:bookmarkEnd w:id="299"/>
      <w:bookmarkEnd w:id="300"/>
      <w:bookmarkEnd w:id="301"/>
    </w:p>
    <w:p w14:paraId="6379CA92">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本项目投标报价或以投标报价换算的金额采用的币种为人民币，以其</w:t>
      </w:r>
      <w:r>
        <w:rPr>
          <w:rFonts w:hint="eastAsia" w:ascii="宋体" w:hAnsi="宋体" w:eastAsia="宋体" w:cs="宋体"/>
          <w:b/>
          <w:color w:val="auto"/>
          <w:szCs w:val="21"/>
          <w:highlight w:val="none"/>
        </w:rPr>
        <w:t>他</w:t>
      </w:r>
      <w:r>
        <w:rPr>
          <w:rFonts w:hint="eastAsia" w:ascii="宋体" w:hAnsi="宋体" w:eastAsia="宋体" w:cs="宋体"/>
          <w:b/>
          <w:color w:val="auto"/>
          <w:szCs w:val="21"/>
          <w:highlight w:val="none"/>
          <w:lang w:val="zh-CN"/>
        </w:rPr>
        <w:t>货币标价的投标将予以拒绝。</w:t>
      </w:r>
    </w:p>
    <w:p w14:paraId="240DDD06">
      <w:pPr>
        <w:autoSpaceDE w:val="0"/>
        <w:autoSpaceDN w:val="0"/>
        <w:adjustRightInd w:val="0"/>
        <w:spacing w:line="360" w:lineRule="auto"/>
        <w:ind w:left="265" w:leftChars="119" w:hanging="15"/>
        <w:rPr>
          <w:rFonts w:ascii="宋体" w:hAnsi="宋体" w:eastAsia="宋体" w:cs="宋体"/>
          <w:color w:val="auto"/>
          <w:szCs w:val="21"/>
          <w:highlight w:val="none"/>
        </w:rPr>
      </w:pPr>
    </w:p>
    <w:p w14:paraId="5535A6A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2" w:name="_Toc24570"/>
      <w:bookmarkStart w:id="303" w:name="_Toc26828"/>
      <w:bookmarkStart w:id="304" w:name="_Toc9097"/>
      <w:bookmarkStart w:id="305" w:name="_Toc142508327"/>
      <w:bookmarkStart w:id="306" w:name="_Toc450662863"/>
      <w:bookmarkStart w:id="307" w:name="_Toc21705"/>
      <w:bookmarkStart w:id="308" w:name="_Toc486167677"/>
      <w:bookmarkStart w:id="309" w:name="_Toc3961"/>
      <w:bookmarkStart w:id="310" w:name="_Toc20031"/>
      <w:bookmarkStart w:id="311" w:name="_Toc195714231"/>
      <w:bookmarkStart w:id="312" w:name="_Toc9411_WPSOffice_Level3"/>
      <w:r>
        <w:rPr>
          <w:rFonts w:hint="eastAsia" w:ascii="宋体" w:hAnsi="宋体" w:eastAsia="宋体" w:cs="宋体"/>
          <w:color w:val="auto"/>
          <w:szCs w:val="21"/>
          <w:highlight w:val="none"/>
          <w:lang w:val="zh-CN"/>
        </w:rPr>
        <w:t>13 证明投标人的合格性和资格的声明文件</w:t>
      </w:r>
      <w:bookmarkEnd w:id="302"/>
      <w:bookmarkEnd w:id="303"/>
      <w:bookmarkEnd w:id="304"/>
      <w:bookmarkEnd w:id="305"/>
      <w:bookmarkEnd w:id="306"/>
      <w:bookmarkEnd w:id="307"/>
      <w:bookmarkEnd w:id="308"/>
      <w:bookmarkEnd w:id="309"/>
      <w:bookmarkEnd w:id="310"/>
      <w:bookmarkEnd w:id="311"/>
      <w:bookmarkEnd w:id="312"/>
    </w:p>
    <w:p w14:paraId="34453DB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15B9924">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bookmarkStart w:id="313" w:name="_Toc28005"/>
      <w:bookmarkStart w:id="314" w:name="_Toc21754"/>
      <w:bookmarkStart w:id="315" w:name="_Toc1492"/>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bookmarkEnd w:id="313"/>
      <w:bookmarkEnd w:id="314"/>
      <w:bookmarkEnd w:id="315"/>
    </w:p>
    <w:p w14:paraId="112E05D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2A2D6D4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2874F2E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56E4B01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投标人根据招标文件载明的货物及有关服务要求的实际情况，拟在中标后将中标项目的非主体、非关键性专业工作交由他人完成的，应当在投标文件中载明，并提供他人的资质、能力证明材料。</w:t>
      </w:r>
    </w:p>
    <w:p w14:paraId="4849C255">
      <w:pPr>
        <w:autoSpaceDE w:val="0"/>
        <w:autoSpaceDN w:val="0"/>
        <w:adjustRightInd w:val="0"/>
        <w:spacing w:line="360" w:lineRule="auto"/>
        <w:ind w:left="357" w:leftChars="-100" w:hanging="567"/>
        <w:rPr>
          <w:rFonts w:ascii="宋体" w:hAnsi="宋体" w:eastAsia="宋体" w:cs="宋体"/>
          <w:color w:val="auto"/>
          <w:szCs w:val="21"/>
          <w:highlight w:val="none"/>
        </w:rPr>
      </w:pPr>
    </w:p>
    <w:p w14:paraId="6297E19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6" w:name="_Toc22622"/>
      <w:bookmarkStart w:id="317" w:name="_Toc8615"/>
      <w:bookmarkStart w:id="318" w:name="_Toc195714232"/>
      <w:bookmarkStart w:id="319" w:name="_Toc486167678"/>
      <w:bookmarkStart w:id="320" w:name="_Toc18559"/>
      <w:bookmarkStart w:id="321" w:name="_Toc142508328"/>
      <w:bookmarkStart w:id="322" w:name="_Toc450662864"/>
      <w:bookmarkStart w:id="323" w:name="_Toc29009"/>
      <w:bookmarkStart w:id="324" w:name="_Toc11182"/>
      <w:bookmarkStart w:id="325" w:name="_Toc27771_WPSOffice_Level3"/>
      <w:bookmarkStart w:id="326" w:name="_Toc29754"/>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rPr>
        <w:t>服务</w:t>
      </w:r>
      <w:r>
        <w:rPr>
          <w:rFonts w:hint="eastAsia" w:ascii="宋体" w:hAnsi="宋体" w:eastAsia="宋体" w:cs="宋体"/>
          <w:color w:val="auto"/>
          <w:szCs w:val="21"/>
          <w:highlight w:val="none"/>
          <w:lang w:val="zh-CN"/>
        </w:rPr>
        <w:t>的合格性并符合招标文件规定的声明文件</w:t>
      </w:r>
      <w:bookmarkEnd w:id="316"/>
      <w:bookmarkEnd w:id="317"/>
      <w:bookmarkEnd w:id="318"/>
      <w:bookmarkEnd w:id="319"/>
      <w:bookmarkEnd w:id="320"/>
      <w:bookmarkEnd w:id="321"/>
      <w:bookmarkEnd w:id="322"/>
      <w:bookmarkEnd w:id="323"/>
      <w:bookmarkEnd w:id="324"/>
      <w:bookmarkEnd w:id="325"/>
      <w:bookmarkEnd w:id="326"/>
    </w:p>
    <w:p w14:paraId="1A2888D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7778145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7C29731B">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u w:val="singl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r>
        <w:rPr>
          <w:rFonts w:hint="eastAsia" w:ascii="宋体" w:hAnsi="宋体" w:eastAsia="宋体" w:cs="宋体"/>
          <w:b/>
          <w:color w:val="auto"/>
          <w:szCs w:val="21"/>
          <w:highlight w:val="none"/>
          <w:lang w:val="zh-CN"/>
        </w:rPr>
        <w:t>。</w:t>
      </w:r>
    </w:p>
    <w:p w14:paraId="6A52094E">
      <w:pPr>
        <w:autoSpaceDE w:val="0"/>
        <w:autoSpaceDN w:val="0"/>
        <w:adjustRightInd w:val="0"/>
        <w:spacing w:line="360" w:lineRule="auto"/>
        <w:rPr>
          <w:rFonts w:ascii="宋体" w:hAnsi="宋体" w:eastAsia="宋体" w:cs="宋体"/>
          <w:color w:val="auto"/>
          <w:kern w:val="0"/>
          <w:sz w:val="24"/>
          <w:szCs w:val="24"/>
          <w:highlight w:val="none"/>
        </w:rPr>
      </w:pPr>
    </w:p>
    <w:p w14:paraId="2E8465A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7" w:name="_Toc373"/>
      <w:bookmarkStart w:id="328" w:name="_Toc142508329"/>
      <w:bookmarkStart w:id="329" w:name="_Toc8644"/>
      <w:bookmarkStart w:id="330" w:name="_Toc3748"/>
      <w:bookmarkStart w:id="331" w:name="_Toc30555"/>
      <w:bookmarkStart w:id="332" w:name="_Toc5356_WPSOffice_Level3"/>
      <w:bookmarkStart w:id="333" w:name="_Toc3206"/>
      <w:bookmarkStart w:id="334" w:name="_Toc486167679"/>
      <w:bookmarkStart w:id="335" w:name="_Toc195714233"/>
      <w:bookmarkStart w:id="336" w:name="_Toc9240"/>
      <w:r>
        <w:rPr>
          <w:rFonts w:hint="eastAsia" w:ascii="宋体" w:hAnsi="宋体" w:eastAsia="宋体" w:cs="宋体"/>
          <w:color w:val="auto"/>
          <w:szCs w:val="21"/>
          <w:highlight w:val="none"/>
          <w:lang w:val="zh-CN"/>
        </w:rPr>
        <w:t>15 投标保证金</w:t>
      </w:r>
      <w:bookmarkEnd w:id="327"/>
      <w:bookmarkEnd w:id="328"/>
      <w:bookmarkEnd w:id="329"/>
      <w:bookmarkEnd w:id="330"/>
      <w:bookmarkEnd w:id="331"/>
      <w:bookmarkEnd w:id="332"/>
      <w:bookmarkEnd w:id="333"/>
      <w:bookmarkEnd w:id="334"/>
      <w:bookmarkEnd w:id="335"/>
      <w:bookmarkEnd w:id="336"/>
    </w:p>
    <w:p w14:paraId="43EB0BB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4233BA2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，否则，其投标保证金视为无效。</w:t>
      </w:r>
    </w:p>
    <w:p w14:paraId="78ED76DA">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投标截止时间前，已在公共资源交易企业库建档的投标人应将保证金关联至本</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。具体要求详见全国公共资源交易平台（广东省·东莞市）（网址：https://ygp.gdzwfw.gov.cn/#/441900/index）办事指南中的相关规定。</w:t>
      </w:r>
    </w:p>
    <w:p w14:paraId="2943A36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27659E9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62305F85">
      <w:pPr>
        <w:autoSpaceDE w:val="0"/>
        <w:autoSpaceDN w:val="0"/>
        <w:adjustRightInd w:val="0"/>
        <w:spacing w:line="360" w:lineRule="auto"/>
        <w:ind w:left="225" w:leftChars="107" w:firstLine="489" w:firstLineChars="233"/>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银行电子保函参考样式按照《住房和城乡建设部关于印发工程保函示范文本的通知》（建市〔2021〕11号）执行。 保险公司所提供的建设工程保证保险条款应当经国家金融监督管理总局批准、备案或注册，并在本公司门户网站主动公开单位信息、投保单（范本）以及保险合同含条款（范本）。</w:t>
      </w:r>
    </w:p>
    <w:p w14:paraId="0623AD0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17AEF8F">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bookmarkStart w:id="337" w:name="_Toc10723"/>
      <w:bookmarkStart w:id="338" w:name="_Toc23554"/>
      <w:bookmarkStart w:id="339" w:name="_Toc17857"/>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.3 投标保证金退还程序。</w:t>
      </w:r>
      <w:bookmarkEnd w:id="337"/>
      <w:bookmarkEnd w:id="338"/>
      <w:bookmarkEnd w:id="339"/>
    </w:p>
    <w:p w14:paraId="21BE9ED0">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rPr>
        <w:t>评标会</w:t>
      </w:r>
      <w:r>
        <w:rPr>
          <w:rFonts w:hint="eastAsia" w:ascii="宋体" w:hAnsi="宋体" w:eastAsia="宋体" w:cs="宋体"/>
          <w:bCs/>
          <w:color w:val="auto"/>
          <w:kern w:val="0"/>
          <w:szCs w:val="21"/>
          <w:highlight w:val="none"/>
          <w:lang w:val="zh-CN"/>
        </w:rPr>
        <w:t>结束后第一个工作日向交易中心发送退还指令；</w:t>
      </w:r>
    </w:p>
    <w:p w14:paraId="5F66749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5E6C1E8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72349F1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5ECD043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465ED91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6E8A4B74">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7533F1B3">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354D346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092D111D">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rPr>
        <w:t>6</w:t>
      </w:r>
      <w:r>
        <w:rPr>
          <w:rFonts w:hint="eastAsia" w:ascii="宋体" w:hAnsi="宋体" w:eastAsia="宋体" w:cs="宋体"/>
          <w:bCs/>
          <w:color w:val="auto"/>
          <w:kern w:val="0"/>
          <w:szCs w:val="21"/>
          <w:highlight w:val="none"/>
          <w:lang w:val="zh-CN"/>
        </w:rPr>
        <w:t>条规定签署合同；</w:t>
      </w:r>
    </w:p>
    <w:p w14:paraId="5B910AE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3FA9C3D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16481B0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rPr>
      </w:pPr>
      <w:bookmarkStart w:id="340" w:name="_Toc20321"/>
      <w:bookmarkStart w:id="341" w:name="_Toc1712"/>
      <w:bookmarkStart w:id="342" w:name="_Toc32409"/>
      <w:r>
        <w:rPr>
          <w:rFonts w:hint="eastAsia" w:ascii="宋体" w:hAnsi="宋体" w:eastAsia="宋体" w:cs="宋体"/>
          <w:bCs/>
          <w:color w:val="auto"/>
          <w:kern w:val="0"/>
          <w:szCs w:val="21"/>
          <w:highlight w:val="none"/>
        </w:rPr>
        <w:t>15.6 对于提交银行电子保函（保险电子保单）的有关注意事项：</w:t>
      </w:r>
      <w:bookmarkEnd w:id="340"/>
      <w:bookmarkEnd w:id="341"/>
      <w:bookmarkEnd w:id="342"/>
    </w:p>
    <w:p w14:paraId="5343A5D8">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2AF055F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56069656">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4016BE0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0D9AAB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rPr>
        <w:t>账户</w:t>
      </w:r>
      <w:r>
        <w:rPr>
          <w:rFonts w:hint="eastAsia" w:ascii="宋体" w:hAnsi="宋体" w:eastAsia="宋体" w:cs="宋体"/>
          <w:bCs/>
          <w:color w:val="auto"/>
          <w:kern w:val="0"/>
          <w:szCs w:val="21"/>
          <w:highlight w:val="none"/>
          <w:lang w:val="zh-CN"/>
        </w:rPr>
        <w:t>见全国公共资源交易平台（广东省·东莞市）办事指南。</w:t>
      </w:r>
    </w:p>
    <w:p w14:paraId="606E6A07">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E122D1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3" w:name="_Toc486167680"/>
      <w:bookmarkStart w:id="344" w:name="_Toc29607"/>
      <w:bookmarkStart w:id="345" w:name="_Toc195714234"/>
      <w:bookmarkStart w:id="346" w:name="_Toc142508330"/>
      <w:bookmarkStart w:id="347" w:name="_Toc1458"/>
      <w:bookmarkStart w:id="348" w:name="_Toc13276"/>
      <w:bookmarkStart w:id="349" w:name="_Toc16480"/>
      <w:bookmarkStart w:id="350" w:name="_Toc5674"/>
      <w:bookmarkStart w:id="351" w:name="_Toc22649_WPSOffice_Level3"/>
      <w:bookmarkStart w:id="352" w:name="_Toc2317"/>
      <w:bookmarkStart w:id="353" w:name="_Toc450662865"/>
      <w:r>
        <w:rPr>
          <w:rFonts w:hint="eastAsia" w:ascii="宋体" w:hAnsi="宋体" w:eastAsia="宋体" w:cs="宋体"/>
          <w:color w:val="auto"/>
          <w:szCs w:val="21"/>
          <w:highlight w:val="none"/>
          <w:lang w:val="zh-CN"/>
        </w:rPr>
        <w:t>16 投标有效期</w:t>
      </w:r>
      <w:bookmarkEnd w:id="343"/>
      <w:bookmarkEnd w:id="344"/>
      <w:bookmarkEnd w:id="345"/>
      <w:bookmarkEnd w:id="346"/>
      <w:bookmarkEnd w:id="347"/>
      <w:bookmarkEnd w:id="348"/>
      <w:bookmarkEnd w:id="349"/>
      <w:bookmarkEnd w:id="350"/>
      <w:bookmarkEnd w:id="351"/>
      <w:bookmarkEnd w:id="352"/>
      <w:bookmarkEnd w:id="353"/>
    </w:p>
    <w:p w14:paraId="43FAD201">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44FD7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354" w:name="_Toc13330"/>
      <w:bookmarkStart w:id="355" w:name="_Toc24424"/>
      <w:bookmarkStart w:id="356" w:name="_Toc20357"/>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bookmarkEnd w:id="354"/>
      <w:bookmarkEnd w:id="355"/>
      <w:bookmarkEnd w:id="356"/>
    </w:p>
    <w:p w14:paraId="158DC22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551572B5">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830B45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7" w:name="_Toc25637_WPSOffice_Level3"/>
      <w:bookmarkStart w:id="358" w:name="_Toc195714235"/>
      <w:bookmarkStart w:id="359" w:name="_Toc932"/>
      <w:bookmarkStart w:id="360" w:name="_Toc29025"/>
      <w:bookmarkStart w:id="361" w:name="_Toc32032"/>
      <w:bookmarkStart w:id="362" w:name="_Toc450662866"/>
      <w:bookmarkStart w:id="363" w:name="_Toc486167681"/>
      <w:bookmarkStart w:id="364" w:name="_Toc20422"/>
      <w:bookmarkStart w:id="365" w:name="_Toc25839"/>
      <w:bookmarkStart w:id="366" w:name="_Toc142508331"/>
      <w:bookmarkStart w:id="367" w:name="_Toc15065"/>
      <w:r>
        <w:rPr>
          <w:rFonts w:hint="eastAsia" w:ascii="宋体" w:hAnsi="宋体" w:eastAsia="宋体" w:cs="宋体"/>
          <w:color w:val="auto"/>
          <w:szCs w:val="21"/>
          <w:highlight w:val="none"/>
          <w:lang w:val="zh-CN"/>
        </w:rPr>
        <w:t>17 投标文件的编制和签署</w:t>
      </w:r>
      <w:bookmarkEnd w:id="357"/>
      <w:bookmarkEnd w:id="358"/>
      <w:bookmarkEnd w:id="359"/>
      <w:bookmarkEnd w:id="360"/>
      <w:bookmarkEnd w:id="361"/>
      <w:bookmarkEnd w:id="362"/>
      <w:bookmarkEnd w:id="363"/>
      <w:bookmarkEnd w:id="364"/>
      <w:bookmarkEnd w:id="365"/>
      <w:bookmarkEnd w:id="366"/>
      <w:bookmarkEnd w:id="367"/>
    </w:p>
    <w:p w14:paraId="37B2AC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r>
        <w:rPr>
          <w:rFonts w:hint="eastAsia" w:ascii="宋体" w:hAnsi="宋体" w:eastAsia="宋体" w:cs="宋体"/>
          <w:b/>
          <w:bCs/>
          <w:color w:val="auto"/>
          <w:szCs w:val="21"/>
          <w:highlight w:val="none"/>
          <w:lang w:val="zh-CN"/>
        </w:rPr>
        <w:t>招标人名称</w:t>
      </w:r>
      <w:r>
        <w:rPr>
          <w:rFonts w:hint="eastAsia" w:ascii="宋体" w:hAnsi="宋体" w:eastAsia="宋体" w:cs="宋体"/>
          <w:b/>
          <w:bCs/>
          <w:color w:val="auto"/>
          <w:szCs w:val="21"/>
          <w:highlight w:val="none"/>
          <w:lang w:val="en-US" w:eastAsia="zh-CN"/>
        </w:rPr>
        <w:t>将于本项目公告期间</w:t>
      </w:r>
      <w:r>
        <w:rPr>
          <w:rFonts w:hint="eastAsia" w:ascii="宋体" w:hAnsi="宋体" w:eastAsia="宋体" w:cs="宋体"/>
          <w:b/>
          <w:bCs/>
          <w:color w:val="auto"/>
          <w:szCs w:val="21"/>
          <w:highlight w:val="none"/>
          <w:lang w:val="zh-CN"/>
        </w:rPr>
        <w:t>发生</w:t>
      </w:r>
      <w:r>
        <w:rPr>
          <w:rFonts w:hint="eastAsia" w:ascii="宋体" w:hAnsi="宋体" w:eastAsia="宋体" w:cs="宋体"/>
          <w:b/>
          <w:bCs/>
          <w:color w:val="auto"/>
          <w:szCs w:val="21"/>
          <w:highlight w:val="none"/>
          <w:lang w:val="en-US" w:eastAsia="zh-CN"/>
        </w:rPr>
        <w:t>工商</w:t>
      </w:r>
      <w:r>
        <w:rPr>
          <w:rFonts w:hint="eastAsia" w:ascii="宋体" w:hAnsi="宋体" w:eastAsia="宋体" w:cs="宋体"/>
          <w:b/>
          <w:bCs/>
          <w:color w:val="auto"/>
          <w:szCs w:val="21"/>
          <w:highlight w:val="none"/>
          <w:lang w:val="zh-CN"/>
        </w:rPr>
        <w:t>变更，投标人的投标文件中，</w:t>
      </w:r>
      <w:r>
        <w:rPr>
          <w:rFonts w:hint="eastAsia" w:ascii="宋体" w:hAnsi="宋体" w:eastAsia="宋体" w:cs="宋体"/>
          <w:b/>
          <w:bCs/>
          <w:color w:val="auto"/>
          <w:szCs w:val="21"/>
          <w:highlight w:val="none"/>
          <w:lang w:val="en-US" w:eastAsia="zh-CN"/>
        </w:rPr>
        <w:t>无</w:t>
      </w:r>
      <w:r>
        <w:rPr>
          <w:rFonts w:hint="eastAsia" w:ascii="宋体" w:hAnsi="宋体" w:eastAsia="宋体" w:cs="宋体"/>
          <w:b/>
          <w:bCs/>
          <w:color w:val="auto"/>
          <w:szCs w:val="21"/>
          <w:highlight w:val="none"/>
          <w:lang w:val="zh-CN"/>
        </w:rPr>
        <w:t>论招标人的名称填写为旧名</w:t>
      </w:r>
      <w:r>
        <w:rPr>
          <w:rFonts w:hint="eastAsia" w:ascii="宋体" w:hAnsi="宋体" w:eastAsia="宋体" w:cs="宋体"/>
          <w:b/>
          <w:bCs/>
          <w:color w:val="auto"/>
          <w:szCs w:val="21"/>
          <w:highlight w:val="none"/>
          <w:lang w:val="zh-CN" w:eastAsia="zh-CN"/>
        </w:rPr>
        <w:t>称（</w:t>
      </w:r>
      <w:r>
        <w:rPr>
          <w:rFonts w:hint="eastAsia" w:ascii="宋体" w:hAnsi="宋体" w:eastAsia="宋体" w:cs="宋体"/>
          <w:b/>
          <w:bCs/>
          <w:color w:val="auto"/>
          <w:szCs w:val="21"/>
          <w:highlight w:val="none"/>
          <w:lang w:val="en-US" w:eastAsia="zh-CN"/>
        </w:rPr>
        <w:t>东莞市水务集团科技发展有限公司</w:t>
      </w:r>
      <w:r>
        <w:rPr>
          <w:rFonts w:hint="eastAsia" w:ascii="宋体" w:hAnsi="宋体" w:eastAsia="宋体" w:cs="宋体"/>
          <w:b/>
          <w:bCs/>
          <w:color w:val="auto"/>
          <w:szCs w:val="21"/>
          <w:highlight w:val="none"/>
          <w:lang w:val="zh-CN" w:eastAsia="zh-CN"/>
        </w:rPr>
        <w:t>）</w:t>
      </w:r>
      <w:r>
        <w:rPr>
          <w:rFonts w:hint="eastAsia" w:ascii="宋体" w:hAnsi="宋体" w:eastAsia="宋体" w:cs="宋体"/>
          <w:b/>
          <w:bCs/>
          <w:color w:val="auto"/>
          <w:szCs w:val="21"/>
          <w:highlight w:val="none"/>
          <w:lang w:val="zh-CN"/>
        </w:rPr>
        <w:t>或</w:t>
      </w:r>
      <w:r>
        <w:rPr>
          <w:rFonts w:hint="eastAsia" w:ascii="宋体" w:hAnsi="宋体" w:eastAsia="宋体" w:cs="宋体"/>
          <w:b/>
          <w:bCs/>
          <w:color w:val="auto"/>
          <w:szCs w:val="21"/>
          <w:highlight w:val="none"/>
          <w:lang w:val="en-US" w:eastAsia="zh-CN"/>
        </w:rPr>
        <w:t>工商变更后的</w:t>
      </w:r>
      <w:r>
        <w:rPr>
          <w:rFonts w:hint="eastAsia" w:ascii="宋体" w:hAnsi="宋体" w:eastAsia="宋体" w:cs="宋体"/>
          <w:b/>
          <w:bCs/>
          <w:color w:val="auto"/>
          <w:szCs w:val="21"/>
          <w:highlight w:val="none"/>
          <w:lang w:val="zh-CN"/>
        </w:rPr>
        <w:t>新名称均予以认可</w:t>
      </w:r>
      <w:r>
        <w:rPr>
          <w:rFonts w:hint="eastAsia" w:ascii="宋体" w:hAnsi="宋体" w:eastAsia="宋体" w:cs="宋体"/>
          <w:color w:val="auto"/>
          <w:szCs w:val="21"/>
          <w:highlight w:val="none"/>
          <w:lang w:val="zh-CN"/>
        </w:rPr>
        <w:t>。</w:t>
      </w:r>
    </w:p>
    <w:p w14:paraId="459BF8C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rPr>
        <w:t>签名</w:t>
      </w:r>
      <w:r>
        <w:rPr>
          <w:rFonts w:hint="eastAsia" w:ascii="宋体" w:hAnsi="宋体" w:eastAsia="宋体" w:cs="宋体"/>
          <w:color w:val="auto"/>
          <w:szCs w:val="21"/>
          <w:highlight w:val="none"/>
          <w:lang w:val="zh-CN"/>
        </w:rPr>
        <w:t>工作。</w:t>
      </w:r>
    </w:p>
    <w:p w14:paraId="08E3CA9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rPr>
        <w:t>签名</w:t>
      </w:r>
      <w:r>
        <w:rPr>
          <w:rFonts w:hint="eastAsia" w:ascii="宋体" w:hAnsi="宋体" w:eastAsia="宋体" w:cs="宋体"/>
          <w:color w:val="auto"/>
          <w:szCs w:val="21"/>
          <w:highlight w:val="none"/>
          <w:lang w:val="zh-CN"/>
        </w:rPr>
        <w:t>与手写签名或者盖章具有同等的法律效力。</w:t>
      </w:r>
    </w:p>
    <w:p w14:paraId="716682A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3F54130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1AED2DB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368" w:name="_Toc31964"/>
      <w:bookmarkStart w:id="369" w:name="_Toc31695"/>
      <w:bookmarkStart w:id="370" w:name="_Toc9158"/>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rPr>
        <w:t>签名：</w:t>
      </w:r>
      <w:bookmarkEnd w:id="368"/>
      <w:bookmarkEnd w:id="369"/>
      <w:bookmarkEnd w:id="370"/>
    </w:p>
    <w:p w14:paraId="4D6EA2F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134B0E7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371" w:name="_Toc2480"/>
      <w:bookmarkStart w:id="372" w:name="_Toc297"/>
      <w:bookmarkStart w:id="373" w:name="_Toc10861"/>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371"/>
      <w:bookmarkEnd w:id="372"/>
      <w:bookmarkEnd w:id="373"/>
    </w:p>
    <w:p w14:paraId="473098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15B287D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（2）投标文件商务标、技术标必须按招标文件的规定填写，不能出现缺项、缺页、手写、关键语句（或字）错误； </w:t>
      </w:r>
    </w:p>
    <w:p w14:paraId="1BB8718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（3）投标文件的任何一页都不应有涂改、行间插字或删除；</w:t>
      </w:r>
    </w:p>
    <w:p w14:paraId="27F1F8E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（4）投标文件商务标、技术标应按其格式要求由投标人的法定代表人或其授权代表电子签名、企业数字证书电子签名；</w:t>
      </w:r>
    </w:p>
    <w:p w14:paraId="2ADE970C">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（5）严格按照第六篇投标文件格式内的要求完整、真实的填写《合同条款偏离表》《用户需求偏离表》；</w:t>
      </w:r>
    </w:p>
    <w:p w14:paraId="3059BDC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（6）投标人要特别加以注意，必须严格按照第六篇商务标格式的要求完整、真实的填写《资格业绩》及提供对应证明资料；</w:t>
      </w:r>
    </w:p>
    <w:p w14:paraId="03054BF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（7）投标文件技术标部分必须按招标文件第六篇“技术标格式”编制。</w:t>
      </w:r>
    </w:p>
    <w:p w14:paraId="6CADA0E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374" w:name="_Toc19952"/>
      <w:bookmarkStart w:id="375" w:name="_Toc12477"/>
      <w:bookmarkStart w:id="376" w:name="_Toc208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374"/>
      <w:bookmarkEnd w:id="375"/>
      <w:bookmarkEnd w:id="376"/>
    </w:p>
    <w:p w14:paraId="2CAD049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424BDE9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（2）投标人应把其投标报价（不含销项税，元）报价填入报价信封的“投标值”中。</w:t>
      </w:r>
    </w:p>
    <w:p w14:paraId="7A98505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）投标文件价格部分应按其格式要求使用依法设立的电子认证服务提供者签发的电子签名认证证书对电子投标文件进行电子签名。该电子签名与手写签名或者盖章具有同等的法律效力。</w:t>
      </w:r>
    </w:p>
    <w:p w14:paraId="3778BEF2">
      <w:pPr>
        <w:autoSpaceDE w:val="0"/>
        <w:autoSpaceDN w:val="0"/>
        <w:adjustRightInd w:val="0"/>
        <w:jc w:val="left"/>
        <w:rPr>
          <w:rFonts w:ascii="宋体" w:hAnsi="宋体" w:eastAsia="宋体" w:cs="宋体"/>
          <w:color w:val="auto"/>
          <w:kern w:val="0"/>
          <w:sz w:val="24"/>
          <w:szCs w:val="24"/>
          <w:highlight w:val="none"/>
        </w:rPr>
      </w:pPr>
      <w:bookmarkStart w:id="377" w:name="_Toc450662867"/>
    </w:p>
    <w:p w14:paraId="57E34639">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378" w:name="_Toc486167682"/>
      <w:bookmarkStart w:id="379" w:name="_Toc195714236"/>
      <w:bookmarkStart w:id="380" w:name="_Toc21624"/>
      <w:bookmarkStart w:id="381" w:name="_Toc30851"/>
      <w:bookmarkStart w:id="382" w:name="_Toc22356_WPSOffice_Level2"/>
      <w:bookmarkStart w:id="383" w:name="_Toc17199"/>
      <w:bookmarkStart w:id="384" w:name="_Toc26605"/>
      <w:bookmarkStart w:id="385" w:name="_Toc140596891"/>
      <w:bookmarkStart w:id="386" w:name="_Toc11307"/>
      <w:bookmarkStart w:id="387" w:name="_Toc142508332"/>
      <w:r>
        <w:rPr>
          <w:rFonts w:hint="eastAsia" w:ascii="宋体" w:hAnsi="宋体" w:eastAsia="宋体" w:cs="宋体"/>
          <w:b/>
          <w:bCs/>
          <w:color w:val="auto"/>
          <w:kern w:val="44"/>
          <w:szCs w:val="21"/>
          <w:highlight w:val="none"/>
          <w:lang w:val="zh-CN"/>
        </w:rPr>
        <w:t>四、投标</w:t>
      </w:r>
      <w:bookmarkEnd w:id="377"/>
      <w:bookmarkEnd w:id="378"/>
      <w:bookmarkEnd w:id="379"/>
      <w:bookmarkEnd w:id="380"/>
      <w:bookmarkEnd w:id="381"/>
      <w:bookmarkEnd w:id="382"/>
      <w:bookmarkEnd w:id="383"/>
      <w:bookmarkEnd w:id="384"/>
      <w:bookmarkEnd w:id="385"/>
      <w:bookmarkEnd w:id="386"/>
      <w:bookmarkEnd w:id="387"/>
    </w:p>
    <w:p w14:paraId="51FFE3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8" w:name="_Toc195714237"/>
      <w:bookmarkStart w:id="389" w:name="_Toc31551"/>
      <w:bookmarkStart w:id="390" w:name="_Toc486167683"/>
      <w:bookmarkStart w:id="391" w:name="_Toc450662868"/>
      <w:bookmarkStart w:id="392" w:name="_Toc12192_WPSOffice_Level3"/>
      <w:bookmarkStart w:id="393" w:name="_Toc142508333"/>
      <w:bookmarkStart w:id="394" w:name="_Toc29885"/>
      <w:bookmarkStart w:id="395" w:name="_Toc19067"/>
      <w:bookmarkStart w:id="396" w:name="_Toc5340"/>
      <w:bookmarkStart w:id="397" w:name="_Toc3466"/>
      <w:bookmarkStart w:id="398" w:name="_Toc12343"/>
      <w:r>
        <w:rPr>
          <w:rFonts w:hint="eastAsia" w:ascii="宋体" w:hAnsi="宋体" w:eastAsia="宋体" w:cs="宋体"/>
          <w:color w:val="auto"/>
          <w:szCs w:val="21"/>
          <w:highlight w:val="none"/>
          <w:lang w:val="zh-CN"/>
        </w:rPr>
        <w:t xml:space="preserve">18 </w:t>
      </w:r>
      <w:bookmarkEnd w:id="388"/>
      <w:bookmarkEnd w:id="389"/>
      <w:bookmarkEnd w:id="390"/>
      <w:bookmarkEnd w:id="391"/>
      <w:bookmarkEnd w:id="392"/>
      <w:bookmarkEnd w:id="393"/>
      <w:bookmarkEnd w:id="394"/>
      <w:r>
        <w:rPr>
          <w:rFonts w:hint="eastAsia" w:ascii="宋体" w:hAnsi="宋体" w:eastAsia="宋体" w:cs="宋体"/>
          <w:color w:val="auto"/>
          <w:szCs w:val="21"/>
          <w:highlight w:val="none"/>
          <w:lang w:val="zh-CN"/>
        </w:rPr>
        <w:t>投标文件的加密</w:t>
      </w:r>
      <w:bookmarkEnd w:id="395"/>
      <w:bookmarkEnd w:id="396"/>
      <w:bookmarkEnd w:id="397"/>
      <w:bookmarkEnd w:id="398"/>
    </w:p>
    <w:p w14:paraId="7F1F81E6">
      <w:pPr>
        <w:tabs>
          <w:tab w:val="left" w:pos="567"/>
        </w:tabs>
        <w:adjustRightInd w:val="0"/>
        <w:spacing w:line="360" w:lineRule="auto"/>
        <w:ind w:firstLine="144" w:firstLineChars="69"/>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016F73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p>
    <w:p w14:paraId="0A2350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9" w:name="_Toc6519"/>
      <w:bookmarkStart w:id="400" w:name="_Toc195714238"/>
      <w:bookmarkStart w:id="401" w:name="_Toc3867"/>
      <w:bookmarkStart w:id="402" w:name="_Toc21351"/>
      <w:bookmarkStart w:id="403" w:name="_Toc17599"/>
      <w:r>
        <w:rPr>
          <w:rFonts w:hint="eastAsia" w:ascii="宋体" w:hAnsi="宋体" w:eastAsia="宋体" w:cs="宋体"/>
          <w:color w:val="auto"/>
          <w:szCs w:val="21"/>
          <w:highlight w:val="none"/>
        </w:rPr>
        <w:t xml:space="preserve">19 </w:t>
      </w:r>
      <w:r>
        <w:rPr>
          <w:rFonts w:hint="eastAsia" w:ascii="宋体" w:hAnsi="宋体" w:eastAsia="宋体" w:cs="宋体"/>
          <w:color w:val="auto"/>
          <w:szCs w:val="21"/>
          <w:highlight w:val="none"/>
          <w:lang w:val="zh-CN"/>
        </w:rPr>
        <w:t>投标文件的提交</w:t>
      </w:r>
      <w:bookmarkEnd w:id="399"/>
      <w:bookmarkEnd w:id="400"/>
      <w:bookmarkEnd w:id="401"/>
      <w:bookmarkEnd w:id="402"/>
      <w:bookmarkEnd w:id="403"/>
    </w:p>
    <w:p w14:paraId="03F323C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1E4E30B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7F468B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186DD3E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bookmarkStart w:id="404" w:name="_Toc31040"/>
      <w:bookmarkStart w:id="405" w:name="_Toc31914"/>
      <w:bookmarkStart w:id="406" w:name="_Toc2256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rPr>
        <w:t>时间及</w:t>
      </w:r>
      <w:r>
        <w:rPr>
          <w:rFonts w:hint="eastAsia" w:ascii="宋体" w:hAnsi="宋体" w:eastAsia="宋体" w:cs="宋体"/>
          <w:color w:val="auto"/>
          <w:szCs w:val="21"/>
          <w:highlight w:val="none"/>
          <w:lang w:val="zh-CN"/>
        </w:rPr>
        <w:t>地点：见招标公告。</w:t>
      </w:r>
      <w:bookmarkEnd w:id="404"/>
      <w:bookmarkEnd w:id="405"/>
      <w:bookmarkEnd w:id="406"/>
    </w:p>
    <w:p w14:paraId="0180A56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6EA2D30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8AC6C5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7" w:name="_Toc2123"/>
      <w:bookmarkStart w:id="408" w:name="_Toc27240"/>
      <w:bookmarkStart w:id="409" w:name="_Toc195714239"/>
      <w:bookmarkStart w:id="410" w:name="_Toc360"/>
      <w:bookmarkStart w:id="411" w:name="_Toc10547"/>
      <w:r>
        <w:rPr>
          <w:rFonts w:hint="eastAsia" w:ascii="宋体" w:hAnsi="宋体" w:eastAsia="宋体" w:cs="宋体"/>
          <w:color w:val="auto"/>
          <w:szCs w:val="21"/>
          <w:highlight w:val="none"/>
        </w:rPr>
        <w:t xml:space="preserve">20 </w:t>
      </w:r>
      <w:r>
        <w:rPr>
          <w:rFonts w:hint="eastAsia" w:ascii="宋体" w:hAnsi="宋体" w:eastAsia="宋体" w:cs="宋体"/>
          <w:color w:val="auto"/>
          <w:szCs w:val="21"/>
          <w:highlight w:val="none"/>
          <w:lang w:val="zh-CN"/>
        </w:rPr>
        <w:t>投标会时间、地点及投标文件提交的截止时间</w:t>
      </w:r>
      <w:bookmarkEnd w:id="407"/>
      <w:bookmarkEnd w:id="408"/>
      <w:bookmarkEnd w:id="409"/>
      <w:bookmarkEnd w:id="410"/>
      <w:bookmarkEnd w:id="411"/>
    </w:p>
    <w:p w14:paraId="246D7F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69E3DF3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7E51C89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651D6C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2" w:name="_Toc28082"/>
      <w:bookmarkStart w:id="413" w:name="_Toc195714240"/>
      <w:bookmarkStart w:id="414" w:name="_Toc3433"/>
      <w:bookmarkStart w:id="415" w:name="_Toc5699"/>
      <w:bookmarkStart w:id="416" w:name="_Toc1741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val="zh-CN"/>
        </w:rPr>
        <w:t>投标文件的拒绝</w:t>
      </w:r>
      <w:bookmarkEnd w:id="412"/>
      <w:bookmarkEnd w:id="413"/>
      <w:bookmarkEnd w:id="414"/>
      <w:bookmarkEnd w:id="415"/>
      <w:bookmarkEnd w:id="416"/>
    </w:p>
    <w:p w14:paraId="7B636B4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40A21B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4DC301A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191762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CFE113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7" w:name="_Toc195714241"/>
      <w:bookmarkStart w:id="418" w:name="_Toc26166"/>
      <w:bookmarkStart w:id="419" w:name="_Toc12097"/>
      <w:bookmarkStart w:id="420" w:name="_Toc21097"/>
      <w:bookmarkStart w:id="421" w:name="_Toc169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417"/>
      <w:bookmarkEnd w:id="418"/>
      <w:bookmarkEnd w:id="419"/>
      <w:bookmarkEnd w:id="420"/>
      <w:bookmarkEnd w:id="421"/>
    </w:p>
    <w:p w14:paraId="7B53B7A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7B35063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1883106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112990A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EDA9FBE">
      <w:pPr>
        <w:keepNext/>
        <w:keepLines/>
        <w:tabs>
          <w:tab w:val="left" w:pos="509"/>
        </w:tab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422" w:name="_Toc30428"/>
      <w:bookmarkStart w:id="423" w:name="_Toc31358"/>
      <w:bookmarkStart w:id="424" w:name="_Toc486167687"/>
      <w:bookmarkStart w:id="425" w:name="_Toc195714242"/>
      <w:bookmarkStart w:id="426" w:name="_Toc1049_WPSOffice_Level2"/>
      <w:bookmarkStart w:id="427" w:name="_Toc600"/>
      <w:bookmarkStart w:id="428" w:name="_Toc450662872"/>
      <w:bookmarkStart w:id="429" w:name="_Toc11843"/>
      <w:bookmarkStart w:id="430" w:name="_Toc142508337"/>
      <w:bookmarkStart w:id="431" w:name="_Toc140596896"/>
      <w:bookmarkStart w:id="432" w:name="_Toc28824"/>
      <w:bookmarkStart w:id="433" w:name="_Toc5498"/>
      <w:r>
        <w:rPr>
          <w:rFonts w:hint="eastAsia" w:ascii="宋体" w:hAnsi="宋体" w:eastAsia="宋体" w:cs="宋体"/>
          <w:b/>
          <w:bCs/>
          <w:color w:val="auto"/>
          <w:kern w:val="44"/>
          <w:szCs w:val="21"/>
          <w:highlight w:val="none"/>
          <w:lang w:val="zh-CN"/>
        </w:rPr>
        <w:t>五、开标与评标</w:t>
      </w:r>
      <w:bookmarkEnd w:id="422"/>
      <w:bookmarkEnd w:id="423"/>
      <w:bookmarkEnd w:id="424"/>
      <w:bookmarkEnd w:id="425"/>
      <w:bookmarkEnd w:id="426"/>
      <w:bookmarkEnd w:id="427"/>
      <w:bookmarkEnd w:id="428"/>
      <w:bookmarkEnd w:id="429"/>
      <w:bookmarkEnd w:id="430"/>
      <w:bookmarkEnd w:id="431"/>
      <w:bookmarkEnd w:id="432"/>
      <w:bookmarkEnd w:id="433"/>
    </w:p>
    <w:p w14:paraId="52A41F36">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highlight w:val="none"/>
          <w:lang w:val="zh-CN"/>
        </w:rPr>
      </w:pPr>
      <w:bookmarkStart w:id="434" w:name="_Toc32731"/>
      <w:bookmarkStart w:id="435" w:name="_Toc195714243"/>
      <w:bookmarkStart w:id="436" w:name="_Toc10369"/>
      <w:bookmarkStart w:id="437" w:name="_Toc17477"/>
      <w:bookmarkStart w:id="438" w:name="_Toc2916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434"/>
      <w:bookmarkEnd w:id="435"/>
      <w:bookmarkEnd w:id="436"/>
      <w:bookmarkEnd w:id="437"/>
      <w:bookmarkEnd w:id="438"/>
    </w:p>
    <w:p w14:paraId="4A45F9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066D33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23.2 投标人网上签到时间为开标当天上午6时至投标截止时间，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1415A7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rPr>
      </w:pPr>
      <w:r>
        <w:rPr>
          <w:rFonts w:hint="eastAsia" w:ascii="宋体" w:hAnsi="宋体" w:eastAsia="宋体" w:cs="宋体"/>
          <w:color w:val="auto"/>
          <w:szCs w:val="21"/>
          <w:highlight w:val="none"/>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rPr>
        <w:t>为本项目法定代表人授权书列明的被授权人。）</w:t>
      </w:r>
    </w:p>
    <w:p w14:paraId="2E774F4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4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00D860B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 xml:space="preserve">5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color w:val="auto"/>
          <w:szCs w:val="21"/>
          <w:highlight w:val="none"/>
          <w:lang w:val="zh-CN"/>
        </w:rPr>
        <w:t>。解密投标文件时间段内，投标人必须进行线上解密并且完成投标文件解密。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rPr>
        <w:t>之外的</w:t>
      </w:r>
      <w:r>
        <w:rPr>
          <w:rFonts w:hint="eastAsia" w:ascii="宋体" w:hAnsi="宋体" w:eastAsia="宋体" w:cs="宋体"/>
          <w:color w:val="auto"/>
          <w:szCs w:val="21"/>
          <w:highlight w:val="none"/>
          <w:lang w:val="zh-CN"/>
        </w:rPr>
        <w:t>原因造成投标文件未解密的，视为撤回其投标文件。</w:t>
      </w:r>
      <w:r>
        <w:rPr>
          <w:rFonts w:hint="eastAsia" w:ascii="宋体" w:hAnsi="宋体" w:eastAsia="宋体" w:cs="宋体"/>
          <w:b/>
          <w:bCs/>
          <w:color w:val="auto"/>
          <w:szCs w:val="21"/>
          <w:highlight w:val="none"/>
          <w:lang w:val="zh-CN"/>
        </w:rPr>
        <w:t>投标文件解密需要由法定代表人或其授权代表进行人脸识别完成解密。</w:t>
      </w:r>
      <w:r>
        <w:rPr>
          <w:rFonts w:hint="eastAsia" w:ascii="宋体" w:hAnsi="宋体" w:eastAsia="宋体" w:cs="宋体"/>
          <w:b/>
          <w:bCs/>
          <w:color w:val="auto"/>
          <w:szCs w:val="21"/>
          <w:highlight w:val="none"/>
        </w:rPr>
        <w:t>（注：投标人在网上签到时须关联的法定代表人</w:t>
      </w:r>
      <w:r>
        <w:rPr>
          <w:rFonts w:hint="eastAsia" w:ascii="宋体" w:hAnsi="宋体" w:eastAsia="宋体" w:cs="宋体"/>
          <w:b/>
          <w:bCs/>
          <w:color w:val="auto"/>
          <w:szCs w:val="21"/>
          <w:highlight w:val="none"/>
          <w:lang w:val="zh-CN"/>
        </w:rPr>
        <w:t>授权代表</w:t>
      </w:r>
      <w:r>
        <w:rPr>
          <w:rFonts w:hint="eastAsia" w:ascii="宋体" w:hAnsi="宋体" w:eastAsia="宋体" w:cs="宋体"/>
          <w:b/>
          <w:bCs/>
          <w:color w:val="auto"/>
          <w:szCs w:val="21"/>
          <w:highlight w:val="none"/>
        </w:rPr>
        <w:t>为本项目法定代表人授权书列明的被授权人。）</w:t>
      </w:r>
    </w:p>
    <w:p w14:paraId="5EA51FB2">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3A188D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3CD4995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4A4FC380">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384447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39" w:name="_Toc29774"/>
      <w:bookmarkStart w:id="440" w:name="_Toc32232"/>
      <w:bookmarkStart w:id="441" w:name="_Toc23059"/>
      <w:bookmarkStart w:id="442" w:name="_Toc142508339"/>
      <w:bookmarkStart w:id="443" w:name="_Toc450662874"/>
      <w:bookmarkStart w:id="444" w:name="_Toc12165_WPSOffice_Level3"/>
      <w:bookmarkStart w:id="445" w:name="_Toc195714244"/>
      <w:bookmarkStart w:id="446" w:name="_Toc26515"/>
      <w:bookmarkStart w:id="447" w:name="_Toc18808"/>
      <w:bookmarkStart w:id="448" w:name="_Toc486167689"/>
      <w:bookmarkStart w:id="449" w:name="_Toc32534"/>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439"/>
      <w:bookmarkEnd w:id="440"/>
      <w:bookmarkEnd w:id="441"/>
      <w:bookmarkEnd w:id="442"/>
      <w:bookmarkEnd w:id="443"/>
      <w:bookmarkEnd w:id="444"/>
      <w:bookmarkEnd w:id="445"/>
      <w:bookmarkEnd w:id="446"/>
      <w:bookmarkEnd w:id="447"/>
      <w:bookmarkEnd w:id="448"/>
      <w:bookmarkEnd w:id="449"/>
    </w:p>
    <w:p w14:paraId="7947C86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2DB4AA1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BF2797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37E5EEF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50" w:name="_Toc6241"/>
      <w:bookmarkStart w:id="451" w:name="_Toc21922"/>
      <w:bookmarkStart w:id="452" w:name="_Toc486167690"/>
      <w:bookmarkStart w:id="453" w:name="_Toc800"/>
      <w:bookmarkStart w:id="454" w:name="_Toc195714245"/>
      <w:bookmarkStart w:id="455" w:name="_Toc23401"/>
      <w:bookmarkStart w:id="456" w:name="_Toc16920"/>
      <w:bookmarkStart w:id="457" w:name="_Toc142508340"/>
      <w:bookmarkStart w:id="458" w:name="_Toc450662875"/>
      <w:bookmarkStart w:id="459" w:name="_Toc15565_WPSOffice_Level3"/>
      <w:bookmarkStart w:id="460" w:name="_Toc18963"/>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450"/>
      <w:bookmarkEnd w:id="451"/>
      <w:bookmarkEnd w:id="452"/>
      <w:bookmarkEnd w:id="453"/>
      <w:bookmarkEnd w:id="454"/>
      <w:bookmarkEnd w:id="455"/>
      <w:bookmarkEnd w:id="456"/>
      <w:bookmarkEnd w:id="457"/>
      <w:bookmarkEnd w:id="458"/>
      <w:bookmarkEnd w:id="459"/>
      <w:bookmarkEnd w:id="460"/>
    </w:p>
    <w:p w14:paraId="104529C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95B57D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11273F0D">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7070D87">
      <w:pPr>
        <w:autoSpaceDE w:val="0"/>
        <w:autoSpaceDN w:val="0"/>
        <w:adjustRightInd w:val="0"/>
        <w:spacing w:line="360" w:lineRule="auto"/>
        <w:ind w:left="357" w:leftChars="-100" w:hanging="567"/>
        <w:outlineLvl w:val="2"/>
        <w:rPr>
          <w:rFonts w:ascii="宋体" w:hAnsi="宋体" w:eastAsia="宋体" w:cs="宋体"/>
          <w:color w:val="auto"/>
          <w:szCs w:val="21"/>
          <w:highlight w:val="none"/>
          <w:lang w:val="zh-CN"/>
        </w:rPr>
      </w:pPr>
      <w:bookmarkStart w:id="461" w:name="_Toc94"/>
      <w:bookmarkStart w:id="462" w:name="_Toc4946"/>
      <w:bookmarkStart w:id="463" w:name="_Toc195714246"/>
      <w:bookmarkStart w:id="464" w:name="_Toc32114"/>
      <w:bookmarkStart w:id="465" w:name="_Toc10195"/>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461"/>
      <w:bookmarkEnd w:id="462"/>
      <w:bookmarkEnd w:id="463"/>
      <w:bookmarkEnd w:id="464"/>
      <w:bookmarkEnd w:id="465"/>
    </w:p>
    <w:p w14:paraId="5701D3C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64CE48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466" w:name="_Toc11432"/>
      <w:bookmarkStart w:id="467" w:name="_Toc30757"/>
      <w:bookmarkStart w:id="468" w:name="_Toc2950"/>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466"/>
      <w:bookmarkEnd w:id="467"/>
      <w:bookmarkEnd w:id="468"/>
    </w:p>
    <w:p w14:paraId="5CF5F68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5DD36806">
      <w:pPr>
        <w:autoSpaceDE w:val="0"/>
        <w:autoSpaceDN w:val="0"/>
        <w:adjustRightInd w:val="0"/>
        <w:spacing w:line="360" w:lineRule="auto"/>
        <w:ind w:left="357" w:leftChars="-100" w:hanging="567"/>
        <w:rPr>
          <w:rFonts w:ascii="宋体" w:hAnsi="宋体" w:eastAsia="宋体" w:cs="宋体"/>
          <w:color w:val="auto"/>
          <w:szCs w:val="21"/>
          <w:highlight w:val="none"/>
        </w:rPr>
      </w:pPr>
      <w:r>
        <w:rPr>
          <w:rFonts w:hint="eastAsia" w:ascii="宋体" w:hAnsi="宋体" w:eastAsia="宋体" w:cs="宋体"/>
          <w:color w:val="auto"/>
          <w:szCs w:val="21"/>
          <w:highlight w:val="none"/>
        </w:rPr>
        <w:t>26.1.3投标文件中使用的本项目招标文件版本，与交易系统上发布的本项目招标文件的最新版本不一致的；</w:t>
      </w:r>
    </w:p>
    <w:p w14:paraId="56348AC7">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469" w:name="_Toc30023"/>
      <w:bookmarkStart w:id="470" w:name="_Toc29102"/>
      <w:bookmarkStart w:id="471" w:name="_Toc9379"/>
      <w:r>
        <w:rPr>
          <w:rFonts w:hint="eastAsia" w:ascii="宋体" w:hAnsi="宋体" w:eastAsia="宋体" w:cs="宋体"/>
          <w:color w:val="auto"/>
          <w:szCs w:val="21"/>
          <w:highlight w:val="none"/>
        </w:rPr>
        <w:t>26.1.4</w:t>
      </w:r>
      <w:r>
        <w:rPr>
          <w:rFonts w:hint="eastAsia" w:ascii="宋体" w:hAnsi="宋体" w:eastAsia="宋体" w:cs="宋体"/>
          <w:color w:val="auto"/>
          <w:szCs w:val="21"/>
          <w:highlight w:val="none"/>
          <w:lang w:val="zh-CN"/>
        </w:rPr>
        <w:t>投标文件未使用企业数字证书签名的；</w:t>
      </w:r>
      <w:bookmarkEnd w:id="469"/>
      <w:bookmarkEnd w:id="470"/>
      <w:bookmarkEnd w:id="471"/>
    </w:p>
    <w:p w14:paraId="6882D6F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投标文件签名使用的数字证书与签到的投标人名称不一致的；</w:t>
      </w:r>
    </w:p>
    <w:p w14:paraId="070D67D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31D0F79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投标文件附有招标人不能接受的条件的；</w:t>
      </w:r>
    </w:p>
    <w:p w14:paraId="6C862E9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rPr>
        <w:t>2条</w:t>
      </w:r>
      <w:r>
        <w:rPr>
          <w:rFonts w:hint="eastAsia" w:ascii="宋体" w:hAnsi="宋体" w:eastAsia="宋体" w:cs="宋体"/>
          <w:color w:val="auto"/>
          <w:szCs w:val="21"/>
          <w:highlight w:val="none"/>
          <w:lang w:val="zh-CN"/>
        </w:rPr>
        <w:t>的要求；</w:t>
      </w:r>
    </w:p>
    <w:p w14:paraId="26F25EA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投标人未按招标文件要求交纳投标保证金的；</w:t>
      </w:r>
    </w:p>
    <w:p w14:paraId="0C26D1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val="zh-CN"/>
        </w:rPr>
        <w:t>投标文件报价信封中填报的投标报价高于</w:t>
      </w:r>
      <w:bookmarkStart w:id="472" w:name="OLE_LINK35"/>
      <w:r>
        <w:rPr>
          <w:rFonts w:hint="eastAsia" w:ascii="宋体" w:hAnsi="宋体" w:eastAsia="宋体" w:cs="宋体"/>
          <w:color w:val="auto"/>
          <w:szCs w:val="21"/>
          <w:highlight w:val="none"/>
          <w:lang w:val="zh-CN"/>
        </w:rPr>
        <w:t>本项目</w:t>
      </w:r>
      <w:r>
        <w:rPr>
          <w:rFonts w:hint="eastAsia" w:ascii="宋体" w:hAnsi="宋体" w:eastAsia="宋体" w:cs="宋体"/>
          <w:color w:val="auto"/>
          <w:szCs w:val="21"/>
          <w:highlight w:val="none"/>
        </w:rPr>
        <w:t>投标最高限价</w:t>
      </w:r>
      <w:r>
        <w:rPr>
          <w:rFonts w:hint="eastAsia" w:ascii="宋体" w:hAnsi="宋体" w:eastAsia="宋体" w:cs="宋体"/>
          <w:color w:val="auto"/>
          <w:szCs w:val="21"/>
          <w:highlight w:val="none"/>
          <w:lang w:val="zh-CN"/>
        </w:rPr>
        <w:t>的</w:t>
      </w:r>
      <w:bookmarkEnd w:id="472"/>
      <w:r>
        <w:rPr>
          <w:rFonts w:hint="eastAsia" w:ascii="宋体" w:hAnsi="宋体" w:eastAsia="宋体" w:cs="宋体"/>
          <w:color w:val="auto"/>
          <w:szCs w:val="21"/>
          <w:highlight w:val="none"/>
          <w:lang w:val="zh-CN"/>
        </w:rPr>
        <w:t>；</w:t>
      </w:r>
    </w:p>
    <w:p w14:paraId="35A4D71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7E16FD4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7E36331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rPr>
        <w:t>条</w:t>
      </w:r>
      <w:r>
        <w:rPr>
          <w:rFonts w:hint="eastAsia" w:ascii="宋体" w:hAnsi="宋体" w:eastAsia="宋体" w:cs="宋体"/>
          <w:color w:val="auto"/>
          <w:szCs w:val="21"/>
          <w:highlight w:val="none"/>
          <w:lang w:val="zh-CN"/>
        </w:rPr>
        <w:t xml:space="preserve">的要求编制、使用企业数字证书或个人数字证书电子签名的； </w:t>
      </w:r>
    </w:p>
    <w:p w14:paraId="10136D6C">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473" w:name="_Toc5657"/>
      <w:bookmarkStart w:id="474" w:name="_Toc7042"/>
      <w:bookmarkStart w:id="475" w:name="_Toc18440"/>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lang w:val="zh-CN"/>
        </w:rPr>
        <w:t>投标有效期限不符合要求；</w:t>
      </w:r>
      <w:bookmarkEnd w:id="473"/>
      <w:bookmarkEnd w:id="474"/>
      <w:bookmarkEnd w:id="475"/>
    </w:p>
    <w:p w14:paraId="3B7653B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投标文件未对招标范围内的全部内容进行投标报价或投标方案不是唯一；</w:t>
      </w:r>
    </w:p>
    <w:p w14:paraId="310DB63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16</w:t>
      </w:r>
      <w:r>
        <w:rPr>
          <w:rFonts w:hint="eastAsia" w:ascii="宋体" w:hAnsi="宋体" w:eastAsia="宋体" w:cs="宋体"/>
          <w:color w:val="auto"/>
          <w:szCs w:val="21"/>
          <w:highlight w:val="none"/>
          <w:lang w:val="zh-CN"/>
        </w:rPr>
        <w:t>未提供或虚假填写《合同条款偏离表》，或对《合同条款偏离表》有负偏离的；</w:t>
      </w:r>
    </w:p>
    <w:p w14:paraId="45CE0B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bookmarkStart w:id="476" w:name="_Toc2887"/>
      <w:bookmarkStart w:id="477" w:name="_Toc13512"/>
      <w:bookmarkStart w:id="478" w:name="_Toc23158"/>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17</w:t>
      </w:r>
      <w:r>
        <w:rPr>
          <w:rFonts w:hint="eastAsia" w:ascii="宋体" w:hAnsi="宋体" w:eastAsia="宋体" w:cs="宋体"/>
          <w:color w:val="auto"/>
          <w:szCs w:val="21"/>
          <w:highlight w:val="none"/>
          <w:lang w:val="zh-CN"/>
        </w:rPr>
        <w:t>未填写或虚假填写《用户需求偏离表》的；</w:t>
      </w:r>
      <w:bookmarkEnd w:id="476"/>
      <w:bookmarkEnd w:id="477"/>
      <w:bookmarkEnd w:id="478"/>
    </w:p>
    <w:p w14:paraId="046FF75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18</w:t>
      </w:r>
      <w:r>
        <w:rPr>
          <w:rFonts w:hint="eastAsia" w:ascii="宋体" w:hAnsi="宋体" w:eastAsia="宋体" w:cs="宋体"/>
          <w:color w:val="auto"/>
          <w:szCs w:val="21"/>
          <w:highlight w:val="none"/>
          <w:lang w:val="zh-CN"/>
        </w:rPr>
        <w:t>未响应招标文件提出的实质性要求和条件（标注★的条款）；</w:t>
      </w:r>
    </w:p>
    <w:p w14:paraId="7DEE5AE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5CD64BD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F74636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79" w:name="_Toc13396"/>
      <w:bookmarkStart w:id="480" w:name="_Toc8692"/>
      <w:bookmarkStart w:id="481" w:name="_Toc18668"/>
      <w:bookmarkStart w:id="482" w:name="_Toc195714247"/>
      <w:bookmarkStart w:id="483" w:name="_Toc13586"/>
      <w:bookmarkStart w:id="484" w:name="_Toc12715"/>
      <w:bookmarkStart w:id="485" w:name="_Toc450662876"/>
      <w:bookmarkStart w:id="486" w:name="_Toc142508341"/>
      <w:bookmarkStart w:id="487" w:name="_Toc486167691"/>
      <w:bookmarkStart w:id="488" w:name="_Toc3515"/>
      <w:bookmarkStart w:id="489" w:name="_Toc28910_WPSOffice_Level3"/>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479"/>
      <w:bookmarkEnd w:id="480"/>
      <w:bookmarkEnd w:id="481"/>
      <w:bookmarkEnd w:id="482"/>
      <w:bookmarkEnd w:id="483"/>
      <w:bookmarkEnd w:id="484"/>
      <w:bookmarkEnd w:id="485"/>
      <w:bookmarkEnd w:id="486"/>
      <w:bookmarkEnd w:id="487"/>
      <w:bookmarkEnd w:id="488"/>
      <w:bookmarkEnd w:id="489"/>
    </w:p>
    <w:p w14:paraId="2ADB68B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60C28AFD">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12B3933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3B37AF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90" w:name="_Toc26001"/>
      <w:bookmarkStart w:id="491" w:name="_Toc338_WPSOffice_Level3"/>
      <w:bookmarkStart w:id="492" w:name="_Toc4837"/>
      <w:bookmarkStart w:id="493" w:name="_Toc486167692"/>
      <w:bookmarkStart w:id="494" w:name="_Toc450662877"/>
      <w:bookmarkStart w:id="495" w:name="_Toc195714248"/>
      <w:bookmarkStart w:id="496" w:name="_Toc24260"/>
      <w:bookmarkStart w:id="497" w:name="_Toc142508342"/>
      <w:bookmarkStart w:id="498" w:name="_Toc6362"/>
      <w:bookmarkStart w:id="499" w:name="_Toc7736"/>
      <w:bookmarkStart w:id="500" w:name="_Toc3022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490"/>
      <w:bookmarkEnd w:id="491"/>
      <w:bookmarkEnd w:id="492"/>
      <w:bookmarkEnd w:id="493"/>
      <w:bookmarkEnd w:id="494"/>
      <w:bookmarkEnd w:id="495"/>
      <w:bookmarkEnd w:id="496"/>
      <w:bookmarkEnd w:id="497"/>
      <w:bookmarkEnd w:id="498"/>
      <w:bookmarkEnd w:id="499"/>
      <w:bookmarkEnd w:id="500"/>
    </w:p>
    <w:p w14:paraId="311BA97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FB15DB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501"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rPr>
        <w:t>联系方式及电子邮箱</w:t>
      </w:r>
      <w:r>
        <w:rPr>
          <w:rFonts w:hint="eastAsia" w:ascii="宋体" w:hAnsi="宋体" w:eastAsia="宋体" w:cs="宋体"/>
          <w:color w:val="auto"/>
          <w:szCs w:val="21"/>
          <w:highlight w:val="none"/>
          <w:lang w:val="zh-CN"/>
        </w:rPr>
        <w:t>，以便能及时收到澄清通知。</w:t>
      </w:r>
    </w:p>
    <w:p w14:paraId="78AACCCB">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501"/>
    <w:p w14:paraId="05E67A2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02" w:name="_Toc522047355"/>
      <w:bookmarkStart w:id="503" w:name="_Toc1795"/>
      <w:bookmarkStart w:id="504" w:name="_Toc18368_WPSOffice_Level3"/>
      <w:bookmarkStart w:id="505" w:name="_Toc28909"/>
      <w:bookmarkStart w:id="506" w:name="_Toc10967"/>
      <w:bookmarkStart w:id="507" w:name="_Toc10292"/>
      <w:bookmarkStart w:id="508" w:name="_Toc142508343"/>
      <w:bookmarkStart w:id="509" w:name="_Toc22065"/>
      <w:bookmarkStart w:id="510" w:name="_Toc521918096"/>
      <w:bookmarkStart w:id="511" w:name="_Toc10087"/>
      <w:bookmarkStart w:id="512" w:name="_Toc19571424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502"/>
      <w:bookmarkEnd w:id="503"/>
      <w:bookmarkEnd w:id="504"/>
      <w:bookmarkEnd w:id="505"/>
      <w:bookmarkEnd w:id="506"/>
      <w:bookmarkEnd w:id="507"/>
      <w:bookmarkEnd w:id="508"/>
      <w:bookmarkEnd w:id="509"/>
      <w:bookmarkEnd w:id="510"/>
      <w:bookmarkEnd w:id="511"/>
      <w:bookmarkEnd w:id="512"/>
    </w:p>
    <w:p w14:paraId="1C31A35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详细评审。</w:t>
      </w:r>
    </w:p>
    <w:p w14:paraId="6483077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50549928">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F19B38A">
      <w:pPr>
        <w:autoSpaceDE w:val="0"/>
        <w:autoSpaceDN w:val="0"/>
        <w:adjustRightInd w:val="0"/>
        <w:spacing w:line="360" w:lineRule="auto"/>
        <w:ind w:left="330" w:leftChars="-100" w:right="15" w:rightChars="7" w:hanging="54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29.4 </w:t>
      </w:r>
      <w:r>
        <w:rPr>
          <w:rFonts w:hint="eastAsia" w:ascii="宋体" w:hAnsi="宋体" w:eastAsia="宋体" w:cs="宋体"/>
          <w:color w:val="auto"/>
          <w:szCs w:val="21"/>
          <w:highlight w:val="none"/>
          <w:lang w:val="zh-CN"/>
        </w:rPr>
        <w:t>对投标价格的评审详见评标工作大纲。</w:t>
      </w:r>
    </w:p>
    <w:p w14:paraId="04BD233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2553256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B6946A9">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513" w:name="_Toc522047356"/>
      <w:bookmarkStart w:id="514" w:name="_Toc521918097"/>
    </w:p>
    <w:p w14:paraId="50582B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5" w:name="_Toc18614"/>
      <w:bookmarkStart w:id="516" w:name="_Toc21460_WPSOffice_Level3"/>
      <w:bookmarkStart w:id="517" w:name="_Toc14804"/>
      <w:bookmarkStart w:id="518" w:name="_Toc142508344"/>
      <w:bookmarkStart w:id="519" w:name="_Toc195714250"/>
      <w:bookmarkStart w:id="520" w:name="_Toc29299"/>
      <w:bookmarkStart w:id="521" w:name="_Toc27026"/>
      <w:bookmarkStart w:id="522" w:name="_Toc27655"/>
      <w:bookmarkStart w:id="523" w:name="_Toc17653"/>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513"/>
      <w:bookmarkEnd w:id="514"/>
      <w:bookmarkEnd w:id="515"/>
      <w:bookmarkEnd w:id="516"/>
      <w:bookmarkEnd w:id="517"/>
      <w:bookmarkEnd w:id="518"/>
      <w:bookmarkEnd w:id="519"/>
      <w:bookmarkEnd w:id="520"/>
      <w:bookmarkEnd w:id="521"/>
      <w:bookmarkEnd w:id="522"/>
      <w:bookmarkEnd w:id="523"/>
    </w:p>
    <w:p w14:paraId="012D7D0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对所有投标文件的评审，都采用相同的程序和标准。按步骤先进行初步评审，再进行商务、技术评审。</w:t>
      </w:r>
    </w:p>
    <w:p w14:paraId="6ED1CF5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bookmarkStart w:id="524" w:name="_Toc13082"/>
      <w:bookmarkStart w:id="525" w:name="_Toc13185"/>
      <w:bookmarkStart w:id="526" w:name="_Toc6776"/>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524"/>
      <w:bookmarkEnd w:id="525"/>
      <w:bookmarkEnd w:id="526"/>
    </w:p>
    <w:p w14:paraId="60BFF9E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7986E6A8">
      <w:pPr>
        <w:tabs>
          <w:tab w:val="left" w:pos="360"/>
        </w:tabs>
        <w:autoSpaceDE w:val="0"/>
        <w:autoSpaceDN w:val="0"/>
        <w:adjustRightInd w:val="0"/>
        <w:spacing w:line="360" w:lineRule="auto"/>
        <w:ind w:left="330" w:leftChars="-100" w:right="44" w:rightChars="21" w:hanging="54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若本次招标过程中有效投标人不足三个时，公开招标失败，并由评标委员会论证，招标文件是否没有不合理条款、招标程序是否符合规定</w:t>
      </w:r>
      <w:r>
        <w:rPr>
          <w:rFonts w:hint="eastAsia" w:ascii="宋体" w:hAnsi="宋体" w:eastAsia="宋体" w:cs="宋体"/>
          <w:b/>
          <w:bCs/>
          <w:color w:val="auto"/>
          <w:szCs w:val="21"/>
          <w:highlight w:val="none"/>
        </w:rPr>
        <w:t>。</w:t>
      </w:r>
    </w:p>
    <w:p w14:paraId="1F82E816">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035801F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27" w:name="_Toc465358969"/>
      <w:bookmarkStart w:id="528" w:name="_Toc142508345"/>
      <w:bookmarkStart w:id="529" w:name="_Toc32498_WPSOffice_Level3"/>
      <w:bookmarkStart w:id="530" w:name="_Toc18766"/>
      <w:bookmarkStart w:id="531" w:name="_Toc4819"/>
      <w:bookmarkStart w:id="532" w:name="_Toc486167694"/>
      <w:bookmarkStart w:id="533" w:name="_Toc2612"/>
      <w:bookmarkStart w:id="534" w:name="_Toc466882017"/>
      <w:bookmarkStart w:id="535" w:name="_Toc195714251"/>
      <w:bookmarkStart w:id="536" w:name="_Toc19179"/>
      <w:bookmarkStart w:id="537" w:name="_Toc11615"/>
      <w:bookmarkStart w:id="538" w:name="_Toc15217"/>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527"/>
      <w:bookmarkEnd w:id="528"/>
      <w:bookmarkEnd w:id="529"/>
      <w:bookmarkEnd w:id="530"/>
      <w:bookmarkEnd w:id="531"/>
      <w:bookmarkEnd w:id="532"/>
      <w:bookmarkEnd w:id="533"/>
      <w:bookmarkEnd w:id="534"/>
      <w:bookmarkEnd w:id="535"/>
      <w:bookmarkEnd w:id="536"/>
      <w:bookmarkEnd w:id="537"/>
      <w:bookmarkEnd w:id="538"/>
    </w:p>
    <w:p w14:paraId="1CC5095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3462B5AC">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hint="eastAsia" w:ascii="宋体" w:hAnsi="宋体" w:eastAsia="宋体" w:cs="宋体"/>
          <w:color w:val="auto"/>
          <w:kern w:val="0"/>
          <w:szCs w:val="21"/>
          <w:highlight w:val="none"/>
          <w:lang w:val="zh-CN"/>
        </w:rPr>
        <w:t>。</w:t>
      </w:r>
    </w:p>
    <w:p w14:paraId="401C78B2">
      <w:pPr>
        <w:autoSpaceDE w:val="0"/>
        <w:autoSpaceDN w:val="0"/>
        <w:adjustRightInd w:val="0"/>
        <w:spacing w:line="360" w:lineRule="auto"/>
        <w:ind w:left="284" w:hanging="568"/>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3D762DD2">
      <w:pPr>
        <w:autoSpaceDE w:val="0"/>
        <w:autoSpaceDN w:val="0"/>
        <w:adjustRightInd w:val="0"/>
        <w:snapToGrid w:val="0"/>
        <w:spacing w:line="360" w:lineRule="auto"/>
        <w:ind w:left="246" w:leftChars="117" w:firstLine="422" w:firstLineChars="200"/>
        <w:jc w:val="lef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6349CC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18741F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53F085D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20710A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2FDACD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226EA8F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D8C5DC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3FBC852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0A6706D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064839A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监督部门：东莞市水务环境投资控股集团有限公司，联系人：莫先生，联系电话：0769-28823251。</w:t>
      </w:r>
    </w:p>
    <w:p w14:paraId="7CA3B4D3">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DD4EC45">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539" w:name="_Toc545"/>
      <w:bookmarkStart w:id="540" w:name="_Toc30498"/>
      <w:bookmarkStart w:id="541" w:name="_Toc142508346"/>
      <w:bookmarkStart w:id="542" w:name="_Toc3609"/>
      <w:bookmarkStart w:id="543" w:name="_Toc486167695"/>
      <w:bookmarkStart w:id="544" w:name="_Toc3154"/>
      <w:bookmarkStart w:id="545" w:name="_Toc1848_WPSOffice_Level3"/>
      <w:bookmarkStart w:id="546" w:name="_Toc195714252"/>
      <w:bookmarkStart w:id="547" w:name="_Toc465358970"/>
      <w:bookmarkStart w:id="548" w:name="_Toc466882018"/>
      <w:bookmarkStart w:id="549" w:name="_Toc26354"/>
      <w:bookmarkStart w:id="550" w:name="_Toc26283"/>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539"/>
      <w:bookmarkEnd w:id="540"/>
      <w:bookmarkEnd w:id="541"/>
      <w:bookmarkEnd w:id="542"/>
      <w:bookmarkEnd w:id="543"/>
      <w:bookmarkEnd w:id="544"/>
      <w:bookmarkEnd w:id="545"/>
      <w:bookmarkEnd w:id="546"/>
      <w:bookmarkEnd w:id="547"/>
      <w:bookmarkEnd w:id="548"/>
      <w:bookmarkEnd w:id="549"/>
      <w:bookmarkEnd w:id="550"/>
    </w:p>
    <w:p w14:paraId="5BBB5FE2">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CCE353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872E3B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本须知31.2款约定按时提供原件进行核查的，或不按照投标文件承诺履约或撤回投标或放弃中标资格或不按要求与招标人签订合同等影响中标结果的行为，因此导致投标人无法参与东莞市水务环境投资控股集团有限公司相关招标采购等活动的，由投标人自行承担全部后果。</w:t>
      </w:r>
    </w:p>
    <w:p w14:paraId="5887176A">
      <w:pPr>
        <w:autoSpaceDE w:val="0"/>
        <w:autoSpaceDN w:val="0"/>
        <w:adjustRightInd w:val="0"/>
        <w:snapToGrid w:val="0"/>
        <w:spacing w:line="360" w:lineRule="auto"/>
        <w:jc w:val="left"/>
        <w:rPr>
          <w:rFonts w:ascii="宋体" w:hAnsi="宋体" w:eastAsia="宋体" w:cs="宋体"/>
          <w:color w:val="auto"/>
          <w:szCs w:val="21"/>
          <w:highlight w:val="none"/>
        </w:rPr>
      </w:pPr>
      <w:bookmarkStart w:id="551" w:name="_Toc466882019"/>
      <w:bookmarkStart w:id="552" w:name="_Toc465358971"/>
    </w:p>
    <w:p w14:paraId="1295AC42">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553" w:name="_Toc7390"/>
      <w:bookmarkStart w:id="554" w:name="_Toc6704"/>
      <w:bookmarkStart w:id="555" w:name="_Toc486167696"/>
      <w:bookmarkStart w:id="556" w:name="_Toc19798"/>
      <w:bookmarkStart w:id="557" w:name="_Toc23672"/>
      <w:bookmarkStart w:id="558" w:name="_Toc195714253"/>
      <w:bookmarkStart w:id="559" w:name="_Toc13303"/>
      <w:bookmarkStart w:id="560" w:name="_Toc142508347"/>
      <w:bookmarkStart w:id="561" w:name="_Toc10867_WPSOffice_Level3"/>
      <w:bookmarkStart w:id="562" w:name="_Toc8654"/>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551"/>
      <w:bookmarkEnd w:id="552"/>
      <w:bookmarkEnd w:id="553"/>
      <w:bookmarkEnd w:id="554"/>
      <w:bookmarkEnd w:id="555"/>
      <w:bookmarkEnd w:id="556"/>
      <w:bookmarkEnd w:id="557"/>
      <w:bookmarkEnd w:id="558"/>
      <w:bookmarkEnd w:id="559"/>
      <w:bookmarkEnd w:id="560"/>
      <w:bookmarkEnd w:id="561"/>
      <w:bookmarkEnd w:id="562"/>
    </w:p>
    <w:p w14:paraId="7EF29E5F">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39B2528C">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563" w:name="_Toc450662880"/>
    </w:p>
    <w:p w14:paraId="0242DBEB">
      <w:pPr>
        <w:keepNext/>
        <w:keepLines/>
        <w:autoSpaceDE w:val="0"/>
        <w:autoSpaceDN w:val="0"/>
        <w:adjustRightInd w:val="0"/>
        <w:spacing w:line="360" w:lineRule="auto"/>
        <w:jc w:val="left"/>
        <w:outlineLvl w:val="1"/>
        <w:rPr>
          <w:rFonts w:ascii="宋体" w:hAnsi="宋体" w:eastAsia="宋体" w:cs="宋体"/>
          <w:b/>
          <w:bCs/>
          <w:color w:val="auto"/>
          <w:kern w:val="44"/>
          <w:szCs w:val="21"/>
          <w:highlight w:val="none"/>
          <w:lang w:val="zh-CN"/>
        </w:rPr>
      </w:pPr>
      <w:bookmarkStart w:id="564" w:name="_Toc11915"/>
      <w:bookmarkStart w:id="565" w:name="_Toc27936"/>
      <w:bookmarkStart w:id="566" w:name="_Toc142508348"/>
      <w:bookmarkStart w:id="567" w:name="_Toc25011"/>
      <w:bookmarkStart w:id="568" w:name="_Toc16848_WPSOffice_Level2"/>
      <w:bookmarkStart w:id="569" w:name="_Toc31130"/>
      <w:bookmarkStart w:id="570" w:name="_Toc16789"/>
      <w:bookmarkStart w:id="571" w:name="_Toc486167697"/>
      <w:bookmarkStart w:id="572" w:name="_Toc195714254"/>
      <w:bookmarkStart w:id="573" w:name="_Toc16147"/>
      <w:bookmarkStart w:id="574" w:name="_Toc140596907"/>
      <w:r>
        <w:rPr>
          <w:rFonts w:hint="eastAsia" w:ascii="宋体" w:hAnsi="宋体" w:eastAsia="宋体" w:cs="宋体"/>
          <w:b/>
          <w:bCs/>
          <w:color w:val="auto"/>
          <w:kern w:val="44"/>
          <w:szCs w:val="21"/>
          <w:highlight w:val="none"/>
          <w:lang w:val="zh-CN"/>
        </w:rPr>
        <w:t>六、授予合同</w:t>
      </w:r>
      <w:bookmarkEnd w:id="563"/>
      <w:bookmarkEnd w:id="564"/>
      <w:bookmarkEnd w:id="565"/>
      <w:bookmarkEnd w:id="566"/>
      <w:bookmarkEnd w:id="567"/>
      <w:bookmarkEnd w:id="568"/>
      <w:bookmarkEnd w:id="569"/>
      <w:bookmarkEnd w:id="570"/>
      <w:bookmarkEnd w:id="571"/>
      <w:bookmarkEnd w:id="572"/>
      <w:bookmarkEnd w:id="573"/>
      <w:bookmarkEnd w:id="574"/>
    </w:p>
    <w:p w14:paraId="7634AB8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75" w:name="_Toc486167698"/>
      <w:bookmarkStart w:id="576" w:name="_Toc9884"/>
      <w:bookmarkStart w:id="577" w:name="_Toc450662881"/>
      <w:bookmarkStart w:id="578" w:name="_Toc195714255"/>
      <w:bookmarkStart w:id="579" w:name="_Toc31713"/>
      <w:bookmarkStart w:id="580" w:name="_Toc14272"/>
      <w:bookmarkStart w:id="581" w:name="_Toc8164"/>
      <w:bookmarkStart w:id="582" w:name="_Toc29383"/>
      <w:bookmarkStart w:id="583" w:name="_Toc6401_WPSOffice_Level3"/>
      <w:bookmarkStart w:id="584" w:name="_Toc15958"/>
      <w:bookmarkStart w:id="585" w:name="_Toc142508349"/>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575"/>
      <w:bookmarkEnd w:id="576"/>
      <w:bookmarkEnd w:id="577"/>
      <w:bookmarkEnd w:id="578"/>
      <w:bookmarkEnd w:id="579"/>
      <w:bookmarkEnd w:id="580"/>
      <w:bookmarkEnd w:id="581"/>
      <w:bookmarkEnd w:id="582"/>
      <w:bookmarkEnd w:id="583"/>
      <w:bookmarkEnd w:id="584"/>
      <w:bookmarkEnd w:id="585"/>
    </w:p>
    <w:p w14:paraId="13C50D5F">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303DC50">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A07C6E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Cs/>
          <w:color w:val="auto"/>
          <w:kern w:val="0"/>
          <w:szCs w:val="21"/>
          <w:highlight w:val="none"/>
        </w:rPr>
        <w:t>。</w:t>
      </w:r>
    </w:p>
    <w:p w14:paraId="5EAE5FF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86" w:name="_Toc450662885"/>
    </w:p>
    <w:p w14:paraId="136217EF">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87" w:name="_Toc142508350"/>
      <w:bookmarkStart w:id="588" w:name="_Toc18984"/>
      <w:bookmarkStart w:id="589" w:name="_Toc195714256"/>
      <w:bookmarkStart w:id="590" w:name="_Toc31229"/>
      <w:bookmarkStart w:id="591" w:name="_Toc19650"/>
      <w:bookmarkStart w:id="592" w:name="_Toc6726_WPSOffice_Level3"/>
      <w:bookmarkStart w:id="593" w:name="_Toc13906"/>
      <w:bookmarkStart w:id="594" w:name="_Toc8196"/>
      <w:bookmarkStart w:id="595" w:name="_Toc486167699"/>
      <w:bookmarkStart w:id="596" w:name="_Toc6265"/>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586"/>
      <w:bookmarkEnd w:id="587"/>
      <w:bookmarkEnd w:id="588"/>
      <w:bookmarkEnd w:id="589"/>
      <w:bookmarkEnd w:id="590"/>
      <w:bookmarkEnd w:id="591"/>
      <w:bookmarkEnd w:id="592"/>
      <w:bookmarkEnd w:id="593"/>
      <w:bookmarkEnd w:id="594"/>
      <w:bookmarkEnd w:id="595"/>
      <w:bookmarkEnd w:id="596"/>
    </w:p>
    <w:p w14:paraId="027B63A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597"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1AC671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5F4F073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20806E5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98" w:name="_Toc19127"/>
      <w:bookmarkStart w:id="599" w:name="_Toc195714257"/>
      <w:bookmarkStart w:id="600" w:name="_Toc142508351"/>
      <w:bookmarkStart w:id="601" w:name="_Toc13861"/>
      <w:bookmarkStart w:id="602" w:name="_Toc9694_WPSOffice_Level3"/>
      <w:bookmarkStart w:id="603" w:name="_Toc27020"/>
      <w:bookmarkStart w:id="604" w:name="_Toc4722"/>
      <w:bookmarkStart w:id="605" w:name="_Toc20648"/>
      <w:bookmarkStart w:id="606" w:name="_Toc486167700"/>
      <w:bookmarkStart w:id="607" w:name="_Toc2802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597"/>
      <w:bookmarkEnd w:id="598"/>
      <w:bookmarkEnd w:id="599"/>
      <w:bookmarkEnd w:id="600"/>
      <w:bookmarkEnd w:id="601"/>
      <w:bookmarkEnd w:id="602"/>
      <w:bookmarkEnd w:id="603"/>
      <w:bookmarkEnd w:id="604"/>
      <w:bookmarkEnd w:id="605"/>
      <w:bookmarkEnd w:id="606"/>
      <w:bookmarkEnd w:id="607"/>
    </w:p>
    <w:p w14:paraId="261FCFA8">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10BA621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2 </w:t>
      </w:r>
      <w:r>
        <w:rPr>
          <w:rFonts w:hint="eastAsia" w:ascii="宋体" w:hAnsi="宋体" w:eastAsia="宋体" w:cs="宋体"/>
          <w:b/>
          <w:bCs/>
          <w:color w:val="auto"/>
          <w:szCs w:val="21"/>
          <w:highlight w:val="none"/>
          <w:u w:val="single"/>
        </w:rPr>
        <w:t>按</w:t>
      </w:r>
      <w:r>
        <w:rPr>
          <w:rFonts w:hint="eastAsia" w:ascii="宋体" w:hAnsi="宋体" w:eastAsia="宋体" w:cs="宋体"/>
          <w:b/>
          <w:bCs/>
          <w:color w:val="auto"/>
          <w:highlight w:val="none"/>
          <w:u w:val="single"/>
        </w:rPr>
        <w:t>暂定</w:t>
      </w:r>
      <w:r>
        <w:rPr>
          <w:rFonts w:hint="eastAsia" w:ascii="宋体" w:hAnsi="宋体" w:eastAsia="宋体" w:cs="宋体"/>
          <w:b/>
          <w:bCs/>
          <w:color w:val="auto"/>
          <w:szCs w:val="21"/>
          <w:highlight w:val="none"/>
          <w:u w:val="single"/>
        </w:rPr>
        <w:t>不含税总价计算不含税</w:t>
      </w:r>
      <w:r>
        <w:rPr>
          <w:rFonts w:hint="eastAsia" w:ascii="宋体" w:hAnsi="宋体" w:eastAsia="宋体" w:cs="宋体"/>
          <w:b/>
          <w:bCs/>
          <w:color w:val="auto"/>
          <w:kern w:val="0"/>
          <w:szCs w:val="21"/>
          <w:highlight w:val="none"/>
          <w:u w:val="single"/>
        </w:rPr>
        <w:t>固定每瓦单价，计算公式</w:t>
      </w:r>
      <w:r>
        <w:rPr>
          <w:rFonts w:hint="eastAsia" w:ascii="宋体" w:hAnsi="宋体" w:eastAsia="宋体" w:cs="宋体"/>
          <w:b/>
          <w:bCs/>
          <w:color w:val="auto"/>
          <w:szCs w:val="21"/>
          <w:highlight w:val="none"/>
          <w:u w:val="single"/>
          <w:lang w:val="zh-CN"/>
        </w:rPr>
        <w:t>：</w:t>
      </w:r>
      <w:bookmarkStart w:id="608" w:name="OLE_LINK382"/>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kern w:val="0"/>
          <w:szCs w:val="21"/>
          <w:highlight w:val="none"/>
          <w:u w:val="single"/>
        </w:rPr>
        <w:t>固定每瓦单价=暂定不含税总价（即中标人的投标报价）÷用户需求书约定的暂定总装机容量（计算的单价按四舍五入保留小数点后3位小数）</w:t>
      </w:r>
      <w:bookmarkEnd w:id="608"/>
      <w:r>
        <w:rPr>
          <w:rFonts w:hint="eastAsia" w:ascii="宋体" w:hAnsi="宋体" w:eastAsia="宋体" w:cs="宋体"/>
          <w:color w:val="auto"/>
          <w:kern w:val="0"/>
          <w:szCs w:val="21"/>
          <w:highlight w:val="none"/>
        </w:rPr>
        <w:t>。</w:t>
      </w:r>
    </w:p>
    <w:p w14:paraId="373628E5">
      <w:pPr>
        <w:autoSpaceDE w:val="0"/>
        <w:autoSpaceDN w:val="0"/>
        <w:adjustRightInd w:val="0"/>
        <w:snapToGrid w:val="0"/>
        <w:spacing w:line="360" w:lineRule="auto"/>
        <w:ind w:left="315" w:leftChars="100" w:hanging="105" w:hangingChars="50"/>
        <w:jc w:val="left"/>
        <w:rPr>
          <w:rFonts w:ascii="宋体" w:hAnsi="宋体" w:eastAsia="宋体" w:cs="宋体"/>
          <w:color w:val="auto"/>
          <w:szCs w:val="21"/>
          <w:highlight w:val="none"/>
          <w:lang w:val="zh-CN"/>
        </w:rPr>
      </w:pPr>
    </w:p>
    <w:p w14:paraId="3B38575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09" w:name="_Toc5304"/>
      <w:bookmarkStart w:id="610" w:name="_Toc486167701"/>
      <w:bookmarkStart w:id="611" w:name="_Toc20036"/>
      <w:bookmarkStart w:id="612" w:name="_Toc23798"/>
      <w:bookmarkStart w:id="613" w:name="_Toc142508352"/>
      <w:bookmarkStart w:id="614" w:name="_Toc8181"/>
      <w:bookmarkStart w:id="615" w:name="_Toc10513_WPSOffice_Level3"/>
      <w:bookmarkStart w:id="616" w:name="_Toc195714258"/>
      <w:bookmarkStart w:id="617" w:name="_Toc10371"/>
      <w:bookmarkStart w:id="618" w:name="_Toc30380"/>
      <w:bookmarkStart w:id="619" w:name="_Toc450662887"/>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609"/>
      <w:bookmarkEnd w:id="610"/>
      <w:bookmarkEnd w:id="611"/>
      <w:bookmarkEnd w:id="612"/>
      <w:bookmarkEnd w:id="613"/>
      <w:bookmarkEnd w:id="614"/>
      <w:bookmarkEnd w:id="615"/>
      <w:bookmarkEnd w:id="616"/>
      <w:bookmarkEnd w:id="617"/>
      <w:bookmarkEnd w:id="618"/>
      <w:bookmarkEnd w:id="619"/>
    </w:p>
    <w:p w14:paraId="6FA324C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620" w:name="_Toc466882025"/>
      <w:bookmarkStart w:id="621" w:name="_Toc465358977"/>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其中，采用履约保证金（银行转账形式）的金额为暂定</w:t>
      </w:r>
      <w:r>
        <w:rPr>
          <w:rFonts w:hint="eastAsia" w:ascii="宋体" w:hAnsi="宋体" w:eastAsia="宋体" w:cs="宋体"/>
          <w:b/>
          <w:bCs/>
          <w:color w:val="auto"/>
          <w:szCs w:val="21"/>
          <w:highlight w:val="none"/>
          <w:u w:val="single"/>
        </w:rPr>
        <w:t>不含税总</w:t>
      </w:r>
      <w:r>
        <w:rPr>
          <w:rFonts w:hint="eastAsia" w:ascii="宋体" w:hAnsi="宋体" w:eastAsia="宋体" w:cs="宋体"/>
          <w:b/>
          <w:bCs/>
          <w:color w:val="auto"/>
          <w:szCs w:val="21"/>
          <w:highlight w:val="none"/>
          <w:u w:val="single"/>
          <w:lang w:val="zh-CN"/>
        </w:rPr>
        <w:t>价的5%，采用不可撤销银行履约保函形式的金额为暂定</w:t>
      </w:r>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szCs w:val="21"/>
          <w:highlight w:val="none"/>
          <w:u w:val="single"/>
          <w:lang w:val="zh-CN"/>
        </w:rPr>
        <w:t>总价的8%，采用</w:t>
      </w:r>
      <w:r>
        <w:rPr>
          <w:rFonts w:hint="eastAsia" w:ascii="宋体" w:hAnsi="宋体" w:eastAsia="宋体" w:cs="宋体"/>
          <w:b/>
          <w:bCs/>
          <w:color w:val="auto"/>
          <w:szCs w:val="21"/>
          <w:highlight w:val="none"/>
          <w:u w:val="single"/>
        </w:rPr>
        <w:t>履约保证保险</w:t>
      </w:r>
      <w:r>
        <w:rPr>
          <w:rFonts w:hint="eastAsia" w:ascii="宋体" w:hAnsi="宋体" w:eastAsia="宋体" w:cs="宋体"/>
          <w:b/>
          <w:bCs/>
          <w:color w:val="auto"/>
          <w:szCs w:val="21"/>
          <w:highlight w:val="none"/>
          <w:u w:val="single"/>
          <w:lang w:val="zh-CN"/>
        </w:rPr>
        <w:t>形式的金额为暂定</w:t>
      </w:r>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szCs w:val="21"/>
          <w:highlight w:val="none"/>
          <w:u w:val="single"/>
          <w:lang w:val="zh-CN"/>
        </w:rPr>
        <w:t>总价的8%，采用担保公司履约担保书形式的金额为暂定</w:t>
      </w:r>
      <w:r>
        <w:rPr>
          <w:rFonts w:hint="eastAsia" w:ascii="宋体" w:hAnsi="宋体" w:eastAsia="宋体" w:cs="宋体"/>
          <w:b/>
          <w:bCs/>
          <w:color w:val="auto"/>
          <w:szCs w:val="21"/>
          <w:highlight w:val="none"/>
          <w:u w:val="single"/>
        </w:rPr>
        <w:t>不含税</w:t>
      </w:r>
      <w:r>
        <w:rPr>
          <w:rFonts w:hint="eastAsia" w:ascii="宋体" w:hAnsi="宋体" w:eastAsia="宋体" w:cs="宋体"/>
          <w:b/>
          <w:bCs/>
          <w:color w:val="auto"/>
          <w:szCs w:val="21"/>
          <w:highlight w:val="none"/>
          <w:u w:val="single"/>
          <w:lang w:val="zh-CN"/>
        </w:rPr>
        <w:t>总价的10%</w:t>
      </w:r>
      <w:bookmarkStart w:id="622" w:name="OLE_LINK387"/>
      <w:r>
        <w:rPr>
          <w:rFonts w:hint="eastAsia" w:ascii="宋体" w:hAnsi="宋体" w:eastAsia="宋体" w:cs="宋体"/>
          <w:b/>
          <w:bCs/>
          <w:color w:val="auto"/>
          <w:szCs w:val="21"/>
          <w:highlight w:val="none"/>
          <w:u w:val="single"/>
          <w:lang w:val="zh-CN"/>
        </w:rPr>
        <w:t>。</w:t>
      </w:r>
      <w:bookmarkEnd w:id="622"/>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给招标人造成的损失超过履约担保数额的，中标人还应当对超过部分予以赔偿，招标人并依法追究中标人的相应责任。</w:t>
      </w:r>
    </w:p>
    <w:p w14:paraId="1AB9E69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履约担保用于补偿招标人因中标人不能完全履行其合同义务而蒙受的损失或其他合同约定的事项。如发生下列任一情况时，招标人有权依合同追究违约责任外，同时有权提取履约担保并进行相应处理：</w:t>
      </w:r>
    </w:p>
    <w:p w14:paraId="509D9EB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w:t>
      </w:r>
      <w:r>
        <w:rPr>
          <w:rFonts w:hint="eastAsia" w:ascii="宋体" w:hAnsi="宋体" w:eastAsia="宋体" w:cs="宋体"/>
          <w:color w:val="auto"/>
          <w:szCs w:val="21"/>
          <w:highlight w:val="none"/>
        </w:rPr>
        <w:t>。</w:t>
      </w:r>
    </w:p>
    <w:p w14:paraId="3869DFD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（2）在合同履行期间，</w:t>
      </w:r>
      <w:r>
        <w:rPr>
          <w:rFonts w:hint="eastAsia" w:ascii="宋体" w:hAnsi="宋体" w:eastAsia="宋体" w:cs="宋体"/>
          <w:color w:val="auto"/>
          <w:szCs w:val="21"/>
          <w:highlight w:val="none"/>
        </w:rPr>
        <w:t>中标人</w:t>
      </w:r>
      <w:r>
        <w:rPr>
          <w:rFonts w:hint="eastAsia" w:ascii="宋体" w:hAnsi="宋体" w:eastAsia="宋体" w:cs="宋体"/>
          <w:color w:val="auto"/>
          <w:kern w:val="0"/>
          <w:szCs w:val="21"/>
          <w:highlight w:val="none"/>
        </w:rPr>
        <w:t>怠于履行合同义务，经</w:t>
      </w:r>
      <w:r>
        <w:rPr>
          <w:rFonts w:hint="eastAsia" w:ascii="宋体" w:hAnsi="宋体" w:eastAsia="宋体" w:cs="宋体"/>
          <w:color w:val="auto"/>
          <w:szCs w:val="21"/>
          <w:highlight w:val="none"/>
        </w:rPr>
        <w:t>招标人</w:t>
      </w:r>
      <w:r>
        <w:rPr>
          <w:rFonts w:hint="eastAsia" w:ascii="宋体" w:hAnsi="宋体" w:eastAsia="宋体" w:cs="宋体"/>
          <w:color w:val="auto"/>
          <w:kern w:val="0"/>
          <w:szCs w:val="21"/>
          <w:highlight w:val="none"/>
        </w:rPr>
        <w:t>通知或要求限期整改后，</w:t>
      </w:r>
      <w:r>
        <w:rPr>
          <w:rFonts w:hint="eastAsia" w:ascii="宋体" w:hAnsi="宋体" w:eastAsia="宋体" w:cs="宋体"/>
          <w:color w:val="auto"/>
          <w:szCs w:val="21"/>
          <w:highlight w:val="none"/>
        </w:rPr>
        <w:t>中标人</w:t>
      </w:r>
      <w:r>
        <w:rPr>
          <w:rFonts w:hint="eastAsia" w:ascii="宋体" w:hAnsi="宋体" w:eastAsia="宋体" w:cs="宋体"/>
          <w:color w:val="auto"/>
          <w:kern w:val="0"/>
          <w:szCs w:val="21"/>
          <w:highlight w:val="none"/>
        </w:rPr>
        <w:t>仍拒不改正的，</w:t>
      </w:r>
      <w:r>
        <w:rPr>
          <w:rFonts w:hint="eastAsia" w:ascii="宋体" w:hAnsi="宋体" w:eastAsia="宋体" w:cs="宋体"/>
          <w:color w:val="auto"/>
          <w:szCs w:val="21"/>
          <w:highlight w:val="none"/>
        </w:rPr>
        <w:t>招标人</w:t>
      </w:r>
      <w:r>
        <w:rPr>
          <w:rFonts w:hint="eastAsia" w:ascii="宋体" w:hAnsi="宋体" w:eastAsia="宋体" w:cs="宋体"/>
          <w:color w:val="auto"/>
          <w:kern w:val="0"/>
          <w:szCs w:val="21"/>
          <w:highlight w:val="none"/>
        </w:rPr>
        <w:t>有权没收其履约担保。</w:t>
      </w:r>
    </w:p>
    <w:p w14:paraId="0D0A571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（3）在合同履行期间，因</w:t>
      </w:r>
      <w:r>
        <w:rPr>
          <w:rFonts w:hint="eastAsia" w:ascii="宋体" w:hAnsi="宋体" w:eastAsia="宋体" w:cs="宋体"/>
          <w:color w:val="auto"/>
          <w:szCs w:val="21"/>
          <w:highlight w:val="none"/>
        </w:rPr>
        <w:t>中标人</w:t>
      </w:r>
      <w:r>
        <w:rPr>
          <w:rFonts w:hint="eastAsia" w:ascii="宋体" w:hAnsi="宋体" w:eastAsia="宋体" w:cs="宋体"/>
          <w:color w:val="auto"/>
          <w:kern w:val="0"/>
          <w:szCs w:val="21"/>
          <w:highlight w:val="none"/>
        </w:rPr>
        <w:t>货物、运营维护服务质量问题造成损害、侵权损失（包括但不限于</w:t>
      </w:r>
      <w:r>
        <w:rPr>
          <w:rFonts w:hint="eastAsia" w:ascii="宋体" w:hAnsi="宋体" w:eastAsia="宋体" w:cs="宋体"/>
          <w:color w:val="auto"/>
          <w:szCs w:val="21"/>
          <w:highlight w:val="none"/>
        </w:rPr>
        <w:t>招标人</w:t>
      </w:r>
      <w:r>
        <w:rPr>
          <w:rFonts w:hint="eastAsia" w:ascii="宋体" w:hAnsi="宋体" w:eastAsia="宋体" w:cs="宋体"/>
          <w:color w:val="auto"/>
          <w:kern w:val="0"/>
          <w:szCs w:val="21"/>
          <w:highlight w:val="none"/>
        </w:rPr>
        <w:t>（含其人员）经济损失、</w:t>
      </w:r>
      <w:r>
        <w:rPr>
          <w:rFonts w:hint="eastAsia" w:ascii="宋体" w:hAnsi="宋体" w:eastAsia="宋体" w:cs="宋体"/>
          <w:color w:val="auto"/>
          <w:szCs w:val="21"/>
          <w:highlight w:val="none"/>
        </w:rPr>
        <w:t>中标人</w:t>
      </w:r>
      <w:r>
        <w:rPr>
          <w:rFonts w:hint="eastAsia" w:ascii="宋体" w:hAnsi="宋体" w:eastAsia="宋体" w:cs="宋体"/>
          <w:color w:val="auto"/>
          <w:kern w:val="0"/>
          <w:szCs w:val="21"/>
          <w:highlight w:val="none"/>
        </w:rPr>
        <w:t>所雇人员及第三人人身财产损失等）、拖欠供应商货款或与其所雇用员工发生劳资纠纷、上访、闹事或其他影响</w:t>
      </w:r>
      <w:r>
        <w:rPr>
          <w:rFonts w:hint="eastAsia" w:ascii="宋体" w:hAnsi="宋体" w:eastAsia="宋体" w:cs="宋体"/>
          <w:color w:val="auto"/>
          <w:szCs w:val="21"/>
          <w:highlight w:val="none"/>
        </w:rPr>
        <w:t>招标人</w:t>
      </w:r>
      <w:r>
        <w:rPr>
          <w:rFonts w:hint="eastAsia" w:ascii="宋体" w:hAnsi="宋体" w:eastAsia="宋体" w:cs="宋体"/>
          <w:color w:val="auto"/>
          <w:kern w:val="0"/>
          <w:szCs w:val="21"/>
          <w:highlight w:val="none"/>
        </w:rPr>
        <w:t>生产经营等情况而其未及时妥善处理的，</w:t>
      </w:r>
      <w:r>
        <w:rPr>
          <w:rFonts w:hint="eastAsia" w:ascii="宋体" w:hAnsi="宋体" w:eastAsia="宋体" w:cs="宋体"/>
          <w:color w:val="auto"/>
          <w:szCs w:val="21"/>
          <w:highlight w:val="none"/>
        </w:rPr>
        <w:t>招标人</w:t>
      </w:r>
      <w:r>
        <w:rPr>
          <w:rFonts w:hint="eastAsia" w:ascii="宋体" w:hAnsi="宋体" w:eastAsia="宋体" w:cs="宋体"/>
          <w:color w:val="auto"/>
          <w:kern w:val="0"/>
          <w:szCs w:val="21"/>
          <w:highlight w:val="none"/>
        </w:rPr>
        <w:t>有权使用履约担保予以支付或作出相应处理，由此产生的一切法律后果由</w:t>
      </w:r>
      <w:r>
        <w:rPr>
          <w:rFonts w:hint="eastAsia" w:ascii="宋体" w:hAnsi="宋体" w:eastAsia="宋体" w:cs="宋体"/>
          <w:color w:val="auto"/>
          <w:szCs w:val="21"/>
          <w:highlight w:val="none"/>
        </w:rPr>
        <w:t>中标人</w:t>
      </w:r>
      <w:r>
        <w:rPr>
          <w:rFonts w:hint="eastAsia" w:ascii="宋体" w:hAnsi="宋体" w:eastAsia="宋体" w:cs="宋体"/>
          <w:color w:val="auto"/>
          <w:kern w:val="0"/>
          <w:szCs w:val="21"/>
          <w:highlight w:val="none"/>
        </w:rPr>
        <w:t>承担。</w:t>
      </w:r>
    </w:p>
    <w:p w14:paraId="2F0135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（4）在合同履行期间，中标人违约产生的违约金、赔偿、罚款或其他应付费用等款项，招标人有权直接从未付款项中直接扣除或启用履约担保予以支付。</w:t>
      </w:r>
    </w:p>
    <w:p w14:paraId="077EA2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（5）合同期内，中标人不能及时完成合同某项义务的，招标人有权提取履约担保用于处理该项工作。</w:t>
      </w:r>
    </w:p>
    <w:p w14:paraId="7997C95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（6）其他根据本合同约定或法律规定，招标人可启用履约担保的情形。</w:t>
      </w:r>
    </w:p>
    <w:p w14:paraId="4CE9B45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623" w:name="_Toc4689"/>
      <w:bookmarkStart w:id="624" w:name="_Toc1901"/>
      <w:bookmarkStart w:id="625" w:name="_Toc5"/>
      <w:r>
        <w:rPr>
          <w:rFonts w:hint="eastAsia" w:ascii="宋体" w:hAnsi="宋体" w:eastAsia="宋体" w:cs="宋体"/>
          <w:color w:val="auto"/>
          <w:kern w:val="0"/>
          <w:szCs w:val="21"/>
          <w:highlight w:val="none"/>
        </w:rPr>
        <w:t>37.3  履约担保应符合如下规定：</w:t>
      </w:r>
      <w:bookmarkEnd w:id="623"/>
      <w:bookmarkEnd w:id="624"/>
      <w:bookmarkEnd w:id="625"/>
    </w:p>
    <w:p w14:paraId="0258D8C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03881C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3E1D1D9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3BA0813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供的，招标人有权要求中标人支付30万元违约金，违约金招标人可直接从未付款项中扣除。</w:t>
      </w:r>
    </w:p>
    <w:p w14:paraId="7D1D351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15日内予以补足。逾期不予补足的，招标人有权按需补足的金额要求中标人承担违约金，并要求限期补足。如中标人仍不补足的，招标人有权要求中标人支付30万元违约金，并有权单方解除合同。</w:t>
      </w:r>
    </w:p>
    <w:p w14:paraId="619A0D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（6）不可撤销银行履约保函（或履约保证保险或担保公司履约担保书）应自合同签订之日起至运维期结束且中标人按合同约定完成运维期届满前的全部义务后二十八（28）日内保持有效。</w:t>
      </w:r>
    </w:p>
    <w:p w14:paraId="3625825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bookmarkStart w:id="626" w:name="_Toc62"/>
      <w:bookmarkStart w:id="627" w:name="_Toc2648"/>
      <w:bookmarkStart w:id="628" w:name="_Toc32006"/>
      <w:r>
        <w:rPr>
          <w:rFonts w:hint="eastAsia" w:ascii="宋体" w:hAnsi="宋体" w:eastAsia="宋体" w:cs="宋体"/>
          <w:color w:val="auto"/>
          <w:kern w:val="0"/>
          <w:szCs w:val="21"/>
          <w:highlight w:val="none"/>
        </w:rPr>
        <w:t>37.4  履约保证金应用本合同货币。</w:t>
      </w:r>
      <w:bookmarkEnd w:id="626"/>
      <w:bookmarkEnd w:id="627"/>
      <w:bookmarkEnd w:id="628"/>
    </w:p>
    <w:p w14:paraId="3CCF3FB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0572681">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bookmarkStart w:id="629" w:name="_Toc10932"/>
      <w:bookmarkStart w:id="630" w:name="_Toc24436"/>
      <w:bookmarkStart w:id="631" w:name="_Toc22893"/>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629"/>
      <w:bookmarkEnd w:id="630"/>
      <w:bookmarkEnd w:id="631"/>
    </w:p>
    <w:p w14:paraId="05C90CB6">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开户名称：东莞市水务集团科技发展有限公司</w:t>
      </w:r>
    </w:p>
    <w:p w14:paraId="047383A4">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银行账号：2010021309200593250</w:t>
      </w:r>
    </w:p>
    <w:p w14:paraId="14CD7BC3">
      <w:pPr>
        <w:autoSpaceDE w:val="0"/>
        <w:autoSpaceDN w:val="0"/>
        <w:adjustRightInd w:val="0"/>
        <w:snapToGri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w:t>
      </w:r>
      <w:bookmarkStart w:id="632" w:name="OLE_LINK393"/>
      <w:r>
        <w:rPr>
          <w:rFonts w:hint="eastAsia" w:ascii="宋体" w:hAnsi="宋体" w:eastAsia="宋体" w:cs="宋体"/>
          <w:b/>
          <w:color w:val="auto"/>
          <w:kern w:val="0"/>
          <w:szCs w:val="21"/>
          <w:highlight w:val="none"/>
        </w:rPr>
        <w:t>中国工商银行东莞分行</w:t>
      </w:r>
      <w:bookmarkEnd w:id="632"/>
    </w:p>
    <w:p w14:paraId="5FE83F9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人将履约保证金的汇款凭证用A4纸复印件（</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履约保函一式两份复印件上</w:t>
      </w:r>
      <w:r>
        <w:rPr>
          <w:rFonts w:hint="eastAsia" w:ascii="宋体" w:hAnsi="宋体" w:eastAsia="宋体" w:cs="宋体"/>
          <w:color w:val="auto"/>
          <w:szCs w:val="21"/>
          <w:highlight w:val="none"/>
          <w:lang w:val="zh-CN"/>
        </w:rPr>
        <w:t>注明“原件已收”及签收人、日期后，中标人在每份复印件上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5510754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在运维期结束且中标人按合同约定完成运维期届满前的全部义务后，经招标人确认，中标人可向招标人提交退回履约担保的申请。招标人审核无异议后，办理履约担保退还手续，退回时一律以银行转账的形式无息退回到中标人的账户。</w:t>
      </w:r>
    </w:p>
    <w:p w14:paraId="27C9BF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BB6C8E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33" w:name="_Toc486167702"/>
      <w:bookmarkStart w:id="634" w:name="_Toc142508353"/>
      <w:bookmarkStart w:id="635" w:name="_Toc31651"/>
      <w:bookmarkStart w:id="636" w:name="_Toc10548"/>
      <w:bookmarkStart w:id="637" w:name="_Toc3311"/>
      <w:bookmarkStart w:id="638" w:name="_Toc17443"/>
      <w:bookmarkStart w:id="639" w:name="_Toc28138"/>
      <w:bookmarkStart w:id="640" w:name="_Toc195714259"/>
      <w:bookmarkStart w:id="641" w:name="_Toc2716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620"/>
      <w:bookmarkEnd w:id="621"/>
      <w:bookmarkEnd w:id="633"/>
      <w:bookmarkEnd w:id="634"/>
      <w:bookmarkEnd w:id="635"/>
      <w:bookmarkEnd w:id="636"/>
      <w:bookmarkEnd w:id="637"/>
      <w:bookmarkEnd w:id="638"/>
      <w:bookmarkEnd w:id="639"/>
      <w:bookmarkEnd w:id="640"/>
      <w:bookmarkEnd w:id="641"/>
    </w:p>
    <w:p w14:paraId="0B56B652">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6F335C9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642" w:name="_Toc450662888"/>
    </w:p>
    <w:p w14:paraId="328185A7">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43" w:name="_Toc28921_WPSOffice_Level3"/>
      <w:bookmarkStart w:id="644" w:name="_Toc2401"/>
      <w:bookmarkStart w:id="645" w:name="_Toc26963"/>
      <w:bookmarkStart w:id="646" w:name="_Toc6262"/>
      <w:bookmarkStart w:id="647" w:name="_Toc195714260"/>
      <w:bookmarkStart w:id="648" w:name="_Toc1997"/>
      <w:bookmarkStart w:id="649" w:name="_Toc142508354"/>
      <w:bookmarkStart w:id="650" w:name="_Toc14850"/>
      <w:bookmarkStart w:id="651" w:name="_Toc23218"/>
      <w:bookmarkStart w:id="652" w:name="_Toc486167703"/>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642"/>
      <w:bookmarkEnd w:id="643"/>
      <w:bookmarkEnd w:id="644"/>
      <w:bookmarkEnd w:id="645"/>
      <w:bookmarkEnd w:id="646"/>
      <w:bookmarkEnd w:id="647"/>
      <w:bookmarkEnd w:id="648"/>
      <w:bookmarkEnd w:id="649"/>
      <w:bookmarkEnd w:id="650"/>
      <w:bookmarkEnd w:id="651"/>
      <w:bookmarkEnd w:id="652"/>
    </w:p>
    <w:p w14:paraId="5DF20305">
      <w:pPr>
        <w:widowControl/>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bookmarkStart w:id="653"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不含税总价金额为计费额，按差额定率累进法和下表中的具体的</w:t>
      </w:r>
      <w:r>
        <w:rPr>
          <w:rFonts w:hint="eastAsia" w:ascii="宋体" w:hAnsi="宋体" w:eastAsia="宋体" w:cs="宋体"/>
          <w:color w:val="auto"/>
          <w:szCs w:val="21"/>
          <w:highlight w:val="none"/>
          <w:lang w:val="zh-CN"/>
        </w:rPr>
        <w:t>代理服务收费标准(费率)</w:t>
      </w:r>
      <w:r>
        <w:rPr>
          <w:rFonts w:hint="eastAsia" w:ascii="宋体" w:hAnsi="宋体" w:eastAsia="宋体" w:cs="宋体"/>
          <w:color w:val="auto"/>
          <w:szCs w:val="21"/>
          <w:highlight w:val="none"/>
        </w:rPr>
        <w:t>计费。</w:t>
      </w:r>
    </w:p>
    <w:tbl>
      <w:tblPr>
        <w:tblStyle w:val="46"/>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34"/>
        <w:gridCol w:w="1980"/>
      </w:tblGrid>
      <w:tr w14:paraId="120515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Header/>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40FB6419">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不含税</w:t>
            </w:r>
            <w:r>
              <w:rPr>
                <w:rFonts w:hint="eastAsia" w:ascii="宋体" w:hAnsi="宋体" w:eastAsia="宋体" w:cs="宋体"/>
                <w:color w:val="auto"/>
                <w:szCs w:val="21"/>
                <w:highlight w:val="none"/>
                <w:lang w:val="zh-CN"/>
              </w:rPr>
              <w:t>中标</w:t>
            </w:r>
            <w:r>
              <w:rPr>
                <w:rFonts w:hint="eastAsia" w:ascii="宋体" w:hAnsi="宋体" w:eastAsia="宋体" w:cs="宋体"/>
                <w:color w:val="auto"/>
                <w:szCs w:val="21"/>
                <w:highlight w:val="none"/>
              </w:rPr>
              <w:t>总</w:t>
            </w:r>
            <w:r>
              <w:rPr>
                <w:rFonts w:hint="eastAsia" w:ascii="宋体" w:hAnsi="宋体" w:eastAsia="宋体" w:cs="宋体"/>
                <w:color w:val="auto"/>
                <w:szCs w:val="21"/>
                <w:highlight w:val="none"/>
                <w:lang w:val="zh-CN"/>
              </w:rPr>
              <w:t>金额（万元）</w:t>
            </w:r>
          </w:p>
        </w:tc>
        <w:tc>
          <w:tcPr>
            <w:tcW w:w="1980" w:type="dxa"/>
            <w:tcBorders>
              <w:top w:val="outset" w:color="auto" w:sz="6" w:space="0"/>
              <w:left w:val="outset" w:color="auto" w:sz="6" w:space="0"/>
              <w:bottom w:val="outset" w:color="auto" w:sz="6" w:space="0"/>
              <w:right w:val="outset" w:color="auto" w:sz="6" w:space="0"/>
            </w:tcBorders>
            <w:vAlign w:val="center"/>
          </w:tcPr>
          <w:p w14:paraId="794B9C57">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rPr>
              <w:t>本项目费率</w:t>
            </w:r>
          </w:p>
        </w:tc>
      </w:tr>
      <w:tr w14:paraId="131936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51F2047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100以下</w:t>
            </w:r>
          </w:p>
        </w:tc>
        <w:tc>
          <w:tcPr>
            <w:tcW w:w="1980" w:type="dxa"/>
            <w:tcBorders>
              <w:top w:val="outset" w:color="auto" w:sz="6" w:space="0"/>
              <w:left w:val="outset" w:color="auto" w:sz="6" w:space="0"/>
              <w:bottom w:val="outset" w:color="auto" w:sz="6" w:space="0"/>
              <w:right w:val="outset" w:color="auto" w:sz="6" w:space="0"/>
            </w:tcBorders>
            <w:vAlign w:val="center"/>
          </w:tcPr>
          <w:p w14:paraId="067A3D7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w:t>
            </w:r>
          </w:p>
        </w:tc>
      </w:tr>
      <w:tr w14:paraId="126FBA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229E20A6">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100—500</w:t>
            </w:r>
          </w:p>
        </w:tc>
        <w:tc>
          <w:tcPr>
            <w:tcW w:w="1980" w:type="dxa"/>
            <w:tcBorders>
              <w:top w:val="outset" w:color="auto" w:sz="6" w:space="0"/>
              <w:left w:val="outset" w:color="auto" w:sz="6" w:space="0"/>
              <w:bottom w:val="outset" w:color="auto" w:sz="6" w:space="0"/>
              <w:right w:val="outset" w:color="auto" w:sz="6" w:space="0"/>
            </w:tcBorders>
            <w:vAlign w:val="center"/>
          </w:tcPr>
          <w:p w14:paraId="65204E2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0.7％</w:t>
            </w:r>
          </w:p>
        </w:tc>
      </w:tr>
      <w:tr w14:paraId="1F4623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2C2A825E">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500—1000</w:t>
            </w:r>
          </w:p>
        </w:tc>
        <w:tc>
          <w:tcPr>
            <w:tcW w:w="1980" w:type="dxa"/>
            <w:tcBorders>
              <w:top w:val="outset" w:color="auto" w:sz="6" w:space="0"/>
              <w:left w:val="outset" w:color="auto" w:sz="6" w:space="0"/>
              <w:bottom w:val="outset" w:color="auto" w:sz="6" w:space="0"/>
              <w:right w:val="outset" w:color="auto" w:sz="6" w:space="0"/>
            </w:tcBorders>
            <w:vAlign w:val="center"/>
          </w:tcPr>
          <w:p w14:paraId="38EB65A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0.55％</w:t>
            </w:r>
          </w:p>
        </w:tc>
      </w:tr>
      <w:tr w14:paraId="077D38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3E814E75">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1000—5000</w:t>
            </w:r>
          </w:p>
        </w:tc>
        <w:tc>
          <w:tcPr>
            <w:tcW w:w="1980" w:type="dxa"/>
            <w:tcBorders>
              <w:top w:val="outset" w:color="auto" w:sz="6" w:space="0"/>
              <w:left w:val="outset" w:color="auto" w:sz="6" w:space="0"/>
              <w:bottom w:val="outset" w:color="auto" w:sz="6" w:space="0"/>
              <w:right w:val="outset" w:color="auto" w:sz="6" w:space="0"/>
            </w:tcBorders>
            <w:vAlign w:val="center"/>
          </w:tcPr>
          <w:p w14:paraId="042263E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0.35％</w:t>
            </w:r>
          </w:p>
        </w:tc>
      </w:tr>
      <w:tr w14:paraId="35960C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76B79CF1">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5000—10000</w:t>
            </w:r>
          </w:p>
        </w:tc>
        <w:tc>
          <w:tcPr>
            <w:tcW w:w="1980" w:type="dxa"/>
            <w:tcBorders>
              <w:top w:val="outset" w:color="auto" w:sz="6" w:space="0"/>
              <w:left w:val="outset" w:color="auto" w:sz="6" w:space="0"/>
              <w:bottom w:val="outset" w:color="auto" w:sz="6" w:space="0"/>
              <w:right w:val="outset" w:color="auto" w:sz="6" w:space="0"/>
            </w:tcBorders>
            <w:vAlign w:val="center"/>
          </w:tcPr>
          <w:p w14:paraId="0F9FA58B">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0.2％</w:t>
            </w:r>
          </w:p>
        </w:tc>
      </w:tr>
      <w:tr w14:paraId="556B25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3434" w:type="dxa"/>
            <w:tcBorders>
              <w:top w:val="outset" w:color="auto" w:sz="6" w:space="0"/>
              <w:left w:val="outset" w:color="auto" w:sz="6" w:space="0"/>
              <w:bottom w:val="outset" w:color="auto" w:sz="6" w:space="0"/>
              <w:right w:val="outset" w:color="auto" w:sz="6" w:space="0"/>
            </w:tcBorders>
            <w:vAlign w:val="center"/>
          </w:tcPr>
          <w:p w14:paraId="689A8EF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10000——50000</w:t>
            </w:r>
          </w:p>
        </w:tc>
        <w:tc>
          <w:tcPr>
            <w:tcW w:w="1980" w:type="dxa"/>
            <w:tcBorders>
              <w:top w:val="outset" w:color="auto" w:sz="6" w:space="0"/>
              <w:left w:val="outset" w:color="auto" w:sz="6" w:space="0"/>
              <w:bottom w:val="outset" w:color="auto" w:sz="6" w:space="0"/>
              <w:right w:val="outset" w:color="auto" w:sz="6" w:space="0"/>
            </w:tcBorders>
            <w:vAlign w:val="center"/>
          </w:tcPr>
          <w:p w14:paraId="5314C889">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0.05％</w:t>
            </w:r>
          </w:p>
        </w:tc>
      </w:tr>
    </w:tbl>
    <w:p w14:paraId="7D0A48FA">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例如，某</w:t>
      </w:r>
      <w:r>
        <w:rPr>
          <w:rFonts w:hint="eastAsia" w:ascii="宋体" w:hAnsi="宋体" w:eastAsia="宋体" w:cs="宋体"/>
          <w:color w:val="auto"/>
          <w:szCs w:val="21"/>
          <w:highlight w:val="none"/>
        </w:rPr>
        <w:t>光伏发电项目</w:t>
      </w:r>
      <w:r>
        <w:rPr>
          <w:rFonts w:hint="eastAsia" w:ascii="宋体" w:hAnsi="宋体" w:eastAsia="宋体" w:cs="宋体"/>
          <w:color w:val="auto"/>
          <w:szCs w:val="21"/>
          <w:highlight w:val="none"/>
          <w:lang w:val="zh-CN"/>
        </w:rPr>
        <w:t>招标代理业务中标</w:t>
      </w:r>
      <w:r>
        <w:rPr>
          <w:rFonts w:hint="eastAsia" w:ascii="宋体" w:hAnsi="宋体" w:eastAsia="宋体" w:cs="宋体"/>
          <w:color w:val="auto"/>
          <w:szCs w:val="21"/>
          <w:highlight w:val="none"/>
        </w:rPr>
        <w:t>不含税总价</w:t>
      </w:r>
      <w:r>
        <w:rPr>
          <w:rFonts w:hint="eastAsia" w:ascii="宋体" w:hAnsi="宋体" w:eastAsia="宋体" w:cs="宋体"/>
          <w:color w:val="auto"/>
          <w:szCs w:val="21"/>
          <w:highlight w:val="none"/>
          <w:lang w:val="zh-CN"/>
        </w:rPr>
        <w:t>金额为</w:t>
      </w:r>
      <w:r>
        <w:rPr>
          <w:rFonts w:hint="eastAsia" w:ascii="宋体" w:hAnsi="宋体" w:eastAsia="宋体" w:cs="宋体"/>
          <w:color w:val="auto"/>
          <w:szCs w:val="21"/>
          <w:highlight w:val="none"/>
        </w:rPr>
        <w:t>500</w:t>
      </w:r>
      <w:r>
        <w:rPr>
          <w:rFonts w:hint="eastAsia" w:ascii="宋体" w:hAnsi="宋体" w:eastAsia="宋体" w:cs="宋体"/>
          <w:color w:val="auto"/>
          <w:szCs w:val="21"/>
          <w:highlight w:val="none"/>
          <w:lang w:val="zh-CN"/>
        </w:rPr>
        <w:t>万元，计算</w:t>
      </w:r>
      <w:r>
        <w:rPr>
          <w:rFonts w:hint="eastAsia" w:ascii="宋体" w:hAnsi="宋体" w:eastAsia="宋体" w:cs="宋体"/>
          <w:color w:val="auto"/>
          <w:szCs w:val="21"/>
          <w:highlight w:val="none"/>
        </w:rPr>
        <w:t>中标服务费（</w:t>
      </w:r>
      <w:r>
        <w:rPr>
          <w:rFonts w:hint="eastAsia" w:ascii="宋体" w:hAnsi="宋体" w:eastAsia="宋体" w:cs="宋体"/>
          <w:color w:val="auto"/>
          <w:szCs w:val="21"/>
          <w:highlight w:val="none"/>
          <w:lang w:val="zh-CN"/>
        </w:rPr>
        <w:t>招标代理服务费）</w:t>
      </w:r>
      <w:r>
        <w:rPr>
          <w:rFonts w:hint="eastAsia" w:ascii="宋体" w:hAnsi="宋体" w:eastAsia="宋体" w:cs="宋体"/>
          <w:color w:val="auto"/>
          <w:szCs w:val="21"/>
          <w:highlight w:val="none"/>
        </w:rPr>
        <w:t>金</w:t>
      </w:r>
      <w:r>
        <w:rPr>
          <w:rFonts w:hint="eastAsia" w:ascii="宋体" w:hAnsi="宋体" w:eastAsia="宋体" w:cs="宋体"/>
          <w:color w:val="auto"/>
          <w:szCs w:val="21"/>
          <w:highlight w:val="none"/>
          <w:lang w:val="zh-CN"/>
        </w:rPr>
        <w:t>额如下：</w:t>
      </w:r>
    </w:p>
    <w:p w14:paraId="0E187099">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100万元×1.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万元</w:t>
      </w:r>
    </w:p>
    <w:p w14:paraId="00EC3224">
      <w:pPr>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500</w:t>
      </w:r>
      <w:r>
        <w:rPr>
          <w:rFonts w:hint="eastAsia" w:ascii="宋体" w:hAnsi="宋体" w:eastAsia="宋体" w:cs="宋体"/>
          <w:color w:val="auto"/>
          <w:szCs w:val="21"/>
          <w:highlight w:val="none"/>
          <w:lang w:val="zh-CN"/>
        </w:rPr>
        <w:t>-100）万元×0.</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lang w:val="zh-CN"/>
        </w:rPr>
        <w:t>万元</w:t>
      </w:r>
    </w:p>
    <w:p w14:paraId="1EA0ED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合计标准收费</w:t>
      </w:r>
      <w:r>
        <w:rPr>
          <w:rFonts w:hint="eastAsia" w:ascii="宋体" w:hAnsi="宋体" w:eastAsia="宋体" w:cs="宋体"/>
          <w:color w:val="auto"/>
          <w:szCs w:val="21"/>
          <w:highlight w:val="none"/>
        </w:rPr>
        <w:t>为3.8</w:t>
      </w:r>
      <w:r>
        <w:rPr>
          <w:rFonts w:hint="eastAsia" w:ascii="宋体" w:hAnsi="宋体" w:eastAsia="宋体" w:cs="宋体"/>
          <w:color w:val="auto"/>
          <w:szCs w:val="21"/>
          <w:highlight w:val="none"/>
          <w:lang w:val="zh-CN"/>
        </w:rPr>
        <w:t>万元，</w:t>
      </w:r>
      <w:r>
        <w:rPr>
          <w:rFonts w:hint="eastAsia" w:ascii="宋体" w:hAnsi="宋体" w:eastAsia="宋体" w:cs="宋体"/>
          <w:color w:val="auto"/>
          <w:szCs w:val="21"/>
          <w:highlight w:val="none"/>
        </w:rPr>
        <w:t>本案例对应的中标服务费为3.8</w:t>
      </w:r>
      <w:r>
        <w:rPr>
          <w:rFonts w:hint="eastAsia" w:ascii="宋体" w:hAnsi="宋体" w:eastAsia="宋体" w:cs="宋体"/>
          <w:color w:val="auto"/>
          <w:szCs w:val="21"/>
          <w:highlight w:val="none"/>
          <w:lang w:val="zh-CN"/>
        </w:rPr>
        <w:t>万元×0.</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3.04</w:t>
      </w:r>
      <w:r>
        <w:rPr>
          <w:rFonts w:hint="eastAsia" w:ascii="宋体" w:hAnsi="宋体" w:eastAsia="宋体" w:cs="宋体"/>
          <w:color w:val="auto"/>
          <w:szCs w:val="21"/>
          <w:highlight w:val="none"/>
          <w:lang w:val="zh-CN"/>
        </w:rPr>
        <w:t>万元。</w:t>
      </w:r>
    </w:p>
    <w:p w14:paraId="18980EE6">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51EB69CD">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0134337C">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w:t>
      </w:r>
      <w:r>
        <w:rPr>
          <w:rFonts w:hint="eastAsia" w:ascii="宋体" w:hAnsi="宋体" w:eastAsia="宋体" w:cs="宋体"/>
          <w:b/>
          <w:bCs/>
          <w:color w:val="auto"/>
          <w:szCs w:val="21"/>
          <w:highlight w:val="none"/>
        </w:rPr>
        <w:t>（特别提醒，本账户非投标保证金汇入账户)</w:t>
      </w:r>
      <w:r>
        <w:rPr>
          <w:rFonts w:hint="eastAsia" w:ascii="宋体" w:hAnsi="宋体" w:eastAsia="宋体" w:cs="宋体"/>
          <w:color w:val="auto"/>
          <w:szCs w:val="21"/>
          <w:highlight w:val="none"/>
        </w:rPr>
        <w:t>：</w:t>
      </w:r>
    </w:p>
    <w:p w14:paraId="0BA0D0C4">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开户名称：广州宏达工程顾问集团有限公司东莞分公司</w:t>
      </w:r>
    </w:p>
    <w:p w14:paraId="62B572F3">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银行账号：769911939210000</w:t>
      </w:r>
    </w:p>
    <w:p w14:paraId="5D2A1000">
      <w:pPr>
        <w:autoSpaceDE w:val="0"/>
        <w:autoSpaceDN w:val="0"/>
        <w:adjustRightInd w:val="0"/>
        <w:spacing w:line="360" w:lineRule="auto"/>
        <w:ind w:left="357" w:leftChars="-100" w:hanging="567" w:hangingChars="270"/>
        <w:jc w:val="lef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开户银行：招商银行东莞分行营业部</w:t>
      </w:r>
    </w:p>
    <w:p w14:paraId="246DE868">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4989FC8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5304997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54" w:name="_Toc142508355"/>
      <w:bookmarkStart w:id="655" w:name="_Toc12666"/>
      <w:bookmarkStart w:id="656" w:name="_Toc29055"/>
      <w:bookmarkStart w:id="657" w:name="_Toc31030"/>
      <w:bookmarkStart w:id="658" w:name="_Toc195714261"/>
      <w:bookmarkStart w:id="659" w:name="_Toc26459"/>
      <w:bookmarkStart w:id="660" w:name="_Toc6764_WPSOffice_Level3"/>
      <w:bookmarkStart w:id="661" w:name="_Toc6796"/>
      <w:bookmarkStart w:id="662" w:name="_Toc21985"/>
      <w:bookmarkStart w:id="663" w:name="_Toc486167704"/>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653"/>
      <w:bookmarkEnd w:id="654"/>
      <w:bookmarkEnd w:id="655"/>
      <w:bookmarkEnd w:id="656"/>
      <w:bookmarkEnd w:id="657"/>
      <w:bookmarkEnd w:id="658"/>
      <w:bookmarkEnd w:id="659"/>
      <w:bookmarkEnd w:id="660"/>
      <w:bookmarkEnd w:id="661"/>
      <w:bookmarkEnd w:id="662"/>
      <w:bookmarkEnd w:id="663"/>
    </w:p>
    <w:p w14:paraId="561B227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664" w:name="_Toc486167705"/>
      <w:bookmarkStart w:id="665" w:name="_Toc31106_WPSOffice_Level3"/>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p>
    <w:p w14:paraId="3C7D227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484FAF39">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66" w:name="_Toc31948"/>
      <w:bookmarkStart w:id="667" w:name="_Toc23953"/>
      <w:bookmarkStart w:id="668" w:name="_Toc195714262"/>
      <w:bookmarkStart w:id="669" w:name="_Toc26433"/>
      <w:bookmarkStart w:id="670" w:name="_Toc24547"/>
      <w:bookmarkStart w:id="671" w:name="_Toc8619"/>
      <w:bookmarkStart w:id="672" w:name="_Toc142508356"/>
      <w:bookmarkStart w:id="673" w:name="_Toc10243"/>
      <w:r>
        <w:rPr>
          <w:rFonts w:hint="eastAsia" w:ascii="宋体" w:hAnsi="宋体" w:eastAsia="宋体" w:cs="宋体"/>
          <w:b/>
          <w:color w:val="auto"/>
          <w:szCs w:val="21"/>
          <w:highlight w:val="none"/>
        </w:rPr>
        <w:t>41 招标相关补充约定</w:t>
      </w:r>
      <w:bookmarkEnd w:id="666"/>
      <w:bookmarkEnd w:id="667"/>
      <w:bookmarkEnd w:id="668"/>
      <w:bookmarkEnd w:id="669"/>
      <w:bookmarkEnd w:id="670"/>
      <w:bookmarkEnd w:id="671"/>
      <w:bookmarkEnd w:id="672"/>
      <w:bookmarkEnd w:id="673"/>
    </w:p>
    <w:p w14:paraId="28618764">
      <w:pPr>
        <w:autoSpaceDE w:val="0"/>
        <w:autoSpaceDN w:val="0"/>
        <w:adjustRightInd w:val="0"/>
        <w:snapToGrid w:val="0"/>
        <w:spacing w:line="360" w:lineRule="auto"/>
        <w:ind w:left="317" w:leftChars="-100" w:hanging="527" w:hangingChars="250"/>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79D67D03">
      <w:pPr>
        <w:tabs>
          <w:tab w:val="left" w:pos="360"/>
        </w:tabs>
        <w:autoSpaceDE w:val="0"/>
        <w:autoSpaceDN w:val="0"/>
        <w:adjustRightInd w:val="0"/>
        <w:spacing w:line="360" w:lineRule="auto"/>
        <w:ind w:left="357" w:leftChars="-100" w:hanging="567"/>
        <w:jc w:val="left"/>
        <w:rPr>
          <w:rFonts w:ascii="宋体" w:hAnsi="宋体" w:eastAsia="宋体" w:cs="宋体"/>
          <w:b/>
          <w:color w:val="auto"/>
          <w:szCs w:val="21"/>
          <w:highlight w:val="none"/>
        </w:rPr>
      </w:pPr>
      <w:bookmarkStart w:id="674" w:name="_Toc13471"/>
      <w:bookmarkStart w:id="675" w:name="OLE_LINK510"/>
      <w:bookmarkStart w:id="676" w:name="OLE_LINK505"/>
    </w:p>
    <w:p w14:paraId="074DFD6A">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77" w:name="_Toc30299"/>
      <w:bookmarkStart w:id="678" w:name="_Toc19408"/>
      <w:bookmarkStart w:id="679" w:name="_Toc2203"/>
      <w:r>
        <w:rPr>
          <w:rFonts w:hint="eastAsia" w:ascii="宋体" w:hAnsi="宋体" w:eastAsia="宋体" w:cs="宋体"/>
          <w:b/>
          <w:color w:val="auto"/>
          <w:szCs w:val="21"/>
          <w:highlight w:val="none"/>
        </w:rPr>
        <w:t>42 以</w:t>
      </w:r>
      <w:bookmarkStart w:id="680" w:name="OLE_LINK506"/>
      <w:r>
        <w:rPr>
          <w:rFonts w:hint="eastAsia" w:ascii="宋体" w:hAnsi="宋体" w:eastAsia="宋体" w:cs="宋体"/>
          <w:b/>
          <w:color w:val="auto"/>
          <w:szCs w:val="21"/>
          <w:highlight w:val="none"/>
        </w:rPr>
        <w:t>联合体形式</w:t>
      </w:r>
      <w:bookmarkEnd w:id="680"/>
      <w:r>
        <w:rPr>
          <w:rFonts w:hint="eastAsia" w:ascii="宋体" w:hAnsi="宋体" w:eastAsia="宋体" w:cs="宋体"/>
          <w:b/>
          <w:color w:val="auto"/>
          <w:szCs w:val="21"/>
          <w:highlight w:val="none"/>
        </w:rPr>
        <w:t>投标的，应符合以下规定：</w:t>
      </w:r>
      <w:bookmarkEnd w:id="674"/>
      <w:bookmarkEnd w:id="677"/>
      <w:bookmarkEnd w:id="678"/>
      <w:bookmarkEnd w:id="679"/>
    </w:p>
    <w:bookmarkEnd w:id="675"/>
    <w:p w14:paraId="4A73326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42.1 联合体各方均应当满足</w:t>
      </w:r>
      <w:bookmarkStart w:id="681" w:name="OLE_LINK503"/>
      <w:r>
        <w:rPr>
          <w:rFonts w:hint="eastAsia" w:ascii="宋体" w:hAnsi="宋体" w:eastAsia="宋体" w:cs="宋体"/>
          <w:color w:val="auto"/>
          <w:kern w:val="0"/>
          <w:szCs w:val="21"/>
          <w:highlight w:val="none"/>
        </w:rPr>
        <w:t>第2条“合格投标人资格要求”</w:t>
      </w:r>
      <w:bookmarkEnd w:id="681"/>
      <w:r>
        <w:rPr>
          <w:rFonts w:hint="eastAsia" w:ascii="宋体" w:hAnsi="宋体" w:eastAsia="宋体" w:cs="宋体"/>
          <w:color w:val="auto"/>
          <w:kern w:val="0"/>
          <w:szCs w:val="21"/>
          <w:highlight w:val="none"/>
        </w:rPr>
        <w:t>规定的条件，并在投标文件中提供联合体各方的相关证明材料。</w:t>
      </w:r>
    </w:p>
    <w:p w14:paraId="5904D70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42.2 </w:t>
      </w:r>
      <w:r>
        <w:rPr>
          <w:rFonts w:hint="eastAsia" w:ascii="宋体" w:hAnsi="宋体" w:eastAsia="宋体" w:cs="宋体"/>
          <w:b/>
          <w:bCs/>
          <w:color w:val="auto"/>
          <w:kern w:val="0"/>
          <w:szCs w:val="21"/>
          <w:highlight w:val="none"/>
          <w:u w:val="single"/>
        </w:rPr>
        <w:t>联合体各方之间应签订联合体共同投标协议书并在投标文件中提交，明确约定联合体各方承担的工作和相应的责任。联合体各方签订共同投标协议书后，不得再以自己名义单独在同一项目中投标，也不得组成新的联合体参加同一项目投标，若违反规定则其参与的所有投标将视为无效投标</w:t>
      </w:r>
      <w:r>
        <w:rPr>
          <w:rFonts w:hint="eastAsia" w:ascii="宋体" w:hAnsi="宋体" w:eastAsia="宋体" w:cs="宋体"/>
          <w:color w:val="auto"/>
          <w:kern w:val="0"/>
          <w:szCs w:val="21"/>
          <w:highlight w:val="none"/>
        </w:rPr>
        <w:t>。</w:t>
      </w:r>
    </w:p>
    <w:p w14:paraId="24F3F9D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42.3 联合体应以联合协议中确定的牵头单位名义</w:t>
      </w:r>
      <w:bookmarkStart w:id="682" w:name="OLE_LINK502"/>
      <w:r>
        <w:rPr>
          <w:rFonts w:hint="eastAsia" w:ascii="宋体" w:hAnsi="宋体" w:eastAsia="宋体" w:cs="宋体"/>
          <w:color w:val="auto"/>
          <w:kern w:val="0"/>
          <w:szCs w:val="21"/>
          <w:highlight w:val="none"/>
        </w:rPr>
        <w:t>进</w:t>
      </w:r>
      <w:bookmarkEnd w:id="682"/>
      <w:r>
        <w:rPr>
          <w:rFonts w:hint="eastAsia" w:ascii="宋体" w:hAnsi="宋体" w:eastAsia="宋体" w:cs="宋体"/>
          <w:color w:val="auto"/>
          <w:kern w:val="0"/>
          <w:szCs w:val="21"/>
          <w:highlight w:val="none"/>
        </w:rPr>
        <w:t>行项目投标，联合体名称需与共同投标协议书签署方一致。对于需交投标保证金的，以牵头单位名义缴纳。</w:t>
      </w:r>
    </w:p>
    <w:p w14:paraId="44D3342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42.4 联合体任一成员存在不良信用记录的，视同联合体存在不良信用记录。</w:t>
      </w:r>
    </w:p>
    <w:p w14:paraId="50DDBD0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bookmarkStart w:id="683" w:name="OLE_LINK507"/>
      <w:r>
        <w:rPr>
          <w:rFonts w:hint="eastAsia" w:ascii="宋体" w:hAnsi="宋体" w:eastAsia="宋体" w:cs="宋体"/>
          <w:color w:val="auto"/>
          <w:kern w:val="0"/>
          <w:szCs w:val="21"/>
          <w:highlight w:val="none"/>
        </w:rPr>
        <w:t>42.5 联合体各方均应</w:t>
      </w:r>
      <w:bookmarkStart w:id="684" w:name="OLE_LINK504"/>
      <w:r>
        <w:rPr>
          <w:rFonts w:hint="eastAsia" w:ascii="宋体" w:hAnsi="宋体" w:eastAsia="宋体" w:cs="宋体"/>
          <w:color w:val="auto"/>
          <w:kern w:val="0"/>
          <w:szCs w:val="21"/>
          <w:highlight w:val="none"/>
        </w:rPr>
        <w:t>满足</w:t>
      </w:r>
      <w:bookmarkEnd w:id="684"/>
      <w:r>
        <w:rPr>
          <w:rFonts w:hint="eastAsia" w:ascii="宋体" w:hAnsi="宋体" w:eastAsia="宋体" w:cs="宋体"/>
          <w:color w:val="auto"/>
          <w:kern w:val="0"/>
          <w:szCs w:val="21"/>
          <w:highlight w:val="none"/>
        </w:rPr>
        <w:t>第一篇 招标公告 第2条“合格投标人资格要求”规定的条件。联合体中有同类资质的供应商按照联合体分工承担相同工作的，应当按照资质等级较低的供应商确定资质等级。</w:t>
      </w:r>
    </w:p>
    <w:p w14:paraId="01EA83D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42.6 联合体各方应当共同与招标人签订采购合同，就合同约定的事项对招标人承担连带责任。</w:t>
      </w:r>
    </w:p>
    <w:p w14:paraId="482F81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42.7 </w:t>
      </w:r>
      <w:r>
        <w:rPr>
          <w:rFonts w:hint="eastAsia" w:ascii="宋体" w:hAnsi="宋体" w:eastAsia="宋体" w:cs="宋体"/>
          <w:b/>
          <w:bCs/>
          <w:color w:val="auto"/>
          <w:kern w:val="0"/>
          <w:szCs w:val="21"/>
          <w:highlight w:val="none"/>
          <w:u w:val="single"/>
        </w:rPr>
        <w:t>联合体牵头单位须在投标文件上按招标文件要求进行企业数字证书电子签名或</w:t>
      </w:r>
      <w:r>
        <w:rPr>
          <w:rFonts w:hint="eastAsia" w:ascii="宋体" w:hAnsi="宋体" w:eastAsia="宋体" w:cs="宋体"/>
          <w:b/>
          <w:bCs/>
          <w:color w:val="auto"/>
          <w:szCs w:val="21"/>
          <w:highlight w:val="none"/>
          <w:u w:val="single"/>
          <w:lang w:val="zh-CN"/>
        </w:rPr>
        <w:t>法定代表人（或其授权代表）</w:t>
      </w:r>
      <w:r>
        <w:rPr>
          <w:rFonts w:hint="eastAsia" w:ascii="宋体" w:hAnsi="宋体" w:eastAsia="宋体" w:cs="宋体"/>
          <w:b/>
          <w:bCs/>
          <w:color w:val="auto"/>
          <w:szCs w:val="21"/>
          <w:highlight w:val="none"/>
          <w:u w:val="single"/>
        </w:rPr>
        <w:t>电子签名</w:t>
      </w:r>
      <w:r>
        <w:rPr>
          <w:rFonts w:hint="eastAsia" w:ascii="宋体" w:hAnsi="宋体" w:eastAsia="宋体" w:cs="宋体"/>
          <w:b/>
          <w:bCs/>
          <w:color w:val="auto"/>
          <w:kern w:val="0"/>
          <w:szCs w:val="21"/>
          <w:highlight w:val="none"/>
          <w:u w:val="single"/>
        </w:rPr>
        <w:t>，无需联合体各方共同进行企业数字证书电子签名或</w:t>
      </w:r>
      <w:r>
        <w:rPr>
          <w:rFonts w:hint="eastAsia" w:ascii="宋体" w:hAnsi="宋体" w:eastAsia="宋体" w:cs="宋体"/>
          <w:b/>
          <w:bCs/>
          <w:color w:val="auto"/>
          <w:szCs w:val="21"/>
          <w:highlight w:val="none"/>
          <w:u w:val="single"/>
          <w:lang w:val="zh-CN"/>
        </w:rPr>
        <w:t>法定代表人（或其授权代表）</w:t>
      </w:r>
      <w:r>
        <w:rPr>
          <w:rFonts w:hint="eastAsia" w:ascii="宋体" w:hAnsi="宋体" w:eastAsia="宋体" w:cs="宋体"/>
          <w:b/>
          <w:bCs/>
          <w:color w:val="auto"/>
          <w:szCs w:val="21"/>
          <w:highlight w:val="none"/>
          <w:u w:val="single"/>
        </w:rPr>
        <w:t>电子签名</w:t>
      </w:r>
      <w:r>
        <w:rPr>
          <w:rFonts w:hint="eastAsia" w:ascii="宋体" w:hAnsi="宋体" w:eastAsia="宋体" w:cs="宋体"/>
          <w:b/>
          <w:bCs/>
          <w:color w:val="auto"/>
          <w:kern w:val="0"/>
          <w:szCs w:val="21"/>
          <w:highlight w:val="none"/>
          <w:u w:val="single"/>
        </w:rPr>
        <w:t>【招标文件另有约定要求联合体各方各自进行企业数字证书电子签名或</w:t>
      </w:r>
      <w:r>
        <w:rPr>
          <w:rFonts w:hint="eastAsia" w:ascii="宋体" w:hAnsi="宋体" w:eastAsia="宋体" w:cs="宋体"/>
          <w:b/>
          <w:bCs/>
          <w:color w:val="auto"/>
          <w:szCs w:val="21"/>
          <w:highlight w:val="none"/>
          <w:u w:val="single"/>
          <w:lang w:val="zh-CN"/>
        </w:rPr>
        <w:t>法定代表人（或其授权代表）</w:t>
      </w:r>
      <w:r>
        <w:rPr>
          <w:rFonts w:hint="eastAsia" w:ascii="宋体" w:hAnsi="宋体" w:eastAsia="宋体" w:cs="宋体"/>
          <w:b/>
          <w:bCs/>
          <w:color w:val="auto"/>
          <w:szCs w:val="21"/>
          <w:highlight w:val="none"/>
          <w:u w:val="single"/>
        </w:rPr>
        <w:t>电子签名</w:t>
      </w:r>
      <w:r>
        <w:rPr>
          <w:rFonts w:hint="eastAsia" w:ascii="宋体" w:hAnsi="宋体" w:eastAsia="宋体" w:cs="宋体"/>
          <w:b/>
          <w:bCs/>
          <w:color w:val="auto"/>
          <w:kern w:val="0"/>
          <w:szCs w:val="21"/>
          <w:highlight w:val="none"/>
          <w:u w:val="single"/>
        </w:rPr>
        <w:t>的除外】</w:t>
      </w:r>
      <w:r>
        <w:rPr>
          <w:rFonts w:hint="eastAsia" w:ascii="宋体" w:hAnsi="宋体" w:eastAsia="宋体" w:cs="宋体"/>
          <w:color w:val="auto"/>
          <w:kern w:val="0"/>
          <w:szCs w:val="21"/>
          <w:highlight w:val="none"/>
        </w:rPr>
        <w:t>。</w:t>
      </w:r>
    </w:p>
    <w:bookmarkEnd w:id="676"/>
    <w:bookmarkEnd w:id="683"/>
    <w:p w14:paraId="7C22102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8CC53DF">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685" w:name="_Toc23349"/>
      <w:bookmarkStart w:id="686" w:name="_Toc27425"/>
      <w:bookmarkStart w:id="687" w:name="_Toc29070"/>
      <w:bookmarkStart w:id="688" w:name="_Toc700"/>
      <w:bookmarkStart w:id="689" w:name="OLE_LINK508"/>
      <w:r>
        <w:rPr>
          <w:rFonts w:hint="eastAsia" w:ascii="宋体" w:hAnsi="宋体" w:eastAsia="宋体" w:cs="宋体"/>
          <w:b/>
          <w:color w:val="auto"/>
          <w:szCs w:val="21"/>
          <w:highlight w:val="none"/>
        </w:rPr>
        <w:t>43 以联合体形式投标的企业说明</w:t>
      </w:r>
      <w:bookmarkEnd w:id="685"/>
      <w:bookmarkEnd w:id="686"/>
      <w:bookmarkEnd w:id="687"/>
      <w:bookmarkEnd w:id="688"/>
    </w:p>
    <w:p w14:paraId="797903F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43.1 除联合体外，投标人负责人为同一人或者存在控股、管理关系的不同投标人，不得参加同一项目投标。</w:t>
      </w:r>
      <w:bookmarkStart w:id="690" w:name="OLE_LINK509"/>
      <w:r>
        <w:rPr>
          <w:rFonts w:hint="eastAsia" w:ascii="宋体" w:hAnsi="宋体" w:eastAsia="宋体" w:cs="宋体"/>
          <w:color w:val="auto"/>
          <w:kern w:val="0"/>
          <w:szCs w:val="21"/>
          <w:highlight w:val="none"/>
        </w:rPr>
        <w:t>上述情况一经发现，相关投标均无效</w:t>
      </w:r>
      <w:bookmarkEnd w:id="690"/>
      <w:r>
        <w:rPr>
          <w:rFonts w:hint="eastAsia" w:ascii="宋体" w:hAnsi="宋体" w:eastAsia="宋体" w:cs="宋体"/>
          <w:color w:val="auto"/>
          <w:kern w:val="0"/>
          <w:szCs w:val="21"/>
          <w:highlight w:val="none"/>
        </w:rPr>
        <w:t>。</w:t>
      </w:r>
    </w:p>
    <w:bookmarkEnd w:id="689"/>
    <w:p w14:paraId="546004B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1E84966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691" w:name="_Toc22346"/>
      <w:bookmarkStart w:id="692" w:name="_Toc195714263"/>
      <w:bookmarkStart w:id="693" w:name="_Toc29758"/>
      <w:bookmarkStart w:id="694" w:name="_Toc18189"/>
      <w:bookmarkStart w:id="695" w:name="_Toc26594"/>
      <w:bookmarkStart w:id="696" w:name="_Toc3138"/>
      <w:bookmarkStart w:id="697" w:name="_Toc142508357"/>
      <w:bookmarkStart w:id="698" w:name="_Toc17799"/>
      <w:r>
        <w:rPr>
          <w:rFonts w:hint="eastAsia" w:ascii="宋体" w:hAnsi="宋体" w:eastAsia="宋体" w:cs="宋体"/>
          <w:color w:val="auto"/>
          <w:szCs w:val="21"/>
          <w:highlight w:val="none"/>
        </w:rPr>
        <w:t>44 本次招标活动的最终解释权归招标代理机构及招标人所有。</w:t>
      </w:r>
      <w:bookmarkEnd w:id="664"/>
      <w:bookmarkEnd w:id="665"/>
      <w:bookmarkEnd w:id="691"/>
      <w:bookmarkEnd w:id="692"/>
      <w:bookmarkEnd w:id="693"/>
      <w:bookmarkEnd w:id="694"/>
      <w:bookmarkEnd w:id="695"/>
      <w:bookmarkEnd w:id="696"/>
      <w:bookmarkEnd w:id="697"/>
      <w:bookmarkEnd w:id="698"/>
    </w:p>
    <w:p w14:paraId="1019343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699" w:name="_Toc450662891"/>
      <w:bookmarkStart w:id="700" w:name="_Toc13484"/>
      <w:bookmarkStart w:id="701" w:name="_Toc21446"/>
      <w:bookmarkStart w:id="702" w:name="_Toc27939_WPSOffice_Level1"/>
      <w:bookmarkStart w:id="703" w:name="_Toc195714264"/>
      <w:bookmarkStart w:id="704" w:name="_Toc14879"/>
      <w:bookmarkStart w:id="705" w:name="_Toc142508358"/>
      <w:bookmarkStart w:id="706" w:name="_Toc31662"/>
      <w:bookmarkStart w:id="707" w:name="_Toc21406"/>
      <w:bookmarkStart w:id="708" w:name="_Toc7612"/>
      <w:bookmarkStart w:id="709" w:name="_Toc486167706"/>
      <w:r>
        <w:rPr>
          <w:rFonts w:hint="eastAsia" w:ascii="宋体" w:hAnsi="宋体" w:eastAsia="宋体" w:cs="宋体"/>
          <w:b/>
          <w:bCs/>
          <w:color w:val="auto"/>
          <w:kern w:val="44"/>
          <w:sz w:val="32"/>
          <w:szCs w:val="32"/>
          <w:highlight w:val="none"/>
          <w:lang w:val="zh-CN"/>
        </w:rPr>
        <w:t>第三篇 用户需求书</w:t>
      </w:r>
      <w:bookmarkEnd w:id="699"/>
      <w:bookmarkEnd w:id="700"/>
      <w:bookmarkEnd w:id="701"/>
      <w:bookmarkEnd w:id="702"/>
      <w:bookmarkEnd w:id="703"/>
      <w:bookmarkEnd w:id="704"/>
      <w:bookmarkEnd w:id="705"/>
      <w:bookmarkEnd w:id="706"/>
      <w:bookmarkEnd w:id="707"/>
      <w:bookmarkEnd w:id="708"/>
      <w:bookmarkEnd w:id="709"/>
    </w:p>
    <w:p w14:paraId="0ACE7845">
      <w:pPr>
        <w:rPr>
          <w:rFonts w:ascii="宋体" w:hAnsi="宋体" w:eastAsia="宋体" w:cs="宋体"/>
          <w:b/>
          <w:color w:val="auto"/>
          <w:szCs w:val="21"/>
          <w:highlight w:val="none"/>
        </w:rPr>
      </w:pPr>
    </w:p>
    <w:p w14:paraId="666E1FC5">
      <w:pPr>
        <w:spacing w:line="360" w:lineRule="auto"/>
        <w:outlineLvl w:val="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一、项目概况</w:t>
      </w:r>
    </w:p>
    <w:p w14:paraId="4BD263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zh-CN"/>
        </w:rPr>
        <w:t>为贯彻落实国家“双碳”战略，积极响应市委市政府关于市属国企积极参与光伏发电项目开发建设的要求，东莞市水务环境投资控股集团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正大力拓展绿色新能源业务板块。根据东莞市水务环境投资控股集团</w:t>
      </w:r>
      <w:r>
        <w:rPr>
          <w:rFonts w:hint="eastAsia" w:ascii="宋体" w:hAnsi="宋体" w:eastAsia="宋体" w:cs="宋体"/>
          <w:color w:val="auto"/>
          <w:szCs w:val="21"/>
          <w:highlight w:val="none"/>
          <w:lang w:val="en-US" w:eastAsia="zh-CN"/>
        </w:rPr>
        <w:t>有限公司</w:t>
      </w:r>
      <w:r>
        <w:rPr>
          <w:rFonts w:hint="eastAsia" w:ascii="宋体" w:hAnsi="宋体" w:eastAsia="宋体" w:cs="宋体"/>
          <w:color w:val="auto"/>
          <w:szCs w:val="21"/>
          <w:highlight w:val="none"/>
          <w:lang w:val="zh-CN"/>
        </w:rPr>
        <w:t>工作部署，拟在东城温塘水质净化厂、横沥东坑水质净化厂、虎门宁洲水质净化厂、沙田福禄沙水质净化厂、常平岗梓水质净化厂、常平沙湖口水质净化厂、高埗低涌水质净化厂等</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家</w:t>
      </w:r>
      <w:r>
        <w:rPr>
          <w:rFonts w:hint="eastAsia" w:ascii="宋体" w:hAnsi="宋体" w:eastAsia="宋体" w:cs="宋体"/>
          <w:color w:val="auto"/>
          <w:szCs w:val="21"/>
          <w:highlight w:val="none"/>
        </w:rPr>
        <w:t>水质净化</w:t>
      </w:r>
      <w:r>
        <w:rPr>
          <w:rFonts w:hint="eastAsia" w:ascii="宋体" w:hAnsi="宋体" w:eastAsia="宋体" w:cs="宋体"/>
          <w:color w:val="auto"/>
          <w:szCs w:val="21"/>
          <w:highlight w:val="none"/>
          <w:lang w:val="zh-CN"/>
        </w:rPr>
        <w:t>厂的工作间屋</w:t>
      </w:r>
      <w:r>
        <w:rPr>
          <w:rFonts w:hint="eastAsia" w:ascii="宋体" w:hAnsi="宋体" w:eastAsia="宋体" w:cs="宋体"/>
          <w:color w:val="auto"/>
          <w:szCs w:val="21"/>
          <w:highlight w:val="none"/>
        </w:rPr>
        <w:t>面</w:t>
      </w:r>
      <w:r>
        <w:rPr>
          <w:rFonts w:hint="eastAsia" w:ascii="宋体" w:hAnsi="宋体" w:eastAsia="宋体" w:cs="宋体"/>
          <w:color w:val="auto"/>
          <w:szCs w:val="21"/>
          <w:highlight w:val="none"/>
          <w:lang w:val="zh-CN"/>
        </w:rPr>
        <w:t>和部分工作池池面安装光伏发电设施，直属企业东莞市水务集团科技发展有限公司（以下简称“招标人”）负责上述</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家厂区光伏发电项目（以下简称“水质净化厂光伏项目”）投资、建设及运营。</w:t>
      </w:r>
    </w:p>
    <w:p w14:paraId="6306CDE4">
      <w:pPr>
        <w:spacing w:line="360" w:lineRule="auto"/>
        <w:outlineLvl w:val="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二、工作内容</w:t>
      </w:r>
    </w:p>
    <w:p w14:paraId="4C16AF3F">
      <w:pPr>
        <w:spacing w:line="360" w:lineRule="auto"/>
        <w:ind w:firstLine="420" w:firstLineChars="200"/>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1、项目建设内容：</w:t>
      </w:r>
    </w:p>
    <w:p w14:paraId="0350E8F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东莞市水务集团分布式光伏发电项目（第一批）》方案优化内容，水质净化厂光伏项目主要建设内容包括但不限于光伏组件、并网设施、交流汇流箱、逆变器、开关柜、光伏支架、电缆、监控、通讯、防雷及安全防护等配套设施的安装及相关配套手续的办理，光伏发电建设规模初定为</w:t>
      </w:r>
      <w:r>
        <w:rPr>
          <w:rFonts w:ascii="宋体" w:hAnsi="宋体" w:eastAsia="宋体" w:cs="宋体"/>
          <w:color w:val="auto"/>
          <w:kern w:val="0"/>
          <w:szCs w:val="21"/>
          <w:highlight w:val="none"/>
          <w:lang w:bidi="ar"/>
        </w:rPr>
        <w:t>13529.02</w:t>
      </w:r>
      <w:r>
        <w:rPr>
          <w:rFonts w:ascii="宋体" w:hAnsi="宋体" w:eastAsia="宋体" w:cs="宋体"/>
          <w:color w:val="auto"/>
          <w:szCs w:val="21"/>
          <w:highlight w:val="none"/>
        </w:rPr>
        <w:t>kWp</w:t>
      </w:r>
      <w:r>
        <w:rPr>
          <w:rFonts w:hint="eastAsia" w:ascii="宋体" w:hAnsi="宋体" w:eastAsia="宋体" w:cs="宋体"/>
          <w:color w:val="auto"/>
          <w:szCs w:val="21"/>
          <w:highlight w:val="none"/>
        </w:rPr>
        <w:t>，详见下表。</w:t>
      </w:r>
    </w:p>
    <w:p w14:paraId="0CBDEED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最终安装容量以项目实际安装容量为准，据实际建设</w:t>
      </w:r>
      <w:r>
        <w:rPr>
          <w:rFonts w:hint="eastAsia" w:ascii="宋体" w:hAnsi="宋体" w:eastAsia="宋体" w:cs="宋体"/>
          <w:color w:val="auto"/>
          <w:sz w:val="21"/>
          <w:szCs w:val="21"/>
          <w:highlight w:val="none"/>
          <w:lang w:val="en-US" w:eastAsia="zh-CN"/>
        </w:rPr>
        <w:t>后的结算装机</w:t>
      </w:r>
      <w:r>
        <w:rPr>
          <w:rFonts w:hint="eastAsia" w:ascii="宋体" w:hAnsi="宋体" w:eastAsia="宋体" w:cs="宋体"/>
          <w:color w:val="auto"/>
          <w:szCs w:val="21"/>
          <w:highlight w:val="none"/>
        </w:rPr>
        <w:t>容量及每瓦单价结算。</w:t>
      </w:r>
    </w:p>
    <w:tbl>
      <w:tblPr>
        <w:tblStyle w:val="46"/>
        <w:tblW w:w="10065" w:type="dxa"/>
        <w:jc w:val="center"/>
        <w:tblLayout w:type="autofit"/>
        <w:tblCellMar>
          <w:top w:w="0" w:type="dxa"/>
          <w:left w:w="108" w:type="dxa"/>
          <w:bottom w:w="0" w:type="dxa"/>
          <w:right w:w="108" w:type="dxa"/>
        </w:tblCellMar>
      </w:tblPr>
      <w:tblGrid>
        <w:gridCol w:w="2385"/>
        <w:gridCol w:w="1635"/>
        <w:gridCol w:w="1635"/>
        <w:gridCol w:w="1635"/>
        <w:gridCol w:w="2775"/>
      </w:tblGrid>
      <w:tr w14:paraId="0B10BC8B">
        <w:tblPrEx>
          <w:tblCellMar>
            <w:top w:w="0" w:type="dxa"/>
            <w:left w:w="108" w:type="dxa"/>
            <w:bottom w:w="0" w:type="dxa"/>
            <w:right w:w="108" w:type="dxa"/>
          </w:tblCellMar>
        </w:tblPrEx>
        <w:trPr>
          <w:trHeight w:val="820" w:hRule="atLeast"/>
          <w:jc w:val="center"/>
        </w:trPr>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88D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厂区名称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BFE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安装区域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E7E9">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面积</w:t>
            </w:r>
            <w:r>
              <w:rPr>
                <w:rFonts w:hint="eastAsia" w:ascii="宋体" w:hAnsi="宋体" w:eastAsia="宋体" w:cs="宋体"/>
                <w:b/>
                <w:bCs/>
                <w:color w:val="auto"/>
                <w:kern w:val="0"/>
                <w:szCs w:val="21"/>
                <w:highlight w:val="none"/>
                <w:lang w:bidi="ar"/>
              </w:rPr>
              <w:br w:type="textWrapping"/>
            </w:r>
            <w:r>
              <w:rPr>
                <w:rFonts w:hint="eastAsia" w:ascii="宋体" w:hAnsi="宋体" w:eastAsia="宋体" w:cs="宋体"/>
                <w:b/>
                <w:bCs/>
                <w:color w:val="auto"/>
                <w:kern w:val="0"/>
                <w:szCs w:val="21"/>
                <w:highlight w:val="none"/>
                <w:lang w:bidi="ar"/>
              </w:rPr>
              <w:t>（单位：㎡）</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9357">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暂定装机容量</w:t>
            </w:r>
            <w:r>
              <w:rPr>
                <w:rFonts w:hint="eastAsia" w:ascii="宋体" w:hAnsi="宋体" w:eastAsia="宋体" w:cs="宋体"/>
                <w:b/>
                <w:bCs/>
                <w:color w:val="auto"/>
                <w:kern w:val="0"/>
                <w:szCs w:val="21"/>
                <w:highlight w:val="none"/>
                <w:lang w:bidi="ar"/>
              </w:rPr>
              <w:br w:type="textWrapping"/>
            </w:r>
            <w:r>
              <w:rPr>
                <w:rFonts w:hint="eastAsia" w:ascii="宋体" w:hAnsi="宋体" w:eastAsia="宋体" w:cs="宋体"/>
                <w:b/>
                <w:bCs/>
                <w:color w:val="auto"/>
                <w:kern w:val="0"/>
                <w:szCs w:val="21"/>
                <w:highlight w:val="none"/>
                <w:lang w:bidi="ar"/>
              </w:rPr>
              <w:t>（单位：kWp）</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BF7">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安装步梯位置</w:t>
            </w:r>
          </w:p>
        </w:tc>
      </w:tr>
      <w:tr w14:paraId="2CAF9266">
        <w:tblPrEx>
          <w:tblCellMar>
            <w:top w:w="0" w:type="dxa"/>
            <w:left w:w="108" w:type="dxa"/>
            <w:bottom w:w="0" w:type="dxa"/>
            <w:right w:w="108" w:type="dxa"/>
          </w:tblCellMar>
        </w:tblPrEx>
        <w:trPr>
          <w:trHeight w:val="580" w:hRule="atLeast"/>
          <w:jc w:val="cent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6504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东城温塘水质净化厂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2AC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E0E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1296.57</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7D4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297.6</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33D1A">
            <w:pPr>
              <w:jc w:val="center"/>
              <w:rPr>
                <w:rFonts w:ascii="宋体" w:hAnsi="宋体" w:eastAsia="宋体" w:cs="宋体"/>
                <w:color w:val="auto"/>
                <w:szCs w:val="21"/>
                <w:highlight w:val="none"/>
              </w:rPr>
            </w:pPr>
          </w:p>
        </w:tc>
      </w:tr>
      <w:tr w14:paraId="5EB1701A">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7E8EB">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581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9AC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1239.85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C23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385.02</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5F320">
            <w:pPr>
              <w:jc w:val="center"/>
              <w:rPr>
                <w:rFonts w:ascii="宋体" w:hAnsi="宋体" w:eastAsia="宋体" w:cs="宋体"/>
                <w:color w:val="auto"/>
                <w:szCs w:val="21"/>
                <w:highlight w:val="none"/>
              </w:rPr>
            </w:pPr>
          </w:p>
        </w:tc>
      </w:tr>
      <w:tr w14:paraId="66B0FD3A">
        <w:tblPrEx>
          <w:tblCellMar>
            <w:top w:w="0" w:type="dxa"/>
            <w:left w:w="108" w:type="dxa"/>
            <w:bottom w:w="0" w:type="dxa"/>
            <w:right w:w="108" w:type="dxa"/>
          </w:tblCellMar>
        </w:tblPrEx>
        <w:trPr>
          <w:trHeight w:val="580" w:hRule="atLeast"/>
          <w:jc w:val="cent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9AC8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横沥东坑水质净化厂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0CB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B4C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7050.1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498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1618.2</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435B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综合楼加装步梯</w:t>
            </w:r>
          </w:p>
        </w:tc>
      </w:tr>
      <w:tr w14:paraId="4087F8CA">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A65BC">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F5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AE8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7703.79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18D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1768.24</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48B7">
            <w:pPr>
              <w:jc w:val="center"/>
              <w:rPr>
                <w:rFonts w:ascii="宋体" w:hAnsi="宋体" w:eastAsia="宋体" w:cs="宋体"/>
                <w:color w:val="auto"/>
                <w:szCs w:val="21"/>
                <w:highlight w:val="none"/>
              </w:rPr>
            </w:pPr>
          </w:p>
        </w:tc>
      </w:tr>
      <w:tr w14:paraId="7DC8B75F">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7187E">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816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彩钢瓦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D94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2052.9</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275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471.2</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63156">
            <w:pPr>
              <w:jc w:val="center"/>
              <w:rPr>
                <w:rFonts w:ascii="宋体" w:hAnsi="宋体" w:eastAsia="宋体" w:cs="宋体"/>
                <w:color w:val="auto"/>
                <w:szCs w:val="21"/>
                <w:highlight w:val="none"/>
              </w:rPr>
            </w:pPr>
          </w:p>
        </w:tc>
      </w:tr>
      <w:tr w14:paraId="32BAA53E">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4450B">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85D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屋面及彩钢瓦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66F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1612.61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724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370.14</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9E9A">
            <w:pPr>
              <w:jc w:val="center"/>
              <w:rPr>
                <w:rFonts w:ascii="宋体" w:hAnsi="宋体" w:eastAsia="宋体" w:cs="宋体"/>
                <w:color w:val="auto"/>
                <w:szCs w:val="21"/>
                <w:highlight w:val="none"/>
              </w:rPr>
            </w:pPr>
          </w:p>
        </w:tc>
      </w:tr>
      <w:tr w14:paraId="55328DF9">
        <w:tblPrEx>
          <w:tblCellMar>
            <w:top w:w="0" w:type="dxa"/>
            <w:left w:w="108" w:type="dxa"/>
            <w:bottom w:w="0" w:type="dxa"/>
            <w:right w:w="108" w:type="dxa"/>
          </w:tblCellMar>
        </w:tblPrEx>
        <w:trPr>
          <w:trHeight w:val="580" w:hRule="atLeast"/>
          <w:jc w:val="cent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7A55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虎门宁洲水质净化厂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6B4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751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7611.95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CBA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1747.16</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FF2F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三期鼓风机房及变电所加装步梯</w:t>
            </w:r>
          </w:p>
        </w:tc>
      </w:tr>
      <w:tr w14:paraId="45DC6606">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59C04">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EBF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35C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1826</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433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419.12</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62B8">
            <w:pPr>
              <w:jc w:val="center"/>
              <w:rPr>
                <w:rFonts w:ascii="宋体" w:hAnsi="宋体" w:eastAsia="宋体" w:cs="宋体"/>
                <w:color w:val="auto"/>
                <w:szCs w:val="21"/>
                <w:highlight w:val="none"/>
              </w:rPr>
            </w:pPr>
          </w:p>
        </w:tc>
      </w:tr>
      <w:tr w14:paraId="61C6362A">
        <w:tblPrEx>
          <w:tblCellMar>
            <w:top w:w="0" w:type="dxa"/>
            <w:left w:w="108" w:type="dxa"/>
            <w:bottom w:w="0" w:type="dxa"/>
            <w:right w:w="108" w:type="dxa"/>
          </w:tblCellMar>
        </w:tblPrEx>
        <w:trPr>
          <w:trHeight w:val="580" w:hRule="atLeast"/>
          <w:jc w:val="cent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6347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沙田福禄沙水质净化厂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B49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F3E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1701.75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E67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390.6</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29CB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综合楼加装步梯</w:t>
            </w:r>
          </w:p>
        </w:tc>
      </w:tr>
      <w:tr w14:paraId="5EFD486B">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F83FE">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029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E4D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2976.72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87D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683.24</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0956">
            <w:pPr>
              <w:jc w:val="center"/>
              <w:rPr>
                <w:rFonts w:ascii="宋体" w:hAnsi="宋体" w:eastAsia="宋体" w:cs="宋体"/>
                <w:color w:val="auto"/>
                <w:szCs w:val="21"/>
                <w:highlight w:val="none"/>
              </w:rPr>
            </w:pPr>
          </w:p>
        </w:tc>
      </w:tr>
      <w:tr w14:paraId="39DF84FB">
        <w:tblPrEx>
          <w:tblCellMar>
            <w:top w:w="0" w:type="dxa"/>
            <w:left w:w="108" w:type="dxa"/>
            <w:bottom w:w="0" w:type="dxa"/>
            <w:right w:w="108" w:type="dxa"/>
          </w:tblCellMar>
        </w:tblPrEx>
        <w:trPr>
          <w:trHeight w:val="580" w:hRule="atLeast"/>
          <w:jc w:val="cent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DDA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常平岗梓水质净化厂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5AC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FCC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4933.11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063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786.16</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4009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二期综合楼、辅助用房加装步梯</w:t>
            </w:r>
          </w:p>
        </w:tc>
      </w:tr>
      <w:tr w14:paraId="5E168BAD">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D99C">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04D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673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10708.33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F29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1059.58</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7EDC">
            <w:pPr>
              <w:jc w:val="center"/>
              <w:rPr>
                <w:rFonts w:ascii="宋体" w:hAnsi="宋体" w:eastAsia="宋体" w:cs="宋体"/>
                <w:color w:val="auto"/>
                <w:szCs w:val="21"/>
                <w:highlight w:val="none"/>
              </w:rPr>
            </w:pPr>
          </w:p>
        </w:tc>
      </w:tr>
      <w:tr w14:paraId="4DD8E435">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1936F">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DEB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池面及屋面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B53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1748</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031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244.28</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F8768">
            <w:pPr>
              <w:jc w:val="center"/>
              <w:rPr>
                <w:rFonts w:ascii="宋体" w:hAnsi="宋体" w:eastAsia="宋体" w:cs="宋体"/>
                <w:color w:val="auto"/>
                <w:szCs w:val="21"/>
                <w:highlight w:val="none"/>
              </w:rPr>
            </w:pPr>
          </w:p>
        </w:tc>
      </w:tr>
      <w:tr w14:paraId="3E33533C">
        <w:tblPrEx>
          <w:tblCellMar>
            <w:top w:w="0" w:type="dxa"/>
            <w:left w:w="108" w:type="dxa"/>
            <w:bottom w:w="0" w:type="dxa"/>
            <w:right w:w="108" w:type="dxa"/>
          </w:tblCellMar>
        </w:tblPrEx>
        <w:trPr>
          <w:trHeight w:val="580" w:hRule="atLeast"/>
          <w:jc w:val="cent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23F5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常平沙湖口水质净化厂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86A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B62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3714.13</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BD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852.5</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51C4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二期综合楼、辅助用房加装步梯</w:t>
            </w:r>
          </w:p>
        </w:tc>
      </w:tr>
      <w:tr w14:paraId="1183C952">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BDD74">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207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894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5699.5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981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1308.2</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8B3D">
            <w:pPr>
              <w:jc w:val="center"/>
              <w:rPr>
                <w:rFonts w:ascii="宋体" w:hAnsi="宋体" w:eastAsia="宋体" w:cs="宋体"/>
                <w:color w:val="auto"/>
                <w:szCs w:val="21"/>
                <w:highlight w:val="none"/>
              </w:rPr>
            </w:pPr>
          </w:p>
        </w:tc>
      </w:tr>
      <w:tr w14:paraId="2C35B095">
        <w:tblPrEx>
          <w:tblCellMar>
            <w:top w:w="0" w:type="dxa"/>
            <w:left w:w="108" w:type="dxa"/>
            <w:bottom w:w="0" w:type="dxa"/>
            <w:right w:w="108" w:type="dxa"/>
          </w:tblCellMar>
        </w:tblPrEx>
        <w:trPr>
          <w:trHeight w:val="580" w:hRule="atLeast"/>
          <w:jc w:val="center"/>
        </w:trPr>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1519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高埗低涌水质净化厂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8C3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池面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38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950.82</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7F5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218.24</w:t>
            </w:r>
          </w:p>
        </w:tc>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3A96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二期综合楼加装步梯</w:t>
            </w:r>
          </w:p>
        </w:tc>
      </w:tr>
      <w:tr w14:paraId="568B000E">
        <w:tblPrEx>
          <w:tblCellMar>
            <w:top w:w="0" w:type="dxa"/>
            <w:left w:w="108" w:type="dxa"/>
            <w:bottom w:w="0" w:type="dxa"/>
            <w:right w:w="108" w:type="dxa"/>
          </w:tblCellMar>
        </w:tblPrEx>
        <w:trPr>
          <w:trHeight w:val="580" w:hRule="atLeast"/>
          <w:jc w:val="center"/>
        </w:trPr>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7DEE">
            <w:pPr>
              <w:jc w:val="center"/>
              <w:rPr>
                <w:rFonts w:ascii="宋体" w:hAnsi="宋体" w:eastAsia="宋体" w:cs="宋体"/>
                <w:color w:val="auto"/>
                <w:szCs w:val="21"/>
                <w:highlight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F55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屋面</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9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3962.65</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4E4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909.54</w:t>
            </w:r>
          </w:p>
        </w:tc>
        <w:tc>
          <w:tcPr>
            <w:tcW w:w="2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4653">
            <w:pPr>
              <w:jc w:val="center"/>
              <w:rPr>
                <w:rFonts w:ascii="宋体" w:hAnsi="宋体" w:eastAsia="宋体" w:cs="宋体"/>
                <w:color w:val="auto"/>
                <w:szCs w:val="21"/>
                <w:highlight w:val="none"/>
              </w:rPr>
            </w:pPr>
          </w:p>
        </w:tc>
      </w:tr>
      <w:tr w14:paraId="758D9619">
        <w:tblPrEx>
          <w:tblCellMar>
            <w:top w:w="0" w:type="dxa"/>
            <w:left w:w="108" w:type="dxa"/>
            <w:bottom w:w="0" w:type="dxa"/>
            <w:right w:w="108" w:type="dxa"/>
          </w:tblCellMar>
        </w:tblPrEx>
        <w:trPr>
          <w:trHeight w:val="580" w:hRule="atLeast"/>
          <w:jc w:val="center"/>
        </w:trPr>
        <w:tc>
          <w:tcPr>
            <w:tcW w:w="5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26311">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暂定总装机容量（单位：kWp）</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49FD">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b/>
                <w:bCs/>
                <w:color w:val="auto"/>
                <w:kern w:val="0"/>
                <w:szCs w:val="21"/>
                <w:highlight w:val="none"/>
                <w:lang w:bidi="ar"/>
              </w:rPr>
              <w:t>13529.02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A1E3">
            <w:pPr>
              <w:jc w:val="center"/>
              <w:rPr>
                <w:rFonts w:ascii="宋体" w:hAnsi="宋体" w:eastAsia="宋体" w:cs="宋体"/>
                <w:color w:val="auto"/>
                <w:szCs w:val="21"/>
                <w:highlight w:val="none"/>
              </w:rPr>
            </w:pPr>
          </w:p>
        </w:tc>
      </w:tr>
      <w:tr w14:paraId="705D62DC">
        <w:tblPrEx>
          <w:tblCellMar>
            <w:top w:w="0" w:type="dxa"/>
            <w:left w:w="108" w:type="dxa"/>
            <w:bottom w:w="0" w:type="dxa"/>
            <w:right w:w="108" w:type="dxa"/>
          </w:tblCellMar>
        </w:tblPrEx>
        <w:trPr>
          <w:trHeight w:val="580" w:hRule="atLeast"/>
          <w:jc w:val="center"/>
        </w:trPr>
        <w:tc>
          <w:tcPr>
            <w:tcW w:w="100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E089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注：新增踏步钢梯费用由投标人承担，投标人须在投标报价中全额计入此项费用，中标后不再另行调整。</w:t>
            </w:r>
          </w:p>
        </w:tc>
      </w:tr>
    </w:tbl>
    <w:p w14:paraId="187CFF65">
      <w:pPr>
        <w:spacing w:line="360" w:lineRule="auto"/>
        <w:ind w:firstLine="420" w:firstLineChars="200"/>
        <w:outlineLvl w:val="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2、服务内容：</w:t>
      </w:r>
    </w:p>
    <w:p w14:paraId="28FEE0F7">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本项目按图纸、用户需求书、合同范围总承包，</w:t>
      </w:r>
      <w:r>
        <w:rPr>
          <w:rFonts w:hint="eastAsia" w:hAnsi="宋体" w:cs="仿宋"/>
          <w:color w:val="auto"/>
          <w:szCs w:val="21"/>
          <w:highlight w:val="none"/>
        </w:rPr>
        <w:t>包括但不限于完成太阳能光伏组件至并网点全部项目的勘察与设计、设备材料供应及安装（含并网设施、光伏组件、交流汇流箱、逆变器、开关柜、光伏支架、电缆、监控、防雷及</w:t>
      </w:r>
      <w:r>
        <w:rPr>
          <w:rFonts w:hint="eastAsia" w:hAnsi="宋体" w:cs="仿宋"/>
          <w:color w:val="auto"/>
          <w:szCs w:val="21"/>
          <w:highlight w:val="none"/>
          <w:lang w:val="zh-CN"/>
        </w:rPr>
        <w:t>安全等配套设施</w:t>
      </w:r>
      <w:r>
        <w:rPr>
          <w:rFonts w:hint="eastAsia" w:hAnsi="宋体" w:cs="仿宋"/>
          <w:color w:val="auto"/>
          <w:szCs w:val="21"/>
          <w:highlight w:val="none"/>
        </w:rPr>
        <w:t>等光伏发电项目所有设备材料，运输、储存），以及在各水质净化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w:t>
      </w:r>
      <w:r>
        <w:rPr>
          <w:rFonts w:hint="eastAsia" w:hAnsi="宋体" w:cs="宋体"/>
          <w:bCs/>
          <w:color w:val="auto"/>
          <w:szCs w:val="21"/>
          <w:highlight w:val="none"/>
        </w:rPr>
        <w:t>，以及供电局所需的试验</w:t>
      </w:r>
      <w:r>
        <w:rPr>
          <w:rFonts w:hint="eastAsia" w:hAnsi="宋体" w:cs="仿宋"/>
          <w:color w:val="auto"/>
          <w:szCs w:val="21"/>
          <w:highlight w:val="none"/>
        </w:rPr>
        <w:t>）并交付生产、培训、质量保修期内的消缺等</w:t>
      </w:r>
      <w:r>
        <w:rPr>
          <w:rFonts w:hint="eastAsia" w:hAnsi="宋体" w:cs="宋体"/>
          <w:color w:val="auto"/>
          <w:szCs w:val="21"/>
          <w:highlight w:val="none"/>
        </w:rPr>
        <w:t>完成并网投运</w:t>
      </w:r>
      <w:r>
        <w:rPr>
          <w:rFonts w:hint="eastAsia" w:hAnsi="宋体" w:cs="仿宋"/>
          <w:color w:val="auto"/>
          <w:szCs w:val="21"/>
          <w:highlight w:val="none"/>
        </w:rPr>
        <w:t>全过程的工作，办理从项目备案到供电局并网投运全过程中所需的各类手续，在满足合同其它责任和义务的同时使本项目符合相关达标验收的要求，提供1年的</w:t>
      </w:r>
      <w:r>
        <w:rPr>
          <w:rFonts w:hint="eastAsia" w:hAnsi="宋体" w:cs="仿宋"/>
          <w:color w:val="auto"/>
          <w:szCs w:val="21"/>
          <w:highlight w:val="none"/>
          <w:lang w:val="zh-CN"/>
        </w:rPr>
        <w:t>运营维护服务</w:t>
      </w:r>
      <w:r>
        <w:rPr>
          <w:rFonts w:hint="eastAsia" w:hAnsi="宋体" w:cs="宋体"/>
          <w:color w:val="auto"/>
          <w:szCs w:val="21"/>
          <w:highlight w:val="none"/>
        </w:rPr>
        <w:t>。</w:t>
      </w:r>
    </w:p>
    <w:p w14:paraId="579CAB7D">
      <w:pPr>
        <w:spacing w:line="360" w:lineRule="auto"/>
        <w:outlineLvl w:val="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三、费用说明</w:t>
      </w:r>
    </w:p>
    <w:p w14:paraId="4B928AA4">
      <w:pPr>
        <w:widowControl/>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项目经供电局验收通过且全容量并网发电后1年内的全部运维费（含日常办公、设备巡检、维修养护、组件清洗、耗材更换、人员工资及保险、管理酬金等所有相关费用）均已包含在总承包费用中，中标人须自行承担上述全部成本，招标人不再另行支付任何费用。</w:t>
      </w:r>
    </w:p>
    <w:p w14:paraId="0A0030FE">
      <w:pPr>
        <w:pStyle w:val="21"/>
        <w:autoSpaceDE/>
        <w:autoSpaceDN/>
        <w:adjustRightInd/>
        <w:spacing w:line="360" w:lineRule="auto"/>
        <w:ind w:right="0" w:firstLine="422" w:firstLineChars="200"/>
        <w:jc w:val="left"/>
        <w:rPr>
          <w:rFonts w:hAnsi="宋体" w:cs="宋体"/>
          <w:color w:val="auto"/>
          <w:sz w:val="21"/>
          <w:szCs w:val="21"/>
          <w:highlight w:val="none"/>
          <w:lang w:val="en-US"/>
        </w:rPr>
      </w:pPr>
      <w:r>
        <w:rPr>
          <w:rFonts w:hint="eastAsia" w:hAnsi="宋体" w:cs="宋体"/>
          <w:color w:val="auto"/>
          <w:sz w:val="21"/>
          <w:szCs w:val="21"/>
          <w:highlight w:val="none"/>
          <w:lang w:val="en-US"/>
        </w:rPr>
        <w:t>★2、</w:t>
      </w:r>
      <w:r>
        <w:rPr>
          <w:rFonts w:hint="eastAsia" w:hAnsi="宋体" w:cs="宋体"/>
          <w:color w:val="auto"/>
          <w:sz w:val="21"/>
          <w:szCs w:val="21"/>
          <w:highlight w:val="none"/>
          <w:u w:val="single"/>
          <w:lang w:val="en-US"/>
        </w:rPr>
        <w:t>投标人需提供</w:t>
      </w:r>
      <w:r>
        <w:rPr>
          <w:rFonts w:hint="eastAsia" w:hAnsi="宋体" w:cs="宋体"/>
          <w:color w:val="auto"/>
          <w:sz w:val="21"/>
          <w:szCs w:val="21"/>
          <w:highlight w:val="none"/>
          <w:u w:val="single"/>
          <w:lang w:val="en-US" w:eastAsia="zh-CN"/>
        </w:rPr>
        <w:t>72块预留</w:t>
      </w:r>
      <w:r>
        <w:rPr>
          <w:rFonts w:hint="eastAsia" w:hAnsi="宋体" w:cs="宋体"/>
          <w:color w:val="auto"/>
          <w:sz w:val="21"/>
          <w:szCs w:val="21"/>
          <w:highlight w:val="none"/>
          <w:u w:val="single"/>
          <w:lang w:val="en-US"/>
        </w:rPr>
        <w:t>光伏组件作为招标人在项目整体质保期满后运维使用，根据招标人的要求送货到指定地点，费用包含在总承包费用</w:t>
      </w:r>
      <w:r>
        <w:rPr>
          <w:rFonts w:hint="eastAsia" w:hAnsi="宋体" w:cs="宋体"/>
          <w:color w:val="auto"/>
          <w:sz w:val="21"/>
          <w:szCs w:val="21"/>
          <w:highlight w:val="none"/>
          <w:u w:val="single"/>
          <w:lang w:val="en-US" w:eastAsia="zh-CN"/>
        </w:rPr>
        <w:t>（固定每瓦单价）</w:t>
      </w:r>
      <w:r>
        <w:rPr>
          <w:rFonts w:hint="eastAsia" w:hAnsi="宋体" w:cs="宋体"/>
          <w:color w:val="auto"/>
          <w:sz w:val="21"/>
          <w:szCs w:val="21"/>
          <w:highlight w:val="none"/>
          <w:u w:val="single"/>
          <w:lang w:val="en-US"/>
        </w:rPr>
        <w:t>中</w:t>
      </w:r>
      <w:r>
        <w:rPr>
          <w:rFonts w:hint="eastAsia" w:hAnsi="宋体" w:cs="宋体"/>
          <w:color w:val="auto"/>
          <w:sz w:val="21"/>
          <w:szCs w:val="21"/>
          <w:highlight w:val="none"/>
          <w:u w:val="single"/>
          <w:lang w:val="en-US" w:eastAsia="zh-CN"/>
        </w:rPr>
        <w:t>，不另行计费</w:t>
      </w:r>
      <w:r>
        <w:rPr>
          <w:rFonts w:hint="eastAsia" w:hAnsi="宋体" w:cs="宋体"/>
          <w:color w:val="auto"/>
          <w:sz w:val="21"/>
          <w:szCs w:val="21"/>
          <w:highlight w:val="none"/>
          <w:lang w:val="en-US"/>
        </w:rPr>
        <w:t>。</w:t>
      </w:r>
    </w:p>
    <w:p w14:paraId="408855FD">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3、项目实施过程中，与本项目相关的原建（构）筑物的拆除、设备迁改（生产设备除外）、原彩钢瓦屋顶、车棚顶拆除或为方便厂区后期运维，按厂区要求增设的室外楼梯（钢结构）和安全线缆等，其费用包含在总承包费用里。</w:t>
      </w:r>
    </w:p>
    <w:p w14:paraId="0C21C894">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4、项目实施过程中需按要求办理项目的全部手续及合规性工作，包括但不限于：（1）向项目所在地相关主管部门办理备案手续；（2）供电局对项目接入意见办理、接入方案的设计、评审、接入施工图纸的设计、评审、接入系统的设备、材料的采购、施工、调试以及竣工验收；（3）政府部门或售电公司上网项目核准；（4）为满足并网条件，需按供电局要求完成线路改造、安健环改造、网络安防、电能质量优化及调度控制系统建设等相关工作。前述所有手续的办理、协调及实施费用均已包含在总承包费用中，不因任何原因调整总承包费用。投标人须自行承担因手续延误或变更产生的全部责任及额外成本。</w:t>
      </w:r>
    </w:p>
    <w:p w14:paraId="702699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投标人需负责项目招标范围内的设计、供货、施工和验收及满足并网投运所需要的一切手续，即便在招标范围内没有载明，但实际证明是确保项目发电运行所必须的，则需纳入设计、采购、安装及提供服务范围。</w:t>
      </w:r>
    </w:p>
    <w:p w14:paraId="17CAC0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6、接入方式以供电局批复为准；技术要求以</w:t>
      </w:r>
      <w:r>
        <w:rPr>
          <w:rFonts w:hint="eastAsia" w:ascii="宋体" w:hAnsi="宋体" w:eastAsia="宋体" w:cs="宋体"/>
          <w:color w:val="auto"/>
          <w:highlight w:val="none"/>
        </w:rPr>
        <w:t>本用户需求书“五、光伏发电设施技术要求”</w:t>
      </w:r>
      <w:r>
        <w:rPr>
          <w:rFonts w:hint="eastAsia" w:ascii="宋体" w:hAnsi="宋体" w:eastAsia="宋体" w:cs="宋体"/>
          <w:color w:val="auto"/>
          <w:szCs w:val="21"/>
          <w:highlight w:val="none"/>
        </w:rPr>
        <w:t>为准。根据项目的要求，等保测评、涉网试验等包括在本次招标范围内。</w:t>
      </w:r>
    </w:p>
    <w:p w14:paraId="089A0022">
      <w:pPr>
        <w:spacing w:line="360" w:lineRule="auto"/>
        <w:outlineLvl w:val="1"/>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四</w:t>
      </w:r>
      <w:r>
        <w:rPr>
          <w:rFonts w:hint="eastAsia" w:ascii="宋体" w:hAnsi="宋体" w:eastAsia="宋体" w:cs="宋体"/>
          <w:b/>
          <w:color w:val="auto"/>
          <w:szCs w:val="21"/>
          <w:highlight w:val="none"/>
          <w:lang w:val="zh-CN"/>
        </w:rPr>
        <w:t>、设计规范和设计依据</w:t>
      </w:r>
    </w:p>
    <w:p w14:paraId="66AC0793">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（1）建筑平面、总平面；其他相关专业提出的要求。</w:t>
      </w:r>
    </w:p>
    <w:p w14:paraId="60BCDB97">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（2）招标人所提供的可行性研究报告、房屋检定报告、原厂区设计图纸等资料。</w:t>
      </w:r>
    </w:p>
    <w:p w14:paraId="15265113">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（3）国家及省的有关规范、标准、规程：</w:t>
      </w:r>
    </w:p>
    <w:p w14:paraId="64B000C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《光伏发电站防雷技术规程》 DL/T 1364-2014(国家能源局)</w:t>
      </w:r>
    </w:p>
    <w:p w14:paraId="3314747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《光伏并网逆变器技术规范》 NB/T 32004-2018(国家能源局)</w:t>
      </w:r>
    </w:p>
    <w:p w14:paraId="16DA9DC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《光伏发电站电能质量检测技术规程》 NB/T 32006-2013(国家能源局)</w:t>
      </w:r>
    </w:p>
    <w:p w14:paraId="41382C47">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《光伏发电站功率预测系统技术要求》 NB/T 32011-2013(国家能源局)</w:t>
      </w:r>
    </w:p>
    <w:p w14:paraId="444A0AFC">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《光伏发电站防孤岛效应检测技术规程》 NB/T 32014-2013(国家能源局)</w:t>
      </w:r>
    </w:p>
    <w:p w14:paraId="72D425D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《并网光伏发电监控系统技术规范》 NB/T 32016-2013(国家能源局)</w:t>
      </w:r>
    </w:p>
    <w:p w14:paraId="3380A51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《太阳能光伏系统防雷技术规范》 QX/T 263-2015(中国气象局)</w:t>
      </w:r>
    </w:p>
    <w:p w14:paraId="72977EC1">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《光伏发电接入配电网设计规范》 GB/T 50865-2013</w:t>
      </w:r>
    </w:p>
    <w:p w14:paraId="7206C4EC">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《光伏发电站接入电力系统设计规范》 GB/T 50866-2013</w:t>
      </w:r>
    </w:p>
    <w:p w14:paraId="1EE60F2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《光伏发电站继电保护技术规范》 GB/T 32900-2016</w:t>
      </w:r>
    </w:p>
    <w:p w14:paraId="004758E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《分布式光伏发电系统接入电网技术规范》 Q/CSG_1211001-2014</w:t>
      </w:r>
    </w:p>
    <w:p w14:paraId="63376E7A">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《光伏发电站接入电网技术规范》 Q/CSG_1211002-2014</w:t>
      </w:r>
    </w:p>
    <w:p w14:paraId="18B60011">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《光伏发电并网技术标准》 Q/CSG_1211006-2016</w:t>
      </w:r>
    </w:p>
    <w:p w14:paraId="63601DB0">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《并网光伏发电站监控系统技术规范》 Q/CSG_1211011-2016</w:t>
      </w:r>
    </w:p>
    <w:p w14:paraId="5611CAD4">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《光伏发电站设计标准》 GB50797-2012</w:t>
      </w:r>
    </w:p>
    <w:p w14:paraId="7CB2EDDF">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《建筑结构荷载规范》 GB50009-2012</w:t>
      </w:r>
    </w:p>
    <w:p w14:paraId="5E2837ED">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《建筑物防雷设计规范》 GB50057-2010</w:t>
      </w:r>
    </w:p>
    <w:p w14:paraId="2C87579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且包含未明列但属国家或地方规定的其他强制执行标准或规范（条款）</w:t>
      </w:r>
    </w:p>
    <w:p w14:paraId="1ADD2755">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五、</w:t>
      </w:r>
      <w:r>
        <w:rPr>
          <w:rFonts w:hint="eastAsia" w:ascii="宋体" w:hAnsi="宋体" w:eastAsia="宋体" w:cs="宋体"/>
          <w:b/>
          <w:color w:val="auto"/>
          <w:szCs w:val="21"/>
          <w:highlight w:val="none"/>
          <w:lang w:val="zh-CN"/>
        </w:rPr>
        <w:t>光伏发电设施技术要求</w:t>
      </w:r>
    </w:p>
    <w:p w14:paraId="432A0AF4">
      <w:pPr>
        <w:wordWrap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1、光伏组件</w:t>
      </w:r>
    </w:p>
    <w:p w14:paraId="11551FD5">
      <w:pPr>
        <w:wordWrap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（1）光伏组件光伏发电系统采用高效单晶硅光伏组件，单块容量620Wp</w:t>
      </w:r>
      <w:r>
        <w:rPr>
          <w:rFonts w:hint="eastAsia" w:ascii="宋体" w:hAnsi="宋体" w:eastAsia="宋体" w:cs="宋体"/>
          <w:b/>
          <w:bCs/>
          <w:color w:val="auto"/>
          <w:spacing w:val="-2"/>
          <w:szCs w:val="21"/>
          <w:highlight w:val="none"/>
        </w:rPr>
        <w:t>～</w:t>
      </w:r>
      <w:r>
        <w:rPr>
          <w:rFonts w:hint="eastAsia" w:ascii="宋体" w:hAnsi="宋体" w:eastAsia="宋体" w:cs="宋体"/>
          <w:b/>
          <w:bCs/>
          <w:color w:val="auto"/>
          <w:spacing w:val="-2"/>
          <w:szCs w:val="21"/>
          <w:highlight w:val="none"/>
          <w:lang w:val="en-US" w:eastAsia="zh-CN"/>
        </w:rPr>
        <w:t>650</w:t>
      </w:r>
      <w:r>
        <w:rPr>
          <w:rFonts w:hint="eastAsia" w:ascii="宋体" w:hAnsi="宋体" w:eastAsia="宋体" w:cs="宋体"/>
          <w:b/>
          <w:bCs/>
          <w:color w:val="auto"/>
          <w:spacing w:val="-2"/>
          <w:szCs w:val="21"/>
          <w:highlight w:val="none"/>
        </w:rPr>
        <w:t>Wp</w:t>
      </w:r>
      <w:r>
        <w:rPr>
          <w:rFonts w:hint="eastAsia" w:ascii="宋体" w:hAnsi="宋体" w:eastAsia="宋体" w:cs="宋体"/>
          <w:b/>
          <w:color w:val="auto"/>
          <w:szCs w:val="21"/>
          <w:highlight w:val="none"/>
        </w:rPr>
        <w:t>,具体参数如下：</w:t>
      </w:r>
    </w:p>
    <w:p w14:paraId="79E8D3F4">
      <w:pPr>
        <w:wordWrap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pacing w:val="13"/>
          <w:szCs w:val="21"/>
          <w:highlight w:val="none"/>
        </w:rPr>
        <w:t>光伏组</w:t>
      </w:r>
      <w:r>
        <w:rPr>
          <w:rFonts w:hint="eastAsia" w:ascii="宋体" w:hAnsi="宋体" w:eastAsia="宋体" w:cs="宋体"/>
          <w:b/>
          <w:color w:val="auto"/>
          <w:spacing w:val="8"/>
          <w:szCs w:val="21"/>
          <w:highlight w:val="none"/>
        </w:rPr>
        <w:t>件主要技术参数表</w:t>
      </w:r>
    </w:p>
    <w:tbl>
      <w:tblPr>
        <w:tblStyle w:val="46"/>
        <w:tblW w:w="5023"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874"/>
        <w:gridCol w:w="5333"/>
      </w:tblGrid>
      <w:tr w14:paraId="77075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FE01CC3">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型号规</w:t>
            </w:r>
            <w:r>
              <w:rPr>
                <w:rFonts w:hint="eastAsia" w:ascii="宋体" w:hAnsi="宋体" w:eastAsia="宋体" w:cs="宋体"/>
                <w:color w:val="auto"/>
                <w:spacing w:val="5"/>
                <w:szCs w:val="21"/>
                <w:highlight w:val="none"/>
              </w:rPr>
              <w:t>格</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0CBEE41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单晶硅双面双玻</w:t>
            </w:r>
            <w:r>
              <w:rPr>
                <w:rFonts w:hint="eastAsia" w:ascii="宋体" w:hAnsi="宋体" w:eastAsia="宋体" w:cs="宋体"/>
                <w:color w:val="auto"/>
                <w:spacing w:val="-2"/>
                <w:szCs w:val="21"/>
                <w:highlight w:val="none"/>
              </w:rPr>
              <w:t>620Wp</w:t>
            </w:r>
            <w:r>
              <w:rPr>
                <w:rFonts w:hint="eastAsia" w:ascii="宋体" w:hAnsi="宋体" w:eastAsia="宋体" w:cs="宋体"/>
                <w:b/>
                <w:bCs/>
                <w:color w:val="auto"/>
                <w:spacing w:val="-2"/>
                <w:szCs w:val="21"/>
                <w:highlight w:val="none"/>
              </w:rPr>
              <w:t>～</w:t>
            </w:r>
            <w:r>
              <w:rPr>
                <w:rFonts w:hint="eastAsia" w:ascii="宋体" w:hAnsi="宋体" w:eastAsia="宋体" w:cs="宋体"/>
                <w:color w:val="auto"/>
                <w:spacing w:val="-2"/>
                <w:szCs w:val="21"/>
                <w:highlight w:val="none"/>
                <w:lang w:val="en-US" w:eastAsia="zh-CN"/>
              </w:rPr>
              <w:t>650Wp</w:t>
            </w:r>
          </w:p>
        </w:tc>
      </w:tr>
      <w:tr w14:paraId="2432B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A6D75D3">
            <w:pPr>
              <w:spacing w:line="360" w:lineRule="auto"/>
              <w:jc w:val="center"/>
              <w:rPr>
                <w:rFonts w:ascii="宋体" w:hAnsi="宋体" w:eastAsia="宋体" w:cs="宋体"/>
                <w:color w:val="auto"/>
                <w:szCs w:val="21"/>
                <w:highlight w:val="none"/>
              </w:rPr>
            </w:pPr>
            <w:bookmarkStart w:id="710" w:name="OLE_LINK42"/>
            <w:r>
              <w:rPr>
                <w:rFonts w:hint="eastAsia" w:ascii="宋体" w:hAnsi="宋体" w:eastAsia="宋体" w:cs="宋体"/>
                <w:color w:val="auto"/>
                <w:spacing w:val="1"/>
                <w:szCs w:val="21"/>
                <w:highlight w:val="none"/>
              </w:rPr>
              <w:t>标称功率</w:t>
            </w:r>
            <w:bookmarkEnd w:id="710"/>
            <w:r>
              <w:rPr>
                <w:rFonts w:hint="eastAsia" w:ascii="宋体" w:hAnsi="宋体" w:eastAsia="宋体" w:cs="宋体"/>
                <w:color w:val="auto"/>
                <w:szCs w:val="21"/>
                <w:highlight w:val="none"/>
              </w:rPr>
              <w:t>(W)</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5F7A4AE2">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620</w:t>
            </w:r>
            <w:r>
              <w:rPr>
                <w:rFonts w:hint="eastAsia" w:ascii="宋体" w:hAnsi="宋体" w:eastAsia="宋体" w:cs="宋体"/>
                <w:color w:val="auto"/>
                <w:szCs w:val="21"/>
                <w:highlight w:val="none"/>
                <w:lang w:val="en-US" w:eastAsia="zh-CN"/>
              </w:rPr>
              <w:t>Wp</w:t>
            </w:r>
            <w:r>
              <w:rPr>
                <w:rFonts w:hint="eastAsia" w:ascii="宋体" w:hAnsi="宋体" w:eastAsia="宋体" w:cs="宋体"/>
                <w:b/>
                <w:bCs/>
                <w:color w:val="auto"/>
                <w:spacing w:val="-2"/>
                <w:szCs w:val="21"/>
                <w:highlight w:val="none"/>
              </w:rPr>
              <w:t>～</w:t>
            </w:r>
            <w:r>
              <w:rPr>
                <w:rFonts w:hint="eastAsia" w:ascii="宋体" w:hAnsi="宋体" w:eastAsia="宋体" w:cs="宋体"/>
                <w:color w:val="auto"/>
                <w:spacing w:val="-2"/>
                <w:szCs w:val="21"/>
                <w:highlight w:val="none"/>
                <w:lang w:val="en-US" w:eastAsia="zh-CN"/>
              </w:rPr>
              <w:t>650Wp</w:t>
            </w:r>
          </w:p>
        </w:tc>
      </w:tr>
      <w:tr w14:paraId="4F172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320742C">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组</w:t>
            </w:r>
            <w:r>
              <w:rPr>
                <w:rFonts w:hint="eastAsia" w:ascii="宋体" w:hAnsi="宋体" w:eastAsia="宋体" w:cs="宋体"/>
                <w:color w:val="auto"/>
                <w:spacing w:val="-5"/>
                <w:szCs w:val="21"/>
                <w:highlight w:val="none"/>
              </w:rPr>
              <w:t>件效率(</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25892361">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23</w:t>
            </w:r>
          </w:p>
        </w:tc>
      </w:tr>
      <w:tr w14:paraId="07DEC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17A40CE">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7FBEA5B">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r>
      <w:tr w14:paraId="3E756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5BCFD4B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次年后每年功率衰减率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7EF73497">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0.4</w:t>
            </w:r>
          </w:p>
        </w:tc>
      </w:tr>
      <w:tr w14:paraId="09A38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412C04D0">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25年后</w:t>
            </w:r>
            <w:r>
              <w:rPr>
                <w:rFonts w:hint="eastAsia" w:ascii="宋体" w:hAnsi="宋体" w:eastAsia="宋体" w:cs="宋体"/>
                <w:color w:val="auto"/>
                <w:szCs w:val="21"/>
                <w:highlight w:val="none"/>
              </w:rPr>
              <w:t>功率衰减率</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566C2223">
            <w:pPr>
              <w:spacing w:line="360" w:lineRule="auto"/>
              <w:jc w:val="center"/>
              <w:rPr>
                <w:rFonts w:ascii="宋体" w:hAnsi="宋体" w:eastAsia="宋体" w:cs="宋体"/>
                <w:color w:val="auto"/>
                <w:spacing w:val="-12"/>
                <w:position w:val="1"/>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pacing w:val="-2"/>
                <w:szCs w:val="21"/>
                <w:highlight w:val="none"/>
              </w:rPr>
              <w:t>13</w:t>
            </w:r>
          </w:p>
        </w:tc>
      </w:tr>
      <w:tr w14:paraId="180E8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1A6BF5CB">
            <w:pPr>
              <w:spacing w:line="360" w:lineRule="auto"/>
              <w:jc w:val="center"/>
              <w:rPr>
                <w:rFonts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功率公差(</w:t>
            </w:r>
            <w:r>
              <w:rPr>
                <w:rFonts w:hint="eastAsia" w:ascii="宋体" w:hAnsi="宋体" w:eastAsia="宋体" w:cs="宋体"/>
                <w:color w:val="auto"/>
                <w:spacing w:val="2"/>
                <w:position w:val="-1"/>
                <w:szCs w:val="21"/>
                <w:highlight w:val="none"/>
              </w:rPr>
              <w:t>%</w:t>
            </w:r>
            <w:r>
              <w:rPr>
                <w:rFonts w:hint="eastAsia" w:ascii="宋体" w:hAnsi="宋体" w:eastAsia="宋体" w:cs="宋体"/>
                <w:color w:val="auto"/>
                <w:spacing w:val="5"/>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512A0F30">
            <w:pPr>
              <w:spacing w:line="360" w:lineRule="auto"/>
              <w:jc w:val="center"/>
              <w:rPr>
                <w:rFonts w:ascii="宋体" w:hAnsi="宋体" w:eastAsia="宋体" w:cs="宋体"/>
                <w:color w:val="auto"/>
                <w:spacing w:val="-12"/>
                <w:position w:val="1"/>
                <w:szCs w:val="21"/>
                <w:highlight w:val="none"/>
              </w:rPr>
            </w:pPr>
            <w:r>
              <w:rPr>
                <w:rFonts w:hint="eastAsia" w:ascii="宋体" w:hAnsi="宋体" w:eastAsia="宋体" w:cs="宋体"/>
                <w:color w:val="auto"/>
                <w:spacing w:val="2"/>
                <w:position w:val="-1"/>
                <w:szCs w:val="21"/>
                <w:highlight w:val="none"/>
              </w:rPr>
              <w:t>0</w:t>
            </w:r>
            <w:r>
              <w:rPr>
                <w:rFonts w:hint="eastAsia" w:ascii="宋体" w:hAnsi="宋体" w:eastAsia="宋体" w:cs="宋体"/>
                <w:color w:val="auto"/>
                <w:spacing w:val="5"/>
                <w:szCs w:val="21"/>
                <w:highlight w:val="none"/>
              </w:rPr>
              <w:t>⁓+</w:t>
            </w:r>
            <w:r>
              <w:rPr>
                <w:rFonts w:hint="eastAsia" w:ascii="宋体" w:hAnsi="宋体" w:eastAsia="宋体" w:cs="宋体"/>
                <w:color w:val="auto"/>
                <w:spacing w:val="2"/>
                <w:position w:val="-1"/>
                <w:szCs w:val="21"/>
                <w:highlight w:val="none"/>
              </w:rPr>
              <w:t>3</w:t>
            </w:r>
          </w:p>
        </w:tc>
      </w:tr>
      <w:tr w14:paraId="12B2C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7B8E93D0">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6"/>
                <w:szCs w:val="21"/>
                <w:highlight w:val="none"/>
              </w:rPr>
              <w:t>功</w:t>
            </w:r>
            <w:r>
              <w:rPr>
                <w:rFonts w:hint="eastAsia" w:ascii="宋体" w:hAnsi="宋体" w:eastAsia="宋体" w:cs="宋体"/>
                <w:color w:val="auto"/>
                <w:spacing w:val="5"/>
                <w:szCs w:val="21"/>
                <w:highlight w:val="none"/>
              </w:rPr>
              <w:t>率误差(%)</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13A262F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12"/>
                <w:position w:val="1"/>
                <w:szCs w:val="21"/>
                <w:highlight w:val="none"/>
              </w:rPr>
              <w:t>±</w:t>
            </w:r>
            <w:r>
              <w:rPr>
                <w:rFonts w:hint="eastAsia" w:ascii="宋体" w:hAnsi="宋体" w:eastAsia="宋体" w:cs="宋体"/>
                <w:color w:val="auto"/>
                <w:spacing w:val="-11"/>
                <w:position w:val="1"/>
                <w:szCs w:val="21"/>
                <w:highlight w:val="none"/>
              </w:rPr>
              <w:t>3</w:t>
            </w:r>
          </w:p>
        </w:tc>
      </w:tr>
      <w:tr w14:paraId="77607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0DAC1DF0">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短路电流温度系数(%/℃</w:t>
            </w:r>
            <w:r>
              <w:rPr>
                <w:rFonts w:hint="eastAsia" w:ascii="宋体" w:hAnsi="宋体" w:eastAsia="宋体" w:cs="宋体"/>
                <w:color w:val="auto"/>
                <w:spacing w:val="6"/>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E429B7A">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3"/>
                <w:position w:val="1"/>
                <w:szCs w:val="21"/>
                <w:highlight w:val="none"/>
              </w:rPr>
              <w:t>+0.0</w:t>
            </w:r>
            <w:r>
              <w:rPr>
                <w:rFonts w:hint="eastAsia" w:ascii="宋体" w:hAnsi="宋体" w:eastAsia="宋体" w:cs="宋体"/>
                <w:color w:val="auto"/>
                <w:spacing w:val="2"/>
                <w:position w:val="1"/>
                <w:szCs w:val="21"/>
                <w:highlight w:val="none"/>
              </w:rPr>
              <w:t>5</w:t>
            </w:r>
          </w:p>
        </w:tc>
      </w:tr>
      <w:tr w14:paraId="24A58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516D90B2">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开</w:t>
            </w:r>
            <w:r>
              <w:rPr>
                <w:rFonts w:hint="eastAsia" w:ascii="宋体" w:hAnsi="宋体" w:eastAsia="宋体" w:cs="宋体"/>
                <w:color w:val="auto"/>
                <w:spacing w:val="7"/>
                <w:szCs w:val="21"/>
                <w:highlight w:val="none"/>
              </w:rPr>
              <w:t>路电压温度系数(%/℃)</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8758966">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0.23</w:t>
            </w:r>
          </w:p>
        </w:tc>
      </w:tr>
      <w:tr w14:paraId="1505D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50083A3B">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最大功率温度系数(%/℃</w:t>
            </w:r>
            <w:r>
              <w:rPr>
                <w:rFonts w:hint="eastAsia" w:ascii="宋体" w:hAnsi="宋体" w:eastAsia="宋体" w:cs="宋体"/>
                <w:color w:val="auto"/>
                <w:spacing w:val="6"/>
                <w:szCs w:val="21"/>
                <w:highlight w:val="none"/>
              </w:rPr>
              <w:t>)</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0F73AF6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5"/>
                <w:szCs w:val="21"/>
                <w:highlight w:val="none"/>
              </w:rPr>
              <w:t>-</w:t>
            </w:r>
            <w:r>
              <w:rPr>
                <w:rFonts w:hint="eastAsia" w:ascii="宋体" w:hAnsi="宋体" w:eastAsia="宋体" w:cs="宋体"/>
                <w:color w:val="auto"/>
                <w:spacing w:val="3"/>
                <w:szCs w:val="21"/>
                <w:highlight w:val="none"/>
              </w:rPr>
              <w:t>0.29</w:t>
            </w:r>
          </w:p>
        </w:tc>
      </w:tr>
      <w:tr w14:paraId="789A4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4F8E1FB">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8"/>
                <w:szCs w:val="21"/>
                <w:highlight w:val="none"/>
              </w:rPr>
              <w:t>最大系统电</w:t>
            </w:r>
            <w:r>
              <w:rPr>
                <w:rFonts w:hint="eastAsia" w:ascii="宋体" w:hAnsi="宋体" w:eastAsia="宋体" w:cs="宋体"/>
                <w:color w:val="auto"/>
                <w:spacing w:val="7"/>
                <w:szCs w:val="21"/>
                <w:highlight w:val="none"/>
              </w:rPr>
              <w:t>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3B84E11C">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DC</w:t>
            </w:r>
            <w:r>
              <w:rPr>
                <w:rFonts w:hint="eastAsia" w:ascii="宋体" w:hAnsi="宋体" w:eastAsia="宋体" w:cs="宋体"/>
                <w:color w:val="auto"/>
                <w:spacing w:val="9"/>
                <w:szCs w:val="21"/>
                <w:highlight w:val="none"/>
              </w:rPr>
              <w:t>1</w:t>
            </w:r>
            <w:r>
              <w:rPr>
                <w:rFonts w:hint="eastAsia" w:ascii="宋体" w:hAnsi="宋体" w:eastAsia="宋体" w:cs="宋体"/>
                <w:color w:val="auto"/>
                <w:spacing w:val="7"/>
                <w:szCs w:val="21"/>
                <w:highlight w:val="none"/>
              </w:rPr>
              <w:t>500</w:t>
            </w:r>
            <w:r>
              <w:rPr>
                <w:rFonts w:hint="eastAsia" w:ascii="宋体" w:hAnsi="宋体" w:eastAsia="宋体" w:cs="宋体"/>
                <w:color w:val="auto"/>
                <w:szCs w:val="21"/>
                <w:highlight w:val="none"/>
              </w:rPr>
              <w:t>V（IEC）</w:t>
            </w:r>
          </w:p>
        </w:tc>
      </w:tr>
      <w:tr w14:paraId="4DC5F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20833245">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工作温度范围</w:t>
            </w:r>
            <w:r>
              <w:rPr>
                <w:rFonts w:hint="eastAsia" w:ascii="宋体" w:hAnsi="宋体" w:eastAsia="宋体" w:cs="宋体"/>
                <w:color w:val="auto"/>
                <w:spacing w:val="6"/>
                <w:szCs w:val="21"/>
                <w:highlight w:val="none"/>
              </w:rPr>
              <w:t>(</w:t>
            </w:r>
            <w:r>
              <w:rPr>
                <w:rFonts w:hint="eastAsia" w:ascii="宋体" w:hAnsi="宋体" w:eastAsia="宋体" w:cs="宋体"/>
                <w:color w:val="auto"/>
                <w:spacing w:val="5"/>
                <w:szCs w:val="21"/>
                <w:highlight w:val="none"/>
              </w:rPr>
              <w:t>℃，高温±5℃)</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4D94887">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7"/>
                <w:szCs w:val="21"/>
                <w:highlight w:val="none"/>
              </w:rPr>
              <w:t>-</w:t>
            </w:r>
            <w:r>
              <w:rPr>
                <w:rFonts w:hint="eastAsia" w:ascii="宋体" w:hAnsi="宋体" w:eastAsia="宋体" w:cs="宋体"/>
                <w:color w:val="auto"/>
                <w:spacing w:val="5"/>
                <w:szCs w:val="21"/>
                <w:highlight w:val="none"/>
              </w:rPr>
              <w:t>40 ⁓+85</w:t>
            </w:r>
          </w:p>
        </w:tc>
      </w:tr>
      <w:tr w14:paraId="37C8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374A4D90">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9"/>
                <w:szCs w:val="21"/>
                <w:highlight w:val="none"/>
              </w:rPr>
              <w:t>接</w:t>
            </w:r>
            <w:r>
              <w:rPr>
                <w:rFonts w:hint="eastAsia" w:ascii="宋体" w:hAnsi="宋体" w:eastAsia="宋体" w:cs="宋体"/>
                <w:color w:val="auto"/>
                <w:spacing w:val="8"/>
                <w:szCs w:val="21"/>
                <w:highlight w:val="none"/>
              </w:rPr>
              <w:t>线盒类型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08C756BC">
            <w:pPr>
              <w:spacing w:line="360" w:lineRule="auto"/>
              <w:jc w:val="center"/>
              <w:rPr>
                <w:rFonts w:ascii="宋体" w:hAnsi="宋体" w:eastAsia="宋体" w:cs="宋体"/>
                <w:color w:val="auto"/>
                <w:szCs w:val="21"/>
                <w:highlight w:val="none"/>
              </w:rPr>
            </w:pPr>
            <w:r>
              <w:rPr>
                <w:rFonts w:hint="eastAsia" w:ascii="宋体" w:hAnsi="宋体" w:eastAsia="宋体" w:cs="宋体"/>
                <w:color w:val="auto"/>
                <w:spacing w:val="4"/>
                <w:szCs w:val="21"/>
                <w:highlight w:val="none"/>
              </w:rPr>
              <w:t>密封防水型 防护等级</w:t>
            </w:r>
            <w:r>
              <w:rPr>
                <w:rFonts w:hint="eastAsia" w:ascii="宋体" w:hAnsi="宋体" w:eastAsia="宋体" w:cs="宋体"/>
                <w:color w:val="auto"/>
                <w:szCs w:val="21"/>
                <w:highlight w:val="none"/>
              </w:rPr>
              <w:t>IP</w:t>
            </w:r>
            <w:r>
              <w:rPr>
                <w:rFonts w:hint="eastAsia" w:ascii="宋体" w:hAnsi="宋体" w:eastAsia="宋体" w:cs="宋体"/>
                <w:color w:val="auto"/>
                <w:spacing w:val="4"/>
                <w:szCs w:val="21"/>
                <w:highlight w:val="none"/>
              </w:rPr>
              <w:t>6</w:t>
            </w:r>
            <w:r>
              <w:rPr>
                <w:rFonts w:hint="eastAsia" w:ascii="宋体" w:hAnsi="宋体" w:eastAsia="宋体" w:cs="宋体"/>
                <w:color w:val="auto"/>
                <w:spacing w:val="1"/>
                <w:szCs w:val="21"/>
                <w:highlight w:val="none"/>
              </w:rPr>
              <w:t>8</w:t>
            </w:r>
          </w:p>
        </w:tc>
      </w:tr>
      <w:tr w14:paraId="5CBA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194C5404">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边框</w:t>
            </w:r>
            <w:r>
              <w:rPr>
                <w:rFonts w:hint="eastAsia" w:ascii="宋体" w:hAnsi="宋体" w:eastAsia="宋体" w:cs="宋体"/>
                <w:color w:val="auto"/>
                <w:spacing w:val="8"/>
                <w:szCs w:val="21"/>
                <w:highlight w:val="none"/>
              </w:rPr>
              <w:t>类型</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72AEFED0">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阳极氧化铝合金 防积灰设计（可加装导流器）</w:t>
            </w:r>
          </w:p>
        </w:tc>
      </w:tr>
      <w:tr w14:paraId="5FD04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387" w:type="pct"/>
            <w:tcBorders>
              <w:top w:val="single" w:color="000000" w:sz="2" w:space="0"/>
              <w:left w:val="single" w:color="000000" w:sz="2" w:space="0"/>
              <w:bottom w:val="single" w:color="000000" w:sz="2" w:space="0"/>
              <w:right w:val="single" w:color="000000" w:sz="2" w:space="0"/>
              <w:tl2br w:val="nil"/>
              <w:tr2bl w:val="nil"/>
            </w:tcBorders>
            <w:vAlign w:val="bottom"/>
          </w:tcPr>
          <w:p w14:paraId="53F50085">
            <w:pPr>
              <w:spacing w:line="360" w:lineRule="auto"/>
              <w:jc w:val="center"/>
              <w:rPr>
                <w:rFonts w:ascii="宋体" w:hAnsi="宋体" w:eastAsia="宋体" w:cs="宋体"/>
                <w:color w:val="auto"/>
                <w:spacing w:val="5"/>
                <w:szCs w:val="21"/>
                <w:highlight w:val="none"/>
              </w:rPr>
            </w:pPr>
            <w:r>
              <w:rPr>
                <w:rFonts w:hint="eastAsia" w:ascii="宋体" w:hAnsi="宋体" w:eastAsia="宋体" w:cs="宋体"/>
                <w:color w:val="auto"/>
                <w:spacing w:val="5"/>
                <w:szCs w:val="21"/>
                <w:highlight w:val="none"/>
              </w:rPr>
              <w:t>安全防护等级</w:t>
            </w:r>
          </w:p>
        </w:tc>
        <w:tc>
          <w:tcPr>
            <w:tcW w:w="2612" w:type="pct"/>
            <w:tcBorders>
              <w:top w:val="single" w:color="000000" w:sz="2" w:space="0"/>
              <w:left w:val="single" w:color="000000" w:sz="2" w:space="0"/>
              <w:bottom w:val="single" w:color="000000" w:sz="2" w:space="0"/>
              <w:right w:val="single" w:color="000000" w:sz="2" w:space="0"/>
              <w:tl2br w:val="nil"/>
              <w:tr2bl w:val="nil"/>
            </w:tcBorders>
            <w:vAlign w:val="bottom"/>
          </w:tcPr>
          <w:p w14:paraId="6036945D">
            <w:pPr>
              <w:spacing w:line="360" w:lineRule="auto"/>
              <w:jc w:val="center"/>
              <w:rPr>
                <w:rFonts w:ascii="宋体" w:hAnsi="宋体" w:eastAsia="宋体" w:cs="宋体"/>
                <w:color w:val="auto"/>
                <w:spacing w:val="5"/>
                <w:position w:val="1"/>
                <w:szCs w:val="21"/>
                <w:highlight w:val="none"/>
              </w:rPr>
            </w:pPr>
            <w:r>
              <w:rPr>
                <w:rFonts w:hint="eastAsia" w:ascii="宋体" w:hAnsi="宋体" w:eastAsia="宋体" w:cs="宋体"/>
                <w:color w:val="auto"/>
                <w:spacing w:val="5"/>
                <w:position w:val="1"/>
                <w:szCs w:val="21"/>
                <w:highlight w:val="none"/>
              </w:rPr>
              <w:t>ClassⅡ</w:t>
            </w:r>
          </w:p>
        </w:tc>
      </w:tr>
    </w:tbl>
    <w:p w14:paraId="7BE920E4">
      <w:pPr>
        <w:numPr>
          <w:ilvl w:val="0"/>
          <w:numId w:val="2"/>
        </w:num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光伏项目建设使用的太阳能组件须为A级品质，其生产企业要纳入国家工信部名录或产品通过TUV国际产品质量认证或CQC认证，投标时提供对应证明材料</w:t>
      </w:r>
      <w:r>
        <w:rPr>
          <w:rFonts w:hint="eastAsia" w:ascii="宋体" w:hAnsi="宋体" w:eastAsia="宋体" w:cs="宋体"/>
          <w:color w:val="auto"/>
          <w:szCs w:val="21"/>
          <w:highlight w:val="none"/>
        </w:rPr>
        <w:t>。</w:t>
      </w:r>
    </w:p>
    <w:p w14:paraId="680095EB">
      <w:pPr>
        <w:numPr>
          <w:ilvl w:val="0"/>
          <w:numId w:val="3"/>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光伏组件防护等级不低于IP66，在雨、雾、露水的湿气的环境下能正常工作，耐火等级达到A级不燃。</w:t>
      </w:r>
      <w:r>
        <w:rPr>
          <w:rFonts w:hint="eastAsia" w:ascii="宋体" w:hAnsi="宋体" w:eastAsia="宋体" w:cs="宋体"/>
          <w:b/>
          <w:bCs/>
          <w:color w:val="auto"/>
          <w:szCs w:val="21"/>
          <w:highlight w:val="none"/>
          <w:u w:val="single"/>
        </w:rPr>
        <w:t>投标时需提供具有相应资质机构出具的检测报告，若检测机构为英文版则需提供中文版检测报告</w:t>
      </w:r>
      <w:r>
        <w:rPr>
          <w:rFonts w:hint="eastAsia" w:ascii="宋体" w:hAnsi="宋体" w:eastAsia="宋体" w:cs="宋体"/>
          <w:color w:val="auto"/>
          <w:szCs w:val="21"/>
          <w:highlight w:val="none"/>
        </w:rPr>
        <w:t>。</w:t>
      </w:r>
    </w:p>
    <w:p w14:paraId="0CDE32EC">
      <w:pPr>
        <w:numPr>
          <w:ilvl w:val="0"/>
          <w:numId w:val="4"/>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所供电池组件需满足抗25mm冰雹的撞击要求，</w:t>
      </w:r>
      <w:r>
        <w:rPr>
          <w:rFonts w:hint="eastAsia" w:ascii="宋体" w:hAnsi="宋体" w:eastAsia="宋体" w:cs="宋体"/>
          <w:b/>
          <w:bCs/>
          <w:color w:val="auto"/>
          <w:szCs w:val="21"/>
          <w:highlight w:val="none"/>
          <w:u w:val="single"/>
        </w:rPr>
        <w:t>冰雹实验需满足 IEC61215 相关规定，并提供实验冰球质量、尺寸及试验速度</w:t>
      </w:r>
      <w:r>
        <w:rPr>
          <w:rFonts w:hint="eastAsia" w:ascii="宋体" w:hAnsi="宋体" w:eastAsia="宋体" w:cs="宋体"/>
          <w:color w:val="auto"/>
          <w:szCs w:val="21"/>
          <w:highlight w:val="none"/>
        </w:rPr>
        <w:t>，同时提供组件适应安装的气候条件，</w:t>
      </w:r>
      <w:r>
        <w:rPr>
          <w:rFonts w:hint="eastAsia" w:ascii="宋体" w:hAnsi="宋体" w:eastAsia="宋体" w:cs="宋体"/>
          <w:b/>
          <w:bCs/>
          <w:color w:val="auto"/>
          <w:szCs w:val="21"/>
          <w:highlight w:val="none"/>
          <w:u w:val="single"/>
        </w:rPr>
        <w:t>需对所供组件的抗冰雹能力加以说明并提供证明文件</w:t>
      </w:r>
      <w:r>
        <w:rPr>
          <w:rFonts w:hint="eastAsia" w:ascii="宋体" w:hAnsi="宋体" w:eastAsia="宋体" w:cs="宋体"/>
          <w:color w:val="auto"/>
          <w:szCs w:val="21"/>
          <w:highlight w:val="none"/>
        </w:rPr>
        <w:t>。</w:t>
      </w:r>
    </w:p>
    <w:p w14:paraId="48A9C27C">
      <w:pPr>
        <w:numPr>
          <w:ilvl w:val="0"/>
          <w:numId w:val="5"/>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所供组电池组件需具备防盐雾腐蚀功能，不因盐雾腐蚀出现绝缘降低、发电量减少情况。</w:t>
      </w:r>
    </w:p>
    <w:p w14:paraId="35A0EF3C">
      <w:pPr>
        <w:numPr>
          <w:ilvl w:val="0"/>
          <w:numId w:val="6"/>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电池组件需具备一定的抗潮湿能力，组件在雨、雾、露水的湿气的环境下，组件能正常工作，绝缘性能满足要求，不允许出现漏电现象，湿漏电流试验需满足IEC61215相关条款规定。</w:t>
      </w:r>
    </w:p>
    <w:p w14:paraId="0A0FA706">
      <w:pPr>
        <w:numPr>
          <w:ilvl w:val="0"/>
          <w:numId w:val="7"/>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要求同一光伏发电单元内光伏组件的电池片需为同一批次原料，表面颜色均匀一致，无机械损伤，焊点无氧化斑，电池组件的I-V曲线基本相同。</w:t>
      </w:r>
    </w:p>
    <w:p w14:paraId="030DE0A9">
      <w:pPr>
        <w:numPr>
          <w:ilvl w:val="0"/>
          <w:numId w:val="7"/>
        </w:numPr>
        <w:spacing w:line="360" w:lineRule="auto"/>
        <w:ind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color w:val="auto"/>
          <w:szCs w:val="21"/>
          <w:highlight w:val="none"/>
        </w:rPr>
        <w:t>光伏组件进场后投标人需安排抽样进行开箱检查与EL检测，对不合格组件免费进行更换，并且在项目施工完成验收时，需组织对安装组件隐裂情况进行检测，检测到的存在不合格的组件，投标人需安排替换。</w:t>
      </w:r>
    </w:p>
    <w:p w14:paraId="45FA48DD">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2、逆变器</w:t>
      </w:r>
    </w:p>
    <w:p w14:paraId="754CF4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逆变器选型时除应考虑具有过/欠电压、过/欠频率、防孤岛效应、短路保护、逆向功率保护等保护功能外，同时应考虑其电压（电流）总谐波畸变率满足国际规定要求，减少对电网的干扰。整个光伏系统采用若干组逆变器每个逆变器具有自动最大功率跟踪功能，并能够随着光伏组件接收的功率，以最经济的方式自动识别并投入运行。</w:t>
      </w:r>
    </w:p>
    <w:p w14:paraId="3DA22F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（2）逆变器必须是经国家认监委批准的认证机构认证且达标的产品（须具备直流拉弧检测功能），并提供不低于5年的质保。</w:t>
      </w:r>
    </w:p>
    <w:p w14:paraId="259770E2">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（3）最大逆变效率≥98.5%，中国效率≥98%，交流输出400V机型直流输入电压范围范围200~1100V或更宽，交流输出800V机型直流输入电压范围500~1500V或更宽。</w:t>
      </w:r>
    </w:p>
    <w:p w14:paraId="276DFEAF">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（4）逆变器输出功率大于其额定功率的50%时，功率因数应不小于0.98，输出有功功率在20%-50%之间时，功率因数不小于0.95。同时逆变器功率因素必须满足项目所在地电网要求。</w:t>
      </w:r>
    </w:p>
    <w:p w14:paraId="6180291D">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7A2E981D">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（6）逆变器要求能够自动化运行，可维护性强。采用近端线连或者 app 通讯方式，可实时了解各项运行数据、实时故障数据、历史故障数据、总发电量等数据，逆变器镶有设备的铭牌，需提供标准/开放的协议和接口。</w:t>
      </w:r>
    </w:p>
    <w:p w14:paraId="06D0D3FA">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（7）逆变器≥110kW需安装高温排风装置，在环境温度高于45℃时自动启动排风装置，排风口应具有防尘措施。</w:t>
      </w:r>
    </w:p>
    <w:p w14:paraId="2F9DB4AE">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（8）组串式逆变器箱体须具备防盐雾腐蚀措施，具备防盐雾腐蚀功能，确保箱体内部25年内无任何腐蚀现象。</w:t>
      </w:r>
    </w:p>
    <w:p w14:paraId="4DF88B6A">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（9）要求配置每路组串电压电流检测功能。</w:t>
      </w:r>
    </w:p>
    <w:p w14:paraId="1F1A3BB9">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（10）具有直流拉弧检测功能。</w:t>
      </w:r>
    </w:p>
    <w:p w14:paraId="523E77E6">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（11）逆变器必须满足系统抗PID功能和修复PID功能。</w:t>
      </w:r>
    </w:p>
    <w:p w14:paraId="73543DD5">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（12）逆变器内置交直流防雷和直流开关，交直流浪涌保护II 级以上，具备良好的电气隔离性，整机符合国家相关标准。</w:t>
      </w:r>
    </w:p>
    <w:p w14:paraId="03422BD9">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（13）逆变器直流输入支路必须配置光伏专用熔断器，确保当直流侧发生短路或热斑效应时，可快速隔离故障点。</w:t>
      </w:r>
    </w:p>
    <w:p w14:paraId="51B11C2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（14）支持PLC通讯，项目通电并网后投标人必须负责为招标人技术员注册APP监控软件，并将光伏电站现场实时监测数据联通传送至招标人指定的数据控制中心PC端。</w:t>
      </w:r>
    </w:p>
    <w:p w14:paraId="378F5C87">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（15）户外安装时，要求具备遮阳挡雨措施，挡雨板材质应采用304及以上不锈钢材质。</w:t>
      </w:r>
    </w:p>
    <w:p w14:paraId="34990CA8">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交流汇流箱</w:t>
      </w:r>
    </w:p>
    <w:p w14:paraId="05893C6E">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（1）配电箱必须是成套配电箱，</w:t>
      </w:r>
      <w:r>
        <w:rPr>
          <w:rFonts w:hint="eastAsia" w:ascii="宋体" w:hAnsi="宋体" w:eastAsia="宋体" w:cs="宋体"/>
          <w:b/>
          <w:bCs/>
          <w:color w:val="auto"/>
          <w:szCs w:val="21"/>
          <w:highlight w:val="none"/>
          <w:u w:val="single"/>
        </w:rPr>
        <w:t>成套配电箱内开关要提供3C认证和出厂检验报告，投标时提供对应证明材料</w:t>
      </w:r>
      <w:r>
        <w:rPr>
          <w:rFonts w:hint="eastAsia" w:ascii="宋体" w:hAnsi="宋体" w:eastAsia="宋体" w:cs="宋体"/>
          <w:color w:val="auto"/>
          <w:szCs w:val="21"/>
          <w:highlight w:val="none"/>
        </w:rPr>
        <w:t>。箱内并网设备要配备符合安全需求的闸刀、断路器、浪涌保护器，并应具备光伏元件故障、漏电自动断开光伏输出总开关。</w:t>
      </w:r>
    </w:p>
    <w:p w14:paraId="167E45EA">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（2）采用的内置漏电保护和浪涌保护，采用交直II级防雷保护，整体符合国家相关标准。</w:t>
      </w:r>
    </w:p>
    <w:p w14:paraId="3A398220">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（3）箱体的防护等级不低于IP65，适合户外安装，满足防水、防尘、防紫外线、防盐雾、耐腐蚀等，安装位置干燥、通风良好。</w:t>
      </w:r>
    </w:p>
    <w:p w14:paraId="07C9DE63">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（4）箱体需采用304不锈钢，钢板的厚度≥1.5mm，经过静电喷塑处理，内部全部的金属结构都需经过防腐处理，内外表面平整、光洁，无锈蚀、涂层脱落和磕碰损伤现象。</w:t>
      </w:r>
    </w:p>
    <w:p w14:paraId="5FE980D2">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（5）箱体内部结构具有足够的机械强度，保证元器件安装后及操作时无摇晃、不变形；元器 件安装走线应整齐、可靠、合理布置；电器间绝缘应符合国家有关标准，进出线必须通过接线端子。</w:t>
      </w:r>
    </w:p>
    <w:p w14:paraId="0E2B4007">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（6）箱体内应该针对接入的设备及线路，拥有明显的电气开断元件，能够确保检修时能够逐级断开系统，每个汇流箱必须给出一次及二次接线图。</w:t>
      </w:r>
    </w:p>
    <w:p w14:paraId="234A7F7C">
      <w:pPr>
        <w:spacing w:line="360" w:lineRule="auto"/>
        <w:ind w:firstLine="422" w:firstLineChars="200"/>
        <w:outlineLvl w:val="2"/>
        <w:rPr>
          <w:rFonts w:ascii="宋体" w:hAnsi="宋体" w:eastAsia="宋体" w:cs="宋体"/>
          <w:b/>
          <w:color w:val="auto"/>
          <w:szCs w:val="21"/>
          <w:highlight w:val="none"/>
        </w:rPr>
      </w:pPr>
      <w:r>
        <w:rPr>
          <w:rFonts w:hint="eastAsia" w:ascii="宋体" w:hAnsi="宋体" w:eastAsia="宋体" w:cs="宋体"/>
          <w:b/>
          <w:color w:val="auto"/>
          <w:szCs w:val="21"/>
          <w:highlight w:val="none"/>
        </w:rPr>
        <w:t>4、并网柜</w:t>
      </w:r>
    </w:p>
    <w:p w14:paraId="33407018">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（1）中压10千伏项目中配置的配电箱应为自动化成套配电箱。</w:t>
      </w:r>
    </w:p>
    <w:p w14:paraId="1E5956E5">
      <w:pPr>
        <w:numPr>
          <w:ilvl w:val="2"/>
          <w:numId w:val="0"/>
        </w:numPr>
        <w:tabs>
          <w:tab w:val="left" w:pos="735"/>
          <w:tab w:val="left" w:pos="2160"/>
        </w:tabs>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u w:val="single"/>
        </w:rPr>
        <w:t>并网柜与电气元件均应具备国内3C认证，投标时提供对应证明材料</w:t>
      </w:r>
      <w:r>
        <w:rPr>
          <w:rFonts w:hint="eastAsia" w:ascii="宋体" w:hAnsi="宋体" w:eastAsia="宋体" w:cs="宋体"/>
          <w:b/>
          <w:bCs/>
          <w:color w:val="auto"/>
          <w:szCs w:val="21"/>
          <w:highlight w:val="none"/>
        </w:rPr>
        <w:t>。</w:t>
      </w:r>
    </w:p>
    <w:p w14:paraId="2F3D3868">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1E2616D5">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（4）光伏并网柜可以加装计量仓，计量表具备双向计量功能，计量表有功电能精度不低于0.5S 级，电压互感器、电流互感器不低于0.2S 级。计量电表数据均接入到监控系统后台。</w:t>
      </w:r>
    </w:p>
    <w:p w14:paraId="6CCBA24C">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（5）柜体的防护等级不低于IP41，配电房内安装，柜型按照原有配电房开关柜定做，整体符合国家相关标准。</w:t>
      </w:r>
    </w:p>
    <w:p w14:paraId="387E063B">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（6）柜体需采用冷轧钢板制作，钢板的厚度≥1.5mm，经过静电喷塑处理，内部全部的金属结构都需经过防腐处理，内外表面平整、光洁，无锈蚀、涂层脱落和磕碰损伤现象。</w:t>
      </w:r>
    </w:p>
    <w:p w14:paraId="42E556B1">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（7）630A及以上低压断路器采用固定式框架式断路器，要求配置具有三段保护的数显智能模块，630A以下采用塑壳式断路器。</w:t>
      </w:r>
    </w:p>
    <w:p w14:paraId="441EB0EC">
      <w:pPr>
        <w:numPr>
          <w:ilvl w:val="0"/>
          <w:numId w:val="8"/>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柜体内应该针对接入的设备及线路，拥有明显的电气开断元件，能够确保检修时能够逐级断开系统，每个并网柜在安装时必须给出一次及二次接线图。</w:t>
      </w:r>
    </w:p>
    <w:p w14:paraId="50A47ABB">
      <w:pPr>
        <w:numPr>
          <w:ilvl w:val="0"/>
          <w:numId w:val="8"/>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所有电气设备安装完成后，应进行电气交接试验，并形成记录。</w:t>
      </w:r>
    </w:p>
    <w:p w14:paraId="7839ADAA">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zh-CN"/>
        </w:rPr>
        <w:t>光伏支架</w:t>
      </w:r>
    </w:p>
    <w:p w14:paraId="691E73CD">
      <w:pPr>
        <w:numPr>
          <w:ilvl w:val="2"/>
          <w:numId w:val="0"/>
        </w:numPr>
        <w:tabs>
          <w:tab w:val="left" w:pos="735"/>
          <w:tab w:val="left" w:pos="2160"/>
        </w:tabs>
        <w:spacing w:line="360" w:lineRule="auto"/>
        <w:ind w:firstLine="420" w:firstLineChars="200"/>
        <w:rPr>
          <w:rFonts w:hint="eastAsia" w:ascii="宋体" w:hAnsi="宋体" w:eastAsia="宋体" w:cs="宋体"/>
          <w:b w:val="0"/>
          <w:color w:val="auto"/>
          <w:szCs w:val="21"/>
          <w:highlight w:val="none"/>
          <w:lang w:val="en-US" w:eastAsia="zh-CN"/>
        </w:rPr>
      </w:pPr>
      <w:r>
        <w:rPr>
          <w:rFonts w:hint="eastAsia" w:ascii="宋体" w:hAnsi="宋体" w:eastAsia="宋体" w:cs="宋体"/>
          <w:color w:val="auto"/>
          <w:szCs w:val="21"/>
          <w:highlight w:val="none"/>
        </w:rPr>
        <w:t>（1）支架（含阵列式）的强度应满足在自重、风荷载和地震荷载共同作用下的使用要求，设计时光伏支架基础设计使用年限50年，光伏支架结构设计使用年限25年，表面防腐应满足10年内可拆卸再利用和25年内安全使用的要求；建筑光伏一体化的光伏支架设计使用年限应与一体化建筑主体结构一致。</w:t>
      </w:r>
    </w:p>
    <w:p w14:paraId="2E558850">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（2）支架设计（含阵列式）必须满足东莞地区的风压等级要求（即0.65KN/m²风压，风速在32.27米/秒以上的热带气旋）的抗风要求。</w:t>
      </w:r>
    </w:p>
    <w:p w14:paraId="3F9787A4">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（3）本项目支架形式采用固定式钢支架的，需选用Q235B及以上钢材，钢材防腐可采用热浸锌和镀镁铝锌两种方式。若采用热浸锌防腐，镀锌层厚度应满足《光伏支架结构设计规程》（NB/T 10115-2018）、《金属覆盖层 钢铁制件热浸镀锌层技术要求及试验方法》（GB/T13912-2020）的相关要求。钢构件厚度＞6mm 时，热浸镀锌平均厚度不应小于85μm，局部镀锌厚度不应小于70μm；对于3＜钢构件厚度≤6mm 时，热浸镀锌平均厚度不应小于70μm，局部镀锌厚度不应小于55μm；镀镁铝锌不低于275mg/m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；光伏支架铝构件阳极氧化膜平均厚度不应小于15μm，局部厚度不应小于12μm，铝合金连接件阳极氧化膜平均厚度不应小于10μm，局部厚度不应小于8μm。</w:t>
      </w:r>
    </w:p>
    <w:p w14:paraId="5E2A3AD8">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彩钢瓦屋面采用夹具固定，夹具、压块及安装龙骨均采用600铝合金，强度等级不低于6063-T6，铝合金支架的使用寿命应在25年以上。结构主材化学成分和力学性能应符合《铝合金结构设计规范》（GB50429-2007）规定。铝合金型材经阳极氧化处理，氧化膜平均厚度不小于15μm，并满足《光伏发电站设计标准》（GB50797-2012）中相关要求。</w:t>
      </w:r>
    </w:p>
    <w:p w14:paraId="1406341E">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（5）光伏支架施工图设计应根据</w:t>
      </w:r>
      <w:r>
        <w:rPr>
          <w:rFonts w:hint="eastAsia" w:ascii="宋体" w:hAnsi="宋体" w:eastAsia="宋体" w:cs="宋体"/>
          <w:color w:val="auto"/>
          <w:szCs w:val="21"/>
          <w:highlight w:val="none"/>
          <w:lang w:bidi="en-US"/>
        </w:rPr>
        <w:t>建构筑物承载力检测报告</w:t>
      </w:r>
      <w:r>
        <w:rPr>
          <w:rFonts w:hint="eastAsia" w:ascii="宋体" w:hAnsi="宋体" w:eastAsia="宋体" w:cs="宋体"/>
          <w:color w:val="auto"/>
          <w:szCs w:val="21"/>
          <w:highlight w:val="none"/>
        </w:rPr>
        <w:t>进行深化，并在过程中征得招标人同意，钢材选用及防腐要求同混凝土屋面支架要求。</w:t>
      </w:r>
    </w:p>
    <w:p w14:paraId="19FA6065">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（6）光伏车棚钢材选用及防腐要求同混凝土屋面支架要求。</w:t>
      </w:r>
    </w:p>
    <w:p w14:paraId="12E42A9D">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项目光伏支架布置必须考虑光伏电站的建设和后期运行不能影响厂区的正常运作，厂区地下管网错综复杂，支架基础要注意避开地下管网，基础桩基施工过程注意对厂区生产构筑物、管道、电缆的安全监测，如因施工原因造成安全隐患，投标人需无条件修复。</w:t>
      </w:r>
    </w:p>
    <w:p w14:paraId="55A5E5F2">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（8）光伏支架根据</w:t>
      </w:r>
      <w:r>
        <w:rPr>
          <w:rFonts w:hint="eastAsia" w:ascii="宋体" w:hAnsi="宋体" w:eastAsia="宋体" w:cs="宋体"/>
          <w:color w:val="auto"/>
          <w:szCs w:val="21"/>
          <w:highlight w:val="none"/>
          <w:lang w:bidi="en-US"/>
        </w:rPr>
        <w:t>建构筑物承载力检测报告</w:t>
      </w:r>
      <w:r>
        <w:rPr>
          <w:rFonts w:hint="eastAsia" w:ascii="宋体" w:hAnsi="宋体" w:eastAsia="宋体" w:cs="宋体"/>
          <w:color w:val="auto"/>
          <w:szCs w:val="21"/>
          <w:highlight w:val="none"/>
        </w:rPr>
        <w:t>，如确因屋面承载力不满足抗风荷载要求，光伏支架可采用膨胀螺栓或化学螺栓锚固，但投标人需及时修复锚固过程中破损的屋面防水层，并保障屋面的防水性能不低于本项目工程实施前。若因光伏项目造成屋面漏水的，由投标人负责处理修复完好。</w:t>
      </w:r>
    </w:p>
    <w:p w14:paraId="42431FE4">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（9）本项目光伏支架布置需为后期光伏板机器人自动清洗、厂区维护运营预留操作路径。</w:t>
      </w:r>
    </w:p>
    <w:p w14:paraId="12D46501">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（10）设计时，整个支架结构的强度、挠度、稳定性应符合国家结构设计相关规范的安全性要求；同时，支架结构的的节点连接也应满足国家结构设计规范的结构安全性的要求。</w:t>
      </w:r>
      <w:r>
        <w:rPr>
          <w:rFonts w:hint="eastAsia" w:ascii="宋体" w:hAnsi="宋体" w:eastAsia="宋体" w:cs="宋体"/>
          <w:b/>
          <w:bCs/>
          <w:color w:val="auto"/>
          <w:szCs w:val="21"/>
          <w:highlight w:val="none"/>
          <w:u w:val="single"/>
        </w:rPr>
        <w:t>若在现有变压器容量的基础上，若因单块光伏板容量增大，导致组件排布数量减少的，中标人需采用与运维通道相同材质的板材，把空缺部分补平，达到</w:t>
      </w:r>
      <w:r>
        <w:rPr>
          <w:rFonts w:hint="eastAsia" w:ascii="宋体" w:hAnsi="宋体" w:eastAsia="宋体" w:cs="宋体"/>
          <w:b/>
          <w:bCs/>
          <w:color w:val="auto"/>
          <w:szCs w:val="21"/>
          <w:highlight w:val="none"/>
          <w:u w:val="single"/>
          <w:lang w:val="en-US" w:eastAsia="zh-CN"/>
        </w:rPr>
        <w:t>招标人</w:t>
      </w:r>
      <w:r>
        <w:rPr>
          <w:rFonts w:hint="eastAsia" w:ascii="宋体" w:hAnsi="宋体" w:eastAsia="宋体" w:cs="宋体"/>
          <w:b/>
          <w:bCs/>
          <w:color w:val="auto"/>
          <w:szCs w:val="21"/>
          <w:highlight w:val="none"/>
          <w:u w:val="single"/>
        </w:rPr>
        <w:t>或厂区的美观要求，费用已包含在合同不含税固定每瓦单价内，招标人无需另行支付费用</w:t>
      </w:r>
      <w:r>
        <w:rPr>
          <w:rFonts w:hint="eastAsia" w:ascii="宋体" w:hAnsi="宋体" w:eastAsia="宋体" w:cs="宋体"/>
          <w:color w:val="auto"/>
          <w:szCs w:val="21"/>
          <w:highlight w:val="none"/>
        </w:rPr>
        <w:t>。</w:t>
      </w:r>
    </w:p>
    <w:p w14:paraId="5090C3F7">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（11）组件安装螺栓选用不锈钢304及以上材质，表面需钝化，安装前须点胶或采用防松动螺母。</w:t>
      </w:r>
    </w:p>
    <w:p w14:paraId="3D620989">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（12）支架安装完毕后中标人须委托第三方完成支架抗拉拔测试，要求符合《GB 50797-2012光伏电站设计标准》和《JGJ 145-2013混凝土结构后锚固技术规程》相关内容，锚栓抗拔力需达到设计荷载的1.5–2倍，且滑移量≤0.5 mm、残余变形≤0.2%。</w:t>
      </w:r>
    </w:p>
    <w:p w14:paraId="4A1AA9D9">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6、</w:t>
      </w:r>
      <w:r>
        <w:rPr>
          <w:rFonts w:hint="eastAsia" w:ascii="宋体" w:hAnsi="宋体" w:eastAsia="宋体" w:cs="宋体"/>
          <w:b/>
          <w:bCs/>
          <w:color w:val="auto"/>
          <w:szCs w:val="21"/>
          <w:highlight w:val="none"/>
          <w:lang w:val="zh-CN"/>
        </w:rPr>
        <w:t>电气安装要求</w:t>
      </w:r>
    </w:p>
    <w:p w14:paraId="1ADD0F9E">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（1）光伏电站必须在逆变器输出汇总点设置易于操作、可闭锁、且具有明显断开点的并网总断路器，以保证电力设备检修维护人员的人身安全。</w:t>
      </w:r>
    </w:p>
    <w:p w14:paraId="3454EA04">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（2）光伏电站和并网点设备的防雷和接地应符合当地供电部门规定要求，光伏电站接地网接地电阻合格，接地电阻应按规定周期进行测试。</w:t>
      </w:r>
    </w:p>
    <w:p w14:paraId="211C02AB">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光伏电站或电网异常、故障时为保护设备和人身安全，应具有相应继电保护功能，保护电网和光伏设备的安全运行，确保维护人员和公众人身安全。光伏电站的保护应符合当地供电部门规定的可靠性、选择性、灵活性和速动性的要求。</w:t>
      </w:r>
    </w:p>
    <w:p w14:paraId="4873D30D">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（4）光伏电站的过流与短路保护、防孤岛能力、逆变器保护、恢复并网等应满足当地供电部门规定的要求。</w:t>
      </w:r>
    </w:p>
    <w:p w14:paraId="0F398A55">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（5）光伏电站的二次用直流系统的设计配置及蓄电池的放电容量应符合相关规程的技术要求。</w:t>
      </w:r>
    </w:p>
    <w:p w14:paraId="336BB0D6">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（6）光伏电站的电能质量满足规程要求，电压谐波和波形畸变、电压偏差、电压波动和闪变、电压不平衡度、直流分量在规定的范围内，保证功率因素在0.98以上。</w:t>
      </w:r>
    </w:p>
    <w:p w14:paraId="399EBC6A">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（7）光伏电站的安全自动装置应按国家规定配置齐全。</w:t>
      </w:r>
    </w:p>
    <w:p w14:paraId="4EC42CF7">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（8）直流部分和交流低压部分的总线路损耗应控制在2%以内。</w:t>
      </w:r>
    </w:p>
    <w:p w14:paraId="60E1F688">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（9）配线线槽在建筑物上的布置应美观，与整个建筑协调一致，布线应隐蔽，从底部不能明显的看到线缆。各方阵的线缆便于连接，并有足够的强度，线缆连接附件应防水、抗老化。</w:t>
      </w:r>
    </w:p>
    <w:p w14:paraId="3162B902">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（10）直流侧电缆要以减少线损并防止外界干扰的原则选型，选用双绝缘防紫外线阻燃铜芯电缆，电缆性能符合《橡胶和塑料软管 实验室光源暴露试验法 颜色、外观和其他物理性能变化的测定》（GB/T18950-2023）性能测试的要求；交流侧需要考虑敷设的形式和安全来选择，应采用铜芯阻燃5芯电缆，若涉及埋管电缆须采用铠装。</w:t>
      </w:r>
    </w:p>
    <w:p w14:paraId="1E9E3E1A">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（11）电缆要采用铜芯电缆，其中直流电缆采用中国质量中心认证的光伏专用电缆，能满足室外30年的使用年限。光伏线缆 MC4 插头制作应严格按规范进行，各类线缆不能裸露。</w:t>
      </w:r>
    </w:p>
    <w:p w14:paraId="56B90B9F">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（12）所有线缆敷设完成后，应进行直流电阻、绝缘电阻、直流耐压/交流耐压试验，并形成记录。</w:t>
      </w:r>
    </w:p>
    <w:p w14:paraId="6A3023B6">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7、防雷系统技术要求</w:t>
      </w:r>
    </w:p>
    <w:p w14:paraId="266FB291">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（1）光伏系统的防雷设计，应满足雷电防护分区、分级确定的防雷等级要求。各连接点的连接 电阻应小于4Ω。接地网的制作应符合国家相关规范要求。屋顶必须有等电位接地地网作为接地连接。防雷接地设施符合国家《建筑物防雷设计规范》（GB50057-2010）。</w:t>
      </w:r>
    </w:p>
    <w:p w14:paraId="500A4CA4">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（2）提供的并网逆变器安全可靠，能确保25年内有效防止光伏组件PID现象的发生。</w:t>
      </w:r>
    </w:p>
    <w:p w14:paraId="0051030C">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（3）带边框的光伏太阳能组件防雷接地要牢靠，并网逆变器将外壳可靠接地，避雷针、避雷扁钢、接地线及接地级要符合规范要求。</w:t>
      </w:r>
    </w:p>
    <w:p w14:paraId="6E557E91">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（4）组件与组件之间、组件与导轨之间需用接地线连接，线槽需做好等电位连接与接地。</w:t>
      </w:r>
    </w:p>
    <w:p w14:paraId="5A60F979">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光伏组件作为建筑一部分，本身要具备很好的防雷措施，能够与建筑物的防雷带有很明显的防雷连接点。在并网逆变器、交流汇流箱，光伏并网柜都应该有分级别的防雷防浪涌保护模块，保护相关的电气设备和线路。</w:t>
      </w:r>
    </w:p>
    <w:p w14:paraId="6CBDA76F">
      <w:pPr>
        <w:numPr>
          <w:ilvl w:val="2"/>
          <w:numId w:val="0"/>
        </w:numPr>
        <w:tabs>
          <w:tab w:val="left" w:pos="735"/>
          <w:tab w:val="left" w:pos="21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（5）防雷系统完成后由中标人委托具备防雷检测CMA、CNAS资质认证的第三方检测单位进行防雷检测工作，出具加盖CMA或CNAS章的检测报告。</w:t>
      </w:r>
    </w:p>
    <w:p w14:paraId="3A34EC16">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8</w:t>
      </w:r>
      <w:r>
        <w:rPr>
          <w:rFonts w:hint="eastAsia" w:ascii="宋体" w:hAnsi="宋体" w:eastAsia="宋体" w:cs="宋体"/>
          <w:b/>
          <w:bCs/>
          <w:color w:val="auto"/>
          <w:szCs w:val="21"/>
          <w:highlight w:val="none"/>
          <w:lang w:val="zh-CN"/>
        </w:rPr>
        <w:t>、视频监控系统技术要求</w:t>
      </w:r>
    </w:p>
    <w:p w14:paraId="0A8CFF77">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（1）本项目中系统监控管理由投标人提供，投标人负责安装调试及配合招标人后期维护。</w:t>
      </w:r>
    </w:p>
    <w:p w14:paraId="0D5252D7">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（2）视频监控采用高清光口网络摄像机加光口高速摄像机的模式，招标人能通过投标人提供的网络地址或软件对光伏电站进行实时远程监控，图像分辨率达到2560×1440以上，镜头变倍≥20 倍光学变焦，能够分辨出设备的外观及运行状态、识别出人员车辆等，防护等级要求达到IP67，TVS 8000V防雷、防浪涌、防突波，具有红外夜视功能，夜视距离≥150 米，使用先进的压缩编码技术，视频图像直接在前端进行压缩，通过网络传输回电站监控室，避免外界电磁场对图像的影响。</w:t>
      </w:r>
    </w:p>
    <w:p w14:paraId="46DD51B1">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19B46D1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项目通电并网后投标人必须负责为招标人技术员注册APP视频监控软件，软件长期有效且可免费升级，并将光伏电站现场实时监测数据联通传送至招标人指定的数据控制中心PC端，实现集中监控，具体要求如下：</w:t>
      </w:r>
    </w:p>
    <w:tbl>
      <w:tblPr>
        <w:tblStyle w:val="216"/>
        <w:tblW w:w="504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9"/>
        <w:gridCol w:w="2707"/>
        <w:gridCol w:w="6366"/>
      </w:tblGrid>
      <w:tr w14:paraId="6F61F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622" w:type="pc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780BBC89">
            <w:pPr>
              <w:autoSpaceDE/>
              <w:autoSpaceDN/>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5"/>
                <w:szCs w:val="21"/>
                <w:highlight w:val="none"/>
                <w:lang w:eastAsia="en-US"/>
              </w:rPr>
              <w:t>区</w:t>
            </w:r>
            <w:r>
              <w:rPr>
                <w:rFonts w:hint="eastAsia" w:ascii="宋体" w:hAnsi="宋体" w:eastAsia="宋体" w:cs="宋体"/>
                <w:b/>
                <w:bCs/>
                <w:color w:val="auto"/>
                <w:spacing w:val="-3"/>
                <w:szCs w:val="21"/>
                <w:highlight w:val="none"/>
                <w:lang w:eastAsia="en-US"/>
              </w:rPr>
              <w:t>域</w:t>
            </w:r>
          </w:p>
        </w:tc>
        <w:tc>
          <w:tcPr>
            <w:tcW w:w="1306" w:type="pc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1B29126">
            <w:pPr>
              <w:autoSpaceDE/>
              <w:autoSpaceDN/>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8"/>
                <w:szCs w:val="21"/>
                <w:highlight w:val="none"/>
                <w:lang w:eastAsia="en-US"/>
              </w:rPr>
              <w:t>摄像头数量</w:t>
            </w:r>
          </w:p>
        </w:tc>
        <w:tc>
          <w:tcPr>
            <w:tcW w:w="3071" w:type="pc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2C2BF9F3">
            <w:pPr>
              <w:autoSpaceDE/>
              <w:autoSpaceDN/>
              <w:jc w:val="center"/>
              <w:rPr>
                <w:rFonts w:ascii="宋体" w:hAnsi="宋体" w:eastAsia="宋体" w:cs="宋体"/>
                <w:b/>
                <w:bCs/>
                <w:color w:val="auto"/>
                <w:szCs w:val="21"/>
                <w:highlight w:val="none"/>
                <w:lang w:eastAsia="en-US"/>
              </w:rPr>
            </w:pPr>
            <w:r>
              <w:rPr>
                <w:rFonts w:hint="eastAsia" w:ascii="宋体" w:hAnsi="宋体" w:eastAsia="宋体" w:cs="宋体"/>
                <w:b/>
                <w:bCs/>
                <w:color w:val="auto"/>
                <w:spacing w:val="4"/>
                <w:szCs w:val="21"/>
                <w:highlight w:val="none"/>
                <w:lang w:eastAsia="en-US"/>
              </w:rPr>
              <w:t>技术</w:t>
            </w:r>
          </w:p>
        </w:tc>
      </w:tr>
      <w:tr w14:paraId="7D49A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 w:hRule="atLeast"/>
          <w:jc w:val="center"/>
        </w:trPr>
        <w:tc>
          <w:tcPr>
            <w:tcW w:w="622" w:type="pc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45340DEF">
            <w:pPr>
              <w:autoSpaceDE/>
              <w:autoSpaceDN/>
              <w:jc w:val="center"/>
              <w:rPr>
                <w:rFonts w:ascii="宋体" w:hAnsi="宋体" w:eastAsia="宋体" w:cs="宋体"/>
                <w:color w:val="auto"/>
                <w:szCs w:val="21"/>
                <w:highlight w:val="none"/>
                <w:lang w:eastAsia="en-US"/>
              </w:rPr>
            </w:pPr>
            <w:r>
              <w:rPr>
                <w:rFonts w:hint="eastAsia" w:ascii="宋体" w:hAnsi="宋体" w:eastAsia="宋体" w:cs="宋体"/>
                <w:color w:val="auto"/>
                <w:spacing w:val="4"/>
                <w:szCs w:val="21"/>
                <w:highlight w:val="none"/>
                <w:lang w:eastAsia="en-US"/>
              </w:rPr>
              <w:t>光伏组件</w:t>
            </w:r>
          </w:p>
        </w:tc>
        <w:tc>
          <w:tcPr>
            <w:tcW w:w="1306" w:type="pct"/>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63D14E1E">
            <w:pPr>
              <w:autoSpaceDE/>
              <w:autoSpaceDN/>
              <w:spacing w:line="360" w:lineRule="auto"/>
              <w:jc w:val="left"/>
              <w:rPr>
                <w:rFonts w:ascii="宋体" w:hAnsi="宋体" w:eastAsia="宋体" w:cs="宋体"/>
                <w:color w:val="auto"/>
                <w:szCs w:val="21"/>
                <w:highlight w:val="none"/>
                <w:lang w:eastAsia="zh-CN"/>
              </w:rPr>
            </w:pPr>
            <w:r>
              <w:rPr>
                <w:rFonts w:hint="eastAsia" w:ascii="宋体" w:hAnsi="宋体" w:eastAsia="宋体" w:cs="宋体"/>
                <w:color w:val="auto"/>
                <w:spacing w:val="-4"/>
                <w:szCs w:val="21"/>
                <w:highlight w:val="none"/>
                <w:lang w:eastAsia="zh-CN"/>
              </w:rPr>
              <w:t>1.</w:t>
            </w:r>
            <w:r>
              <w:rPr>
                <w:rFonts w:hint="eastAsia" w:ascii="宋体" w:hAnsi="宋体" w:eastAsia="宋体" w:cs="宋体"/>
                <w:color w:val="auto"/>
                <w:szCs w:val="21"/>
                <w:highlight w:val="none"/>
                <w:lang w:eastAsia="zh-CN"/>
              </w:rPr>
              <w:t>根据现场及招标人意见调整；</w:t>
            </w:r>
          </w:p>
          <w:p w14:paraId="3DEEC19D">
            <w:pPr>
              <w:autoSpaceDE/>
              <w:autoSpaceDN/>
              <w:spacing w:line="360" w:lineRule="auto"/>
              <w:jc w:val="left"/>
              <w:rPr>
                <w:rFonts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2.视频监控画面必须覆盖所有光伏组件、逆变器区域，不得存在盲区。</w:t>
            </w:r>
          </w:p>
        </w:tc>
        <w:tc>
          <w:tcPr>
            <w:tcW w:w="3071" w:type="pct"/>
            <w:vMerge w:val="restart"/>
            <w:tcBorders>
              <w:top w:val="single" w:color="auto" w:sz="4" w:space="0"/>
              <w:left w:val="single" w:color="auto" w:sz="4" w:space="0"/>
              <w:bottom w:val="single" w:color="auto" w:sz="4" w:space="0"/>
              <w:right w:val="single" w:color="auto" w:sz="4" w:space="0"/>
            </w:tcBorders>
            <w:tcMar>
              <w:top w:w="57" w:type="dxa"/>
              <w:left w:w="57" w:type="dxa"/>
              <w:bottom w:w="57" w:type="dxa"/>
              <w:right w:w="57" w:type="dxa"/>
            </w:tcMar>
            <w:vAlign w:val="center"/>
          </w:tcPr>
          <w:p w14:paraId="5D86F002">
            <w:pPr>
              <w:autoSpaceDE/>
              <w:autoSpaceDN/>
              <w:spacing w:line="360" w:lineRule="auto"/>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1.</w:t>
            </w:r>
            <w:r>
              <w:rPr>
                <w:rFonts w:hint="eastAsia" w:ascii="宋体" w:hAnsi="宋体" w:eastAsia="宋体" w:cs="宋体"/>
                <w:color w:val="auto"/>
                <w:spacing w:val="-4"/>
                <w:sz w:val="21"/>
                <w:szCs w:val="21"/>
                <w:highlight w:val="none"/>
              </w:rPr>
              <w:t>支持使用4G/5G卡，</w:t>
            </w:r>
            <w:r>
              <w:rPr>
                <w:rFonts w:hint="eastAsia" w:ascii="宋体" w:hAnsi="宋体" w:eastAsia="宋体" w:cs="宋体"/>
                <w:color w:val="auto"/>
                <w:spacing w:val="-4"/>
                <w:sz w:val="21"/>
                <w:szCs w:val="21"/>
                <w:highlight w:val="none"/>
                <w:lang w:val="en-US" w:eastAsia="zh-CN"/>
              </w:rPr>
              <w:t>含</w:t>
            </w:r>
            <w:r>
              <w:rPr>
                <w:rFonts w:hint="eastAsia" w:ascii="宋体" w:hAnsi="宋体" w:eastAsia="宋体" w:cs="宋体"/>
                <w:color w:val="auto"/>
                <w:spacing w:val="-4"/>
                <w:sz w:val="21"/>
                <w:szCs w:val="21"/>
                <w:highlight w:val="none"/>
              </w:rPr>
              <w:t>1年流量包</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lang w:val="en-US" w:eastAsia="zh-CN"/>
              </w:rPr>
              <w:t>设备具备插卡功能</w:t>
            </w:r>
            <w:r>
              <w:rPr>
                <w:rFonts w:hint="eastAsia" w:ascii="宋体" w:hAnsi="宋体" w:eastAsia="宋体" w:cs="宋体"/>
                <w:color w:val="auto"/>
                <w:spacing w:val="-4"/>
                <w:sz w:val="21"/>
                <w:szCs w:val="21"/>
                <w:highlight w:val="none"/>
              </w:rPr>
              <w:t>；</w:t>
            </w:r>
          </w:p>
          <w:p w14:paraId="4A8C2CAE">
            <w:pPr>
              <w:autoSpaceDE/>
              <w:autoSpaceDN/>
              <w:spacing w:line="360" w:lineRule="auto"/>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2.支持手机远程监控，TF卡容量不小于256G，所有监控数据要保留1个月以上；</w:t>
            </w:r>
          </w:p>
          <w:p w14:paraId="3CD3BAB2">
            <w:pPr>
              <w:autoSpaceDE/>
              <w:autoSpaceDN/>
              <w:spacing w:line="360" w:lineRule="auto"/>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3.视频摄像头为高清、具有夜视功能，支持移动侦测报警；</w:t>
            </w:r>
          </w:p>
          <w:p w14:paraId="79987A3A">
            <w:pPr>
              <w:autoSpaceDE/>
              <w:autoSpaceDN/>
              <w:spacing w:line="360" w:lineRule="auto"/>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4.视频监控电源需引自市电，若配置室外立杆需可靠接地并不造成光伏组件阴影遮挡；</w:t>
            </w:r>
          </w:p>
          <w:p w14:paraId="1CB98F31">
            <w:pPr>
              <w:autoSpaceDE/>
              <w:autoSpaceDN/>
              <w:spacing w:line="360" w:lineRule="auto"/>
              <w:rPr>
                <w:rFonts w:ascii="宋体" w:hAnsi="宋体" w:eastAsia="宋体" w:cs="宋体"/>
                <w:color w:val="auto"/>
                <w:spacing w:val="-4"/>
                <w:szCs w:val="21"/>
                <w:highlight w:val="none"/>
                <w:lang w:eastAsia="zh-CN"/>
              </w:rPr>
            </w:pPr>
            <w:r>
              <w:rPr>
                <w:rFonts w:hint="eastAsia" w:ascii="宋体" w:hAnsi="宋体" w:eastAsia="宋体" w:cs="宋体"/>
                <w:color w:val="auto"/>
                <w:spacing w:val="-4"/>
                <w:szCs w:val="21"/>
                <w:highlight w:val="none"/>
                <w:lang w:eastAsia="zh-CN"/>
              </w:rPr>
              <w:t>5.所有摄像头均可360°自由转动巡检；</w:t>
            </w:r>
          </w:p>
          <w:p w14:paraId="665C69D1">
            <w:pPr>
              <w:autoSpaceDE/>
              <w:autoSpaceDN/>
              <w:spacing w:line="360" w:lineRule="auto"/>
              <w:rPr>
                <w:rFonts w:ascii="宋体" w:hAnsi="宋体" w:eastAsia="宋体" w:cs="宋体"/>
                <w:color w:val="auto"/>
                <w:szCs w:val="21"/>
                <w:highlight w:val="none"/>
                <w:lang w:eastAsia="zh-CN"/>
              </w:rPr>
            </w:pPr>
            <w:r>
              <w:rPr>
                <w:rFonts w:hint="eastAsia" w:ascii="宋体" w:hAnsi="宋体" w:eastAsia="宋体" w:cs="宋体"/>
                <w:color w:val="auto"/>
                <w:spacing w:val="-4"/>
                <w:szCs w:val="21"/>
                <w:highlight w:val="none"/>
                <w:lang w:eastAsia="zh-CN"/>
              </w:rPr>
              <w:t>6.提供标准/开放的协议和接口，由招标人实现集成整合应用。</w:t>
            </w:r>
          </w:p>
        </w:tc>
      </w:tr>
      <w:tr w14:paraId="433B6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6" w:hRule="atLeast"/>
          <w:jc w:val="center"/>
        </w:trPr>
        <w:tc>
          <w:tcPr>
            <w:tcW w:w="622" w:type="pct"/>
            <w:tcBorders>
              <w:top w:val="single" w:color="auto" w:sz="4" w:space="0"/>
            </w:tcBorders>
            <w:tcMar>
              <w:top w:w="57" w:type="dxa"/>
              <w:left w:w="57" w:type="dxa"/>
              <w:bottom w:w="57" w:type="dxa"/>
              <w:right w:w="57" w:type="dxa"/>
            </w:tcMar>
            <w:vAlign w:val="center"/>
          </w:tcPr>
          <w:p w14:paraId="7AB80405">
            <w:pPr>
              <w:autoSpaceDE/>
              <w:autoSpaceDN/>
              <w:jc w:val="center"/>
              <w:rPr>
                <w:rFonts w:ascii="宋体" w:hAnsi="宋体" w:eastAsia="宋体" w:cs="宋体"/>
                <w:color w:val="auto"/>
                <w:szCs w:val="21"/>
                <w:highlight w:val="none"/>
                <w:lang w:eastAsia="en-US"/>
              </w:rPr>
            </w:pPr>
            <w:r>
              <w:rPr>
                <w:rFonts w:hint="eastAsia" w:ascii="宋体" w:hAnsi="宋体" w:eastAsia="宋体" w:cs="宋体"/>
                <w:color w:val="auto"/>
                <w:spacing w:val="7"/>
                <w:szCs w:val="21"/>
                <w:highlight w:val="none"/>
                <w:lang w:eastAsia="en-US"/>
              </w:rPr>
              <w:t>并网逆变器</w:t>
            </w:r>
          </w:p>
        </w:tc>
        <w:tc>
          <w:tcPr>
            <w:tcW w:w="1306" w:type="pct"/>
            <w:vMerge w:val="continue"/>
            <w:tcBorders>
              <w:top w:val="single" w:color="auto" w:sz="4" w:space="0"/>
            </w:tcBorders>
            <w:tcMar>
              <w:top w:w="57" w:type="dxa"/>
              <w:left w:w="57" w:type="dxa"/>
              <w:bottom w:w="57" w:type="dxa"/>
              <w:right w:w="57" w:type="dxa"/>
            </w:tcMar>
            <w:vAlign w:val="center"/>
          </w:tcPr>
          <w:p w14:paraId="54E003AF">
            <w:pPr>
              <w:autoSpaceDE/>
              <w:autoSpaceDN/>
              <w:jc w:val="center"/>
              <w:rPr>
                <w:rFonts w:ascii="宋体" w:hAnsi="宋体" w:eastAsia="宋体" w:cs="宋体"/>
                <w:color w:val="auto"/>
                <w:szCs w:val="21"/>
                <w:highlight w:val="none"/>
                <w:lang w:eastAsia="en-US"/>
              </w:rPr>
            </w:pPr>
          </w:p>
        </w:tc>
        <w:tc>
          <w:tcPr>
            <w:tcW w:w="3071" w:type="pct"/>
            <w:vMerge w:val="continue"/>
            <w:tcBorders>
              <w:top w:val="single" w:color="auto" w:sz="4" w:space="0"/>
              <w:right w:val="single" w:color="auto" w:sz="4" w:space="0"/>
            </w:tcBorders>
            <w:tcMar>
              <w:top w:w="57" w:type="dxa"/>
              <w:left w:w="57" w:type="dxa"/>
              <w:bottom w:w="57" w:type="dxa"/>
              <w:right w:w="57" w:type="dxa"/>
            </w:tcMar>
            <w:vAlign w:val="center"/>
          </w:tcPr>
          <w:p w14:paraId="5F34C4A9">
            <w:pPr>
              <w:autoSpaceDE/>
              <w:autoSpaceDN/>
              <w:jc w:val="center"/>
              <w:rPr>
                <w:rFonts w:ascii="宋体" w:hAnsi="宋体" w:eastAsia="宋体" w:cs="宋体"/>
                <w:color w:val="auto"/>
                <w:szCs w:val="21"/>
                <w:highlight w:val="none"/>
                <w:lang w:eastAsia="en-US"/>
              </w:rPr>
            </w:pPr>
          </w:p>
        </w:tc>
      </w:tr>
    </w:tbl>
    <w:p w14:paraId="00F2208F">
      <w:pPr>
        <w:pStyle w:val="21"/>
        <w:autoSpaceDE/>
        <w:autoSpaceDN/>
        <w:adjustRightInd/>
        <w:spacing w:line="360" w:lineRule="auto"/>
        <w:ind w:right="0" w:firstLine="422" w:firstLineChars="200"/>
        <w:jc w:val="left"/>
        <w:rPr>
          <w:rFonts w:hAnsi="宋体" w:cs="宋体"/>
          <w:color w:val="auto"/>
          <w:sz w:val="21"/>
          <w:szCs w:val="21"/>
          <w:highlight w:val="none"/>
          <w:lang w:val="en-US"/>
        </w:rPr>
      </w:pPr>
      <w:r>
        <w:rPr>
          <w:rFonts w:hint="eastAsia" w:hAnsi="宋体" w:cs="宋体"/>
          <w:color w:val="auto"/>
          <w:sz w:val="21"/>
          <w:szCs w:val="21"/>
          <w:highlight w:val="none"/>
          <w:lang w:val="en-US"/>
        </w:rPr>
        <w:t>(5)中标人须在项目进场施工后7天内按以上要求完成所有区域视频监控的安装投运和移交，确保视频监控系统正常运行。</w:t>
      </w:r>
    </w:p>
    <w:p w14:paraId="5BE52522">
      <w:pPr>
        <w:spacing w:line="360" w:lineRule="auto"/>
        <w:outlineLvl w:val="1"/>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六、质量及安全保障</w:t>
      </w:r>
    </w:p>
    <w:p w14:paraId="7E24166F">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质量要求</w:t>
      </w:r>
    </w:p>
    <w:p w14:paraId="322E06F0">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（1）达到国家或光伏、电力行业质量检验评定的</w:t>
      </w:r>
      <w:r>
        <w:rPr>
          <w:rFonts w:hint="eastAsia" w:ascii="宋体" w:hAnsi="宋体" w:eastAsia="宋体" w:cs="宋体"/>
          <w:color w:val="auto"/>
          <w:szCs w:val="21"/>
          <w:highlight w:val="none"/>
          <w:u w:val="single"/>
        </w:rPr>
        <w:t xml:space="preserve"> 合格 </w:t>
      </w:r>
      <w:r>
        <w:rPr>
          <w:rFonts w:hint="eastAsia" w:ascii="宋体" w:hAnsi="宋体" w:eastAsia="宋体" w:cs="宋体"/>
          <w:color w:val="auto"/>
          <w:szCs w:val="21"/>
          <w:highlight w:val="none"/>
        </w:rPr>
        <w:t>标准。</w:t>
      </w:r>
    </w:p>
    <w:p w14:paraId="146A3D0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（2）建立健全质量保证体系，并保证其正常运作。</w:t>
      </w:r>
    </w:p>
    <w:p w14:paraId="01C88275">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（3）加强安装调试过程控制，设专人对安装质量进行跟踪检查。</w:t>
      </w:r>
    </w:p>
    <w:p w14:paraId="7417606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（4）对项目质量的检查严格执行三检制（自检、互检、专检）。</w:t>
      </w:r>
    </w:p>
    <w:p w14:paraId="4A8C7A85">
      <w:pPr>
        <w:spacing w:line="360" w:lineRule="auto"/>
        <w:ind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2、安全保证措施</w:t>
      </w:r>
    </w:p>
    <w:p w14:paraId="762E84D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（1）建立安全生产体系，制定详细的安全保证措施，加强安全管理，保证安全生产无事故。</w:t>
      </w:r>
    </w:p>
    <w:p w14:paraId="2C4DDA22">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（2）项目现场的布置符合防火、防爆、防雷电等安全规定及文明施工的要求。项目现场生活办公用房、仓库、材料堆放场按批准的总平面布置图进行布置。</w:t>
      </w:r>
    </w:p>
    <w:p w14:paraId="20A944DC">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（3）现场道路保持畅通，危险地点悬挂安全警示标牌，项目现场设置安全宣传标语。</w:t>
      </w:r>
    </w:p>
    <w:p w14:paraId="6A9250B0">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（4）各类房屋、库棚、料场等安全消防距离符合有关规定，现场易燃杂物随时清理，严禁在有火种的场所或其近旁堆放易燃物品。</w:t>
      </w:r>
    </w:p>
    <w:p w14:paraId="388D8BCA">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（5）成品保护措施：脆弱屋面在实施前应采集承载数据，经结构荷载计算光伏荷载≤0.71KN/m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1935E389">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（6）项目现场的临时用电严格按照《建筑与市政工程施工现场临时用电安全技术标准》JGJ/46-2024 的规定执行，严格按照三相五线制布设电线，做到二级保护，三级控制，一机一闸，同时需出专项方案。</w:t>
      </w:r>
    </w:p>
    <w:p w14:paraId="5F9C5105">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（7）项目现场的高处作业严格按照《</w:t>
      </w:r>
      <w:bookmarkStart w:id="711" w:name="OLE_LINK126"/>
      <w:r>
        <w:rPr>
          <w:rFonts w:hint="eastAsia" w:ascii="宋体" w:hAnsi="宋体" w:eastAsia="宋体" w:cs="宋体"/>
          <w:color w:val="auto"/>
          <w:szCs w:val="21"/>
          <w:highlight w:val="none"/>
        </w:rPr>
        <w:t>建筑施工高处作业安全技术规范</w:t>
      </w:r>
      <w:bookmarkEnd w:id="711"/>
      <w:r>
        <w:rPr>
          <w:rFonts w:hint="eastAsia" w:ascii="宋体" w:hAnsi="宋体" w:eastAsia="宋体" w:cs="宋体"/>
          <w:color w:val="auto"/>
          <w:szCs w:val="21"/>
          <w:highlight w:val="none"/>
        </w:rPr>
        <w:t>》JGJ80-2016的规定落实安全措施，正确佩戴五点式安全带（绳）、安全帽，同时需出</w:t>
      </w:r>
      <w:bookmarkStart w:id="712" w:name="OLE_LINK85"/>
      <w:r>
        <w:rPr>
          <w:rFonts w:hint="eastAsia" w:ascii="宋体" w:hAnsi="宋体" w:eastAsia="宋体" w:cs="宋体"/>
          <w:color w:val="auto"/>
          <w:szCs w:val="21"/>
          <w:highlight w:val="none"/>
        </w:rPr>
        <w:t>专项方案</w:t>
      </w:r>
      <w:bookmarkEnd w:id="712"/>
      <w:r>
        <w:rPr>
          <w:rFonts w:hint="eastAsia" w:ascii="宋体" w:hAnsi="宋体" w:eastAsia="宋体" w:cs="宋体"/>
          <w:color w:val="auto"/>
          <w:szCs w:val="21"/>
          <w:highlight w:val="none"/>
        </w:rPr>
        <w:t>。</w:t>
      </w:r>
    </w:p>
    <w:p w14:paraId="098E1F24">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（8）项目现场的吊装作业必须设置警戒区域，禁止人员跟随物体起吊，禁止人员站在吊物作业范围内下方，同时需出</w:t>
      </w:r>
      <w:bookmarkStart w:id="713" w:name="OLE_LINK86"/>
      <w:r>
        <w:rPr>
          <w:rFonts w:hint="eastAsia" w:ascii="宋体" w:hAnsi="宋体" w:eastAsia="宋体" w:cs="宋体"/>
          <w:color w:val="auto"/>
          <w:szCs w:val="21"/>
          <w:highlight w:val="none"/>
        </w:rPr>
        <w:t>专项方案</w:t>
      </w:r>
      <w:bookmarkEnd w:id="713"/>
      <w:r>
        <w:rPr>
          <w:rFonts w:hint="eastAsia" w:ascii="宋体" w:hAnsi="宋体" w:eastAsia="宋体" w:cs="宋体"/>
          <w:color w:val="auto"/>
          <w:szCs w:val="21"/>
          <w:highlight w:val="none"/>
        </w:rPr>
        <w:t>。</w:t>
      </w:r>
    </w:p>
    <w:p w14:paraId="348D13AA">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（9）项目现场的动火作业点应落实消防安全措施，清理周边易燃、可燃物体，设置灭火毯、灭火器等设施，严禁在禁火区域进行动火，同时需出</w:t>
      </w:r>
      <w:bookmarkStart w:id="714" w:name="OLE_LINK87"/>
      <w:r>
        <w:rPr>
          <w:rFonts w:hint="eastAsia" w:ascii="宋体" w:hAnsi="宋体" w:eastAsia="宋体" w:cs="宋体"/>
          <w:color w:val="auto"/>
          <w:szCs w:val="21"/>
          <w:highlight w:val="none"/>
        </w:rPr>
        <w:t>专项方案</w:t>
      </w:r>
      <w:bookmarkEnd w:id="714"/>
      <w:r>
        <w:rPr>
          <w:rFonts w:hint="eastAsia" w:ascii="宋体" w:hAnsi="宋体" w:eastAsia="宋体" w:cs="宋体"/>
          <w:color w:val="auto"/>
          <w:szCs w:val="21"/>
          <w:highlight w:val="none"/>
        </w:rPr>
        <w:t>。</w:t>
      </w:r>
    </w:p>
    <w:p w14:paraId="1954F015">
      <w:pPr>
        <w:tabs>
          <w:tab w:val="left" w:pos="360"/>
        </w:tabs>
        <w:spacing w:line="360" w:lineRule="auto"/>
        <w:ind w:firstLine="420"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p w14:paraId="71A5EA70">
      <w:pPr>
        <w:spacing w:line="360" w:lineRule="auto"/>
        <w:outlineLvl w:val="1"/>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七</w:t>
      </w:r>
      <w:r>
        <w:rPr>
          <w:rFonts w:hint="eastAsia" w:ascii="宋体" w:hAnsi="宋体" w:eastAsia="宋体" w:cs="宋体"/>
          <w:b/>
          <w:color w:val="auto"/>
          <w:szCs w:val="21"/>
          <w:highlight w:val="none"/>
          <w:lang w:val="zh-CN"/>
        </w:rPr>
        <w:t>、</w:t>
      </w:r>
      <w:bookmarkStart w:id="715" w:name="OLE_LINK324"/>
      <w:r>
        <w:rPr>
          <w:rFonts w:hint="eastAsia" w:ascii="宋体" w:hAnsi="宋体" w:eastAsia="宋体" w:cs="宋体"/>
          <w:b/>
          <w:color w:val="auto"/>
          <w:szCs w:val="21"/>
          <w:highlight w:val="none"/>
          <w:lang w:val="zh-CN"/>
        </w:rPr>
        <w:t>安全运维技术要求</w:t>
      </w:r>
      <w:bookmarkEnd w:id="715"/>
    </w:p>
    <w:p w14:paraId="57753692">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1、安全运维要求</w:t>
      </w:r>
    </w:p>
    <w:p w14:paraId="1544E255">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投标人应当在光伏系统并网成功后在招标人要求时间内，按投标文件及合同约定制定相应的运维制度，成立专门的管理团队，编制运维方案，确保光伏设施的安全运行；投标人在质保期内需配合招标人进行运维管理。</w:t>
      </w:r>
    </w:p>
    <w:p w14:paraId="6D9E7B99">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（2）质保期内投标人应确保光伏系统安全、稳定、可靠运行，定期派人检查、监管和记录项目的运行情况，并定期汇总给招标人安全运维部门。</w:t>
      </w:r>
    </w:p>
    <w:p w14:paraId="3D0DDB1E">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（3）投标人对光伏系统提供一年的运营维护服务，负责项目照管责任并承担全部运营维护所需费用。</w:t>
      </w:r>
    </w:p>
    <w:p w14:paraId="4D3F5955">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（4）投标人承诺对光伏系统提供质保期内维修保养服务，并承担维修保养费用。</w:t>
      </w:r>
    </w:p>
    <w:p w14:paraId="72E577AF">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2、安全运维设施</w:t>
      </w:r>
    </w:p>
    <w:p w14:paraId="0D0991D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（1）水清洗系统</w:t>
      </w:r>
    </w:p>
    <w:p w14:paraId="07E508D6">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①考虑到后期光伏组件清洗，每个屋面光伏系统需设计水清洗系统，要求在光伏组件排布屋面安装水管，并在出水口加装水龙头，在每个接水口需要配置相应的计量水表。</w:t>
      </w:r>
    </w:p>
    <w:p w14:paraId="6C8B28B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②水清洗系统冲洗端水压不足（压力小于0.2MPa时）需加装增压泵，出口压力可调节，最小出口压力保证每个终端同时开启时冲洗压力大于0.2MPa，泵入口设置可拆卸式滤网保证冲洗水不含杂质。</w:t>
      </w:r>
    </w:p>
    <w:p w14:paraId="1AE1746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③所有的冲洗水管采用PPR热熔管，清洗水管管网放在通道上，水管拖长不超过50米且不能放在光伏组件上，在棚架光伏组件面每25米设置一个水龙头，按只能走通道的原则来布置水龙头。</w:t>
      </w:r>
    </w:p>
    <w:p w14:paraId="67D71717">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④水管、水龙头应安装整齐、牢固，外观无明显破损和质量问题。</w:t>
      </w:r>
    </w:p>
    <w:p w14:paraId="71C028E5">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⑤混凝土屋顶原排水系统不足以及时排水或建筑物业主方要求增加新的排水管时需设计安装引到地面的排水管。</w:t>
      </w:r>
    </w:p>
    <w:p w14:paraId="3DB799E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（2）运维通道</w:t>
      </w:r>
    </w:p>
    <w:p w14:paraId="2E247101">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各项目根据组件排布设置合理的运维通道，确保方便运维人员进行运维。运维通道应连成一体，并和水管、桥架等统一布置。</w:t>
      </w:r>
    </w:p>
    <w:p w14:paraId="67F8BC65">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A.混凝土屋面光伏结构棚面中间设置花纹钢板运维通道，通道能直达到检修楼梯平台且不影响光伏系统件的正常运行。运维花纹钢板要求如下：</w:t>
      </w:r>
    </w:p>
    <w:p w14:paraId="163348C5">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①花纹钢板材质采用镀锌钢，花纹钢板的重量在15kg/m2以内，宽度不低于400mm；</w:t>
      </w:r>
    </w:p>
    <w:p w14:paraId="4E0FEF5E">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②花纹钢板能够满足并能覆盖整个屋面太阳能板区域运维过程中的清洗、检修等工作；</w:t>
      </w:r>
    </w:p>
    <w:p w14:paraId="4D18B5A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③花纹钢板与花纹钢板衔接处可靠固定，花纹钢板与光伏结构棚可靠连接；</w:t>
      </w:r>
    </w:p>
    <w:p w14:paraId="622A4B1D">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④花纹钢板强度和质量，满足如下要求：确保花纹钢板不移位晃动，不下垂并满足踩踏强度要求，寿命要求25年以上；</w:t>
      </w:r>
    </w:p>
    <w:p w14:paraId="210EF75F">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⑤花纹钢板侧必须设置悬挂安全绳的牢固点，并参照《坠落防护水平生命线装置》GB38454-2019沿着花纹钢板加装水平生命线，确保方便运维人员安全清洗、运维。</w:t>
      </w:r>
    </w:p>
    <w:p w14:paraId="57BCEED4">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（3）检修配电箱</w:t>
      </w:r>
    </w:p>
    <w:p w14:paraId="279C734B">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方便运维人员进行后期运维作业，安装光伏系统的屋面需加装检修配电箱，做法同逆变器一样，安装户外支架或挂墙安装,箱体采用厚度≥1.5mm的304不锈钢，防护等级不低于IP65，可靠接地，电源由交流汇流箱、逆变器交流端就近引入，开关与线缆大小的选型需满足焊接要求，同时方便视频监控系统取电。</w:t>
      </w:r>
    </w:p>
    <w:p w14:paraId="70D9610E">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（4）安全护栏、钢斜梯、采光带标识</w:t>
      </w:r>
    </w:p>
    <w:p w14:paraId="12612177">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安全护栏：若屋顶无护栏或女儿墙屋顶的屋顶临边、洞口处，需加装高度≥1200mm的永久热镀锌角钢、U型钢材质防护围栏，以保护人身安全，同时也要减少护栏对光伏组件阴影遮挡影响。护栏立柱之间的间距小于1.5m，横杆之间的间距小于0.6m，护栏按间隔可靠防雷接地。护栏安装应牢固、美观，符合《建筑施工高处作业安全技术规范》JGJ80-2016。</w:t>
      </w:r>
    </w:p>
    <w:p w14:paraId="58B80D04">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扶手踏步钢斜梯：为方便运维和安全作业，未设置楼梯的屋面、棚架式光伏组件面，须设置扶手踏步镀锌钢斜梯，钢梯宽度≥0.8m，扶手高度≥0.9m，同时加装0.8m×1.2m运维操作平台并与运维通道进行连接，应符合《固定式钢梯及平台安全要求 第2部分:钢斜梯》GB4053.2-2009规定。钢斜梯入口要有带锁的活动门，钢斜梯旁边设置“非内部人员禁止进入”等安全警示牌。</w:t>
      </w:r>
    </w:p>
    <w:p w14:paraId="4213D154">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③采光带周围用宽度不少于100mm黄色油漆标识（或贴警示带），并设置“禁止踩踏”警示牌；同时设置防坠落网进行保护，防止人员踩空。</w:t>
      </w:r>
    </w:p>
    <w:p w14:paraId="4FEF12B9">
      <w:pPr>
        <w:spacing w:line="360" w:lineRule="auto"/>
        <w:outlineLvl w:val="1"/>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八</w:t>
      </w:r>
      <w:r>
        <w:rPr>
          <w:rFonts w:hint="eastAsia" w:ascii="宋体" w:hAnsi="宋体" w:eastAsia="宋体" w:cs="宋体"/>
          <w:b/>
          <w:color w:val="auto"/>
          <w:szCs w:val="21"/>
          <w:highlight w:val="none"/>
          <w:lang w:val="zh-CN"/>
        </w:rPr>
        <w:t>、</w:t>
      </w:r>
      <w:bookmarkStart w:id="716" w:name="OLE_LINK326"/>
      <w:r>
        <w:rPr>
          <w:rFonts w:hint="eastAsia" w:ascii="宋体" w:hAnsi="宋体" w:eastAsia="宋体" w:cs="宋体"/>
          <w:b/>
          <w:color w:val="auto"/>
          <w:szCs w:val="21"/>
          <w:highlight w:val="none"/>
          <w:lang w:val="zh-CN"/>
        </w:rPr>
        <w:t>消防要求</w:t>
      </w:r>
      <w:bookmarkEnd w:id="716"/>
    </w:p>
    <w:p w14:paraId="6C0479E6">
      <w:pPr>
        <w:spacing w:line="360" w:lineRule="auto"/>
        <w:ind w:firstLine="422" w:firstLineChars="200"/>
        <w:outlineLvl w:val="2"/>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1、主要设计原则、功能及配置</w:t>
      </w:r>
    </w:p>
    <w:p w14:paraId="7EE0F3A8">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本项目依据国家有关消防条例、规范进行设计，本着“预防为主、防消结合 ”的消防工作方针，消防系统的设置以加强自身防范力量为主，立足于自救，同时与消防部门联防，做到“防患于未然”，从积极的方面预防火灾的发生及蔓延。变电站内电气设备较多，消防设计的重点是防止电气火灾。</w:t>
      </w:r>
    </w:p>
    <w:p w14:paraId="0AD0EE33">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（1）对设有电气仪表设备的房间，应配置移动式气体灭火器和手动火灾报警（警铃）。</w:t>
      </w:r>
    </w:p>
    <w:p w14:paraId="0CBFD663">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（2）对光伏组件屋面应按方阵、逆变器数量配置干粉灭火器和消防沙，用于发电单元电气设备的灭火。</w:t>
      </w:r>
    </w:p>
    <w:p w14:paraId="3C2EFB37">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根据“预防为主、防消结合”的原则，本着减少着火几率，阻止电缆着火延燃及窜燃的目的，结合现场实际情况，主要采取“封”“堵”“隔”“涂”等技术措施，封堵施工按照国家及行业有关标准和以往的电缆防火封堵措施并结合电站实际情况进行，交流电缆采用阻燃型。安装主要达到《电气装置安装工程 电缆线路施工及验收标准》GB50168-2018。</w:t>
      </w:r>
    </w:p>
    <w:p w14:paraId="457C5B7F">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2、消防设计及消防验收</w:t>
      </w:r>
    </w:p>
    <w:p w14:paraId="38D1B4A8">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投标人须依据《中华人民共和国消防法》、《建设工程消防设计审查验收管理暂行规定》等法律法规及当地消防管理部门的要求，完成如下事项（包括但不限于）:</w:t>
      </w:r>
    </w:p>
    <w:p w14:paraId="6AF5C5C2">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（1）光伏发电项目的消防设计及备案；</w:t>
      </w:r>
    </w:p>
    <w:p w14:paraId="7AA575C0">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（2）委托有资质的第三方机构进行消防检测，并取得消防设施检测合格证明文件；</w:t>
      </w:r>
    </w:p>
    <w:p w14:paraId="2A22AA99">
      <w:pPr>
        <w:tabs>
          <w:tab w:val="left" w:pos="360"/>
        </w:tabs>
        <w:spacing w:line="360" w:lineRule="auto"/>
        <w:ind w:firstLine="420" w:firstLineChars="200"/>
        <w:rPr>
          <w:rFonts w:ascii="宋体" w:hAnsi="宋体" w:eastAsia="宋体" w:cs="宋体"/>
          <w:color w:val="auto"/>
          <w:szCs w:val="21"/>
          <w:highlight w:val="none"/>
        </w:rPr>
      </w:pPr>
      <w:bookmarkStart w:id="717" w:name="OLE_LINK103"/>
      <w:r>
        <w:rPr>
          <w:rFonts w:hint="eastAsia" w:ascii="宋体" w:hAnsi="宋体" w:eastAsia="宋体" w:cs="宋体"/>
          <w:color w:val="auto"/>
          <w:szCs w:val="21"/>
          <w:highlight w:val="none"/>
        </w:rPr>
        <w:t>（3）</w:t>
      </w:r>
      <w:bookmarkStart w:id="718" w:name="OLE_LINK104"/>
      <w:r>
        <w:rPr>
          <w:rFonts w:hint="eastAsia" w:ascii="宋体" w:hAnsi="宋体" w:eastAsia="宋体" w:cs="宋体"/>
          <w:color w:val="auto"/>
          <w:szCs w:val="21"/>
          <w:highlight w:val="none"/>
        </w:rPr>
        <w:t>竣工</w:t>
      </w:r>
      <w:bookmarkEnd w:id="718"/>
      <w:r>
        <w:rPr>
          <w:rFonts w:hint="eastAsia" w:ascii="宋体" w:hAnsi="宋体" w:eastAsia="宋体" w:cs="宋体"/>
          <w:color w:val="auto"/>
          <w:szCs w:val="21"/>
          <w:highlight w:val="none"/>
        </w:rPr>
        <w:t>验收消防备案；</w:t>
      </w:r>
    </w:p>
    <w:bookmarkEnd w:id="717"/>
    <w:p w14:paraId="618D496E">
      <w:pPr>
        <w:tabs>
          <w:tab w:val="left" w:pos="360"/>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（4）如本项目被确定为抽查对象，须通过当地消防管理部门的检测检验。</w:t>
      </w:r>
    </w:p>
    <w:p w14:paraId="51C6C6A4">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九</w:t>
      </w:r>
      <w:r>
        <w:rPr>
          <w:rFonts w:hint="eastAsia" w:ascii="宋体" w:hAnsi="宋体" w:eastAsia="宋体" w:cs="宋体"/>
          <w:b/>
          <w:color w:val="auto"/>
          <w:szCs w:val="21"/>
          <w:highlight w:val="none"/>
          <w:lang w:val="zh-CN"/>
        </w:rPr>
        <w:t>、</w:t>
      </w:r>
      <w:bookmarkStart w:id="719" w:name="OLE_LINK327"/>
      <w:r>
        <w:rPr>
          <w:rFonts w:hint="eastAsia" w:ascii="宋体" w:hAnsi="宋体" w:eastAsia="宋体" w:cs="宋体"/>
          <w:b/>
          <w:color w:val="auto"/>
          <w:szCs w:val="21"/>
          <w:highlight w:val="none"/>
          <w:lang w:val="zh-CN"/>
        </w:rPr>
        <w:t>其他</w:t>
      </w:r>
      <w:bookmarkEnd w:id="719"/>
      <w:r>
        <w:rPr>
          <w:rFonts w:hint="eastAsia" w:ascii="宋体" w:hAnsi="宋体" w:eastAsia="宋体" w:cs="宋体"/>
          <w:b/>
          <w:color w:val="auto"/>
          <w:szCs w:val="21"/>
          <w:highlight w:val="none"/>
        </w:rPr>
        <w:t>要求</w:t>
      </w:r>
    </w:p>
    <w:p w14:paraId="676B7557">
      <w:pPr>
        <w:pStyle w:val="25"/>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1、工期安排：</w:t>
      </w:r>
    </w:p>
    <w:p w14:paraId="612E9AF0">
      <w:pPr>
        <w:pStyle w:val="25"/>
        <w:spacing w:line="360" w:lineRule="auto"/>
        <w:ind w:firstLine="420" w:firstLineChars="200"/>
        <w:rPr>
          <w:rFonts w:hint="eastAsia" w:hAnsi="宋体"/>
          <w:color w:val="auto"/>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1）深化设计工期：合同签订之日起，</w:t>
      </w:r>
      <w:r>
        <w:rPr>
          <w:rFonts w:hint="eastAsia"/>
          <w:color w:val="auto"/>
          <w:highlight w:val="none"/>
          <w:lang w:val="en-US" w:eastAsia="zh-CN"/>
        </w:rPr>
        <w:t>10</w:t>
      </w:r>
      <w:r>
        <w:rPr>
          <w:rFonts w:hint="eastAsia"/>
          <w:color w:val="auto"/>
          <w:highlight w:val="none"/>
        </w:rPr>
        <w:t>日</w:t>
      </w:r>
      <w:r>
        <w:rPr>
          <w:rFonts w:hint="eastAsia" w:hAnsi="宋体" w:cs="宋体"/>
          <w:color w:val="auto"/>
          <w:highlight w:val="none"/>
        </w:rPr>
        <w:t>（日历日，下同）</w:t>
      </w:r>
      <w:r>
        <w:rPr>
          <w:rFonts w:hint="eastAsia" w:hAnsi="宋体"/>
          <w:color w:val="auto"/>
          <w:highlight w:val="none"/>
        </w:rPr>
        <w:t>内完成项目深化设计文件</w:t>
      </w:r>
      <w:r>
        <w:rPr>
          <w:rFonts w:hint="eastAsia" w:hAnsi="宋体"/>
          <w:color w:val="auto"/>
          <w:highlight w:val="none"/>
          <w:lang w:eastAsia="zh-CN"/>
        </w:rPr>
        <w:t>。</w:t>
      </w:r>
    </w:p>
    <w:p w14:paraId="2B0975C9">
      <w:pPr>
        <w:pStyle w:val="25"/>
        <w:spacing w:line="360" w:lineRule="auto"/>
        <w:ind w:firstLine="420" w:firstLineChars="200"/>
        <w:rPr>
          <w:rFonts w:hAnsi="宋体" w:cs="宋体"/>
          <w:color w:val="auto"/>
          <w:szCs w:val="21"/>
          <w:highlight w:val="none"/>
        </w:rPr>
      </w:pPr>
      <w:r>
        <w:rPr>
          <w:rFonts w:hint="eastAsia" w:hAnsi="宋体"/>
          <w:color w:val="auto"/>
          <w:highlight w:val="none"/>
          <w:lang w:eastAsia="zh-CN"/>
        </w:rPr>
        <w:t>（</w:t>
      </w:r>
      <w:r>
        <w:rPr>
          <w:rFonts w:hint="eastAsia" w:hAnsi="宋体"/>
          <w:color w:val="auto"/>
          <w:highlight w:val="none"/>
          <w:lang w:val="en-US" w:eastAsia="zh-CN"/>
        </w:rPr>
        <w:t>2）供货安装工期：</w:t>
      </w:r>
      <w:r>
        <w:rPr>
          <w:rFonts w:hint="eastAsia" w:hAnsi="宋体" w:cs="宋体"/>
          <w:color w:val="auto"/>
          <w:szCs w:val="21"/>
          <w:highlight w:val="none"/>
        </w:rPr>
        <w:t>每个子项目（厂区）的基准实施周期为150</w:t>
      </w:r>
      <w:r>
        <w:rPr>
          <w:rFonts w:hint="eastAsia" w:hAnsi="宋体" w:cs="宋体"/>
          <w:color w:val="auto"/>
          <w:highlight w:val="none"/>
        </w:rPr>
        <w:t>日</w:t>
      </w:r>
      <w:r>
        <w:rPr>
          <w:rFonts w:hint="eastAsia" w:hAnsi="宋体" w:cs="宋体"/>
          <w:color w:val="auto"/>
          <w:szCs w:val="21"/>
          <w:highlight w:val="none"/>
        </w:rPr>
        <w:t>，</w:t>
      </w:r>
      <w:r>
        <w:rPr>
          <w:rFonts w:hint="eastAsia" w:hAnsi="宋体" w:cs="宋体"/>
          <w:color w:val="auto"/>
          <w:szCs w:val="21"/>
          <w:highlight w:val="none"/>
          <w:lang w:val="en-US" w:eastAsia="zh-CN"/>
        </w:rPr>
        <w:t>子项目完成项目备案并由招标人</w:t>
      </w:r>
      <w:r>
        <w:rPr>
          <w:rFonts w:hint="eastAsia" w:hAnsi="宋体" w:cs="宋体"/>
          <w:color w:val="auto"/>
          <w:szCs w:val="21"/>
          <w:highlight w:val="none"/>
        </w:rPr>
        <w:t>或其委托的项目管理公司签发该子项目开工通知之日起120</w:t>
      </w:r>
      <w:r>
        <w:rPr>
          <w:rFonts w:hint="eastAsia" w:hAnsi="宋体" w:cs="宋体"/>
          <w:color w:val="auto"/>
          <w:highlight w:val="none"/>
        </w:rPr>
        <w:t>日</w:t>
      </w:r>
      <w:r>
        <w:rPr>
          <w:rFonts w:hint="eastAsia" w:hAnsi="宋体" w:cs="宋体"/>
          <w:color w:val="auto"/>
          <w:szCs w:val="21"/>
          <w:highlight w:val="none"/>
        </w:rPr>
        <w:t>内完成该子项目所有建设内容</w:t>
      </w:r>
      <w:r>
        <w:rPr>
          <w:rFonts w:hint="eastAsia" w:hAnsi="宋体" w:cs="宋体"/>
          <w:color w:val="auto"/>
          <w:highlight w:val="none"/>
        </w:rPr>
        <w:t>（即初步验收合格）</w:t>
      </w:r>
      <w:r>
        <w:rPr>
          <w:rFonts w:hint="eastAsia" w:hAnsi="宋体" w:cs="宋体"/>
          <w:color w:val="auto"/>
          <w:szCs w:val="21"/>
          <w:highlight w:val="none"/>
        </w:rPr>
        <w:t>，建设完成后，30</w:t>
      </w:r>
      <w:r>
        <w:rPr>
          <w:rFonts w:hint="eastAsia" w:hAnsi="宋体" w:cs="宋体"/>
          <w:color w:val="auto"/>
          <w:highlight w:val="none"/>
        </w:rPr>
        <w:t>日</w:t>
      </w:r>
      <w:r>
        <w:rPr>
          <w:rFonts w:hint="eastAsia" w:hAnsi="宋体" w:cs="宋体"/>
          <w:color w:val="auto"/>
          <w:szCs w:val="21"/>
          <w:highlight w:val="none"/>
        </w:rPr>
        <w:t>内完成并网通电。若本项目未能在工期要求时间内完成工作，</w:t>
      </w:r>
      <w:r>
        <w:rPr>
          <w:rFonts w:hint="eastAsia" w:hAnsi="宋体" w:cs="宋体"/>
          <w:color w:val="auto"/>
          <w:szCs w:val="21"/>
          <w:highlight w:val="none"/>
          <w:lang w:val="en-US" w:eastAsia="zh-CN"/>
        </w:rPr>
        <w:t>中标人</w:t>
      </w:r>
      <w:r>
        <w:rPr>
          <w:rFonts w:hint="eastAsia" w:hAnsi="宋体" w:cs="宋体"/>
          <w:color w:val="auto"/>
          <w:szCs w:val="21"/>
          <w:highlight w:val="none"/>
        </w:rPr>
        <w:t>需承担违约责任，并根据本</w:t>
      </w:r>
      <w:r>
        <w:rPr>
          <w:rFonts w:hint="eastAsia" w:hAnsi="宋体" w:cs="宋体"/>
          <w:color w:val="auto"/>
          <w:szCs w:val="21"/>
          <w:highlight w:val="none"/>
          <w:lang w:val="en-US" w:eastAsia="zh-CN"/>
        </w:rPr>
        <w:t>项目</w:t>
      </w:r>
      <w:r>
        <w:rPr>
          <w:rFonts w:hint="eastAsia" w:hAnsi="宋体" w:cs="宋体"/>
          <w:color w:val="auto"/>
          <w:szCs w:val="21"/>
          <w:highlight w:val="none"/>
        </w:rPr>
        <w:t>合同第二十一条的约定向</w:t>
      </w:r>
      <w:r>
        <w:rPr>
          <w:rFonts w:hint="eastAsia" w:hAnsi="宋体" w:cs="宋体"/>
          <w:color w:val="auto"/>
          <w:szCs w:val="21"/>
          <w:highlight w:val="none"/>
          <w:lang w:val="en-US" w:eastAsia="zh-CN"/>
        </w:rPr>
        <w:t>招标人</w:t>
      </w:r>
      <w:r>
        <w:rPr>
          <w:rFonts w:hint="eastAsia" w:hAnsi="宋体" w:cs="宋体"/>
          <w:color w:val="auto"/>
          <w:szCs w:val="21"/>
          <w:highlight w:val="none"/>
        </w:rPr>
        <w:t>支付对应的违约金。如因供电部门审批延误、不可抗力或其他非项目</w:t>
      </w:r>
      <w:r>
        <w:rPr>
          <w:rFonts w:hint="eastAsia" w:hAnsi="宋体" w:cs="宋体"/>
          <w:color w:val="auto"/>
          <w:szCs w:val="21"/>
          <w:highlight w:val="none"/>
          <w:lang w:val="en-US" w:eastAsia="zh-CN"/>
        </w:rPr>
        <w:t>中标人</w:t>
      </w:r>
      <w:r>
        <w:rPr>
          <w:rFonts w:hint="eastAsia" w:hAnsi="宋体" w:cs="宋体"/>
          <w:color w:val="auto"/>
          <w:szCs w:val="21"/>
          <w:highlight w:val="none"/>
        </w:rPr>
        <w:t>原因且不可归责于</w:t>
      </w:r>
      <w:r>
        <w:rPr>
          <w:rFonts w:hint="eastAsia" w:hAnsi="宋体" w:cs="宋体"/>
          <w:color w:val="auto"/>
          <w:szCs w:val="21"/>
          <w:highlight w:val="none"/>
          <w:lang w:val="en-US" w:eastAsia="zh-CN"/>
        </w:rPr>
        <w:t>中标人</w:t>
      </w:r>
      <w:r>
        <w:rPr>
          <w:rFonts w:hint="eastAsia" w:hAnsi="宋体" w:cs="宋体"/>
          <w:color w:val="auto"/>
          <w:szCs w:val="21"/>
          <w:highlight w:val="none"/>
        </w:rPr>
        <w:t>的客观因素导致工期延误，则受影响子项目的工期应相应顺延，顺延时长以实际延误时间为准，并经</w:t>
      </w:r>
      <w:r>
        <w:rPr>
          <w:rFonts w:hint="eastAsia" w:hAnsi="宋体" w:cs="宋体"/>
          <w:color w:val="auto"/>
          <w:szCs w:val="21"/>
          <w:highlight w:val="none"/>
          <w:lang w:val="en-US" w:eastAsia="zh-CN"/>
        </w:rPr>
        <w:t>招标人</w:t>
      </w:r>
      <w:r>
        <w:rPr>
          <w:rFonts w:hint="eastAsia" w:hAnsi="宋体" w:cs="宋体"/>
          <w:color w:val="auto"/>
          <w:szCs w:val="21"/>
          <w:highlight w:val="none"/>
        </w:rPr>
        <w:t>、</w:t>
      </w:r>
      <w:r>
        <w:rPr>
          <w:rFonts w:hint="eastAsia" w:hAnsi="宋体" w:cs="宋体"/>
          <w:color w:val="auto"/>
          <w:szCs w:val="21"/>
          <w:highlight w:val="none"/>
          <w:lang w:val="en-US" w:eastAsia="zh-CN"/>
        </w:rPr>
        <w:t>中标人</w:t>
      </w:r>
      <w:r>
        <w:rPr>
          <w:rFonts w:hint="eastAsia" w:hAnsi="宋体" w:cs="宋体"/>
          <w:color w:val="auto"/>
          <w:szCs w:val="21"/>
          <w:highlight w:val="none"/>
        </w:rPr>
        <w:t>双方盖章确认。</w:t>
      </w:r>
    </w:p>
    <w:p w14:paraId="0EFD8C30">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2、运维期：1年，自项目下全部子项目并网审批通过开始正式送电之日起计算。</w:t>
      </w:r>
    </w:p>
    <w:p w14:paraId="0FC1BF66">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3、质保期：质保期为项目整体最终验收（即本项目下全部子项目竣工验收）合格后2年，如个体设备有更高要求的，遵循更高要求。</w:t>
      </w:r>
    </w:p>
    <w:p w14:paraId="3AAAD132">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4、合同价格形式</w:t>
      </w:r>
    </w:p>
    <w:p w14:paraId="4D103656">
      <w:pPr>
        <w:tabs>
          <w:tab w:val="center" w:pos="3125"/>
        </w:tabs>
        <w:spacing w:line="360" w:lineRule="auto"/>
        <w:ind w:firstLine="420" w:firstLineChars="200"/>
        <w:rPr>
          <w:rFonts w:ascii="宋体" w:hAnsi="宋体" w:eastAsia="宋体" w:cs="宋体"/>
          <w:color w:val="auto"/>
          <w:szCs w:val="21"/>
          <w:highlight w:val="none"/>
        </w:rPr>
      </w:pPr>
      <w:bookmarkStart w:id="720" w:name="OLE_LINK454"/>
      <w:r>
        <w:rPr>
          <w:rFonts w:hint="eastAsia" w:ascii="宋体" w:hAnsi="宋体" w:eastAsia="宋体" w:cs="宋体"/>
          <w:color w:val="auto"/>
          <w:szCs w:val="21"/>
          <w:highlight w:val="none"/>
        </w:rPr>
        <w:t>（1）关于合同价格形式的约定：以暂定不含税总价、不含税固定每瓦单价总承包的方式。</w:t>
      </w:r>
    </w:p>
    <w:p w14:paraId="0E3ADF84">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（2）关于合同价格调整的约定：根据最终</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rPr>
        <w:t>装机容量及合同约定相应调整。</w:t>
      </w:r>
    </w:p>
    <w:p w14:paraId="69FF696B">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p>
    <w:p w14:paraId="6682E14B">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b/>
          <w:bCs/>
          <w:color w:val="auto"/>
          <w:szCs w:val="21"/>
          <w:highlight w:val="none"/>
          <w:u w:val="single"/>
        </w:rPr>
        <w:t>结算合同价以结算装机容量计算，按以下方式确定结算装机容量：（1）如安装并网光伏组件单块容量与投标产品一致，以并网装机容量作为结算装机容量；（2）经招标人书面提出光伏组件型号变化时，该调整范围内以并网装机容量作为结算装机容量；（3）如果中标人因产能、产品迭代等自身原因提出安装使用质量条件不低于合同约定及用户需求书的单块并网组件，且容量（对比投标产品）增大导致实际并网装机容量增大的，经招标人书面同意后，可以调整，但按并网光伏组件数量和投标产品单块组件容量计算结算装机容量</w:t>
      </w:r>
      <w:r>
        <w:rPr>
          <w:rFonts w:hint="eastAsia" w:ascii="宋体" w:hAnsi="宋体" w:eastAsia="宋体" w:cs="宋体"/>
          <w:b/>
          <w:bCs/>
          <w:color w:val="auto"/>
          <w:szCs w:val="21"/>
          <w:highlight w:val="none"/>
          <w:u w:val="single"/>
          <w:lang w:eastAsia="zh-CN"/>
        </w:rPr>
        <w:t>（即结算装机容量=投标产品单块组件容量×并网光伏组件数量）</w:t>
      </w:r>
      <w:r>
        <w:rPr>
          <w:rFonts w:hint="eastAsia" w:ascii="宋体" w:hAnsi="宋体" w:eastAsia="宋体" w:cs="宋体"/>
          <w:b/>
          <w:bCs/>
          <w:color w:val="auto"/>
          <w:szCs w:val="21"/>
          <w:highlight w:val="none"/>
          <w:u w:val="single"/>
        </w:rPr>
        <w:t>；（4）原则上，单个子项目内建设范围（建设区域）不得改变，因招标人原因对单个子项目内建设范围（建设区域）增减的，经招标人书面确认后，对应调整，按照前述（1）至（3）项原则确定结算装机容量</w:t>
      </w:r>
      <w:r>
        <w:rPr>
          <w:rFonts w:hint="eastAsia" w:ascii="宋体" w:hAnsi="宋体" w:eastAsia="宋体" w:cs="宋体"/>
          <w:color w:val="auto"/>
          <w:szCs w:val="21"/>
          <w:highlight w:val="none"/>
        </w:rPr>
        <w:t>。</w:t>
      </w:r>
    </w:p>
    <w:p w14:paraId="70B39D78">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中标不含税固定每瓦单价=暂定不含税总价（即中标人的投标报价）÷暂定总装机容量（计算的单价按四舍五入保留小数点后3位小数），招标人按中标不含税固定每瓦单价×实际结算装机容量和对应的销项税额进行结算。</w:t>
      </w:r>
    </w:p>
    <w:p w14:paraId="11399E68">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③合同暂定价格仅为便于计算使用，不作为招标人最终采购实施数量的保证。招标人的实际需求数量以实际装机容量为准，按实际的结算装机容量结算。在履行期内，中标人不得因招标人实际采购实施数量的减少或增加而要求招标人作出任何形式的补偿或赔偿，或要求招标人按暂定数量采购。 </w:t>
      </w:r>
      <w:bookmarkEnd w:id="720"/>
    </w:p>
    <w:p w14:paraId="33780D57">
      <w:pPr>
        <w:spacing w:line="360" w:lineRule="auto"/>
        <w:ind w:firstLine="422" w:firstLineChars="200"/>
        <w:outlineLvl w:val="2"/>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5</w:t>
      </w:r>
      <w:r>
        <w:rPr>
          <w:rFonts w:hint="eastAsia" w:ascii="宋体" w:hAnsi="宋体" w:eastAsia="宋体" w:cs="宋体"/>
          <w:b/>
          <w:bCs/>
          <w:color w:val="auto"/>
          <w:szCs w:val="21"/>
          <w:highlight w:val="none"/>
          <w:lang w:val="zh-CN"/>
        </w:rPr>
        <w:t>、付款方式：</w:t>
      </w:r>
    </w:p>
    <w:p w14:paraId="0BCAC8B8">
      <w:pPr>
        <w:pStyle w:val="21"/>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第一阶段：合同签订后，</w:t>
      </w:r>
      <w:r>
        <w:rPr>
          <w:rFonts w:hint="eastAsia" w:hAnsi="宋体" w:cs="宋体"/>
          <w:b w:val="0"/>
          <w:bCs w:val="0"/>
          <w:color w:val="auto"/>
          <w:sz w:val="21"/>
          <w:szCs w:val="21"/>
          <w:highlight w:val="none"/>
          <w:lang w:val="en-US"/>
        </w:rPr>
        <w:t>中标人</w:t>
      </w:r>
      <w:r>
        <w:rPr>
          <w:rFonts w:hint="eastAsia" w:hAnsi="宋体" w:cs="宋体"/>
          <w:b w:val="0"/>
          <w:bCs w:val="0"/>
          <w:color w:val="auto"/>
          <w:sz w:val="21"/>
          <w:szCs w:val="21"/>
          <w:highlight w:val="none"/>
        </w:rPr>
        <w:t>向</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提交</w:t>
      </w:r>
      <w:r>
        <w:rPr>
          <w:rFonts w:hint="eastAsia" w:ascii="宋体" w:hAnsi="宋体" w:cs="宋体"/>
          <w:b w:val="0"/>
          <w:bCs w:val="0"/>
          <w:color w:val="auto"/>
          <w:sz w:val="21"/>
          <w:szCs w:val="21"/>
          <w:highlight w:val="none"/>
        </w:rPr>
        <w:t>等额</w:t>
      </w:r>
      <w:r>
        <w:rPr>
          <w:rFonts w:hint="eastAsia" w:hAnsi="宋体" w:cs="宋体"/>
          <w:b w:val="0"/>
          <w:bCs w:val="0"/>
          <w:color w:val="auto"/>
          <w:sz w:val="21"/>
          <w:szCs w:val="21"/>
          <w:highlight w:val="none"/>
          <w:lang w:val="en-US" w:eastAsia="zh-CN"/>
        </w:rPr>
        <w:t>不可撤销</w:t>
      </w:r>
      <w:r>
        <w:rPr>
          <w:rFonts w:hint="eastAsia" w:ascii="宋体" w:hAnsi="宋体" w:cs="宋体"/>
          <w:b w:val="0"/>
          <w:bCs w:val="0"/>
          <w:color w:val="auto"/>
          <w:sz w:val="21"/>
          <w:szCs w:val="21"/>
          <w:highlight w:val="none"/>
        </w:rPr>
        <w:t>银行预付款保函</w:t>
      </w:r>
      <w:r>
        <w:rPr>
          <w:rFonts w:hint="eastAsia" w:hAnsi="宋体" w:cs="宋体"/>
          <w:b w:val="0"/>
          <w:bCs w:val="0"/>
          <w:color w:val="auto"/>
          <w:sz w:val="21"/>
          <w:szCs w:val="21"/>
          <w:highlight w:val="none"/>
        </w:rPr>
        <w:t>，经</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审核确认后，</w:t>
      </w:r>
      <w:r>
        <w:rPr>
          <w:rFonts w:hint="eastAsia" w:hAnsi="宋体" w:cs="宋体"/>
          <w:b w:val="0"/>
          <w:bCs w:val="0"/>
          <w:color w:val="auto"/>
          <w:sz w:val="21"/>
          <w:szCs w:val="21"/>
          <w:highlight w:val="none"/>
          <w:lang w:val="en-US"/>
        </w:rPr>
        <w:t>招标人</w:t>
      </w:r>
      <w:r>
        <w:rPr>
          <w:rFonts w:hint="eastAsia" w:hAnsi="宋体" w:cs="宋体"/>
          <w:b w:val="0"/>
          <w:bCs w:val="0"/>
          <w:color w:val="auto"/>
          <w:sz w:val="21"/>
          <w:szCs w:val="21"/>
          <w:highlight w:val="none"/>
        </w:rPr>
        <w:t>向</w:t>
      </w:r>
      <w:r>
        <w:rPr>
          <w:rFonts w:hint="eastAsia" w:hAnsi="宋体" w:cs="宋体"/>
          <w:b w:val="0"/>
          <w:bCs w:val="0"/>
          <w:color w:val="auto"/>
          <w:sz w:val="21"/>
          <w:szCs w:val="21"/>
          <w:highlight w:val="none"/>
          <w:lang w:val="en-US"/>
        </w:rPr>
        <w:t>中标人</w:t>
      </w:r>
      <w:r>
        <w:rPr>
          <w:rFonts w:hint="eastAsia" w:hAnsi="宋体" w:cs="宋体"/>
          <w:b w:val="0"/>
          <w:bCs w:val="0"/>
          <w:color w:val="auto"/>
          <w:sz w:val="21"/>
          <w:szCs w:val="21"/>
          <w:highlight w:val="none"/>
        </w:rPr>
        <w:t>支付</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rPr>
        <w:t>暂定不含税总价20%</w:t>
      </w:r>
      <w:r>
        <w:rPr>
          <w:rFonts w:hint="eastAsia" w:hAnsi="宋体" w:cs="宋体"/>
          <w:b w:val="0"/>
          <w:bCs w:val="0"/>
          <w:color w:val="auto"/>
          <w:sz w:val="21"/>
          <w:szCs w:val="21"/>
          <w:highlight w:val="none"/>
          <w:lang w:val="en-US" w:eastAsia="zh-CN"/>
        </w:rPr>
        <w:t>的预付款</w:t>
      </w:r>
      <w:r>
        <w:rPr>
          <w:rFonts w:hint="eastAsia" w:hAnsi="宋体" w:cs="宋体"/>
          <w:b w:val="0"/>
          <w:bCs w:val="0"/>
          <w:color w:val="auto"/>
          <w:sz w:val="21"/>
          <w:szCs w:val="21"/>
          <w:highlight w:val="none"/>
          <w:lang w:val="en-US"/>
        </w:rPr>
        <w:t>和对应的销项税额</w:t>
      </w:r>
      <w:r>
        <w:rPr>
          <w:rFonts w:hint="eastAsia" w:hAnsi="宋体" w:cs="宋体"/>
          <w:b w:val="0"/>
          <w:bCs w:val="0"/>
          <w:color w:val="auto"/>
          <w:sz w:val="21"/>
          <w:szCs w:val="21"/>
          <w:highlight w:val="none"/>
        </w:rPr>
        <w:t>；</w:t>
      </w:r>
    </w:p>
    <w:p w14:paraId="507548E1">
      <w:pPr>
        <w:pStyle w:val="21"/>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第二阶段：按子项目进度支付，所有子项目在该阶段累计支付金额不超过</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rPr>
        <w:t>暂定不含税总价的 60%</w:t>
      </w:r>
      <w:r>
        <w:rPr>
          <w:rFonts w:hint="eastAsia" w:hAnsi="宋体" w:cs="宋体"/>
          <w:b w:val="0"/>
          <w:bCs w:val="0"/>
          <w:color w:val="auto"/>
          <w:sz w:val="21"/>
          <w:szCs w:val="21"/>
          <w:highlight w:val="none"/>
          <w:lang w:val="en-US"/>
        </w:rPr>
        <w:t>和对应的销项税额</w:t>
      </w:r>
      <w:r>
        <w:rPr>
          <w:rFonts w:hint="eastAsia" w:hAnsi="宋体" w:cs="宋体"/>
          <w:b w:val="0"/>
          <w:bCs w:val="0"/>
          <w:color w:val="auto"/>
          <w:sz w:val="21"/>
          <w:szCs w:val="21"/>
          <w:highlight w:val="none"/>
        </w:rPr>
        <w:t>，具体如下：</w:t>
      </w:r>
    </w:p>
    <w:p w14:paraId="1A9C1E35">
      <w:pPr>
        <w:pStyle w:val="21"/>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（1）中标人完成子项目备案并经招标人确认后，招标人向中标人支付该子项目的项目暂定不含税总价的10%和对应的销项税额；</w:t>
      </w:r>
    </w:p>
    <w:p w14:paraId="29A4D34D">
      <w:pPr>
        <w:pStyle w:val="21"/>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（2）中标人完成光伏</w:t>
      </w:r>
      <w:r>
        <w:rPr>
          <w:rFonts w:hint="eastAsia" w:hAnsi="宋体" w:cs="宋体"/>
          <w:b w:val="0"/>
          <w:bCs w:val="0"/>
          <w:color w:val="auto"/>
          <w:sz w:val="21"/>
          <w:szCs w:val="21"/>
          <w:highlight w:val="none"/>
          <w:lang w:val="en-US" w:eastAsia="zh-CN"/>
        </w:rPr>
        <w:t>组件铺设</w:t>
      </w:r>
      <w:r>
        <w:rPr>
          <w:rFonts w:hint="eastAsia" w:hAnsi="宋体" w:cs="宋体"/>
          <w:b w:val="0"/>
          <w:bCs w:val="0"/>
          <w:color w:val="auto"/>
          <w:sz w:val="21"/>
          <w:szCs w:val="21"/>
          <w:highlight w:val="none"/>
        </w:rPr>
        <w:t>并经招标人确认后，招标人向中标人支付该子项目的项目暂定不含税总价的30%和对应的销项税额；</w:t>
      </w:r>
    </w:p>
    <w:p w14:paraId="38FCBF8B">
      <w:pPr>
        <w:pStyle w:val="21"/>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（3）子项目完成并网验收，招标人向中标人支付该子项目的项目暂定</w:t>
      </w:r>
      <w:r>
        <w:rPr>
          <w:rFonts w:hint="eastAsia" w:hAnsi="宋体" w:cs="宋体"/>
          <w:b w:val="0"/>
          <w:bCs w:val="0"/>
          <w:color w:val="auto"/>
          <w:sz w:val="21"/>
          <w:szCs w:val="21"/>
          <w:highlight w:val="none"/>
          <w:lang w:val="en-US"/>
        </w:rPr>
        <w:t>不含税总价</w:t>
      </w:r>
      <w:r>
        <w:rPr>
          <w:rFonts w:hint="eastAsia" w:hAnsi="宋体" w:cs="宋体"/>
          <w:b w:val="0"/>
          <w:bCs w:val="0"/>
          <w:color w:val="auto"/>
          <w:sz w:val="21"/>
          <w:szCs w:val="21"/>
          <w:highlight w:val="none"/>
        </w:rPr>
        <w:t>的20%和对应的销项税额。</w:t>
      </w:r>
    </w:p>
    <w:p w14:paraId="243957AC">
      <w:pPr>
        <w:pStyle w:val="21"/>
        <w:autoSpaceDE/>
        <w:autoSpaceDN/>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第三阶段：在所有子项目</w:t>
      </w:r>
      <w:r>
        <w:rPr>
          <w:rFonts w:hint="eastAsia" w:hAnsi="宋体" w:cs="宋体"/>
          <w:b w:val="0"/>
          <w:bCs w:val="0"/>
          <w:color w:val="auto"/>
          <w:sz w:val="21"/>
          <w:szCs w:val="21"/>
          <w:highlight w:val="none"/>
          <w:lang w:val="en-US"/>
        </w:rPr>
        <w:t>竣工</w:t>
      </w:r>
      <w:r>
        <w:rPr>
          <w:rFonts w:hint="eastAsia" w:hAnsi="宋体" w:cs="宋体"/>
          <w:b w:val="0"/>
          <w:bCs w:val="0"/>
          <w:color w:val="auto"/>
          <w:sz w:val="21"/>
          <w:szCs w:val="21"/>
          <w:highlight w:val="none"/>
        </w:rPr>
        <w:t>验收合格</w:t>
      </w:r>
      <w:r>
        <w:rPr>
          <w:rFonts w:hint="eastAsia" w:hAnsi="宋体" w:cs="宋体"/>
          <w:b w:val="0"/>
          <w:bCs w:val="0"/>
          <w:color w:val="auto"/>
          <w:sz w:val="21"/>
          <w:szCs w:val="21"/>
          <w:highlight w:val="none"/>
          <w:lang w:val="en-US"/>
        </w:rPr>
        <w:t>并</w:t>
      </w:r>
      <w:r>
        <w:rPr>
          <w:rFonts w:hint="eastAsia" w:hAnsi="宋体" w:cs="宋体"/>
          <w:b w:val="0"/>
          <w:bCs w:val="0"/>
          <w:color w:val="auto"/>
          <w:sz w:val="21"/>
          <w:szCs w:val="21"/>
          <w:highlight w:val="none"/>
        </w:rPr>
        <w:t>结算完成后，招标人向中标人支付至</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结算价款的90%</w:t>
      </w:r>
      <w:r>
        <w:rPr>
          <w:rFonts w:hint="eastAsia" w:hAnsi="宋体" w:cs="宋体"/>
          <w:b w:val="0"/>
          <w:bCs w:val="0"/>
          <w:color w:val="auto"/>
          <w:sz w:val="21"/>
          <w:szCs w:val="21"/>
          <w:highlight w:val="none"/>
          <w:lang w:val="en-US"/>
        </w:rPr>
        <w:t>和对应的销项税额。</w:t>
      </w:r>
    </w:p>
    <w:p w14:paraId="01B74181">
      <w:pPr>
        <w:pStyle w:val="21"/>
        <w:autoSpaceDE/>
        <w:autoSpaceDN/>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第四阶段：</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总结算</w:t>
      </w:r>
      <w:r>
        <w:rPr>
          <w:rFonts w:hint="eastAsia" w:hAnsi="宋体" w:cs="宋体"/>
          <w:b w:val="0"/>
          <w:bCs w:val="0"/>
          <w:color w:val="auto"/>
          <w:sz w:val="21"/>
          <w:szCs w:val="21"/>
          <w:highlight w:val="none"/>
          <w:lang w:val="en-US"/>
        </w:rPr>
        <w:t>价</w:t>
      </w:r>
      <w:r>
        <w:rPr>
          <w:rFonts w:hint="eastAsia" w:hAnsi="宋体" w:cs="宋体"/>
          <w:b w:val="0"/>
          <w:bCs w:val="0"/>
          <w:color w:val="auto"/>
          <w:sz w:val="21"/>
          <w:szCs w:val="21"/>
          <w:highlight w:val="none"/>
        </w:rPr>
        <w:t>的7%和对应的销项税额</w:t>
      </w:r>
      <w:r>
        <w:rPr>
          <w:rFonts w:hint="eastAsia" w:hAnsi="宋体" w:cs="宋体"/>
          <w:b w:val="0"/>
          <w:bCs w:val="0"/>
          <w:color w:val="auto"/>
          <w:sz w:val="21"/>
          <w:szCs w:val="21"/>
          <w:highlight w:val="none"/>
          <w:lang w:val="en-US"/>
        </w:rPr>
        <w:t>作为1年运维费用，按一年四个季度分四期进行支付。运维期费用结合季度考核评价表按季度（运维起始期3个月视为一个季度）结算，具体如下：</w:t>
      </w:r>
    </w:p>
    <w:p w14:paraId="7E21D7A2">
      <w:pPr>
        <w:pStyle w:val="21"/>
        <w:autoSpaceDE/>
        <w:autoSpaceDN/>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（1）每季度运维费用为1年运维费用的25%；</w:t>
      </w:r>
    </w:p>
    <w:p w14:paraId="7CCF16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（2）按季度考核评价表的评分结算当季度运维费用，评分90分以上（包括90分），按全额结算当季度运维费用；评分90分以下（不包括90分），按所得分数与满分的百分比结算当季度运维费用；</w:t>
      </w:r>
    </w:p>
    <w:p w14:paraId="4CB88A5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（3）每季度运维费用中标人需在下一季度第一个月按要求提供请款资料，招标人在收到请款资料后20日内进行支付。</w:t>
      </w:r>
    </w:p>
    <w:p w14:paraId="47425CE1">
      <w:pPr>
        <w:pStyle w:val="21"/>
        <w:autoSpaceDE/>
        <w:autoSpaceDN/>
        <w:adjustRightInd/>
        <w:spacing w:line="360" w:lineRule="auto"/>
        <w:ind w:right="-28"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val="en-US"/>
        </w:rPr>
        <w:t>第五阶段：</w:t>
      </w:r>
      <w:r>
        <w:rPr>
          <w:rFonts w:hint="eastAsia" w:ascii="宋体" w:hAnsi="宋体" w:eastAsia="宋体" w:cs="宋体"/>
          <w:b w:val="0"/>
          <w:bCs w:val="0"/>
          <w:color w:val="auto"/>
          <w:sz w:val="21"/>
          <w:szCs w:val="21"/>
          <w:highlight w:val="none"/>
        </w:rPr>
        <w:t>结算价款的3%</w:t>
      </w:r>
      <w:r>
        <w:rPr>
          <w:rFonts w:hint="eastAsia" w:hAnsi="宋体" w:cs="宋体"/>
          <w:b w:val="0"/>
          <w:bCs w:val="0"/>
          <w:color w:val="auto"/>
          <w:sz w:val="21"/>
          <w:szCs w:val="21"/>
          <w:highlight w:val="none"/>
          <w:lang w:val="en-US" w:eastAsia="zh-CN"/>
        </w:rPr>
        <w:t>及其销项税额</w:t>
      </w:r>
      <w:r>
        <w:rPr>
          <w:rFonts w:hint="eastAsia" w:ascii="宋体" w:hAnsi="宋体" w:eastAsia="宋体" w:cs="宋体"/>
          <w:b w:val="0"/>
          <w:bCs w:val="0"/>
          <w:color w:val="auto"/>
          <w:sz w:val="21"/>
          <w:szCs w:val="21"/>
          <w:highlight w:val="none"/>
        </w:rPr>
        <w:t>留作质量保修金。若中标人按合同约定履行质量保修义务，招标人将在质保期满后无息退还剩余质量保修金。如中标人未按合同约定履行质量保修义务，招标人有权不予退还或推迟退还质量保修金。中标人可在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质量保修期届满前，提前申请退还质量保修金。如提前申请，中标人须向招标人提交一份担保金额与质量保修金等额、无条件、见索即付且不可撤销</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质量保修保函，该</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保函的有效期应覆盖</w:t>
      </w:r>
      <w:r>
        <w:rPr>
          <w:rFonts w:hint="eastAsia" w:hAnsi="宋体" w:cs="宋体"/>
          <w:b w:val="0"/>
          <w:bCs w:val="0"/>
          <w:color w:val="auto"/>
          <w:sz w:val="21"/>
          <w:szCs w:val="21"/>
          <w:highlight w:val="none"/>
          <w:lang w:val="en-US" w:eastAsia="zh-CN"/>
        </w:rPr>
        <w:t>中</w:t>
      </w:r>
      <w:r>
        <w:rPr>
          <w:rFonts w:hint="eastAsia" w:ascii="宋体" w:hAnsi="宋体" w:eastAsia="宋体" w:cs="宋体"/>
          <w:b w:val="0"/>
          <w:bCs w:val="0"/>
          <w:color w:val="auto"/>
          <w:sz w:val="21"/>
          <w:szCs w:val="21"/>
          <w:highlight w:val="none"/>
        </w:rPr>
        <w:t>标人承诺的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质保期限。招标人将在收到符合要求的</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保函后办理退还</w:t>
      </w:r>
      <w:r>
        <w:rPr>
          <w:rFonts w:hint="eastAsia" w:hAnsi="宋体" w:cs="宋体"/>
          <w:b w:val="0"/>
          <w:bCs w:val="0"/>
          <w:color w:val="auto"/>
          <w:sz w:val="21"/>
          <w:szCs w:val="21"/>
          <w:highlight w:val="none"/>
          <w:lang w:val="en-US"/>
        </w:rPr>
        <w:t>。</w:t>
      </w:r>
    </w:p>
    <w:p w14:paraId="4D9B1C69">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投标人须对本项目为单位的货物及服务进行整体投标，任何只对其中一部分内容进行的投标都被视为无效投标。如本项目的部分安装（实施）工程需要具有相应资质才能实施但投标人不具备该项资质的，投标人应在获得招标人的书面同意后，委托具有相应资质的单位实施。</w:t>
      </w:r>
    </w:p>
    <w:p w14:paraId="00BDFD2B">
      <w:pPr>
        <w:pStyle w:val="18"/>
        <w:rPr>
          <w:color w:val="auto"/>
          <w:highlight w:val="none"/>
        </w:rPr>
      </w:pPr>
    </w:p>
    <w:p w14:paraId="5B2BF1F3">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附件1 项目清单（详见本项目招标公告）</w:t>
      </w:r>
    </w:p>
    <w:p w14:paraId="52007A7E">
      <w:pPr>
        <w:tabs>
          <w:tab w:val="center" w:pos="3125"/>
        </w:tabs>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特别说明：本项目按图纸、用户需求书、合同范围总承包，并以不含税固定每瓦单价包干。本项目清单仅供投标人核算造价，不作为结算计价标准，最终合同的结算价按合同约定的不含税固定每瓦单价×实际</w:t>
      </w:r>
      <w:r>
        <w:rPr>
          <w:rFonts w:hint="eastAsia" w:hAnsi="宋体" w:cs="宋体"/>
          <w:b/>
          <w:bCs/>
          <w:color w:val="auto"/>
          <w:szCs w:val="21"/>
          <w:highlight w:val="none"/>
          <w:u w:val="single"/>
        </w:rPr>
        <w:t>结算</w:t>
      </w:r>
      <w:r>
        <w:rPr>
          <w:rFonts w:hint="eastAsia" w:ascii="宋体" w:hAnsi="宋体" w:eastAsia="宋体" w:cs="宋体"/>
          <w:b/>
          <w:bCs/>
          <w:color w:val="auto"/>
          <w:szCs w:val="21"/>
          <w:highlight w:val="none"/>
          <w:u w:val="single"/>
        </w:rPr>
        <w:t>装机容量和对应的销项税额结算</w:t>
      </w:r>
      <w:r>
        <w:rPr>
          <w:rFonts w:hint="eastAsia" w:ascii="宋体" w:hAnsi="宋体" w:eastAsia="宋体" w:cs="宋体"/>
          <w:b/>
          <w:bCs/>
          <w:color w:val="auto"/>
          <w:szCs w:val="21"/>
          <w:highlight w:val="none"/>
        </w:rPr>
        <w:t>。</w:t>
      </w:r>
    </w:p>
    <w:p w14:paraId="1EC5EB9F">
      <w:pPr>
        <w:numPr>
          <w:ilvl w:val="255"/>
          <w:numId w:val="0"/>
        </w:numPr>
        <w:spacing w:line="360" w:lineRule="auto"/>
        <w:rPr>
          <w:rFonts w:ascii="宋体" w:hAnsi="宋体" w:eastAsia="宋体" w:cs="宋体"/>
          <w:color w:val="auto"/>
          <w:szCs w:val="21"/>
          <w:highlight w:val="none"/>
        </w:rPr>
      </w:pPr>
    </w:p>
    <w:p w14:paraId="32A17223">
      <w:pPr>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附件2 图纸（详见本项目招标公告）</w:t>
      </w:r>
    </w:p>
    <w:p w14:paraId="0426E3FF">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图纸目录</w:t>
      </w:r>
    </w:p>
    <w:tbl>
      <w:tblPr>
        <w:tblStyle w:val="4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315"/>
        <w:gridCol w:w="2917"/>
        <w:gridCol w:w="1054"/>
        <w:gridCol w:w="1789"/>
        <w:gridCol w:w="2420"/>
      </w:tblGrid>
      <w:tr w14:paraId="11D15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421" w:type="pct"/>
            <w:vAlign w:val="center"/>
          </w:tcPr>
          <w:p w14:paraId="3A2EC69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40" w:type="pct"/>
            <w:gridSpan w:val="2"/>
            <w:vAlign w:val="center"/>
          </w:tcPr>
          <w:p w14:paraId="7695AA7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图纸名称</w:t>
            </w:r>
          </w:p>
        </w:tc>
        <w:tc>
          <w:tcPr>
            <w:tcW w:w="508" w:type="pct"/>
            <w:vAlign w:val="center"/>
          </w:tcPr>
          <w:p w14:paraId="3970169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页数</w:t>
            </w:r>
          </w:p>
        </w:tc>
        <w:tc>
          <w:tcPr>
            <w:tcW w:w="862" w:type="pct"/>
            <w:vAlign w:val="center"/>
          </w:tcPr>
          <w:p w14:paraId="4110BF5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出图日期</w:t>
            </w:r>
          </w:p>
        </w:tc>
        <w:tc>
          <w:tcPr>
            <w:tcW w:w="1166" w:type="pct"/>
            <w:vAlign w:val="center"/>
          </w:tcPr>
          <w:p w14:paraId="3041554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A62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03CEA9A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34" w:type="pct"/>
            <w:vMerge w:val="restart"/>
            <w:vAlign w:val="center"/>
          </w:tcPr>
          <w:p w14:paraId="5BD8B63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东莞市水务集团分布式光伏发电项目(第一批)净水厂项目</w:t>
            </w:r>
          </w:p>
        </w:tc>
        <w:tc>
          <w:tcPr>
            <w:tcW w:w="1406" w:type="pct"/>
            <w:vAlign w:val="center"/>
          </w:tcPr>
          <w:p w14:paraId="4AB68B0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常平岗梓水质净化厂</w:t>
            </w:r>
          </w:p>
        </w:tc>
        <w:tc>
          <w:tcPr>
            <w:tcW w:w="508" w:type="pct"/>
            <w:vAlign w:val="center"/>
          </w:tcPr>
          <w:p w14:paraId="184452E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862" w:type="pct"/>
            <w:vAlign w:val="center"/>
          </w:tcPr>
          <w:p w14:paraId="46BF147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24A89CD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电气部分</w:t>
            </w:r>
          </w:p>
        </w:tc>
      </w:tr>
      <w:tr w14:paraId="6B2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1" w:type="pct"/>
            <w:vAlign w:val="center"/>
          </w:tcPr>
          <w:p w14:paraId="316DA32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634" w:type="pct"/>
            <w:vMerge w:val="continue"/>
            <w:vAlign w:val="center"/>
          </w:tcPr>
          <w:p w14:paraId="6B90CB6A">
            <w:pPr>
              <w:jc w:val="center"/>
              <w:rPr>
                <w:rFonts w:ascii="宋体" w:hAnsi="宋体" w:eastAsia="宋体" w:cs="宋体"/>
                <w:color w:val="auto"/>
                <w:szCs w:val="21"/>
                <w:highlight w:val="none"/>
              </w:rPr>
            </w:pPr>
          </w:p>
        </w:tc>
        <w:tc>
          <w:tcPr>
            <w:tcW w:w="1406" w:type="pct"/>
            <w:vAlign w:val="center"/>
          </w:tcPr>
          <w:p w14:paraId="43D3253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常平沙湖口水质净化厂</w:t>
            </w:r>
          </w:p>
        </w:tc>
        <w:tc>
          <w:tcPr>
            <w:tcW w:w="508" w:type="pct"/>
            <w:vAlign w:val="center"/>
          </w:tcPr>
          <w:p w14:paraId="05F1016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w:t>
            </w:r>
          </w:p>
        </w:tc>
        <w:tc>
          <w:tcPr>
            <w:tcW w:w="862" w:type="pct"/>
            <w:vAlign w:val="center"/>
          </w:tcPr>
          <w:p w14:paraId="6061E3D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3D3606E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电气部分</w:t>
            </w:r>
          </w:p>
        </w:tc>
      </w:tr>
      <w:tr w14:paraId="6084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51110BA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634" w:type="pct"/>
            <w:vMerge w:val="continue"/>
            <w:vAlign w:val="center"/>
          </w:tcPr>
          <w:p w14:paraId="675D2410">
            <w:pPr>
              <w:jc w:val="center"/>
              <w:rPr>
                <w:rFonts w:ascii="宋体" w:hAnsi="宋体" w:eastAsia="宋体" w:cs="宋体"/>
                <w:color w:val="auto"/>
                <w:szCs w:val="21"/>
                <w:highlight w:val="none"/>
              </w:rPr>
            </w:pPr>
          </w:p>
        </w:tc>
        <w:tc>
          <w:tcPr>
            <w:tcW w:w="1406" w:type="pct"/>
            <w:vAlign w:val="center"/>
          </w:tcPr>
          <w:p w14:paraId="7417FEB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东城温塘水质净化厂</w:t>
            </w:r>
          </w:p>
        </w:tc>
        <w:tc>
          <w:tcPr>
            <w:tcW w:w="508" w:type="pct"/>
            <w:vAlign w:val="center"/>
          </w:tcPr>
          <w:p w14:paraId="36E8C5A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862" w:type="pct"/>
            <w:vAlign w:val="center"/>
          </w:tcPr>
          <w:p w14:paraId="7A0786B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062782E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电气部分</w:t>
            </w:r>
          </w:p>
        </w:tc>
      </w:tr>
      <w:tr w14:paraId="504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418A319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634" w:type="pct"/>
            <w:vMerge w:val="continue"/>
            <w:vAlign w:val="center"/>
          </w:tcPr>
          <w:p w14:paraId="2F926978">
            <w:pPr>
              <w:jc w:val="center"/>
              <w:rPr>
                <w:rFonts w:ascii="宋体" w:hAnsi="宋体" w:eastAsia="宋体" w:cs="宋体"/>
                <w:color w:val="auto"/>
                <w:szCs w:val="21"/>
                <w:highlight w:val="none"/>
              </w:rPr>
            </w:pPr>
          </w:p>
        </w:tc>
        <w:tc>
          <w:tcPr>
            <w:tcW w:w="1406" w:type="pct"/>
            <w:vAlign w:val="center"/>
          </w:tcPr>
          <w:p w14:paraId="59AE46E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高埗低涌水质净化厂</w:t>
            </w:r>
          </w:p>
        </w:tc>
        <w:tc>
          <w:tcPr>
            <w:tcW w:w="508" w:type="pct"/>
            <w:vAlign w:val="center"/>
          </w:tcPr>
          <w:p w14:paraId="62DA7D1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3</w:t>
            </w:r>
          </w:p>
        </w:tc>
        <w:tc>
          <w:tcPr>
            <w:tcW w:w="862" w:type="pct"/>
            <w:vAlign w:val="center"/>
          </w:tcPr>
          <w:p w14:paraId="4936FEB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6A894F0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电气部分</w:t>
            </w:r>
          </w:p>
        </w:tc>
      </w:tr>
      <w:tr w14:paraId="1AA3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1" w:type="pct"/>
            <w:vAlign w:val="center"/>
          </w:tcPr>
          <w:p w14:paraId="5AEAA9D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634" w:type="pct"/>
            <w:vMerge w:val="continue"/>
            <w:vAlign w:val="center"/>
          </w:tcPr>
          <w:p w14:paraId="1705229C">
            <w:pPr>
              <w:jc w:val="center"/>
              <w:rPr>
                <w:rFonts w:ascii="宋体" w:hAnsi="宋体" w:eastAsia="宋体" w:cs="宋体"/>
                <w:color w:val="auto"/>
                <w:szCs w:val="21"/>
                <w:highlight w:val="none"/>
              </w:rPr>
            </w:pPr>
          </w:p>
        </w:tc>
        <w:tc>
          <w:tcPr>
            <w:tcW w:w="1406" w:type="pct"/>
            <w:vAlign w:val="center"/>
          </w:tcPr>
          <w:p w14:paraId="294B072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横东水质净化厂</w:t>
            </w:r>
          </w:p>
        </w:tc>
        <w:tc>
          <w:tcPr>
            <w:tcW w:w="508" w:type="pct"/>
            <w:vAlign w:val="center"/>
          </w:tcPr>
          <w:p w14:paraId="61D52B8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3</w:t>
            </w:r>
          </w:p>
        </w:tc>
        <w:tc>
          <w:tcPr>
            <w:tcW w:w="862" w:type="pct"/>
            <w:vAlign w:val="center"/>
          </w:tcPr>
          <w:p w14:paraId="72C2198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11F4805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电气部分</w:t>
            </w:r>
          </w:p>
        </w:tc>
      </w:tr>
      <w:tr w14:paraId="4E7D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5EF0C8D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634" w:type="pct"/>
            <w:vMerge w:val="continue"/>
            <w:vAlign w:val="center"/>
          </w:tcPr>
          <w:p w14:paraId="06EB6E92">
            <w:pPr>
              <w:jc w:val="center"/>
              <w:rPr>
                <w:rFonts w:ascii="宋体" w:hAnsi="宋体" w:eastAsia="宋体" w:cs="宋体"/>
                <w:color w:val="auto"/>
                <w:szCs w:val="21"/>
                <w:highlight w:val="none"/>
              </w:rPr>
            </w:pPr>
          </w:p>
        </w:tc>
        <w:tc>
          <w:tcPr>
            <w:tcW w:w="1406" w:type="pct"/>
            <w:vAlign w:val="center"/>
          </w:tcPr>
          <w:p w14:paraId="280741A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虎门宁洲水质净化厂</w:t>
            </w:r>
          </w:p>
        </w:tc>
        <w:tc>
          <w:tcPr>
            <w:tcW w:w="508" w:type="pct"/>
            <w:vAlign w:val="center"/>
          </w:tcPr>
          <w:p w14:paraId="6C6F659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862" w:type="pct"/>
            <w:vAlign w:val="center"/>
          </w:tcPr>
          <w:p w14:paraId="6DA4336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7102742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电气部分</w:t>
            </w:r>
          </w:p>
        </w:tc>
      </w:tr>
      <w:tr w14:paraId="0AD3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04820CF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634" w:type="pct"/>
            <w:vMerge w:val="continue"/>
            <w:vAlign w:val="center"/>
          </w:tcPr>
          <w:p w14:paraId="5DE9B8C1">
            <w:pPr>
              <w:jc w:val="center"/>
              <w:rPr>
                <w:rFonts w:ascii="宋体" w:hAnsi="宋体" w:eastAsia="宋体" w:cs="宋体"/>
                <w:color w:val="auto"/>
                <w:szCs w:val="21"/>
                <w:highlight w:val="none"/>
              </w:rPr>
            </w:pPr>
          </w:p>
        </w:tc>
        <w:tc>
          <w:tcPr>
            <w:tcW w:w="1406" w:type="pct"/>
            <w:vAlign w:val="center"/>
          </w:tcPr>
          <w:p w14:paraId="5D68F5C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沙田福禄沙水质净化厂</w:t>
            </w:r>
          </w:p>
        </w:tc>
        <w:tc>
          <w:tcPr>
            <w:tcW w:w="508" w:type="pct"/>
            <w:vAlign w:val="center"/>
          </w:tcPr>
          <w:p w14:paraId="61FF1B7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862" w:type="pct"/>
            <w:vAlign w:val="center"/>
          </w:tcPr>
          <w:p w14:paraId="357F316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4B562EA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电气部分</w:t>
            </w:r>
          </w:p>
        </w:tc>
      </w:tr>
      <w:tr w14:paraId="3FBE1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1" w:type="pct"/>
            <w:vAlign w:val="center"/>
          </w:tcPr>
          <w:p w14:paraId="668D19D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634" w:type="pct"/>
            <w:vMerge w:val="continue"/>
            <w:vAlign w:val="center"/>
          </w:tcPr>
          <w:p w14:paraId="08051A6D">
            <w:pPr>
              <w:jc w:val="center"/>
              <w:rPr>
                <w:rFonts w:ascii="宋体" w:hAnsi="宋体" w:eastAsia="宋体" w:cs="宋体"/>
                <w:color w:val="auto"/>
                <w:szCs w:val="21"/>
                <w:highlight w:val="none"/>
              </w:rPr>
            </w:pPr>
          </w:p>
        </w:tc>
        <w:tc>
          <w:tcPr>
            <w:tcW w:w="1406" w:type="pct"/>
            <w:vAlign w:val="center"/>
          </w:tcPr>
          <w:p w14:paraId="00BEC01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常平岗梓水质净化厂</w:t>
            </w:r>
          </w:p>
        </w:tc>
        <w:tc>
          <w:tcPr>
            <w:tcW w:w="508" w:type="pct"/>
            <w:vAlign w:val="center"/>
          </w:tcPr>
          <w:p w14:paraId="6AE7FAA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74</w:t>
            </w:r>
          </w:p>
        </w:tc>
        <w:tc>
          <w:tcPr>
            <w:tcW w:w="862" w:type="pct"/>
            <w:vAlign w:val="center"/>
          </w:tcPr>
          <w:p w14:paraId="2402220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03CCC085">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结构部分</w:t>
            </w:r>
          </w:p>
        </w:tc>
      </w:tr>
      <w:tr w14:paraId="7641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63DB765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634" w:type="pct"/>
            <w:vMerge w:val="continue"/>
            <w:vAlign w:val="center"/>
          </w:tcPr>
          <w:p w14:paraId="52130879">
            <w:pPr>
              <w:jc w:val="center"/>
              <w:rPr>
                <w:rFonts w:ascii="宋体" w:hAnsi="宋体" w:eastAsia="宋体" w:cs="宋体"/>
                <w:color w:val="auto"/>
                <w:szCs w:val="21"/>
                <w:highlight w:val="none"/>
              </w:rPr>
            </w:pPr>
          </w:p>
        </w:tc>
        <w:tc>
          <w:tcPr>
            <w:tcW w:w="1406" w:type="pct"/>
            <w:vAlign w:val="center"/>
          </w:tcPr>
          <w:p w14:paraId="06FA14F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常平沙湖口水质净化厂</w:t>
            </w:r>
          </w:p>
        </w:tc>
        <w:tc>
          <w:tcPr>
            <w:tcW w:w="508" w:type="pct"/>
            <w:vAlign w:val="center"/>
          </w:tcPr>
          <w:p w14:paraId="0ACF27D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0</w:t>
            </w:r>
          </w:p>
        </w:tc>
        <w:tc>
          <w:tcPr>
            <w:tcW w:w="862" w:type="pct"/>
            <w:vAlign w:val="center"/>
          </w:tcPr>
          <w:p w14:paraId="13F9375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0BF9A29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结构部分</w:t>
            </w:r>
          </w:p>
        </w:tc>
      </w:tr>
      <w:tr w14:paraId="7109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1" w:type="pct"/>
            <w:vAlign w:val="center"/>
          </w:tcPr>
          <w:p w14:paraId="246D7EE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34" w:type="pct"/>
            <w:vMerge w:val="continue"/>
            <w:vAlign w:val="center"/>
          </w:tcPr>
          <w:p w14:paraId="042BC123">
            <w:pPr>
              <w:jc w:val="center"/>
              <w:rPr>
                <w:rFonts w:ascii="宋体" w:hAnsi="宋体" w:eastAsia="宋体" w:cs="宋体"/>
                <w:color w:val="auto"/>
                <w:szCs w:val="21"/>
                <w:highlight w:val="none"/>
              </w:rPr>
            </w:pPr>
          </w:p>
        </w:tc>
        <w:tc>
          <w:tcPr>
            <w:tcW w:w="1406" w:type="pct"/>
            <w:vAlign w:val="center"/>
          </w:tcPr>
          <w:p w14:paraId="61E2EED3">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东城温塘水质净化厂</w:t>
            </w:r>
          </w:p>
        </w:tc>
        <w:tc>
          <w:tcPr>
            <w:tcW w:w="508" w:type="pct"/>
            <w:vAlign w:val="center"/>
          </w:tcPr>
          <w:p w14:paraId="5FEA898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p>
        </w:tc>
        <w:tc>
          <w:tcPr>
            <w:tcW w:w="862" w:type="pct"/>
            <w:vAlign w:val="center"/>
          </w:tcPr>
          <w:p w14:paraId="2179BB4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22D600D2">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结构部分</w:t>
            </w:r>
          </w:p>
        </w:tc>
      </w:tr>
      <w:tr w14:paraId="2E28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409F686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634" w:type="pct"/>
            <w:vMerge w:val="continue"/>
            <w:vAlign w:val="center"/>
          </w:tcPr>
          <w:p w14:paraId="2D42E026">
            <w:pPr>
              <w:jc w:val="center"/>
              <w:rPr>
                <w:rFonts w:ascii="宋体" w:hAnsi="宋体" w:eastAsia="宋体" w:cs="宋体"/>
                <w:color w:val="auto"/>
                <w:szCs w:val="21"/>
                <w:highlight w:val="none"/>
              </w:rPr>
            </w:pPr>
          </w:p>
        </w:tc>
        <w:tc>
          <w:tcPr>
            <w:tcW w:w="1406" w:type="pct"/>
            <w:vAlign w:val="center"/>
          </w:tcPr>
          <w:p w14:paraId="7DF6870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高埗低涌水质净化厂</w:t>
            </w:r>
          </w:p>
        </w:tc>
        <w:tc>
          <w:tcPr>
            <w:tcW w:w="508" w:type="pct"/>
            <w:vAlign w:val="center"/>
          </w:tcPr>
          <w:p w14:paraId="22BD493C">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862" w:type="pct"/>
            <w:vAlign w:val="center"/>
          </w:tcPr>
          <w:p w14:paraId="3FC6501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2EE2FB0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结构部分</w:t>
            </w:r>
          </w:p>
        </w:tc>
      </w:tr>
      <w:tr w14:paraId="6956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09AB0466">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634" w:type="pct"/>
            <w:vMerge w:val="continue"/>
            <w:vAlign w:val="center"/>
          </w:tcPr>
          <w:p w14:paraId="6C95E9CF">
            <w:pPr>
              <w:jc w:val="center"/>
              <w:rPr>
                <w:rFonts w:ascii="宋体" w:hAnsi="宋体" w:eastAsia="宋体" w:cs="宋体"/>
                <w:color w:val="auto"/>
                <w:szCs w:val="21"/>
                <w:highlight w:val="none"/>
              </w:rPr>
            </w:pPr>
          </w:p>
        </w:tc>
        <w:tc>
          <w:tcPr>
            <w:tcW w:w="1406" w:type="pct"/>
            <w:vAlign w:val="center"/>
          </w:tcPr>
          <w:p w14:paraId="49EEAC2F">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横东水质净化厂</w:t>
            </w:r>
          </w:p>
        </w:tc>
        <w:tc>
          <w:tcPr>
            <w:tcW w:w="508" w:type="pct"/>
            <w:vAlign w:val="center"/>
          </w:tcPr>
          <w:p w14:paraId="3CBAAE58">
            <w:pPr>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51</w:t>
            </w:r>
          </w:p>
        </w:tc>
        <w:tc>
          <w:tcPr>
            <w:tcW w:w="862" w:type="pct"/>
            <w:vAlign w:val="center"/>
          </w:tcPr>
          <w:p w14:paraId="2D73440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3E0F143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结构部分</w:t>
            </w:r>
          </w:p>
        </w:tc>
      </w:tr>
      <w:tr w14:paraId="550B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21" w:type="pct"/>
            <w:vAlign w:val="center"/>
          </w:tcPr>
          <w:p w14:paraId="66C7734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634" w:type="pct"/>
            <w:vMerge w:val="continue"/>
            <w:vAlign w:val="center"/>
          </w:tcPr>
          <w:p w14:paraId="1890D0DF">
            <w:pPr>
              <w:jc w:val="center"/>
              <w:rPr>
                <w:rFonts w:ascii="宋体" w:hAnsi="宋体" w:eastAsia="宋体" w:cs="宋体"/>
                <w:color w:val="auto"/>
                <w:szCs w:val="21"/>
                <w:highlight w:val="none"/>
              </w:rPr>
            </w:pPr>
          </w:p>
        </w:tc>
        <w:tc>
          <w:tcPr>
            <w:tcW w:w="1406" w:type="pct"/>
            <w:vAlign w:val="center"/>
          </w:tcPr>
          <w:p w14:paraId="1510B32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虎门宁洲水质净化厂</w:t>
            </w:r>
          </w:p>
        </w:tc>
        <w:tc>
          <w:tcPr>
            <w:tcW w:w="508" w:type="pct"/>
            <w:vAlign w:val="center"/>
          </w:tcPr>
          <w:p w14:paraId="32438619">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862" w:type="pct"/>
            <w:vAlign w:val="center"/>
          </w:tcPr>
          <w:p w14:paraId="55971C7B">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4D5B3CA1">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结构部分</w:t>
            </w:r>
          </w:p>
        </w:tc>
      </w:tr>
      <w:tr w14:paraId="5982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21" w:type="pct"/>
            <w:vAlign w:val="center"/>
          </w:tcPr>
          <w:p w14:paraId="4DC846DD">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634" w:type="pct"/>
            <w:vMerge w:val="continue"/>
            <w:vAlign w:val="center"/>
          </w:tcPr>
          <w:p w14:paraId="5DC0FEC9">
            <w:pPr>
              <w:jc w:val="center"/>
              <w:rPr>
                <w:rFonts w:ascii="宋体" w:hAnsi="宋体" w:eastAsia="宋体" w:cs="宋体"/>
                <w:color w:val="auto"/>
                <w:szCs w:val="21"/>
                <w:highlight w:val="none"/>
              </w:rPr>
            </w:pPr>
          </w:p>
        </w:tc>
        <w:tc>
          <w:tcPr>
            <w:tcW w:w="1406" w:type="pct"/>
            <w:vAlign w:val="center"/>
          </w:tcPr>
          <w:p w14:paraId="131C7D34">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沙田福禄沙水质净化厂</w:t>
            </w:r>
          </w:p>
        </w:tc>
        <w:tc>
          <w:tcPr>
            <w:tcW w:w="508" w:type="pct"/>
            <w:vAlign w:val="center"/>
          </w:tcPr>
          <w:p w14:paraId="651FF46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862" w:type="pct"/>
            <w:vAlign w:val="center"/>
          </w:tcPr>
          <w:p w14:paraId="56F3792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2025.08</w:t>
            </w:r>
          </w:p>
        </w:tc>
        <w:tc>
          <w:tcPr>
            <w:tcW w:w="1166" w:type="pct"/>
            <w:vAlign w:val="center"/>
          </w:tcPr>
          <w:p w14:paraId="2793014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结构部分</w:t>
            </w:r>
          </w:p>
        </w:tc>
      </w:tr>
    </w:tbl>
    <w:p w14:paraId="2437D21B">
      <w:pPr>
        <w:jc w:val="center"/>
        <w:rPr>
          <w:rFonts w:ascii="宋体" w:hAnsi="宋体" w:eastAsia="宋体" w:cs="宋体"/>
          <w:b/>
          <w:color w:val="auto"/>
          <w:szCs w:val="21"/>
          <w:highlight w:val="none"/>
        </w:rPr>
      </w:pPr>
    </w:p>
    <w:p w14:paraId="0515B74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721" w:name="_Toc25251"/>
      <w:bookmarkStart w:id="722" w:name="_Toc11281_WPSOffice_Level1"/>
      <w:bookmarkStart w:id="723" w:name="_Toc13960"/>
      <w:bookmarkStart w:id="724" w:name="_Toc20401"/>
      <w:bookmarkStart w:id="725" w:name="_Toc142508359"/>
      <w:bookmarkStart w:id="726" w:name="_Toc32243"/>
      <w:bookmarkStart w:id="727" w:name="_Toc8894"/>
      <w:bookmarkStart w:id="728" w:name="_Toc486167707"/>
      <w:bookmarkStart w:id="729" w:name="_Toc450662892"/>
      <w:bookmarkStart w:id="730" w:name="_Toc19015"/>
      <w:bookmarkStart w:id="731" w:name="_Toc195714338"/>
      <w:bookmarkStart w:id="732" w:name="_Toc134469727"/>
      <w:r>
        <w:rPr>
          <w:rFonts w:hint="eastAsia" w:ascii="宋体" w:hAnsi="宋体" w:eastAsia="宋体" w:cs="宋体"/>
          <w:b/>
          <w:bCs/>
          <w:color w:val="auto"/>
          <w:kern w:val="44"/>
          <w:sz w:val="32"/>
          <w:szCs w:val="32"/>
          <w:highlight w:val="none"/>
        </w:rPr>
        <w:t>第</w:t>
      </w:r>
      <w:r>
        <w:rPr>
          <w:rFonts w:hint="eastAsia" w:ascii="宋体" w:hAnsi="宋体" w:eastAsia="宋体" w:cs="宋体"/>
          <w:b/>
          <w:bCs/>
          <w:color w:val="auto"/>
          <w:kern w:val="44"/>
          <w:sz w:val="32"/>
          <w:szCs w:val="32"/>
          <w:highlight w:val="none"/>
          <w:lang w:val="zh-CN"/>
        </w:rPr>
        <w:t>四篇 合同条款格式</w:t>
      </w:r>
      <w:bookmarkEnd w:id="721"/>
      <w:bookmarkEnd w:id="722"/>
      <w:bookmarkEnd w:id="723"/>
      <w:bookmarkEnd w:id="724"/>
      <w:bookmarkEnd w:id="725"/>
      <w:bookmarkEnd w:id="726"/>
      <w:bookmarkEnd w:id="727"/>
      <w:bookmarkEnd w:id="728"/>
      <w:bookmarkEnd w:id="729"/>
      <w:bookmarkEnd w:id="730"/>
      <w:bookmarkEnd w:id="731"/>
    </w:p>
    <w:p w14:paraId="562DF5DA">
      <w:pPr>
        <w:autoSpaceDE w:val="0"/>
        <w:autoSpaceDN w:val="0"/>
        <w:adjustRightInd w:val="0"/>
        <w:snapToGrid w:val="0"/>
        <w:spacing w:line="360" w:lineRule="auto"/>
        <w:jc w:val="center"/>
        <w:rPr>
          <w:rFonts w:ascii="宋体" w:hAnsi="宋体" w:eastAsia="宋体" w:cs="宋体"/>
          <w:color w:val="auto"/>
          <w:kern w:val="0"/>
          <w:sz w:val="24"/>
          <w:szCs w:val="24"/>
          <w:highlight w:val="none"/>
        </w:rPr>
      </w:pPr>
    </w:p>
    <w:p w14:paraId="6B03ACE4">
      <w:pPr>
        <w:autoSpaceDE w:val="0"/>
        <w:autoSpaceDN w:val="0"/>
        <w:adjustRightInd w:val="0"/>
        <w:snapToGri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63A25B3C">
      <w:pPr>
        <w:autoSpaceDE w:val="0"/>
        <w:autoSpaceDN w:val="0"/>
        <w:adjustRightInd w:val="0"/>
        <w:snapToGri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p>
    <w:p w14:paraId="62195EFF">
      <w:pPr>
        <w:autoSpaceDE w:val="0"/>
        <w:autoSpaceDN w:val="0"/>
        <w:adjustRightInd w:val="0"/>
        <w:spacing w:line="360" w:lineRule="auto"/>
        <w:jc w:val="center"/>
        <w:rPr>
          <w:rFonts w:hint="eastAsia" w:ascii="宋体" w:hAnsi="宋体" w:eastAsia="宋体" w:cs="宋体"/>
          <w:b/>
          <w:color w:val="auto"/>
          <w:kern w:val="0"/>
          <w:sz w:val="52"/>
          <w:szCs w:val="52"/>
          <w:highlight w:val="none"/>
          <w:lang w:eastAsia="zh-CN"/>
        </w:rPr>
      </w:pPr>
      <w:r>
        <w:rPr>
          <w:rFonts w:hint="eastAsia" w:ascii="宋体" w:hAnsi="宋体" w:eastAsia="宋体" w:cs="宋体"/>
          <w:b/>
          <w:color w:val="auto"/>
          <w:kern w:val="0"/>
          <w:sz w:val="52"/>
          <w:szCs w:val="52"/>
          <w:highlight w:val="none"/>
          <w:lang w:eastAsia="zh-CN" w:bidi="ar"/>
        </w:rPr>
        <w:t>东莞市水务环境投资控股集团分布式光伏发电项目（第一批）净水厂项目</w:t>
      </w:r>
    </w:p>
    <w:p w14:paraId="39B9462B">
      <w:pPr>
        <w:autoSpaceDE w:val="0"/>
        <w:autoSpaceDN w:val="0"/>
        <w:adjustRightInd w:val="0"/>
        <w:spacing w:line="360" w:lineRule="auto"/>
        <w:jc w:val="center"/>
        <w:rPr>
          <w:rFonts w:ascii="宋体" w:hAnsi="宋体" w:eastAsia="宋体" w:cs="宋体"/>
          <w:bCs/>
          <w:color w:val="auto"/>
          <w:kern w:val="0"/>
          <w:sz w:val="52"/>
          <w:szCs w:val="52"/>
          <w:highlight w:val="none"/>
        </w:rPr>
      </w:pPr>
      <w:r>
        <w:rPr>
          <w:rFonts w:hint="eastAsia" w:ascii="宋体" w:hAnsi="宋体" w:eastAsia="宋体" w:cs="宋体"/>
          <w:bCs/>
          <w:color w:val="auto"/>
          <w:kern w:val="0"/>
          <w:sz w:val="52"/>
          <w:szCs w:val="52"/>
          <w:highlight w:val="none"/>
          <w:lang w:bidi="ar"/>
        </w:rPr>
        <w:t xml:space="preserve"> </w:t>
      </w:r>
    </w:p>
    <w:p w14:paraId="0EF33EC1">
      <w:pPr>
        <w:autoSpaceDE w:val="0"/>
        <w:autoSpaceDN w:val="0"/>
        <w:adjustRightInd w:val="0"/>
        <w:spacing w:before="840" w:beforeLines="350" w:after="360" w:afterLines="150" w:line="360" w:lineRule="auto"/>
        <w:jc w:val="center"/>
        <w:rPr>
          <w:rFonts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lang w:bidi="ar"/>
        </w:rPr>
        <w:t>采购合同</w:t>
      </w:r>
    </w:p>
    <w:p w14:paraId="59C14B0F">
      <w:pPr>
        <w:autoSpaceDE w:val="0"/>
        <w:autoSpaceDN w:val="0"/>
        <w:adjustRightInd w:val="0"/>
        <w:spacing w:line="360" w:lineRule="auto"/>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（合同编号：       ）</w:t>
      </w:r>
    </w:p>
    <w:p w14:paraId="431A02EB">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1E866632">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38482987">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166314A7">
      <w:pPr>
        <w:autoSpaceDE w:val="0"/>
        <w:autoSpaceDN w:val="0"/>
        <w:adjustRightInd w:val="0"/>
        <w:spacing w:line="360" w:lineRule="auto"/>
        <w:jc w:val="left"/>
        <w:rPr>
          <w:rFonts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bidi="ar"/>
        </w:rPr>
        <w:t xml:space="preserve"> </w:t>
      </w:r>
    </w:p>
    <w:p w14:paraId="639D82BA">
      <w:pPr>
        <w:autoSpaceDE w:val="0"/>
        <w:autoSpaceDN w:val="0"/>
        <w:adjustRightInd w:val="0"/>
        <w:spacing w:line="48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甲方：</w:t>
      </w:r>
      <w:r>
        <w:rPr>
          <w:rFonts w:hint="eastAsia" w:ascii="宋体" w:hAnsi="宋体" w:eastAsia="宋体" w:cs="宋体"/>
          <w:b/>
          <w:bCs/>
          <w:color w:val="auto"/>
          <w:kern w:val="0"/>
          <w:sz w:val="28"/>
          <w:szCs w:val="28"/>
          <w:highlight w:val="none"/>
          <w:u w:val="single"/>
          <w:lang w:bidi="ar"/>
        </w:rPr>
        <w:t xml:space="preserve">东莞市水务集团科技发展有限公司 </w:t>
      </w:r>
      <w:r>
        <w:rPr>
          <w:rFonts w:hint="eastAsia" w:ascii="宋体" w:hAnsi="宋体" w:eastAsia="宋体" w:cs="宋体"/>
          <w:b/>
          <w:bCs/>
          <w:color w:val="auto"/>
          <w:kern w:val="0"/>
          <w:sz w:val="28"/>
          <w:szCs w:val="28"/>
          <w:highlight w:val="none"/>
          <w:lang w:bidi="ar"/>
        </w:rPr>
        <w:t xml:space="preserve"> </w:t>
      </w:r>
    </w:p>
    <w:p w14:paraId="0EC799C9">
      <w:pPr>
        <w:autoSpaceDE w:val="0"/>
        <w:autoSpaceDN w:val="0"/>
        <w:adjustRightInd w:val="0"/>
        <w:spacing w:line="480" w:lineRule="auto"/>
        <w:ind w:firstLine="1102" w:firstLineChars="392"/>
        <w:jc w:val="left"/>
        <w:rPr>
          <w:rFonts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lang w:bidi="ar"/>
        </w:rPr>
        <w:t>乙方：</w:t>
      </w:r>
      <w:r>
        <w:rPr>
          <w:rFonts w:hint="eastAsia" w:ascii="宋体" w:hAnsi="宋体" w:eastAsia="宋体" w:cs="宋体"/>
          <w:b/>
          <w:bCs/>
          <w:color w:val="auto"/>
          <w:kern w:val="0"/>
          <w:sz w:val="28"/>
          <w:szCs w:val="28"/>
          <w:highlight w:val="none"/>
          <w:u w:val="single"/>
          <w:lang w:bidi="ar"/>
        </w:rPr>
        <w:t xml:space="preserve">                          </w:t>
      </w:r>
    </w:p>
    <w:p w14:paraId="15844B9C">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 xml:space="preserve"> </w:t>
      </w:r>
    </w:p>
    <w:p w14:paraId="304CE24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签订日期：   年   月   日</w:t>
      </w:r>
    </w:p>
    <w:p w14:paraId="3D1AF625">
      <w:pPr>
        <w:autoSpaceDE w:val="0"/>
        <w:autoSpaceDN w:val="0"/>
        <w:adjustRightInd w:val="0"/>
        <w:jc w:val="left"/>
        <w:rPr>
          <w:rFonts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 xml:space="preserve"> </w:t>
      </w:r>
    </w:p>
    <w:p w14:paraId="483F92E5">
      <w:pPr>
        <w:autoSpaceDE w:val="0"/>
        <w:autoSpaceDN w:val="0"/>
        <w:adjustRightInd w:val="0"/>
        <w:jc w:val="left"/>
        <w:rPr>
          <w:rFonts w:ascii="宋体" w:hAnsi="宋体" w:eastAsia="宋体" w:cs="宋体"/>
          <w:b/>
          <w:bCs/>
          <w:color w:val="auto"/>
          <w:kern w:val="0"/>
          <w:sz w:val="28"/>
          <w:szCs w:val="28"/>
          <w:highlight w:val="none"/>
          <w:lang w:bidi="ar"/>
        </w:rPr>
      </w:pPr>
    </w:p>
    <w:p w14:paraId="4B8EA8FE">
      <w:pPr>
        <w:autoSpaceDE w:val="0"/>
        <w:autoSpaceDN w:val="0"/>
        <w:adjustRightInd w:val="0"/>
        <w:jc w:val="left"/>
        <w:rPr>
          <w:rFonts w:ascii="宋体" w:hAnsi="宋体" w:eastAsia="宋体" w:cs="宋体"/>
          <w:b/>
          <w:bCs/>
          <w:color w:val="auto"/>
          <w:kern w:val="0"/>
          <w:sz w:val="28"/>
          <w:szCs w:val="28"/>
          <w:highlight w:val="none"/>
          <w:lang w:bidi="ar"/>
        </w:rPr>
      </w:pPr>
    </w:p>
    <w:p w14:paraId="4920ED7E">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根据《中华人民共和国民法典》及有关法律规定，遵循平等、自愿、公平和诚实信用的原则，双方就</w:t>
      </w:r>
      <w:r>
        <w:rPr>
          <w:rFonts w:hint="eastAsia" w:hAnsi="宋体" w:cs="宋体"/>
          <w:color w:val="auto"/>
          <w:szCs w:val="21"/>
          <w:highlight w:val="none"/>
          <w:lang w:eastAsia="zh-CN"/>
        </w:rPr>
        <w:t>东莞市水务环境投资控股集团分布式光伏发电项目（第一批）净水厂项目</w:t>
      </w:r>
      <w:r>
        <w:rPr>
          <w:rFonts w:hint="eastAsia" w:hAnsi="宋体" w:cs="宋体"/>
          <w:color w:val="auto"/>
          <w:szCs w:val="21"/>
          <w:highlight w:val="none"/>
        </w:rPr>
        <w:t>设备采购及安装服务等有关事项协商一致，共同达成如下协议：</w:t>
      </w:r>
    </w:p>
    <w:p w14:paraId="65ED6CA3">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第一条 </w:t>
      </w:r>
      <w:bookmarkStart w:id="733" w:name="OLE_LINK76"/>
      <w:r>
        <w:rPr>
          <w:rFonts w:hint="eastAsia" w:ascii="宋体" w:hAnsi="宋体" w:eastAsia="宋体" w:cs="宋体"/>
          <w:b/>
          <w:color w:val="auto"/>
          <w:szCs w:val="21"/>
          <w:highlight w:val="none"/>
        </w:rPr>
        <w:t>合同项目</w:t>
      </w:r>
      <w:bookmarkEnd w:id="733"/>
    </w:p>
    <w:p w14:paraId="7CFD1300">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1、项目地址：东城温塘水质净化厂、横沥东坑水质净化厂、虎门宁洲水质净化厂、沙田福禄沙水质净化厂、常平岗梓水质净化厂、常平沙湖口水质净化厂、高埗低涌水质净化厂等7家水质净化</w:t>
      </w:r>
      <w:r>
        <w:rPr>
          <w:rFonts w:hint="eastAsia" w:hAnsi="宋体" w:cs="宋体"/>
          <w:color w:val="auto"/>
          <w:szCs w:val="21"/>
          <w:highlight w:val="none"/>
          <w:lang w:val="zh-CN"/>
        </w:rPr>
        <w:t>厂</w:t>
      </w:r>
      <w:r>
        <w:rPr>
          <w:rFonts w:hint="eastAsia" w:hAnsi="宋体" w:cs="宋体"/>
          <w:color w:val="auto"/>
          <w:szCs w:val="21"/>
          <w:highlight w:val="none"/>
        </w:rPr>
        <w:t>的工作间屋面和部分工作池池面。</w:t>
      </w:r>
    </w:p>
    <w:p w14:paraId="0E5F563F">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2、项目规模：暂定总装机容量13529.02kWp，最终以各子项目经供电部门和甲方确认的并网装机容量为准，并按本合同约定的结算装机容量计费。</w:t>
      </w:r>
    </w:p>
    <w:p w14:paraId="51879590">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3、安装方式：阳光棚或阵列式，自发自用，余电上网。</w:t>
      </w:r>
    </w:p>
    <w:p w14:paraId="403FA7B0">
      <w:pPr>
        <w:pStyle w:val="25"/>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4、工期要求：</w:t>
      </w:r>
    </w:p>
    <w:p w14:paraId="5750E631">
      <w:pPr>
        <w:pStyle w:val="25"/>
        <w:spacing w:line="360" w:lineRule="auto"/>
        <w:ind w:firstLine="420" w:firstLineChars="200"/>
        <w:rPr>
          <w:rFonts w:hint="eastAsia" w:hAnsi="宋体"/>
          <w:color w:val="auto"/>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1）深化设计工期：合同签订之日起，</w:t>
      </w:r>
      <w:r>
        <w:rPr>
          <w:rFonts w:hint="eastAsia"/>
          <w:color w:val="auto"/>
          <w:highlight w:val="none"/>
          <w:lang w:val="en-US" w:eastAsia="zh-CN"/>
        </w:rPr>
        <w:t>10</w:t>
      </w:r>
      <w:r>
        <w:rPr>
          <w:rFonts w:hint="eastAsia"/>
          <w:color w:val="auto"/>
          <w:highlight w:val="none"/>
        </w:rPr>
        <w:t>日</w:t>
      </w:r>
      <w:r>
        <w:rPr>
          <w:rFonts w:hint="eastAsia" w:hAnsi="宋体" w:cs="宋体"/>
          <w:color w:val="auto"/>
          <w:highlight w:val="none"/>
        </w:rPr>
        <w:t>（日历日，下同）</w:t>
      </w:r>
      <w:r>
        <w:rPr>
          <w:rFonts w:hint="eastAsia" w:hAnsi="宋体"/>
          <w:color w:val="auto"/>
          <w:highlight w:val="none"/>
        </w:rPr>
        <w:t>内完成项目深化设计文件</w:t>
      </w:r>
      <w:r>
        <w:rPr>
          <w:rFonts w:hint="eastAsia" w:hAnsi="宋体"/>
          <w:color w:val="auto"/>
          <w:highlight w:val="none"/>
          <w:lang w:eastAsia="zh-CN"/>
        </w:rPr>
        <w:t>。</w:t>
      </w:r>
    </w:p>
    <w:p w14:paraId="368E7920">
      <w:pPr>
        <w:pStyle w:val="25"/>
        <w:spacing w:line="360" w:lineRule="auto"/>
        <w:ind w:firstLine="420" w:firstLineChars="200"/>
        <w:rPr>
          <w:rFonts w:hAnsi="宋体" w:cs="宋体"/>
          <w:color w:val="auto"/>
          <w:szCs w:val="21"/>
          <w:highlight w:val="none"/>
        </w:rPr>
      </w:pPr>
      <w:r>
        <w:rPr>
          <w:rFonts w:hint="eastAsia" w:hAnsi="宋体"/>
          <w:color w:val="auto"/>
          <w:highlight w:val="none"/>
          <w:lang w:eastAsia="zh-CN"/>
        </w:rPr>
        <w:t>（</w:t>
      </w:r>
      <w:r>
        <w:rPr>
          <w:rFonts w:hint="eastAsia" w:hAnsi="宋体"/>
          <w:color w:val="auto"/>
          <w:highlight w:val="none"/>
          <w:lang w:val="en-US" w:eastAsia="zh-CN"/>
        </w:rPr>
        <w:t>2）供货安装工期：</w:t>
      </w:r>
      <w:r>
        <w:rPr>
          <w:rFonts w:hint="eastAsia" w:hAnsi="宋体" w:cs="宋体"/>
          <w:color w:val="auto"/>
          <w:szCs w:val="21"/>
          <w:highlight w:val="none"/>
        </w:rPr>
        <w:t>每个子项目（厂区）的基准实施周期为150</w:t>
      </w:r>
      <w:r>
        <w:rPr>
          <w:rFonts w:hint="eastAsia" w:hAnsi="宋体" w:cs="宋体"/>
          <w:color w:val="auto"/>
          <w:highlight w:val="none"/>
        </w:rPr>
        <w:t>日</w:t>
      </w:r>
      <w:r>
        <w:rPr>
          <w:rFonts w:hint="eastAsia" w:hAnsi="宋体" w:cs="宋体"/>
          <w:color w:val="auto"/>
          <w:szCs w:val="21"/>
          <w:highlight w:val="none"/>
        </w:rPr>
        <w:t>，</w:t>
      </w:r>
      <w:r>
        <w:rPr>
          <w:rFonts w:hint="eastAsia" w:hAnsi="宋体" w:cs="宋体"/>
          <w:color w:val="auto"/>
          <w:szCs w:val="21"/>
          <w:highlight w:val="none"/>
          <w:lang w:val="en-US" w:eastAsia="zh-CN"/>
        </w:rPr>
        <w:t>子项目完成项目备案并由</w:t>
      </w:r>
      <w:r>
        <w:rPr>
          <w:rFonts w:hint="eastAsia" w:hAnsi="宋体" w:cs="宋体"/>
          <w:color w:val="auto"/>
          <w:szCs w:val="21"/>
          <w:highlight w:val="none"/>
        </w:rPr>
        <w:t>甲方或其委托的项目管理公司签发该子项目开工通知之日起120</w:t>
      </w:r>
      <w:r>
        <w:rPr>
          <w:rFonts w:hint="eastAsia" w:hAnsi="宋体" w:cs="宋体"/>
          <w:color w:val="auto"/>
          <w:highlight w:val="none"/>
        </w:rPr>
        <w:t>日</w:t>
      </w:r>
      <w:r>
        <w:rPr>
          <w:rFonts w:hint="eastAsia" w:hAnsi="宋体" w:cs="宋体"/>
          <w:color w:val="auto"/>
          <w:szCs w:val="21"/>
          <w:highlight w:val="none"/>
        </w:rPr>
        <w:t>内完成该子项目所有建设内容</w:t>
      </w:r>
      <w:r>
        <w:rPr>
          <w:rFonts w:hint="eastAsia" w:hAnsi="宋体" w:cs="宋体"/>
          <w:color w:val="auto"/>
          <w:highlight w:val="none"/>
        </w:rPr>
        <w:t>（即初步验收合格）</w:t>
      </w:r>
      <w:r>
        <w:rPr>
          <w:rFonts w:hint="eastAsia" w:hAnsi="宋体" w:cs="宋体"/>
          <w:color w:val="auto"/>
          <w:szCs w:val="21"/>
          <w:highlight w:val="none"/>
        </w:rPr>
        <w:t>，建设完成后，30</w:t>
      </w:r>
      <w:r>
        <w:rPr>
          <w:rFonts w:hint="eastAsia" w:hAnsi="宋体" w:cs="宋体"/>
          <w:color w:val="auto"/>
          <w:highlight w:val="none"/>
        </w:rPr>
        <w:t>日</w:t>
      </w:r>
      <w:r>
        <w:rPr>
          <w:rFonts w:hint="eastAsia" w:hAnsi="宋体" w:cs="宋体"/>
          <w:color w:val="auto"/>
          <w:szCs w:val="21"/>
          <w:highlight w:val="none"/>
        </w:rPr>
        <w:t>内完成并网通电。若本项目未能在工期要求时间内完成工作，乙方需承担违约责任，并根据本合同第二十一条的约定向甲方支付对应的违约金。如因供电部门审批延误、不可抗力或其他非项目乙方原因且不可归责于乙方的客观因素导致工期延误，则受影响子项目的工期应相应顺延，顺延时长以实际延误时间为准，并经甲、乙双方盖章确认。</w:t>
      </w:r>
    </w:p>
    <w:p w14:paraId="1A208994">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5、实施内容：本项目按图纸、用户需求书、合同范围总承包，包括但不限于完成太阳能光伏组件至并网点全部项目的勘察与设计、设备材料供应及安装（含并网设施、光伏组件、交流汇流箱、逆变器、开关柜、光伏支架、电缆、监控、防雷及</w:t>
      </w:r>
      <w:r>
        <w:rPr>
          <w:rFonts w:hint="eastAsia" w:hAnsi="宋体" w:cs="宋体"/>
          <w:color w:val="auto"/>
          <w:szCs w:val="21"/>
          <w:highlight w:val="none"/>
          <w:lang w:val="zh-CN"/>
        </w:rPr>
        <w:t>安全等配套设施</w:t>
      </w:r>
      <w:r>
        <w:rPr>
          <w:rFonts w:hint="eastAsia" w:hAnsi="宋体" w:cs="宋体"/>
          <w:color w:val="auto"/>
          <w:szCs w:val="21"/>
          <w:highlight w:val="none"/>
        </w:rPr>
        <w:t>等光伏发电项目所有设备材料，运输、储存），以及在各水质净化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w:t>
      </w:r>
      <w:r>
        <w:rPr>
          <w:rFonts w:hint="eastAsia" w:hAnsi="宋体" w:cs="宋体"/>
          <w:bCs/>
          <w:color w:val="auto"/>
          <w:szCs w:val="21"/>
          <w:highlight w:val="none"/>
        </w:rPr>
        <w:t>，以及供电局所需的试验</w:t>
      </w:r>
      <w:r>
        <w:rPr>
          <w:rFonts w:hint="eastAsia" w:hAnsi="宋体" w:cs="宋体"/>
          <w:color w:val="auto"/>
          <w:szCs w:val="21"/>
          <w:highlight w:val="none"/>
        </w:rPr>
        <w:t>）并交付生产、培训、质量保修期内的消缺等完成并网投运全过程的工作，办理从项目备案到供电局并网投运全过程中所需的各类手续，在满足合同其它责任和义务的同时使本项目符合相关达标验收的要求，提供1年的</w:t>
      </w:r>
      <w:r>
        <w:rPr>
          <w:rFonts w:hint="eastAsia" w:hAnsi="宋体" w:cs="宋体"/>
          <w:color w:val="auto"/>
          <w:szCs w:val="21"/>
          <w:highlight w:val="none"/>
          <w:lang w:val="zh-CN"/>
        </w:rPr>
        <w:t>运营维护服务</w:t>
      </w:r>
      <w:r>
        <w:rPr>
          <w:rFonts w:hint="eastAsia" w:hAnsi="宋体" w:cs="宋体"/>
          <w:color w:val="auto"/>
          <w:szCs w:val="21"/>
          <w:highlight w:val="none"/>
        </w:rPr>
        <w:t>，具体详见用户需求书。</w:t>
      </w:r>
    </w:p>
    <w:p w14:paraId="12A67827">
      <w:pPr>
        <w:pStyle w:val="25"/>
        <w:spacing w:line="360" w:lineRule="auto"/>
        <w:ind w:firstLine="420" w:firstLineChars="200"/>
        <w:rPr>
          <w:rFonts w:hAnsi="宋体" w:cs="宋体"/>
          <w:b/>
          <w:color w:val="auto"/>
          <w:szCs w:val="21"/>
          <w:highlight w:val="none"/>
        </w:rPr>
      </w:pPr>
      <w:r>
        <w:rPr>
          <w:rFonts w:hint="eastAsia" w:hAnsi="宋体" w:cs="宋体"/>
          <w:color w:val="auto"/>
          <w:szCs w:val="21"/>
          <w:highlight w:val="none"/>
        </w:rPr>
        <w:t>6、</w:t>
      </w:r>
      <w:bookmarkStart w:id="734" w:name="OLE_LINK512"/>
      <w:bookmarkStart w:id="735" w:name="OLE_LINK455"/>
      <w:r>
        <w:rPr>
          <w:rFonts w:hint="eastAsia" w:hAnsi="宋体" w:cs="宋体"/>
          <w:color w:val="auto"/>
          <w:szCs w:val="21"/>
          <w:highlight w:val="none"/>
        </w:rPr>
        <w:t>运维期：1年，</w:t>
      </w:r>
      <w:bookmarkEnd w:id="734"/>
      <w:r>
        <w:rPr>
          <w:rFonts w:hint="eastAsia" w:hAnsi="宋体" w:cs="宋体"/>
          <w:color w:val="auto"/>
          <w:szCs w:val="21"/>
          <w:highlight w:val="none"/>
        </w:rPr>
        <w:t>自项目下全部子项目并网审批通过开始正式送电之日起计算。</w:t>
      </w:r>
      <w:bookmarkEnd w:id="735"/>
      <w:bookmarkStart w:id="736" w:name="OLE_LINK277"/>
    </w:p>
    <w:bookmarkEnd w:id="736"/>
    <w:p w14:paraId="1BB5AC99">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第二条 </w:t>
      </w:r>
      <w:bookmarkStart w:id="737" w:name="OLE_LINK77"/>
      <w:r>
        <w:rPr>
          <w:rFonts w:hint="eastAsia" w:ascii="宋体" w:hAnsi="宋体" w:eastAsia="宋体" w:cs="宋体"/>
          <w:b/>
          <w:color w:val="auto"/>
          <w:szCs w:val="21"/>
          <w:highlight w:val="none"/>
        </w:rPr>
        <w:t>合同价及销项税额</w:t>
      </w:r>
      <w:bookmarkEnd w:id="737"/>
    </w:p>
    <w:p w14:paraId="2D171E32">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1、本合同项目按图纸、用户需求书、合同范围总承包，以不含税固定每瓦单价包干，并根据最终结算装机容量及本合同约定确定结算价款。</w:t>
      </w:r>
    </w:p>
    <w:p w14:paraId="70586F5C">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2、本合同暂定不含税总价（即销售额，不含乙方销项税额）为</w:t>
      </w:r>
      <w:r>
        <w:rPr>
          <w:rFonts w:hint="eastAsia" w:hAnsi="宋体" w:cs="宋体"/>
          <w:color w:val="auto"/>
          <w:szCs w:val="21"/>
          <w:highlight w:val="none"/>
          <w:u w:val="single"/>
        </w:rPr>
        <w:t xml:space="preserve">      </w:t>
      </w:r>
      <w:r>
        <w:rPr>
          <w:rFonts w:hint="eastAsia" w:hAnsi="宋体" w:cs="宋体"/>
          <w:color w:val="auto"/>
          <w:szCs w:val="21"/>
          <w:highlight w:val="none"/>
        </w:rPr>
        <w:t>元（大写人民币</w:t>
      </w:r>
      <w:r>
        <w:rPr>
          <w:rFonts w:hint="eastAsia" w:hAnsi="宋体" w:cs="宋体"/>
          <w:color w:val="auto"/>
          <w:szCs w:val="21"/>
          <w:highlight w:val="none"/>
          <w:u w:val="single"/>
        </w:rPr>
        <w:t xml:space="preserve">      </w:t>
      </w:r>
      <w:r>
        <w:rPr>
          <w:rFonts w:hint="eastAsia" w:hAnsi="宋体" w:cs="宋体"/>
          <w:color w:val="auto"/>
          <w:szCs w:val="21"/>
          <w:highlight w:val="none"/>
        </w:rPr>
        <w:t>），不含税固定每瓦单价=暂定不含税总价（即乙方的投标报价）÷暂定总装机容量，计算的单价按四舍五入保留小数点后3位小数。甲方按不含税固定每瓦单价×实际结算装机容量和对应的销项税额进行结算，不含税固定每瓦单价为【】元（大写人民币      ）。</w:t>
      </w:r>
    </w:p>
    <w:p w14:paraId="7B738352">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不含税固定每瓦单价包含了乙方履行本合同的全部费用，包含但不限于：</w:t>
      </w:r>
    </w:p>
    <w:p w14:paraId="322105EE">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1）太阳能光伏组件至并网点全部项目的勘察与设计、设备材料供应及安装费用（含并网设施、光伏组件、交流汇流箱、逆变器、开关柜、光伏支架、电缆、监控、防雷及安全等配套设施等光伏发电项目所有设备材料，运输、储存），以及在各水质净化厂现状条件下为满足本项目实施的相关拆除、迁改、基础制作、安装所产生的费用，按厂区要求增设的钢结构室外楼梯和安全线缆的费用，电网接入系统检测、全部项目系统调试及试运、验收（含为满足并网条件，需按供电局要求完成线路改造、安健环改造、网络安防、电能质量优化及调度控制系统建设等相关工作，以及供电局所需的试验）并交付生产、培训、质量保修期内的消缺等完成并网投运全过程费用，即包括但不限于勘察与设计费、货物及零配件成本费、运输费、包装费、装卸费、搬运（含二次搬运）费、保险费、安装费及安装设备所需的配件等费用、安装所需的一切配套工作费用、安全防护文明施工措施费（其中含不停产情况下池面上空作业、高空作业、带电作业的安全措施费）、调试费、材料费、验收费（含验收所需的专家费、会务费、差旅费、验收材料费、满足供电局验收要求的试验费，竣工验收阶段委托第三方检测机构的检测费等）、人工费、技术培训费、技术服务（包括技术资料、图纸的提供等）等；</w:t>
      </w:r>
    </w:p>
    <w:p w14:paraId="4E622D0A">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（2）1年的</w:t>
      </w:r>
      <w:r>
        <w:rPr>
          <w:rFonts w:hint="eastAsia" w:hAnsi="宋体" w:cs="宋体"/>
          <w:color w:val="auto"/>
          <w:szCs w:val="21"/>
          <w:highlight w:val="none"/>
          <w:lang w:val="zh-CN"/>
        </w:rPr>
        <w:t>运营维护服务</w:t>
      </w:r>
      <w:r>
        <w:rPr>
          <w:rFonts w:hint="eastAsia" w:hAnsi="宋体" w:cs="宋体"/>
          <w:color w:val="auto"/>
          <w:szCs w:val="21"/>
          <w:highlight w:val="none"/>
        </w:rPr>
        <w:t>费用（含日常办公、设备巡检、维修养护、组件清洗、耗材更换、人员工资及保险、管理酬金等所有相关费用）；</w:t>
      </w:r>
    </w:p>
    <w:p w14:paraId="384339B2">
      <w:pPr>
        <w:pStyle w:val="21"/>
        <w:autoSpaceDE/>
        <w:autoSpaceDN/>
        <w:adjustRightInd/>
        <w:spacing w:line="360" w:lineRule="auto"/>
        <w:ind w:right="0" w:firstLine="420" w:firstLineChars="200"/>
        <w:jc w:val="left"/>
        <w:rPr>
          <w:rFonts w:hAnsi="宋体" w:cs="宋体"/>
          <w:color w:val="auto"/>
          <w:sz w:val="21"/>
          <w:szCs w:val="21"/>
          <w:highlight w:val="none"/>
          <w:lang w:val="en-US"/>
        </w:rPr>
      </w:pP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lang w:val="en-US" w:eastAsia="zh-CN"/>
        </w:rPr>
        <w:t>72块预留</w:t>
      </w:r>
      <w:r>
        <w:rPr>
          <w:rFonts w:hint="eastAsia" w:hAnsi="宋体" w:cs="宋体"/>
          <w:b w:val="0"/>
          <w:bCs w:val="0"/>
          <w:color w:val="auto"/>
          <w:sz w:val="21"/>
          <w:szCs w:val="21"/>
          <w:highlight w:val="none"/>
          <w:lang w:val="en-US"/>
        </w:rPr>
        <w:t>光伏组件的费用；</w:t>
      </w:r>
    </w:p>
    <w:p w14:paraId="31B4F4F4">
      <w:pPr>
        <w:pStyle w:val="25"/>
        <w:spacing w:line="360" w:lineRule="auto"/>
        <w:ind w:firstLine="420" w:firstLineChars="200"/>
        <w:rPr>
          <w:rFonts w:hAnsi="宋体" w:cs="宋体"/>
          <w:color w:val="auto"/>
          <w:highlight w:val="none"/>
        </w:rPr>
      </w:pPr>
      <w:r>
        <w:rPr>
          <w:rFonts w:hint="eastAsia" w:hAnsi="宋体" w:cs="宋体"/>
          <w:color w:val="auto"/>
          <w:szCs w:val="21"/>
          <w:highlight w:val="none"/>
        </w:rPr>
        <w:t>（4）项目实施过程中需按要求办理项目的全部手续及合规性工作所需费用，包括但不限于：①向项目所在地相关主管部门办理备案手续；②供电局对项目接入意见办理、接入方案的设计与编制、评审、接入施工图纸的设计、评审、接入系统的设备、材料的采购、施工、调试以及竣工验收；③政府部门或售电公司上网项目核准；④为满足并网条件，需按供电局要求完成线路改造、对侧变电站改造、网络安防、电能质量优化及调度控制系统建设等相关工作；</w:t>
      </w:r>
      <w:r>
        <w:rPr>
          <w:rFonts w:hint="eastAsia" w:hAnsi="宋体" w:cs="宋体"/>
          <w:color w:val="auto"/>
          <w:szCs w:val="21"/>
          <w:highlight w:val="none"/>
          <w:shd w:val="clear" w:color="auto" w:fill="FFFFFF"/>
        </w:rPr>
        <w:t>⑤办理对应手续需向有关部门、单位缴纳的费用；</w:t>
      </w:r>
    </w:p>
    <w:p w14:paraId="11833CAA">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5）乙方负责为项目招标范围内的设计、供货、安装和验收及满足并网投运所需要的一切手续的费用，即便在合同或招标文件内没有载明，但实际证明是确保项目发电运行所必须的，均纳入设计、采购、安装及提供服务范围，费用已包含在不含税固定每瓦单价内；</w:t>
      </w:r>
    </w:p>
    <w:p w14:paraId="1C25E1D7">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（6）供货货物及其工艺所有制造方、使用方应支付的对专有技术、商标权、专利权和版权、设计或其他知识产权而需要向其他方支付的版税；</w:t>
      </w:r>
    </w:p>
    <w:p w14:paraId="60211816">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（7）日常技术指导，免费的质保服务，包括但不限于免费现场质量问题处理或更换失效产品；</w:t>
      </w:r>
    </w:p>
    <w:p w14:paraId="1BE1185C">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（8）中标服务费、合理利润、乙方销项税额以外的税费及合同实施过程中的应预见和不可预见费用等完成合同规定责任和义务、达到合同目的的一切费用等；</w:t>
      </w:r>
    </w:p>
    <w:p w14:paraId="35011CFB">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（9）法律法规、商业公认、招标文件规定由乙方承担的其他直接及间接费用。</w:t>
      </w:r>
    </w:p>
    <w:p w14:paraId="55CDF27F">
      <w:pPr>
        <w:pStyle w:val="25"/>
        <w:spacing w:line="360" w:lineRule="auto"/>
        <w:ind w:firstLine="420" w:firstLineChars="200"/>
        <w:rPr>
          <w:rFonts w:hAnsi="宋体" w:cs="宋体"/>
          <w:color w:val="auto"/>
          <w:szCs w:val="21"/>
          <w:highlight w:val="none"/>
        </w:rPr>
      </w:pPr>
      <w:r>
        <w:rPr>
          <w:rFonts w:hint="eastAsia" w:hAnsi="宋体" w:cs="宋体"/>
          <w:color w:val="auto"/>
          <w:szCs w:val="21"/>
          <w:highlight w:val="none"/>
        </w:rPr>
        <w:t>在本合同履行过程中，不含税固定每瓦单价不随法律法规政策、物价人工、工期调整而进行调整，亦不随安装使用质量条件不低于本合同约定及用户需求书的单块并网组件而进行调整，未经甲方书面确认，乙方无权增加任何费用。</w:t>
      </w:r>
    </w:p>
    <w:p w14:paraId="38BFD73F">
      <w:pPr>
        <w:pStyle w:val="21"/>
        <w:tabs>
          <w:tab w:val="left" w:pos="2766"/>
          <w:tab w:val="left" w:pos="5888"/>
          <w:tab w:val="left" w:pos="8696"/>
          <w:tab w:val="left" w:pos="9074"/>
        </w:tabs>
        <w:adjustRightInd/>
        <w:spacing w:line="360" w:lineRule="auto"/>
        <w:ind w:right="0" w:firstLine="420" w:firstLineChars="200"/>
        <w:jc w:val="both"/>
        <w:rPr>
          <w:rFonts w:hAnsi="宋体" w:cs="宋体"/>
          <w:color w:val="auto"/>
          <w:sz w:val="21"/>
          <w:szCs w:val="21"/>
          <w:highlight w:val="none"/>
        </w:rPr>
      </w:pP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、依法计得并根据本合同约定确定的销项税额由甲方承担。根据《中华人民共和国增值税暂行条例》（国务院令第691号修订版）及当前税务部门的相关规定，本合同项目的增值税税率为</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，对应的销项税额为</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元（大写人民币</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）。在本合同履行过程中，</w:t>
      </w:r>
      <w:r>
        <w:rPr>
          <w:rFonts w:hint="eastAsia" w:hAnsi="宋体" w:cs="宋体"/>
          <w:b w:val="0"/>
          <w:bCs w:val="0"/>
          <w:color w:val="auto"/>
          <w:sz w:val="21"/>
          <w:szCs w:val="21"/>
          <w:highlight w:val="none"/>
          <w:lang w:val="en-US"/>
        </w:rPr>
        <w:t>依法应调整</w:t>
      </w:r>
      <w:r>
        <w:rPr>
          <w:rFonts w:hint="eastAsia" w:hAnsi="宋体" w:cs="宋体"/>
          <w:b w:val="0"/>
          <w:bCs w:val="0"/>
          <w:color w:val="auto"/>
          <w:sz w:val="21"/>
          <w:szCs w:val="21"/>
          <w:highlight w:val="none"/>
        </w:rPr>
        <w:t>增值税税率</w:t>
      </w:r>
      <w:r>
        <w:rPr>
          <w:rFonts w:hint="eastAsia" w:hAnsi="宋体" w:cs="宋体"/>
          <w:b w:val="0"/>
          <w:bCs w:val="0"/>
          <w:color w:val="auto"/>
          <w:sz w:val="21"/>
          <w:szCs w:val="21"/>
          <w:highlight w:val="none"/>
          <w:lang w:val="en-US"/>
        </w:rPr>
        <w:t>的</w:t>
      </w:r>
      <w:r>
        <w:rPr>
          <w:rFonts w:hint="eastAsia" w:hAnsi="宋体" w:cs="宋体"/>
          <w:b w:val="0"/>
          <w:bCs w:val="0"/>
          <w:color w:val="auto"/>
          <w:sz w:val="21"/>
          <w:szCs w:val="21"/>
          <w:highlight w:val="none"/>
        </w:rPr>
        <w:t>，依法调整，销项税额</w:t>
      </w:r>
      <w:r>
        <w:rPr>
          <w:rFonts w:hint="eastAsia" w:hAnsi="宋体" w:cs="宋体"/>
          <w:b w:val="0"/>
          <w:bCs w:val="0"/>
          <w:color w:val="auto"/>
          <w:sz w:val="21"/>
          <w:szCs w:val="21"/>
          <w:highlight w:val="none"/>
          <w:lang w:val="en-US"/>
        </w:rPr>
        <w:t>按实结算</w:t>
      </w:r>
      <w:r>
        <w:rPr>
          <w:rFonts w:hint="eastAsia" w:hAnsi="宋体" w:cs="宋体"/>
          <w:b w:val="0"/>
          <w:bCs w:val="0"/>
          <w:color w:val="auto"/>
          <w:sz w:val="21"/>
          <w:szCs w:val="21"/>
          <w:highlight w:val="none"/>
        </w:rPr>
        <w:t>；但因乙方未按合同约定工期完工、未根据合同约定提供合法、完整的请款资料、项目验收不合格导致的返工或重做、项目验收合格前的非正常损耗等原因导致销项税额增加的，相应损失由乙方承担。</w:t>
      </w:r>
    </w:p>
    <w:p w14:paraId="745099B6">
      <w:pPr>
        <w:pStyle w:val="21"/>
        <w:adjustRightInd/>
        <w:spacing w:line="360" w:lineRule="auto"/>
        <w:ind w:right="0" w:firstLine="420" w:firstLineChars="200"/>
        <w:jc w:val="both"/>
        <w:rPr>
          <w:rFonts w:hAnsi="宋体" w:cs="宋体"/>
          <w:color w:val="auto"/>
          <w:sz w:val="21"/>
          <w:szCs w:val="21"/>
          <w:highlight w:val="none"/>
        </w:rPr>
      </w:pPr>
      <w:r>
        <w:rPr>
          <w:rFonts w:hint="eastAsia" w:hAnsi="宋体" w:cs="宋体"/>
          <w:b w:val="0"/>
          <w:bCs w:val="0"/>
          <w:color w:val="auto"/>
          <w:sz w:val="21"/>
          <w:szCs w:val="21"/>
          <w:highlight w:val="none"/>
          <w:lang w:val="en-US"/>
        </w:rPr>
        <w:t>因</w:t>
      </w:r>
      <w:r>
        <w:rPr>
          <w:rFonts w:hint="eastAsia" w:hAnsi="宋体" w:cs="宋体"/>
          <w:b w:val="0"/>
          <w:bCs w:val="0"/>
          <w:color w:val="auto"/>
          <w:sz w:val="21"/>
          <w:szCs w:val="21"/>
          <w:highlight w:val="none"/>
        </w:rPr>
        <w:t>乙方未按法定税率计算税额或未根据本合同约定出具对应税额的增值税专用发票等乙方原因导致甲方多支付税额的，乙方必须退还甲方，给甲方造成损失的，乙方须向甲方赔偿相应损失。</w:t>
      </w:r>
    </w:p>
    <w:p w14:paraId="4A5DBBC9">
      <w:pPr>
        <w:pStyle w:val="21"/>
        <w:numPr>
          <w:ilvl w:val="255"/>
          <w:numId w:val="0"/>
        </w:numPr>
        <w:tabs>
          <w:tab w:val="left" w:pos="3331"/>
          <w:tab w:val="left" w:pos="6460"/>
        </w:tabs>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lang w:val="en-US" w:eastAsia="zh-CN"/>
        </w:rPr>
        <w:t>暂定</w:t>
      </w:r>
      <w:r>
        <w:rPr>
          <w:rFonts w:hint="eastAsia" w:hAnsi="宋体" w:cs="宋体"/>
          <w:b w:val="0"/>
          <w:bCs w:val="0"/>
          <w:color w:val="auto"/>
          <w:sz w:val="21"/>
          <w:szCs w:val="21"/>
          <w:highlight w:val="none"/>
        </w:rPr>
        <w:t>合同价税合计为</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元（大写人民币</w:t>
      </w:r>
      <w:r>
        <w:rPr>
          <w:rFonts w:hint="eastAsia" w:hAnsi="宋体" w:cs="宋体"/>
          <w:b w:val="0"/>
          <w:bCs w:val="0"/>
          <w:color w:val="auto"/>
          <w:sz w:val="21"/>
          <w:szCs w:val="21"/>
          <w:highlight w:val="none"/>
          <w:u w:val="single"/>
          <w:lang w:val="en-US"/>
        </w:rPr>
        <w:t xml:space="preserve">     </w:t>
      </w:r>
      <w:r>
        <w:rPr>
          <w:rFonts w:hint="eastAsia" w:hAnsi="宋体" w:cs="宋体"/>
          <w:b w:val="0"/>
          <w:bCs w:val="0"/>
          <w:color w:val="auto"/>
          <w:sz w:val="21"/>
          <w:szCs w:val="21"/>
          <w:highlight w:val="none"/>
        </w:rPr>
        <w:t>），合同履行期间根据本条第</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项规定调整销项税额的，结算合同价税合计对应调整。</w:t>
      </w:r>
    </w:p>
    <w:p w14:paraId="3C8D636C">
      <w:pPr>
        <w:numPr>
          <w:ilvl w:val="255"/>
          <w:numId w:val="0"/>
        </w:numPr>
        <w:tabs>
          <w:tab w:val="center" w:pos="3125"/>
        </w:tabs>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u w:val="single"/>
        </w:rPr>
        <w:t>5、结算合同价以结算装机容量计算，按以下方式确定结算装机容量：（1）如安装并网光伏组件单块容量与投标产品一致，以并网装机容量作为结算装机容量；（2）经甲方书面提出光伏组件型号变化时，该调整范围内以并网装机容量作为结算装机容量；（3）如果乙方因产能、产品迭代等自身原因提出安装使用质量条件不低于本合同约定及用户需求书的单块并网组件，且容量（对比投标产品）增大导致实际并网装机容量增大的，经甲方书面同意后，可以调整组件，但结算时仍按并网光伏组件数量和投标产品单块组件容量为准计算结算装机容量（即结算装机容量=投标产品单块组件容量×并网光伏组件数量）；（4）原则上，单个子项目内建设范围（建设区域）不得改变，因甲方原因对单个子项目内建设范围（建设区域）增减的，经甲方书面确认后，对应调整，按照前述（1）至（3）项原则确定结算装机容量</w:t>
      </w:r>
      <w:r>
        <w:rPr>
          <w:rFonts w:hint="eastAsia" w:ascii="宋体" w:hAnsi="宋体" w:eastAsia="宋体" w:cs="宋体"/>
          <w:color w:val="auto"/>
          <w:szCs w:val="21"/>
          <w:highlight w:val="none"/>
        </w:rPr>
        <w:t>。</w:t>
      </w:r>
    </w:p>
    <w:p w14:paraId="08FBEE2F">
      <w:pPr>
        <w:tabs>
          <w:tab w:val="center" w:pos="312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暂定不含税总价仅为便于计算使用，不作为甲方最终采购实施数量的保证。甲方的实际需求数量以实际装机容量为准，按实际的结算装机容量结算。在履行期内，乙方不得因甲方实际采购实施数量的减少或增加而要求甲方作出任何形式的补偿或赔偿，或要求甲方按暂定数量采购。</w:t>
      </w:r>
    </w:p>
    <w:p w14:paraId="09788440">
      <w:pPr>
        <w:spacing w:line="360" w:lineRule="auto"/>
        <w:ind w:firstLine="422" w:firstLineChars="200"/>
        <w:outlineLvl w:val="1"/>
        <w:rPr>
          <w:rFonts w:ascii="宋体" w:hAnsi="宋体" w:eastAsia="宋体" w:cs="宋体"/>
          <w:b/>
          <w:color w:val="auto"/>
          <w:szCs w:val="21"/>
          <w:highlight w:val="none"/>
        </w:rPr>
      </w:pPr>
      <w:bookmarkStart w:id="738" w:name="OLE_LINK248"/>
      <w:r>
        <w:rPr>
          <w:rFonts w:hint="eastAsia" w:ascii="宋体" w:hAnsi="宋体" w:eastAsia="宋体" w:cs="宋体"/>
          <w:b/>
          <w:color w:val="auto"/>
          <w:szCs w:val="21"/>
          <w:highlight w:val="none"/>
        </w:rPr>
        <w:t xml:space="preserve">第三条 </w:t>
      </w:r>
      <w:bookmarkStart w:id="739" w:name="OLE_LINK78"/>
      <w:r>
        <w:rPr>
          <w:rFonts w:hint="eastAsia" w:ascii="宋体" w:hAnsi="宋体" w:eastAsia="宋体" w:cs="宋体"/>
          <w:b/>
          <w:color w:val="auto"/>
          <w:szCs w:val="21"/>
          <w:highlight w:val="none"/>
        </w:rPr>
        <w:t>付款方式</w:t>
      </w:r>
      <w:bookmarkEnd w:id="739"/>
    </w:p>
    <w:bookmarkEnd w:id="738"/>
    <w:p w14:paraId="57F50442">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、合同的履约过程中，乙方根据本合同约定需向甲方支付违约金、赔偿金、或其他应付费用等款项的，乙方必须先向甲方支付相关款项后，</w:t>
      </w:r>
      <w:r>
        <w:rPr>
          <w:rFonts w:hint="eastAsia" w:hAnsi="宋体" w:cs="宋体"/>
          <w:b w:val="0"/>
          <w:bCs w:val="0"/>
          <w:color w:val="auto"/>
          <w:sz w:val="21"/>
          <w:szCs w:val="21"/>
          <w:highlight w:val="none"/>
          <w:lang w:val="en-US"/>
        </w:rPr>
        <w:t>甲</w:t>
      </w:r>
      <w:r>
        <w:rPr>
          <w:rFonts w:hint="eastAsia" w:hAnsi="宋体" w:cs="宋体"/>
          <w:b w:val="0"/>
          <w:bCs w:val="0"/>
          <w:color w:val="auto"/>
          <w:sz w:val="21"/>
          <w:szCs w:val="21"/>
          <w:highlight w:val="none"/>
        </w:rPr>
        <w:t>方才根据本合同向乙方支付合同</w:t>
      </w:r>
      <w:r>
        <w:rPr>
          <w:rFonts w:hint="eastAsia" w:hAnsi="宋体" w:cs="宋体"/>
          <w:b w:val="0"/>
          <w:bCs w:val="0"/>
          <w:color w:val="auto"/>
          <w:sz w:val="21"/>
          <w:szCs w:val="21"/>
          <w:highlight w:val="none"/>
          <w:lang w:val="en-US"/>
        </w:rPr>
        <w:t>款</w:t>
      </w:r>
      <w:r>
        <w:rPr>
          <w:rFonts w:hint="eastAsia" w:hAnsi="宋体" w:cs="宋体"/>
          <w:b w:val="0"/>
          <w:bCs w:val="0"/>
          <w:color w:val="auto"/>
          <w:sz w:val="21"/>
          <w:szCs w:val="21"/>
          <w:highlight w:val="none"/>
        </w:rPr>
        <w:t>。若因乙方未能支付前述费用，影响项目实施的，</w:t>
      </w:r>
      <w:r>
        <w:rPr>
          <w:rFonts w:hint="eastAsia" w:hAnsi="宋体" w:cs="宋体"/>
          <w:b w:val="0"/>
          <w:bCs w:val="0"/>
          <w:color w:val="auto"/>
          <w:sz w:val="21"/>
          <w:szCs w:val="21"/>
          <w:highlight w:val="none"/>
          <w:lang w:val="en-US"/>
        </w:rPr>
        <w:t>甲</w:t>
      </w:r>
      <w:r>
        <w:rPr>
          <w:rFonts w:hint="eastAsia" w:hAnsi="宋体" w:cs="宋体"/>
          <w:b w:val="0"/>
          <w:bCs w:val="0"/>
          <w:color w:val="auto"/>
          <w:sz w:val="21"/>
          <w:szCs w:val="21"/>
          <w:highlight w:val="none"/>
        </w:rPr>
        <w:t>方有权启用履约担保或直接从未付合同款项、质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保证金中直接扣除，</w:t>
      </w:r>
      <w:r>
        <w:rPr>
          <w:rFonts w:hint="eastAsia" w:hAnsi="宋体" w:cs="宋体"/>
          <w:b w:val="0"/>
          <w:bCs w:val="0"/>
          <w:color w:val="auto"/>
          <w:sz w:val="21"/>
          <w:szCs w:val="21"/>
          <w:highlight w:val="none"/>
          <w:lang w:val="en-US"/>
        </w:rPr>
        <w:t>且</w:t>
      </w:r>
      <w:r>
        <w:rPr>
          <w:rFonts w:hint="eastAsia" w:hAnsi="宋体" w:cs="宋体"/>
          <w:b w:val="0"/>
          <w:bCs w:val="0"/>
          <w:color w:val="auto"/>
          <w:sz w:val="21"/>
          <w:szCs w:val="21"/>
          <w:highlight w:val="none"/>
        </w:rPr>
        <w:t>乙方必须按照扣除前述费用前的合同价（销售额）开具增值税专用发票，保证增值税税额符合法律规定。</w:t>
      </w:r>
    </w:p>
    <w:p w14:paraId="0A5DED85">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本项目的</w:t>
      </w:r>
      <w:r>
        <w:rPr>
          <w:rFonts w:hint="eastAsia" w:hAnsi="宋体" w:cs="宋体"/>
          <w:b w:val="0"/>
          <w:bCs w:val="0"/>
          <w:color w:val="auto"/>
          <w:sz w:val="21"/>
          <w:szCs w:val="21"/>
          <w:highlight w:val="none"/>
          <w:lang w:val="en-US"/>
        </w:rPr>
        <w:t>合同价</w:t>
      </w:r>
      <w:r>
        <w:rPr>
          <w:rFonts w:hint="eastAsia" w:hAnsi="宋体" w:cs="宋体"/>
          <w:b w:val="0"/>
          <w:bCs w:val="0"/>
          <w:color w:val="auto"/>
          <w:sz w:val="21"/>
          <w:szCs w:val="21"/>
          <w:highlight w:val="none"/>
        </w:rPr>
        <w:t>为</w:t>
      </w:r>
      <w:r>
        <w:rPr>
          <w:rFonts w:hint="eastAsia" w:hAnsi="宋体" w:cs="宋体"/>
          <w:b w:val="0"/>
          <w:bCs w:val="0"/>
          <w:color w:val="auto"/>
          <w:sz w:val="21"/>
          <w:szCs w:val="21"/>
          <w:highlight w:val="none"/>
          <w:lang w:val="en-US"/>
        </w:rPr>
        <w:t>固定单价</w:t>
      </w:r>
      <w:r>
        <w:rPr>
          <w:rFonts w:hint="eastAsia" w:hAnsi="宋体" w:cs="宋体"/>
          <w:b w:val="0"/>
          <w:bCs w:val="0"/>
          <w:color w:val="auto"/>
          <w:sz w:val="21"/>
          <w:szCs w:val="21"/>
          <w:highlight w:val="none"/>
        </w:rPr>
        <w:t>包干，未经甲方书面确认，乙方无权另行收取其它任何费用。</w:t>
      </w:r>
    </w:p>
    <w:p w14:paraId="14C32A77">
      <w:pPr>
        <w:pStyle w:val="21"/>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3、付款方式：</w:t>
      </w:r>
    </w:p>
    <w:p w14:paraId="57A8D0E4">
      <w:pPr>
        <w:pStyle w:val="21"/>
        <w:tabs>
          <w:tab w:val="left" w:pos="2766"/>
          <w:tab w:val="left" w:pos="5888"/>
          <w:tab w:val="left" w:pos="8696"/>
          <w:tab w:val="left" w:pos="9074"/>
        </w:tabs>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第一阶段：合同签订后，乙方向甲方提交</w:t>
      </w:r>
      <w:r>
        <w:rPr>
          <w:rFonts w:hint="eastAsia" w:ascii="宋体" w:hAnsi="宋体" w:cs="宋体"/>
          <w:b w:val="0"/>
          <w:bCs w:val="0"/>
          <w:color w:val="auto"/>
          <w:sz w:val="21"/>
          <w:szCs w:val="21"/>
          <w:highlight w:val="none"/>
        </w:rPr>
        <w:t>等额</w:t>
      </w:r>
      <w:r>
        <w:rPr>
          <w:rFonts w:hint="eastAsia" w:hAnsi="宋体" w:cs="宋体"/>
          <w:b w:val="0"/>
          <w:bCs w:val="0"/>
          <w:color w:val="auto"/>
          <w:sz w:val="21"/>
          <w:szCs w:val="21"/>
          <w:highlight w:val="none"/>
          <w:lang w:val="en-US" w:eastAsia="zh-CN"/>
        </w:rPr>
        <w:t>不可撤销</w:t>
      </w:r>
      <w:r>
        <w:rPr>
          <w:rFonts w:hint="eastAsia" w:ascii="宋体" w:hAnsi="宋体" w:cs="宋体"/>
          <w:b w:val="0"/>
          <w:bCs w:val="0"/>
          <w:color w:val="auto"/>
          <w:sz w:val="21"/>
          <w:szCs w:val="21"/>
          <w:highlight w:val="none"/>
        </w:rPr>
        <w:t>银行预付款保函</w:t>
      </w:r>
      <w:r>
        <w:rPr>
          <w:rFonts w:hint="eastAsia" w:hAnsi="宋体" w:cs="宋体"/>
          <w:b w:val="0"/>
          <w:bCs w:val="0"/>
          <w:color w:val="auto"/>
          <w:sz w:val="21"/>
          <w:szCs w:val="21"/>
          <w:highlight w:val="none"/>
        </w:rPr>
        <w:t>，经甲方审核确认后，甲方向乙方支付合同</w:t>
      </w:r>
      <w:r>
        <w:rPr>
          <w:rFonts w:hint="eastAsia" w:hAnsi="宋体" w:cs="宋体"/>
          <w:b w:val="0"/>
          <w:bCs w:val="0"/>
          <w:color w:val="auto"/>
          <w:sz w:val="21"/>
          <w:szCs w:val="21"/>
          <w:highlight w:val="none"/>
          <w:lang w:val="en-US"/>
        </w:rPr>
        <w:t>暂定不含税总价20%</w:t>
      </w:r>
      <w:r>
        <w:rPr>
          <w:rFonts w:hint="eastAsia" w:hAnsi="宋体" w:cs="宋体"/>
          <w:b w:val="0"/>
          <w:bCs w:val="0"/>
          <w:color w:val="auto"/>
          <w:sz w:val="21"/>
          <w:szCs w:val="21"/>
          <w:highlight w:val="none"/>
          <w:lang w:val="en-US" w:eastAsia="zh-CN"/>
        </w:rPr>
        <w:t>的</w:t>
      </w:r>
      <w:r>
        <w:rPr>
          <w:rFonts w:hint="eastAsia" w:ascii="宋体" w:hAnsi="宋体" w:cs="宋体"/>
          <w:b w:val="0"/>
          <w:bCs w:val="0"/>
          <w:color w:val="auto"/>
          <w:sz w:val="21"/>
          <w:szCs w:val="21"/>
          <w:highlight w:val="none"/>
        </w:rPr>
        <w:t>预付款</w:t>
      </w:r>
      <w:r>
        <w:rPr>
          <w:rFonts w:hint="eastAsia" w:hAnsi="宋体" w:cs="宋体"/>
          <w:b w:val="0"/>
          <w:bCs w:val="0"/>
          <w:color w:val="auto"/>
          <w:sz w:val="21"/>
          <w:szCs w:val="21"/>
          <w:highlight w:val="none"/>
          <w:lang w:val="en-US"/>
        </w:rPr>
        <w:t>和对应的销项税额。</w:t>
      </w:r>
    </w:p>
    <w:p w14:paraId="04C6DD47">
      <w:pPr>
        <w:pStyle w:val="21"/>
        <w:tabs>
          <w:tab w:val="left" w:pos="2766"/>
          <w:tab w:val="left" w:pos="5888"/>
          <w:tab w:val="left" w:pos="8696"/>
          <w:tab w:val="left" w:pos="9074"/>
        </w:tabs>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第二阶段：按子项目进度支付，所有子项目在该阶段累计支付金额不超过合同暂定</w:t>
      </w:r>
      <w:r>
        <w:rPr>
          <w:rFonts w:hint="eastAsia" w:hAnsi="宋体" w:cs="宋体"/>
          <w:b w:val="0"/>
          <w:bCs w:val="0"/>
          <w:color w:val="auto"/>
          <w:sz w:val="21"/>
          <w:szCs w:val="21"/>
          <w:highlight w:val="none"/>
          <w:lang w:val="en-US"/>
        </w:rPr>
        <w:t>不含税总价的</w:t>
      </w:r>
      <w:r>
        <w:rPr>
          <w:rFonts w:hint="eastAsia" w:hAnsi="宋体" w:cs="宋体"/>
          <w:b w:val="0"/>
          <w:bCs w:val="0"/>
          <w:color w:val="auto"/>
          <w:sz w:val="21"/>
          <w:szCs w:val="21"/>
          <w:highlight w:val="none"/>
        </w:rPr>
        <w:t xml:space="preserve"> 60%和对应的销项税额，具体如下：</w:t>
      </w:r>
    </w:p>
    <w:p w14:paraId="0353FD93">
      <w:pPr>
        <w:pStyle w:val="21"/>
        <w:tabs>
          <w:tab w:val="left" w:pos="2766"/>
          <w:tab w:val="left" w:pos="5888"/>
          <w:tab w:val="left" w:pos="8696"/>
          <w:tab w:val="left" w:pos="9074"/>
        </w:tabs>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）乙方完成子项目备案并经甲方确认后，甲方向乙方支付该子项目的项目暂定不含税总价的10%和对应的销项税额；</w:t>
      </w:r>
    </w:p>
    <w:p w14:paraId="07F95D54">
      <w:pPr>
        <w:pStyle w:val="21"/>
        <w:tabs>
          <w:tab w:val="left" w:pos="2766"/>
          <w:tab w:val="left" w:pos="5888"/>
          <w:tab w:val="left" w:pos="8696"/>
          <w:tab w:val="left" w:pos="9074"/>
        </w:tabs>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）乙方完成光伏</w:t>
      </w:r>
      <w:r>
        <w:rPr>
          <w:rFonts w:hint="eastAsia" w:hAnsi="宋体" w:cs="宋体"/>
          <w:b w:val="0"/>
          <w:bCs w:val="0"/>
          <w:color w:val="auto"/>
          <w:sz w:val="21"/>
          <w:szCs w:val="21"/>
          <w:highlight w:val="none"/>
          <w:lang w:val="en-US" w:eastAsia="zh-CN"/>
        </w:rPr>
        <w:t>组件铺设</w:t>
      </w:r>
      <w:r>
        <w:rPr>
          <w:rFonts w:hint="eastAsia" w:hAnsi="宋体" w:cs="宋体"/>
          <w:b w:val="0"/>
          <w:bCs w:val="0"/>
          <w:color w:val="auto"/>
          <w:sz w:val="21"/>
          <w:szCs w:val="21"/>
          <w:highlight w:val="none"/>
        </w:rPr>
        <w:t>并经甲方确认后，甲方向乙方支付该子项目的项目暂定不含税总价的30%和对应的销项税额；</w:t>
      </w:r>
    </w:p>
    <w:p w14:paraId="753871D8">
      <w:pPr>
        <w:pStyle w:val="21"/>
        <w:tabs>
          <w:tab w:val="left" w:pos="2766"/>
          <w:tab w:val="left" w:pos="5888"/>
          <w:tab w:val="left" w:pos="8696"/>
          <w:tab w:val="left" w:pos="9074"/>
        </w:tabs>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（3）子项目完成并网验收，甲方向乙方支付该子项目的项目暂定不含税总价的20%和对应的销项税额。</w:t>
      </w:r>
    </w:p>
    <w:p w14:paraId="318BD37E">
      <w:pPr>
        <w:pStyle w:val="21"/>
        <w:tabs>
          <w:tab w:val="left" w:pos="2766"/>
          <w:tab w:val="left" w:pos="5888"/>
          <w:tab w:val="left" w:pos="8696"/>
          <w:tab w:val="left" w:pos="9074"/>
        </w:tabs>
        <w:autoSpaceDE/>
        <w:autoSpaceDN/>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第三阶段：在所有子项目竣工验收合格并结算完成后，甲方向乙方支付至</w:t>
      </w:r>
      <w:r>
        <w:rPr>
          <w:rFonts w:hint="eastAsia" w:hAnsi="宋体" w:cs="宋体"/>
          <w:b w:val="0"/>
          <w:bCs w:val="0"/>
          <w:color w:val="auto"/>
          <w:sz w:val="21"/>
          <w:szCs w:val="21"/>
          <w:highlight w:val="none"/>
          <w:lang w:val="en-US" w:eastAsia="zh-CN"/>
        </w:rPr>
        <w:t>合同</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结算价款的90%和对应的销项税额。</w:t>
      </w:r>
    </w:p>
    <w:p w14:paraId="47C5422D">
      <w:pPr>
        <w:pStyle w:val="21"/>
        <w:widowControl/>
        <w:tabs>
          <w:tab w:val="left" w:pos="2766"/>
          <w:tab w:val="left" w:pos="5888"/>
          <w:tab w:val="left" w:pos="8696"/>
          <w:tab w:val="left" w:pos="9074"/>
        </w:tabs>
        <w:autoSpaceDE/>
        <w:autoSpaceDN/>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第四阶段：</w:t>
      </w:r>
      <w:r>
        <w:rPr>
          <w:rFonts w:hint="eastAsia" w:hAnsi="宋体" w:cs="宋体"/>
          <w:b w:val="0"/>
          <w:bCs w:val="0"/>
          <w:color w:val="auto"/>
          <w:sz w:val="21"/>
          <w:szCs w:val="21"/>
          <w:highlight w:val="none"/>
          <w:lang w:val="en-US"/>
        </w:rPr>
        <w:t>不含税</w:t>
      </w:r>
      <w:r>
        <w:rPr>
          <w:rFonts w:hint="eastAsia" w:hAnsi="宋体" w:cs="宋体"/>
          <w:b w:val="0"/>
          <w:bCs w:val="0"/>
          <w:color w:val="auto"/>
          <w:sz w:val="21"/>
          <w:szCs w:val="21"/>
          <w:highlight w:val="none"/>
        </w:rPr>
        <w:t>总结算</w:t>
      </w:r>
      <w:r>
        <w:rPr>
          <w:rFonts w:hAnsi="宋体" w:cs="宋体"/>
          <w:b w:val="0"/>
          <w:bCs w:val="0"/>
          <w:color w:val="auto"/>
          <w:sz w:val="21"/>
          <w:szCs w:val="21"/>
          <w:highlight w:val="none"/>
          <w:lang w:val="en-US"/>
        </w:rPr>
        <w:t>价</w:t>
      </w:r>
      <w:r>
        <w:rPr>
          <w:rFonts w:hint="eastAsia" w:hAnsi="宋体" w:cs="宋体"/>
          <w:b w:val="0"/>
          <w:bCs w:val="0"/>
          <w:color w:val="auto"/>
          <w:sz w:val="21"/>
          <w:szCs w:val="21"/>
          <w:highlight w:val="none"/>
        </w:rPr>
        <w:t>的7%和对应的销项税额作为1年运维费用，按一年四个季度分四期进行支付。运维期费用结合季度考核评价表按季</w:t>
      </w:r>
      <w:r>
        <w:rPr>
          <w:rFonts w:hint="eastAsia" w:hAnsi="宋体" w:cs="宋体"/>
          <w:b w:val="0"/>
          <w:bCs w:val="0"/>
          <w:color w:val="auto"/>
          <w:sz w:val="21"/>
          <w:szCs w:val="21"/>
          <w:highlight w:val="none"/>
          <w:lang w:val="en-US"/>
        </w:rPr>
        <w:t>度</w:t>
      </w:r>
      <w:r>
        <w:rPr>
          <w:rFonts w:hint="eastAsia" w:hAnsi="宋体" w:cs="宋体"/>
          <w:b w:val="0"/>
          <w:bCs w:val="0"/>
          <w:color w:val="auto"/>
          <w:sz w:val="21"/>
          <w:szCs w:val="21"/>
          <w:highlight w:val="none"/>
        </w:rPr>
        <w:t>（运维起始期3个月视为一个季度）结算，具体如下：</w:t>
      </w:r>
    </w:p>
    <w:p w14:paraId="4820FF23">
      <w:pPr>
        <w:pStyle w:val="21"/>
        <w:widowControl/>
        <w:tabs>
          <w:tab w:val="left" w:pos="2766"/>
          <w:tab w:val="left" w:pos="5888"/>
          <w:tab w:val="left" w:pos="8696"/>
          <w:tab w:val="left" w:pos="9074"/>
        </w:tabs>
        <w:autoSpaceDE/>
        <w:autoSpaceDN/>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（1）每季度运维费用为1年运维费用的25%；</w:t>
      </w:r>
    </w:p>
    <w:p w14:paraId="4E2F2B03">
      <w:pPr>
        <w:pStyle w:val="21"/>
        <w:widowControl/>
        <w:tabs>
          <w:tab w:val="left" w:pos="2766"/>
          <w:tab w:val="left" w:pos="5888"/>
          <w:tab w:val="left" w:pos="8696"/>
          <w:tab w:val="left" w:pos="9074"/>
        </w:tabs>
        <w:autoSpaceDE/>
        <w:autoSpaceDN/>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（2）按季度考核评价表的评分结算当季度运维费用，评分90分以上（包括90分），按全额结算当季度运维费用；评分90分以下（不包括90分），按所得分数与满分的百分比结算当季度运维费用；</w:t>
      </w:r>
    </w:p>
    <w:p w14:paraId="447C3522">
      <w:pPr>
        <w:pStyle w:val="21"/>
        <w:widowControl/>
        <w:tabs>
          <w:tab w:val="left" w:pos="2766"/>
          <w:tab w:val="left" w:pos="5888"/>
          <w:tab w:val="left" w:pos="8696"/>
          <w:tab w:val="left" w:pos="9074"/>
        </w:tabs>
        <w:autoSpaceDE/>
        <w:autoSpaceDN/>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（3）每季度运维费用</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需在下一季度第一个月按要求提供请款资料，</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在收到请款资料后</w:t>
      </w:r>
      <w:r>
        <w:rPr>
          <w:rFonts w:hint="eastAsia" w:hAnsi="宋体" w:cs="宋体"/>
          <w:b w:val="0"/>
          <w:bCs w:val="0"/>
          <w:color w:val="auto"/>
          <w:sz w:val="21"/>
          <w:szCs w:val="21"/>
          <w:highlight w:val="none"/>
          <w:lang w:val="en-US"/>
        </w:rPr>
        <w:t>20日内</w:t>
      </w:r>
      <w:r>
        <w:rPr>
          <w:rFonts w:hint="eastAsia" w:hAnsi="宋体" w:cs="宋体"/>
          <w:b w:val="0"/>
          <w:bCs w:val="0"/>
          <w:color w:val="auto"/>
          <w:sz w:val="21"/>
          <w:szCs w:val="21"/>
          <w:highlight w:val="none"/>
        </w:rPr>
        <w:t>进行支付。</w:t>
      </w:r>
    </w:p>
    <w:p w14:paraId="698425FB">
      <w:pPr>
        <w:pStyle w:val="21"/>
        <w:widowControl/>
        <w:tabs>
          <w:tab w:val="left" w:pos="2766"/>
          <w:tab w:val="left" w:pos="5888"/>
          <w:tab w:val="left" w:pos="8696"/>
          <w:tab w:val="left" w:pos="9074"/>
        </w:tabs>
        <w:autoSpaceDE/>
        <w:autoSpaceDN/>
        <w:adjustRightInd/>
        <w:spacing w:line="360" w:lineRule="auto"/>
        <w:ind w:right="0" w:firstLine="420" w:firstLineChars="200"/>
        <w:jc w:val="both"/>
        <w:rPr>
          <w:rFonts w:hAnsi="宋体" w:cs="宋体"/>
          <w:color w:val="auto"/>
          <w:sz w:val="21"/>
          <w:szCs w:val="21"/>
          <w:highlight w:val="none"/>
        </w:rPr>
      </w:pPr>
      <w:r>
        <w:rPr>
          <w:rFonts w:hint="eastAsia" w:hAnsi="宋体" w:cs="宋体"/>
          <w:b w:val="0"/>
          <w:bCs w:val="0"/>
          <w:color w:val="auto"/>
          <w:sz w:val="21"/>
          <w:szCs w:val="21"/>
          <w:highlight w:val="none"/>
        </w:rPr>
        <w:t>第五阶段：</w:t>
      </w:r>
      <w:r>
        <w:rPr>
          <w:rFonts w:hint="eastAsia" w:ascii="宋体" w:hAnsi="宋体" w:eastAsia="宋体" w:cs="宋体"/>
          <w:b w:val="0"/>
          <w:bCs w:val="0"/>
          <w:color w:val="auto"/>
          <w:sz w:val="21"/>
          <w:szCs w:val="21"/>
          <w:highlight w:val="none"/>
        </w:rPr>
        <w:t>结算价款的3%</w:t>
      </w:r>
      <w:r>
        <w:rPr>
          <w:rFonts w:hint="eastAsia" w:hAnsi="宋体" w:cs="宋体"/>
          <w:b w:val="0"/>
          <w:bCs w:val="0"/>
          <w:color w:val="auto"/>
          <w:sz w:val="21"/>
          <w:szCs w:val="21"/>
          <w:highlight w:val="none"/>
          <w:lang w:val="en-US" w:eastAsia="zh-CN"/>
        </w:rPr>
        <w:t>及其销项税额</w:t>
      </w:r>
      <w:r>
        <w:rPr>
          <w:rFonts w:hint="eastAsia" w:ascii="宋体" w:hAnsi="宋体" w:eastAsia="宋体" w:cs="宋体"/>
          <w:b w:val="0"/>
          <w:bCs w:val="0"/>
          <w:color w:val="auto"/>
          <w:sz w:val="21"/>
          <w:szCs w:val="21"/>
          <w:highlight w:val="none"/>
        </w:rPr>
        <w:t>留作质量保修金。若</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按合同约定履行质量保修义务，</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将在质保期满后无息退还剩余质量保修金。如</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未按合同约定履行质量保修义务，</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有权不予退还或推迟退还质量保修金。</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可在承诺的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质量保修期届满前，提前申请退还质量保修金。如提前申请，</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须向</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提交一份担保金额与质量保修金等额、无条件、见索即付且不可撤销</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质量保修保函，该</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保函的有效期应覆盖</w:t>
      </w:r>
      <w:r>
        <w:rPr>
          <w:rFonts w:hint="eastAsia"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rPr>
        <w:t>质保期限。</w:t>
      </w:r>
      <w:r>
        <w:rPr>
          <w:rFonts w:hint="eastAsia"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rPr>
        <w:t>将在收到符合要求的</w:t>
      </w:r>
      <w:r>
        <w:rPr>
          <w:rFonts w:hint="eastAsia" w:hAnsi="宋体" w:cs="宋体"/>
          <w:b w:val="0"/>
          <w:bCs w:val="0"/>
          <w:color w:val="auto"/>
          <w:sz w:val="21"/>
          <w:szCs w:val="21"/>
          <w:highlight w:val="none"/>
          <w:lang w:val="en-US" w:eastAsia="zh-CN"/>
        </w:rPr>
        <w:t>银行</w:t>
      </w:r>
      <w:r>
        <w:rPr>
          <w:rFonts w:hint="eastAsia" w:ascii="宋体" w:hAnsi="宋体" w:eastAsia="宋体" w:cs="宋体"/>
          <w:b w:val="0"/>
          <w:bCs w:val="0"/>
          <w:color w:val="auto"/>
          <w:sz w:val="21"/>
          <w:szCs w:val="21"/>
          <w:highlight w:val="none"/>
        </w:rPr>
        <w:t>保函后办理退还</w:t>
      </w:r>
      <w:r>
        <w:rPr>
          <w:rFonts w:hint="eastAsia" w:hAnsi="宋体" w:cs="宋体"/>
          <w:b w:val="0"/>
          <w:bCs w:val="0"/>
          <w:color w:val="auto"/>
          <w:sz w:val="21"/>
          <w:szCs w:val="21"/>
          <w:highlight w:val="none"/>
        </w:rPr>
        <w:t>。</w:t>
      </w:r>
    </w:p>
    <w:p w14:paraId="6A5D9BDE">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按</w:t>
      </w:r>
      <w:r>
        <w:rPr>
          <w:rFonts w:hint="eastAsia" w:hAnsi="宋体" w:cs="宋体"/>
          <w:b w:val="0"/>
          <w:bCs w:val="0"/>
          <w:color w:val="auto"/>
          <w:sz w:val="21"/>
          <w:szCs w:val="21"/>
          <w:highlight w:val="none"/>
          <w:lang w:val="en-US"/>
        </w:rPr>
        <w:t>要求向甲方</w:t>
      </w:r>
      <w:r>
        <w:rPr>
          <w:rFonts w:hint="eastAsia" w:hAnsi="宋体" w:cs="宋体"/>
          <w:b w:val="0"/>
          <w:bCs w:val="0"/>
          <w:color w:val="auto"/>
          <w:sz w:val="21"/>
          <w:szCs w:val="21"/>
          <w:highlight w:val="none"/>
        </w:rPr>
        <w:t>提供增值税专用发票、请款报告等请款资料，未按要求开</w:t>
      </w:r>
      <w:r>
        <w:rPr>
          <w:rFonts w:hint="eastAsia" w:hAnsi="宋体" w:cs="宋体"/>
          <w:b w:val="0"/>
          <w:bCs w:val="0"/>
          <w:color w:val="auto"/>
          <w:sz w:val="21"/>
          <w:szCs w:val="21"/>
          <w:highlight w:val="none"/>
          <w:lang w:val="en-US"/>
        </w:rPr>
        <w:t>具</w:t>
      </w:r>
      <w:r>
        <w:rPr>
          <w:rFonts w:hint="eastAsia" w:hAnsi="宋体" w:cs="宋体"/>
          <w:b w:val="0"/>
          <w:bCs w:val="0"/>
          <w:color w:val="auto"/>
          <w:sz w:val="21"/>
          <w:szCs w:val="21"/>
          <w:highlight w:val="none"/>
        </w:rPr>
        <w:t>发票的，将无法支付</w:t>
      </w:r>
      <w:r>
        <w:rPr>
          <w:rFonts w:hint="eastAsia" w:hAnsi="宋体" w:cs="宋体"/>
          <w:b w:val="0"/>
          <w:bCs w:val="0"/>
          <w:color w:val="auto"/>
          <w:sz w:val="21"/>
          <w:szCs w:val="21"/>
          <w:highlight w:val="none"/>
          <w:lang w:val="en-US"/>
        </w:rPr>
        <w:t>款项，且不视为甲方违约</w:t>
      </w:r>
      <w:r>
        <w:rPr>
          <w:rFonts w:hint="eastAsia" w:hAnsi="宋体" w:cs="宋体"/>
          <w:b w:val="0"/>
          <w:bCs w:val="0"/>
          <w:color w:val="auto"/>
          <w:sz w:val="21"/>
          <w:szCs w:val="21"/>
          <w:highlight w:val="none"/>
        </w:rPr>
        <w:t>。</w:t>
      </w:r>
    </w:p>
    <w:p w14:paraId="5798AD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5、甲方开票信息及甲乙双方银行账户</w:t>
      </w:r>
    </w:p>
    <w:p w14:paraId="6A6D63D2">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（1）甲方开票信息及银行账户</w:t>
      </w:r>
    </w:p>
    <w:p w14:paraId="143881F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p w14:paraId="4E72AFAF">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p>
    <w:p w14:paraId="281BF04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p w14:paraId="2AF10169">
      <w:pPr>
        <w:tabs>
          <w:tab w:val="left" w:pos="1080"/>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（2）乙方确认的银行账户</w:t>
      </w:r>
    </w:p>
    <w:p w14:paraId="5D3B5BF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p w14:paraId="2BBDAB32">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银行账户：</w:t>
      </w:r>
    </w:p>
    <w:p w14:paraId="7DE70FA8">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rPr>
        <w:t>银行账号：</w:t>
      </w:r>
    </w:p>
    <w:p w14:paraId="4EECDE9F">
      <w:pPr>
        <w:spacing w:line="360" w:lineRule="auto"/>
        <w:ind w:firstLine="422" w:firstLineChars="200"/>
        <w:outlineLvl w:val="1"/>
        <w:rPr>
          <w:rFonts w:ascii="宋体" w:hAnsi="宋体" w:eastAsia="宋体" w:cs="宋体"/>
          <w:b/>
          <w:color w:val="auto"/>
          <w:szCs w:val="21"/>
          <w:highlight w:val="none"/>
        </w:rPr>
      </w:pPr>
      <w:bookmarkStart w:id="740" w:name="OLE_LINK250"/>
      <w:r>
        <w:rPr>
          <w:rFonts w:hint="eastAsia" w:ascii="宋体" w:hAnsi="宋体" w:eastAsia="宋体" w:cs="宋体"/>
          <w:b/>
          <w:color w:val="auto"/>
          <w:szCs w:val="21"/>
          <w:highlight w:val="none"/>
        </w:rPr>
        <w:t xml:space="preserve">第四条 </w:t>
      </w:r>
      <w:bookmarkStart w:id="741" w:name="OLE_LINK79"/>
      <w:r>
        <w:rPr>
          <w:rFonts w:hint="eastAsia" w:ascii="宋体" w:hAnsi="宋体" w:eastAsia="宋体" w:cs="宋体"/>
          <w:b/>
          <w:color w:val="auto"/>
          <w:szCs w:val="21"/>
          <w:highlight w:val="none"/>
        </w:rPr>
        <w:t>合同组成</w:t>
      </w:r>
      <w:bookmarkEnd w:id="741"/>
    </w:p>
    <w:bookmarkEnd w:id="740"/>
    <w:p w14:paraId="7CF8693B">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利于甲方的约定为准。</w:t>
      </w:r>
    </w:p>
    <w:p w14:paraId="5E090A04">
      <w:pPr>
        <w:spacing w:line="360" w:lineRule="auto"/>
        <w:ind w:firstLine="422" w:firstLineChars="200"/>
        <w:outlineLvl w:val="1"/>
        <w:rPr>
          <w:rFonts w:ascii="宋体" w:hAnsi="宋体" w:eastAsia="宋体" w:cs="宋体"/>
          <w:b/>
          <w:color w:val="auto"/>
          <w:szCs w:val="21"/>
          <w:highlight w:val="none"/>
        </w:rPr>
      </w:pPr>
      <w:bookmarkStart w:id="742" w:name="OLE_LINK249"/>
      <w:r>
        <w:rPr>
          <w:rFonts w:hint="eastAsia" w:ascii="宋体" w:hAnsi="宋体" w:eastAsia="宋体" w:cs="宋体"/>
          <w:b/>
          <w:color w:val="auto"/>
          <w:szCs w:val="21"/>
          <w:highlight w:val="none"/>
        </w:rPr>
        <w:t xml:space="preserve">第五条 </w:t>
      </w:r>
      <w:bookmarkStart w:id="743" w:name="OLE_LINK80"/>
      <w:r>
        <w:rPr>
          <w:rFonts w:hint="eastAsia" w:ascii="宋体" w:hAnsi="宋体" w:eastAsia="宋体" w:cs="宋体"/>
          <w:b/>
          <w:color w:val="auto"/>
          <w:szCs w:val="21"/>
          <w:highlight w:val="none"/>
        </w:rPr>
        <w:t>产品质量要求</w:t>
      </w:r>
      <w:bookmarkEnd w:id="743"/>
    </w:p>
    <w:bookmarkEnd w:id="742"/>
    <w:p w14:paraId="0AF6FB09">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、乙方保证所提供货物</w:t>
      </w:r>
      <w:r>
        <w:rPr>
          <w:rFonts w:hint="eastAsia" w:hAnsi="宋体" w:cs="宋体"/>
          <w:b w:val="0"/>
          <w:bCs w:val="0"/>
          <w:color w:val="auto"/>
          <w:sz w:val="21"/>
          <w:szCs w:val="21"/>
          <w:highlight w:val="none"/>
          <w:lang w:val="en-US"/>
        </w:rPr>
        <w:t>必须是原厂生产的、非组装的、全新的、未使用过的产品(含零部件、配件、随机工具等)，随机配备的所有配件必须为原厂原配，表面无划伤、无碰撞的痕迹</w:t>
      </w:r>
      <w:r>
        <w:rPr>
          <w:rFonts w:hint="eastAsia" w:hAnsi="宋体" w:cs="宋体"/>
          <w:b w:val="0"/>
          <w:bCs w:val="0"/>
          <w:color w:val="auto"/>
          <w:sz w:val="21"/>
          <w:szCs w:val="21"/>
          <w:highlight w:val="none"/>
        </w:rPr>
        <w:t>，并完全符合甲方招标文件、用户需求书要求及乙方投标文件承诺的质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、规格标准；同时乙方所提供货物，必须符合国家有关法律法规和环保、主管部门要求及甲方的技术要求，不存在侵犯第三人知识产权及其他合法权益的</w:t>
      </w:r>
      <w:r>
        <w:rPr>
          <w:rFonts w:hint="eastAsia" w:hAnsi="宋体" w:cs="宋体"/>
          <w:b w:val="0"/>
          <w:bCs w:val="0"/>
          <w:color w:val="auto"/>
          <w:sz w:val="21"/>
          <w:szCs w:val="21"/>
          <w:highlight w:val="none"/>
          <w:lang w:val="en-US"/>
        </w:rPr>
        <w:t>情</w:t>
      </w:r>
      <w:r>
        <w:rPr>
          <w:rFonts w:hint="eastAsia" w:hAnsi="宋体" w:cs="宋体"/>
          <w:b w:val="0"/>
          <w:bCs w:val="0"/>
          <w:color w:val="auto"/>
          <w:sz w:val="21"/>
          <w:szCs w:val="21"/>
          <w:highlight w:val="none"/>
        </w:rPr>
        <w:t>况。</w:t>
      </w:r>
      <w:r>
        <w:rPr>
          <w:rFonts w:hint="eastAsia" w:hAnsi="宋体" w:cs="宋体"/>
          <w:b w:val="0"/>
          <w:bCs w:val="0"/>
          <w:color w:val="auto"/>
          <w:sz w:val="21"/>
          <w:szCs w:val="21"/>
          <w:highlight w:val="none"/>
          <w:lang w:val="en-US"/>
        </w:rPr>
        <w:t>乙方按本合同第十七条的约定向甲方提交技术资料。</w:t>
      </w:r>
    </w:p>
    <w:p w14:paraId="5451CEB4">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2</w:t>
      </w:r>
      <w:r>
        <w:rPr>
          <w:rFonts w:hint="eastAsia" w:hAnsi="宋体" w:cs="宋体"/>
          <w:b w:val="0"/>
          <w:bCs w:val="0"/>
          <w:color w:val="auto"/>
          <w:sz w:val="21"/>
          <w:szCs w:val="21"/>
          <w:highlight w:val="none"/>
        </w:rPr>
        <w:t>、所有货物应具</w:t>
      </w:r>
      <w:r>
        <w:rPr>
          <w:rFonts w:hint="eastAsia" w:hAnsi="宋体" w:cs="宋体"/>
          <w:b w:val="0"/>
          <w:bCs w:val="0"/>
          <w:color w:val="auto"/>
          <w:sz w:val="21"/>
          <w:szCs w:val="21"/>
          <w:highlight w:val="none"/>
          <w:lang w:val="en-US"/>
        </w:rPr>
        <w:t>备</w:t>
      </w:r>
      <w:r>
        <w:rPr>
          <w:rFonts w:hint="eastAsia" w:hAnsi="宋体" w:cs="宋体"/>
          <w:b w:val="0"/>
          <w:bCs w:val="0"/>
          <w:color w:val="auto"/>
          <w:sz w:val="21"/>
          <w:szCs w:val="21"/>
          <w:highlight w:val="none"/>
        </w:rPr>
        <w:t>该类产品的功能要求，无瑕疵和缺陷，质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为合格产品，同时有明确的生产厂商或制造厂商。</w:t>
      </w:r>
    </w:p>
    <w:p w14:paraId="0783AF19">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、所有货物必须是全新的，所有设备运输到达</w:t>
      </w:r>
      <w:r>
        <w:rPr>
          <w:rFonts w:hint="eastAsia" w:hAnsi="宋体" w:cs="宋体"/>
          <w:b w:val="0"/>
          <w:bCs w:val="0"/>
          <w:color w:val="auto"/>
          <w:sz w:val="21"/>
          <w:szCs w:val="21"/>
          <w:highlight w:val="none"/>
          <w:lang w:val="en-US"/>
        </w:rPr>
        <w:t>现场</w:t>
      </w:r>
      <w:r>
        <w:rPr>
          <w:rFonts w:hint="eastAsia" w:hAnsi="宋体" w:cs="宋体"/>
          <w:b w:val="0"/>
          <w:bCs w:val="0"/>
          <w:color w:val="auto"/>
          <w:sz w:val="21"/>
          <w:szCs w:val="21"/>
          <w:highlight w:val="none"/>
        </w:rPr>
        <w:t>时的包装必须是原</w:t>
      </w:r>
      <w:r>
        <w:rPr>
          <w:rFonts w:hint="eastAsia" w:hAnsi="宋体" w:cs="宋体"/>
          <w:b w:val="0"/>
          <w:bCs w:val="0"/>
          <w:color w:val="auto"/>
          <w:sz w:val="21"/>
          <w:szCs w:val="21"/>
          <w:highlight w:val="none"/>
          <w:lang w:val="en-US"/>
        </w:rPr>
        <w:t>厂</w:t>
      </w:r>
      <w:r>
        <w:rPr>
          <w:rFonts w:hint="eastAsia" w:hAnsi="宋体" w:cs="宋体"/>
          <w:b w:val="0"/>
          <w:bCs w:val="0"/>
          <w:color w:val="auto"/>
          <w:sz w:val="21"/>
          <w:szCs w:val="21"/>
          <w:highlight w:val="none"/>
        </w:rPr>
        <w:t>完</w:t>
      </w:r>
      <w:r>
        <w:rPr>
          <w:rFonts w:hint="eastAsia" w:hAnsi="宋体" w:cs="宋体"/>
          <w:b w:val="0"/>
          <w:bCs w:val="0"/>
          <w:color w:val="auto"/>
          <w:sz w:val="21"/>
          <w:szCs w:val="21"/>
          <w:highlight w:val="none"/>
          <w:lang w:val="en-US"/>
        </w:rPr>
        <w:t>整</w:t>
      </w:r>
      <w:r>
        <w:rPr>
          <w:rFonts w:hint="eastAsia" w:hAnsi="宋体" w:cs="宋体"/>
          <w:b w:val="0"/>
          <w:bCs w:val="0"/>
          <w:color w:val="auto"/>
          <w:sz w:val="21"/>
          <w:szCs w:val="21"/>
          <w:highlight w:val="none"/>
        </w:rPr>
        <w:t>的，</w:t>
      </w:r>
      <w:r>
        <w:rPr>
          <w:rFonts w:hint="eastAsia" w:hAnsi="宋体" w:cs="宋体"/>
          <w:b w:val="0"/>
          <w:bCs w:val="0"/>
          <w:color w:val="auto"/>
          <w:sz w:val="21"/>
          <w:szCs w:val="21"/>
          <w:highlight w:val="none"/>
          <w:lang w:val="en-US"/>
        </w:rPr>
        <w:t>由</w:t>
      </w:r>
      <w:r>
        <w:rPr>
          <w:rFonts w:hint="eastAsia" w:hAnsi="宋体" w:cs="宋体"/>
          <w:b w:val="0"/>
          <w:bCs w:val="0"/>
          <w:color w:val="auto"/>
          <w:sz w:val="21"/>
          <w:szCs w:val="21"/>
          <w:highlight w:val="none"/>
        </w:rPr>
        <w:t>甲方</w:t>
      </w:r>
      <w:r>
        <w:rPr>
          <w:rFonts w:hint="eastAsia" w:hAnsi="宋体" w:cs="宋体"/>
          <w:b w:val="0"/>
          <w:bCs w:val="0"/>
          <w:color w:val="auto"/>
          <w:sz w:val="21"/>
          <w:szCs w:val="21"/>
          <w:highlight w:val="none"/>
          <w:lang w:val="en-US"/>
        </w:rPr>
        <w:t>或其委托的项目管理公司</w:t>
      </w:r>
      <w:r>
        <w:rPr>
          <w:rFonts w:hint="eastAsia" w:hAnsi="宋体" w:cs="宋体"/>
          <w:b w:val="0"/>
          <w:bCs w:val="0"/>
          <w:color w:val="auto"/>
          <w:sz w:val="21"/>
          <w:szCs w:val="21"/>
          <w:highlight w:val="none"/>
        </w:rPr>
        <w:t>签收后方可拆包安装。</w:t>
      </w:r>
    </w:p>
    <w:p w14:paraId="088AFCA4">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、所有货物、设备须满足国家及行业环保和质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标准。</w:t>
      </w:r>
    </w:p>
    <w:p w14:paraId="6D7B68A3">
      <w:pPr>
        <w:pStyle w:val="21"/>
        <w:spacing w:line="360" w:lineRule="auto"/>
        <w:ind w:firstLine="420" w:firstLineChars="200"/>
        <w:jc w:val="left"/>
        <w:rPr>
          <w:rFonts w:hint="eastAsia" w:hAnsi="宋体" w:cs="宋体"/>
          <w:b w:val="0"/>
          <w:bCs w:val="0"/>
          <w:color w:val="auto"/>
          <w:sz w:val="21"/>
          <w:szCs w:val="21"/>
          <w:highlight w:val="none"/>
        </w:rPr>
      </w:pPr>
      <w:r>
        <w:rPr>
          <w:rFonts w:hint="eastAsia" w:hAnsi="宋体" w:cs="宋体"/>
          <w:b w:val="0"/>
          <w:bCs w:val="0"/>
          <w:color w:val="auto"/>
          <w:sz w:val="21"/>
          <w:szCs w:val="21"/>
          <w:highlight w:val="none"/>
          <w:lang w:val="en-US"/>
        </w:rPr>
        <w:t>5</w:t>
      </w:r>
      <w:r>
        <w:rPr>
          <w:rFonts w:hint="eastAsia" w:hAnsi="宋体" w:cs="宋体"/>
          <w:b w:val="0"/>
          <w:bCs w:val="0"/>
          <w:color w:val="auto"/>
          <w:sz w:val="21"/>
          <w:szCs w:val="21"/>
          <w:highlight w:val="none"/>
        </w:rPr>
        <w:t>、货物的规格、参数、</w:t>
      </w:r>
      <w:r>
        <w:rPr>
          <w:rFonts w:hint="eastAsia" w:hAnsi="宋体" w:cs="宋体"/>
          <w:b w:val="0"/>
          <w:bCs w:val="0"/>
          <w:color w:val="auto"/>
          <w:sz w:val="21"/>
          <w:szCs w:val="21"/>
          <w:highlight w:val="none"/>
          <w:lang w:val="en-US"/>
        </w:rPr>
        <w:t>验收要求</w:t>
      </w:r>
      <w:r>
        <w:rPr>
          <w:rFonts w:hint="eastAsia" w:hAnsi="宋体" w:cs="宋体"/>
          <w:b w:val="0"/>
          <w:bCs w:val="0"/>
          <w:color w:val="auto"/>
          <w:sz w:val="21"/>
          <w:szCs w:val="21"/>
          <w:highlight w:val="none"/>
        </w:rPr>
        <w:t>必须和《用户需求书》规定及投标文件响应内容要求</w:t>
      </w:r>
      <w:r>
        <w:rPr>
          <w:rFonts w:hint="eastAsia" w:hAnsi="宋体" w:cs="宋体"/>
          <w:b w:val="0"/>
          <w:bCs w:val="0"/>
          <w:color w:val="auto"/>
          <w:sz w:val="21"/>
          <w:szCs w:val="21"/>
          <w:highlight w:val="none"/>
          <w:lang w:val="en-US"/>
        </w:rPr>
        <w:t>一</w:t>
      </w:r>
      <w:r>
        <w:rPr>
          <w:rFonts w:hint="eastAsia" w:hAnsi="宋体" w:cs="宋体"/>
          <w:b w:val="0"/>
          <w:bCs w:val="0"/>
          <w:color w:val="auto"/>
          <w:sz w:val="21"/>
          <w:szCs w:val="21"/>
          <w:highlight w:val="none"/>
        </w:rPr>
        <w:t>致。</w:t>
      </w:r>
    </w:p>
    <w:p w14:paraId="0C660509">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第六条 </w:t>
      </w:r>
      <w:bookmarkStart w:id="744" w:name="OLE_LINK81"/>
      <w:r>
        <w:rPr>
          <w:rFonts w:hint="eastAsia" w:ascii="宋体" w:hAnsi="宋体" w:eastAsia="宋体" w:cs="宋体"/>
          <w:b/>
          <w:color w:val="auto"/>
          <w:szCs w:val="21"/>
          <w:highlight w:val="none"/>
        </w:rPr>
        <w:t>包装、运输</w:t>
      </w:r>
      <w:bookmarkEnd w:id="744"/>
    </w:p>
    <w:p w14:paraId="34B78D3F">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、本合同项下货物的包装均应有良好的防湿、防锈、防潮、防雨、防腐及防碰撞的措施，且货物的包装、运输方式均应符合国家及行业相关标准及规定。</w:t>
      </w:r>
    </w:p>
    <w:p w14:paraId="1CC60552">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2、乙方运输的所有货物要符合有关标准规定的</w:t>
      </w:r>
      <w:r>
        <w:rPr>
          <w:rFonts w:hint="eastAsia" w:hAnsi="宋体" w:cs="宋体"/>
          <w:b w:val="0"/>
          <w:bCs w:val="0"/>
          <w:color w:val="auto"/>
          <w:sz w:val="21"/>
          <w:szCs w:val="21"/>
          <w:highlight w:val="none"/>
          <w:lang w:val="en-US"/>
        </w:rPr>
        <w:t>具</w:t>
      </w:r>
      <w:r>
        <w:rPr>
          <w:rFonts w:hint="eastAsia" w:hAnsi="宋体" w:cs="宋体"/>
          <w:b w:val="0"/>
          <w:bCs w:val="0"/>
          <w:color w:val="auto"/>
          <w:sz w:val="21"/>
          <w:szCs w:val="21"/>
          <w:highlight w:val="none"/>
        </w:rPr>
        <w:t>有适合长途运输、多次</w:t>
      </w:r>
      <w:r>
        <w:rPr>
          <w:rFonts w:hint="eastAsia" w:hAnsi="宋体" w:cs="宋体"/>
          <w:b w:val="0"/>
          <w:bCs w:val="0"/>
          <w:color w:val="auto"/>
          <w:sz w:val="21"/>
          <w:szCs w:val="21"/>
          <w:highlight w:val="none"/>
          <w:lang w:val="en-US"/>
        </w:rPr>
        <w:t>搬</w:t>
      </w:r>
      <w:r>
        <w:rPr>
          <w:rFonts w:hint="eastAsia" w:hAnsi="宋体" w:cs="宋体"/>
          <w:b w:val="0"/>
          <w:bCs w:val="0"/>
          <w:color w:val="auto"/>
          <w:sz w:val="21"/>
          <w:szCs w:val="21"/>
          <w:highlight w:val="none"/>
        </w:rPr>
        <w:t>运和装卸的坚固包装。包装应按设备特点，按</w:t>
      </w:r>
      <w:r>
        <w:rPr>
          <w:rFonts w:hint="eastAsia" w:hAnsi="宋体" w:cs="宋体"/>
          <w:b w:val="0"/>
          <w:bCs w:val="0"/>
          <w:color w:val="auto"/>
          <w:sz w:val="21"/>
          <w:szCs w:val="21"/>
          <w:highlight w:val="none"/>
          <w:lang w:val="en-US"/>
        </w:rPr>
        <w:t>需</w:t>
      </w:r>
      <w:r>
        <w:rPr>
          <w:rFonts w:hint="eastAsia" w:hAnsi="宋体" w:cs="宋体"/>
          <w:b w:val="0"/>
          <w:bCs w:val="0"/>
          <w:color w:val="auto"/>
          <w:sz w:val="21"/>
          <w:szCs w:val="21"/>
          <w:highlight w:val="none"/>
        </w:rPr>
        <w:t>要分别采取对应的保护措施，以保证货物在没有任何损坏和腐蚀的</w:t>
      </w:r>
      <w:r>
        <w:rPr>
          <w:rFonts w:hint="eastAsia" w:hAnsi="宋体" w:cs="宋体"/>
          <w:b w:val="0"/>
          <w:bCs w:val="0"/>
          <w:color w:val="auto"/>
          <w:sz w:val="21"/>
          <w:szCs w:val="21"/>
          <w:highlight w:val="none"/>
          <w:lang w:val="en-US"/>
        </w:rPr>
        <w:t>情</w:t>
      </w:r>
      <w:r>
        <w:rPr>
          <w:rFonts w:hint="eastAsia" w:hAnsi="宋体" w:cs="宋体"/>
          <w:b w:val="0"/>
          <w:bCs w:val="0"/>
          <w:color w:val="auto"/>
          <w:sz w:val="21"/>
          <w:szCs w:val="21"/>
          <w:highlight w:val="none"/>
        </w:rPr>
        <w:t>况下安全运抵甲方指定收货地点。</w:t>
      </w:r>
    </w:p>
    <w:p w14:paraId="73E07499">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3、每件包装箱内，应附有装箱单、合格证、产品出厂质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合格证明书、技术说明以及甲方要求的其他合格证明文件或资料。</w:t>
      </w:r>
    </w:p>
    <w:p w14:paraId="027E4461">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4、各种设备的松散零星部件应采用可靠安全的包装方式，装入尺寸适当的箱内，并尽可能整车发运。栅格式箱子或类似的包装，只能用</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盛装不至于被偷窃或被其他物品或雨水造成损坏的设备及零部件。</w:t>
      </w:r>
    </w:p>
    <w:p w14:paraId="62EE3ADD">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5、本合同项下货物由于包装不良、运输方式不当或非法运输造成的事故、损失、行政处罚和由此产生的其他全部费用均由乙方全部承担。</w:t>
      </w:r>
    </w:p>
    <w:p w14:paraId="324C15FD">
      <w:pPr>
        <w:pStyle w:val="21"/>
        <w:adjustRightInd/>
        <w:spacing w:line="360" w:lineRule="auto"/>
        <w:ind w:right="0" w:firstLine="420" w:firstLineChars="200"/>
        <w:jc w:val="left"/>
        <w:rPr>
          <w:rFonts w:hAnsi="宋体" w:cs="宋体"/>
          <w:color w:val="auto"/>
          <w:sz w:val="21"/>
          <w:szCs w:val="21"/>
          <w:highlight w:val="none"/>
        </w:rPr>
      </w:pPr>
      <w:r>
        <w:rPr>
          <w:rFonts w:hint="eastAsia" w:hAnsi="宋体" w:cs="宋体"/>
          <w:b w:val="0"/>
          <w:bCs w:val="0"/>
          <w:color w:val="auto"/>
          <w:sz w:val="21"/>
          <w:szCs w:val="21"/>
          <w:highlight w:val="none"/>
        </w:rPr>
        <w:t>6、运输过程中发生的货物毁损、灭失等所有</w:t>
      </w:r>
      <w:r>
        <w:rPr>
          <w:rFonts w:hint="eastAsia" w:hAnsi="宋体" w:cs="宋体"/>
          <w:b w:val="0"/>
          <w:bCs w:val="0"/>
          <w:color w:val="auto"/>
          <w:sz w:val="21"/>
          <w:szCs w:val="21"/>
          <w:highlight w:val="none"/>
          <w:lang w:val="en-US"/>
        </w:rPr>
        <w:t>相关</w:t>
      </w:r>
      <w:r>
        <w:rPr>
          <w:rFonts w:hint="eastAsia" w:hAnsi="宋体" w:cs="宋体"/>
          <w:b w:val="0"/>
          <w:bCs w:val="0"/>
          <w:color w:val="auto"/>
          <w:sz w:val="21"/>
          <w:szCs w:val="21"/>
          <w:highlight w:val="none"/>
        </w:rPr>
        <w:t>风险和责任由乙方自行承担。</w:t>
      </w:r>
    </w:p>
    <w:p w14:paraId="17B034CF">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w:t>
      </w:r>
      <w:bookmarkStart w:id="745" w:name="OLE_LINK82"/>
      <w:r>
        <w:rPr>
          <w:rFonts w:hint="eastAsia" w:ascii="宋体" w:hAnsi="宋体" w:eastAsia="宋体" w:cs="宋体"/>
          <w:b/>
          <w:color w:val="auto"/>
          <w:szCs w:val="21"/>
          <w:highlight w:val="none"/>
        </w:rPr>
        <w:t>保险</w:t>
      </w:r>
      <w:bookmarkEnd w:id="745"/>
    </w:p>
    <w:p w14:paraId="2EBE323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相应的商业保险，并向甲方提供投保证明，投保保险金额应不低于相应设备发票金额的110%，保险费已包含在合同价中。如因乙方未能投保或保险人不予承担相应责任而货物在经甲方项目整体最终验收合格前的运输、装卸、现场照管、安装等过程中发生毁损、灭失的风险由乙方自行承担。</w:t>
      </w:r>
    </w:p>
    <w:p w14:paraId="67283255">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一旦上述货物发生保险事故，乙方除依法向保险人请求赔偿保险金外，应继续依约向甲方提供满足项目要求的货物，由此造成逾期完工的，乙方应</w:t>
      </w:r>
      <w:bookmarkStart w:id="746" w:name="OLE_LINK466"/>
      <w:r>
        <w:rPr>
          <w:rFonts w:hint="eastAsia" w:ascii="宋体" w:hAnsi="宋体" w:eastAsia="宋体" w:cs="宋体"/>
          <w:color w:val="auto"/>
          <w:szCs w:val="21"/>
          <w:highlight w:val="none"/>
        </w:rPr>
        <w:t>按合同</w:t>
      </w:r>
      <w:bookmarkEnd w:id="746"/>
      <w:r>
        <w:rPr>
          <w:rFonts w:hint="eastAsia" w:ascii="宋体" w:hAnsi="宋体" w:eastAsia="宋体" w:cs="宋体"/>
          <w:color w:val="auto"/>
          <w:szCs w:val="21"/>
          <w:highlight w:val="none"/>
        </w:rPr>
        <w:t>约定承担违约责任。</w:t>
      </w:r>
    </w:p>
    <w:p w14:paraId="182FFF51">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第八条 </w:t>
      </w:r>
      <w:bookmarkStart w:id="747" w:name="OLE_LINK83"/>
      <w:r>
        <w:rPr>
          <w:rFonts w:hint="eastAsia" w:ascii="宋体" w:hAnsi="宋体" w:eastAsia="宋体" w:cs="宋体"/>
          <w:b/>
          <w:color w:val="auto"/>
          <w:szCs w:val="21"/>
          <w:highlight w:val="none"/>
        </w:rPr>
        <w:t>货物的交付</w:t>
      </w:r>
      <w:bookmarkEnd w:id="747"/>
    </w:p>
    <w:p w14:paraId="2E7E6E9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1、</w:t>
      </w:r>
      <w:bookmarkStart w:id="748" w:name="OLE_LINK467"/>
      <w:r>
        <w:rPr>
          <w:rFonts w:hint="eastAsia" w:ascii="宋体" w:hAnsi="宋体" w:eastAsia="宋体" w:cs="宋体"/>
          <w:bCs/>
          <w:color w:val="auto"/>
          <w:szCs w:val="21"/>
          <w:highlight w:val="none"/>
        </w:rPr>
        <w:t>供货及安装界限：乙方所供货物除了用户需求中所含货物，还应包含：技术文件资料、维护维修手册（包含维护项目和周期）、备品备件市场通用型号清单、产品检测报告文件。所采购设备的运输、保管、安装调试、试运行工作由乙方负责。</w:t>
      </w:r>
    </w:p>
    <w:bookmarkEnd w:id="748"/>
    <w:p w14:paraId="30152132">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2、交货地点及责任：</w:t>
      </w:r>
    </w:p>
    <w:p w14:paraId="4034BF0D">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乙方负责按甲方要求的时间供货运输至甲方于东莞市内指定地点，包括到场设备搬卸和安全措施，乙方负责将所供货物在调试验收后二次运输装卸至东莞市内甲方指定交货地点。设备相关运输、装卸、保管、安装调试试运行、保险等费用已包含在投标报价总价中。甲方如需变更交货地点，甲方应在原定的最后交货日1天前通知乙方。乙方负责将货物运输至甲方指定位置。</w:t>
      </w:r>
    </w:p>
    <w:p w14:paraId="77D2A97F">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乙方所供的货物送至现场，如甲方</w:t>
      </w:r>
      <w:r>
        <w:rPr>
          <w:rFonts w:hint="eastAsia" w:ascii="宋体" w:hAnsi="宋体" w:eastAsia="宋体" w:cs="宋体"/>
          <w:color w:val="auto"/>
          <w:szCs w:val="21"/>
          <w:highlight w:val="none"/>
        </w:rPr>
        <w:t>或其委托的项目管理公司</w:t>
      </w:r>
      <w:r>
        <w:rPr>
          <w:rFonts w:hint="eastAsia" w:ascii="宋体" w:hAnsi="宋体" w:eastAsia="宋体" w:cs="宋体"/>
          <w:bCs/>
          <w:color w:val="auto"/>
          <w:szCs w:val="21"/>
          <w:highlight w:val="none"/>
        </w:rPr>
        <w:t>检查发现有任何质量问题（如外观有损伤），乙方必须立即以同样型号的货物在甲方商定的时间内更换，确保其使用。</w:t>
      </w:r>
    </w:p>
    <w:p w14:paraId="6D712A7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合同范围内所供货物在经甲方对本项目最终验收合格前（包含运输、装卸、现场照管、安装），货物的损耗、毁损、灭失的风险和责任均由乙方自行承担。</w:t>
      </w:r>
    </w:p>
    <w:p w14:paraId="14284D0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3、运输方式：由乙方自行选择适当的运输方式，并承担全部费用。</w:t>
      </w:r>
    </w:p>
    <w:p w14:paraId="3F9F0B88">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、在交货地点的卸货责任及费用，由乙方承担。</w:t>
      </w:r>
    </w:p>
    <w:p w14:paraId="00F1D6D7">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第九条 </w:t>
      </w:r>
      <w:bookmarkStart w:id="749" w:name="OLE_LINK88"/>
      <w:r>
        <w:rPr>
          <w:rFonts w:hint="eastAsia" w:ascii="宋体" w:hAnsi="宋体" w:eastAsia="宋体" w:cs="宋体"/>
          <w:b/>
          <w:color w:val="auto"/>
          <w:szCs w:val="21"/>
          <w:highlight w:val="none"/>
        </w:rPr>
        <w:t>安装、调试</w:t>
      </w:r>
      <w:bookmarkEnd w:id="749"/>
    </w:p>
    <w:p w14:paraId="62A73CE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1、乙方应在交接验收合格后，及时开展并完成全部货物的安装，且经甲方初步验收合格。乙方负责在甲方要求的时间内完成调试，以及性能考核的技术指导工作，具体要求需满足用户需求书要求。</w:t>
      </w:r>
    </w:p>
    <w:p w14:paraId="195291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在货物安装、调试过程中，乙方应遵守甲方现场的管理规定，并遵守项目施工、安全生产、消防安全的有关管理规定，采取必要的安全防范措施，消除事故隐患，并随时接受甲方或其委托的项目管理公司安全检查人员的监督检查。在乙方搬运、拆卸、安装、调试、验收过程中所产生的安全责任（包括但不限于对协助人员、施工人员、第三方所造成的财物毁损、人员损伤，以及防火、防电、防盗责任等），乙方应承担全部赔偿责任及相关法律责任，与甲方无关；如因此造成甲方损失的，乙方应按甲方实际损失款项进行赔偿，并另行向甲方支付该项损失金额20%的违约金。</w:t>
      </w:r>
    </w:p>
    <w:p w14:paraId="24ADCD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负责安装、调试，并及时解决安装、调试、试运行中出现的由乙方供货设备导致的问题，相关问题的解决时长以不影响工期为原则，若造成工期延误的，乙方需承担违约责任，并根据本合同第二十一条的约定向甲方支付对应的违约金。</w:t>
      </w:r>
    </w:p>
    <w:p w14:paraId="6D307C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现场施工需服从、配合甲方或甲方代表的安全文明施工管理，并与甲方签订安全生产协议。由于乙方原因造成甲方或其他第三方参建单位人员伤亡、财物损失或者被监督部门行政处罚，乙方须承担相应赔偿责任。事故若造成甲方有其它额外支出的，乙方承诺给予全部补偿。</w:t>
      </w:r>
    </w:p>
    <w:p w14:paraId="09A73C37">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lang w:val="zh-CN"/>
        </w:rPr>
        <w:t>应严格按照国家有关安全文明施工的标准与规范制定安全文明施工操作规程，配备必要的安全生产和劳动保护设施，加强对施工作业人员的施工安全教育培训，对他们的安全负责。</w:t>
      </w:r>
    </w:p>
    <w:p w14:paraId="3C10DD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val="zh-CN"/>
        </w:rPr>
        <w:t>6、</w:t>
      </w:r>
      <w:r>
        <w:rPr>
          <w:rFonts w:hint="eastAsia" w:ascii="宋体" w:hAnsi="宋体" w:eastAsia="宋体" w:cs="宋体"/>
          <w:color w:val="auto"/>
          <w:szCs w:val="21"/>
          <w:highlight w:val="none"/>
        </w:rPr>
        <w:t>乙方</w:t>
      </w:r>
      <w:r>
        <w:rPr>
          <w:rFonts w:hint="eastAsia" w:ascii="宋体" w:hAnsi="宋体" w:eastAsia="宋体" w:cs="宋体"/>
          <w:color w:val="auto"/>
          <w:kern w:val="0"/>
          <w:szCs w:val="21"/>
          <w:highlight w:val="none"/>
          <w:lang w:val="zh-CN"/>
        </w:rPr>
        <w:t>应对合同</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安全文明施工负责，采取有效的安全措施消除安全事故隐患，并接受和配合依法实施的监督检查。</w:t>
      </w:r>
    </w:p>
    <w:p w14:paraId="36B30BA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7、乙方应遵守国家有关环境保护、卫生监督的法律法规，采取有效措施，保证施工场地达到环境保护、卫生部门的管理要求，为现场自有人员提供并维护干净卫生的生活设施，保持施工场地的清洁整齐。</w:t>
      </w:r>
    </w:p>
    <w:p w14:paraId="32439DA5">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8、为保证合同设备的性能、满足招标文件要求功能且长期、稳定、正常运行要求所需要的，除图纸设计的预留洞口、预埋件、回填、防水外，需要另行发生的开（补）洞口、增加预埋件、填缝、回填材料、水管、电路接驳、安全装置、防水等，均由乙方自行负责，其费用包括在合同价中。</w:t>
      </w:r>
    </w:p>
    <w:p w14:paraId="02B85EA5">
      <w:pPr>
        <w:spacing w:line="360" w:lineRule="auto"/>
        <w:ind w:firstLine="422" w:firstLineChars="200"/>
        <w:outlineLvl w:val="1"/>
        <w:rPr>
          <w:rFonts w:ascii="宋体" w:hAnsi="宋体" w:eastAsia="宋体" w:cs="宋体"/>
          <w:b/>
          <w:color w:val="auto"/>
          <w:szCs w:val="21"/>
          <w:highlight w:val="none"/>
        </w:rPr>
      </w:pPr>
      <w:bookmarkStart w:id="750" w:name="OLE_LINK258"/>
      <w:r>
        <w:rPr>
          <w:rFonts w:hint="eastAsia" w:ascii="宋体" w:hAnsi="宋体" w:eastAsia="宋体" w:cs="宋体"/>
          <w:b/>
          <w:color w:val="auto"/>
          <w:szCs w:val="21"/>
          <w:highlight w:val="none"/>
        </w:rPr>
        <w:t xml:space="preserve">第十条 </w:t>
      </w:r>
      <w:bookmarkEnd w:id="750"/>
      <w:bookmarkStart w:id="751" w:name="OLE_LINK90"/>
      <w:r>
        <w:rPr>
          <w:rFonts w:hint="eastAsia" w:ascii="宋体" w:hAnsi="宋体" w:eastAsia="宋体" w:cs="宋体"/>
          <w:b/>
          <w:color w:val="auto"/>
          <w:szCs w:val="21"/>
          <w:highlight w:val="none"/>
        </w:rPr>
        <w:t>验收</w:t>
      </w:r>
      <w:bookmarkEnd w:id="751"/>
    </w:p>
    <w:p w14:paraId="16D66DA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1、验收分为货到交货地点的交接验收，货物完成安装、调试的初步验收，和</w:t>
      </w:r>
      <w:bookmarkStart w:id="752" w:name="OLE_LINK288"/>
      <w:bookmarkStart w:id="753" w:name="OLE_LINK418"/>
      <w:r>
        <w:rPr>
          <w:rFonts w:hint="eastAsia" w:ascii="宋体" w:hAnsi="宋体" w:eastAsia="宋体" w:cs="宋体"/>
          <w:color w:val="auto"/>
          <w:szCs w:val="21"/>
          <w:highlight w:val="none"/>
        </w:rPr>
        <w:t>项目整体运转</w:t>
      </w:r>
      <w:bookmarkEnd w:id="752"/>
      <w:bookmarkStart w:id="754" w:name="OLE_LINK415"/>
      <w:r>
        <w:rPr>
          <w:rFonts w:hint="eastAsia" w:ascii="宋体" w:hAnsi="宋体" w:eastAsia="宋体" w:cs="宋体"/>
          <w:color w:val="auto"/>
          <w:szCs w:val="21"/>
          <w:highlight w:val="none"/>
        </w:rPr>
        <w:t>且并网送电</w:t>
      </w:r>
      <w:bookmarkEnd w:id="753"/>
      <w:bookmarkEnd w:id="754"/>
      <w:r>
        <w:rPr>
          <w:rFonts w:hint="eastAsia" w:ascii="宋体" w:hAnsi="宋体" w:eastAsia="宋体" w:cs="宋体"/>
          <w:color w:val="auto"/>
          <w:szCs w:val="21"/>
          <w:highlight w:val="none"/>
        </w:rPr>
        <w:t>的并网验收以及竣工验收，并符合</w:t>
      </w:r>
      <w:r>
        <w:rPr>
          <w:rFonts w:hint="eastAsia" w:ascii="宋体" w:hAnsi="宋体" w:eastAsia="宋体" w:cs="宋体"/>
          <w:color w:val="auto"/>
          <w:kern w:val="0"/>
          <w:szCs w:val="21"/>
          <w:highlight w:val="none"/>
        </w:rPr>
        <w:t>国家、省或行业现行的</w:t>
      </w:r>
      <w:r>
        <w:rPr>
          <w:rFonts w:hint="eastAsia" w:ascii="宋体" w:hAnsi="宋体" w:eastAsia="宋体" w:cs="宋体"/>
          <w:color w:val="auto"/>
          <w:szCs w:val="21"/>
          <w:highlight w:val="none"/>
        </w:rPr>
        <w:t>相关规范。</w:t>
      </w:r>
    </w:p>
    <w:p w14:paraId="7E6D2AAE">
      <w:pPr>
        <w:pStyle w:val="25"/>
        <w:tabs>
          <w:tab w:val="left" w:pos="0"/>
        </w:tabs>
        <w:spacing w:line="360" w:lineRule="auto"/>
        <w:ind w:firstLine="422" w:firstLineChars="200"/>
        <w:textAlignment w:val="baseline"/>
        <w:rPr>
          <w:rFonts w:hAnsi="宋体" w:cs="宋体"/>
          <w:color w:val="auto"/>
          <w:szCs w:val="21"/>
          <w:highlight w:val="none"/>
        </w:rPr>
      </w:pPr>
      <w:r>
        <w:rPr>
          <w:rFonts w:hint="eastAsia" w:hAnsi="宋体" w:cs="宋体"/>
          <w:b/>
          <w:bCs/>
          <w:color w:val="auto"/>
          <w:szCs w:val="21"/>
          <w:highlight w:val="none"/>
        </w:rPr>
        <w:t>2、交接验收：</w:t>
      </w:r>
    </w:p>
    <w:p w14:paraId="4E4AD498">
      <w:pPr>
        <w:pStyle w:val="25"/>
        <w:tabs>
          <w:tab w:val="left" w:pos="0"/>
        </w:tabs>
        <w:spacing w:line="360" w:lineRule="auto"/>
        <w:ind w:firstLine="420" w:firstLineChars="200"/>
        <w:textAlignment w:val="baseline"/>
        <w:rPr>
          <w:rFonts w:hAnsi="宋体" w:cs="宋体"/>
          <w:color w:val="auto"/>
          <w:szCs w:val="21"/>
          <w:highlight w:val="none"/>
          <w:lang w:val="zh-CN"/>
        </w:rPr>
      </w:pPr>
      <w:r>
        <w:rPr>
          <w:rFonts w:hint="eastAsia" w:hAnsi="宋体" w:cs="宋体"/>
          <w:color w:val="auto"/>
          <w:szCs w:val="21"/>
          <w:highlight w:val="none"/>
        </w:rPr>
        <w:t>（1）</w:t>
      </w:r>
      <w:r>
        <w:rPr>
          <w:rFonts w:hint="eastAsia" w:hAnsi="宋体" w:cs="宋体"/>
          <w:color w:val="auto"/>
          <w:szCs w:val="21"/>
          <w:highlight w:val="none"/>
          <w:lang w:val="zh-CN"/>
        </w:rPr>
        <w:t>货物运抵交货地点现场后</w:t>
      </w:r>
      <w:bookmarkStart w:id="755" w:name="OLE_LINK289"/>
      <w:r>
        <w:rPr>
          <w:rFonts w:hint="eastAsia" w:hAnsi="宋体" w:cs="宋体"/>
          <w:color w:val="auto"/>
          <w:szCs w:val="21"/>
          <w:highlight w:val="none"/>
          <w:u w:val="single"/>
        </w:rPr>
        <w:t xml:space="preserve"> 7 </w:t>
      </w:r>
      <w:r>
        <w:rPr>
          <w:rFonts w:hint="eastAsia" w:hAnsi="宋体" w:cs="宋体"/>
          <w:color w:val="auto"/>
          <w:szCs w:val="21"/>
          <w:highlight w:val="none"/>
        </w:rPr>
        <w:t>日内</w:t>
      </w:r>
      <w:bookmarkEnd w:id="755"/>
      <w:r>
        <w:rPr>
          <w:rFonts w:hint="eastAsia" w:hAnsi="宋体" w:cs="宋体"/>
          <w:color w:val="auto"/>
          <w:szCs w:val="21"/>
          <w:highlight w:val="none"/>
          <w:lang w:val="zh-CN"/>
        </w:rPr>
        <w:t>，</w:t>
      </w:r>
      <w:bookmarkStart w:id="756" w:name="OLE_LINK252"/>
      <w:r>
        <w:rPr>
          <w:rFonts w:hint="eastAsia" w:hAnsi="宋体" w:cs="宋体"/>
          <w:color w:val="auto"/>
          <w:szCs w:val="21"/>
          <w:highlight w:val="none"/>
        </w:rPr>
        <w:t>甲方或其委托的项目管理公司</w:t>
      </w:r>
      <w:bookmarkEnd w:id="756"/>
      <w:r>
        <w:rPr>
          <w:rFonts w:hint="eastAsia" w:hAnsi="宋体" w:cs="宋体"/>
          <w:color w:val="auto"/>
          <w:szCs w:val="21"/>
          <w:highlight w:val="none"/>
        </w:rPr>
        <w:t>、乙方代表共同开箱验货。甲方或其委托的项目管理公司</w:t>
      </w:r>
      <w:r>
        <w:rPr>
          <w:rFonts w:hint="eastAsia" w:hAnsi="宋体" w:cs="宋体"/>
          <w:color w:val="auto"/>
          <w:szCs w:val="21"/>
          <w:highlight w:val="none"/>
          <w:lang w:val="zh-CN"/>
        </w:rPr>
        <w:t>按照本合同及招标文件、投标文件、</w:t>
      </w:r>
      <w:r>
        <w:rPr>
          <w:rFonts w:hint="eastAsia" w:hAnsi="宋体" w:cs="宋体"/>
          <w:color w:val="auto"/>
          <w:szCs w:val="21"/>
          <w:highlight w:val="none"/>
        </w:rPr>
        <w:t>产品技术说明书</w:t>
      </w:r>
      <w:r>
        <w:rPr>
          <w:rFonts w:hint="eastAsia" w:hAnsi="宋体" w:cs="宋体"/>
          <w:color w:val="auto"/>
          <w:szCs w:val="21"/>
          <w:highlight w:val="none"/>
          <w:lang w:val="zh-CN"/>
        </w:rPr>
        <w:t>、</w:t>
      </w:r>
      <w:r>
        <w:rPr>
          <w:rFonts w:hint="eastAsia" w:hAnsi="宋体" w:cs="宋体"/>
          <w:color w:val="auto"/>
          <w:szCs w:val="21"/>
          <w:highlight w:val="none"/>
        </w:rPr>
        <w:t>国家相关法律法规以及规范的要求</w:t>
      </w:r>
      <w:r>
        <w:rPr>
          <w:rFonts w:hint="eastAsia" w:hAnsi="宋体" w:cs="宋体"/>
          <w:color w:val="auto"/>
          <w:szCs w:val="21"/>
          <w:highlight w:val="none"/>
          <w:lang w:val="zh-CN"/>
        </w:rPr>
        <w:t>等相关的规定，对货物的品种、品牌、产地、型号规格、数量、外观质量、资料等进行清点和检查，并根据清点和检查情况作详细的记录。</w:t>
      </w:r>
    </w:p>
    <w:p w14:paraId="784D001D">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2）若乙方所提供的设备或部件为国外制造，应提供原产地证书、报关资料等必备证明资料。根据法律法规的规定，在货物入境过程中需要实施检验检疫的入境商品，经入境管理部门检验后，如有相关证明的，乙方应提供入境货物检验检疫证明。</w:t>
      </w:r>
    </w:p>
    <w:p w14:paraId="618216C0">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（3）</w:t>
      </w:r>
      <w:r>
        <w:rPr>
          <w:rFonts w:hint="eastAsia" w:hAnsi="宋体" w:cs="宋体"/>
          <w:color w:val="auto"/>
          <w:szCs w:val="21"/>
          <w:highlight w:val="none"/>
          <w:lang w:val="zh-CN"/>
        </w:rPr>
        <w:t>如发现货物的品种、品牌、产地、型号规格、数量、外观质量、资料与合同约定或招标文件规定不符，</w:t>
      </w:r>
      <w:r>
        <w:rPr>
          <w:rFonts w:hint="eastAsia" w:hAnsi="宋体" w:cs="宋体"/>
          <w:color w:val="auto"/>
          <w:szCs w:val="21"/>
          <w:highlight w:val="none"/>
        </w:rPr>
        <w:t>或货物短缺、质次、损坏等问题，应作详细纪录，甲方有权拒绝收货并拒绝付款，或由乙方在甲方规定的时间内立即、无条件为甲方免费调换或补齐。调换或补齐后的货物，甲方有权按照本条有关验收的规定进行验收，由此产生的制造、修理和运费及保险费均应由乙方</w:t>
      </w:r>
      <w:bookmarkStart w:id="757" w:name="OLE_LINK417"/>
      <w:r>
        <w:rPr>
          <w:rFonts w:hint="eastAsia" w:hAnsi="宋体" w:cs="宋体"/>
          <w:color w:val="auto"/>
          <w:szCs w:val="21"/>
          <w:highlight w:val="none"/>
        </w:rPr>
        <w:t>承担</w:t>
      </w:r>
      <w:bookmarkEnd w:id="757"/>
      <w:r>
        <w:rPr>
          <w:rFonts w:hint="eastAsia" w:hAnsi="宋体" w:cs="宋体"/>
          <w:color w:val="auto"/>
          <w:szCs w:val="21"/>
          <w:highlight w:val="none"/>
        </w:rPr>
        <w:t>，与甲方无关。以上调换、更换、补齐货物的时间包含在甲乙双方约定的交货时间内。</w:t>
      </w:r>
    </w:p>
    <w:p w14:paraId="281EB3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（4）由于非甲方原因而引起的设备或部件的修理或更换的时间，应以不影响工期为原则进行，若造成工期延误的，乙方需承担违约责任，并根据本合同第二十一条的约定向甲方支付对应的违约金。</w:t>
      </w:r>
    </w:p>
    <w:p w14:paraId="4C76F780">
      <w:pPr>
        <w:pStyle w:val="21"/>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（5）光伏组件进场后乙方需安排抽样进行开箱检查与EL检测，对不合格组件免费进行更换，并且在项目安装完成初步验收时，需组织对安装组件隐裂情况进行检测，检测到的存在不合格的组件，乙方需安排替换。</w:t>
      </w:r>
    </w:p>
    <w:p w14:paraId="62E294D1">
      <w:pPr>
        <w:pStyle w:val="21"/>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（6）所有电气设备安装完成后，应进行电气交接试验，并形成记录。</w:t>
      </w:r>
    </w:p>
    <w:p w14:paraId="11E73E62">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（7）交接验收合格后，甲方</w:t>
      </w:r>
      <w:r>
        <w:rPr>
          <w:rFonts w:hint="eastAsia" w:hAnsi="宋体" w:cs="宋体"/>
          <w:color w:val="auto"/>
          <w:szCs w:val="21"/>
          <w:highlight w:val="none"/>
          <w:lang w:val="zh-CN"/>
        </w:rPr>
        <w:t>出具相关签收手续。</w:t>
      </w:r>
    </w:p>
    <w:p w14:paraId="2826CF00">
      <w:pPr>
        <w:pStyle w:val="25"/>
        <w:tabs>
          <w:tab w:val="left" w:pos="0"/>
        </w:tabs>
        <w:spacing w:line="360" w:lineRule="auto"/>
        <w:ind w:firstLine="422" w:firstLineChars="200"/>
        <w:textAlignment w:val="baseline"/>
        <w:rPr>
          <w:rFonts w:hAnsi="宋体" w:cs="宋体"/>
          <w:b/>
          <w:color w:val="auto"/>
          <w:szCs w:val="21"/>
          <w:highlight w:val="none"/>
        </w:rPr>
      </w:pPr>
      <w:bookmarkStart w:id="758" w:name="OLE_LINK473"/>
      <w:r>
        <w:rPr>
          <w:rFonts w:hint="eastAsia" w:hAnsi="宋体" w:cs="宋体"/>
          <w:b/>
          <w:bCs/>
          <w:color w:val="auto"/>
          <w:szCs w:val="21"/>
          <w:highlight w:val="none"/>
        </w:rPr>
        <w:t>3、初步验收：</w:t>
      </w:r>
      <w:bookmarkEnd w:id="758"/>
    </w:p>
    <w:p w14:paraId="00A5B294">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（1）合同项下货物在完成全部安装、调试及性能测试合格后，甲方或其委托的项目管理公司、乙方一起对设备的</w:t>
      </w:r>
      <w:r>
        <w:rPr>
          <w:rFonts w:hint="eastAsia" w:hAnsi="宋体" w:cs="宋体"/>
          <w:color w:val="auto"/>
          <w:szCs w:val="21"/>
          <w:highlight w:val="none"/>
          <w:lang w:val="zh-CN"/>
        </w:rPr>
        <w:t>完整性</w:t>
      </w:r>
      <w:r>
        <w:rPr>
          <w:rFonts w:hint="eastAsia" w:hAnsi="宋体" w:cs="宋体"/>
          <w:color w:val="auto"/>
          <w:szCs w:val="21"/>
          <w:highlight w:val="none"/>
        </w:rPr>
        <w:t>，安装与产品技术说明书、用户需求书符合性和合理性、调试的结果进行初步检验。</w:t>
      </w:r>
    </w:p>
    <w:p w14:paraId="19A4C4BA">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（2）乙方在货物安装、调试过程中，应做好详细的检验、测试记录和试验结果，检验结果应符合</w:t>
      </w:r>
      <w:r>
        <w:rPr>
          <w:rFonts w:hint="eastAsia" w:hAnsi="宋体" w:cs="宋体"/>
          <w:color w:val="auto"/>
          <w:szCs w:val="21"/>
          <w:highlight w:val="none"/>
          <w:lang w:val="zh-CN"/>
        </w:rPr>
        <w:t>本合同及招标文件、投标文件、</w:t>
      </w:r>
      <w:r>
        <w:rPr>
          <w:rFonts w:hint="eastAsia" w:hAnsi="宋体" w:cs="宋体"/>
          <w:color w:val="auto"/>
          <w:szCs w:val="21"/>
          <w:highlight w:val="none"/>
        </w:rPr>
        <w:t>产品技术说明书</w:t>
      </w:r>
      <w:r>
        <w:rPr>
          <w:rFonts w:hint="eastAsia" w:hAnsi="宋体" w:cs="宋体"/>
          <w:color w:val="auto"/>
          <w:szCs w:val="21"/>
          <w:highlight w:val="none"/>
          <w:lang w:val="zh-CN"/>
        </w:rPr>
        <w:t>、用户需求书、</w:t>
      </w:r>
      <w:r>
        <w:rPr>
          <w:rFonts w:hint="eastAsia" w:hAnsi="宋体" w:cs="宋体"/>
          <w:color w:val="auto"/>
          <w:szCs w:val="21"/>
          <w:highlight w:val="none"/>
        </w:rPr>
        <w:t>国家相关法律法规以及规范的</w:t>
      </w:r>
      <w:r>
        <w:rPr>
          <w:rFonts w:hint="eastAsia" w:hAnsi="宋体" w:cs="宋体"/>
          <w:color w:val="auto"/>
          <w:szCs w:val="21"/>
          <w:highlight w:val="none"/>
          <w:lang w:val="zh-CN"/>
        </w:rPr>
        <w:t>规定标准。（当多个标准不一致时，以最高标准作为验收标准）。</w:t>
      </w:r>
      <w:r>
        <w:rPr>
          <w:rFonts w:hint="eastAsia" w:hAnsi="宋体" w:cs="宋体"/>
          <w:color w:val="auto"/>
          <w:szCs w:val="21"/>
          <w:highlight w:val="none"/>
        </w:rPr>
        <w:t xml:space="preserve"> </w:t>
      </w:r>
    </w:p>
    <w:p w14:paraId="6602A344">
      <w:pPr>
        <w:pStyle w:val="26"/>
        <w:adjustRightInd/>
        <w:snapToGrid/>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（3）所有线缆敷设完成后，应进行直流电阻、绝缘电阻、直流耐压/交流耐压试验，并形成记录。</w:t>
      </w:r>
    </w:p>
    <w:p w14:paraId="45301B94">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 xml:space="preserve">（4）达到验收标准，甲、乙双方及相关单位共同签署初步验收记录。乙方同时提供测试报告等资料。 </w:t>
      </w:r>
    </w:p>
    <w:p w14:paraId="2E3721AB">
      <w:pPr>
        <w:pStyle w:val="25"/>
        <w:tabs>
          <w:tab w:val="left" w:pos="0"/>
        </w:tabs>
        <w:spacing w:line="360" w:lineRule="auto"/>
        <w:ind w:firstLine="422" w:firstLineChars="200"/>
        <w:textAlignment w:val="baseline"/>
        <w:rPr>
          <w:rFonts w:hAnsi="宋体" w:cs="宋体"/>
          <w:b/>
          <w:bCs/>
          <w:color w:val="auto"/>
          <w:szCs w:val="21"/>
          <w:highlight w:val="none"/>
        </w:rPr>
      </w:pPr>
      <w:bookmarkStart w:id="759" w:name="OLE_LINK474"/>
      <w:r>
        <w:rPr>
          <w:rFonts w:hint="eastAsia" w:hAnsi="宋体" w:cs="宋体"/>
          <w:b/>
          <w:bCs/>
          <w:color w:val="auto"/>
          <w:szCs w:val="21"/>
          <w:highlight w:val="none"/>
        </w:rPr>
        <w:t>4、并网验收：</w:t>
      </w:r>
      <w:bookmarkEnd w:id="759"/>
    </w:p>
    <w:p w14:paraId="7517E9F1">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本项目在设备调试初步验收合格后，乙方递交全套竣工图设计文件及项目所有资料文档，经甲方确认后，乙方应根据甲方要求时间内完成整体性能验收，执行国家、省或行业现行的质量验收标准及规范，须达到合格标准，并通过当地相关供电部门的并网验收可启动送电，视为通过并网验收。</w:t>
      </w:r>
    </w:p>
    <w:p w14:paraId="1FAF9A66">
      <w:pPr>
        <w:pStyle w:val="25"/>
        <w:tabs>
          <w:tab w:val="left" w:pos="0"/>
        </w:tabs>
        <w:spacing w:line="360" w:lineRule="auto"/>
        <w:ind w:firstLine="422" w:firstLineChars="200"/>
        <w:textAlignment w:val="baseline"/>
        <w:rPr>
          <w:rFonts w:hAnsi="宋体" w:cs="宋体"/>
          <w:b/>
          <w:bCs/>
          <w:color w:val="auto"/>
          <w:szCs w:val="21"/>
          <w:highlight w:val="none"/>
        </w:rPr>
      </w:pPr>
      <w:r>
        <w:rPr>
          <w:rFonts w:hint="eastAsia" w:hAnsi="宋体" w:cs="宋体"/>
          <w:b/>
          <w:bCs/>
          <w:color w:val="auto"/>
          <w:szCs w:val="21"/>
          <w:highlight w:val="none"/>
        </w:rPr>
        <w:t>5、竣工验收：</w:t>
      </w:r>
    </w:p>
    <w:p w14:paraId="486DF0FA">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color w:val="auto"/>
          <w:szCs w:val="21"/>
          <w:highlight w:val="none"/>
        </w:rPr>
        <w:t>并网后一个月内由乙方委托具备光伏电站CMA、CNAS资质认证的第三方检测单位对分布式光伏项目进行并网光伏电站检测工作，出具检测报告并加盖CMA或CNAS章。检测报告数值除满足相关规范要求且须与投标文件或经同意调整后组件产品（如有）承诺参数一致或优于投标文件承诺参数，经甲方确认后即为竣工验收合格。光伏电站检测项目包括但不限于光伏组件性能测试、光伏组件红外（IR）扫描测试、逆变器效率、接地连续性检测、并网点电能质量测试（含谐波电压、谐波电流、三相电压不平衡、供电电压偏差、闪变）、组串极性测试、电致发光特性测试(EL)。</w:t>
      </w:r>
    </w:p>
    <w:p w14:paraId="1B691A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甲方在进行任何一次验收时发现货物或安装不符合相关要求的，可拒绝验收或要求乙方承担免费更换或重新安装责任（注：对货物质量问题不符的，应更换新品，不得以维修修复代替），乙方应在3日内自行拆除、更换新品、运回或重新安装，甲方不承担因验收造成的产品损耗且不对产品承担保管责任，因此产生的一切费用及风险由乙方承担。</w:t>
      </w:r>
    </w:p>
    <w:p w14:paraId="0C31505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7、甲方根据本条规定对货物所做出的验收，仅作为起算付款之用，不视为双方对于货物质量的最终认可，乙方仍应在质保期内对产品质量承担保证责任。</w:t>
      </w:r>
    </w:p>
    <w:p w14:paraId="432F4A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8、货物在竣工验收合格至移交之日前，其损耗、毁损、灭失等风险及责任由乙方承担，如因发生前述情形，导致不能通过甲方验收移交的，乙方应按甲方要求予以免费更换或重做。</w:t>
      </w:r>
    </w:p>
    <w:p w14:paraId="63B6C133">
      <w:pPr>
        <w:pStyle w:val="25"/>
        <w:tabs>
          <w:tab w:val="left" w:pos="0"/>
        </w:tabs>
        <w:spacing w:line="360" w:lineRule="auto"/>
        <w:ind w:firstLine="420" w:firstLineChars="200"/>
        <w:textAlignment w:val="baseline"/>
        <w:rPr>
          <w:rFonts w:hAnsi="宋体" w:cs="宋体"/>
          <w:color w:val="auto"/>
          <w:szCs w:val="21"/>
          <w:highlight w:val="none"/>
        </w:rPr>
      </w:pPr>
      <w:r>
        <w:rPr>
          <w:rFonts w:hint="eastAsia" w:hAnsi="宋体" w:cs="宋体"/>
          <w:bCs/>
          <w:color w:val="auto"/>
          <w:szCs w:val="21"/>
          <w:highlight w:val="none"/>
        </w:rPr>
        <w:t>9、任一验收过程中，</w:t>
      </w:r>
      <w:r>
        <w:rPr>
          <w:rFonts w:hint="eastAsia" w:hAnsi="宋体" w:cs="宋体"/>
          <w:color w:val="auto"/>
          <w:szCs w:val="21"/>
          <w:highlight w:val="none"/>
        </w:rPr>
        <w:t>如对检验记录不能取得一致意见时，可委托项目所在地具有资质的第三方检验机构联合进行检验或鉴定，相关费用先由乙方垫付，最终费用由责任方承担。</w:t>
      </w:r>
    </w:p>
    <w:p w14:paraId="24801824">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第十一条 项目照管</w:t>
      </w:r>
    </w:p>
    <w:p w14:paraId="56BCB961">
      <w:pPr>
        <w:pStyle w:val="25"/>
        <w:tabs>
          <w:tab w:val="left" w:pos="0"/>
        </w:tabs>
        <w:spacing w:line="360" w:lineRule="auto"/>
        <w:ind w:firstLine="420" w:firstLineChars="200"/>
        <w:textAlignment w:val="baseline"/>
        <w:rPr>
          <w:rFonts w:hAnsi="宋体" w:cs="宋体"/>
          <w:bCs/>
          <w:color w:val="auto"/>
          <w:szCs w:val="21"/>
          <w:highlight w:val="none"/>
        </w:rPr>
      </w:pPr>
      <w:bookmarkStart w:id="760" w:name="OLE_LINK484"/>
      <w:r>
        <w:rPr>
          <w:rFonts w:hint="eastAsia" w:hAnsi="宋体" w:cs="宋体"/>
          <w:bCs/>
          <w:color w:val="auto"/>
          <w:szCs w:val="21"/>
          <w:highlight w:val="none"/>
        </w:rPr>
        <w:t>从本合同签订之日起，乙方应全面负责照管合同项目及运至现场将用于和安装在合同项目中的材料和设备设施等，直到合同双方当事人确认项目移交之日止。此后，项目的照管即转由甲方负责。如在整个项目移交前，合同双方当事人已经确认移交或甲方提前接管其中任一单位项目，则从确认移交或提前接管之日起乙方无须对该单位项目负责照管，而转由甲方负责。但乙方应继续负责照管尚未完成的项目和将用于或安装在合同项目中的材料和设备设施等，直至完成上述工作并经合同双方当事人确认整个项目移交之日止。乙方在负责项目照管期间，如因自身原因造成合同项目或其任何部分，以及材料和设备设施或临时设施的损坏，乙方应自费修复上述损坏或更新更换，保证合同项目质量达到合同约定的标准。</w:t>
      </w:r>
    </w:p>
    <w:bookmarkEnd w:id="760"/>
    <w:p w14:paraId="1F94E907">
      <w:pPr>
        <w:spacing w:line="360" w:lineRule="auto"/>
        <w:ind w:firstLine="422" w:firstLineChars="200"/>
        <w:outlineLvl w:val="1"/>
        <w:rPr>
          <w:rFonts w:ascii="宋体" w:hAnsi="宋体" w:eastAsia="宋体" w:cs="宋体"/>
          <w:b/>
          <w:color w:val="auto"/>
          <w:szCs w:val="21"/>
          <w:highlight w:val="none"/>
        </w:rPr>
      </w:pPr>
      <w:bookmarkStart w:id="761" w:name="OLE_LINK482"/>
      <w:r>
        <w:rPr>
          <w:rFonts w:hint="eastAsia" w:ascii="宋体" w:hAnsi="宋体" w:eastAsia="宋体" w:cs="宋体"/>
          <w:b/>
          <w:color w:val="auto"/>
          <w:szCs w:val="21"/>
          <w:highlight w:val="none"/>
        </w:rPr>
        <w:t>第十二条 知识产权</w:t>
      </w:r>
    </w:p>
    <w:p w14:paraId="5EE3A2E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1、乙方保证其履行本合同（包括其提供的设计、设备、材料、软件、工艺、方法、技术）不会侵犯任何第三方的知识产权等合法权益。乙方应确保其分包商和供应商作出同等保证。如因乙方（或其分包商、供应商）的设计方案、选用的设备/材料/技术、施工方法等侵犯第三方知识产权，导致甲方或本项目遭受索赔、诉讼、禁止令或承担任何责任，乙方须与第三方交涉并承担由此发生的一切责任、费用和经济赔偿。由于乙方提供的设计、设备、材料、软件、工艺等任何一部分不符合知识产权规定，由乙方承担因此给甲方造成的全部损失（包括但不限于甲方为维护自身权益所支付的律师费、诉讼费、鉴定费、差旅费以及甲方依法向第三方支付的赔偿款等全部费用）。</w:t>
      </w:r>
    </w:p>
    <w:p w14:paraId="3CF0410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2、乙方理解并同意由本项目产生知识产权的所有权及其他一切权利、权属和利益（包括但不限于专利申请权、专利权、著作权、商业秘密权等）均归甲方独家所有。</w:t>
      </w:r>
    </w:p>
    <w:p w14:paraId="671DFA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3、在履行本合同过程中，乙方将会同甲方将投入专项资源进行技术创新，并需产生可专利化的技术成果。 乙方需实现在合同履约期向甲方交付至少1项符合下列条件的专利成果：</w:t>
      </w:r>
    </w:p>
    <w:p w14:paraId="1EE4D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①基于本项目产生：该成果须源于乙方为履行本合同项下的光伏电站设计、设备集成、安装工艺优化、智能系统开发等具体工作所进行的创新活动；</w:t>
      </w:r>
    </w:p>
    <w:p w14:paraId="3E6A2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②质量要求：该成果需对本项目的性能、效率、可靠性、成本控制或长期运维具有实质性积极意义；</w:t>
      </w:r>
    </w:p>
    <w:p w14:paraId="0C68385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③需有国家知识产权局下发的专利授权证书。</w:t>
      </w:r>
    </w:p>
    <w:p w14:paraId="003CF40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4、双方应对在履行本合同过程中获悉的对方的背景知识产权、项目知识产权、商业秘密、技术信息、商业信息、财务信息及其他标明为保密的信息承担严格的保密义务。</w:t>
      </w:r>
    </w:p>
    <w:bookmarkEnd w:id="761"/>
    <w:p w14:paraId="06DEE793">
      <w:pPr>
        <w:spacing w:line="360" w:lineRule="auto"/>
        <w:ind w:firstLine="422" w:firstLineChars="200"/>
        <w:outlineLvl w:val="1"/>
        <w:rPr>
          <w:rFonts w:ascii="宋体" w:hAnsi="宋体" w:eastAsia="宋体" w:cs="宋体"/>
          <w:b/>
          <w:color w:val="auto"/>
          <w:szCs w:val="21"/>
          <w:highlight w:val="none"/>
        </w:rPr>
      </w:pPr>
      <w:bookmarkStart w:id="762" w:name="OLE_LINK483"/>
      <w:r>
        <w:rPr>
          <w:rFonts w:hint="eastAsia" w:ascii="宋体" w:hAnsi="宋体" w:eastAsia="宋体" w:cs="宋体"/>
          <w:b/>
          <w:color w:val="auto"/>
          <w:szCs w:val="21"/>
          <w:highlight w:val="none"/>
        </w:rPr>
        <w:t xml:space="preserve">第十三条 </w:t>
      </w:r>
      <w:bookmarkStart w:id="763" w:name="OLE_LINK92"/>
      <w:r>
        <w:rPr>
          <w:rFonts w:hint="eastAsia" w:ascii="宋体" w:hAnsi="宋体" w:eastAsia="宋体" w:cs="宋体"/>
          <w:b/>
          <w:color w:val="auto"/>
          <w:szCs w:val="21"/>
          <w:highlight w:val="none"/>
        </w:rPr>
        <w:t>技术服务、设计联络、设计技术要求和培训</w:t>
      </w:r>
      <w:bookmarkEnd w:id="763"/>
    </w:p>
    <w:bookmarkEnd w:id="762"/>
    <w:p w14:paraId="400A14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1、技术服务、设计联络、设计技术要求</w:t>
      </w:r>
    </w:p>
    <w:p w14:paraId="4F4538C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设计质量要求：本项目的设计过程和成果必须符合国家、广东省、东莞市颁布的有关设计方面的现行标准、规范、规程、定额、办法，满足甲方的相关功能需求，并通过甲方及有关部门的审查。在设计过程中，如果国家或有关部门颁发了新的技术标准或规范，应采用新的标准或规范进行设计。</w:t>
      </w:r>
    </w:p>
    <w:p w14:paraId="30F9CDF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（2）乙方应及时提供与本合同设备有关的设计、检验、土建（如有）、安装、调试、验收、试验、运行、检修、运维等相应的技术指导、技术配合、技术培训等全过程的服务。</w:t>
      </w:r>
    </w:p>
    <w:p w14:paraId="11926D6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施工图设计阶段，乙方有义务根据实际情况派遣具有丰富经验的专业技术人员到东莞市参加设计联络会议进行技术交流，包括参加设计会签及校核和审查会议，以完成施工图设计。所需的费用均由乙方负责。设计联络的确切日期由</w:t>
      </w:r>
      <w:bookmarkStart w:id="764" w:name="OLE_LINK420"/>
      <w:r>
        <w:rPr>
          <w:rFonts w:hint="eastAsia" w:ascii="宋体" w:hAnsi="宋体" w:eastAsia="宋体" w:cs="宋体"/>
          <w:color w:val="auto"/>
          <w:szCs w:val="21"/>
          <w:highlight w:val="none"/>
        </w:rPr>
        <w:t>甲方确定。</w:t>
      </w:r>
    </w:p>
    <w:p w14:paraId="3343DBD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（4）甲方有权将乙方</w:t>
      </w:r>
      <w:bookmarkEnd w:id="764"/>
      <w:r>
        <w:rPr>
          <w:rFonts w:hint="eastAsia" w:ascii="宋体" w:hAnsi="宋体" w:eastAsia="宋体" w:cs="宋体"/>
          <w:color w:val="auto"/>
          <w:szCs w:val="21"/>
          <w:highlight w:val="none"/>
        </w:rPr>
        <w:t>所提供的一切与本合同设备有关的资料分发给与本项目有关的各方，并不由此而构成任何侵权，亦无需事先取得乙方的同意，但双方不得向任何与本项目无关的第三方提供。</w:t>
      </w:r>
    </w:p>
    <w:p w14:paraId="115536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乙方须对一切与本合同有关（包括外购）的供货、设备及技术接口、技术服务等问题负全部责任。凡与本合同设备相连接的其它设备装置，乙方有提供接口和技术配合的义务，并不由此而向甲方主张发生合同价格以外的任何费用。</w:t>
      </w:r>
    </w:p>
    <w:p w14:paraId="1F54B11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（6）由于乙方技术服务人员对安装的疏忽和错误以及乙方未按要求派人指导而造成的所有损失应由乙方负责。造成甲方损失的，乙方需足额赔偿。</w:t>
      </w:r>
    </w:p>
    <w:p w14:paraId="101991D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2、人员培训</w:t>
      </w:r>
    </w:p>
    <w:p w14:paraId="0157B9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（1）现场培训：指在合同履行期间，乙方派专人对操作工人进行培训，务必使这些受训人员能胜任这些设备的检验、运行和维护工作。</w:t>
      </w:r>
    </w:p>
    <w:p w14:paraId="7DCD242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（2）培训地点规模：由甲方指定，乙方应</w:t>
      </w:r>
      <w:bookmarkStart w:id="765" w:name="OLE_LINK261"/>
      <w:r>
        <w:rPr>
          <w:rFonts w:hint="eastAsia" w:ascii="宋体" w:hAnsi="宋体" w:eastAsia="宋体" w:cs="宋体"/>
          <w:color w:val="auto"/>
          <w:szCs w:val="21"/>
          <w:highlight w:val="none"/>
        </w:rPr>
        <w:t>提前 15 日</w:t>
      </w:r>
      <w:bookmarkEnd w:id="765"/>
      <w:r>
        <w:rPr>
          <w:rFonts w:hint="eastAsia" w:ascii="宋体" w:hAnsi="宋体" w:eastAsia="宋体" w:cs="宋体"/>
          <w:color w:val="auto"/>
          <w:szCs w:val="21"/>
          <w:highlight w:val="none"/>
        </w:rPr>
        <w:t>提供完整的书面培训计划和方案，列明提供培训的技术人员名单及资质，以及培训完成后甲方人员可达到的水平等。</w:t>
      </w:r>
    </w:p>
    <w:p w14:paraId="2F954CE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培训内容：乙方为甲方免费提供操作及维护培训，主要内容为货物的基本结构、性能、主要部件的构造及原理，日常使用操作、保养与管理，常见故障的原因分析与排除，紧急情况的处理等。进口设备由外籍技术人员给甲方技术人员进行培训时，乙方必须聘请专业的翻译人员，并提供相关的中英文资料。</w:t>
      </w:r>
    </w:p>
    <w:p w14:paraId="448F5B7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（4）培训次数：不低于【1】次，每次不低于【1】天，具体根据甲方需求确定。</w:t>
      </w:r>
    </w:p>
    <w:p w14:paraId="3ABB6B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（5）培训费用：培训费用由乙方承担，该费用已包含在合同价中。</w:t>
      </w:r>
    </w:p>
    <w:p w14:paraId="0ADC58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（6）培训记录：以上培训形成记录资料交甲方存档。</w:t>
      </w:r>
    </w:p>
    <w:p w14:paraId="754585E1">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第十四条 </w:t>
      </w:r>
      <w:bookmarkStart w:id="766" w:name="OLE_LINK93"/>
      <w:r>
        <w:rPr>
          <w:rFonts w:hint="eastAsia" w:ascii="宋体" w:hAnsi="宋体" w:eastAsia="宋体" w:cs="宋体"/>
          <w:b/>
          <w:color w:val="auto"/>
          <w:szCs w:val="21"/>
          <w:highlight w:val="none"/>
        </w:rPr>
        <w:t>质保期及售后服务</w:t>
      </w:r>
      <w:bookmarkEnd w:id="766"/>
    </w:p>
    <w:p w14:paraId="10FA8574">
      <w:pPr>
        <w:pStyle w:val="21"/>
        <w:adjustRightInd/>
        <w:spacing w:line="360" w:lineRule="auto"/>
        <w:ind w:right="0" w:firstLine="422" w:firstLineChars="200"/>
        <w:jc w:val="left"/>
        <w:rPr>
          <w:rFonts w:hAnsi="宋体" w:cs="宋体"/>
          <w:color w:val="auto"/>
          <w:sz w:val="21"/>
          <w:szCs w:val="21"/>
          <w:highlight w:val="none"/>
        </w:rPr>
      </w:pPr>
      <w:r>
        <w:rPr>
          <w:rFonts w:hint="eastAsia" w:hAnsi="宋体" w:cs="宋体"/>
          <w:color w:val="auto"/>
          <w:sz w:val="21"/>
          <w:szCs w:val="21"/>
          <w:highlight w:val="none"/>
          <w:lang w:val="en-US"/>
        </w:rPr>
        <w:t>1、</w:t>
      </w:r>
      <w:bookmarkStart w:id="767" w:name="OLE_LINK423"/>
      <w:bookmarkStart w:id="768" w:name="OLE_LINK422"/>
      <w:r>
        <w:rPr>
          <w:rFonts w:hint="eastAsia" w:hAnsi="宋体" w:cs="宋体"/>
          <w:color w:val="auto"/>
          <w:sz w:val="21"/>
          <w:szCs w:val="21"/>
          <w:highlight w:val="none"/>
        </w:rPr>
        <w:t>质保期（</w:t>
      </w:r>
      <w:r>
        <w:rPr>
          <w:rFonts w:hint="eastAsia" w:hAnsi="宋体" w:cs="宋体"/>
          <w:color w:val="auto"/>
          <w:sz w:val="21"/>
          <w:szCs w:val="21"/>
          <w:highlight w:val="none"/>
          <w:lang w:val="en-US"/>
        </w:rPr>
        <w:t>即项目整体质保期</w:t>
      </w:r>
      <w:r>
        <w:rPr>
          <w:rFonts w:hint="eastAsia" w:hAnsi="宋体" w:cs="宋体"/>
          <w:color w:val="auto"/>
          <w:sz w:val="21"/>
          <w:szCs w:val="21"/>
          <w:highlight w:val="none"/>
        </w:rPr>
        <w:t>）为项目整体最终验收（</w:t>
      </w:r>
      <w:r>
        <w:rPr>
          <w:rFonts w:hint="eastAsia" w:hAnsi="宋体" w:cs="宋体"/>
          <w:color w:val="auto"/>
          <w:sz w:val="21"/>
          <w:szCs w:val="21"/>
          <w:highlight w:val="none"/>
          <w:lang w:val="en-US"/>
        </w:rPr>
        <w:t>即本合同下全部子项目竣工验收</w:t>
      </w:r>
      <w:r>
        <w:rPr>
          <w:rFonts w:hint="eastAsia" w:hAnsi="宋体" w:cs="宋体"/>
          <w:color w:val="auto"/>
          <w:sz w:val="21"/>
          <w:szCs w:val="21"/>
          <w:highlight w:val="none"/>
        </w:rPr>
        <w:t>）合格后【】年，</w:t>
      </w:r>
      <w:r>
        <w:rPr>
          <w:rFonts w:hint="eastAsia" w:hAnsi="宋体" w:cs="宋体"/>
          <w:color w:val="auto"/>
          <w:sz w:val="21"/>
          <w:szCs w:val="21"/>
          <w:highlight w:val="none"/>
          <w:lang w:val="en-US"/>
        </w:rPr>
        <w:t>甲方在项目整体质保期届满后按合同约定退还质保金</w:t>
      </w:r>
      <w:r>
        <w:rPr>
          <w:rFonts w:hint="eastAsia" w:hAnsi="宋体" w:cs="宋体"/>
          <w:color w:val="auto"/>
          <w:sz w:val="21"/>
          <w:szCs w:val="21"/>
          <w:highlight w:val="none"/>
        </w:rPr>
        <w:t>。如个体设备有更高</w:t>
      </w:r>
      <w:r>
        <w:rPr>
          <w:rFonts w:hint="eastAsia" w:hAnsi="宋体" w:cs="宋体"/>
          <w:color w:val="auto"/>
          <w:sz w:val="21"/>
          <w:szCs w:val="21"/>
          <w:highlight w:val="none"/>
          <w:lang w:val="en-US"/>
        </w:rPr>
        <w:t>质保期</w:t>
      </w:r>
      <w:r>
        <w:rPr>
          <w:rFonts w:hint="eastAsia" w:hAnsi="宋体" w:cs="宋体"/>
          <w:color w:val="auto"/>
          <w:sz w:val="21"/>
          <w:szCs w:val="21"/>
          <w:highlight w:val="none"/>
        </w:rPr>
        <w:t>要求的，</w:t>
      </w:r>
      <w:r>
        <w:rPr>
          <w:rFonts w:hint="eastAsia" w:hAnsi="宋体" w:cs="宋体"/>
          <w:color w:val="auto"/>
          <w:sz w:val="21"/>
          <w:szCs w:val="21"/>
          <w:highlight w:val="none"/>
          <w:lang w:val="en-US"/>
        </w:rPr>
        <w:t>乙方</w:t>
      </w:r>
      <w:r>
        <w:rPr>
          <w:rFonts w:hint="eastAsia" w:hAnsi="宋体" w:cs="宋体"/>
          <w:color w:val="auto"/>
          <w:sz w:val="21"/>
          <w:szCs w:val="21"/>
          <w:highlight w:val="none"/>
        </w:rPr>
        <w:t>遵循更高要求</w:t>
      </w:r>
      <w:bookmarkEnd w:id="767"/>
      <w:bookmarkEnd w:id="768"/>
      <w:r>
        <w:rPr>
          <w:rFonts w:hint="eastAsia" w:hAnsi="宋体" w:cs="宋体"/>
          <w:color w:val="auto"/>
          <w:sz w:val="21"/>
          <w:szCs w:val="21"/>
          <w:highlight w:val="none"/>
          <w:lang w:val="en-US"/>
        </w:rPr>
        <w:t>承担该个体设备的质保服务。</w:t>
      </w:r>
      <w:r>
        <w:rPr>
          <w:rFonts w:hint="eastAsia" w:hAnsi="宋体" w:cs="宋体"/>
          <w:color w:val="auto"/>
          <w:sz w:val="21"/>
          <w:szCs w:val="21"/>
          <w:highlight w:val="none"/>
        </w:rPr>
        <w:t>若在质保期间任何部件需进行更换，则该部件质保期应从更换日起重新计算。质保期内，乙方对本项目供货、安装质量进行免费保修，免费保修包括但不限于由乙方承担完成质保期的工作而产生的运费、购置费、测试费、人工费等各项费用。</w:t>
      </w:r>
    </w:p>
    <w:p w14:paraId="2D615B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质保期内乙方应提供免费上门维修、保养及其他售后服务，对设备出现的不符合合同要求的或有瑕疵之处提供免费维修或更换配件服务，经维修、更换配件后的设备质保期从维修或更换并经甲方验收合格后重新计算。</w:t>
      </w:r>
    </w:p>
    <w:p w14:paraId="68147E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w:t>
      </w:r>
      <w:bookmarkStart w:id="769" w:name="OLE_LINK292"/>
      <w:r>
        <w:rPr>
          <w:rFonts w:hint="eastAsia" w:ascii="宋体" w:hAnsi="宋体" w:eastAsia="宋体" w:cs="宋体"/>
          <w:color w:val="auto"/>
          <w:szCs w:val="21"/>
          <w:highlight w:val="none"/>
        </w:rPr>
        <w:t>在质保期内乙方应负责设备的保养，</w:t>
      </w:r>
      <w:bookmarkStart w:id="770" w:name="OLE_LINK262"/>
      <w:r>
        <w:rPr>
          <w:rFonts w:hint="eastAsia" w:ascii="宋体" w:hAnsi="宋体" w:eastAsia="宋体" w:cs="宋体"/>
          <w:color w:val="auto"/>
          <w:szCs w:val="21"/>
          <w:highlight w:val="none"/>
        </w:rPr>
        <w:t>并实施每年至少两次（至少半年为一周期）的整体检查</w:t>
      </w:r>
      <w:bookmarkEnd w:id="770"/>
      <w:r>
        <w:rPr>
          <w:rFonts w:hint="eastAsia" w:ascii="宋体" w:hAnsi="宋体" w:eastAsia="宋体" w:cs="宋体"/>
          <w:color w:val="auto"/>
          <w:szCs w:val="21"/>
          <w:highlight w:val="none"/>
        </w:rPr>
        <w:t>，并在每次检查后【15】日内向甲方提供书面的检查报告。质保期间如在正常操作情况下，任何机件因设计不当、材质缺陷或制造欠佳等因素而发生故障，</w:t>
      </w:r>
      <w:bookmarkStart w:id="771" w:name="OLE_LINK263"/>
      <w:r>
        <w:rPr>
          <w:rFonts w:hint="eastAsia" w:ascii="宋体" w:hAnsi="宋体" w:eastAsia="宋体" w:cs="宋体"/>
          <w:color w:val="auto"/>
          <w:szCs w:val="21"/>
          <w:highlight w:val="none"/>
        </w:rPr>
        <w:t>乙方应在接到报修通知后</w:t>
      </w:r>
      <w:r>
        <w:rPr>
          <w:rFonts w:hint="eastAsia" w:ascii="宋体" w:hAnsi="宋体" w:eastAsia="宋体" w:cs="宋体"/>
          <w:b/>
          <w:color w:val="auto"/>
          <w:szCs w:val="21"/>
          <w:highlight w:val="none"/>
          <w:u w:val="single"/>
        </w:rPr>
        <w:t xml:space="preserve"> 1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内予以响应，</w:t>
      </w:r>
      <w:r>
        <w:rPr>
          <w:rFonts w:hint="eastAsia" w:ascii="宋体" w:hAnsi="宋体" w:eastAsia="宋体" w:cs="宋体"/>
          <w:b/>
          <w:color w:val="auto"/>
          <w:szCs w:val="21"/>
          <w:highlight w:val="none"/>
          <w:u w:val="single"/>
        </w:rPr>
        <w:t xml:space="preserve"> 3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内到场修复故障，2日内不能维修的</w:t>
      </w:r>
      <w:bookmarkEnd w:id="771"/>
      <w:r>
        <w:rPr>
          <w:rFonts w:hint="eastAsia" w:ascii="宋体" w:hAnsi="宋体" w:eastAsia="宋体" w:cs="宋体"/>
          <w:color w:val="auto"/>
          <w:szCs w:val="21"/>
          <w:highlight w:val="none"/>
        </w:rPr>
        <w:t>，应提供替代设备供甲方临时使用。</w:t>
      </w:r>
      <w:bookmarkEnd w:id="769"/>
      <w:r>
        <w:rPr>
          <w:rFonts w:hint="eastAsia" w:ascii="宋体" w:hAnsi="宋体" w:eastAsia="宋体" w:cs="宋体"/>
          <w:color w:val="auto"/>
          <w:szCs w:val="21"/>
          <w:highlight w:val="none"/>
        </w:rPr>
        <w:t>如乙方未在规定的期限内修复，甲方有权采取必要措施</w:t>
      </w:r>
      <w:r>
        <w:rPr>
          <w:rFonts w:hint="eastAsia" w:ascii="宋体" w:hAnsi="宋体" w:eastAsia="宋体" w:cs="宋体"/>
          <w:color w:val="auto"/>
          <w:szCs w:val="21"/>
          <w:highlight w:val="none"/>
          <w:lang w:eastAsia="zh-Hans"/>
        </w:rPr>
        <w:t>如</w:t>
      </w:r>
      <w:r>
        <w:rPr>
          <w:rFonts w:hint="eastAsia" w:ascii="宋体" w:hAnsi="宋体" w:eastAsia="宋体" w:cs="宋体"/>
          <w:color w:val="auto"/>
          <w:szCs w:val="21"/>
          <w:highlight w:val="none"/>
        </w:rPr>
        <w:t>另行委托第三方对设备进行维修，由此产生的风险和费用由乙方承担，且甲方有权从质保金中直接予以扣除或有权从质量保函中提取质保金予以支付维护、修复等费用。质保金不足以支付的，不足部分由乙方承担，如造成其他损失的，乙方还应承担赔偿责任。</w:t>
      </w:r>
    </w:p>
    <w:p w14:paraId="0030CE8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质保期内，甲方有权拒绝使用带有缺陷的或与合同要求不符的设备或零件，这些设备或零件由乙方负责免费修好或更换，甲方不承担因其产生的费用。甲方如发现产品的质量、规格、性能、数量等与本招标文件规定不符，或发现产品无论由于任何原因存在隐藏缺陷、瑕疵、工艺问题或使用不良的材料的，或产品出现质量问题的，乙方应根据甲方指示承担免费更换或重做责任。</w:t>
      </w:r>
    </w:p>
    <w:p w14:paraId="1F7EEF0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在质保期内，如设备出现故障（7天内）无法修复，或一个故障累计出现超过两次（含两次），或货物累计经三次维修后仍无法正常运行的，乙方应无条件根据甲方要求承担免费更换或重做责任以满足正常运行的需求，由此产生的费用由乙方承担，包括但不限于运输费用、搬运费用、采购费用等全部费用。</w:t>
      </w:r>
    </w:p>
    <w:p w14:paraId="3485FEAC">
      <w:pPr>
        <w:spacing w:line="360" w:lineRule="auto"/>
        <w:ind w:firstLine="420" w:firstLineChars="200"/>
        <w:rPr>
          <w:rFonts w:ascii="宋体" w:hAnsi="宋体" w:eastAsia="宋体" w:cs="宋体"/>
          <w:color w:val="auto"/>
          <w:szCs w:val="21"/>
          <w:highlight w:val="none"/>
        </w:rPr>
      </w:pPr>
      <w:bookmarkStart w:id="772" w:name="OLE_LINK294"/>
      <w:r>
        <w:rPr>
          <w:rFonts w:hint="eastAsia" w:ascii="宋体" w:hAnsi="宋体" w:eastAsia="宋体" w:cs="宋体"/>
          <w:color w:val="auto"/>
          <w:szCs w:val="21"/>
          <w:highlight w:val="none"/>
        </w:rPr>
        <w:t>6、质保期内全部服务费（含更换零部件，达到招标文件及合同约定条件的更换货物或重做）和维修费用及乙方技术服务人员的一切费用由乙方全部自理，甲方有权向乙方索赔在质保期内设备缺陷导致的损失。质保期满后的维修，乙方同意只收取合理的零件成本费用。</w:t>
      </w:r>
    </w:p>
    <w:bookmarkEnd w:id="772"/>
    <w:p w14:paraId="3973C5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7、乙方应建立质量跟踪档案，</w:t>
      </w:r>
      <w:bookmarkStart w:id="773" w:name="OLE_LINK264"/>
      <w:r>
        <w:rPr>
          <w:rFonts w:hint="eastAsia" w:ascii="宋体" w:hAnsi="宋体" w:eastAsia="宋体" w:cs="宋体"/>
          <w:color w:val="auto"/>
          <w:szCs w:val="21"/>
          <w:highlight w:val="none"/>
        </w:rPr>
        <w:t>对甲方进行每月一次的定期回访（电话或现场）</w:t>
      </w:r>
      <w:bookmarkEnd w:id="773"/>
      <w:r>
        <w:rPr>
          <w:rFonts w:hint="eastAsia" w:ascii="宋体" w:hAnsi="宋体" w:eastAsia="宋体" w:cs="宋体"/>
          <w:color w:val="auto"/>
          <w:szCs w:val="21"/>
          <w:highlight w:val="none"/>
        </w:rPr>
        <w:t>，以保证货物的正常运行。</w:t>
      </w:r>
    </w:p>
    <w:p w14:paraId="0E4291B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8、乙方未按上述要求提供售后服务的，甲方有权委托其他第三方提供相关服务，因此产生的费用（</w:t>
      </w:r>
      <w:r>
        <w:rPr>
          <w:rFonts w:hint="eastAsia" w:ascii="宋体" w:hAnsi="宋体" w:eastAsia="宋体" w:cs="宋体"/>
          <w:color w:val="auto"/>
          <w:szCs w:val="21"/>
          <w:highlight w:val="none"/>
          <w:lang w:eastAsia="zh-Hans"/>
        </w:rPr>
        <w:t>包括但不限于本合同所约定的总价款、</w:t>
      </w:r>
      <w:r>
        <w:rPr>
          <w:rFonts w:hint="eastAsia" w:ascii="宋体" w:hAnsi="宋体" w:eastAsia="宋体" w:cs="宋体"/>
          <w:color w:val="auto"/>
          <w:szCs w:val="21"/>
          <w:highlight w:val="none"/>
        </w:rPr>
        <w:t>第三方提供服务的费用、</w:t>
      </w:r>
      <w:r>
        <w:rPr>
          <w:rFonts w:hint="eastAsia" w:ascii="宋体" w:hAnsi="宋体" w:eastAsia="宋体" w:cs="宋体"/>
          <w:color w:val="auto"/>
          <w:szCs w:val="21"/>
          <w:highlight w:val="none"/>
          <w:lang w:eastAsia="zh-Hans"/>
        </w:rPr>
        <w:t>甲方为维护自身权益所支付的律师费、诉讼费、</w:t>
      </w:r>
      <w:r>
        <w:rPr>
          <w:rFonts w:hint="eastAsia" w:ascii="宋体" w:hAnsi="宋体" w:eastAsia="宋体" w:cs="宋体"/>
          <w:color w:val="auto"/>
          <w:szCs w:val="21"/>
          <w:highlight w:val="none"/>
        </w:rPr>
        <w:t>财产保全责任保险费/担保费、</w:t>
      </w:r>
      <w:r>
        <w:rPr>
          <w:rFonts w:hint="eastAsia" w:ascii="宋体" w:hAnsi="宋体" w:eastAsia="宋体" w:cs="宋体"/>
          <w:color w:val="auto"/>
          <w:szCs w:val="21"/>
          <w:highlight w:val="none"/>
          <w:lang w:eastAsia="zh-Hans"/>
        </w:rPr>
        <w:t>鉴定费、差旅费等</w:t>
      </w:r>
      <w:r>
        <w:rPr>
          <w:rFonts w:hint="eastAsia" w:ascii="宋体" w:hAnsi="宋体" w:eastAsia="宋体" w:cs="宋体"/>
          <w:color w:val="auto"/>
          <w:szCs w:val="21"/>
          <w:highlight w:val="none"/>
        </w:rPr>
        <w:t>）全部由乙方承担，同时，乙方需根据本合同第二十一条的约定向甲方支付对应的违约金。</w:t>
      </w:r>
    </w:p>
    <w:p w14:paraId="376A5C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9、乙方需提供“设备故障率控制方式”的运维说明书，指导甲方对设备的运维管理，尽可能减少设备的故障率。</w:t>
      </w:r>
      <w:bookmarkStart w:id="774" w:name="OLE_LINK291"/>
    </w:p>
    <w:p w14:paraId="036A4D8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10、在本合同履行约定中，如乙方提供的货物（含零部件）生产厂家或制造商产品质保期及质保条件高于本合同约定的，乙方应按无条件执行并按负责联系及安排生产厂家或制造商进行质保。</w:t>
      </w:r>
    </w:p>
    <w:bookmarkEnd w:id="774"/>
    <w:p w14:paraId="026ADCAF">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第十五条 </w:t>
      </w:r>
      <w:bookmarkStart w:id="775" w:name="OLE_LINK94"/>
      <w:r>
        <w:rPr>
          <w:rFonts w:hint="eastAsia" w:ascii="宋体" w:hAnsi="宋体" w:eastAsia="宋体" w:cs="宋体"/>
          <w:b/>
          <w:color w:val="auto"/>
          <w:szCs w:val="21"/>
          <w:highlight w:val="none"/>
        </w:rPr>
        <w:t>项目运维</w:t>
      </w:r>
      <w:bookmarkEnd w:id="775"/>
    </w:p>
    <w:p w14:paraId="41FA7F3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1、光伏系统</w:t>
      </w:r>
      <w:bookmarkStart w:id="776" w:name="OLE_LINK486"/>
      <w:r>
        <w:rPr>
          <w:rFonts w:hint="eastAsia" w:ascii="宋体" w:hAnsi="宋体" w:eastAsia="宋体" w:cs="宋体"/>
          <w:color w:val="auto"/>
          <w:szCs w:val="21"/>
          <w:highlight w:val="none"/>
        </w:rPr>
        <w:t>在并网验收的同时（不迟于并网验收通过）</w:t>
      </w:r>
      <w:bookmarkEnd w:id="776"/>
      <w:bookmarkStart w:id="777" w:name="OLE_LINK295"/>
      <w:r>
        <w:rPr>
          <w:rFonts w:hint="eastAsia" w:ascii="宋体" w:hAnsi="宋体" w:eastAsia="宋体" w:cs="宋体"/>
          <w:color w:val="auto"/>
          <w:szCs w:val="21"/>
          <w:highlight w:val="none"/>
        </w:rPr>
        <w:t>，</w:t>
      </w:r>
      <w:bookmarkEnd w:id="777"/>
      <w:r>
        <w:rPr>
          <w:rFonts w:hint="eastAsia" w:ascii="宋体" w:hAnsi="宋体" w:eastAsia="宋体" w:cs="宋体"/>
          <w:color w:val="auto"/>
          <w:szCs w:val="21"/>
          <w:highlight w:val="none"/>
        </w:rPr>
        <w:t>乙方应结合用户需求及投标文件向甲方提交相应的运维制度，成立专门的管理团队，编制运维方案（方案内容包括但不限于运维日期、管理团队人员及分工、各子项目运维联系人、运维内容等），确保光伏设施的安全运行</w:t>
      </w:r>
      <w:bookmarkStart w:id="778" w:name="OLE_LINK296"/>
      <w:r>
        <w:rPr>
          <w:rFonts w:hint="eastAsia" w:ascii="宋体" w:hAnsi="宋体" w:eastAsia="宋体" w:cs="宋体"/>
          <w:color w:val="auto"/>
          <w:szCs w:val="21"/>
          <w:highlight w:val="none"/>
        </w:rPr>
        <w:t>；</w:t>
      </w:r>
      <w:bookmarkEnd w:id="778"/>
      <w:r>
        <w:rPr>
          <w:rFonts w:hint="eastAsia" w:ascii="宋体" w:hAnsi="宋体" w:eastAsia="宋体" w:cs="宋体"/>
          <w:color w:val="auto"/>
          <w:szCs w:val="21"/>
          <w:highlight w:val="none"/>
        </w:rPr>
        <w:t>乙方在质保期内需配合甲方进行运维管理。</w:t>
      </w:r>
    </w:p>
    <w:p w14:paraId="21C03238">
      <w:pPr>
        <w:spacing w:line="360" w:lineRule="auto"/>
        <w:ind w:firstLine="420" w:firstLineChars="200"/>
        <w:rPr>
          <w:rFonts w:ascii="宋体" w:hAnsi="宋体" w:eastAsia="宋体" w:cs="宋体"/>
          <w:color w:val="auto"/>
          <w:szCs w:val="21"/>
          <w:highlight w:val="none"/>
        </w:rPr>
      </w:pPr>
      <w:bookmarkStart w:id="779" w:name="OLE_LINK488"/>
      <w:r>
        <w:rPr>
          <w:rFonts w:hint="eastAsia" w:ascii="宋体" w:hAnsi="宋体" w:eastAsia="宋体" w:cs="宋体"/>
          <w:color w:val="auto"/>
          <w:szCs w:val="21"/>
          <w:highlight w:val="none"/>
        </w:rPr>
        <w:t>2、运维基本要求：</w:t>
      </w:r>
    </w:p>
    <w:p w14:paraId="5271A779">
      <w:pPr>
        <w:spacing w:line="360" w:lineRule="auto"/>
        <w:ind w:firstLine="420" w:firstLineChars="200"/>
        <w:rPr>
          <w:rFonts w:ascii="宋体" w:hAnsi="宋体" w:eastAsia="宋体" w:cs="宋体"/>
          <w:color w:val="auto"/>
          <w:szCs w:val="21"/>
          <w:highlight w:val="none"/>
        </w:rPr>
      </w:pPr>
      <w:bookmarkStart w:id="780" w:name="OLE_LINK487"/>
      <w:r>
        <w:rPr>
          <w:rFonts w:hint="eastAsia" w:ascii="宋体" w:hAnsi="宋体" w:eastAsia="宋体" w:cs="宋体"/>
          <w:color w:val="auto"/>
          <w:szCs w:val="21"/>
          <w:highlight w:val="none"/>
        </w:rPr>
        <w:t>（1）乙方负责对项目运行的安全维护</w:t>
      </w:r>
    </w:p>
    <w:p w14:paraId="79113C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①严格按照国家及地方有关规定规范、用户需求书及投标文件承诺的要求进行项目设备设施运行和维护。</w:t>
      </w:r>
    </w:p>
    <w:p w14:paraId="14B475B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②每月定期不少于</w:t>
      </w:r>
      <w:bookmarkStart w:id="781" w:name="OLE_LINK489"/>
      <w:r>
        <w:rPr>
          <w:rFonts w:hint="eastAsia" w:ascii="宋体" w:hAnsi="宋体" w:eastAsia="宋体" w:cs="宋体"/>
          <w:color w:val="auto"/>
          <w:szCs w:val="21"/>
          <w:highlight w:val="none"/>
          <w:u w:val="single"/>
        </w:rPr>
        <w:t xml:space="preserve"> 1 </w:t>
      </w:r>
      <w:bookmarkEnd w:id="781"/>
      <w:r>
        <w:rPr>
          <w:rFonts w:hint="eastAsia" w:ascii="宋体" w:hAnsi="宋体" w:eastAsia="宋体" w:cs="宋体"/>
          <w:color w:val="auto"/>
          <w:szCs w:val="21"/>
          <w:highlight w:val="none"/>
        </w:rPr>
        <w:t>次进行设备现场维护并提交相应记录，现场维护至少包括以下内容：</w:t>
      </w:r>
    </w:p>
    <w:p w14:paraId="1172EE4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a.检查各仪表是否有效，按相关要求定期添加更换分析剂；</w:t>
      </w:r>
    </w:p>
    <w:p w14:paraId="1C71BE7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b.检查各设备的运行状态和主要技术参数，判断运行是否正常；</w:t>
      </w:r>
    </w:p>
    <w:p w14:paraId="46A11A5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c.检查设备情况，检查内外部管线路是否通畅，组件是否清洁，必要时进行清洗，检查自动清洗装置是否运行正常；</w:t>
      </w:r>
    </w:p>
    <w:p w14:paraId="261DB7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d.检查站房内防水、电路系统、通讯系统是否正常；</w:t>
      </w:r>
    </w:p>
    <w:p w14:paraId="3EB2D05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e.检查光伏组件完整性、支架外观；</w:t>
      </w:r>
    </w:p>
    <w:p w14:paraId="3BA5C2B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f.检查消防设施设备状态；</w:t>
      </w:r>
    </w:p>
    <w:p w14:paraId="343624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g.对数据存储／控制系统/通讯系统/计量系统工作状态进行检查，观察数据采集传输系统、计量运行情况，对数据进行抽样检查，对比分析数据是否准确、一致；</w:t>
      </w:r>
    </w:p>
    <w:p w14:paraId="0C2E18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h.检查项目接地情况、防雷措施、防水情况等。</w:t>
      </w:r>
    </w:p>
    <w:p w14:paraId="32DDEE3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③负责运营维护期间的项目照管，对项目设备设施出现的毁损、灭失、耗材等无条件（含不可抗力）进行更换（注：原厂供应）、维修等，确保项目运行正常并承担费用。</w:t>
      </w:r>
    </w:p>
    <w:p w14:paraId="678A4CE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（2）乙方负责设备与主要器材的故障处理</w:t>
      </w:r>
    </w:p>
    <w:p w14:paraId="361D40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①项目发现故障或接到故障通知，应在1小时内响应，3小时内赶到现场进行处理；对故障通知的处理结果要及时反馈。</w:t>
      </w:r>
    </w:p>
    <w:p w14:paraId="55191B6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②设备若出现故障，2日内可修复的，由乙方进行现场维修；2日内不可修复的应更换设备，保障设备的正常运行。</w:t>
      </w:r>
    </w:p>
    <w:p w14:paraId="6247C8E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③项目设备出现异常时，需即时填写异常情况报告并提供给甲方及相关监督单位。</w:t>
      </w:r>
    </w:p>
    <w:p w14:paraId="4A7609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（3）乙方需对项目设备运营、维护、故障处理、异常数据、校准比对等运营管理工作填写相关报告。报告分现场文档和上交甲方文档两部分，包括但不限于有：</w:t>
      </w:r>
    </w:p>
    <w:p w14:paraId="0C6D3C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①现场保存文档：《现场巡检记录表》、《维护维修记录表》、《异常情况报告表》、《异常情况处理表》等。</w:t>
      </w:r>
    </w:p>
    <w:p w14:paraId="5921BD5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②上交甲方文档：《月维护报告》、《异常情况报告表》、《异常情况处理表》等。</w:t>
      </w:r>
    </w:p>
    <w:p w14:paraId="4F40E40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3、在运维期间，乙方无权擅自停运项目。若乙方因项目设施维护之目的，需应提前10日向甲方提交停运的书面申请，经甲方批准后实施。</w:t>
      </w:r>
    </w:p>
    <w:p w14:paraId="596F84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如因乙方的原因导致项目停运、发电量减损的，则乙方需要赔偿甲方相应时段损失的发电量相应售电收入损失及相应各类补贴损失，其中损失发电量的计算标准按照前一个自然月日均发电量予以折算；导致设备设施毁损的，还应承担恢复责任。</w:t>
      </w:r>
    </w:p>
    <w:p w14:paraId="4E91FA6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5、项目的移交</w:t>
      </w:r>
    </w:p>
    <w:p w14:paraId="6F57FE2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（1）移交日期</w:t>
      </w:r>
    </w:p>
    <w:p w14:paraId="3497EC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本项目运营维护期间届满后，乙方应将本项目无附加条件的移交给甲方。</w:t>
      </w:r>
    </w:p>
    <w:p w14:paraId="294160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本项目的移交日为：本项目下全部子项目并网审批通过开始正式送电之日起一年期满后的第二天。</w:t>
      </w:r>
    </w:p>
    <w:p w14:paraId="7038DDB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（2）移交范围</w:t>
      </w:r>
    </w:p>
    <w:p w14:paraId="61C6BE1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①乙方应将以下范围，无附加条件的移交给甲方或其指定的执行机构：</w:t>
      </w:r>
    </w:p>
    <w:p w14:paraId="6DE28E5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设备设施、所有零备件和配件、运营和维护项目设施所要求的在用各类管理章程和运营手册知识产权等无形资产（包括以许可方式取得的）包括专有技术、生产档案、技术档案、文秘档案、图书资料、设计图纸、文件和其它资料，以使本项目能平稳地正常地继续运营。</w:t>
      </w:r>
    </w:p>
    <w:p w14:paraId="46F583E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②涉及到本项目的任何移交，甲方与乙方必须签署移交备忘录，以示移交完毕。</w:t>
      </w:r>
    </w:p>
    <w:p w14:paraId="439198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（3）移交程序及条件</w:t>
      </w:r>
    </w:p>
    <w:p w14:paraId="23383F4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①在本项目运营维护届满前三个月内，甲乙双方须成立本项目移交小组，负责商定项目移交的程序与内容，并处理项目移交过程中的各项事宜。</w:t>
      </w:r>
    </w:p>
    <w:p w14:paraId="2BF4590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②在本项目的移交日前1个月内，乙方应对本项目进行一次恢复性检查。其恢复性检查时间与内容安排应得到甲方认可，恢复性检查后乙方应在甲方参与下对本项目进行性能测试，经检验的功能参数应恢复至良好正常运行状态。乙方在本项目建设期间所安装设备不符合国家和合同规定的，甲方有权要求乙方在移交前按规定更换合格设备。</w:t>
      </w:r>
    </w:p>
    <w:p w14:paraId="6703DD2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③在本项目移交日前1个月内，乙方应免费对甲方确定的运营机构的人员进行培训，以便在本项目移交后，这些人员能从事本项目的技术及管理工作和保证项目的正常运作。</w:t>
      </w:r>
    </w:p>
    <w:bookmarkEnd w:id="779"/>
    <w:bookmarkEnd w:id="780"/>
    <w:p w14:paraId="13E9B98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w:t>
      </w:r>
      <w:bookmarkStart w:id="782" w:name="OLE_LINK491"/>
      <w:r>
        <w:rPr>
          <w:rFonts w:hint="eastAsia" w:ascii="宋体" w:hAnsi="宋体" w:eastAsia="宋体" w:cs="宋体"/>
          <w:color w:val="auto"/>
          <w:szCs w:val="21"/>
          <w:highlight w:val="none"/>
        </w:rPr>
        <w:t>运维期后质保期内</w:t>
      </w:r>
      <w:bookmarkEnd w:id="782"/>
      <w:r>
        <w:rPr>
          <w:rFonts w:hint="eastAsia" w:ascii="宋体" w:hAnsi="宋体" w:eastAsia="宋体" w:cs="宋体"/>
          <w:color w:val="auto"/>
          <w:szCs w:val="21"/>
          <w:highlight w:val="none"/>
        </w:rPr>
        <w:t>乙方应确保光伏系统安全、稳定、可靠运行，定期派人检查、监管和记录项目的运行情况，并定期汇总给甲方。</w:t>
      </w:r>
    </w:p>
    <w:p w14:paraId="083C72D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7、乙方承诺对光伏系统提供质保期内维修保养服务，并承担维修保养费用。</w:t>
      </w:r>
    </w:p>
    <w:p w14:paraId="4716B393">
      <w:pPr>
        <w:spacing w:line="360" w:lineRule="auto"/>
        <w:ind w:firstLine="422" w:firstLineChars="200"/>
        <w:outlineLvl w:val="1"/>
        <w:rPr>
          <w:rFonts w:ascii="宋体" w:hAnsi="宋体" w:eastAsia="宋体" w:cs="宋体"/>
          <w:b/>
          <w:color w:val="auto"/>
          <w:szCs w:val="21"/>
          <w:highlight w:val="none"/>
        </w:rPr>
      </w:pPr>
      <w:bookmarkStart w:id="783" w:name="OLE_LINK293"/>
      <w:r>
        <w:rPr>
          <w:rFonts w:hint="eastAsia" w:ascii="宋体" w:hAnsi="宋体" w:eastAsia="宋体" w:cs="宋体"/>
          <w:b/>
          <w:color w:val="auto"/>
          <w:szCs w:val="21"/>
          <w:highlight w:val="none"/>
        </w:rPr>
        <w:t xml:space="preserve">第十六条 </w:t>
      </w:r>
      <w:bookmarkStart w:id="784" w:name="OLE_LINK95"/>
      <w:r>
        <w:rPr>
          <w:rFonts w:hint="eastAsia" w:ascii="宋体" w:hAnsi="宋体" w:eastAsia="宋体" w:cs="宋体"/>
          <w:b/>
          <w:color w:val="auto"/>
          <w:szCs w:val="21"/>
          <w:highlight w:val="none"/>
        </w:rPr>
        <w:t>履约担保</w:t>
      </w:r>
      <w:bookmarkEnd w:id="783"/>
      <w:bookmarkEnd w:id="784"/>
    </w:p>
    <w:p w14:paraId="539933E6">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1、乙方应当根据招标文件的规定在签订本合同前向</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提供履约担保，履约担保形式及金额由乙方从以下方式中任选一种：</w:t>
      </w:r>
    </w:p>
    <w:p w14:paraId="669434BA">
      <w:pPr>
        <w:pStyle w:val="21"/>
        <w:tabs>
          <w:tab w:val="left" w:pos="5504"/>
        </w:tabs>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kern w:val="0"/>
          <w:sz w:val="21"/>
          <w:szCs w:val="21"/>
          <w:highlight w:val="none"/>
          <w:lang w:bidi="ar"/>
        </w:rPr>
        <w:t>□</w:t>
      </w:r>
      <w:r>
        <w:rPr>
          <w:rFonts w:hint="eastAsia" w:hAnsi="宋体" w:cs="宋体"/>
          <w:b w:val="0"/>
          <w:bCs w:val="0"/>
          <w:color w:val="auto"/>
          <w:sz w:val="21"/>
          <w:szCs w:val="21"/>
          <w:highlight w:val="none"/>
        </w:rPr>
        <w:t>履约保证金（银行转账形式）金额为</w:t>
      </w:r>
      <w:r>
        <w:rPr>
          <w:rFonts w:hint="eastAsia" w:hAnsi="宋体" w:cs="宋体"/>
          <w:b w:val="0"/>
          <w:bCs w:val="0"/>
          <w:color w:val="auto"/>
          <w:sz w:val="21"/>
          <w:szCs w:val="21"/>
          <w:highlight w:val="none"/>
          <w:u w:val="single"/>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rPr>
        <w:t xml:space="preserve"> </w:t>
      </w:r>
      <w:r>
        <w:rPr>
          <w:rFonts w:hint="eastAsia" w:hAnsi="宋体" w:cs="宋体"/>
          <w:b w:val="0"/>
          <w:bCs w:val="0"/>
          <w:color w:val="auto"/>
          <w:sz w:val="21"/>
          <w:szCs w:val="21"/>
          <w:highlight w:val="none"/>
        </w:rPr>
        <w:t>；</w:t>
      </w:r>
    </w:p>
    <w:p w14:paraId="694F8BD7">
      <w:pPr>
        <w:pStyle w:val="21"/>
        <w:tabs>
          <w:tab w:val="left" w:pos="4657"/>
          <w:tab w:val="left" w:pos="4874"/>
        </w:tabs>
        <w:adjustRightInd/>
        <w:spacing w:line="360" w:lineRule="auto"/>
        <w:ind w:right="0" w:firstLine="420" w:firstLineChars="200"/>
        <w:jc w:val="left"/>
        <w:rPr>
          <w:rFonts w:hAnsi="宋体" w:cs="宋体"/>
          <w:b w:val="0"/>
          <w:bCs w:val="0"/>
          <w:color w:val="auto"/>
          <w:sz w:val="21"/>
          <w:szCs w:val="21"/>
          <w:highlight w:val="none"/>
        </w:rPr>
      </w:pPr>
      <w:bookmarkStart w:id="785" w:name="OLE_LINK265"/>
      <w:r>
        <w:rPr>
          <w:rFonts w:hint="eastAsia" w:hAnsi="宋体" w:cs="宋体"/>
          <w:b w:val="0"/>
          <w:bCs w:val="0"/>
          <w:color w:val="auto"/>
          <w:kern w:val="0"/>
          <w:sz w:val="21"/>
          <w:szCs w:val="21"/>
          <w:highlight w:val="none"/>
          <w:lang w:bidi="ar"/>
        </w:rPr>
        <w:t>□</w:t>
      </w:r>
      <w:bookmarkEnd w:id="785"/>
      <w:r>
        <w:rPr>
          <w:rFonts w:hint="eastAsia" w:hAnsi="宋体" w:cs="宋体"/>
          <w:b w:val="0"/>
          <w:bCs w:val="0"/>
          <w:color w:val="auto"/>
          <w:sz w:val="21"/>
          <w:szCs w:val="21"/>
          <w:highlight w:val="none"/>
        </w:rPr>
        <w:t>银行不可撤销履约保函金额为</w:t>
      </w:r>
      <w:r>
        <w:rPr>
          <w:rFonts w:hint="eastAsia" w:hAnsi="宋体" w:cs="宋体"/>
          <w:b w:val="0"/>
          <w:bCs w:val="0"/>
          <w:color w:val="auto"/>
          <w:sz w:val="21"/>
          <w:szCs w:val="21"/>
          <w:highlight w:val="none"/>
          <w:u w:val="single"/>
          <w:lang w:val="en-US"/>
        </w:rPr>
        <w:t xml:space="preserve">人民币      </w:t>
      </w:r>
      <w:r>
        <w:rPr>
          <w:rFonts w:hint="eastAsia" w:hAnsi="宋体" w:cs="宋体"/>
          <w:b w:val="0"/>
          <w:bCs w:val="0"/>
          <w:color w:val="auto"/>
          <w:sz w:val="21"/>
          <w:szCs w:val="21"/>
          <w:highlight w:val="none"/>
        </w:rPr>
        <w:t>；</w:t>
      </w:r>
    </w:p>
    <w:p w14:paraId="7D468080">
      <w:pPr>
        <w:autoSpaceDE w:val="0"/>
        <w:autoSpaceDN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29AACF49">
      <w:pPr>
        <w:pStyle w:val="21"/>
        <w:tabs>
          <w:tab w:val="left" w:pos="4657"/>
          <w:tab w:val="left" w:pos="4874"/>
        </w:tabs>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kern w:val="0"/>
          <w:sz w:val="21"/>
          <w:szCs w:val="21"/>
          <w:highlight w:val="none"/>
          <w:lang w:bidi="ar"/>
        </w:rPr>
        <w:t>□</w:t>
      </w:r>
      <w:r>
        <w:rPr>
          <w:rFonts w:hint="eastAsia" w:hAnsi="宋体" w:cs="宋体"/>
          <w:b w:val="0"/>
          <w:bCs w:val="0"/>
          <w:color w:val="auto"/>
          <w:sz w:val="21"/>
          <w:szCs w:val="21"/>
          <w:highlight w:val="none"/>
        </w:rPr>
        <w:t>担保公司履约担保书金额为</w:t>
      </w:r>
      <w:r>
        <w:rPr>
          <w:rFonts w:hint="eastAsia" w:hAnsi="宋体" w:cs="宋体"/>
          <w:b w:val="0"/>
          <w:bCs w:val="0"/>
          <w:color w:val="auto"/>
          <w:sz w:val="21"/>
          <w:szCs w:val="21"/>
          <w:highlight w:val="none"/>
          <w:u w:val="single"/>
          <w:lang w:val="en-US"/>
        </w:rPr>
        <w:t xml:space="preserve">人民币 </w:t>
      </w:r>
      <w:r>
        <w:rPr>
          <w:rFonts w:hint="eastAsia" w:hAnsi="宋体" w:cs="宋体"/>
          <w:b w:val="0"/>
          <w:bCs w:val="0"/>
          <w:color w:val="auto"/>
          <w:sz w:val="21"/>
          <w:szCs w:val="21"/>
          <w:highlight w:val="none"/>
        </w:rPr>
        <w:t>；</w:t>
      </w:r>
    </w:p>
    <w:p w14:paraId="21C6E645">
      <w:pPr>
        <w:pStyle w:val="21"/>
        <w:tabs>
          <w:tab w:val="left" w:pos="7171"/>
        </w:tabs>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2、履约担保用</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补偿甲方因乙方不能完全履行其合同义务而蒙受的损失或其他合同约定的事项，如发生下列任一</w:t>
      </w:r>
      <w:r>
        <w:rPr>
          <w:rFonts w:hint="eastAsia" w:hAnsi="宋体" w:cs="宋体"/>
          <w:b w:val="0"/>
          <w:bCs w:val="0"/>
          <w:color w:val="auto"/>
          <w:sz w:val="21"/>
          <w:szCs w:val="21"/>
          <w:highlight w:val="none"/>
          <w:lang w:val="en-US"/>
        </w:rPr>
        <w:t>情</w:t>
      </w:r>
      <w:r>
        <w:rPr>
          <w:rFonts w:hint="eastAsia" w:hAnsi="宋体" w:cs="宋体"/>
          <w:b w:val="0"/>
          <w:bCs w:val="0"/>
          <w:color w:val="auto"/>
          <w:sz w:val="21"/>
          <w:szCs w:val="21"/>
          <w:highlight w:val="none"/>
        </w:rPr>
        <w:t>况时，甲方除有权依合同追究乙方给甲方造成的损失责任外，同时有权提取履约担保并进行相应处理：</w:t>
      </w:r>
    </w:p>
    <w:p w14:paraId="79CF414B">
      <w:pPr>
        <w:pStyle w:val="21"/>
        <w:numPr>
          <w:ilvl w:val="0"/>
          <w:numId w:val="9"/>
        </w:numPr>
        <w:adjustRightInd/>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乙方将合同项下乙方的权利义务全部转让给第三方，或未经</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书面同意将部分权利义务转让给第三方的，</w:t>
      </w:r>
      <w:r>
        <w:rPr>
          <w:rFonts w:hint="eastAsia" w:hAnsi="宋体" w:cs="宋体"/>
          <w:b w:val="0"/>
          <w:bCs w:val="0"/>
          <w:color w:val="auto"/>
          <w:sz w:val="21"/>
          <w:szCs w:val="21"/>
          <w:highlight w:val="none"/>
          <w:lang w:val="en-US"/>
        </w:rPr>
        <w:t>甲方</w:t>
      </w:r>
      <w:r>
        <w:rPr>
          <w:rFonts w:hint="eastAsia" w:hAnsi="宋体" w:cs="宋体"/>
          <w:b w:val="0"/>
          <w:bCs w:val="0"/>
          <w:color w:val="auto"/>
          <w:sz w:val="21"/>
          <w:szCs w:val="21"/>
          <w:highlight w:val="none"/>
        </w:rPr>
        <w:t>有权没收其履约担保。</w:t>
      </w:r>
    </w:p>
    <w:p w14:paraId="5AE13D5B">
      <w:pPr>
        <w:pStyle w:val="21"/>
        <w:numPr>
          <w:ilvl w:val="0"/>
          <w:numId w:val="9"/>
        </w:numPr>
        <w:adjustRightInd/>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在合同履行期间，乙方怠</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履行合同义务，经甲方通知或要求</w:t>
      </w:r>
      <w:r>
        <w:rPr>
          <w:rFonts w:hint="eastAsia" w:hAnsi="宋体" w:cs="宋体"/>
          <w:b w:val="0"/>
          <w:bCs w:val="0"/>
          <w:color w:val="auto"/>
          <w:sz w:val="21"/>
          <w:szCs w:val="21"/>
          <w:highlight w:val="none"/>
          <w:lang w:val="en-US"/>
        </w:rPr>
        <w:t>限期整改</w:t>
      </w:r>
      <w:r>
        <w:rPr>
          <w:rFonts w:hint="eastAsia" w:hAnsi="宋体" w:cs="宋体"/>
          <w:b w:val="0"/>
          <w:bCs w:val="0"/>
          <w:color w:val="auto"/>
          <w:sz w:val="21"/>
          <w:szCs w:val="21"/>
          <w:highlight w:val="none"/>
        </w:rPr>
        <w:t>后，</w:t>
      </w:r>
      <w:r>
        <w:rPr>
          <w:rFonts w:hint="eastAsia" w:hAnsi="宋体" w:cs="宋体"/>
          <w:b w:val="0"/>
          <w:bCs w:val="0"/>
          <w:color w:val="auto"/>
          <w:sz w:val="21"/>
          <w:szCs w:val="21"/>
          <w:highlight w:val="none"/>
          <w:lang w:val="en-US"/>
        </w:rPr>
        <w:t>乙方</w:t>
      </w:r>
      <w:r>
        <w:rPr>
          <w:rFonts w:hint="eastAsia" w:hAnsi="宋体" w:cs="宋体"/>
          <w:b w:val="0"/>
          <w:bCs w:val="0"/>
          <w:color w:val="auto"/>
          <w:sz w:val="21"/>
          <w:szCs w:val="21"/>
          <w:highlight w:val="none"/>
        </w:rPr>
        <w:t>仍拒不改正的，甲方</w:t>
      </w:r>
      <w:r>
        <w:rPr>
          <w:rFonts w:hint="eastAsia" w:hAnsi="宋体" w:cs="宋体"/>
          <w:b w:val="0"/>
          <w:bCs w:val="0"/>
          <w:color w:val="auto"/>
          <w:sz w:val="21"/>
          <w:szCs w:val="21"/>
          <w:highlight w:val="none"/>
          <w:lang w:val="en-US"/>
        </w:rPr>
        <w:t>有权</w:t>
      </w:r>
      <w:r>
        <w:rPr>
          <w:rFonts w:hint="eastAsia" w:hAnsi="宋体" w:cs="宋体"/>
          <w:b w:val="0"/>
          <w:bCs w:val="0"/>
          <w:color w:val="auto"/>
          <w:sz w:val="21"/>
          <w:szCs w:val="21"/>
          <w:highlight w:val="none"/>
        </w:rPr>
        <w:t>没收其履约担保。</w:t>
      </w:r>
    </w:p>
    <w:p w14:paraId="23F37986">
      <w:pPr>
        <w:pStyle w:val="21"/>
        <w:numPr>
          <w:ilvl w:val="0"/>
          <w:numId w:val="9"/>
        </w:numPr>
        <w:adjustRightInd/>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在合同履行期间，因乙方货物、</w:t>
      </w:r>
      <w:r>
        <w:rPr>
          <w:rFonts w:hint="eastAsia" w:hAnsi="宋体" w:cs="宋体"/>
          <w:b w:val="0"/>
          <w:bCs w:val="0"/>
          <w:color w:val="auto"/>
          <w:sz w:val="21"/>
          <w:szCs w:val="21"/>
          <w:highlight w:val="none"/>
          <w:lang w:val="en-US"/>
        </w:rPr>
        <w:t>运营维护</w:t>
      </w:r>
      <w:r>
        <w:rPr>
          <w:rFonts w:hint="eastAsia" w:hAnsi="宋体" w:cs="宋体"/>
          <w:b w:val="0"/>
          <w:bCs w:val="0"/>
          <w:color w:val="auto"/>
          <w:sz w:val="21"/>
          <w:szCs w:val="21"/>
          <w:highlight w:val="none"/>
        </w:rPr>
        <w:t>服务质量问题造成损害、侵权损失（包括但不限于甲方（含其人员）经济损失、乙方所</w:t>
      </w:r>
      <w:r>
        <w:rPr>
          <w:rFonts w:hint="eastAsia" w:hAnsi="宋体" w:cs="宋体"/>
          <w:b w:val="0"/>
          <w:bCs w:val="0"/>
          <w:color w:val="auto"/>
          <w:sz w:val="21"/>
          <w:szCs w:val="21"/>
          <w:highlight w:val="none"/>
          <w:lang w:val="en-US"/>
        </w:rPr>
        <w:t>雇</w:t>
      </w:r>
      <w:r>
        <w:rPr>
          <w:rFonts w:hint="eastAsia" w:hAnsi="宋体" w:cs="宋体"/>
          <w:b w:val="0"/>
          <w:bCs w:val="0"/>
          <w:color w:val="auto"/>
          <w:sz w:val="21"/>
          <w:szCs w:val="21"/>
          <w:highlight w:val="none"/>
        </w:rPr>
        <w:t>人员及第三人人身财产损失等）、拖欠供应商货款或与其所</w:t>
      </w:r>
      <w:r>
        <w:rPr>
          <w:rFonts w:hint="eastAsia" w:hAnsi="宋体" w:cs="宋体"/>
          <w:b w:val="0"/>
          <w:bCs w:val="0"/>
          <w:color w:val="auto"/>
          <w:sz w:val="21"/>
          <w:szCs w:val="21"/>
          <w:highlight w:val="none"/>
          <w:lang w:val="en-US"/>
        </w:rPr>
        <w:t>雇</w:t>
      </w:r>
      <w:r>
        <w:rPr>
          <w:rFonts w:hint="eastAsia" w:hAnsi="宋体" w:cs="宋体"/>
          <w:b w:val="0"/>
          <w:bCs w:val="0"/>
          <w:color w:val="auto"/>
          <w:sz w:val="21"/>
          <w:szCs w:val="21"/>
          <w:highlight w:val="none"/>
        </w:rPr>
        <w:t>用员工发生劳资纠纷、上访、闹事或其他影响甲方生产经营等情况而其未及时妥善处理的，甲方有权使用履约担保予以支付或作出相应处理，由此产生的一切法律后果由乙方承担。</w:t>
      </w:r>
    </w:p>
    <w:p w14:paraId="6D77B5CB">
      <w:pPr>
        <w:pStyle w:val="21"/>
        <w:numPr>
          <w:ilvl w:val="0"/>
          <w:numId w:val="9"/>
        </w:numPr>
        <w:adjustRightInd/>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在合同履行期间，乙方违约产生的违约金、赔偿、罚款或其他应付费用等款项，甲方有权</w:t>
      </w:r>
      <w:r>
        <w:rPr>
          <w:rFonts w:hint="eastAsia" w:hAnsi="宋体" w:cs="宋体"/>
          <w:b w:val="0"/>
          <w:bCs w:val="0"/>
          <w:color w:val="auto"/>
          <w:sz w:val="21"/>
          <w:szCs w:val="21"/>
          <w:highlight w:val="none"/>
          <w:lang w:val="en-US"/>
        </w:rPr>
        <w:t>直接</w:t>
      </w:r>
      <w:r>
        <w:rPr>
          <w:rFonts w:hint="eastAsia" w:hAnsi="宋体" w:cs="宋体"/>
          <w:b w:val="0"/>
          <w:bCs w:val="0"/>
          <w:color w:val="auto"/>
          <w:sz w:val="21"/>
          <w:szCs w:val="21"/>
          <w:highlight w:val="none"/>
        </w:rPr>
        <w:t>从未付货物款项中扣除或使用履约担保予以支付。</w:t>
      </w:r>
    </w:p>
    <w:p w14:paraId="15DEAFAA">
      <w:pPr>
        <w:pStyle w:val="21"/>
        <w:numPr>
          <w:ilvl w:val="0"/>
          <w:numId w:val="9"/>
        </w:numPr>
        <w:adjustRightInd/>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合同期内，乙方不能及时完成合同某项义务的，甲方有权使用履约担保用于处理该项</w:t>
      </w:r>
      <w:r>
        <w:rPr>
          <w:rFonts w:hint="eastAsia" w:hAnsi="宋体" w:cs="宋体"/>
          <w:b w:val="0"/>
          <w:bCs w:val="0"/>
          <w:color w:val="auto"/>
          <w:sz w:val="21"/>
          <w:szCs w:val="21"/>
          <w:highlight w:val="none"/>
          <w:lang w:val="en-US"/>
        </w:rPr>
        <w:t>目工</w:t>
      </w:r>
      <w:r>
        <w:rPr>
          <w:rFonts w:hint="eastAsia" w:hAnsi="宋体" w:cs="宋体"/>
          <w:b w:val="0"/>
          <w:bCs w:val="0"/>
          <w:color w:val="auto"/>
          <w:sz w:val="21"/>
          <w:szCs w:val="21"/>
          <w:highlight w:val="none"/>
        </w:rPr>
        <w:t>作。</w:t>
      </w:r>
    </w:p>
    <w:p w14:paraId="36063AB8">
      <w:pPr>
        <w:pStyle w:val="21"/>
        <w:numPr>
          <w:ilvl w:val="0"/>
          <w:numId w:val="9"/>
        </w:numPr>
        <w:adjustRightInd/>
        <w:spacing w:line="360" w:lineRule="auto"/>
        <w:ind w:right="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其他根据本合同约定或法律规定，甲方</w:t>
      </w:r>
      <w:r>
        <w:rPr>
          <w:rFonts w:hint="eastAsia" w:hAnsi="宋体" w:cs="宋体"/>
          <w:b w:val="0"/>
          <w:bCs w:val="0"/>
          <w:color w:val="auto"/>
          <w:sz w:val="21"/>
          <w:szCs w:val="21"/>
          <w:highlight w:val="none"/>
          <w:lang w:val="en-US"/>
        </w:rPr>
        <w:t>可</w:t>
      </w:r>
      <w:r>
        <w:rPr>
          <w:rFonts w:hint="eastAsia" w:hAnsi="宋体" w:cs="宋体"/>
          <w:b w:val="0"/>
          <w:bCs w:val="0"/>
          <w:color w:val="auto"/>
          <w:sz w:val="21"/>
          <w:szCs w:val="21"/>
          <w:highlight w:val="none"/>
        </w:rPr>
        <w:t>使用履约担保的情形。</w:t>
      </w:r>
    </w:p>
    <w:p w14:paraId="78FD85BB">
      <w:pPr>
        <w:pStyle w:val="21"/>
        <w:numPr>
          <w:ilvl w:val="255"/>
          <w:numId w:val="0"/>
        </w:numPr>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3、在</w:t>
      </w:r>
      <w:r>
        <w:rPr>
          <w:rFonts w:hint="eastAsia" w:hAnsi="宋体" w:cs="宋体"/>
          <w:b w:val="0"/>
          <w:bCs w:val="0"/>
          <w:color w:val="auto"/>
          <w:sz w:val="21"/>
          <w:szCs w:val="21"/>
          <w:highlight w:val="none"/>
          <w:lang w:val="en-US"/>
        </w:rPr>
        <w:t>运维期结束，乙方按合同约定完成运维期届满前的全部义务</w:t>
      </w:r>
      <w:r>
        <w:rPr>
          <w:rFonts w:hint="eastAsia" w:hAnsi="宋体" w:cs="宋体"/>
          <w:b w:val="0"/>
          <w:bCs w:val="0"/>
          <w:color w:val="auto"/>
          <w:sz w:val="21"/>
          <w:szCs w:val="21"/>
          <w:highlight w:val="none"/>
        </w:rPr>
        <w:t>后，经甲方确认，乙方可向甲方提交退回履约担保的申请。甲方审核无异议后，办理履约担保退还手续，履约保证金形式提交的履约担保余额，退回时一律以银行转账的形式无息退回到乙方的账户。</w:t>
      </w:r>
    </w:p>
    <w:p w14:paraId="38BFC740">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4、如乙方提供不可撤销银行履约保函（或履约保证保险或</w:t>
      </w:r>
      <w:r>
        <w:rPr>
          <w:rFonts w:hint="eastAsia" w:hAnsi="宋体" w:cs="宋体"/>
          <w:b w:val="0"/>
          <w:bCs w:val="0"/>
          <w:color w:val="auto"/>
          <w:sz w:val="21"/>
          <w:szCs w:val="21"/>
          <w:highlight w:val="none"/>
          <w:lang w:val="en-US"/>
        </w:rPr>
        <w:t>担</w:t>
      </w:r>
      <w:r>
        <w:rPr>
          <w:rFonts w:hint="eastAsia" w:hAnsi="宋体" w:cs="宋体"/>
          <w:b w:val="0"/>
          <w:bCs w:val="0"/>
          <w:color w:val="auto"/>
          <w:sz w:val="21"/>
          <w:szCs w:val="21"/>
          <w:highlight w:val="none"/>
        </w:rPr>
        <w:t>保公司履约担保书）作为履约担保的，不可</w:t>
      </w:r>
      <w:r>
        <w:rPr>
          <w:rFonts w:hint="eastAsia" w:hAnsi="宋体" w:cs="宋体"/>
          <w:b w:val="0"/>
          <w:bCs w:val="0"/>
          <w:color w:val="auto"/>
          <w:sz w:val="21"/>
          <w:szCs w:val="21"/>
          <w:highlight w:val="none"/>
          <w:lang w:val="en-US"/>
        </w:rPr>
        <w:t>撤</w:t>
      </w:r>
      <w:r>
        <w:rPr>
          <w:rFonts w:hint="eastAsia" w:hAnsi="宋体" w:cs="宋体"/>
          <w:b w:val="0"/>
          <w:bCs w:val="0"/>
          <w:color w:val="auto"/>
          <w:sz w:val="21"/>
          <w:szCs w:val="21"/>
          <w:highlight w:val="none"/>
        </w:rPr>
        <w:t>销银行履约保函（或履约保证保险或担保公司履约担保书）应从合同签</w:t>
      </w:r>
      <w:bookmarkStart w:id="786" w:name="OLE_LINK444"/>
      <w:r>
        <w:rPr>
          <w:rFonts w:hint="eastAsia" w:hAnsi="宋体" w:cs="宋体"/>
          <w:b w:val="0"/>
          <w:bCs w:val="0"/>
          <w:color w:val="auto"/>
          <w:sz w:val="21"/>
          <w:szCs w:val="21"/>
          <w:highlight w:val="none"/>
        </w:rPr>
        <w:t>订之日起</w:t>
      </w:r>
      <w:bookmarkStart w:id="787" w:name="OLE_LINK445"/>
      <w:r>
        <w:rPr>
          <w:rFonts w:hint="eastAsia" w:hAnsi="宋体" w:cs="宋体"/>
          <w:b w:val="0"/>
          <w:bCs w:val="0"/>
          <w:color w:val="auto"/>
          <w:sz w:val="21"/>
          <w:szCs w:val="21"/>
          <w:highlight w:val="none"/>
        </w:rPr>
        <w:t>至</w:t>
      </w:r>
      <w:bookmarkStart w:id="788" w:name="OLE_LINK443"/>
      <w:r>
        <w:rPr>
          <w:rFonts w:hint="eastAsia" w:hAnsi="宋体" w:cs="宋体"/>
          <w:b w:val="0"/>
          <w:bCs w:val="0"/>
          <w:color w:val="auto"/>
          <w:sz w:val="21"/>
          <w:szCs w:val="21"/>
          <w:highlight w:val="none"/>
          <w:lang w:val="en-US"/>
        </w:rPr>
        <w:t>运维期结束且乙方按合同约定完成运维期</w:t>
      </w:r>
      <w:r>
        <w:rPr>
          <w:rFonts w:hint="eastAsia" w:hAnsi="宋体" w:cs="宋体"/>
          <w:b w:val="0"/>
          <w:bCs w:val="0"/>
          <w:color w:val="auto"/>
          <w:sz w:val="21"/>
          <w:szCs w:val="21"/>
          <w:highlight w:val="none"/>
        </w:rPr>
        <w:t>届满</w:t>
      </w:r>
      <w:r>
        <w:rPr>
          <w:rFonts w:hint="eastAsia" w:hAnsi="宋体" w:cs="宋体"/>
          <w:b w:val="0"/>
          <w:bCs w:val="0"/>
          <w:color w:val="auto"/>
          <w:sz w:val="21"/>
          <w:szCs w:val="21"/>
          <w:highlight w:val="none"/>
          <w:lang w:val="en-US"/>
        </w:rPr>
        <w:t>前的全部义务</w:t>
      </w:r>
      <w:bookmarkEnd w:id="786"/>
      <w:bookmarkEnd w:id="787"/>
      <w:bookmarkEnd w:id="788"/>
      <w:r>
        <w:rPr>
          <w:rFonts w:hint="eastAsia" w:hAnsi="宋体" w:cs="宋体"/>
          <w:b w:val="0"/>
          <w:bCs w:val="0"/>
          <w:color w:val="auto"/>
          <w:sz w:val="21"/>
          <w:szCs w:val="21"/>
          <w:highlight w:val="none"/>
        </w:rPr>
        <w:t>后28日内保待有效。如不可撤销银行履约保函（或履约保证保险或担保公司履约担保书）在规定有效期届满时而乙方未完成</w:t>
      </w:r>
      <w:r>
        <w:rPr>
          <w:rFonts w:hint="eastAsia" w:hAnsi="宋体" w:cs="宋体"/>
          <w:b w:val="0"/>
          <w:bCs w:val="0"/>
          <w:color w:val="auto"/>
          <w:sz w:val="21"/>
          <w:szCs w:val="21"/>
          <w:highlight w:val="none"/>
          <w:lang w:val="en-US"/>
        </w:rPr>
        <w:t>运维期</w:t>
      </w:r>
      <w:r>
        <w:rPr>
          <w:rFonts w:hint="eastAsia" w:hAnsi="宋体" w:cs="宋体"/>
          <w:b w:val="0"/>
          <w:bCs w:val="0"/>
          <w:color w:val="auto"/>
          <w:sz w:val="21"/>
          <w:szCs w:val="21"/>
          <w:highlight w:val="none"/>
        </w:rPr>
        <w:t>届满</w:t>
      </w:r>
      <w:r>
        <w:rPr>
          <w:rFonts w:hint="eastAsia" w:hAnsi="宋体" w:cs="宋体"/>
          <w:b w:val="0"/>
          <w:bCs w:val="0"/>
          <w:color w:val="auto"/>
          <w:sz w:val="21"/>
          <w:szCs w:val="21"/>
          <w:highlight w:val="none"/>
          <w:lang w:val="en-US"/>
        </w:rPr>
        <w:t>前的全部义务</w:t>
      </w:r>
      <w:r>
        <w:rPr>
          <w:rFonts w:hint="eastAsia" w:hAnsi="宋体" w:cs="宋体"/>
          <w:b w:val="0"/>
          <w:bCs w:val="0"/>
          <w:color w:val="auto"/>
          <w:sz w:val="21"/>
          <w:szCs w:val="21"/>
          <w:highlight w:val="none"/>
        </w:rPr>
        <w:t>的，乙方必须在不可撤销银行履约保函（或履约保证保险或担保公司履约担保书）到期15日前无条件办理办妥符合甲方要求的延期手续或重新提供不可撤销银行履约保</w:t>
      </w:r>
      <w:r>
        <w:rPr>
          <w:rFonts w:hint="eastAsia" w:hAnsi="宋体" w:cs="宋体"/>
          <w:b w:val="0"/>
          <w:bCs w:val="0"/>
          <w:color w:val="auto"/>
          <w:sz w:val="21"/>
          <w:szCs w:val="21"/>
          <w:highlight w:val="none"/>
          <w:lang w:val="en-US"/>
        </w:rPr>
        <w:t>函</w:t>
      </w:r>
      <w:r>
        <w:rPr>
          <w:rFonts w:hint="eastAsia" w:hAnsi="宋体" w:cs="宋体"/>
          <w:b w:val="0"/>
          <w:bCs w:val="0"/>
          <w:color w:val="auto"/>
          <w:sz w:val="21"/>
          <w:szCs w:val="21"/>
          <w:highlight w:val="none"/>
        </w:rPr>
        <w:t>（或履约保证保险或担保公司履约担保书）；否则视为乙方违约，甲方有权在不可撤销银行</w:t>
      </w:r>
      <w:r>
        <w:rPr>
          <w:rFonts w:hint="eastAsia" w:hAnsi="宋体" w:cs="宋体"/>
          <w:b w:val="0"/>
          <w:bCs w:val="0"/>
          <w:color w:val="auto"/>
          <w:sz w:val="21"/>
          <w:szCs w:val="21"/>
          <w:highlight w:val="none"/>
          <w:lang w:val="en-US"/>
        </w:rPr>
        <w:t>履</w:t>
      </w:r>
      <w:r>
        <w:rPr>
          <w:rFonts w:hint="eastAsia" w:hAnsi="宋体" w:cs="宋体"/>
          <w:b w:val="0"/>
          <w:bCs w:val="0"/>
          <w:color w:val="auto"/>
          <w:sz w:val="21"/>
          <w:szCs w:val="21"/>
          <w:highlight w:val="none"/>
        </w:rPr>
        <w:t>约保函（或履约保证保险或担保公司履约担保书）到期前向出具</w:t>
      </w:r>
      <w:r>
        <w:rPr>
          <w:rFonts w:hint="eastAsia" w:hAnsi="宋体" w:cs="宋体"/>
          <w:b w:val="0"/>
          <w:bCs w:val="0"/>
          <w:color w:val="auto"/>
          <w:sz w:val="21"/>
          <w:szCs w:val="21"/>
          <w:highlight w:val="none"/>
          <w:lang w:val="en-US"/>
        </w:rPr>
        <w:t>履</w:t>
      </w:r>
      <w:r>
        <w:rPr>
          <w:rFonts w:hint="eastAsia" w:hAnsi="宋体" w:cs="宋体"/>
          <w:b w:val="0"/>
          <w:bCs w:val="0"/>
          <w:color w:val="auto"/>
          <w:sz w:val="21"/>
          <w:szCs w:val="21"/>
          <w:highlight w:val="none"/>
        </w:rPr>
        <w:t>约担保的机构提取履约担保。在不可撤销银行履约保函（或履约保证保险或担保公司履约担保书）到期后乙方未按甲方要求重新提供的，甲方有权要求乙方</w:t>
      </w:r>
      <w:r>
        <w:rPr>
          <w:rFonts w:hint="eastAsia" w:hAnsi="宋体" w:cs="宋体"/>
          <w:b w:val="0"/>
          <w:bCs w:val="0"/>
          <w:color w:val="auto"/>
          <w:sz w:val="21"/>
          <w:szCs w:val="21"/>
          <w:highlight w:val="none"/>
          <w:lang w:val="en-US"/>
        </w:rPr>
        <w:t>支付30万元</w:t>
      </w:r>
      <w:r>
        <w:rPr>
          <w:rFonts w:hint="eastAsia" w:hAnsi="宋体" w:cs="宋体"/>
          <w:b w:val="0"/>
          <w:bCs w:val="0"/>
          <w:color w:val="auto"/>
          <w:sz w:val="21"/>
          <w:szCs w:val="21"/>
          <w:highlight w:val="none"/>
        </w:rPr>
        <w:t>违约金，违约金甲方可直接从未付款项中扣除。</w:t>
      </w:r>
    </w:p>
    <w:p w14:paraId="4CAB81FA">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5、在合同</w:t>
      </w:r>
      <w:r>
        <w:rPr>
          <w:rFonts w:hint="eastAsia" w:hAnsi="宋体" w:cs="宋体"/>
          <w:b w:val="0"/>
          <w:bCs w:val="0"/>
          <w:color w:val="auto"/>
          <w:sz w:val="21"/>
          <w:szCs w:val="21"/>
          <w:highlight w:val="none"/>
          <w:lang w:val="en-US"/>
        </w:rPr>
        <w:t>履</w:t>
      </w:r>
      <w:r>
        <w:rPr>
          <w:rFonts w:hint="eastAsia" w:hAnsi="宋体" w:cs="宋体"/>
          <w:b w:val="0"/>
          <w:bCs w:val="0"/>
          <w:color w:val="auto"/>
          <w:sz w:val="21"/>
          <w:szCs w:val="21"/>
          <w:highlight w:val="none"/>
        </w:rPr>
        <w:t>行过程中，不论何种原因导致履约担保数额不符合招标文件要求的，乙</w:t>
      </w:r>
      <w:r>
        <w:rPr>
          <w:rFonts w:hint="eastAsia" w:hAnsi="宋体" w:cs="宋体"/>
          <w:b w:val="0"/>
          <w:bCs w:val="0"/>
          <w:color w:val="auto"/>
          <w:sz w:val="21"/>
          <w:szCs w:val="21"/>
          <w:highlight w:val="none"/>
          <w:lang w:val="en-US"/>
        </w:rPr>
        <w:t>方</w:t>
      </w:r>
      <w:r>
        <w:rPr>
          <w:rFonts w:hint="eastAsia" w:hAnsi="宋体" w:cs="宋体"/>
          <w:b w:val="0"/>
          <w:bCs w:val="0"/>
          <w:color w:val="auto"/>
          <w:sz w:val="21"/>
          <w:szCs w:val="21"/>
          <w:highlight w:val="none"/>
        </w:rPr>
        <w:t>应当在</w:t>
      </w:r>
      <w:r>
        <w:rPr>
          <w:rFonts w:hint="eastAsia" w:hAnsi="宋体" w:cs="宋体"/>
          <w:b w:val="0"/>
          <w:bCs w:val="0"/>
          <w:color w:val="auto"/>
          <w:sz w:val="21"/>
          <w:szCs w:val="21"/>
          <w:highlight w:val="none"/>
          <w:lang w:val="en-US"/>
        </w:rPr>
        <w:t>1</w:t>
      </w:r>
      <w:r>
        <w:rPr>
          <w:rFonts w:hint="eastAsia" w:hAnsi="宋体" w:cs="宋体"/>
          <w:b w:val="0"/>
          <w:bCs w:val="0"/>
          <w:color w:val="auto"/>
          <w:sz w:val="21"/>
          <w:szCs w:val="21"/>
          <w:highlight w:val="none"/>
        </w:rPr>
        <w:t>5日内予以补足。逾期不予补足的，甲</w:t>
      </w:r>
      <w:r>
        <w:rPr>
          <w:rFonts w:hint="eastAsia" w:hAnsi="宋体" w:cs="宋体"/>
          <w:b w:val="0"/>
          <w:bCs w:val="0"/>
          <w:color w:val="auto"/>
          <w:sz w:val="21"/>
          <w:szCs w:val="21"/>
          <w:highlight w:val="none"/>
          <w:lang w:val="en-US"/>
        </w:rPr>
        <w:t>方</w:t>
      </w:r>
      <w:r>
        <w:rPr>
          <w:rFonts w:hint="eastAsia" w:hAnsi="宋体" w:cs="宋体"/>
          <w:b w:val="0"/>
          <w:bCs w:val="0"/>
          <w:color w:val="auto"/>
          <w:sz w:val="21"/>
          <w:szCs w:val="21"/>
          <w:highlight w:val="none"/>
        </w:rPr>
        <w:t>有权按需补足的金额要求乙方承担违约金，并要求限期补足。如乙方仍不补足的，甲方有权要求乙方</w:t>
      </w:r>
      <w:r>
        <w:rPr>
          <w:rFonts w:hint="eastAsia" w:hAnsi="宋体" w:cs="宋体"/>
          <w:b w:val="0"/>
          <w:bCs w:val="0"/>
          <w:color w:val="auto"/>
          <w:sz w:val="21"/>
          <w:szCs w:val="21"/>
          <w:highlight w:val="none"/>
          <w:lang w:val="en-US"/>
        </w:rPr>
        <w:t>支付30万元</w:t>
      </w:r>
      <w:r>
        <w:rPr>
          <w:rFonts w:hint="eastAsia" w:hAnsi="宋体" w:cs="宋体"/>
          <w:b w:val="0"/>
          <w:bCs w:val="0"/>
          <w:color w:val="auto"/>
          <w:sz w:val="21"/>
          <w:szCs w:val="21"/>
          <w:highlight w:val="none"/>
        </w:rPr>
        <w:t>违约金，</w:t>
      </w:r>
      <w:r>
        <w:rPr>
          <w:rFonts w:hint="eastAsia" w:hAnsi="宋体" w:cs="宋体"/>
          <w:b w:val="0"/>
          <w:bCs w:val="0"/>
          <w:color w:val="auto"/>
          <w:sz w:val="21"/>
          <w:szCs w:val="21"/>
          <w:highlight w:val="none"/>
          <w:lang w:val="en-US"/>
        </w:rPr>
        <w:t>并有权</w:t>
      </w:r>
      <w:r>
        <w:rPr>
          <w:rFonts w:hint="eastAsia" w:hAnsi="宋体" w:cs="宋体"/>
          <w:b w:val="0"/>
          <w:bCs w:val="0"/>
          <w:color w:val="auto"/>
          <w:sz w:val="21"/>
          <w:szCs w:val="21"/>
          <w:highlight w:val="none"/>
        </w:rPr>
        <w:t>单方解除合同。</w:t>
      </w:r>
    </w:p>
    <w:p w14:paraId="072D81CE">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第十七条 </w:t>
      </w:r>
      <w:bookmarkStart w:id="789" w:name="OLE_LINK99"/>
      <w:r>
        <w:rPr>
          <w:rFonts w:hint="eastAsia" w:ascii="宋体" w:hAnsi="宋体" w:eastAsia="宋体" w:cs="宋体"/>
          <w:b/>
          <w:color w:val="auto"/>
          <w:szCs w:val="21"/>
          <w:highlight w:val="none"/>
        </w:rPr>
        <w:t>技术资料</w:t>
      </w:r>
      <w:bookmarkEnd w:id="789"/>
    </w:p>
    <w:p w14:paraId="38BD5F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1、乙方应按《用户需求书》的要求向甲方提供完整的项目技术资料。具体技术资料要求按照招标文件用户需求书和本合同的规定执行。</w:t>
      </w:r>
    </w:p>
    <w:p w14:paraId="0596457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2、乙方在设备交货的同时应提供最终设备的全套（简体中文，如是外文应附中文译本）资料（含纸质和电子文件）给甲方，包括但不限于：</w:t>
      </w:r>
    </w:p>
    <w:p w14:paraId="3D388E2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48AE6C9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66EA62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222BF59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（4）各单体设备技术规格及说明；</w:t>
      </w:r>
    </w:p>
    <w:p w14:paraId="620E75C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（5）安装调试、维修、保养手册等招标文件用户需求书规定数量和类型的技术资料；</w:t>
      </w:r>
    </w:p>
    <w:p w14:paraId="3F0002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2AAD51B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64CB2E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2DC638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rPr>
        <w:t>3、乙方</w:t>
      </w:r>
      <w:r>
        <w:rPr>
          <w:rFonts w:hint="eastAsia" w:ascii="宋体" w:hAnsi="宋体" w:eastAsia="宋体" w:cs="宋体"/>
          <w:color w:val="auto"/>
          <w:szCs w:val="21"/>
          <w:highlight w:val="none"/>
        </w:rPr>
        <w:t>必须保证在设备使用寿命内，甲方无偿获得PLC通讯、</w:t>
      </w:r>
      <w:bookmarkStart w:id="790" w:name="OLE_LINK298"/>
      <w:r>
        <w:rPr>
          <w:rFonts w:hint="eastAsia" w:ascii="宋体" w:hAnsi="宋体" w:eastAsia="宋体" w:cs="宋体"/>
          <w:color w:val="auto"/>
          <w:szCs w:val="21"/>
          <w:highlight w:val="none"/>
        </w:rPr>
        <w:t>现场实时监测数据、APP监控等</w:t>
      </w:r>
      <w:bookmarkEnd w:id="790"/>
      <w:r>
        <w:rPr>
          <w:rFonts w:hint="eastAsia" w:ascii="宋体" w:hAnsi="宋体" w:eastAsia="宋体" w:cs="宋体"/>
          <w:color w:val="auto"/>
          <w:szCs w:val="21"/>
          <w:highlight w:val="none"/>
        </w:rPr>
        <w:t>软件的知识产权，相关程序均不得设置密码（或免费向甲方提供密码）、随机附带的软件程序等不得设置妨碍设备正常工作的后门程序。涉及设备正常使用、维护的一切软件在设备验收时也应一并交付甲方。</w:t>
      </w:r>
    </w:p>
    <w:p w14:paraId="569C7E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4、乙方在完成最终验收合格后1个月内，</w:t>
      </w:r>
      <w:bookmarkStart w:id="791" w:name="OLE_LINK299"/>
      <w:r>
        <w:rPr>
          <w:rFonts w:hint="eastAsia" w:ascii="宋体" w:hAnsi="宋体" w:eastAsia="宋体" w:cs="宋体"/>
          <w:color w:val="auto"/>
          <w:szCs w:val="21"/>
          <w:highlight w:val="none"/>
        </w:rPr>
        <w:t>向甲方移交</w:t>
      </w:r>
      <w:bookmarkStart w:id="792" w:name="OLE_LINK297"/>
      <w:r>
        <w:rPr>
          <w:rFonts w:hint="eastAsia" w:ascii="宋体" w:hAnsi="宋体" w:eastAsia="宋体" w:cs="宋体"/>
          <w:color w:val="auto"/>
          <w:szCs w:val="21"/>
          <w:highlight w:val="none"/>
        </w:rPr>
        <w:t>四套</w:t>
      </w:r>
      <w:bookmarkEnd w:id="792"/>
      <w:r>
        <w:rPr>
          <w:rFonts w:hint="eastAsia" w:ascii="宋体" w:hAnsi="宋体" w:eastAsia="宋体" w:cs="宋体"/>
          <w:color w:val="auto"/>
          <w:szCs w:val="21"/>
          <w:highlight w:val="none"/>
        </w:rPr>
        <w:t>符合</w:t>
      </w:r>
      <w:r>
        <w:rPr>
          <w:rFonts w:hint="eastAsia" w:ascii="宋体" w:hAnsi="宋体" w:eastAsia="宋体" w:cs="宋体"/>
          <w:color w:val="auto"/>
          <w:kern w:val="0"/>
          <w:szCs w:val="21"/>
          <w:highlight w:val="none"/>
        </w:rPr>
        <w:t>国家、省或行业现行的质量验收标准及规范</w:t>
      </w:r>
      <w:r>
        <w:rPr>
          <w:rFonts w:hint="eastAsia" w:ascii="宋体" w:hAnsi="宋体" w:eastAsia="宋体" w:cs="宋体"/>
          <w:color w:val="auto"/>
          <w:szCs w:val="21"/>
          <w:highlight w:val="none"/>
        </w:rPr>
        <w:t xml:space="preserve">的完工资料和一套电子档扫描件（以光盘或U盘作为存储介质交付）。 </w:t>
      </w:r>
      <w:bookmarkEnd w:id="791"/>
    </w:p>
    <w:p w14:paraId="5D123333">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第十八条 廉洁条款</w:t>
      </w:r>
    </w:p>
    <w:p w14:paraId="1A776765">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bCs/>
          <w:color w:val="auto"/>
          <w:szCs w:val="21"/>
          <w:highlight w:val="none"/>
        </w:rPr>
        <w:t>乙方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合同；（2）退回已支付款项并按同期LPR利率加计资金占用利息；（3）按暂定不含税总价的3%向甲方支付违约金。</w:t>
      </w:r>
    </w:p>
    <w:p w14:paraId="7F0F4D04">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第十九条 </w:t>
      </w:r>
      <w:bookmarkStart w:id="793" w:name="OLE_LINK101"/>
      <w:r>
        <w:rPr>
          <w:rFonts w:hint="eastAsia" w:ascii="宋体" w:hAnsi="宋体" w:eastAsia="宋体" w:cs="宋体"/>
          <w:b/>
          <w:color w:val="auto"/>
          <w:szCs w:val="21"/>
          <w:highlight w:val="none"/>
        </w:rPr>
        <w:t>不可抗力</w:t>
      </w:r>
      <w:bookmarkEnd w:id="793"/>
    </w:p>
    <w:p w14:paraId="464E05D6">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BDDC92B">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第二十条 </w:t>
      </w:r>
      <w:bookmarkStart w:id="794" w:name="OLE_LINK102"/>
      <w:r>
        <w:rPr>
          <w:rFonts w:hint="eastAsia" w:ascii="宋体" w:hAnsi="宋体" w:eastAsia="宋体" w:cs="宋体"/>
          <w:b/>
          <w:color w:val="auto"/>
          <w:szCs w:val="21"/>
          <w:highlight w:val="none"/>
        </w:rPr>
        <w:t>索赔</w:t>
      </w:r>
      <w:bookmarkEnd w:id="794"/>
    </w:p>
    <w:p w14:paraId="24C8935D">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l、在货物验收、使用过程中，甲方如对货物（包括但不限于其规格、数</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等）有异议的，有权向乙</w:t>
      </w:r>
      <w:r>
        <w:rPr>
          <w:rFonts w:hint="eastAsia" w:hAnsi="宋体" w:cs="宋体"/>
          <w:b w:val="0"/>
          <w:bCs w:val="0"/>
          <w:color w:val="auto"/>
          <w:sz w:val="21"/>
          <w:szCs w:val="21"/>
          <w:highlight w:val="none"/>
          <w:lang w:val="en-US"/>
        </w:rPr>
        <w:t>方</w:t>
      </w:r>
      <w:r>
        <w:rPr>
          <w:rFonts w:hint="eastAsia" w:hAnsi="宋体" w:cs="宋体"/>
          <w:b w:val="0"/>
          <w:bCs w:val="0"/>
          <w:color w:val="auto"/>
          <w:sz w:val="21"/>
          <w:szCs w:val="21"/>
          <w:highlight w:val="none"/>
        </w:rPr>
        <w:t>提出索赔，乙方应在</w:t>
      </w:r>
      <w:r>
        <w:rPr>
          <w:rFonts w:hint="eastAsia" w:hAnsi="宋体" w:cs="宋体"/>
          <w:b w:val="0"/>
          <w:bCs w:val="0"/>
          <w:color w:val="auto"/>
          <w:sz w:val="21"/>
          <w:szCs w:val="21"/>
          <w:highlight w:val="none"/>
          <w:lang w:val="en-US"/>
        </w:rPr>
        <w:t>甲</w:t>
      </w:r>
      <w:r>
        <w:rPr>
          <w:rFonts w:hint="eastAsia" w:hAnsi="宋体" w:cs="宋体"/>
          <w:b w:val="0"/>
          <w:bCs w:val="0"/>
          <w:color w:val="auto"/>
          <w:sz w:val="21"/>
          <w:szCs w:val="21"/>
          <w:highlight w:val="none"/>
        </w:rPr>
        <w:t>方发出索赔通知后7日内作出书面答复，并与甲方现场确认货物的质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问题后进行理赔；乙方根据合同约定应承担更换或重做责任的，乙方应立即根据本合同的约定承担免费更换或重做责任。逾期更换或重做，乙方需按</w:t>
      </w:r>
      <w:bookmarkStart w:id="795" w:name="OLE_LINK492"/>
      <w:r>
        <w:rPr>
          <w:rFonts w:hint="eastAsia" w:hAnsi="宋体" w:cs="宋体"/>
          <w:b w:val="0"/>
          <w:bCs w:val="0"/>
          <w:color w:val="auto"/>
          <w:sz w:val="21"/>
          <w:szCs w:val="21"/>
          <w:highlight w:val="none"/>
          <w:lang w:val="en-US"/>
        </w:rPr>
        <w:t>合同约定</w:t>
      </w:r>
      <w:bookmarkEnd w:id="795"/>
      <w:r>
        <w:rPr>
          <w:rFonts w:hint="eastAsia" w:hAnsi="宋体" w:cs="宋体"/>
          <w:b w:val="0"/>
          <w:bCs w:val="0"/>
          <w:color w:val="auto"/>
          <w:sz w:val="21"/>
          <w:szCs w:val="21"/>
          <w:highlight w:val="none"/>
        </w:rPr>
        <w:t>承担违约责任。</w:t>
      </w:r>
    </w:p>
    <w:p w14:paraId="3DA74C15">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2、如双方对货物的质量问题存在争议的，双方同意在</w:t>
      </w:r>
      <w:r>
        <w:rPr>
          <w:rFonts w:hint="eastAsia" w:hAnsi="宋体" w:cs="宋体"/>
          <w:b w:val="0"/>
          <w:bCs w:val="0"/>
          <w:color w:val="auto"/>
          <w:sz w:val="21"/>
          <w:szCs w:val="21"/>
          <w:highlight w:val="none"/>
          <w:lang w:val="en-US"/>
        </w:rPr>
        <w:t>质量</w:t>
      </w:r>
      <w:r>
        <w:rPr>
          <w:rFonts w:hint="eastAsia" w:hAnsi="宋体" w:cs="宋体"/>
          <w:b w:val="0"/>
          <w:bCs w:val="0"/>
          <w:color w:val="auto"/>
          <w:sz w:val="21"/>
          <w:szCs w:val="21"/>
          <w:highlight w:val="none"/>
        </w:rPr>
        <w:t>问题发生后7日内提交货物交付地的第三方检验机构进行质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鉴定后确认，鉴定费</w:t>
      </w:r>
      <w:r>
        <w:rPr>
          <w:rFonts w:hint="eastAsia" w:hAnsi="宋体" w:cs="宋体"/>
          <w:b w:val="0"/>
          <w:bCs w:val="0"/>
          <w:color w:val="auto"/>
          <w:sz w:val="21"/>
          <w:szCs w:val="21"/>
          <w:highlight w:val="none"/>
          <w:lang w:val="en-US"/>
        </w:rPr>
        <w:t>由</w:t>
      </w:r>
      <w:r>
        <w:rPr>
          <w:rFonts w:hint="eastAsia" w:hAnsi="宋体" w:cs="宋体"/>
          <w:b w:val="0"/>
          <w:bCs w:val="0"/>
          <w:color w:val="auto"/>
          <w:sz w:val="21"/>
          <w:szCs w:val="21"/>
          <w:highlight w:val="none"/>
        </w:rPr>
        <w:t>乙方先行垫付，鉴定结果确定后，质</w:t>
      </w:r>
      <w:r>
        <w:rPr>
          <w:rFonts w:hint="eastAsia" w:hAnsi="宋体" w:cs="宋体"/>
          <w:b w:val="0"/>
          <w:bCs w:val="0"/>
          <w:color w:val="auto"/>
          <w:sz w:val="21"/>
          <w:szCs w:val="21"/>
          <w:highlight w:val="none"/>
          <w:lang w:val="en-US"/>
        </w:rPr>
        <w:t>量</w:t>
      </w:r>
      <w:r>
        <w:rPr>
          <w:rFonts w:hint="eastAsia" w:hAnsi="宋体" w:cs="宋体"/>
          <w:b w:val="0"/>
          <w:bCs w:val="0"/>
          <w:color w:val="auto"/>
          <w:sz w:val="21"/>
          <w:szCs w:val="21"/>
          <w:highlight w:val="none"/>
        </w:rPr>
        <w:t>符合合同（含附件）约定的，鉴定费由甲方承担，否则由乙方承担。</w:t>
      </w:r>
    </w:p>
    <w:p w14:paraId="01C38726">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3、如果乙方对甲方提出的异议及索赔负有责任，乙方应按照甲方同意的下列一种或多种方式解决索赔事宜：</w:t>
      </w:r>
    </w:p>
    <w:p w14:paraId="727EC6A7">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(1)根据甲方要求予以重做，在甲方发出重做通知后按要求进行重做，并承担因此产生的全部费用和本合同约定的违约金，以及赔偿因此给甲方造成的损失。</w:t>
      </w:r>
    </w:p>
    <w:p w14:paraId="2C192AFC">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(2)根据甲方要求承担货物的更换责任，乙方应</w:t>
      </w:r>
      <w:r>
        <w:rPr>
          <w:rFonts w:hint="eastAsia" w:hAnsi="宋体" w:cs="宋体"/>
          <w:b w:val="0"/>
          <w:bCs w:val="0"/>
          <w:color w:val="auto"/>
          <w:sz w:val="21"/>
          <w:szCs w:val="21"/>
          <w:highlight w:val="none"/>
          <w:lang w:val="en-US"/>
        </w:rPr>
        <w:t>于</w:t>
      </w:r>
      <w:r>
        <w:rPr>
          <w:rFonts w:hint="eastAsia" w:hAnsi="宋体" w:cs="宋体"/>
          <w:b w:val="0"/>
          <w:bCs w:val="0"/>
          <w:color w:val="auto"/>
          <w:sz w:val="21"/>
          <w:szCs w:val="21"/>
          <w:highlight w:val="none"/>
        </w:rPr>
        <w:t>甲方发出更换通知后7日内更换</w:t>
      </w:r>
      <w:r>
        <w:rPr>
          <w:rFonts w:hint="eastAsia" w:hAnsi="宋体" w:cs="宋体"/>
          <w:b w:val="0"/>
          <w:bCs w:val="0"/>
          <w:color w:val="auto"/>
          <w:sz w:val="21"/>
          <w:szCs w:val="21"/>
          <w:highlight w:val="none"/>
          <w:lang w:val="en-US"/>
        </w:rPr>
        <w:t>全</w:t>
      </w:r>
      <w:r>
        <w:rPr>
          <w:rFonts w:hint="eastAsia" w:hAnsi="宋体" w:cs="宋体"/>
          <w:b w:val="0"/>
          <w:bCs w:val="0"/>
          <w:color w:val="auto"/>
          <w:sz w:val="21"/>
          <w:szCs w:val="21"/>
          <w:highlight w:val="none"/>
        </w:rPr>
        <w:t>新并符合本合同的规定的货物，乙方应承担因此产生的全部费用并赔偿甲方因此遭受的损失，更换货物的质保期应按本合同的相关规定重新计算。</w:t>
      </w:r>
    </w:p>
    <w:p w14:paraId="1B8B086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(3)当甲方损失无法计算时，乙方同意按暂定不含税总价的20%计算赔偿金。</w:t>
      </w:r>
    </w:p>
    <w:p w14:paraId="715C1930">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w:t>
      </w:r>
      <w:r>
        <w:rPr>
          <w:rFonts w:hint="eastAsia" w:hAnsi="宋体" w:cs="宋体"/>
          <w:b w:val="0"/>
          <w:bCs w:val="0"/>
          <w:color w:val="auto"/>
          <w:sz w:val="21"/>
          <w:szCs w:val="21"/>
          <w:highlight w:val="none"/>
          <w:lang w:val="en-US"/>
        </w:rPr>
        <w:t>4</w:t>
      </w:r>
      <w:r>
        <w:rPr>
          <w:rFonts w:hint="eastAsia" w:hAnsi="宋体" w:cs="宋体"/>
          <w:b w:val="0"/>
          <w:bCs w:val="0"/>
          <w:color w:val="auto"/>
          <w:sz w:val="21"/>
          <w:szCs w:val="21"/>
          <w:highlight w:val="none"/>
        </w:rPr>
        <w:t>)如果在甲方发出索赔通知后30天内，乙方未作书面答复，上述索赔应视为已被乙方接受。甲方将启动履约担保支付或从未付货款中扣除索赔金额。如果该等款项不足以补偿索赔金额，甲方有权向乙方提出不足部分的补偿。</w:t>
      </w:r>
    </w:p>
    <w:p w14:paraId="55D166E0">
      <w:pPr>
        <w:pStyle w:val="21"/>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4、光伏组件安装时，乙方必须对甲方屋面做好相应的保护措施，避免安装过程中对甲方屋面造成损坏(尤其是屋面的防水层、油漆层)。如不慎造成损坏（如造成屋面漏水的），乙方必须无条件维修好并承担所需全部费用，如因此造成甲方损失的，应同时承担赔偿责任。</w:t>
      </w:r>
    </w:p>
    <w:p w14:paraId="47CDCD4C">
      <w:pPr>
        <w:pStyle w:val="21"/>
        <w:adjustRightInd/>
        <w:spacing w:line="360" w:lineRule="auto"/>
        <w:ind w:right="0" w:firstLine="420" w:firstLineChars="20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lang w:val="en-US"/>
        </w:rPr>
        <w:t>5、在安装过程中严禁直接踩踏光伏组件（包括边框），如有损坏需无条件进行更换并承担所需全部费用。</w:t>
      </w:r>
    </w:p>
    <w:p w14:paraId="34D94492">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第二十一条 </w:t>
      </w:r>
      <w:bookmarkStart w:id="796" w:name="OLE_LINK105"/>
      <w:r>
        <w:rPr>
          <w:rFonts w:hint="eastAsia" w:ascii="宋体" w:hAnsi="宋体" w:eastAsia="宋体" w:cs="宋体"/>
          <w:b/>
          <w:color w:val="auto"/>
          <w:szCs w:val="21"/>
          <w:highlight w:val="none"/>
        </w:rPr>
        <w:t>违约责任</w:t>
      </w:r>
      <w:bookmarkEnd w:id="796"/>
    </w:p>
    <w:p w14:paraId="47FEA648">
      <w:pPr>
        <w:numPr>
          <w:ilvl w:val="0"/>
          <w:numId w:val="1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因乙方原因未在合同约定的工期内通过并网验收的（即自甲方或其委托的项目管理公司签发该子项目开工通知之日起150</w:t>
      </w:r>
      <w:r>
        <w:rPr>
          <w:rFonts w:hint="eastAsia" w:ascii="宋体" w:hAnsi="宋体" w:eastAsia="宋体" w:cs="宋体"/>
          <w:color w:val="auto"/>
          <w:highlight w:val="none"/>
        </w:rPr>
        <w:t>日</w:t>
      </w:r>
      <w:r>
        <w:rPr>
          <w:rFonts w:hint="eastAsia" w:ascii="宋体" w:hAnsi="宋体" w:eastAsia="宋体" w:cs="宋体"/>
          <w:color w:val="auto"/>
          <w:szCs w:val="21"/>
          <w:highlight w:val="none"/>
        </w:rPr>
        <w:t>内完成该子项目的并网验收），每逾期1日，乙方就该子项目向甲方支付5,000.00元/日的违约金，本款逾期违约金最高不超过不含税固定每瓦单价</w:t>
      </w:r>
      <w:r>
        <w:rPr>
          <w:rFonts w:hint="eastAsia" w:ascii="宋体" w:hAnsi="宋体" w:eastAsia="宋体"/>
          <w:color w:val="auto"/>
          <w:highlight w:val="none"/>
        </w:rPr>
        <w:t>×</w:t>
      </w:r>
      <w:r>
        <w:rPr>
          <w:rFonts w:hint="eastAsia" w:ascii="宋体" w:hAnsi="宋体" w:eastAsia="宋体" w:cs="宋体"/>
          <w:color w:val="auto"/>
          <w:szCs w:val="21"/>
          <w:highlight w:val="none"/>
        </w:rPr>
        <w:t>暂定装机容量计算的该子项目合同价的5%，合同约定免责的情况除外。</w:t>
      </w:r>
    </w:p>
    <w:p w14:paraId="46579ECC">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乙方所交货物（包括但不限于品种、型号、规格、质量、性能）不符合合同规定的，甲方有权拒收，并要求乙方免费予以更换或重做，同时乙方应向甲方支付20,000.00元的违约金。若因乙方原因导致乙方无法按照本合同约定供货的，甲方有权单方解除合同或该子项目，且有权要求乙方支付与本合同履约担保金额等额或该子项目等比例履约担保金额等额的违约金。</w:t>
      </w:r>
    </w:p>
    <w:p w14:paraId="35AAA8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3、未经甲方书面同意，乙方擅自变更设计或未按本合同及招标文件、投标文件、用户需求书、产品技术说明书、国家相关法律法规以及规范的规定标准实施项目的，甲方有权要求</w:t>
      </w:r>
      <w:r>
        <w:rPr>
          <w:rFonts w:hint="eastAsia" w:ascii="宋体" w:hAnsi="宋体" w:eastAsia="宋体"/>
          <w:color w:val="auto"/>
          <w:highlight w:val="none"/>
        </w:rPr>
        <w:t>限期整改</w:t>
      </w:r>
      <w:r>
        <w:rPr>
          <w:rFonts w:hint="eastAsia" w:ascii="宋体" w:hAnsi="宋体" w:eastAsia="宋体"/>
          <w:color w:val="auto"/>
          <w:highlight w:val="none"/>
          <w:lang w:eastAsia="zh-CN"/>
        </w:rPr>
        <w:t>，</w:t>
      </w:r>
      <w:r>
        <w:rPr>
          <w:rFonts w:hint="eastAsia" w:ascii="宋体" w:hAnsi="宋体" w:eastAsia="宋体" w:cs="宋体"/>
          <w:color w:val="auto"/>
          <w:szCs w:val="21"/>
          <w:highlight w:val="none"/>
        </w:rPr>
        <w:t>并在甲方限期内整改完毕</w:t>
      </w:r>
      <w:r>
        <w:rPr>
          <w:rFonts w:hint="eastAsia" w:ascii="宋体" w:hAnsi="宋体" w:eastAsia="宋体" w:cs="宋体"/>
          <w:color w:val="auto"/>
          <w:szCs w:val="21"/>
          <w:highlight w:val="none"/>
          <w:lang w:eastAsia="zh-CN"/>
        </w:rPr>
        <w:t>，</w:t>
      </w:r>
      <w:r>
        <w:rPr>
          <w:rFonts w:hint="eastAsia" w:ascii="宋体" w:hAnsi="宋体" w:eastAsia="宋体"/>
          <w:color w:val="auto"/>
          <w:highlight w:val="none"/>
          <w:lang w:val="en-US" w:eastAsia="zh-CN"/>
        </w:rPr>
        <w:t>逾期未整改，</w:t>
      </w:r>
      <w:r>
        <w:rPr>
          <w:rFonts w:hint="eastAsia" w:ascii="宋体" w:hAnsi="宋体" w:eastAsia="宋体" w:cs="宋体"/>
          <w:color w:val="auto"/>
          <w:szCs w:val="21"/>
          <w:highlight w:val="none"/>
        </w:rPr>
        <w:t>甲方有权要求乙方按人民币30,000.00元/次向甲方支付违约金，并在甲方限期内整改完毕。如因乙方行为造成甲方损失的，由乙方向甲方另行赔偿。</w:t>
      </w:r>
    </w:p>
    <w:p w14:paraId="3D856E0A">
      <w:pPr>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color w:val="auto"/>
          <w:szCs w:val="21"/>
          <w:highlight w:val="none"/>
          <w:lang w:val="en-US" w:eastAsia="zh-CN"/>
        </w:rPr>
        <w:t>4、</w:t>
      </w:r>
      <w:r>
        <w:rPr>
          <w:rFonts w:hint="eastAsia" w:ascii="宋体" w:hAnsi="宋体" w:eastAsia="宋体" w:cs="宋体"/>
          <w:b w:val="0"/>
          <w:color w:val="auto"/>
          <w:szCs w:val="21"/>
          <w:highlight w:val="none"/>
        </w:rPr>
        <w:t>未经甲方书面同意，乙方不得对本合同及招标文件约定的</w:t>
      </w:r>
      <w:r>
        <w:rPr>
          <w:rFonts w:hint="eastAsia" w:ascii="宋体" w:hAnsi="宋体" w:eastAsia="宋体" w:cs="宋体"/>
          <w:b w:val="0"/>
          <w:color w:val="auto"/>
          <w:szCs w:val="21"/>
          <w:highlight w:val="none"/>
          <w:lang w:val="en-US" w:eastAsia="zh-CN"/>
        </w:rPr>
        <w:t>各子项目</w:t>
      </w:r>
      <w:r>
        <w:rPr>
          <w:rFonts w:hint="eastAsia" w:ascii="宋体" w:hAnsi="宋体" w:eastAsia="宋体" w:cs="宋体"/>
          <w:b w:val="0"/>
          <w:color w:val="auto"/>
          <w:szCs w:val="21"/>
          <w:highlight w:val="none"/>
        </w:rPr>
        <w:t>钢结构（包括但不限于光伏支架、运维通道钢板、钢斜梯等）布置方案、材质、规格、数量进行调减。如因现场实际情况确需调整（如项目铺设范围变更等），乙方应提前至少7个工作日向甲方提交书面申请，详细说明调整部位、调整原因、原设计工程量、调整后工程量、相关技术论证及对工程质量和安全的影响评估；若乙方未经批准擅自调减钢结构，或调整后导致工程量减少、质量标准降低的，甲方有权要求乙方按原设计恢复，费用由乙方承担</w:t>
      </w:r>
      <w:r>
        <w:rPr>
          <w:rFonts w:hint="eastAsia" w:ascii="宋体" w:hAnsi="宋体" w:eastAsia="宋体" w:cs="宋体"/>
          <w:b w:val="0"/>
          <w:color w:val="auto"/>
          <w:szCs w:val="21"/>
          <w:highlight w:val="none"/>
          <w:lang w:eastAsia="zh-CN"/>
        </w:rPr>
        <w:t>，</w:t>
      </w:r>
      <w:r>
        <w:rPr>
          <w:rFonts w:hint="eastAsia" w:ascii="宋体" w:hAnsi="宋体" w:eastAsia="宋体" w:cs="宋体"/>
          <w:b w:val="0"/>
          <w:color w:val="auto"/>
          <w:szCs w:val="21"/>
          <w:highlight w:val="none"/>
          <w:lang w:val="en-US" w:eastAsia="zh-CN"/>
        </w:rPr>
        <w:t>同时</w:t>
      </w:r>
      <w:r>
        <w:rPr>
          <w:rFonts w:hint="eastAsia" w:ascii="宋体" w:hAnsi="宋体" w:eastAsia="宋体" w:cs="宋体"/>
          <w:color w:val="auto"/>
          <w:szCs w:val="21"/>
          <w:highlight w:val="none"/>
        </w:rPr>
        <w:t>乙方需向甲方支付违约金，违约金为不含税固定每瓦单价乘以暂定装机容量计算的该子项目合同价的5%</w:t>
      </w:r>
      <w:r>
        <w:rPr>
          <w:rFonts w:hint="eastAsia" w:ascii="宋体" w:hAnsi="宋体" w:eastAsia="宋体" w:cs="宋体"/>
          <w:b w:val="0"/>
          <w:color w:val="auto"/>
          <w:szCs w:val="21"/>
          <w:highlight w:val="none"/>
        </w:rPr>
        <w:t>，并保留追溯因此造成</w:t>
      </w:r>
      <w:r>
        <w:rPr>
          <w:rFonts w:hint="eastAsia" w:ascii="宋体" w:hAnsi="宋体" w:eastAsia="宋体" w:cs="宋体"/>
          <w:b w:val="0"/>
          <w:color w:val="auto"/>
          <w:szCs w:val="21"/>
          <w:highlight w:val="none"/>
          <w:lang w:val="en-US" w:eastAsia="zh-CN"/>
        </w:rPr>
        <w:t>的损失、</w:t>
      </w:r>
      <w:r>
        <w:rPr>
          <w:rFonts w:hint="eastAsia" w:ascii="宋体" w:hAnsi="宋体" w:eastAsia="宋体" w:cs="宋体"/>
          <w:b w:val="0"/>
          <w:color w:val="auto"/>
          <w:szCs w:val="21"/>
          <w:highlight w:val="none"/>
        </w:rPr>
        <w:t>安全隐患</w:t>
      </w:r>
      <w:r>
        <w:rPr>
          <w:rFonts w:hint="eastAsia" w:ascii="宋体" w:hAnsi="宋体" w:eastAsia="宋体" w:cs="宋体"/>
          <w:b w:val="0"/>
          <w:color w:val="auto"/>
          <w:szCs w:val="21"/>
          <w:highlight w:val="none"/>
          <w:lang w:val="en-US" w:eastAsia="zh-CN"/>
        </w:rPr>
        <w:t>等</w:t>
      </w:r>
      <w:r>
        <w:rPr>
          <w:rFonts w:hint="eastAsia" w:ascii="宋体" w:hAnsi="宋体" w:eastAsia="宋体" w:cs="宋体"/>
          <w:b w:val="0"/>
          <w:color w:val="auto"/>
          <w:szCs w:val="21"/>
          <w:highlight w:val="none"/>
        </w:rPr>
        <w:t>全部责任的权利。</w:t>
      </w:r>
    </w:p>
    <w:p w14:paraId="434EDCC9">
      <w:pPr>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本合同下子项目初步验收或并网验收不合格时，乙方应积极根据规范、标准和合同约定进行整改，直至整改完毕验收合格，由此导致并网验收逾期的，按并网验收逾期违约金标准追究乙方的违约责任。因乙方拒不履行整改义务或怠于履约整改义务，或经证明项目无法通过并网验收时，甲方有权要求乙方30日内拆除已安装的设施，将项目场地恢复至现状，同时乙方需向甲方支付违约金，违约金为不含税固定每瓦单价乘以暂定装机容量计算的该子项目合同价的5% 。在甲方前述拆除通知后，乙方逾期拆除的，甲方有权委托第三方进行拆除，相关费用由乙方承担，因此导致光伏组件、逆变器、汇电箱、电缆、支架等货物损坏、丢失的风险，由乙方承担。</w:t>
      </w:r>
    </w:p>
    <w:p w14:paraId="2400E483">
      <w:pPr>
        <w:adjustRightInd w:val="0"/>
        <w:spacing w:line="360" w:lineRule="auto"/>
        <w:ind w:right="210"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、本合同下</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rPr>
        <w:t>项目竣工验收检测不合格（或</w:t>
      </w:r>
      <w:r>
        <w:rPr>
          <w:rFonts w:hint="eastAsia" w:ascii="宋体" w:hAnsi="宋体" w:eastAsia="宋体" w:cs="宋体"/>
          <w:color w:val="auto"/>
          <w:szCs w:val="21"/>
          <w:highlight w:val="none"/>
          <w:lang w:val="en-US" w:eastAsia="zh-CN"/>
        </w:rPr>
        <w:t>子</w:t>
      </w:r>
      <w:r>
        <w:rPr>
          <w:rFonts w:hint="eastAsia" w:ascii="宋体" w:hAnsi="宋体" w:eastAsia="宋体" w:cs="宋体"/>
          <w:color w:val="auto"/>
          <w:szCs w:val="21"/>
          <w:highlight w:val="none"/>
        </w:rPr>
        <w:t>项目及其产品达不到招标文件和投标文件规定标准的），乙方应在并网验通电之日起2个月内按要求完成整改至检测合格，因乙方原因逾期未改正完毕的，乙方应向甲方支付2500.00元/日的违约金，直至整改完毕验收检测合格</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本款逾期违约金最高不超过不含税固定每瓦单价×暂定装机容量计算的该子项目合同价的5% 。</w:t>
      </w:r>
    </w:p>
    <w:p w14:paraId="72C54FF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拒不履行整改义务或怠于履约整改义务，或经三次检测均达不到招标文件和投标文件规定标准，导致项目未能竣工验收的，甲方有权按以下两种方式中的一种进行处理：（1）甲方有权要求乙方30日内拆除已安装的设施，将项目场地恢复至现状，同时乙方需向甲方支付违约金，违约金为不含税固定每瓦单价乘以暂定装机容量计算的该子项目合同价的5% 。（2）按项目全生命周期计算检测不合格（或未满足招标文件和投标文件规定标准）导致甲方的损失，由乙方赔偿甲方损失，同时，乙方需向甲方支付违约金，违约金为不含税固定每瓦单价乘以暂定装机容量计算的该子项目合同价的5% 。</w:t>
      </w:r>
    </w:p>
    <w:p w14:paraId="3DBDDAE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、本合同下子项目经发改部门备案后，乙方未建设的，乙方需向甲方支付违约金，违约金为不含税固定每瓦单价乘以暂定装机容量计算的该子项目合同价的5% 。</w:t>
      </w:r>
    </w:p>
    <w:p w14:paraId="59FA75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乙方未按合同第十三条约定履行培训或技术服务义务的，乙方应向甲方支付5,000.00元/次的违约金。同时，甲方有权要求乙方限期改正，如逾期仍未改正的，甲方有权另行委托第三方进行培训或服务，由此产生的全部费用由乙方承担。</w:t>
      </w:r>
    </w:p>
    <w:p w14:paraId="38A89A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szCs w:val="21"/>
          <w:highlight w:val="none"/>
        </w:rPr>
        <w:t>、项目运营维护届满，乙方无故未按期办理项目移交的（或移交的项目未能达到移交标准的），每迟延一日，乙方应向甲方支付违约金50,000.00元/日，逾期移交超过30日的，甲方有权强制接收项目，并有权委托第三方单位实施乙方移交前未完成的义务，因此产生的所有费用由乙方承担。因乙方原因导致甲方无法正常接管运营的，甲方有权要求乙方按并网装机容量核定的发电量和甲方电售价的1.3倍标准支付电费损失。造成甲方损失超过前述标准的，甲方有权继续向乙方进行追偿。</w:t>
      </w:r>
    </w:p>
    <w:p w14:paraId="5F8842AB">
      <w:pPr>
        <w:pStyle w:val="21"/>
        <w:spacing w:line="360" w:lineRule="auto"/>
        <w:ind w:firstLine="420" w:firstLineChars="200"/>
        <w:jc w:val="left"/>
        <w:rPr>
          <w:rFonts w:hint="eastAsia" w:hAnsi="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zh-CN" w:eastAsia="zh-CN"/>
        </w:rPr>
        <w:t>乙方在其承诺的</w:t>
      </w:r>
      <w:r>
        <w:rPr>
          <w:rFonts w:hint="eastAsia" w:hAnsi="宋体" w:cs="宋体"/>
          <w:b w:val="0"/>
          <w:bCs w:val="0"/>
          <w:color w:val="auto"/>
          <w:sz w:val="21"/>
          <w:szCs w:val="21"/>
          <w:highlight w:val="none"/>
          <w:lang w:val="en-US" w:eastAsia="zh-CN"/>
        </w:rPr>
        <w:t>项目整体</w:t>
      </w:r>
      <w:r>
        <w:rPr>
          <w:rFonts w:hint="eastAsia" w:ascii="宋体" w:hAnsi="宋体" w:eastAsia="宋体" w:cs="宋体"/>
          <w:b w:val="0"/>
          <w:bCs w:val="0"/>
          <w:color w:val="auto"/>
          <w:sz w:val="21"/>
          <w:szCs w:val="21"/>
          <w:highlight w:val="none"/>
          <w:lang w:val="zh-CN" w:eastAsia="zh-CN"/>
        </w:rPr>
        <w:t>质保期内，每年至少一次委托具备光伏组件相关</w:t>
      </w:r>
      <w:r>
        <w:rPr>
          <w:rFonts w:hint="eastAsia"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val="zh-CN" w:eastAsia="zh-CN"/>
        </w:rPr>
        <w:t>CMA、CNAS资质的三方检测单位对各子项的光伏组件衰减率进行随机抽查</w:t>
      </w:r>
      <w:r>
        <w:rPr>
          <w:rFonts w:hint="eastAsia" w:hAnsi="宋体" w:cs="宋体"/>
          <w:b w:val="0"/>
          <w:bCs w:val="0"/>
          <w:color w:val="auto"/>
          <w:sz w:val="21"/>
          <w:szCs w:val="21"/>
          <w:highlight w:val="none"/>
          <w:lang w:val="zh-CN" w:eastAsia="zh-CN"/>
        </w:rPr>
        <w:t>（</w:t>
      </w:r>
      <w:r>
        <w:rPr>
          <w:rFonts w:hint="eastAsia" w:hAnsi="宋体" w:cs="宋体"/>
          <w:b w:val="0"/>
          <w:bCs w:val="0"/>
          <w:color w:val="auto"/>
          <w:sz w:val="21"/>
          <w:szCs w:val="21"/>
          <w:highlight w:val="none"/>
          <w:lang w:val="en-US" w:eastAsia="zh-CN"/>
        </w:rPr>
        <w:t>检测费用由乙方承担</w:t>
      </w:r>
      <w:r>
        <w:rPr>
          <w:rFonts w:hint="eastAsia" w:hAnsi="宋体" w:cs="宋体"/>
          <w:b w:val="0"/>
          <w:bCs w:val="0"/>
          <w:color w:val="auto"/>
          <w:sz w:val="21"/>
          <w:szCs w:val="21"/>
          <w:highlight w:val="none"/>
          <w:lang w:val="zh-CN" w:eastAsia="zh-CN"/>
        </w:rPr>
        <w:t>），</w:t>
      </w:r>
      <w:r>
        <w:rPr>
          <w:rFonts w:hint="eastAsia" w:hAnsi="宋体" w:cs="宋体"/>
          <w:b w:val="0"/>
          <w:bCs w:val="0"/>
          <w:color w:val="auto"/>
          <w:sz w:val="21"/>
          <w:szCs w:val="21"/>
          <w:highlight w:val="none"/>
          <w:lang w:val="en-US" w:eastAsia="zh-CN"/>
        </w:rPr>
        <w:t>现场</w:t>
      </w:r>
      <w:r>
        <w:rPr>
          <w:rFonts w:hint="eastAsia" w:ascii="宋体" w:hAnsi="宋体" w:eastAsia="宋体" w:cs="宋体"/>
          <w:b w:val="0"/>
          <w:bCs w:val="0"/>
          <w:color w:val="auto"/>
          <w:sz w:val="21"/>
          <w:szCs w:val="21"/>
          <w:highlight w:val="none"/>
          <w:lang w:val="zh-CN" w:eastAsia="zh-CN"/>
        </w:rPr>
        <w:t>检测每个子项抽检数量不少于</w:t>
      </w:r>
      <w:r>
        <w:rPr>
          <w:rFonts w:hint="eastAsia"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eastAsia="zh-CN"/>
        </w:rPr>
        <w:t>块，并出具检测报告加盖CMA或CNAS章</w:t>
      </w:r>
      <w:r>
        <w:rPr>
          <w:rFonts w:hint="eastAsia" w:hAnsi="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lang w:val="zh-CN" w:eastAsia="zh-CN"/>
        </w:rPr>
        <w:t>检测不合格的，乙方应向甲方支付</w:t>
      </w:r>
      <w:r>
        <w:rPr>
          <w:rFonts w:hint="eastAsia" w:hAnsi="宋体" w:cs="宋体"/>
          <w:b w:val="0"/>
          <w:bCs w:val="0"/>
          <w:color w:val="auto"/>
          <w:sz w:val="21"/>
          <w:szCs w:val="21"/>
          <w:highlight w:val="none"/>
          <w:lang w:val="en-US" w:eastAsia="zh-CN"/>
        </w:rPr>
        <w:t>每个子项目</w:t>
      </w:r>
      <w:r>
        <w:rPr>
          <w:rFonts w:hint="eastAsia" w:ascii="宋体" w:hAnsi="宋体" w:eastAsia="宋体" w:cs="宋体"/>
          <w:b w:val="0"/>
          <w:bCs w:val="0"/>
          <w:color w:val="auto"/>
          <w:sz w:val="21"/>
          <w:szCs w:val="21"/>
          <w:highlight w:val="none"/>
          <w:lang w:val="zh-CN" w:eastAsia="zh-CN"/>
        </w:rPr>
        <w:t>5,000.00元/次的违约金</w:t>
      </w:r>
      <w:r>
        <w:rPr>
          <w:rFonts w:hint="eastAsia" w:hAnsi="宋体" w:cs="宋体"/>
          <w:b w:val="0"/>
          <w:bCs w:val="0"/>
          <w:color w:val="auto"/>
          <w:sz w:val="21"/>
          <w:szCs w:val="21"/>
          <w:highlight w:val="none"/>
          <w:lang w:val="zh-CN" w:eastAsia="zh-CN"/>
        </w:rPr>
        <w:t>，</w:t>
      </w:r>
      <w:r>
        <w:rPr>
          <w:rFonts w:hint="eastAsia" w:ascii="宋体" w:hAnsi="宋体" w:eastAsia="宋体" w:cs="宋体"/>
          <w:b w:val="0"/>
          <w:bCs w:val="0"/>
          <w:color w:val="auto"/>
          <w:sz w:val="21"/>
          <w:szCs w:val="21"/>
          <w:highlight w:val="none"/>
        </w:rPr>
        <w:t>甲方有权要求限期整改</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并在甲方限期内整改完毕</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zh-CN" w:eastAsia="zh-CN"/>
        </w:rPr>
        <w:t>逾期未整改</w:t>
      </w:r>
      <w:r>
        <w:rPr>
          <w:rFonts w:hint="eastAsia" w:hAnsi="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乙方需向甲方支付</w:t>
      </w:r>
      <w:r>
        <w:rPr>
          <w:rFonts w:hint="eastAsia" w:hAnsi="宋体" w:cs="宋体"/>
          <w:b w:val="0"/>
          <w:bCs w:val="0"/>
          <w:color w:val="auto"/>
          <w:sz w:val="21"/>
          <w:szCs w:val="21"/>
          <w:highlight w:val="none"/>
          <w:lang w:val="en-US" w:eastAsia="zh-CN"/>
        </w:rPr>
        <w:t>该子项目结算合同价30%的违约金。</w:t>
      </w:r>
    </w:p>
    <w:p w14:paraId="281FA678">
      <w:pPr>
        <w:pStyle w:val="21"/>
        <w:spacing w:line="360" w:lineRule="auto"/>
        <w:ind w:firstLine="420" w:firstLineChars="200"/>
        <w:jc w:val="left"/>
      </w:pPr>
      <w:r>
        <w:rPr>
          <w:rFonts w:hint="eastAsia" w:ascii="宋体" w:hAnsi="宋体" w:eastAsia="宋体" w:cs="宋体"/>
          <w:b w:val="0"/>
          <w:bCs w:val="0"/>
          <w:color w:val="auto"/>
          <w:sz w:val="21"/>
          <w:szCs w:val="21"/>
          <w:highlight w:val="none"/>
          <w:lang w:val="zh-CN" w:eastAsia="zh-CN"/>
        </w:rPr>
        <w:t>乙方对于现场检测结果不认可的，可将当批次全部抽检组件送有CMA、CNAS资质认证的单位进行实验室检测，以实验室检测结果为准，检测费用由乙方全部承担。</w:t>
      </w:r>
    </w:p>
    <w:p w14:paraId="2C9F5E6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bCs/>
          <w:color w:val="auto"/>
          <w:szCs w:val="21"/>
          <w:highlight w:val="none"/>
        </w:rPr>
        <w:t>、乙方未根据本合同第十二条知识产权的约定，向甲方交付专利成果的，乙方应向甲方支付10万元的违约金。</w:t>
      </w:r>
    </w:p>
    <w:p w14:paraId="1604681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Hans"/>
        </w:rPr>
        <w:t>有权要求乙方</w:t>
      </w:r>
      <w:r>
        <w:rPr>
          <w:rFonts w:hint="eastAsia" w:ascii="宋体" w:hAnsi="宋体" w:eastAsia="宋体" w:cs="宋体"/>
          <w:color w:val="auto"/>
          <w:szCs w:val="21"/>
          <w:highlight w:val="none"/>
        </w:rPr>
        <w:t>按不含税固定每瓦单价</w:t>
      </w:r>
      <w:r>
        <w:rPr>
          <w:rFonts w:hint="eastAsia" w:ascii="宋体" w:hAnsi="宋体" w:eastAsia="宋体" w:cs="宋体"/>
          <w:color w:val="auto"/>
          <w:szCs w:val="21"/>
          <w:highlight w:val="none"/>
          <w:lang w:val="en-US" w:eastAsia="zh-CN"/>
        </w:rPr>
        <w:t>×转包项目的暂定装机容量</w:t>
      </w:r>
      <w:r>
        <w:rPr>
          <w:rFonts w:hint="eastAsia" w:ascii="宋体" w:hAnsi="宋体" w:eastAsia="宋体" w:cs="宋体"/>
          <w:color w:val="auto"/>
          <w:szCs w:val="21"/>
          <w:highlight w:val="none"/>
        </w:rPr>
        <w:t>计算的5</w:t>
      </w:r>
      <w:r>
        <w:rPr>
          <w:rFonts w:hint="eastAsia" w:ascii="宋体" w:hAnsi="宋体" w:eastAsia="宋体" w:cs="宋体"/>
          <w:color w:val="auto"/>
          <w:szCs w:val="21"/>
          <w:highlight w:val="none"/>
          <w:lang w:eastAsia="zh-Hans"/>
        </w:rPr>
        <w:t>%承担违约责任</w:t>
      </w:r>
      <w:r>
        <w:rPr>
          <w:rFonts w:hint="eastAsia" w:ascii="宋体" w:hAnsi="宋体" w:eastAsia="宋体" w:cs="宋体"/>
          <w:color w:val="auto"/>
          <w:szCs w:val="21"/>
          <w:highlight w:val="none"/>
        </w:rPr>
        <w:t>，且甲方</w:t>
      </w:r>
      <w:r>
        <w:rPr>
          <w:rFonts w:hint="eastAsia" w:ascii="宋体" w:hAnsi="宋体" w:eastAsia="宋体" w:cs="宋体"/>
          <w:color w:val="auto"/>
          <w:szCs w:val="21"/>
          <w:highlight w:val="none"/>
          <w:lang w:eastAsia="zh-Hans"/>
        </w:rPr>
        <w:t>有权单方解除本合同</w:t>
      </w:r>
      <w:r>
        <w:rPr>
          <w:rFonts w:hint="eastAsia" w:ascii="宋体" w:hAnsi="宋体" w:eastAsia="宋体" w:cs="宋体"/>
          <w:color w:val="auto"/>
          <w:szCs w:val="21"/>
          <w:highlight w:val="none"/>
        </w:rPr>
        <w:t>。</w:t>
      </w:r>
    </w:p>
    <w:p w14:paraId="3DDF10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、乙方不得拖欠</w:t>
      </w:r>
      <w:r>
        <w:rPr>
          <w:rFonts w:hint="eastAsia" w:ascii="宋体" w:hAnsi="宋体" w:eastAsia="宋体" w:cs="宋体"/>
          <w:bCs/>
          <w:color w:val="auto"/>
          <w:szCs w:val="21"/>
          <w:highlight w:val="none"/>
        </w:rPr>
        <w:t>农民工工资、劳务单位劳务费、供应商货款等</w:t>
      </w:r>
      <w:r>
        <w:rPr>
          <w:rFonts w:hint="eastAsia" w:ascii="宋体" w:hAnsi="宋体" w:eastAsia="宋体" w:cs="宋体"/>
          <w:color w:val="auto"/>
          <w:szCs w:val="21"/>
          <w:highlight w:val="none"/>
        </w:rPr>
        <w:t>第三方任何款项，</w:t>
      </w:r>
      <w:r>
        <w:rPr>
          <w:rFonts w:hint="eastAsia" w:ascii="宋体" w:hAnsi="宋体" w:eastAsia="宋体" w:cs="宋体"/>
          <w:bCs/>
          <w:color w:val="auto"/>
          <w:szCs w:val="21"/>
          <w:highlight w:val="none"/>
        </w:rPr>
        <w:t>如因乙方拖欠农民工工资等引发集体维权事件，经甲方或相关主管部门核实后，甲方有权从应付合同款中暂扣相应未结清款项。</w:t>
      </w:r>
      <w:r>
        <w:rPr>
          <w:rFonts w:hint="eastAsia" w:ascii="宋体" w:hAnsi="宋体" w:eastAsia="宋体" w:cs="宋体"/>
          <w:color w:val="auto"/>
          <w:szCs w:val="21"/>
          <w:highlight w:val="none"/>
        </w:rPr>
        <w:t>同时，</w:t>
      </w:r>
      <w:r>
        <w:rPr>
          <w:rFonts w:hint="eastAsia" w:ascii="宋体" w:hAnsi="宋体" w:eastAsia="宋体" w:cs="宋体"/>
          <w:color w:val="auto"/>
          <w:szCs w:val="21"/>
          <w:highlight w:val="none"/>
          <w:lang w:eastAsia="zh-Hans"/>
        </w:rPr>
        <w:t>乙方确认，</w:t>
      </w:r>
      <w:r>
        <w:rPr>
          <w:rFonts w:hint="eastAsia" w:ascii="宋体" w:hAnsi="宋体" w:eastAsia="宋体" w:cs="宋体"/>
          <w:color w:val="auto"/>
          <w:szCs w:val="21"/>
          <w:highlight w:val="none"/>
        </w:rPr>
        <w:t>因乙方拖欠</w:t>
      </w:r>
      <w:r>
        <w:rPr>
          <w:rFonts w:hint="eastAsia" w:ascii="宋体" w:hAnsi="宋体" w:eastAsia="宋体" w:cs="宋体"/>
          <w:bCs/>
          <w:color w:val="auto"/>
          <w:szCs w:val="21"/>
          <w:highlight w:val="none"/>
        </w:rPr>
        <w:t>农民工工资、劳务单位劳务费、</w:t>
      </w:r>
      <w:r>
        <w:rPr>
          <w:rFonts w:hint="eastAsia" w:ascii="宋体" w:hAnsi="宋体" w:eastAsia="宋体" w:cs="宋体"/>
          <w:color w:val="auto"/>
          <w:szCs w:val="21"/>
          <w:highlight w:val="none"/>
        </w:rPr>
        <w:t>供应商货款</w:t>
      </w:r>
      <w:r>
        <w:rPr>
          <w:rFonts w:hint="eastAsia" w:ascii="宋体" w:hAnsi="宋体" w:eastAsia="宋体" w:cs="宋体"/>
          <w:color w:val="auto"/>
          <w:szCs w:val="21"/>
          <w:highlight w:val="none"/>
          <w:lang w:eastAsia="zh-Hans"/>
        </w:rPr>
        <w:t>、乙方员工或劳务、安全事故等引致的付款请求或其他权利主张，由乙方负责承担和处理。如因乙方原因导致甲方被列为承担连带责任方或被上访单位，且相关生效判决/裁决判定甲方需向相关人员承担责任或基于维稳等原因导致甲方必须支付相关费用的，甲方在支付相关费用后有权从合同款中直接抵扣，且甲方因此发生的诉讼费、</w:t>
      </w:r>
      <w:r>
        <w:rPr>
          <w:rFonts w:hint="eastAsia" w:ascii="宋体" w:hAnsi="宋体" w:eastAsia="宋体" w:cs="宋体"/>
          <w:color w:val="auto"/>
          <w:szCs w:val="21"/>
          <w:highlight w:val="none"/>
        </w:rPr>
        <w:t>财产保全责任保险费/担保费、</w:t>
      </w:r>
      <w:r>
        <w:rPr>
          <w:rFonts w:hint="eastAsia" w:ascii="宋体" w:hAnsi="宋体" w:eastAsia="宋体" w:cs="宋体"/>
          <w:color w:val="auto"/>
          <w:szCs w:val="21"/>
          <w:highlight w:val="none"/>
          <w:lang w:eastAsia="zh-Hans"/>
        </w:rPr>
        <w:t>鉴定评估费、律师费、出具银行保函产生的费用、垫付款项利息损失（按中国人民银行同期贷款利率LPR的4倍计算）等全部损失，以及乙方应承担的违约金等，乙方亦同意由甲方在合同款中直接抵扣，如合同款不足以抵扣的，乙方还应另行向甲方支付。如因乙方原因</w:t>
      </w:r>
      <w:r>
        <w:rPr>
          <w:rFonts w:hint="eastAsia" w:ascii="宋体" w:hAnsi="宋体" w:eastAsia="宋体" w:cs="宋体"/>
          <w:color w:val="auto"/>
          <w:szCs w:val="21"/>
          <w:highlight w:val="none"/>
        </w:rPr>
        <w:t>导致甲方对外承担责任的，甲方有权解除本合同，并有权要求乙方支付甲方对外承担费用，同时并应按甲方对外承担费用金额20%赔偿甲方损失，如不足以赔偿的，应按甲方实际损失赔偿。</w:t>
      </w:r>
    </w:p>
    <w:p w14:paraId="16E1225A">
      <w:pPr>
        <w:numPr>
          <w:ilvl w:val="255"/>
          <w:numId w:val="0"/>
        </w:numPr>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因乙方违反本合同约定导致甲方权益受损的，甲方为维护自身权益所支付的所有费用均由乙方承担，包括但不限于甲方为此支付的</w:t>
      </w:r>
      <w:r>
        <w:rPr>
          <w:rFonts w:hint="eastAsia" w:ascii="宋体" w:hAnsi="宋体" w:eastAsia="宋体" w:cs="宋体"/>
          <w:color w:val="auto"/>
          <w:szCs w:val="21"/>
          <w:highlight w:val="none"/>
        </w:rPr>
        <w:t>诉讼费、律师费、鉴定费、公证费、交通住宿费、财产保全责任保险费、调查取证费等全部</w:t>
      </w:r>
      <w:r>
        <w:rPr>
          <w:rFonts w:hint="eastAsia" w:ascii="宋体" w:hAnsi="宋体" w:eastAsia="宋体" w:cs="宋体"/>
          <w:color w:val="auto"/>
          <w:szCs w:val="21"/>
          <w:highlight w:val="none"/>
          <w:lang w:eastAsia="zh-Hans"/>
        </w:rPr>
        <w:t>费用。</w:t>
      </w:r>
    </w:p>
    <w:p w14:paraId="761F8585">
      <w:pPr>
        <w:numPr>
          <w:ilvl w:val="255"/>
          <w:numId w:val="0"/>
        </w:numPr>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val="en-US" w:eastAsia="zh-CN"/>
        </w:rPr>
        <w:t>15、本合同下乙方向甲方支付各项违约金累计不超过本合同暂定不含税总价的10%。</w:t>
      </w:r>
    </w:p>
    <w:p w14:paraId="31DFF903">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w:t>
      </w:r>
      <w:bookmarkStart w:id="797" w:name="OLE_LINK432"/>
      <w:r>
        <w:rPr>
          <w:rFonts w:hint="eastAsia" w:ascii="宋体" w:hAnsi="宋体" w:eastAsia="宋体" w:cs="宋体"/>
          <w:b/>
          <w:color w:val="auto"/>
          <w:szCs w:val="21"/>
          <w:highlight w:val="none"/>
        </w:rPr>
        <w:t>二十</w:t>
      </w:r>
      <w:bookmarkEnd w:id="797"/>
      <w:r>
        <w:rPr>
          <w:rFonts w:hint="eastAsia" w:ascii="宋体" w:hAnsi="宋体" w:eastAsia="宋体" w:cs="宋体"/>
          <w:b/>
          <w:color w:val="auto"/>
          <w:szCs w:val="21"/>
          <w:highlight w:val="none"/>
        </w:rPr>
        <w:t xml:space="preserve">二条 </w:t>
      </w:r>
      <w:bookmarkStart w:id="798" w:name="OLE_LINK106"/>
      <w:r>
        <w:rPr>
          <w:rFonts w:hint="eastAsia" w:ascii="宋体" w:hAnsi="宋体" w:eastAsia="宋体" w:cs="宋体"/>
          <w:b/>
          <w:color w:val="auto"/>
          <w:szCs w:val="21"/>
          <w:highlight w:val="none"/>
        </w:rPr>
        <w:t>争议解决</w:t>
      </w:r>
      <w:bookmarkEnd w:id="798"/>
    </w:p>
    <w:p w14:paraId="5C5E4A57">
      <w:pPr>
        <w:pStyle w:val="21"/>
        <w:adjustRightInd/>
        <w:spacing w:line="360" w:lineRule="auto"/>
        <w:ind w:right="0" w:firstLine="420" w:firstLineChars="20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双方在履约中发生争执和分歧，双方应通过友好协商解决，如不能通过友好协商解决的，任何一方均可向甲方住所地有管辖权的人民法院提起诉讼解决。</w:t>
      </w:r>
    </w:p>
    <w:p w14:paraId="4210C54E">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第二十三条 </w:t>
      </w:r>
      <w:bookmarkStart w:id="799" w:name="OLE_LINK111"/>
      <w:r>
        <w:rPr>
          <w:rFonts w:hint="eastAsia" w:ascii="宋体" w:hAnsi="宋体" w:eastAsia="宋体" w:cs="宋体"/>
          <w:b/>
          <w:color w:val="auto"/>
          <w:szCs w:val="21"/>
          <w:highlight w:val="none"/>
        </w:rPr>
        <w:t>送达</w:t>
      </w:r>
      <w:bookmarkEnd w:id="799"/>
    </w:p>
    <w:p w14:paraId="4FA7537D">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 xml:space="preserve">1、甲乙双方就本合同中涉及各类通知、协议等文件以及就合同发生纠纷时相关文件和法律文书送达时的送达地址及法律后果作如下约定： </w:t>
      </w:r>
    </w:p>
    <w:p w14:paraId="2678A1C2">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 xml:space="preserve">甲方确认其有效的送达地址为【】；联系人：【】；联系电话【】。 </w:t>
      </w:r>
    </w:p>
    <w:p w14:paraId="220B41B6">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乙方确认其有效的送达地址为【】；联系人：【】；联系电话【】。</w:t>
      </w:r>
    </w:p>
    <w:p w14:paraId="3D174914">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1869AE88">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5F217865">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3、甲方的送达地址需要变更时应当履行及时通知的义务，应提前【</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】个工作日通过【</w:t>
      </w:r>
      <w:r>
        <w:rPr>
          <w:rFonts w:hint="eastAsia" w:hAnsi="宋体" w:cs="宋体"/>
          <w:b w:val="0"/>
          <w:bCs w:val="0"/>
          <w:color w:val="auto"/>
          <w:sz w:val="21"/>
          <w:szCs w:val="21"/>
          <w:highlight w:val="none"/>
          <w:lang w:val="en-US"/>
        </w:rPr>
        <w:t>电话</w:t>
      </w:r>
      <w:r>
        <w:rPr>
          <w:rFonts w:hint="eastAsia" w:hAnsi="宋体" w:cs="宋体"/>
          <w:b w:val="0"/>
          <w:bCs w:val="0"/>
          <w:color w:val="auto"/>
          <w:sz w:val="21"/>
          <w:szCs w:val="21"/>
          <w:highlight w:val="none"/>
        </w:rPr>
        <w:t>】的方式向乙方进行通知；乙方的送达地址需要变更时应当履行及时通知的义务，应提前【</w:t>
      </w:r>
      <w:r>
        <w:rPr>
          <w:rFonts w:hint="eastAsia" w:hAnsi="宋体" w:cs="宋体"/>
          <w:b w:val="0"/>
          <w:bCs w:val="0"/>
          <w:color w:val="auto"/>
          <w:sz w:val="21"/>
          <w:szCs w:val="21"/>
          <w:highlight w:val="none"/>
          <w:lang w:val="en-US"/>
        </w:rPr>
        <w:t>3</w:t>
      </w:r>
      <w:r>
        <w:rPr>
          <w:rFonts w:hint="eastAsia" w:hAnsi="宋体" w:cs="宋体"/>
          <w:b w:val="0"/>
          <w:bCs w:val="0"/>
          <w:color w:val="auto"/>
          <w:sz w:val="21"/>
          <w:szCs w:val="21"/>
          <w:highlight w:val="none"/>
        </w:rPr>
        <w:t>】个工作日通过【</w:t>
      </w:r>
      <w:r>
        <w:rPr>
          <w:rFonts w:hint="eastAsia" w:hAnsi="宋体" w:cs="宋体"/>
          <w:b w:val="0"/>
          <w:bCs w:val="0"/>
          <w:color w:val="auto"/>
          <w:sz w:val="21"/>
          <w:szCs w:val="21"/>
          <w:highlight w:val="none"/>
          <w:lang w:val="en-US"/>
        </w:rPr>
        <w:t>电话</w:t>
      </w:r>
      <w:r>
        <w:rPr>
          <w:rFonts w:hint="eastAsia" w:hAnsi="宋体" w:cs="宋体"/>
          <w:b w:val="0"/>
          <w:bCs w:val="0"/>
          <w:color w:val="auto"/>
          <w:sz w:val="21"/>
          <w:szCs w:val="21"/>
          <w:highlight w:val="none"/>
        </w:rPr>
        <w:t>】的方式向甲方进行通知。</w:t>
      </w:r>
    </w:p>
    <w:p w14:paraId="2A4775FE">
      <w:pPr>
        <w:pStyle w:val="21"/>
        <w:adjustRightInd/>
        <w:spacing w:line="360" w:lineRule="auto"/>
        <w:ind w:right="0" w:firstLine="420" w:firstLineChars="200"/>
        <w:jc w:val="both"/>
        <w:rPr>
          <w:rFonts w:hAnsi="宋体" w:cs="宋体"/>
          <w:b w:val="0"/>
          <w:bCs w:val="0"/>
          <w:color w:val="auto"/>
          <w:sz w:val="21"/>
          <w:szCs w:val="21"/>
          <w:highlight w:val="none"/>
        </w:rPr>
      </w:pPr>
      <w:r>
        <w:rPr>
          <w:rFonts w:hint="eastAsia" w:hAnsi="宋体" w:cs="宋体"/>
          <w:b w:val="0"/>
          <w:bCs w:val="0"/>
          <w:color w:val="auto"/>
          <w:sz w:val="21"/>
          <w:szCs w:val="21"/>
          <w:highlight w:val="none"/>
        </w:rPr>
        <w:t>4、本条款具有独立法律效力，不因合同其他条款的无效而无效。</w:t>
      </w:r>
    </w:p>
    <w:p w14:paraId="60E8F826">
      <w:pPr>
        <w:spacing w:line="360" w:lineRule="auto"/>
        <w:ind w:firstLine="422" w:firstLineChars="200"/>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第二十四条 其他</w:t>
      </w:r>
    </w:p>
    <w:p w14:paraId="7B8F2A3A">
      <w:pPr>
        <w:numPr>
          <w:ilvl w:val="0"/>
          <w:numId w:val="11"/>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在本合同履行过程中，乙方不得消极怠工或拒不履行合同义务，否则将视为乙方违约，除按</w:t>
      </w:r>
      <w:bookmarkStart w:id="800" w:name="OLE_LINK271"/>
      <w:r>
        <w:rPr>
          <w:rFonts w:hint="eastAsia" w:ascii="宋体" w:hAnsi="宋体" w:eastAsia="宋体" w:cs="宋体"/>
          <w:color w:val="auto"/>
          <w:szCs w:val="21"/>
          <w:highlight w:val="none"/>
        </w:rPr>
        <w:t>本合同</w:t>
      </w:r>
      <w:bookmarkEnd w:id="800"/>
      <w:r>
        <w:rPr>
          <w:rFonts w:hint="eastAsia" w:ascii="宋体" w:hAnsi="宋体" w:eastAsia="宋体" w:cs="宋体"/>
          <w:color w:val="auto"/>
          <w:szCs w:val="21"/>
          <w:highlight w:val="none"/>
        </w:rPr>
        <w:t xml:space="preserve">约定追究违约责任外，甲方仍有权就违约事宜向乙方提出改正的通知，如在甲方限期内乙方仍拒不改正的，甲方有权单方解除合同，并有权依法委托有资质的第三方继续履行本合同义务，由此造成的一切损失由乙方全部承担。   </w:t>
      </w:r>
    </w:p>
    <w:p w14:paraId="18AA8E0C">
      <w:pPr>
        <w:numPr>
          <w:ilvl w:val="255"/>
          <w:numId w:val="0"/>
        </w:num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2、无论是否在质保期内，因货物质量问题发生安全事故或引起其他损失、造成不良后果的，乙方应承担全部责任及损失赔偿。</w:t>
      </w:r>
    </w:p>
    <w:p w14:paraId="71B748B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在合同期内，乙方在进入甲方场地前应签订《安全生产管理协议》。乙方须做好安全防护措施（包括但不限于不停产情况下池面上空作业的安全防护措施、高空作业防护措施、带电作业防护措施等），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7DC8633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在合同履行期间，若发现乙方投标文件更改或删除了招标文件用户需求书、采购清单内的项目或数量等情况时，并不能免除乙方按照图纸、标准与规范实施合同的任何责任，并将视为该项费用已包括在合同价款内，甲方不另行向乙方支付费用。</w:t>
      </w:r>
    </w:p>
    <w:p w14:paraId="21FEC5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b/>
          <w:bCs/>
          <w:color w:val="auto"/>
          <w:szCs w:val="21"/>
          <w:highlight w:val="none"/>
          <w:u w:val="single"/>
        </w:rPr>
        <w:t>双方确认合同签订后开展本项目工作存在的一切风险(包括项目取消、项目延期或停工、项目调整、项目范围及内容调整、服务范围及内容调整等)，项目实施过程中因发生上述风险时甲方有权单方解除或变更合同，不视为甲方违约，乙方承诺不因上述风险的发生而向甲方提出申请费用(或补偿费用、赔偿等)。若因上述风险的发生导致本合同解除或终止时，以合同解除或终止之日为标准先由双方协商重做处理，无法协商一致的按乙方实际已安装的组件进行结算，甲方无需对其他未安装或未交付货物及服务折算支付或补偿/赔偿</w:t>
      </w:r>
      <w:r>
        <w:rPr>
          <w:rFonts w:hint="eastAsia" w:ascii="宋体" w:hAnsi="宋体" w:eastAsia="宋体" w:cs="宋体"/>
          <w:color w:val="auto"/>
          <w:szCs w:val="21"/>
          <w:highlight w:val="none"/>
        </w:rPr>
        <w:t>。</w:t>
      </w:r>
    </w:p>
    <w:p w14:paraId="2087338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2D1F552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7、本合同自甲乙双方法定代表人或负责人签字并盖章之日起生效，至全部合同义务履行完毕时终止。</w:t>
      </w:r>
    </w:p>
    <w:p w14:paraId="113FD75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本合同所有附件及本项目的招标文件、答疑文件、投标文件、补充通知及相关承诺、协议等均为本合同有效组成部分，与本合同同具法律效力，该等文件与本合同正文约定不一致的，以有利于甲方的约定为准。</w:t>
      </w:r>
    </w:p>
    <w:p w14:paraId="38ADA8C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9、甲方依据本合同条款对乙方处以违约金、赔偿金、扣款、其他应付费用等款项的，乙方应在收到违约（赔偿、扣款或其他应付费用等款项）处理通知书之日起的五个工作日内书面授权乙方相关工作人员将款项交至甲方指定账户（须备注本项目名称），甲方向乙方提供收据。如乙方未按上述要求交纳违约金、赔偿、扣款等款项的，甲方不予审批乙方当期的请款。</w:t>
      </w:r>
    </w:p>
    <w:p w14:paraId="7FE8EDB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开户名称：</w:t>
      </w:r>
    </w:p>
    <w:p w14:paraId="26C1F0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p>
    <w:p w14:paraId="1604710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银行账号：</w:t>
      </w:r>
    </w:p>
    <w:p w14:paraId="4D0BF4DD">
      <w:pPr>
        <w:spacing w:line="360" w:lineRule="auto"/>
        <w:ind w:firstLine="420" w:firstLineChars="200"/>
        <w:rPr>
          <w:rFonts w:ascii="宋体" w:hAnsi="宋体" w:eastAsia="宋体" w:cs="宋体"/>
          <w:color w:val="auto"/>
          <w:szCs w:val="21"/>
          <w:highlight w:val="none"/>
        </w:rPr>
      </w:pPr>
      <w:bookmarkStart w:id="801" w:name="OLE_LINK272"/>
      <w:r>
        <w:rPr>
          <w:rFonts w:hint="eastAsia" w:ascii="宋体" w:hAnsi="宋体" w:eastAsia="宋体" w:cs="宋体"/>
          <w:color w:val="auto"/>
          <w:szCs w:val="21"/>
          <w:highlight w:val="none"/>
        </w:rPr>
        <w:t>10、本合同未尽事宜，由双方协商处理。</w:t>
      </w:r>
    </w:p>
    <w:bookmarkEnd w:id="801"/>
    <w:p w14:paraId="048050C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合同附件：</w:t>
      </w:r>
    </w:p>
    <w:p w14:paraId="1201ED0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1.报价信封</w:t>
      </w:r>
    </w:p>
    <w:p w14:paraId="4EEF04D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2.用户需求书</w:t>
      </w:r>
    </w:p>
    <w:p w14:paraId="50E12B9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3.中标通知书</w:t>
      </w:r>
    </w:p>
    <w:p w14:paraId="393CD2C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bookmarkStart w:id="802" w:name="OLE_LINK312"/>
      <w:r>
        <w:rPr>
          <w:rFonts w:hint="eastAsia" w:ascii="宋体" w:hAnsi="宋体" w:eastAsia="宋体" w:cs="宋体"/>
          <w:color w:val="auto"/>
          <w:szCs w:val="21"/>
          <w:highlight w:val="none"/>
        </w:rPr>
        <w:t>安全生产管理协议</w:t>
      </w:r>
      <w:bookmarkEnd w:id="802"/>
    </w:p>
    <w:p w14:paraId="3DFD94B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w:t>
      </w:r>
      <w:bookmarkStart w:id="803" w:name="OLE_LINK113"/>
      <w:r>
        <w:rPr>
          <w:rFonts w:hint="eastAsia" w:ascii="宋体" w:hAnsi="宋体" w:eastAsia="宋体" w:cs="宋体"/>
          <w:color w:val="auto"/>
          <w:szCs w:val="21"/>
          <w:highlight w:val="none"/>
        </w:rPr>
        <w:t>廉洁协议书</w:t>
      </w:r>
      <w:bookmarkEnd w:id="803"/>
    </w:p>
    <w:p w14:paraId="573048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6.履约担保</w:t>
      </w:r>
    </w:p>
    <w:p w14:paraId="01712BA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.运维服务质量季度考核评分表</w:t>
      </w:r>
    </w:p>
    <w:p w14:paraId="0A36EF12">
      <w:pPr>
        <w:spacing w:line="360" w:lineRule="auto"/>
        <w:ind w:firstLine="420" w:firstLineChars="200"/>
        <w:rPr>
          <w:rFonts w:ascii="宋体" w:hAnsi="宋体" w:eastAsia="宋体" w:cs="宋体"/>
          <w:color w:val="auto"/>
          <w:szCs w:val="21"/>
          <w:highlight w:val="none"/>
        </w:rPr>
      </w:pPr>
      <w:bookmarkStart w:id="804" w:name="OLE_LINK273"/>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.招标文件（另附）</w:t>
      </w:r>
    </w:p>
    <w:p w14:paraId="40E09F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.投标文件（另附）</w:t>
      </w:r>
    </w:p>
    <w:bookmarkEnd w:id="804"/>
    <w:p w14:paraId="61E2644A">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kern w:val="0"/>
          <w:szCs w:val="21"/>
          <w:highlight w:val="none"/>
        </w:rPr>
        <w:t>(以下无正文内容为签字盖章页)</w:t>
      </w:r>
    </w:p>
    <w:p w14:paraId="3DEEC86E">
      <w:pPr>
        <w:snapToGrid w:val="0"/>
        <w:spacing w:line="360" w:lineRule="auto"/>
        <w:jc w:val="left"/>
        <w:rPr>
          <w:rFonts w:ascii="宋体" w:hAnsi="宋体" w:eastAsia="宋体" w:cs="宋体"/>
          <w:color w:val="auto"/>
          <w:szCs w:val="21"/>
          <w:highlight w:val="none"/>
        </w:rPr>
      </w:pPr>
    </w:p>
    <w:p w14:paraId="404DF9CF">
      <w:pPr>
        <w:pStyle w:val="21"/>
        <w:snapToGrid w:val="0"/>
        <w:spacing w:line="360" w:lineRule="auto"/>
        <w:ind w:right="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甲方：</w:t>
      </w:r>
      <w:r>
        <w:rPr>
          <w:rFonts w:hint="eastAsia" w:hAnsi="宋体" w:cs="宋体"/>
          <w:b w:val="0"/>
          <w:bCs w:val="0"/>
          <w:color w:val="auto"/>
          <w:sz w:val="21"/>
          <w:szCs w:val="21"/>
          <w:highlight w:val="none"/>
          <w:lang w:val="en-US"/>
        </w:rPr>
        <w:t xml:space="preserve">     </w:t>
      </w:r>
    </w:p>
    <w:p w14:paraId="336C74C3">
      <w:pPr>
        <w:pStyle w:val="21"/>
        <w:snapToGrid w:val="0"/>
        <w:spacing w:line="360" w:lineRule="auto"/>
        <w:ind w:right="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法定代表（或负责）人：</w:t>
      </w:r>
      <w:r>
        <w:rPr>
          <w:rFonts w:hint="eastAsia" w:hAnsi="宋体" w:cs="宋体"/>
          <w:b w:val="0"/>
          <w:bCs w:val="0"/>
          <w:color w:val="auto"/>
          <w:sz w:val="21"/>
          <w:szCs w:val="21"/>
          <w:highlight w:val="none"/>
          <w:lang w:val="en-US"/>
        </w:rPr>
        <w:t xml:space="preserve">                   </w:t>
      </w:r>
    </w:p>
    <w:p w14:paraId="6BF8301E">
      <w:pPr>
        <w:pStyle w:val="21"/>
        <w:snapToGrid w:val="0"/>
        <w:spacing w:line="360" w:lineRule="auto"/>
        <w:ind w:right="0"/>
        <w:jc w:val="left"/>
        <w:rPr>
          <w:rFonts w:hAnsi="宋体" w:cs="宋体"/>
          <w:color w:val="auto"/>
          <w:sz w:val="21"/>
          <w:szCs w:val="21"/>
          <w:highlight w:val="none"/>
          <w:lang w:val="en-US"/>
        </w:rPr>
      </w:pPr>
      <w:r>
        <w:rPr>
          <w:rFonts w:hint="eastAsia" w:hAnsi="宋体" w:cs="宋体"/>
          <w:b w:val="0"/>
          <w:bCs w:val="0"/>
          <w:color w:val="auto"/>
          <w:sz w:val="21"/>
          <w:szCs w:val="21"/>
          <w:highlight w:val="none"/>
          <w:lang w:val="en-US"/>
        </w:rPr>
        <w:t xml:space="preserve">                     </w:t>
      </w:r>
    </w:p>
    <w:p w14:paraId="252B9188">
      <w:pPr>
        <w:snapToGrid w:val="0"/>
        <w:spacing w:line="360" w:lineRule="auto"/>
        <w:rPr>
          <w:rFonts w:ascii="宋体" w:hAnsi="宋体" w:eastAsia="宋体" w:cs="宋体"/>
          <w:color w:val="auto"/>
          <w:szCs w:val="21"/>
          <w:highlight w:val="none"/>
        </w:rPr>
      </w:pPr>
    </w:p>
    <w:p w14:paraId="005A740B">
      <w:pPr>
        <w:spacing w:line="360" w:lineRule="auto"/>
        <w:rPr>
          <w:rFonts w:ascii="宋体" w:hAnsi="宋体" w:eastAsia="宋体" w:cs="宋体"/>
          <w:color w:val="auto"/>
          <w:szCs w:val="21"/>
          <w:highlight w:val="none"/>
        </w:rPr>
      </w:pPr>
    </w:p>
    <w:p w14:paraId="0CC07462">
      <w:pPr>
        <w:spacing w:line="360" w:lineRule="auto"/>
        <w:rPr>
          <w:rFonts w:ascii="宋体" w:hAnsi="宋体" w:eastAsia="宋体" w:cs="宋体"/>
          <w:color w:val="auto"/>
          <w:szCs w:val="21"/>
          <w:highlight w:val="none"/>
        </w:rPr>
      </w:pPr>
    </w:p>
    <w:p w14:paraId="1B50CCAC">
      <w:pPr>
        <w:pStyle w:val="21"/>
        <w:snapToGrid w:val="0"/>
        <w:spacing w:line="360" w:lineRule="auto"/>
        <w:ind w:right="0"/>
        <w:jc w:val="left"/>
        <w:rPr>
          <w:rFonts w:hAnsi="宋体" w:cs="宋体"/>
          <w:color w:val="auto"/>
          <w:sz w:val="21"/>
          <w:szCs w:val="21"/>
          <w:highlight w:val="none"/>
        </w:rPr>
      </w:pPr>
    </w:p>
    <w:p w14:paraId="7BDF9AEA">
      <w:pPr>
        <w:pStyle w:val="21"/>
        <w:snapToGrid w:val="0"/>
        <w:spacing w:line="360" w:lineRule="auto"/>
        <w:ind w:right="0"/>
        <w:jc w:val="left"/>
        <w:rPr>
          <w:rFonts w:hAnsi="宋体" w:cs="宋体"/>
          <w:b w:val="0"/>
          <w:bCs w:val="0"/>
          <w:color w:val="auto"/>
          <w:sz w:val="21"/>
          <w:szCs w:val="21"/>
          <w:highlight w:val="none"/>
        </w:rPr>
      </w:pPr>
      <w:r>
        <w:rPr>
          <w:rFonts w:hint="eastAsia" w:hAnsi="宋体" w:cs="宋体"/>
          <w:b w:val="0"/>
          <w:bCs w:val="0"/>
          <w:color w:val="auto"/>
          <w:sz w:val="21"/>
          <w:szCs w:val="21"/>
          <w:highlight w:val="none"/>
          <w:lang w:val="en-US"/>
        </w:rPr>
        <w:t>乙</w:t>
      </w:r>
      <w:r>
        <w:rPr>
          <w:rFonts w:hint="eastAsia" w:hAnsi="宋体" w:cs="宋体"/>
          <w:b w:val="0"/>
          <w:bCs w:val="0"/>
          <w:color w:val="auto"/>
          <w:sz w:val="21"/>
          <w:szCs w:val="21"/>
          <w:highlight w:val="none"/>
        </w:rPr>
        <w:t>方：</w:t>
      </w:r>
    </w:p>
    <w:p w14:paraId="759E156A">
      <w:pPr>
        <w:pStyle w:val="21"/>
        <w:snapToGrid w:val="0"/>
        <w:spacing w:line="360" w:lineRule="auto"/>
        <w:ind w:right="0"/>
        <w:jc w:val="left"/>
        <w:rPr>
          <w:rFonts w:hAnsi="宋体" w:cs="宋体"/>
          <w:b w:val="0"/>
          <w:bCs w:val="0"/>
          <w:color w:val="auto"/>
          <w:sz w:val="21"/>
          <w:szCs w:val="21"/>
          <w:highlight w:val="none"/>
        </w:rPr>
      </w:pPr>
      <w:r>
        <w:rPr>
          <w:rFonts w:hint="eastAsia" w:hAnsi="宋体" w:cs="宋体"/>
          <w:b w:val="0"/>
          <w:bCs w:val="0"/>
          <w:color w:val="auto"/>
          <w:sz w:val="21"/>
          <w:szCs w:val="21"/>
          <w:highlight w:val="none"/>
        </w:rPr>
        <w:t>法定代表（或负责）人：</w:t>
      </w:r>
    </w:p>
    <w:p w14:paraId="1737FA31">
      <w:pPr>
        <w:pStyle w:val="21"/>
        <w:snapToGrid w:val="0"/>
        <w:spacing w:line="360" w:lineRule="auto"/>
        <w:ind w:right="0"/>
        <w:jc w:val="left"/>
        <w:rPr>
          <w:rFonts w:hAnsi="宋体" w:cs="宋体"/>
          <w:b w:val="0"/>
          <w:bCs w:val="0"/>
          <w:color w:val="auto"/>
          <w:sz w:val="21"/>
          <w:szCs w:val="21"/>
          <w:highlight w:val="none"/>
        </w:rPr>
      </w:pPr>
    </w:p>
    <w:p w14:paraId="182F7CBD">
      <w:pPr>
        <w:pStyle w:val="21"/>
        <w:snapToGrid w:val="0"/>
        <w:spacing w:line="360" w:lineRule="auto"/>
        <w:ind w:right="0"/>
        <w:jc w:val="left"/>
        <w:rPr>
          <w:rFonts w:hAnsi="宋体" w:cs="宋体"/>
          <w:b w:val="0"/>
          <w:bCs w:val="0"/>
          <w:color w:val="auto"/>
          <w:sz w:val="21"/>
          <w:szCs w:val="21"/>
          <w:highlight w:val="none"/>
        </w:rPr>
      </w:pPr>
    </w:p>
    <w:p w14:paraId="597A2AEE">
      <w:pPr>
        <w:spacing w:line="360" w:lineRule="auto"/>
        <w:rPr>
          <w:rFonts w:ascii="宋体" w:hAnsi="宋体" w:eastAsia="宋体" w:cs="宋体"/>
          <w:color w:val="auto"/>
          <w:szCs w:val="21"/>
          <w:highlight w:val="none"/>
        </w:rPr>
      </w:pPr>
    </w:p>
    <w:p w14:paraId="7AA0BBA8">
      <w:pPr>
        <w:pStyle w:val="21"/>
        <w:snapToGrid w:val="0"/>
        <w:spacing w:line="360" w:lineRule="auto"/>
        <w:ind w:right="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签约日期：</w:t>
      </w:r>
      <w:r>
        <w:rPr>
          <w:rFonts w:hint="eastAsia" w:hAnsi="宋体" w:cs="宋体"/>
          <w:b w:val="0"/>
          <w:bCs w:val="0"/>
          <w:color w:val="auto"/>
          <w:sz w:val="21"/>
          <w:szCs w:val="21"/>
          <w:highlight w:val="none"/>
          <w:lang w:val="en-US"/>
        </w:rPr>
        <w:t xml:space="preserve">  年    月     日       </w:t>
      </w:r>
    </w:p>
    <w:p w14:paraId="082A50C6">
      <w:pPr>
        <w:pStyle w:val="21"/>
        <w:snapToGrid w:val="0"/>
        <w:spacing w:line="360" w:lineRule="auto"/>
        <w:ind w:right="0"/>
        <w:jc w:val="left"/>
        <w:rPr>
          <w:rFonts w:hAnsi="宋体" w:cs="宋体"/>
          <w:b w:val="0"/>
          <w:bCs w:val="0"/>
          <w:color w:val="auto"/>
          <w:sz w:val="21"/>
          <w:szCs w:val="21"/>
          <w:highlight w:val="none"/>
          <w:lang w:val="en-US"/>
        </w:rPr>
      </w:pPr>
      <w:r>
        <w:rPr>
          <w:rFonts w:hint="eastAsia" w:hAnsi="宋体" w:cs="宋体"/>
          <w:b w:val="0"/>
          <w:bCs w:val="0"/>
          <w:color w:val="auto"/>
          <w:sz w:val="21"/>
          <w:szCs w:val="21"/>
          <w:highlight w:val="none"/>
        </w:rPr>
        <w:t>签约地点：</w:t>
      </w:r>
      <w:r>
        <w:rPr>
          <w:rFonts w:hint="eastAsia" w:hAnsi="宋体" w:cs="宋体"/>
          <w:b w:val="0"/>
          <w:bCs w:val="0"/>
          <w:color w:val="auto"/>
          <w:sz w:val="21"/>
          <w:szCs w:val="21"/>
          <w:highlight w:val="none"/>
          <w:lang w:val="en-US"/>
        </w:rPr>
        <w:t>广东省东莞市</w:t>
      </w:r>
    </w:p>
    <w:p w14:paraId="2C3FD665">
      <w:pPr>
        <w:autoSpaceDE w:val="0"/>
        <w:autoSpaceDN w:val="0"/>
        <w:adjustRightInd w:val="0"/>
        <w:jc w:val="left"/>
        <w:rPr>
          <w:rFonts w:ascii="宋体" w:hAnsi="宋体" w:eastAsia="宋体" w:cs="宋体"/>
          <w:b/>
          <w:bCs/>
          <w:color w:val="auto"/>
          <w:kern w:val="0"/>
          <w:sz w:val="28"/>
          <w:szCs w:val="28"/>
          <w:highlight w:val="none"/>
          <w:lang w:bidi="ar"/>
        </w:rPr>
      </w:pPr>
    </w:p>
    <w:p w14:paraId="1613C7F2">
      <w:pPr>
        <w:autoSpaceDE w:val="0"/>
        <w:autoSpaceDN w:val="0"/>
        <w:adjustRightInd w:val="0"/>
        <w:jc w:val="left"/>
        <w:rPr>
          <w:rFonts w:ascii="宋体" w:hAnsi="宋体" w:eastAsia="宋体" w:cs="宋体"/>
          <w:b/>
          <w:bCs/>
          <w:color w:val="auto"/>
          <w:kern w:val="0"/>
          <w:sz w:val="28"/>
          <w:szCs w:val="28"/>
          <w:highlight w:val="none"/>
          <w:lang w:bidi="ar"/>
        </w:rPr>
      </w:pPr>
    </w:p>
    <w:p w14:paraId="4CFCE796">
      <w:pPr>
        <w:autoSpaceDE w:val="0"/>
        <w:autoSpaceDN w:val="0"/>
        <w:adjustRightInd w:val="0"/>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bidi="ar"/>
        </w:rPr>
        <w:t xml:space="preserve"> </w:t>
      </w:r>
    </w:p>
    <w:p w14:paraId="3E3C72CF">
      <w:pPr>
        <w:rPr>
          <w:rFonts w:ascii="宋体" w:hAnsi="宋体" w:eastAsia="宋体" w:cs="宋体"/>
          <w:b/>
          <w:color w:val="auto"/>
          <w:szCs w:val="21"/>
          <w:highlight w:val="none"/>
        </w:rPr>
      </w:pPr>
      <w:r>
        <w:rPr>
          <w:rFonts w:hint="eastAsia" w:ascii="宋体" w:hAnsi="宋体" w:eastAsia="宋体" w:cs="宋体"/>
          <w:b/>
          <w:color w:val="auto"/>
          <w:szCs w:val="21"/>
          <w:highlight w:val="none"/>
        </w:rPr>
        <w:br w:type="page"/>
      </w:r>
    </w:p>
    <w:p w14:paraId="7CCD8CE5">
      <w:pPr>
        <w:adjustRightInd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附件4：安全生产管理协议</w:t>
      </w:r>
    </w:p>
    <w:p w14:paraId="6309D849">
      <w:pPr>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安全生产管理协议</w:t>
      </w:r>
    </w:p>
    <w:p w14:paraId="22E9C3D9">
      <w:pPr>
        <w:spacing w:line="360"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u w:val="single"/>
        </w:rPr>
        <w:t xml:space="preserve">                             </w:t>
      </w:r>
    </w:p>
    <w:p w14:paraId="1A23059A">
      <w:pPr>
        <w:pStyle w:val="40"/>
        <w:shd w:val="clear" w:color="auto" w:fill="FFFFFF"/>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p>
    <w:p w14:paraId="06D507E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东莞市发展和改革局分布式光伏发电项目建设管理办法》等安全生产相关法律法规的要求，为加强施工现场的安全管理，落实各自的安全生产职责，进一步加强施工单位和施工（运维）人员的安全管理，杜绝施工单位和施工（运维）人员因安全管理不善而引发的各类安全事故，保证甲、乙双方的财产和员工的人身安全不受侵害，经甲乙双方协商一致，签订协议如下：</w:t>
      </w:r>
    </w:p>
    <w:p w14:paraId="243152B5">
      <w:pPr>
        <w:numPr>
          <w:ilvl w:val="0"/>
          <w:numId w:val="12"/>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本项目在建设过程中乙方是责任主体并承担安全生产主体责任；本项目在建成并网并完成移交后，在本合同运维期内，乙方是本项目安全运行的责任主体。</w:t>
      </w:r>
    </w:p>
    <w:p w14:paraId="66D42300">
      <w:pPr>
        <w:numPr>
          <w:ilvl w:val="0"/>
          <w:numId w:val="12"/>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w:t>
      </w:r>
    </w:p>
    <w:p w14:paraId="084C96B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778B99D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4、乙方使用被派遣劳动者的，应当将被派遣劳动者纳入本单位从业人员统一管理，对被派遣劳动者进行岗位安全操作规程和安全操作技能的教育和培训。</w:t>
      </w:r>
    </w:p>
    <w:p w14:paraId="50FCDD4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677A0F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6、乙方应当教育和督促从业人员严格执行本单位的安全生产规章制度和安全操作规程；并向从业人员如实告知作业场所和工作岗位存在的危险因素、防范措施以及事故应急措施。</w:t>
      </w:r>
    </w:p>
    <w:p w14:paraId="72D9B3E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7、乙方应严格遵守国家、地方政府有关安全生产及劳动保护的法律法规、标准、规定，贯彻执行甲方的各项安全管理规章制度。</w:t>
      </w:r>
    </w:p>
    <w:p w14:paraId="6C57EBD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8、乙方依法参加工伤保险，为从业人员缴纳保险费，并应当为从事危险作业的人员办理意外伤害保险。</w:t>
      </w:r>
    </w:p>
    <w:p w14:paraId="3BA1F8E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10DA81E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E5990F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48F8B46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解除合同，并要求乙方清退出场。</w:t>
      </w:r>
    </w:p>
    <w:p w14:paraId="2446AC4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153CAF7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在施工过程中，需要进行动土、动火、登高、吊装、断路、进入限制性空间、不停产池面上空作业、高空作业、带电作业等危险性较高的作业时，乙方的施工负责人、专职或兼职安全员必须现场确认，确保安全后，方可开始施工。</w:t>
      </w:r>
    </w:p>
    <w:p w14:paraId="03BB902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15、因乙方原因，造成乙方损失，由乙方自负，给甲方造成财产损失和人员伤害，乙方要负全部责任，并全额赔偿甲方。</w:t>
      </w:r>
    </w:p>
    <w:p w14:paraId="153B8CF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16、非因甲方原因，造成乙方损失的，甲方不承担任何责任，由乙方自行承担全部责任。</w:t>
      </w:r>
    </w:p>
    <w:p w14:paraId="6FD389B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17、乙方应严格遵守法律法规以及甲方的安全管理要求，并接受甲方的安全生产工作协调和监督，积极消除安全隐患。安全管理的基本要求包括但不限于以下条款：</w:t>
      </w:r>
    </w:p>
    <w:p w14:paraId="06CF637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19518B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71B1A14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031CC20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1400707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368594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6EFC65B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55A6929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71B840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8C13FF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4A498DD">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18、乙方必须接受甲方的检查与监督，并应主动配合，做好安全工作，凡有违反上述协议的即视为乙方违约，甲方有权视情况从工程结算款/服务价款中扣除2000元/次作为违约金。</w:t>
      </w:r>
    </w:p>
    <w:p w14:paraId="2886144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6CC11EE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份，自双方法定代表人或负责人签字后生效。</w:t>
      </w:r>
    </w:p>
    <w:p w14:paraId="4AF033DA">
      <w:pPr>
        <w:spacing w:line="360" w:lineRule="auto"/>
        <w:rPr>
          <w:rFonts w:ascii="宋体" w:hAnsi="宋体" w:eastAsia="宋体" w:cs="宋体"/>
          <w:color w:val="auto"/>
          <w:szCs w:val="21"/>
          <w:highlight w:val="none"/>
        </w:rPr>
      </w:pPr>
    </w:p>
    <w:p w14:paraId="4661F96E">
      <w:pPr>
        <w:spacing w:line="360" w:lineRule="auto"/>
        <w:rPr>
          <w:rFonts w:ascii="宋体" w:hAnsi="宋体" w:eastAsia="宋体" w:cs="宋体"/>
          <w:bCs/>
          <w:color w:val="auto"/>
          <w:szCs w:val="21"/>
          <w:highlight w:val="none"/>
        </w:rPr>
      </w:pPr>
      <w:r>
        <w:rPr>
          <w:rFonts w:hint="eastAsia" w:ascii="宋体" w:hAnsi="宋体" w:eastAsia="宋体" w:cs="宋体"/>
          <w:bCs/>
          <w:color w:val="auto"/>
          <w:szCs w:val="21"/>
          <w:highlight w:val="none"/>
        </w:rPr>
        <w:t>乙方声明：</w:t>
      </w:r>
    </w:p>
    <w:p w14:paraId="2E0D3C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乙方已认真阅读协议内容，对协议条款、</w:t>
      </w:r>
      <w:r>
        <w:rPr>
          <w:rFonts w:hint="eastAsia" w:ascii="宋体" w:hAnsi="宋体" w:eastAsia="宋体" w:cs="宋体"/>
          <w:color w:val="auto"/>
          <w:szCs w:val="21"/>
          <w:highlight w:val="none"/>
          <w:u w:val="single"/>
        </w:rPr>
        <w:t>东莞市水务集团科技发展有限公司</w:t>
      </w:r>
      <w:r>
        <w:rPr>
          <w:rFonts w:hint="eastAsia" w:ascii="宋体" w:hAnsi="宋体" w:eastAsia="宋体" w:cs="宋体"/>
          <w:color w:val="auto"/>
          <w:szCs w:val="21"/>
          <w:highlight w:val="none"/>
        </w:rPr>
        <w:t>的安全管理要求、安全风险充分理解，并自愿承担因违约造成的一切后果。</w:t>
      </w:r>
    </w:p>
    <w:p w14:paraId="6F4F1A29">
      <w:pPr>
        <w:spacing w:line="360" w:lineRule="auto"/>
        <w:rPr>
          <w:rFonts w:ascii="宋体" w:hAnsi="宋体" w:eastAsia="宋体" w:cs="宋体"/>
          <w:color w:val="auto"/>
          <w:szCs w:val="21"/>
          <w:highlight w:val="none"/>
        </w:rPr>
      </w:pPr>
    </w:p>
    <w:p w14:paraId="04FC2A97">
      <w:pPr>
        <w:spacing w:line="360" w:lineRule="auto"/>
        <w:ind w:firstLine="424" w:firstLineChars="201"/>
        <w:rPr>
          <w:rFonts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  </w:t>
      </w:r>
    </w:p>
    <w:p w14:paraId="525261A7">
      <w:pPr>
        <w:pStyle w:val="21"/>
        <w:spacing w:line="360" w:lineRule="auto"/>
        <w:rPr>
          <w:rFonts w:hAnsi="宋体" w:cs="宋体"/>
          <w:color w:val="auto"/>
          <w:sz w:val="21"/>
          <w:szCs w:val="21"/>
          <w:highlight w:val="none"/>
        </w:rPr>
      </w:pPr>
    </w:p>
    <w:p w14:paraId="7746CB1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甲方（盖章）：                                   乙方（盖章）：</w:t>
      </w:r>
    </w:p>
    <w:p w14:paraId="6F537C6B">
      <w:pPr>
        <w:spacing w:line="360" w:lineRule="auto"/>
        <w:ind w:firstLine="424" w:firstLineChars="202"/>
        <w:rPr>
          <w:rFonts w:ascii="宋体" w:hAnsi="宋体" w:eastAsia="宋体" w:cs="宋体"/>
          <w:color w:val="auto"/>
          <w:szCs w:val="21"/>
          <w:highlight w:val="none"/>
        </w:rPr>
      </w:pPr>
    </w:p>
    <w:p w14:paraId="7A2BF9EA">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563BC250">
      <w:pPr>
        <w:spacing w:line="360" w:lineRule="auto"/>
        <w:ind w:firstLine="424" w:firstLineChars="202"/>
        <w:rPr>
          <w:rFonts w:ascii="宋体" w:hAnsi="宋体" w:eastAsia="宋体" w:cs="宋体"/>
          <w:color w:val="auto"/>
          <w:szCs w:val="21"/>
          <w:highlight w:val="none"/>
        </w:rPr>
      </w:pPr>
    </w:p>
    <w:p w14:paraId="2428FBA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    年  月  日</w:t>
      </w:r>
    </w:p>
    <w:p w14:paraId="46732D7B">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20A4E7F">
      <w:pPr>
        <w:adjustRightInd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附件5：廉洁协议书</w:t>
      </w:r>
    </w:p>
    <w:p w14:paraId="29E97A18">
      <w:pPr>
        <w:spacing w:line="360" w:lineRule="auto"/>
        <w:ind w:right="31" w:rightChars="15"/>
        <w:contextualSpacing/>
        <w:jc w:val="center"/>
        <w:rPr>
          <w:rFonts w:ascii="宋体" w:hAnsi="宋体" w:eastAsia="宋体" w:cs="宋体"/>
          <w:b/>
          <w:color w:val="auto"/>
          <w:sz w:val="28"/>
          <w:szCs w:val="28"/>
          <w:highlight w:val="none"/>
        </w:rPr>
      </w:pPr>
      <w:bookmarkStart w:id="805" w:name="_Toc45110891"/>
      <w:bookmarkEnd w:id="805"/>
      <w:bookmarkStart w:id="806" w:name="_Toc27037"/>
      <w:bookmarkEnd w:id="806"/>
      <w:bookmarkStart w:id="807" w:name="_Toc76971796"/>
      <w:bookmarkEnd w:id="807"/>
      <w:bookmarkStart w:id="808" w:name="_Toc20563"/>
      <w:bookmarkEnd w:id="808"/>
      <w:bookmarkStart w:id="809" w:name="_Toc14952"/>
      <w:bookmarkStart w:id="810" w:name="_Toc26382"/>
      <w:bookmarkStart w:id="811" w:name="_Toc12324"/>
      <w:bookmarkStart w:id="812" w:name="_Toc45110767"/>
      <w:bookmarkStart w:id="813" w:name="_Toc6181"/>
      <w:r>
        <w:rPr>
          <w:rFonts w:hint="eastAsia" w:ascii="宋体" w:hAnsi="宋体" w:eastAsia="宋体" w:cs="宋体"/>
          <w:b/>
          <w:color w:val="auto"/>
          <w:sz w:val="28"/>
          <w:szCs w:val="28"/>
          <w:highlight w:val="none"/>
          <w:lang w:bidi="ar"/>
        </w:rPr>
        <w:t>廉洁协议书</w:t>
      </w:r>
      <w:bookmarkEnd w:id="809"/>
      <w:bookmarkEnd w:id="810"/>
      <w:bookmarkEnd w:id="811"/>
      <w:bookmarkEnd w:id="812"/>
      <w:bookmarkEnd w:id="813"/>
    </w:p>
    <w:p w14:paraId="2D1A7D6E">
      <w:pPr>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项目名称：</w:t>
      </w:r>
      <w:r>
        <w:rPr>
          <w:rFonts w:hint="eastAsia" w:ascii="宋体" w:hAnsi="宋体" w:eastAsia="宋体" w:cs="宋体"/>
          <w:b/>
          <w:bCs/>
          <w:color w:val="auto"/>
          <w:szCs w:val="21"/>
          <w:highlight w:val="none"/>
          <w:lang w:eastAsia="zh-CN" w:bidi="ar"/>
        </w:rPr>
        <w:t>东莞市水务环境投资控股集团分布式光伏发电项目（第一批）净水厂项目</w:t>
      </w:r>
      <w:r>
        <w:rPr>
          <w:rFonts w:hint="eastAsia" w:ascii="宋体" w:hAnsi="宋体" w:eastAsia="宋体" w:cs="宋体"/>
          <w:b/>
          <w:bCs/>
          <w:color w:val="auto"/>
          <w:szCs w:val="21"/>
          <w:highlight w:val="none"/>
          <w:lang w:bidi="ar"/>
        </w:rPr>
        <w:t>（招标编号：            ）</w:t>
      </w:r>
    </w:p>
    <w:p w14:paraId="25A0E549">
      <w:pPr>
        <w:spacing w:line="360" w:lineRule="auto"/>
        <w:contextualSpacing/>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甲方（业主单位）：东莞市水务集团科技发展有限公司</w:t>
      </w:r>
    </w:p>
    <w:p w14:paraId="62A8888A">
      <w:pPr>
        <w:spacing w:line="360" w:lineRule="auto"/>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乙方：</w:t>
      </w:r>
    </w:p>
    <w:p w14:paraId="184E2F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98C38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  甲乙双方的权利和义务</w:t>
      </w:r>
    </w:p>
    <w:p w14:paraId="4F8AB4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（一）严格遵守党和国家有关法律法规等有关廉洁从业规定。</w:t>
      </w:r>
    </w:p>
    <w:p w14:paraId="6A0CB77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（二）严格执行本项目的合同文件，自觉按合同办事。</w:t>
      </w:r>
    </w:p>
    <w:p w14:paraId="2A4AEA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（三）双方的业务活动坚持公开、公正、诚信、透明的原则（除法律认定的商业秘密和合同文件另有规定之外）不得损害国家和集体利益，违反工程建设管理及其他法律法规规章制度。</w:t>
      </w:r>
    </w:p>
    <w:p w14:paraId="1FE30AB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（四）建立健全廉洁制度，开展廉洁教育，设立廉洁监督公示牌，公布举报电话，监督并认真查处违法违纪行为。</w:t>
      </w:r>
    </w:p>
    <w:p w14:paraId="6CBC37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（五）发现对方在业务活动中有违反廉洁规定的行为，有及时提醒对方纠正的权利和义务。</w:t>
      </w:r>
    </w:p>
    <w:p w14:paraId="5F8CAEE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（六）发现对方严重违反本协议义务条款的行为，有向其上级有关部门举报、建议给予处理并要求告知处理结果的权利。</w:t>
      </w:r>
    </w:p>
    <w:p w14:paraId="4EDBD4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  甲方的义务</w:t>
      </w:r>
    </w:p>
    <w:p w14:paraId="4E1904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（一）甲方及其工作人员不得索要或接受乙方的礼金、有价证券和贵重物品，不得在乙方报销任何应由甲方或个人支付的费用。</w:t>
      </w:r>
    </w:p>
    <w:p w14:paraId="5E797A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（二）甲方工作人员不得参加乙方安排的高消费宴请和娱乐活动；不得接受乙方提供的通讯工具、交通工具和高档办公用品。</w:t>
      </w:r>
    </w:p>
    <w:p w14:paraId="3859CA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（三）甲方及其工作人员不得要求或者接受乙方为其住房装修、婚丧嫁娶活动、家属或亲友的工作安排以及出国出境、旅游等提供方便。</w:t>
      </w:r>
    </w:p>
    <w:p w14:paraId="52312BD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（四）甲方工作人员不得向乙方介绍其家属或者亲友（包括家属或亲友开办的公司企业）从事于本项目涉及的经济业务活动。</w:t>
      </w:r>
    </w:p>
    <w:p w14:paraId="015431C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（五）甲方及其工作人员不得以任何理由向乙方推荐分包单位，不得要求乙方购买合同规定外的材料和设备。</w:t>
      </w:r>
    </w:p>
    <w:p w14:paraId="39EA63F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（六）甲方及其工作人员不得进行违反廉洁规定的其他活动。</w:t>
      </w:r>
    </w:p>
    <w:p w14:paraId="0B5F64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62352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  乙方义务</w:t>
      </w:r>
    </w:p>
    <w:p w14:paraId="406520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（一）乙方不得以任何理由向甲方及其工作人员馈赠礼金、有价证券、贵重礼品，或报销应由甲方单位或个人支付的任何费用。</w:t>
      </w:r>
    </w:p>
    <w:p w14:paraId="4CCEB44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（二）乙方及其工作人员不得以考察、参观、洽谈业务、签订合同等的借口邀请甲方及其工作人员参加高消费的宴请、娱乐和健身等活动。</w:t>
      </w:r>
    </w:p>
    <w:p w14:paraId="50CC05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（三）乙方不得为甲方单位和个人购置或提供通讯工具、交通工具和高档办公用品等。</w:t>
      </w:r>
    </w:p>
    <w:p w14:paraId="5F6251C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（四）乙方及其工作人员不得为甲方工作人员购买、装修、维修私人住房、汽车等。</w:t>
      </w:r>
    </w:p>
    <w:p w14:paraId="6CEB07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（五）乙方及其工作人员不得为甲方工作人员的婚丧嫁娶、家属或亲友的工作安排，及出国出境提供方便以及报销任何私人消费的费用。</w:t>
      </w:r>
    </w:p>
    <w:p w14:paraId="2BC58CE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（六）乙方及其工作人员不得进行影响甲方及其工作人员公正执行合同和履行职务的其他活动。</w:t>
      </w:r>
    </w:p>
    <w:p w14:paraId="06035E5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172EDE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  违约责任</w:t>
      </w:r>
    </w:p>
    <w:p w14:paraId="6FB224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（一）甲方违反本协议第一、第二条给乙方单位造成经济损失的，应予以赔偿。</w:t>
      </w:r>
    </w:p>
    <w:p w14:paraId="219D5F2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（二）乙方违反本协议第一、第三条给甲方单位造成经济损失的，应予以赔偿。</w:t>
      </w:r>
    </w:p>
    <w:p w14:paraId="4AD560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  监督检查</w:t>
      </w:r>
    </w:p>
    <w:p w14:paraId="4F2B298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甲乙双方的廉洁从业行为由双方或双方上级单位的纪检、监察负责监督，对本协议履行情况进行检查。</w:t>
      </w:r>
    </w:p>
    <w:p w14:paraId="5141283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  举报信访受理</w:t>
      </w:r>
    </w:p>
    <w:p w14:paraId="63F5BCD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(一)举报受理部门: 东莞市水务环境投资控股集团有限公司纪检监察部。</w:t>
      </w:r>
    </w:p>
    <w:p w14:paraId="69CAF2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(二)举报电话: ( 0769 ) 23076092</w:t>
      </w:r>
    </w:p>
    <w:p w14:paraId="7AC698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(三)举报邮箱: jcsj@dgswjt.cn.</w:t>
      </w:r>
    </w:p>
    <w:p w14:paraId="314F0C0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(四)信访地址: 广东省东莞市东城街道育华路 1 号 </w:t>
      </w:r>
    </w:p>
    <w:p w14:paraId="798C84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  其他</w:t>
      </w:r>
    </w:p>
    <w:p w14:paraId="1A609F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份，甲、乙双方各执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份，甲、乙双方上级主管部门各执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w:t>
      </w:r>
    </w:p>
    <w:p w14:paraId="174F565F">
      <w:pPr>
        <w:spacing w:before="48" w:beforeLines="20" w:after="48" w:afterLines="20"/>
        <w:ind w:firstLine="420" w:firstLineChars="200"/>
        <w:rPr>
          <w:rFonts w:ascii="宋体" w:hAnsi="宋体" w:eastAsia="宋体" w:cs="宋体"/>
          <w:color w:val="auto"/>
          <w:szCs w:val="21"/>
          <w:highlight w:val="none"/>
        </w:rPr>
      </w:pPr>
    </w:p>
    <w:p w14:paraId="1628ACA3">
      <w:pPr>
        <w:spacing w:before="48" w:beforeLines="20" w:after="48" w:afterLines="20"/>
        <w:rPr>
          <w:rFonts w:ascii="宋体" w:hAnsi="宋体" w:eastAsia="宋体" w:cs="宋体"/>
          <w:color w:val="auto"/>
          <w:szCs w:val="21"/>
          <w:highlight w:val="none"/>
        </w:rPr>
      </w:pPr>
    </w:p>
    <w:p w14:paraId="3A419A4B">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7F3FB140">
      <w:pPr>
        <w:spacing w:before="48" w:beforeLines="20" w:after="48" w:afterLines="20"/>
        <w:ind w:firstLine="420" w:firstLineChars="200"/>
        <w:rPr>
          <w:rFonts w:ascii="宋体" w:hAnsi="宋体" w:eastAsia="宋体" w:cs="宋体"/>
          <w:color w:val="auto"/>
          <w:szCs w:val="21"/>
          <w:highlight w:val="none"/>
        </w:rPr>
      </w:pPr>
    </w:p>
    <w:p w14:paraId="29BD0D2D">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法定代表人：</w:t>
      </w:r>
    </w:p>
    <w:p w14:paraId="0AE5D155">
      <w:pPr>
        <w:spacing w:before="48" w:beforeLines="20" w:after="48" w:afterLines="20"/>
        <w:ind w:firstLine="420" w:firstLineChars="200"/>
        <w:rPr>
          <w:rFonts w:ascii="宋体" w:hAnsi="宋体" w:eastAsia="宋体" w:cs="宋体"/>
          <w:color w:val="auto"/>
          <w:szCs w:val="21"/>
          <w:highlight w:val="none"/>
        </w:rPr>
      </w:pPr>
    </w:p>
    <w:p w14:paraId="1D32F3E1">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甲方代表：                      乙方代表：</w:t>
      </w:r>
    </w:p>
    <w:p w14:paraId="3CDC022C">
      <w:pPr>
        <w:spacing w:before="48" w:beforeLines="20" w:after="48" w:afterLines="20"/>
        <w:rPr>
          <w:rFonts w:ascii="宋体" w:hAnsi="宋体" w:eastAsia="宋体" w:cs="宋体"/>
          <w:color w:val="auto"/>
          <w:szCs w:val="21"/>
          <w:highlight w:val="none"/>
        </w:rPr>
      </w:pPr>
    </w:p>
    <w:p w14:paraId="3B989AE2">
      <w:pPr>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签订日期：    年  月  日         年  月  日</w:t>
      </w:r>
    </w:p>
    <w:p w14:paraId="60CA09F4">
      <w:pPr>
        <w:rPr>
          <w:rFonts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7CB70A96">
      <w:pPr>
        <w:adjustRightInd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rPr>
        <w:t>：运维服务质量季度考核评分表</w:t>
      </w:r>
    </w:p>
    <w:tbl>
      <w:tblPr>
        <w:tblStyle w:val="46"/>
        <w:tblW w:w="10020" w:type="dxa"/>
        <w:tblInd w:w="80" w:type="dxa"/>
        <w:tblLayout w:type="autofit"/>
        <w:tblCellMar>
          <w:top w:w="0" w:type="dxa"/>
          <w:left w:w="108" w:type="dxa"/>
          <w:bottom w:w="0" w:type="dxa"/>
          <w:right w:w="108" w:type="dxa"/>
        </w:tblCellMar>
      </w:tblPr>
      <w:tblGrid>
        <w:gridCol w:w="780"/>
        <w:gridCol w:w="1785"/>
        <w:gridCol w:w="1305"/>
        <w:gridCol w:w="3360"/>
        <w:gridCol w:w="1320"/>
        <w:gridCol w:w="1470"/>
      </w:tblGrid>
      <w:tr w14:paraId="1D6CB0F9">
        <w:trPr>
          <w:trHeight w:val="477" w:hRule="atLeast"/>
        </w:trPr>
        <w:tc>
          <w:tcPr>
            <w:tcW w:w="10020" w:type="dxa"/>
            <w:gridSpan w:val="6"/>
            <w:tcBorders>
              <w:top w:val="nil"/>
              <w:left w:val="nil"/>
              <w:bottom w:val="single" w:color="auto" w:sz="4" w:space="0"/>
              <w:right w:val="nil"/>
            </w:tcBorders>
            <w:shd w:val="clear" w:color="auto" w:fill="auto"/>
            <w:vAlign w:val="center"/>
          </w:tcPr>
          <w:p w14:paraId="55FB9FD7">
            <w:pPr>
              <w:widowControl/>
              <w:jc w:val="center"/>
              <w:textAlignment w:val="center"/>
              <w:rPr>
                <w:rFonts w:ascii="方正小标宋简体" w:hAnsi="方正小标宋简体" w:eastAsia="方正小标宋简体" w:cs="方正小标宋简体"/>
                <w:color w:val="auto"/>
                <w:sz w:val="24"/>
                <w:szCs w:val="24"/>
                <w:highlight w:val="none"/>
              </w:rPr>
            </w:pPr>
            <w:r>
              <w:rPr>
                <w:rFonts w:hint="eastAsia" w:ascii="宋体" w:hAnsi="宋体" w:eastAsia="宋体" w:cs="宋体"/>
                <w:color w:val="auto"/>
                <w:kern w:val="0"/>
                <w:sz w:val="24"/>
                <w:szCs w:val="24"/>
                <w:highlight w:val="none"/>
                <w:lang w:bidi="ar"/>
              </w:rPr>
              <w:t>运维服务质量季度考核评分表</w:t>
            </w:r>
          </w:p>
        </w:tc>
      </w:tr>
      <w:tr w14:paraId="4AF17155">
        <w:tblPrEx>
          <w:tblCellMar>
            <w:top w:w="0" w:type="dxa"/>
            <w:left w:w="108" w:type="dxa"/>
            <w:bottom w:w="0" w:type="dxa"/>
            <w:right w:w="108" w:type="dxa"/>
          </w:tblCellMar>
        </w:tblPrEx>
        <w:trPr>
          <w:trHeight w:val="471" w:hRule="atLeast"/>
        </w:trPr>
        <w:tc>
          <w:tcPr>
            <w:tcW w:w="10020" w:type="dxa"/>
            <w:gridSpan w:val="6"/>
            <w:tcBorders>
              <w:top w:val="single" w:color="auto" w:sz="4" w:space="0"/>
              <w:left w:val="single" w:color="000000" w:sz="8" w:space="0"/>
              <w:bottom w:val="single" w:color="000000" w:sz="8" w:space="0"/>
              <w:right w:val="single" w:color="000000" w:sz="8" w:space="0"/>
            </w:tcBorders>
            <w:shd w:val="clear" w:color="auto" w:fill="auto"/>
            <w:vAlign w:val="center"/>
          </w:tcPr>
          <w:p w14:paraId="75E0193E">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考核月份：20XX年XX月—20XX年XX月</w:t>
            </w:r>
          </w:p>
        </w:tc>
      </w:tr>
      <w:tr w14:paraId="01230D0B">
        <w:tblPrEx>
          <w:tblCellMar>
            <w:top w:w="0" w:type="dxa"/>
            <w:left w:w="108" w:type="dxa"/>
            <w:bottom w:w="0" w:type="dxa"/>
            <w:right w:w="108" w:type="dxa"/>
          </w:tblCellMar>
        </w:tblPrEx>
        <w:trPr>
          <w:trHeight w:val="27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199CDFF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785" w:type="dxa"/>
            <w:tcBorders>
              <w:top w:val="single" w:color="000000" w:sz="8" w:space="0"/>
              <w:left w:val="nil"/>
              <w:bottom w:val="single" w:color="000000" w:sz="8" w:space="0"/>
              <w:right w:val="single" w:color="000000" w:sz="8" w:space="0"/>
            </w:tcBorders>
            <w:shd w:val="clear" w:color="auto" w:fill="auto"/>
            <w:vAlign w:val="center"/>
          </w:tcPr>
          <w:p w14:paraId="1EE1BFF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评价项目</w:t>
            </w:r>
          </w:p>
        </w:tc>
        <w:tc>
          <w:tcPr>
            <w:tcW w:w="1305" w:type="dxa"/>
            <w:tcBorders>
              <w:top w:val="single" w:color="000000" w:sz="8" w:space="0"/>
              <w:left w:val="nil"/>
              <w:bottom w:val="single" w:color="000000" w:sz="8" w:space="0"/>
              <w:right w:val="single" w:color="000000" w:sz="8" w:space="0"/>
            </w:tcBorders>
            <w:shd w:val="clear" w:color="auto" w:fill="auto"/>
            <w:vAlign w:val="center"/>
          </w:tcPr>
          <w:p w14:paraId="2B4C14F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扣分上限</w:t>
            </w:r>
          </w:p>
        </w:tc>
        <w:tc>
          <w:tcPr>
            <w:tcW w:w="3360" w:type="dxa"/>
            <w:tcBorders>
              <w:top w:val="single" w:color="000000" w:sz="8" w:space="0"/>
              <w:left w:val="nil"/>
              <w:bottom w:val="single" w:color="000000" w:sz="8" w:space="0"/>
              <w:right w:val="single" w:color="000000" w:sz="8" w:space="0"/>
            </w:tcBorders>
            <w:shd w:val="clear" w:color="auto" w:fill="auto"/>
            <w:vAlign w:val="center"/>
          </w:tcPr>
          <w:p w14:paraId="50C26EC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扣分事项</w:t>
            </w:r>
          </w:p>
        </w:tc>
        <w:tc>
          <w:tcPr>
            <w:tcW w:w="1320" w:type="dxa"/>
            <w:tcBorders>
              <w:top w:val="single" w:color="000000" w:sz="8" w:space="0"/>
              <w:left w:val="nil"/>
              <w:bottom w:val="single" w:color="000000" w:sz="8" w:space="0"/>
              <w:right w:val="single" w:color="000000" w:sz="8" w:space="0"/>
            </w:tcBorders>
            <w:shd w:val="clear" w:color="auto" w:fill="auto"/>
            <w:vAlign w:val="center"/>
          </w:tcPr>
          <w:p w14:paraId="309FE2F6">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本次服务扣分</w:t>
            </w:r>
          </w:p>
        </w:tc>
        <w:tc>
          <w:tcPr>
            <w:tcW w:w="1470" w:type="dxa"/>
            <w:tcBorders>
              <w:top w:val="single" w:color="000000" w:sz="8" w:space="0"/>
              <w:left w:val="nil"/>
              <w:bottom w:val="single" w:color="000000" w:sz="8" w:space="0"/>
              <w:right w:val="single" w:color="000000" w:sz="8" w:space="0"/>
            </w:tcBorders>
            <w:shd w:val="clear" w:color="auto" w:fill="auto"/>
            <w:vAlign w:val="center"/>
          </w:tcPr>
          <w:p w14:paraId="6322F91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扣分说明</w:t>
            </w:r>
          </w:p>
        </w:tc>
      </w:tr>
      <w:tr w14:paraId="711792B5">
        <w:tblPrEx>
          <w:tblCellMar>
            <w:top w:w="0" w:type="dxa"/>
            <w:left w:w="108" w:type="dxa"/>
            <w:bottom w:w="0" w:type="dxa"/>
            <w:right w:w="108" w:type="dxa"/>
          </w:tblCellMar>
        </w:tblPrEx>
        <w:trPr>
          <w:trHeight w:val="214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636CDA7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w:t>
            </w:r>
          </w:p>
        </w:tc>
        <w:tc>
          <w:tcPr>
            <w:tcW w:w="1785" w:type="dxa"/>
            <w:tcBorders>
              <w:top w:val="nil"/>
              <w:left w:val="nil"/>
              <w:bottom w:val="single" w:color="000000" w:sz="8" w:space="0"/>
              <w:right w:val="single" w:color="000000" w:sz="8" w:space="0"/>
            </w:tcBorders>
            <w:shd w:val="clear" w:color="auto" w:fill="auto"/>
            <w:vAlign w:val="center"/>
          </w:tcPr>
          <w:p w14:paraId="4FC576C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巡检服务</w:t>
            </w:r>
          </w:p>
        </w:tc>
        <w:tc>
          <w:tcPr>
            <w:tcW w:w="1305" w:type="dxa"/>
            <w:tcBorders>
              <w:top w:val="nil"/>
              <w:left w:val="nil"/>
              <w:bottom w:val="single" w:color="000000" w:sz="8" w:space="0"/>
              <w:right w:val="single" w:color="000000" w:sz="8" w:space="0"/>
            </w:tcBorders>
            <w:shd w:val="clear" w:color="auto" w:fill="auto"/>
            <w:vAlign w:val="center"/>
          </w:tcPr>
          <w:p w14:paraId="790F4A3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30</w:t>
            </w:r>
          </w:p>
        </w:tc>
        <w:tc>
          <w:tcPr>
            <w:tcW w:w="3360" w:type="dxa"/>
            <w:tcBorders>
              <w:top w:val="nil"/>
              <w:left w:val="nil"/>
              <w:bottom w:val="single" w:color="000000" w:sz="8" w:space="0"/>
              <w:right w:val="single" w:color="000000" w:sz="8" w:space="0"/>
            </w:tcBorders>
            <w:shd w:val="clear" w:color="auto" w:fill="auto"/>
            <w:vAlign w:val="center"/>
          </w:tcPr>
          <w:p w14:paraId="6C015B47">
            <w:pPr>
              <w:widowControl/>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1、在考核期内存在1个月未及时向甲方沟通确认且无故没有开展月度巡检，扣30分；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在考核期内不存在未及时向甲方沟通确认且无故没有开展月度巡检的情况下，若出现发电异常警报，钢结构（含支架、彩钢瓦等）出现松脱，数据通讯传输异常等因巡检不到位出现的异常情况，出现异常情况一次扣5分，扣完为止。</w:t>
            </w:r>
          </w:p>
        </w:tc>
        <w:tc>
          <w:tcPr>
            <w:tcW w:w="1320" w:type="dxa"/>
            <w:tcBorders>
              <w:top w:val="nil"/>
              <w:left w:val="nil"/>
              <w:bottom w:val="single" w:color="000000" w:sz="8" w:space="0"/>
              <w:right w:val="single" w:color="000000" w:sz="8" w:space="0"/>
            </w:tcBorders>
            <w:shd w:val="clear" w:color="auto" w:fill="auto"/>
            <w:vAlign w:val="center"/>
          </w:tcPr>
          <w:p w14:paraId="58A75A52">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331C9D09">
            <w:pPr>
              <w:jc w:val="center"/>
              <w:rPr>
                <w:rFonts w:ascii="宋体" w:hAnsi="宋体" w:eastAsia="宋体" w:cs="宋体"/>
                <w:color w:val="auto"/>
                <w:sz w:val="18"/>
                <w:szCs w:val="18"/>
                <w:highlight w:val="none"/>
              </w:rPr>
            </w:pPr>
          </w:p>
        </w:tc>
      </w:tr>
      <w:tr w14:paraId="0A6E2BEF">
        <w:tblPrEx>
          <w:tblCellMar>
            <w:top w:w="0" w:type="dxa"/>
            <w:left w:w="108" w:type="dxa"/>
            <w:bottom w:w="0" w:type="dxa"/>
            <w:right w:w="108" w:type="dxa"/>
          </w:tblCellMar>
        </w:tblPrEx>
        <w:trPr>
          <w:trHeight w:val="1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550EB34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w:t>
            </w:r>
          </w:p>
        </w:tc>
        <w:tc>
          <w:tcPr>
            <w:tcW w:w="1785" w:type="dxa"/>
            <w:tcBorders>
              <w:top w:val="nil"/>
              <w:left w:val="nil"/>
              <w:bottom w:val="single" w:color="000000" w:sz="8" w:space="0"/>
              <w:right w:val="single" w:color="000000" w:sz="8" w:space="0"/>
            </w:tcBorders>
            <w:shd w:val="clear" w:color="auto" w:fill="auto"/>
            <w:vAlign w:val="center"/>
          </w:tcPr>
          <w:p w14:paraId="722C74F1">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清洗服务</w:t>
            </w:r>
          </w:p>
        </w:tc>
        <w:tc>
          <w:tcPr>
            <w:tcW w:w="1305" w:type="dxa"/>
            <w:tcBorders>
              <w:top w:val="nil"/>
              <w:left w:val="nil"/>
              <w:bottom w:val="single" w:color="000000" w:sz="8" w:space="0"/>
              <w:right w:val="single" w:color="000000" w:sz="8" w:space="0"/>
            </w:tcBorders>
            <w:shd w:val="clear" w:color="auto" w:fill="auto"/>
            <w:vAlign w:val="center"/>
          </w:tcPr>
          <w:p w14:paraId="2D919DE3">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3360" w:type="dxa"/>
            <w:tcBorders>
              <w:top w:val="nil"/>
              <w:left w:val="nil"/>
              <w:bottom w:val="single" w:color="000000" w:sz="8" w:space="0"/>
              <w:right w:val="single" w:color="000000" w:sz="8" w:space="0"/>
            </w:tcBorders>
            <w:shd w:val="clear" w:color="auto" w:fill="auto"/>
            <w:vAlign w:val="center"/>
          </w:tcPr>
          <w:p w14:paraId="7B870990">
            <w:pPr>
              <w:widowControl/>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1、考核期内至少有一次合同约定的全部光伏方阵清洗服务，若考核期内没有开展清洗服务扣10分；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2、按单个建筑物视为1个光伏方阵，有1个光伏方阵没有清洗扣2分，扣完为止。</w:t>
            </w:r>
          </w:p>
        </w:tc>
        <w:tc>
          <w:tcPr>
            <w:tcW w:w="1320" w:type="dxa"/>
            <w:tcBorders>
              <w:top w:val="nil"/>
              <w:left w:val="nil"/>
              <w:bottom w:val="single" w:color="000000" w:sz="8" w:space="0"/>
              <w:right w:val="single" w:color="000000" w:sz="8" w:space="0"/>
            </w:tcBorders>
            <w:shd w:val="clear" w:color="auto" w:fill="auto"/>
            <w:vAlign w:val="center"/>
          </w:tcPr>
          <w:p w14:paraId="0B8D3888">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3B19DE68">
            <w:pPr>
              <w:jc w:val="center"/>
              <w:rPr>
                <w:rFonts w:ascii="宋体" w:hAnsi="宋体" w:eastAsia="宋体" w:cs="宋体"/>
                <w:color w:val="auto"/>
                <w:sz w:val="18"/>
                <w:szCs w:val="18"/>
                <w:highlight w:val="none"/>
              </w:rPr>
            </w:pPr>
          </w:p>
        </w:tc>
      </w:tr>
      <w:tr w14:paraId="57416941">
        <w:trPr>
          <w:trHeight w:val="846"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359C9F86">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w:t>
            </w:r>
          </w:p>
        </w:tc>
        <w:tc>
          <w:tcPr>
            <w:tcW w:w="1785" w:type="dxa"/>
            <w:tcBorders>
              <w:top w:val="nil"/>
              <w:left w:val="nil"/>
              <w:bottom w:val="single" w:color="000000" w:sz="8" w:space="0"/>
              <w:right w:val="single" w:color="000000" w:sz="8" w:space="0"/>
            </w:tcBorders>
            <w:shd w:val="clear" w:color="auto" w:fill="auto"/>
            <w:vAlign w:val="center"/>
          </w:tcPr>
          <w:p w14:paraId="348BA91C">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安全生产</w:t>
            </w:r>
          </w:p>
        </w:tc>
        <w:tc>
          <w:tcPr>
            <w:tcW w:w="1305" w:type="dxa"/>
            <w:tcBorders>
              <w:top w:val="nil"/>
              <w:left w:val="nil"/>
              <w:bottom w:val="single" w:color="000000" w:sz="8" w:space="0"/>
              <w:right w:val="single" w:color="000000" w:sz="8" w:space="0"/>
            </w:tcBorders>
            <w:shd w:val="clear" w:color="auto" w:fill="auto"/>
            <w:vAlign w:val="center"/>
          </w:tcPr>
          <w:p w14:paraId="0A51DF4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w:t>
            </w:r>
          </w:p>
        </w:tc>
        <w:tc>
          <w:tcPr>
            <w:tcW w:w="3360" w:type="dxa"/>
            <w:tcBorders>
              <w:top w:val="nil"/>
              <w:left w:val="nil"/>
              <w:bottom w:val="single" w:color="000000" w:sz="8" w:space="0"/>
              <w:right w:val="single" w:color="000000" w:sz="8" w:space="0"/>
            </w:tcBorders>
            <w:shd w:val="clear" w:color="auto" w:fill="auto"/>
            <w:vAlign w:val="center"/>
          </w:tcPr>
          <w:p w14:paraId="442CAD86">
            <w:pPr>
              <w:widowControl/>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运维期间未按安全生产要求落实安全生产工作，每发生一次扣5分，扣完为止。</w:t>
            </w:r>
          </w:p>
        </w:tc>
        <w:tc>
          <w:tcPr>
            <w:tcW w:w="1320" w:type="dxa"/>
            <w:tcBorders>
              <w:top w:val="nil"/>
              <w:left w:val="nil"/>
              <w:bottom w:val="single" w:color="000000" w:sz="8" w:space="0"/>
              <w:right w:val="single" w:color="000000" w:sz="8" w:space="0"/>
            </w:tcBorders>
            <w:shd w:val="clear" w:color="auto" w:fill="auto"/>
            <w:vAlign w:val="center"/>
          </w:tcPr>
          <w:p w14:paraId="332D1FCB">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2F49505D">
            <w:pPr>
              <w:jc w:val="center"/>
              <w:rPr>
                <w:rFonts w:ascii="宋体" w:hAnsi="宋体" w:eastAsia="宋体" w:cs="宋体"/>
                <w:color w:val="auto"/>
                <w:sz w:val="18"/>
                <w:szCs w:val="18"/>
                <w:highlight w:val="none"/>
              </w:rPr>
            </w:pPr>
          </w:p>
        </w:tc>
      </w:tr>
      <w:tr w14:paraId="37134664">
        <w:tblPrEx>
          <w:tblCellMar>
            <w:top w:w="0" w:type="dxa"/>
            <w:left w:w="108" w:type="dxa"/>
            <w:bottom w:w="0" w:type="dxa"/>
            <w:right w:w="108" w:type="dxa"/>
          </w:tblCellMar>
        </w:tblPrEx>
        <w:trPr>
          <w:trHeight w:val="901"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7C1A16A3">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w:t>
            </w:r>
          </w:p>
        </w:tc>
        <w:tc>
          <w:tcPr>
            <w:tcW w:w="1785" w:type="dxa"/>
            <w:tcBorders>
              <w:top w:val="nil"/>
              <w:left w:val="nil"/>
              <w:bottom w:val="single" w:color="000000" w:sz="8" w:space="0"/>
              <w:right w:val="single" w:color="000000" w:sz="8" w:space="0"/>
            </w:tcBorders>
            <w:shd w:val="clear" w:color="auto" w:fill="auto"/>
            <w:vAlign w:val="center"/>
          </w:tcPr>
          <w:p w14:paraId="257944C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服务响应</w:t>
            </w:r>
          </w:p>
        </w:tc>
        <w:tc>
          <w:tcPr>
            <w:tcW w:w="1305" w:type="dxa"/>
            <w:tcBorders>
              <w:top w:val="nil"/>
              <w:left w:val="nil"/>
              <w:bottom w:val="single" w:color="000000" w:sz="8" w:space="0"/>
              <w:right w:val="single" w:color="000000" w:sz="8" w:space="0"/>
            </w:tcBorders>
            <w:shd w:val="clear" w:color="auto" w:fill="auto"/>
            <w:vAlign w:val="center"/>
          </w:tcPr>
          <w:p w14:paraId="1561787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3360" w:type="dxa"/>
            <w:tcBorders>
              <w:top w:val="nil"/>
              <w:left w:val="nil"/>
              <w:bottom w:val="single" w:color="000000" w:sz="8" w:space="0"/>
              <w:right w:val="single" w:color="000000" w:sz="8" w:space="0"/>
            </w:tcBorders>
            <w:shd w:val="clear" w:color="auto" w:fill="auto"/>
            <w:vAlign w:val="center"/>
          </w:tcPr>
          <w:p w14:paraId="7AF66916">
            <w:pPr>
              <w:widowControl/>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由于服务响应不及时或者缺乏应急预案影响服务质量，每发生一次扣5分，扣完为止。</w:t>
            </w:r>
          </w:p>
        </w:tc>
        <w:tc>
          <w:tcPr>
            <w:tcW w:w="1320" w:type="dxa"/>
            <w:tcBorders>
              <w:top w:val="nil"/>
              <w:left w:val="nil"/>
              <w:bottom w:val="single" w:color="000000" w:sz="8" w:space="0"/>
              <w:right w:val="single" w:color="000000" w:sz="8" w:space="0"/>
            </w:tcBorders>
            <w:shd w:val="clear" w:color="auto" w:fill="auto"/>
            <w:vAlign w:val="center"/>
          </w:tcPr>
          <w:p w14:paraId="206AEC02">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753FFEBF">
            <w:pPr>
              <w:jc w:val="center"/>
              <w:rPr>
                <w:rFonts w:ascii="宋体" w:hAnsi="宋体" w:eastAsia="宋体" w:cs="宋体"/>
                <w:color w:val="auto"/>
                <w:sz w:val="18"/>
                <w:szCs w:val="18"/>
                <w:highlight w:val="none"/>
              </w:rPr>
            </w:pPr>
          </w:p>
        </w:tc>
      </w:tr>
      <w:tr w14:paraId="6E12551A">
        <w:tblPrEx>
          <w:tblCellMar>
            <w:top w:w="0" w:type="dxa"/>
            <w:left w:w="108" w:type="dxa"/>
            <w:bottom w:w="0" w:type="dxa"/>
            <w:right w:w="108" w:type="dxa"/>
          </w:tblCellMar>
        </w:tblPrEx>
        <w:trPr>
          <w:trHeight w:val="101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3E199D6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w:t>
            </w:r>
          </w:p>
        </w:tc>
        <w:tc>
          <w:tcPr>
            <w:tcW w:w="1785" w:type="dxa"/>
            <w:tcBorders>
              <w:top w:val="nil"/>
              <w:left w:val="nil"/>
              <w:bottom w:val="single" w:color="000000" w:sz="8" w:space="0"/>
              <w:right w:val="single" w:color="000000" w:sz="8" w:space="0"/>
            </w:tcBorders>
            <w:shd w:val="clear" w:color="auto" w:fill="auto"/>
            <w:vAlign w:val="center"/>
          </w:tcPr>
          <w:p w14:paraId="625C5D9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服务人员配置</w:t>
            </w:r>
          </w:p>
        </w:tc>
        <w:tc>
          <w:tcPr>
            <w:tcW w:w="1305" w:type="dxa"/>
            <w:tcBorders>
              <w:top w:val="nil"/>
              <w:left w:val="nil"/>
              <w:bottom w:val="single" w:color="000000" w:sz="8" w:space="0"/>
              <w:right w:val="single" w:color="000000" w:sz="8" w:space="0"/>
            </w:tcBorders>
            <w:shd w:val="clear" w:color="auto" w:fill="auto"/>
            <w:vAlign w:val="center"/>
          </w:tcPr>
          <w:p w14:paraId="17BA6378">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6</w:t>
            </w:r>
          </w:p>
        </w:tc>
        <w:tc>
          <w:tcPr>
            <w:tcW w:w="3360" w:type="dxa"/>
            <w:tcBorders>
              <w:top w:val="nil"/>
              <w:left w:val="nil"/>
              <w:bottom w:val="single" w:color="000000" w:sz="8" w:space="0"/>
              <w:right w:val="single" w:color="000000" w:sz="8" w:space="0"/>
            </w:tcBorders>
            <w:shd w:val="clear" w:color="auto" w:fill="auto"/>
            <w:vAlign w:val="center"/>
          </w:tcPr>
          <w:p w14:paraId="1E41513F">
            <w:pPr>
              <w:widowControl/>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由于供应商人员配备（数量、技术能力、资质等）问题不能满足服务要求，每发生一次扣2分，扣完为止。</w:t>
            </w:r>
          </w:p>
        </w:tc>
        <w:tc>
          <w:tcPr>
            <w:tcW w:w="1320" w:type="dxa"/>
            <w:tcBorders>
              <w:top w:val="nil"/>
              <w:left w:val="nil"/>
              <w:bottom w:val="single" w:color="000000" w:sz="8" w:space="0"/>
              <w:right w:val="single" w:color="000000" w:sz="8" w:space="0"/>
            </w:tcBorders>
            <w:shd w:val="clear" w:color="auto" w:fill="auto"/>
            <w:vAlign w:val="center"/>
          </w:tcPr>
          <w:p w14:paraId="2B1F21AB">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0AD2C7E2">
            <w:pPr>
              <w:jc w:val="center"/>
              <w:rPr>
                <w:rFonts w:ascii="宋体" w:hAnsi="宋体" w:eastAsia="宋体" w:cs="宋体"/>
                <w:color w:val="auto"/>
                <w:sz w:val="18"/>
                <w:szCs w:val="18"/>
                <w:highlight w:val="none"/>
              </w:rPr>
            </w:pPr>
          </w:p>
        </w:tc>
      </w:tr>
      <w:tr w14:paraId="78B9970F">
        <w:tblPrEx>
          <w:tblCellMar>
            <w:top w:w="0" w:type="dxa"/>
            <w:left w:w="108" w:type="dxa"/>
            <w:bottom w:w="0" w:type="dxa"/>
            <w:right w:w="108" w:type="dxa"/>
          </w:tblCellMar>
        </w:tblPrEx>
        <w:trPr>
          <w:trHeight w:val="1296"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7A146BE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w:t>
            </w:r>
          </w:p>
        </w:tc>
        <w:tc>
          <w:tcPr>
            <w:tcW w:w="1785" w:type="dxa"/>
            <w:tcBorders>
              <w:top w:val="nil"/>
              <w:left w:val="nil"/>
              <w:bottom w:val="single" w:color="000000" w:sz="8" w:space="0"/>
              <w:right w:val="single" w:color="000000" w:sz="8" w:space="0"/>
            </w:tcBorders>
            <w:shd w:val="clear" w:color="auto" w:fill="auto"/>
            <w:vAlign w:val="center"/>
          </w:tcPr>
          <w:p w14:paraId="26C8CD0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沟通对接</w:t>
            </w:r>
          </w:p>
        </w:tc>
        <w:tc>
          <w:tcPr>
            <w:tcW w:w="1305" w:type="dxa"/>
            <w:tcBorders>
              <w:top w:val="nil"/>
              <w:left w:val="nil"/>
              <w:bottom w:val="single" w:color="000000" w:sz="8" w:space="0"/>
              <w:right w:val="single" w:color="000000" w:sz="8" w:space="0"/>
            </w:tcBorders>
            <w:shd w:val="clear" w:color="auto" w:fill="auto"/>
            <w:vAlign w:val="center"/>
          </w:tcPr>
          <w:p w14:paraId="326850B5">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6</w:t>
            </w:r>
          </w:p>
        </w:tc>
        <w:tc>
          <w:tcPr>
            <w:tcW w:w="3360" w:type="dxa"/>
            <w:tcBorders>
              <w:top w:val="nil"/>
              <w:left w:val="nil"/>
              <w:bottom w:val="single" w:color="000000" w:sz="8" w:space="0"/>
              <w:right w:val="single" w:color="000000" w:sz="8" w:space="0"/>
            </w:tcBorders>
            <w:shd w:val="clear" w:color="auto" w:fill="auto"/>
            <w:vAlign w:val="center"/>
          </w:tcPr>
          <w:p w14:paraId="520C80AE">
            <w:pPr>
              <w:widowControl/>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巡检、清洗等服务前需提前1日按甲方要求提供巡检和清洗服务方案，明确服务人员配置，每发生一次没有提前提供服务方案扣5分，扣完为止</w:t>
            </w:r>
          </w:p>
        </w:tc>
        <w:tc>
          <w:tcPr>
            <w:tcW w:w="1320" w:type="dxa"/>
            <w:tcBorders>
              <w:top w:val="nil"/>
              <w:left w:val="nil"/>
              <w:bottom w:val="single" w:color="000000" w:sz="8" w:space="0"/>
              <w:right w:val="single" w:color="000000" w:sz="8" w:space="0"/>
            </w:tcBorders>
            <w:shd w:val="clear" w:color="auto" w:fill="auto"/>
            <w:vAlign w:val="center"/>
          </w:tcPr>
          <w:p w14:paraId="35C0A52F">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3FB215DB">
            <w:pPr>
              <w:jc w:val="center"/>
              <w:rPr>
                <w:rFonts w:ascii="宋体" w:hAnsi="宋体" w:eastAsia="宋体" w:cs="宋体"/>
                <w:color w:val="auto"/>
                <w:sz w:val="18"/>
                <w:szCs w:val="18"/>
                <w:highlight w:val="none"/>
              </w:rPr>
            </w:pPr>
          </w:p>
        </w:tc>
      </w:tr>
      <w:tr w14:paraId="5DFFF97A">
        <w:tblPrEx>
          <w:tblCellMar>
            <w:top w:w="0" w:type="dxa"/>
            <w:left w:w="108" w:type="dxa"/>
            <w:bottom w:w="0" w:type="dxa"/>
            <w:right w:w="108" w:type="dxa"/>
          </w:tblCellMar>
        </w:tblPrEx>
        <w:trPr>
          <w:trHeight w:val="1296"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123E888A">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7</w:t>
            </w:r>
          </w:p>
        </w:tc>
        <w:tc>
          <w:tcPr>
            <w:tcW w:w="1785" w:type="dxa"/>
            <w:tcBorders>
              <w:top w:val="nil"/>
              <w:left w:val="nil"/>
              <w:bottom w:val="single" w:color="000000" w:sz="8" w:space="0"/>
              <w:right w:val="single" w:color="000000" w:sz="8" w:space="0"/>
            </w:tcBorders>
            <w:shd w:val="clear" w:color="auto" w:fill="auto"/>
            <w:vAlign w:val="center"/>
          </w:tcPr>
          <w:p w14:paraId="5686ADE0">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运维方案执行</w:t>
            </w:r>
          </w:p>
        </w:tc>
        <w:tc>
          <w:tcPr>
            <w:tcW w:w="1305" w:type="dxa"/>
            <w:tcBorders>
              <w:top w:val="nil"/>
              <w:left w:val="nil"/>
              <w:bottom w:val="single" w:color="000000" w:sz="8" w:space="0"/>
              <w:right w:val="single" w:color="000000" w:sz="8" w:space="0"/>
            </w:tcBorders>
            <w:shd w:val="clear" w:color="auto" w:fill="auto"/>
            <w:vAlign w:val="center"/>
          </w:tcPr>
          <w:p w14:paraId="6CDC693F">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8</w:t>
            </w:r>
          </w:p>
        </w:tc>
        <w:tc>
          <w:tcPr>
            <w:tcW w:w="3360" w:type="dxa"/>
            <w:tcBorders>
              <w:top w:val="nil"/>
              <w:left w:val="nil"/>
              <w:bottom w:val="single" w:color="000000" w:sz="8" w:space="0"/>
              <w:right w:val="single" w:color="000000" w:sz="8" w:space="0"/>
            </w:tcBorders>
            <w:shd w:val="clear" w:color="auto" w:fill="auto"/>
            <w:vAlign w:val="center"/>
          </w:tcPr>
          <w:p w14:paraId="3343ACC9">
            <w:pPr>
              <w:widowControl/>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对照乙方提供经甲方同意后的运维方案，存在高于上述1-6点标准的服务要求进行评价，未达到运维方案要求发现一次扣2分，扣完为止。</w:t>
            </w:r>
          </w:p>
        </w:tc>
        <w:tc>
          <w:tcPr>
            <w:tcW w:w="1320" w:type="dxa"/>
            <w:tcBorders>
              <w:top w:val="nil"/>
              <w:left w:val="nil"/>
              <w:bottom w:val="single" w:color="000000" w:sz="8" w:space="0"/>
              <w:right w:val="single" w:color="000000" w:sz="8" w:space="0"/>
            </w:tcBorders>
            <w:shd w:val="clear" w:color="auto" w:fill="auto"/>
            <w:vAlign w:val="center"/>
          </w:tcPr>
          <w:p w14:paraId="2A9E8B18">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35295B5C">
            <w:pPr>
              <w:jc w:val="center"/>
              <w:rPr>
                <w:rFonts w:ascii="宋体" w:hAnsi="宋体" w:eastAsia="宋体" w:cs="宋体"/>
                <w:color w:val="auto"/>
                <w:sz w:val="18"/>
                <w:szCs w:val="18"/>
                <w:highlight w:val="none"/>
              </w:rPr>
            </w:pPr>
          </w:p>
        </w:tc>
      </w:tr>
      <w:tr w14:paraId="536DAB87">
        <w:tblPrEx>
          <w:tblCellMar>
            <w:top w:w="0" w:type="dxa"/>
            <w:left w:w="108" w:type="dxa"/>
            <w:bottom w:w="0" w:type="dxa"/>
            <w:right w:w="108" w:type="dxa"/>
          </w:tblCellMar>
        </w:tblPrEx>
        <w:trPr>
          <w:trHeight w:val="1500" w:hRule="atLeast"/>
        </w:trPr>
        <w:tc>
          <w:tcPr>
            <w:tcW w:w="780" w:type="dxa"/>
            <w:tcBorders>
              <w:top w:val="nil"/>
              <w:left w:val="single" w:color="000000" w:sz="8" w:space="0"/>
              <w:bottom w:val="single" w:color="000000" w:sz="8" w:space="0"/>
              <w:right w:val="single" w:color="000000" w:sz="8" w:space="0"/>
            </w:tcBorders>
            <w:shd w:val="clear" w:color="auto" w:fill="auto"/>
            <w:vAlign w:val="center"/>
          </w:tcPr>
          <w:p w14:paraId="087B3BFD">
            <w:pPr>
              <w:widowControl/>
              <w:jc w:val="center"/>
              <w:textAlignment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kern w:val="0"/>
                <w:sz w:val="18"/>
                <w:szCs w:val="18"/>
                <w:highlight w:val="none"/>
                <w:lang w:val="en-US" w:eastAsia="zh-CN" w:bidi="ar"/>
              </w:rPr>
              <w:t>8</w:t>
            </w:r>
          </w:p>
        </w:tc>
        <w:tc>
          <w:tcPr>
            <w:tcW w:w="1785" w:type="dxa"/>
            <w:tcBorders>
              <w:top w:val="nil"/>
              <w:left w:val="nil"/>
              <w:bottom w:val="single" w:color="000000" w:sz="8" w:space="0"/>
              <w:right w:val="single" w:color="000000" w:sz="8" w:space="0"/>
            </w:tcBorders>
            <w:shd w:val="clear" w:color="auto" w:fill="auto"/>
            <w:vAlign w:val="center"/>
          </w:tcPr>
          <w:p w14:paraId="1EA739C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资料整理</w:t>
            </w:r>
          </w:p>
        </w:tc>
        <w:tc>
          <w:tcPr>
            <w:tcW w:w="1305" w:type="dxa"/>
            <w:tcBorders>
              <w:top w:val="nil"/>
              <w:left w:val="nil"/>
              <w:bottom w:val="single" w:color="000000" w:sz="8" w:space="0"/>
              <w:right w:val="single" w:color="000000" w:sz="8" w:space="0"/>
            </w:tcBorders>
            <w:shd w:val="clear" w:color="auto" w:fill="auto"/>
            <w:vAlign w:val="center"/>
          </w:tcPr>
          <w:p w14:paraId="62E82B7E">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w:t>
            </w:r>
          </w:p>
        </w:tc>
        <w:tc>
          <w:tcPr>
            <w:tcW w:w="3360" w:type="dxa"/>
            <w:tcBorders>
              <w:top w:val="nil"/>
              <w:left w:val="nil"/>
              <w:bottom w:val="single" w:color="000000" w:sz="8" w:space="0"/>
              <w:right w:val="single" w:color="000000" w:sz="8" w:space="0"/>
            </w:tcBorders>
            <w:shd w:val="clear" w:color="auto" w:fill="auto"/>
            <w:vAlign w:val="center"/>
          </w:tcPr>
          <w:p w14:paraId="5CD148B3">
            <w:pPr>
              <w:widowControl/>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1、每月15日前需向甲方提供上个月运维记录资料，没有在规定时间前提供，每发生一次扣1分，最高扣3分；</w:t>
            </w:r>
            <w:r>
              <w:rPr>
                <w:rFonts w:hint="eastAsia" w:ascii="宋体" w:hAnsi="宋体" w:eastAsia="宋体" w:cs="宋体"/>
                <w:color w:val="auto"/>
                <w:kern w:val="0"/>
                <w:sz w:val="18"/>
                <w:szCs w:val="18"/>
                <w:highlight w:val="none"/>
                <w:lang w:bidi="ar"/>
              </w:rPr>
              <w:br w:type="textWrapping"/>
            </w:r>
            <w:r>
              <w:rPr>
                <w:rFonts w:hint="eastAsia" w:ascii="宋体" w:hAnsi="宋体" w:eastAsia="宋体" w:cs="宋体"/>
                <w:color w:val="auto"/>
                <w:kern w:val="0"/>
                <w:sz w:val="18"/>
                <w:szCs w:val="18"/>
                <w:highlight w:val="none"/>
                <w:lang w:bidi="ar"/>
              </w:rPr>
              <w:t>2、没有按甲方要求提供及整理运维记录资料，每退回整理或补充一次扣1分，最高扣7分。</w:t>
            </w:r>
          </w:p>
        </w:tc>
        <w:tc>
          <w:tcPr>
            <w:tcW w:w="1320" w:type="dxa"/>
            <w:tcBorders>
              <w:top w:val="nil"/>
              <w:left w:val="nil"/>
              <w:bottom w:val="single" w:color="000000" w:sz="8" w:space="0"/>
              <w:right w:val="single" w:color="000000" w:sz="8" w:space="0"/>
            </w:tcBorders>
            <w:shd w:val="clear" w:color="auto" w:fill="auto"/>
            <w:vAlign w:val="center"/>
          </w:tcPr>
          <w:p w14:paraId="17408789">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1624BF5B">
            <w:pPr>
              <w:jc w:val="center"/>
              <w:rPr>
                <w:rFonts w:ascii="宋体" w:hAnsi="宋体" w:eastAsia="宋体" w:cs="宋体"/>
                <w:color w:val="auto"/>
                <w:sz w:val="18"/>
                <w:szCs w:val="18"/>
                <w:highlight w:val="none"/>
              </w:rPr>
            </w:pPr>
          </w:p>
        </w:tc>
      </w:tr>
      <w:tr w14:paraId="0D906804">
        <w:tblPrEx>
          <w:tblCellMar>
            <w:top w:w="0" w:type="dxa"/>
            <w:left w:w="108" w:type="dxa"/>
            <w:bottom w:w="0" w:type="dxa"/>
            <w:right w:w="108" w:type="dxa"/>
          </w:tblCellMar>
        </w:tblPrEx>
        <w:trPr>
          <w:trHeight w:val="478" w:hRule="atLeast"/>
        </w:trPr>
        <w:tc>
          <w:tcPr>
            <w:tcW w:w="7230" w:type="dxa"/>
            <w:gridSpan w:val="4"/>
            <w:tcBorders>
              <w:top w:val="nil"/>
              <w:left w:val="single" w:color="000000" w:sz="8" w:space="0"/>
              <w:bottom w:val="single" w:color="000000" w:sz="8" w:space="0"/>
              <w:right w:val="single" w:color="000000" w:sz="8" w:space="0"/>
            </w:tcBorders>
            <w:shd w:val="clear" w:color="auto" w:fill="auto"/>
            <w:vAlign w:val="center"/>
          </w:tcPr>
          <w:p w14:paraId="73FAB2D9">
            <w:pPr>
              <w:widowControl/>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本次累计扣分</w:t>
            </w:r>
          </w:p>
        </w:tc>
        <w:tc>
          <w:tcPr>
            <w:tcW w:w="1320" w:type="dxa"/>
            <w:tcBorders>
              <w:top w:val="nil"/>
              <w:left w:val="nil"/>
              <w:bottom w:val="single" w:color="000000" w:sz="8" w:space="0"/>
              <w:right w:val="single" w:color="000000" w:sz="8" w:space="0"/>
            </w:tcBorders>
            <w:shd w:val="clear" w:color="auto" w:fill="auto"/>
            <w:vAlign w:val="center"/>
          </w:tcPr>
          <w:p w14:paraId="182731B1">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5C0DB929">
            <w:pPr>
              <w:jc w:val="center"/>
              <w:rPr>
                <w:rFonts w:ascii="宋体" w:hAnsi="宋体" w:eastAsia="宋体" w:cs="宋体"/>
                <w:color w:val="auto"/>
                <w:sz w:val="18"/>
                <w:szCs w:val="18"/>
                <w:highlight w:val="none"/>
              </w:rPr>
            </w:pPr>
          </w:p>
        </w:tc>
      </w:tr>
      <w:tr w14:paraId="409925D2">
        <w:tblPrEx>
          <w:tblCellMar>
            <w:top w:w="0" w:type="dxa"/>
            <w:left w:w="108" w:type="dxa"/>
            <w:bottom w:w="0" w:type="dxa"/>
            <w:right w:w="108" w:type="dxa"/>
          </w:tblCellMar>
        </w:tblPrEx>
        <w:trPr>
          <w:trHeight w:val="463" w:hRule="atLeast"/>
        </w:trPr>
        <w:tc>
          <w:tcPr>
            <w:tcW w:w="7230" w:type="dxa"/>
            <w:gridSpan w:val="4"/>
            <w:tcBorders>
              <w:top w:val="nil"/>
              <w:left w:val="single" w:color="000000" w:sz="8" w:space="0"/>
              <w:bottom w:val="single" w:color="000000" w:sz="8" w:space="0"/>
              <w:right w:val="single" w:color="000000" w:sz="8" w:space="0"/>
            </w:tcBorders>
            <w:shd w:val="clear" w:color="auto" w:fill="auto"/>
            <w:vAlign w:val="center"/>
          </w:tcPr>
          <w:p w14:paraId="25041754">
            <w:pPr>
              <w:widowControl/>
              <w:jc w:val="righ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最终考核得分</w:t>
            </w:r>
          </w:p>
        </w:tc>
        <w:tc>
          <w:tcPr>
            <w:tcW w:w="1320" w:type="dxa"/>
            <w:tcBorders>
              <w:top w:val="nil"/>
              <w:left w:val="nil"/>
              <w:bottom w:val="single" w:color="000000" w:sz="8" w:space="0"/>
              <w:right w:val="single" w:color="000000" w:sz="8" w:space="0"/>
            </w:tcBorders>
            <w:shd w:val="clear" w:color="auto" w:fill="auto"/>
            <w:vAlign w:val="center"/>
          </w:tcPr>
          <w:p w14:paraId="211A6C87">
            <w:pPr>
              <w:jc w:val="center"/>
              <w:rPr>
                <w:rFonts w:ascii="宋体" w:hAnsi="宋体" w:eastAsia="宋体" w:cs="宋体"/>
                <w:color w:val="auto"/>
                <w:sz w:val="18"/>
                <w:szCs w:val="18"/>
                <w:highlight w:val="none"/>
              </w:rPr>
            </w:pPr>
          </w:p>
        </w:tc>
        <w:tc>
          <w:tcPr>
            <w:tcW w:w="1470" w:type="dxa"/>
            <w:tcBorders>
              <w:top w:val="nil"/>
              <w:left w:val="nil"/>
              <w:bottom w:val="single" w:color="000000" w:sz="8" w:space="0"/>
              <w:right w:val="single" w:color="000000" w:sz="8" w:space="0"/>
            </w:tcBorders>
            <w:shd w:val="clear" w:color="auto" w:fill="auto"/>
            <w:vAlign w:val="center"/>
          </w:tcPr>
          <w:p w14:paraId="0B34AB73">
            <w:pPr>
              <w:jc w:val="center"/>
              <w:rPr>
                <w:rFonts w:ascii="宋体" w:hAnsi="宋体" w:eastAsia="宋体" w:cs="宋体"/>
                <w:color w:val="auto"/>
                <w:sz w:val="18"/>
                <w:szCs w:val="18"/>
                <w:highlight w:val="none"/>
              </w:rPr>
            </w:pPr>
          </w:p>
        </w:tc>
      </w:tr>
      <w:tr w14:paraId="359B79A7">
        <w:tblPrEx>
          <w:tblCellMar>
            <w:top w:w="0" w:type="dxa"/>
            <w:left w:w="108" w:type="dxa"/>
            <w:bottom w:w="0" w:type="dxa"/>
            <w:right w:w="108" w:type="dxa"/>
          </w:tblCellMar>
        </w:tblPrEx>
        <w:trPr>
          <w:trHeight w:val="600" w:hRule="atLeast"/>
        </w:trPr>
        <w:tc>
          <w:tcPr>
            <w:tcW w:w="10020" w:type="dxa"/>
            <w:gridSpan w:val="6"/>
            <w:tcBorders>
              <w:top w:val="nil"/>
              <w:left w:val="single" w:color="000000" w:sz="8" w:space="0"/>
              <w:bottom w:val="single" w:color="000000" w:sz="8" w:space="0"/>
              <w:right w:val="single" w:color="000000" w:sz="8" w:space="0"/>
            </w:tcBorders>
            <w:shd w:val="clear" w:color="auto" w:fill="auto"/>
            <w:vAlign w:val="center"/>
          </w:tcPr>
          <w:p w14:paraId="6C584F3F">
            <w:pPr>
              <w:widowControl/>
              <w:ind w:firstLine="540" w:firstLineChars="300"/>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评分人：                                                               部门负责人：                                 </w:t>
            </w:r>
          </w:p>
        </w:tc>
      </w:tr>
      <w:tr w14:paraId="608B2E6D">
        <w:tblPrEx>
          <w:tblCellMar>
            <w:top w:w="0" w:type="dxa"/>
            <w:left w:w="108" w:type="dxa"/>
            <w:bottom w:w="0" w:type="dxa"/>
            <w:right w:w="108" w:type="dxa"/>
          </w:tblCellMar>
        </w:tblPrEx>
        <w:trPr>
          <w:trHeight w:val="600" w:hRule="atLeast"/>
        </w:trPr>
        <w:tc>
          <w:tcPr>
            <w:tcW w:w="10020" w:type="dxa"/>
            <w:gridSpan w:val="6"/>
            <w:tcBorders>
              <w:top w:val="nil"/>
              <w:left w:val="single" w:color="000000" w:sz="8" w:space="0"/>
              <w:bottom w:val="single" w:color="000000" w:sz="8" w:space="0"/>
              <w:right w:val="single" w:color="000000" w:sz="8" w:space="0"/>
            </w:tcBorders>
            <w:shd w:val="clear" w:color="auto" w:fill="auto"/>
            <w:vAlign w:val="center"/>
          </w:tcPr>
          <w:p w14:paraId="6EF3ED65">
            <w:pPr>
              <w:widowControl/>
              <w:ind w:firstLine="540" w:firstLineChars="300"/>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 xml:space="preserve">  日期：                                                                日期：                                                                                                 </w:t>
            </w:r>
          </w:p>
        </w:tc>
      </w:tr>
      <w:tr w14:paraId="36340CAD">
        <w:tblPrEx>
          <w:tblCellMar>
            <w:top w:w="0" w:type="dxa"/>
            <w:left w:w="108" w:type="dxa"/>
            <w:bottom w:w="0" w:type="dxa"/>
            <w:right w:w="108" w:type="dxa"/>
          </w:tblCellMar>
        </w:tblPrEx>
        <w:trPr>
          <w:trHeight w:val="600" w:hRule="atLeast"/>
        </w:trPr>
        <w:tc>
          <w:tcPr>
            <w:tcW w:w="10020" w:type="dxa"/>
            <w:gridSpan w:val="6"/>
            <w:tcBorders>
              <w:top w:val="nil"/>
              <w:left w:val="nil"/>
              <w:bottom w:val="nil"/>
              <w:right w:val="nil"/>
            </w:tcBorders>
            <w:shd w:val="clear" w:color="auto" w:fill="auto"/>
            <w:vAlign w:val="center"/>
          </w:tcPr>
          <w:p w14:paraId="648844D8">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填报说明：</w:t>
            </w:r>
          </w:p>
        </w:tc>
      </w:tr>
      <w:tr w14:paraId="1808841B">
        <w:tblPrEx>
          <w:tblCellMar>
            <w:top w:w="0" w:type="dxa"/>
            <w:left w:w="108" w:type="dxa"/>
            <w:bottom w:w="0" w:type="dxa"/>
            <w:right w:w="108" w:type="dxa"/>
          </w:tblCellMar>
        </w:tblPrEx>
        <w:trPr>
          <w:trHeight w:val="600" w:hRule="atLeast"/>
        </w:trPr>
        <w:tc>
          <w:tcPr>
            <w:tcW w:w="10020" w:type="dxa"/>
            <w:gridSpan w:val="6"/>
            <w:tcBorders>
              <w:top w:val="nil"/>
              <w:left w:val="nil"/>
              <w:bottom w:val="nil"/>
              <w:right w:val="nil"/>
            </w:tcBorders>
            <w:shd w:val="clear" w:color="auto" w:fill="auto"/>
            <w:vAlign w:val="center"/>
          </w:tcPr>
          <w:p w14:paraId="3F78708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1.考核总分为100分。</w:t>
            </w:r>
          </w:p>
        </w:tc>
      </w:tr>
      <w:tr w14:paraId="7ACA2F90">
        <w:tblPrEx>
          <w:tblCellMar>
            <w:top w:w="0" w:type="dxa"/>
            <w:left w:w="108" w:type="dxa"/>
            <w:bottom w:w="0" w:type="dxa"/>
            <w:right w:w="108" w:type="dxa"/>
          </w:tblCellMar>
        </w:tblPrEx>
        <w:trPr>
          <w:trHeight w:val="600" w:hRule="atLeast"/>
        </w:trPr>
        <w:tc>
          <w:tcPr>
            <w:tcW w:w="10020" w:type="dxa"/>
            <w:gridSpan w:val="6"/>
            <w:tcBorders>
              <w:top w:val="nil"/>
              <w:left w:val="nil"/>
              <w:bottom w:val="nil"/>
              <w:right w:val="nil"/>
            </w:tcBorders>
            <w:shd w:val="clear" w:color="auto" w:fill="auto"/>
            <w:vAlign w:val="center"/>
          </w:tcPr>
          <w:p w14:paraId="1C68E257">
            <w:pPr>
              <w:widowControl/>
              <w:jc w:val="left"/>
              <w:textAlignment w:val="center"/>
              <w:rPr>
                <w:rFonts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2.“扣分项”：由考核主体根据考核对象的实际工作状况进行填写，如无扣分则填0。</w:t>
            </w:r>
          </w:p>
        </w:tc>
      </w:tr>
    </w:tbl>
    <w:p w14:paraId="5B4F2D53">
      <w:pPr>
        <w:rPr>
          <w:color w:val="auto"/>
          <w:highlight w:val="none"/>
        </w:rPr>
      </w:pPr>
    </w:p>
    <w:p w14:paraId="6C62C440">
      <w:pPr>
        <w:spacing w:before="48" w:beforeLines="20" w:after="48" w:afterLines="20"/>
        <w:ind w:firstLine="420" w:firstLineChars="200"/>
        <w:rPr>
          <w:rFonts w:ascii="宋体" w:hAnsi="宋体" w:eastAsia="宋体" w:cs="宋体"/>
          <w:color w:val="auto"/>
          <w:szCs w:val="21"/>
          <w:highlight w:val="none"/>
        </w:rPr>
      </w:pPr>
    </w:p>
    <w:bookmarkEnd w:id="732"/>
    <w:p w14:paraId="47322514">
      <w:pPr>
        <w:pageBreakBefore/>
        <w:spacing w:before="120" w:beforeLines="50" w:after="120" w:afterLines="50" w:line="360" w:lineRule="auto"/>
        <w:ind w:firstLine="640"/>
        <w:jc w:val="center"/>
        <w:outlineLvl w:val="0"/>
        <w:rPr>
          <w:rFonts w:ascii="宋体" w:hAnsi="宋体" w:eastAsia="宋体" w:cs="宋体"/>
          <w:b/>
          <w:bCs/>
          <w:color w:val="auto"/>
          <w:sz w:val="32"/>
          <w:szCs w:val="32"/>
          <w:highlight w:val="none"/>
          <w:lang w:val="zh-CN"/>
        </w:rPr>
      </w:pPr>
      <w:bookmarkStart w:id="814" w:name="_Toc25564"/>
      <w:bookmarkStart w:id="815" w:name="_Toc195714371"/>
      <w:bookmarkStart w:id="816" w:name="_Toc30025"/>
      <w:bookmarkStart w:id="817" w:name="_Toc30969"/>
      <w:bookmarkStart w:id="818" w:name="_Toc142508360"/>
      <w:bookmarkStart w:id="819" w:name="_Toc24427_WPSOffice_Level1"/>
      <w:bookmarkStart w:id="820" w:name="_Toc447044479"/>
      <w:bookmarkStart w:id="821" w:name="_Toc447044603"/>
      <w:bookmarkStart w:id="822" w:name="_Toc1047"/>
      <w:bookmarkStart w:id="823" w:name="_Toc2749"/>
      <w:bookmarkStart w:id="824" w:name="_Toc512353083"/>
      <w:bookmarkStart w:id="825" w:name="_Toc447045090"/>
      <w:bookmarkStart w:id="826" w:name="_Toc8410"/>
      <w:r>
        <w:rPr>
          <w:rFonts w:hint="eastAsia" w:ascii="宋体" w:hAnsi="宋体" w:eastAsia="宋体" w:cs="宋体"/>
          <w:b/>
          <w:bCs/>
          <w:color w:val="auto"/>
          <w:sz w:val="32"/>
          <w:szCs w:val="32"/>
          <w:highlight w:val="none"/>
          <w:lang w:val="zh-CN"/>
        </w:rPr>
        <w:t>第五篇 相关保函格式</w:t>
      </w:r>
      <w:bookmarkEnd w:id="814"/>
      <w:bookmarkEnd w:id="815"/>
      <w:bookmarkEnd w:id="816"/>
      <w:bookmarkEnd w:id="817"/>
      <w:bookmarkEnd w:id="818"/>
      <w:bookmarkEnd w:id="819"/>
      <w:bookmarkEnd w:id="820"/>
      <w:bookmarkEnd w:id="821"/>
      <w:bookmarkEnd w:id="822"/>
      <w:bookmarkEnd w:id="823"/>
      <w:bookmarkEnd w:id="824"/>
      <w:bookmarkEnd w:id="825"/>
      <w:bookmarkEnd w:id="826"/>
      <w:bookmarkStart w:id="827" w:name="_Toc447044480"/>
      <w:bookmarkStart w:id="828" w:name="_Toc447044604"/>
      <w:bookmarkStart w:id="829" w:name="_Toc447045091"/>
    </w:p>
    <w:p w14:paraId="21C4EAC7">
      <w:pPr>
        <w:autoSpaceDE w:val="0"/>
        <w:autoSpaceDN w:val="0"/>
        <w:adjustRightInd w:val="0"/>
        <w:spacing w:after="120" w:afterLines="50" w:line="360" w:lineRule="auto"/>
        <w:jc w:val="left"/>
        <w:outlineLvl w:val="1"/>
        <w:rPr>
          <w:rFonts w:ascii="宋体" w:hAnsi="宋体" w:eastAsia="宋体" w:cs="宋体"/>
          <w:b/>
          <w:color w:val="auto"/>
          <w:kern w:val="0"/>
          <w:sz w:val="28"/>
          <w:szCs w:val="28"/>
          <w:highlight w:val="none"/>
        </w:rPr>
      </w:pPr>
      <w:bookmarkStart w:id="830" w:name="_Toc16440"/>
      <w:bookmarkStart w:id="831" w:name="_Toc30976"/>
      <w:bookmarkStart w:id="832" w:name="_Toc20718"/>
      <w:bookmarkStart w:id="833" w:name="_Toc26521_WPSOffice_Level2"/>
      <w:r>
        <w:rPr>
          <w:rFonts w:hint="eastAsia" w:ascii="宋体" w:hAnsi="宋体" w:eastAsia="宋体" w:cs="宋体"/>
          <w:b/>
          <w:color w:val="auto"/>
          <w:kern w:val="0"/>
          <w:sz w:val="28"/>
          <w:szCs w:val="28"/>
          <w:highlight w:val="none"/>
        </w:rPr>
        <w:t>一、不可撤销银行履约保函格式</w:t>
      </w:r>
      <w:bookmarkEnd w:id="827"/>
      <w:bookmarkEnd w:id="828"/>
      <w:bookmarkEnd w:id="829"/>
      <w:bookmarkEnd w:id="830"/>
      <w:bookmarkEnd w:id="831"/>
      <w:bookmarkEnd w:id="832"/>
      <w:bookmarkEnd w:id="833"/>
    </w:p>
    <w:p w14:paraId="54D3C921">
      <w:pPr>
        <w:autoSpaceDE w:val="0"/>
        <w:autoSpaceDN w:val="0"/>
        <w:adjustRightInd w:val="0"/>
        <w:jc w:val="center"/>
        <w:rPr>
          <w:rFonts w:ascii="宋体" w:hAnsi="宋体" w:eastAsia="宋体" w:cs="宋体"/>
          <w:b/>
          <w:color w:val="auto"/>
          <w:kern w:val="0"/>
          <w:sz w:val="30"/>
          <w:szCs w:val="30"/>
          <w:highlight w:val="none"/>
        </w:rPr>
      </w:pPr>
      <w:bookmarkStart w:id="834" w:name="_Toc22637"/>
      <w:bookmarkStart w:id="835" w:name="_Toc32686"/>
      <w:bookmarkStart w:id="836" w:name="_Toc17523"/>
      <w:r>
        <w:rPr>
          <w:rFonts w:hint="eastAsia" w:ascii="宋体" w:hAnsi="宋体" w:eastAsia="宋体" w:cs="宋体"/>
          <w:b/>
          <w:color w:val="auto"/>
          <w:kern w:val="0"/>
          <w:sz w:val="30"/>
          <w:szCs w:val="30"/>
          <w:highlight w:val="none"/>
        </w:rPr>
        <w:t>不可撤销银行履约保函</w:t>
      </w:r>
      <w:bookmarkEnd w:id="834"/>
      <w:bookmarkEnd w:id="835"/>
      <w:bookmarkEnd w:id="836"/>
    </w:p>
    <w:p w14:paraId="1FE63EBF">
      <w:pPr>
        <w:widowControl/>
        <w:autoSpaceDE w:val="0"/>
        <w:autoSpaceDN w:val="0"/>
        <w:adjustRightInd w:val="0"/>
        <w:spacing w:line="360" w:lineRule="auto"/>
        <w:jc w:val="left"/>
        <w:rPr>
          <w:rFonts w:ascii="宋体" w:hAnsi="宋体" w:eastAsia="宋体" w:cs="宋体"/>
          <w:color w:val="auto"/>
          <w:kern w:val="0"/>
          <w:szCs w:val="21"/>
          <w:highlight w:val="none"/>
        </w:rPr>
      </w:pPr>
    </w:p>
    <w:p w14:paraId="2E86DF97">
      <w:pPr>
        <w:autoSpaceDE w:val="0"/>
        <w:autoSpaceDN w:val="0"/>
        <w:adjustRightInd w:val="0"/>
        <w:spacing w:line="360" w:lineRule="auto"/>
        <w:ind w:firstLine="63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75C8FED9">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37D366D">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58C34BB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3F32C4B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339608B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3ECF3420">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8FB0712">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本保函应从合同签订之日起至运维期结束且申请人按合同约定完成运维期届满前的全部义务后二十八（28）日内保持有效。</w:t>
      </w:r>
    </w:p>
    <w:p w14:paraId="2115FBE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lang w:val="en-US" w:eastAsia="zh-CN"/>
        </w:rPr>
        <w:t>出具保函</w:t>
      </w:r>
      <w:r>
        <w:rPr>
          <w:rFonts w:hint="eastAsia" w:ascii="宋体" w:hAnsi="宋体" w:eastAsia="宋体" w:cs="宋体"/>
          <w:color w:val="auto"/>
          <w:szCs w:val="21"/>
          <w:highlight w:val="none"/>
        </w:rPr>
        <w:t>联系人：                   银行</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7F33C42D">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A5EF43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03CBB912">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28F346B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645F5663">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453CF55C">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07218A1">
      <w:pPr>
        <w:widowControl/>
        <w:autoSpaceDE w:val="0"/>
        <w:autoSpaceDN w:val="0"/>
        <w:adjustRightInd w:val="0"/>
        <w:spacing w:line="360" w:lineRule="auto"/>
        <w:jc w:val="left"/>
        <w:rPr>
          <w:rFonts w:ascii="宋体" w:hAnsi="宋体" w:eastAsia="宋体" w:cs="宋体"/>
          <w:color w:val="auto"/>
          <w:kern w:val="0"/>
          <w:szCs w:val="21"/>
          <w:highlight w:val="none"/>
        </w:rPr>
      </w:pPr>
    </w:p>
    <w:p w14:paraId="5A024C05">
      <w:pPr>
        <w:widowControl/>
        <w:autoSpaceDE w:val="0"/>
        <w:autoSpaceDN w:val="0"/>
        <w:adjustRightInd w:val="0"/>
        <w:spacing w:line="360" w:lineRule="auto"/>
        <w:jc w:val="left"/>
        <w:rPr>
          <w:rFonts w:ascii="宋体" w:hAnsi="宋体" w:eastAsia="宋体" w:cs="宋体"/>
          <w:color w:val="auto"/>
          <w:kern w:val="0"/>
          <w:szCs w:val="21"/>
          <w:highlight w:val="none"/>
        </w:rPr>
      </w:pPr>
    </w:p>
    <w:p w14:paraId="55B99CA3">
      <w:pPr>
        <w:autoSpaceDE w:val="0"/>
        <w:autoSpaceDN w:val="0"/>
        <w:adjustRightInd w:val="0"/>
        <w:spacing w:line="360" w:lineRule="auto"/>
        <w:ind w:right="368" w:rightChars="175"/>
        <w:jc w:val="left"/>
        <w:rPr>
          <w:rFonts w:ascii="宋体" w:hAnsi="宋体" w:eastAsia="宋体" w:cs="宋体"/>
          <w:color w:val="auto"/>
          <w:kern w:val="0"/>
          <w:szCs w:val="21"/>
          <w:highlight w:val="none"/>
        </w:rPr>
        <w:sectPr>
          <w:headerReference r:id="rId4" w:type="first"/>
          <w:footerReference r:id="rId6" w:type="first"/>
          <w:footerReference r:id="rId5" w:type="default"/>
          <w:pgSz w:w="12240" w:h="15840"/>
          <w:pgMar w:top="1191" w:right="1043" w:bottom="1191" w:left="1043" w:header="720" w:footer="720" w:gutter="0"/>
          <w:cols w:space="720" w:num="1"/>
          <w:docGrid w:linePitch="326" w:charSpace="0"/>
        </w:sectPr>
      </w:pPr>
    </w:p>
    <w:p w14:paraId="429178F4">
      <w:pPr>
        <w:outlineLvl w:val="1"/>
        <w:rPr>
          <w:rFonts w:ascii="宋体" w:hAnsi="宋体" w:eastAsia="宋体" w:cs="宋体"/>
          <w:b/>
          <w:color w:val="auto"/>
          <w:kern w:val="0"/>
          <w:sz w:val="28"/>
          <w:szCs w:val="28"/>
          <w:highlight w:val="none"/>
        </w:rPr>
      </w:pPr>
      <w:bookmarkStart w:id="837" w:name="_Toc7621"/>
      <w:bookmarkStart w:id="838" w:name="_Toc22814"/>
      <w:bookmarkStart w:id="839" w:name="_Toc16756"/>
      <w:r>
        <w:rPr>
          <w:rFonts w:hint="eastAsia" w:ascii="宋体" w:hAnsi="宋体" w:eastAsia="宋体" w:cs="宋体"/>
          <w:b/>
          <w:color w:val="auto"/>
          <w:kern w:val="0"/>
          <w:sz w:val="28"/>
          <w:szCs w:val="28"/>
          <w:highlight w:val="none"/>
        </w:rPr>
        <w:t>二、履约保证保险凭证格式</w:t>
      </w:r>
      <w:bookmarkEnd w:id="837"/>
      <w:bookmarkEnd w:id="838"/>
      <w:bookmarkEnd w:id="839"/>
    </w:p>
    <w:p w14:paraId="4BAA339C">
      <w:pPr>
        <w:autoSpaceDE w:val="0"/>
        <w:autoSpaceDN w:val="0"/>
        <w:adjustRightInd w:val="0"/>
        <w:jc w:val="center"/>
        <w:rPr>
          <w:rFonts w:ascii="宋体" w:hAnsi="宋体" w:eastAsia="宋体" w:cs="宋体"/>
          <w:b/>
          <w:color w:val="auto"/>
          <w:kern w:val="0"/>
          <w:sz w:val="30"/>
          <w:szCs w:val="30"/>
          <w:highlight w:val="none"/>
        </w:rPr>
      </w:pPr>
    </w:p>
    <w:p w14:paraId="68F37EB3">
      <w:pPr>
        <w:autoSpaceDE w:val="0"/>
        <w:autoSpaceDN w:val="0"/>
        <w:adjustRightInd w:val="0"/>
        <w:jc w:val="center"/>
        <w:rPr>
          <w:rFonts w:ascii="宋体" w:hAnsi="宋体" w:eastAsia="宋体" w:cs="宋体"/>
          <w:b/>
          <w:color w:val="auto"/>
          <w:kern w:val="0"/>
          <w:sz w:val="30"/>
          <w:szCs w:val="30"/>
          <w:highlight w:val="none"/>
        </w:rPr>
      </w:pPr>
      <w:bookmarkStart w:id="840" w:name="_Toc23367"/>
      <w:bookmarkStart w:id="841" w:name="_Toc11726"/>
      <w:bookmarkStart w:id="842" w:name="_Toc6637"/>
      <w:r>
        <w:rPr>
          <w:rFonts w:hint="eastAsia" w:ascii="宋体" w:hAnsi="宋体" w:eastAsia="宋体" w:cs="宋体"/>
          <w:b/>
          <w:color w:val="auto"/>
          <w:kern w:val="0"/>
          <w:sz w:val="30"/>
          <w:szCs w:val="30"/>
          <w:highlight w:val="none"/>
        </w:rPr>
        <w:t>履约保证保险凭证</w:t>
      </w:r>
      <w:bookmarkEnd w:id="840"/>
      <w:bookmarkEnd w:id="841"/>
      <w:bookmarkEnd w:id="842"/>
    </w:p>
    <w:p w14:paraId="5D4C70B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2512DD49">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11CF94A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075B07B9">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017F3A2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合同。我方已接受申请人的请求，并出具《履约保证保险》保险单。 </w:t>
      </w:r>
    </w:p>
    <w:p w14:paraId="6F3930B3">
      <w:pPr>
        <w:autoSpaceDE w:val="0"/>
        <w:autoSpaceDN w:val="0"/>
        <w:adjustRightInd w:val="0"/>
        <w:spacing w:line="360" w:lineRule="auto"/>
        <w:ind w:firstLine="437"/>
        <w:jc w:val="left"/>
        <w:rPr>
          <w:rFonts w:ascii="宋体" w:hAnsi="宋体" w:eastAsia="宋体" w:cs="宋体"/>
          <w:color w:val="auto"/>
          <w:kern w:val="0"/>
          <w:szCs w:val="21"/>
          <w:highlight w:val="none"/>
        </w:rPr>
      </w:pPr>
      <w:bookmarkStart w:id="843" w:name="_Toc4473"/>
      <w:bookmarkStart w:id="844" w:name="_Toc20577"/>
      <w:bookmarkStart w:id="845" w:name="_Toc25054"/>
      <w:r>
        <w:rPr>
          <w:rFonts w:hint="eastAsia" w:ascii="宋体" w:hAnsi="宋体" w:eastAsia="宋体" w:cs="宋体"/>
          <w:color w:val="auto"/>
          <w:kern w:val="0"/>
          <w:szCs w:val="21"/>
          <w:highlight w:val="none"/>
        </w:rPr>
        <w:t>一、保证保险金额</w:t>
      </w:r>
      <w:bookmarkEnd w:id="843"/>
      <w:bookmarkEnd w:id="844"/>
      <w:bookmarkEnd w:id="845"/>
      <w:r>
        <w:rPr>
          <w:rFonts w:hint="eastAsia" w:ascii="宋体" w:hAnsi="宋体" w:eastAsia="宋体" w:cs="宋体"/>
          <w:color w:val="auto"/>
          <w:kern w:val="0"/>
          <w:szCs w:val="21"/>
          <w:highlight w:val="none"/>
        </w:rPr>
        <w:t xml:space="preserve"> </w:t>
      </w:r>
    </w:p>
    <w:p w14:paraId="1EF3148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 ）。 </w:t>
      </w:r>
    </w:p>
    <w:p w14:paraId="02A88BC6">
      <w:pPr>
        <w:autoSpaceDE w:val="0"/>
        <w:autoSpaceDN w:val="0"/>
        <w:adjustRightInd w:val="0"/>
        <w:spacing w:line="360" w:lineRule="auto"/>
        <w:ind w:firstLine="437"/>
        <w:jc w:val="left"/>
        <w:rPr>
          <w:rFonts w:ascii="宋体" w:hAnsi="宋体" w:eastAsia="宋体" w:cs="宋体"/>
          <w:color w:val="auto"/>
          <w:kern w:val="0"/>
          <w:szCs w:val="21"/>
          <w:highlight w:val="none"/>
        </w:rPr>
      </w:pPr>
      <w:bookmarkStart w:id="846" w:name="_Toc21945"/>
      <w:bookmarkStart w:id="847" w:name="_Toc345"/>
      <w:bookmarkStart w:id="848" w:name="_Toc22512"/>
      <w:r>
        <w:rPr>
          <w:rFonts w:hint="eastAsia" w:ascii="宋体" w:hAnsi="宋体" w:eastAsia="宋体" w:cs="宋体"/>
          <w:color w:val="auto"/>
          <w:kern w:val="0"/>
          <w:szCs w:val="21"/>
          <w:highlight w:val="none"/>
        </w:rPr>
        <w:t>二、保证保险的责任范围</w:t>
      </w:r>
      <w:bookmarkEnd w:id="846"/>
      <w:bookmarkEnd w:id="847"/>
      <w:bookmarkEnd w:id="848"/>
      <w:r>
        <w:rPr>
          <w:rFonts w:hint="eastAsia" w:ascii="宋体" w:hAnsi="宋体" w:eastAsia="宋体" w:cs="宋体"/>
          <w:color w:val="auto"/>
          <w:kern w:val="0"/>
          <w:szCs w:val="21"/>
          <w:highlight w:val="none"/>
        </w:rPr>
        <w:t xml:space="preserve"> </w:t>
      </w:r>
    </w:p>
    <w:p w14:paraId="5551D24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 xml:space="preserve">合同履行相关义务，给贵方造成损失的，贵方可向我方提出索赔，我方按照保险合同的约定承担损失赔偿责任。 </w:t>
      </w:r>
    </w:p>
    <w:p w14:paraId="040C21C6">
      <w:pPr>
        <w:autoSpaceDE w:val="0"/>
        <w:autoSpaceDN w:val="0"/>
        <w:adjustRightInd w:val="0"/>
        <w:spacing w:line="360" w:lineRule="auto"/>
        <w:ind w:firstLine="437"/>
        <w:jc w:val="left"/>
        <w:rPr>
          <w:rFonts w:ascii="宋体" w:hAnsi="宋体" w:eastAsia="宋体" w:cs="宋体"/>
          <w:color w:val="auto"/>
          <w:kern w:val="0"/>
          <w:szCs w:val="21"/>
          <w:highlight w:val="none"/>
        </w:rPr>
      </w:pPr>
      <w:bookmarkStart w:id="849" w:name="_Toc25093"/>
      <w:bookmarkStart w:id="850" w:name="_Toc16346"/>
      <w:bookmarkStart w:id="851" w:name="_Toc21585"/>
      <w:r>
        <w:rPr>
          <w:rFonts w:hint="eastAsia" w:ascii="宋体" w:hAnsi="宋体" w:eastAsia="宋体" w:cs="宋体"/>
          <w:color w:val="auto"/>
          <w:kern w:val="0"/>
          <w:szCs w:val="21"/>
          <w:highlight w:val="none"/>
        </w:rPr>
        <w:t>三、代偿的安排</w:t>
      </w:r>
      <w:bookmarkEnd w:id="849"/>
      <w:bookmarkEnd w:id="850"/>
      <w:bookmarkEnd w:id="851"/>
      <w:r>
        <w:rPr>
          <w:rFonts w:hint="eastAsia" w:ascii="宋体" w:hAnsi="宋体" w:eastAsia="宋体" w:cs="宋体"/>
          <w:color w:val="auto"/>
          <w:kern w:val="0"/>
          <w:szCs w:val="21"/>
          <w:highlight w:val="none"/>
        </w:rPr>
        <w:t xml:space="preserve"> </w:t>
      </w:r>
    </w:p>
    <w:p w14:paraId="4DF1D11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720C86D">
      <w:pPr>
        <w:autoSpaceDE w:val="0"/>
        <w:autoSpaceDN w:val="0"/>
        <w:adjustRightInd w:val="0"/>
        <w:spacing w:line="360" w:lineRule="auto"/>
        <w:ind w:firstLine="437"/>
        <w:jc w:val="left"/>
        <w:rPr>
          <w:rFonts w:ascii="宋体" w:hAnsi="宋体" w:eastAsia="宋体" w:cs="宋体"/>
          <w:color w:val="auto"/>
          <w:kern w:val="0"/>
          <w:szCs w:val="21"/>
          <w:highlight w:val="none"/>
        </w:rPr>
      </w:pPr>
      <w:bookmarkStart w:id="852" w:name="_Toc14344"/>
      <w:bookmarkStart w:id="853" w:name="_Toc26376"/>
      <w:bookmarkStart w:id="854" w:name="_Toc21122"/>
      <w:r>
        <w:rPr>
          <w:rFonts w:hint="eastAsia" w:ascii="宋体" w:hAnsi="宋体" w:eastAsia="宋体" w:cs="宋体"/>
          <w:color w:val="auto"/>
          <w:kern w:val="0"/>
          <w:szCs w:val="21"/>
          <w:highlight w:val="none"/>
        </w:rPr>
        <w:t>四、生效时间</w:t>
      </w:r>
      <w:bookmarkEnd w:id="852"/>
      <w:bookmarkEnd w:id="853"/>
      <w:bookmarkEnd w:id="854"/>
      <w:r>
        <w:rPr>
          <w:rFonts w:hint="eastAsia" w:ascii="宋体" w:hAnsi="宋体" w:eastAsia="宋体" w:cs="宋体"/>
          <w:color w:val="auto"/>
          <w:kern w:val="0"/>
          <w:szCs w:val="21"/>
          <w:highlight w:val="none"/>
        </w:rPr>
        <w:t xml:space="preserve"> </w:t>
      </w:r>
    </w:p>
    <w:p w14:paraId="40FDDFB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3AE2196F">
      <w:pPr>
        <w:autoSpaceDE w:val="0"/>
        <w:autoSpaceDN w:val="0"/>
        <w:adjustRightInd w:val="0"/>
        <w:spacing w:line="360" w:lineRule="auto"/>
        <w:ind w:firstLine="437"/>
        <w:jc w:val="left"/>
        <w:rPr>
          <w:rFonts w:ascii="宋体" w:hAnsi="宋体" w:eastAsia="宋体" w:cs="宋体"/>
          <w:color w:val="auto"/>
          <w:kern w:val="0"/>
          <w:szCs w:val="21"/>
          <w:highlight w:val="none"/>
        </w:rPr>
      </w:pPr>
      <w:bookmarkStart w:id="855" w:name="_Toc4275"/>
      <w:bookmarkStart w:id="856" w:name="_Toc29466"/>
      <w:bookmarkStart w:id="857" w:name="_Toc1197"/>
      <w:r>
        <w:rPr>
          <w:rFonts w:hint="eastAsia" w:ascii="宋体" w:hAnsi="宋体" w:eastAsia="宋体" w:cs="宋体"/>
          <w:color w:val="auto"/>
          <w:kern w:val="0"/>
          <w:szCs w:val="21"/>
          <w:highlight w:val="none"/>
        </w:rPr>
        <w:t>五、其他</w:t>
      </w:r>
      <w:bookmarkEnd w:id="855"/>
      <w:bookmarkEnd w:id="856"/>
      <w:bookmarkEnd w:id="857"/>
    </w:p>
    <w:p w14:paraId="276185C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本履约保证保险应</w:t>
      </w:r>
      <w:bookmarkStart w:id="858" w:name="OLE_LINK389"/>
      <w:r>
        <w:rPr>
          <w:rFonts w:hint="eastAsia" w:ascii="宋体" w:hAnsi="宋体" w:eastAsia="宋体" w:cs="宋体"/>
          <w:color w:val="auto"/>
          <w:kern w:val="0"/>
          <w:szCs w:val="21"/>
          <w:highlight w:val="none"/>
        </w:rPr>
        <w:t>从合同签订之日起至</w:t>
      </w:r>
      <w:bookmarkEnd w:id="858"/>
      <w:r>
        <w:rPr>
          <w:rFonts w:hint="eastAsia" w:ascii="宋体" w:hAnsi="宋体" w:eastAsia="宋体" w:cs="宋体"/>
          <w:color w:val="auto"/>
          <w:kern w:val="0"/>
          <w:szCs w:val="21"/>
          <w:highlight w:val="none"/>
        </w:rPr>
        <w:t>运维期结束且申请人按合同约定完成运维期届满前的全部义务后二十八（28）日内保持有效。</w:t>
      </w:r>
    </w:p>
    <w:p w14:paraId="3BE690C8">
      <w:pPr>
        <w:autoSpaceDE w:val="0"/>
        <w:autoSpaceDN w:val="0"/>
        <w:adjustRightInd w:val="0"/>
        <w:spacing w:line="360" w:lineRule="auto"/>
        <w:ind w:firstLine="437"/>
        <w:jc w:val="left"/>
        <w:rPr>
          <w:rFonts w:ascii="宋体" w:hAnsi="宋体" w:eastAsia="宋体" w:cs="宋体"/>
          <w:color w:val="auto"/>
          <w:highlight w:val="none"/>
        </w:rPr>
      </w:pPr>
    </w:p>
    <w:p w14:paraId="2B9E2CD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附：《XXX 保险有限公司履约保证保险（X 款）条款》及保单 </w:t>
      </w:r>
    </w:p>
    <w:p w14:paraId="46E4D6A1">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出具履约保证保险凭证</w:t>
      </w:r>
      <w:r>
        <w:rPr>
          <w:rFonts w:hint="eastAsia" w:ascii="宋体" w:hAnsi="宋体" w:eastAsia="宋体" w:cs="宋体"/>
          <w:color w:val="auto"/>
          <w:szCs w:val="21"/>
          <w:highlight w:val="none"/>
        </w:rPr>
        <w:t xml:space="preserve">联系人：                   </w:t>
      </w:r>
      <w:r>
        <w:rPr>
          <w:rFonts w:hint="eastAsia" w:ascii="宋体" w:hAnsi="宋体" w:eastAsia="宋体" w:cs="宋体"/>
          <w:color w:val="auto"/>
          <w:szCs w:val="21"/>
          <w:highlight w:val="none"/>
          <w:lang w:val="en-US" w:eastAsia="zh-CN"/>
        </w:rPr>
        <w:t>保险人经办人</w:t>
      </w:r>
      <w:r>
        <w:rPr>
          <w:rFonts w:hint="eastAsia" w:ascii="宋体" w:hAnsi="宋体" w:eastAsia="宋体" w:cs="宋体"/>
          <w:color w:val="auto"/>
          <w:szCs w:val="21"/>
          <w:highlight w:val="none"/>
        </w:rPr>
        <w:t>联系电话：             ）</w:t>
      </w:r>
      <w:r>
        <w:rPr>
          <w:rFonts w:hint="eastAsia" w:ascii="宋体" w:hAnsi="宋体" w:eastAsia="宋体" w:cs="宋体"/>
          <w:color w:val="auto"/>
          <w:kern w:val="0"/>
          <w:szCs w:val="21"/>
          <w:highlight w:val="none"/>
        </w:rPr>
        <w:t xml:space="preserve">                                            </w:t>
      </w:r>
    </w:p>
    <w:p w14:paraId="570E7E98">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5C70AA66">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法定代表人或授权代理人：________ </w:t>
      </w:r>
    </w:p>
    <w:p w14:paraId="1155642B">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月 日</w:t>
      </w:r>
    </w:p>
    <w:p w14:paraId="1A42E2D8">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2FBF1B57">
      <w:pPr>
        <w:autoSpaceDE w:val="0"/>
        <w:autoSpaceDN w:val="0"/>
        <w:adjustRightInd w:val="0"/>
        <w:spacing w:after="120" w:afterLines="50" w:line="360" w:lineRule="auto"/>
        <w:jc w:val="left"/>
        <w:outlineLvl w:val="1"/>
        <w:rPr>
          <w:rFonts w:ascii="宋体" w:hAnsi="宋体" w:eastAsia="宋体" w:cs="宋体"/>
          <w:b/>
          <w:color w:val="auto"/>
          <w:kern w:val="0"/>
          <w:sz w:val="28"/>
          <w:szCs w:val="28"/>
          <w:highlight w:val="none"/>
        </w:rPr>
      </w:pPr>
      <w:bookmarkStart w:id="859" w:name="_Toc30665"/>
      <w:bookmarkStart w:id="860" w:name="_Toc23303"/>
      <w:bookmarkStart w:id="861" w:name="_Toc8801"/>
      <w:r>
        <w:rPr>
          <w:rFonts w:hint="eastAsia" w:ascii="宋体" w:hAnsi="宋体" w:eastAsia="宋体" w:cs="宋体"/>
          <w:b/>
          <w:color w:val="auto"/>
          <w:kern w:val="0"/>
          <w:sz w:val="28"/>
          <w:szCs w:val="28"/>
          <w:highlight w:val="none"/>
        </w:rPr>
        <w:t>三、担保公司履约担保书格式</w:t>
      </w:r>
      <w:bookmarkEnd w:id="859"/>
      <w:bookmarkEnd w:id="860"/>
      <w:bookmarkEnd w:id="861"/>
    </w:p>
    <w:p w14:paraId="098978FF">
      <w:pPr>
        <w:autoSpaceDE w:val="0"/>
        <w:autoSpaceDN w:val="0"/>
        <w:adjustRightInd w:val="0"/>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5D00ED5D">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AC79A8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118439E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履约担保书，作为申请人履行上述合同的担保，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528664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31C1D021">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我方还同意，任何受益人与申请人之间可能对合同条款的修改、规范或其他合同文件的变动补充，都不能免除我方按本担保书所承担的责任。因此，有关上述变动、补充和修改无须通知或征得我方同意。</w:t>
      </w:r>
    </w:p>
    <w:p w14:paraId="6DB7CFFB">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本担保书应</w:t>
      </w:r>
      <w:bookmarkStart w:id="862" w:name="OLE_LINK388"/>
      <w:r>
        <w:rPr>
          <w:rFonts w:hint="eastAsia" w:ascii="宋体" w:hAnsi="宋体" w:eastAsia="宋体" w:cs="宋体"/>
          <w:color w:val="auto"/>
          <w:kern w:val="0"/>
          <w:szCs w:val="21"/>
          <w:highlight w:val="none"/>
        </w:rPr>
        <w:t>从合同签订之日起至运维期结束且申请人按合同约定完成运维期届满前的全部义务后二十八（28）日内保持有效</w:t>
      </w:r>
      <w:bookmarkEnd w:id="862"/>
      <w:r>
        <w:rPr>
          <w:rFonts w:hint="eastAsia" w:ascii="宋体" w:hAnsi="宋体" w:eastAsia="宋体" w:cs="宋体"/>
          <w:color w:val="auto"/>
          <w:kern w:val="0"/>
          <w:szCs w:val="21"/>
          <w:highlight w:val="none"/>
        </w:rPr>
        <w:t>。</w:t>
      </w:r>
    </w:p>
    <w:p w14:paraId="1B5FD56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出具担保公司履约担保书</w:t>
      </w:r>
      <w:r>
        <w:rPr>
          <w:rFonts w:hint="eastAsia" w:ascii="宋体" w:hAnsi="宋体" w:eastAsia="宋体" w:cs="宋体"/>
          <w:color w:val="auto"/>
          <w:szCs w:val="21"/>
          <w:highlight w:val="none"/>
        </w:rPr>
        <w:t>联系人：              担保公司履约担保书</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0D4FC094">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p>
    <w:p w14:paraId="1BC1BBC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p>
    <w:p w14:paraId="65619187">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p>
    <w:p w14:paraId="1CFD2DA8">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51C53C62">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2ACBF938">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16EBE024">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048FDC5F">
      <w:pPr>
        <w:autoSpaceDE w:val="0"/>
        <w:autoSpaceDN w:val="0"/>
        <w:adjustRightInd w:val="0"/>
        <w:spacing w:line="360" w:lineRule="auto"/>
        <w:ind w:firstLine="3990" w:firstLineChars="1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CE9F086">
      <w:pPr>
        <w:autoSpaceDE w:val="0"/>
        <w:autoSpaceDN w:val="0"/>
        <w:adjustRightInd w:val="0"/>
        <w:spacing w:line="360" w:lineRule="auto"/>
        <w:ind w:right="368" w:rightChars="175"/>
        <w:jc w:val="left"/>
        <w:rPr>
          <w:rFonts w:ascii="宋体" w:hAnsi="宋体" w:eastAsia="宋体" w:cs="宋体"/>
          <w:color w:val="auto"/>
          <w:kern w:val="0"/>
          <w:szCs w:val="21"/>
          <w:highlight w:val="none"/>
        </w:rPr>
      </w:pPr>
    </w:p>
    <w:p w14:paraId="0E26484D">
      <w:pPr>
        <w:autoSpaceDE w:val="0"/>
        <w:autoSpaceDN w:val="0"/>
        <w:adjustRightInd w:val="0"/>
        <w:spacing w:line="360" w:lineRule="auto"/>
        <w:jc w:val="left"/>
        <w:rPr>
          <w:rFonts w:ascii="宋体" w:hAnsi="宋体" w:eastAsia="宋体" w:cs="宋体"/>
          <w:color w:val="auto"/>
          <w:kern w:val="0"/>
          <w:szCs w:val="21"/>
          <w:highlight w:val="none"/>
        </w:rPr>
      </w:pPr>
    </w:p>
    <w:p w14:paraId="3C441550">
      <w:pPr>
        <w:autoSpaceDE w:val="0"/>
        <w:autoSpaceDN w:val="0"/>
        <w:adjustRightInd w:val="0"/>
        <w:spacing w:line="360" w:lineRule="auto"/>
        <w:ind w:firstLine="5775" w:firstLineChars="2750"/>
        <w:jc w:val="left"/>
        <w:rPr>
          <w:rFonts w:ascii="宋体" w:hAnsi="宋体" w:eastAsia="宋体" w:cs="宋体"/>
          <w:color w:val="auto"/>
          <w:kern w:val="0"/>
          <w:szCs w:val="21"/>
          <w:highlight w:val="none"/>
        </w:rPr>
      </w:pPr>
    </w:p>
    <w:p w14:paraId="31453B01">
      <w:pPr>
        <w:autoSpaceDE w:val="0"/>
        <w:autoSpaceDN w:val="0"/>
        <w:adjustRightInd w:val="0"/>
        <w:spacing w:line="360" w:lineRule="auto"/>
        <w:ind w:firstLine="5775" w:firstLineChars="2750"/>
        <w:jc w:val="left"/>
        <w:rPr>
          <w:rFonts w:ascii="宋体" w:hAnsi="宋体" w:eastAsia="宋体" w:cs="宋体"/>
          <w:color w:val="auto"/>
          <w:kern w:val="0"/>
          <w:szCs w:val="21"/>
          <w:highlight w:val="none"/>
        </w:rPr>
      </w:pPr>
    </w:p>
    <w:p w14:paraId="35CEF25B">
      <w:pPr>
        <w:jc w:val="left"/>
        <w:rPr>
          <w:rFonts w:hint="eastAsia" w:ascii="宋体" w:hAnsi="宋体" w:eastAsia="宋体" w:cs="宋体"/>
          <w:b/>
          <w:color w:val="auto"/>
          <w:kern w:val="0"/>
          <w:sz w:val="28"/>
          <w:szCs w:val="28"/>
          <w:highlight w:val="none"/>
        </w:rPr>
      </w:pPr>
      <w:bookmarkStart w:id="863" w:name="_Toc9085"/>
      <w:bookmarkStart w:id="864" w:name="_Toc89552416"/>
      <w:r>
        <w:rPr>
          <w:rFonts w:hint="eastAsia" w:ascii="宋体" w:hAnsi="宋体" w:eastAsia="宋体" w:cs="宋体"/>
          <w:b/>
          <w:color w:val="auto"/>
          <w:kern w:val="0"/>
          <w:sz w:val="28"/>
          <w:szCs w:val="28"/>
          <w:highlight w:val="none"/>
        </w:rPr>
        <w:br w:type="page"/>
      </w:r>
    </w:p>
    <w:p w14:paraId="116ED37C">
      <w:pPr>
        <w:pageBreakBefore/>
        <w:autoSpaceDE w:val="0"/>
        <w:autoSpaceDN w:val="0"/>
        <w:adjustRightInd w:val="0"/>
        <w:spacing w:after="120" w:afterLines="50" w:line="360" w:lineRule="auto"/>
        <w:jc w:val="left"/>
        <w:outlineLvl w:val="1"/>
        <w:rPr>
          <w:rFonts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四</w:t>
      </w:r>
      <w:r>
        <w:rPr>
          <w:rFonts w:hint="eastAsia" w:ascii="宋体" w:hAnsi="宋体" w:eastAsia="宋体" w:cs="宋体"/>
          <w:b/>
          <w:color w:val="auto"/>
          <w:kern w:val="0"/>
          <w:sz w:val="28"/>
          <w:szCs w:val="28"/>
          <w:highlight w:val="none"/>
        </w:rPr>
        <w:t>、不可撤销</w:t>
      </w:r>
      <w:r>
        <w:rPr>
          <w:rFonts w:hint="eastAsia" w:ascii="宋体" w:hAnsi="宋体" w:eastAsia="宋体" w:cs="宋体"/>
          <w:b/>
          <w:color w:val="auto"/>
          <w:kern w:val="0"/>
          <w:sz w:val="28"/>
          <w:szCs w:val="28"/>
          <w:highlight w:val="none"/>
          <w:lang w:val="en-US" w:eastAsia="zh-CN"/>
        </w:rPr>
        <w:t>银行预付款保函</w:t>
      </w:r>
      <w:r>
        <w:rPr>
          <w:rFonts w:hint="eastAsia" w:ascii="宋体" w:hAnsi="宋体" w:eastAsia="宋体" w:cs="宋体"/>
          <w:b/>
          <w:color w:val="auto"/>
          <w:kern w:val="0"/>
          <w:sz w:val="28"/>
          <w:szCs w:val="28"/>
          <w:highlight w:val="none"/>
        </w:rPr>
        <w:t>格式</w:t>
      </w:r>
    </w:p>
    <w:p w14:paraId="19010924">
      <w:pPr>
        <w:autoSpaceDE w:val="0"/>
        <w:autoSpaceDN w:val="0"/>
        <w:adjustRightInd w:val="0"/>
        <w:spacing w:line="360" w:lineRule="auto"/>
        <w:jc w:val="center"/>
        <w:rPr>
          <w:rFonts w:ascii="宋体" w:hAnsi="宋体" w:eastAsia="宋体" w:cs="宋体"/>
          <w:color w:val="auto"/>
          <w:kern w:val="0"/>
          <w:sz w:val="30"/>
          <w:szCs w:val="30"/>
          <w:highlight w:val="none"/>
        </w:rPr>
      </w:pPr>
      <w:r>
        <w:rPr>
          <w:rFonts w:hint="eastAsia" w:ascii="宋体" w:hAnsi="宋体" w:eastAsia="宋体" w:cs="Times New Roman"/>
          <w:b/>
          <w:color w:val="auto"/>
          <w:kern w:val="0"/>
          <w:sz w:val="30"/>
          <w:szCs w:val="30"/>
          <w:highlight w:val="none"/>
        </w:rPr>
        <w:t>不可撤销</w:t>
      </w:r>
      <w:r>
        <w:rPr>
          <w:rFonts w:hint="eastAsia" w:ascii="宋体" w:hAnsi="宋体" w:eastAsia="宋体" w:cs="宋体"/>
          <w:b/>
          <w:color w:val="auto"/>
          <w:kern w:val="0"/>
          <w:sz w:val="30"/>
          <w:szCs w:val="30"/>
          <w:highlight w:val="none"/>
          <w:lang w:val="en-US" w:eastAsia="zh-CN"/>
        </w:rPr>
        <w:t>银行预付款保函</w:t>
      </w:r>
    </w:p>
    <w:p w14:paraId="23D3A7A3">
      <w:pPr>
        <w:autoSpaceDE w:val="0"/>
        <w:autoSpaceDN w:val="0"/>
        <w:adjustRightInd w:val="0"/>
        <w:spacing w:line="360" w:lineRule="auto"/>
        <w:jc w:val="left"/>
        <w:rPr>
          <w:rFonts w:ascii="宋体" w:hAnsi="宋体" w:eastAsia="宋体" w:cs="宋体"/>
          <w:color w:val="auto"/>
          <w:kern w:val="0"/>
          <w:szCs w:val="21"/>
          <w:highlight w:val="none"/>
        </w:rPr>
      </w:pPr>
    </w:p>
    <w:p w14:paraId="696DE531">
      <w:pPr>
        <w:keepNext w:val="0"/>
        <w:keepLines w:val="0"/>
        <w:pageBreakBefore w:val="0"/>
        <w:widowControl w:val="0"/>
        <w:kinsoku/>
        <w:wordWrap/>
        <w:overflowPunct/>
        <w:topLinePunct w:val="0"/>
        <w:autoSpaceDE/>
        <w:autoSpaceDN/>
        <w:bidi w:val="0"/>
        <w:adjustRightInd/>
        <w:snapToGrid/>
        <w:spacing w:line="360" w:lineRule="auto"/>
        <w:ind w:firstLine="63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银行编号：</w:t>
      </w:r>
      <w:r>
        <w:rPr>
          <w:rFonts w:hint="eastAsia" w:ascii="宋体" w:hAnsi="宋体" w:eastAsia="宋体" w:cs="宋体"/>
          <w:color w:val="auto"/>
          <w:highlight w:val="none"/>
          <w:u w:val="single"/>
        </w:rPr>
        <w:t xml:space="preserve">             </w:t>
      </w:r>
    </w:p>
    <w:p w14:paraId="6E6B44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3E772E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（买方全称）</w:t>
      </w:r>
    </w:p>
    <w:p w14:paraId="5F901C7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（卖方全称）(</w:t>
      </w:r>
      <w:r>
        <w:rPr>
          <w:rFonts w:hint="eastAsia" w:ascii="宋体" w:hAnsi="宋体" w:eastAsia="宋体" w:cs="宋体"/>
          <w:color w:val="auto"/>
          <w:kern w:val="0"/>
          <w:szCs w:val="21"/>
          <w:highlight w:val="none"/>
        </w:rPr>
        <w:t>下称“申请人”</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买方全称）(</w:t>
      </w:r>
      <w:r>
        <w:rPr>
          <w:rFonts w:hint="eastAsia" w:ascii="宋体" w:hAnsi="宋体" w:eastAsia="宋体" w:cs="宋体"/>
          <w:color w:val="auto"/>
          <w:kern w:val="0"/>
          <w:szCs w:val="21"/>
          <w:highlight w:val="none"/>
        </w:rPr>
        <w:t>下称“受益人”</w:t>
      </w:r>
      <w:r>
        <w:rPr>
          <w:rFonts w:hint="eastAsia" w:ascii="宋体" w:hAnsi="宋体" w:eastAsia="宋体" w:cs="宋体"/>
          <w:color w:val="auto"/>
          <w:szCs w:val="21"/>
          <w:highlight w:val="none"/>
        </w:rPr>
        <w:t xml:space="preserve">)签订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日签署)，并保证</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有权获得按合同约定为保证项目按时</w:t>
      </w:r>
      <w:r>
        <w:rPr>
          <w:rFonts w:hint="eastAsia" w:ascii="宋体" w:hAnsi="宋体" w:eastAsia="宋体" w:cs="宋体"/>
          <w:color w:val="auto"/>
          <w:szCs w:val="21"/>
          <w:highlight w:val="none"/>
          <w:lang w:val="en-US" w:eastAsia="zh-CN"/>
        </w:rPr>
        <w:t>并网验收</w:t>
      </w:r>
      <w:r>
        <w:rPr>
          <w:rFonts w:hint="eastAsia" w:ascii="宋体" w:hAnsi="宋体" w:eastAsia="宋体" w:cs="宋体"/>
          <w:color w:val="auto"/>
          <w:szCs w:val="21"/>
          <w:highlight w:val="none"/>
        </w:rPr>
        <w:t>的由</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支付的</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预付款；</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在合同中要求</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应通过经认可的银行提交合同指定的与</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预付款等额的担保金额等事实，我行愿意为</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出具保函，以担保金额人民币(大写)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元)向</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提供无条件、不可撤销的担保。</w:t>
      </w:r>
    </w:p>
    <w:p w14:paraId="063F1C60">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在履行合同过程中发生违约或违背合同约定时，我行保证在担保金额额度内偿还或偿清</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因该项违约或违背所造成的经济损失（无论该事实是否成立），并在接到</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要求的第</w:t>
      </w:r>
      <w:r>
        <w:rPr>
          <w:rFonts w:hint="eastAsia" w:ascii="宋体" w:hAnsi="宋体" w:eastAsia="宋体" w:cs="宋体"/>
          <w:color w:val="auto"/>
          <w:szCs w:val="21"/>
          <w:highlight w:val="none"/>
          <w:u w:val="single"/>
        </w:rPr>
        <w:t xml:space="preserve"> 10 </w:t>
      </w:r>
      <w:r>
        <w:rPr>
          <w:rFonts w:hint="eastAsia" w:ascii="宋体" w:hAnsi="宋体" w:eastAsia="宋体" w:cs="宋体"/>
          <w:color w:val="auto"/>
          <w:szCs w:val="21"/>
          <w:highlight w:val="none"/>
        </w:rPr>
        <w:t>天内予以支付。</w:t>
      </w:r>
    </w:p>
    <w:p w14:paraId="23D3C915">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在向我行提出要求前，我行将不坚持要求</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首先向</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提出上述款项的索赔。</w:t>
      </w:r>
    </w:p>
    <w:p w14:paraId="33531EF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我行承诺：无论是否经我行知晓或同意，我行的义务和责任不因</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与</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对合同条款所作的任何修改或补充而解除。</w:t>
      </w:r>
      <w:r>
        <w:rPr>
          <w:rFonts w:hint="eastAsia" w:ascii="宋体" w:hAnsi="宋体" w:eastAsia="宋体" w:cs="宋体"/>
          <w:color w:val="auto"/>
          <w:kern w:val="0"/>
          <w:szCs w:val="21"/>
          <w:highlight w:val="none"/>
        </w:rPr>
        <w:t>因此，有关上述变动、补充和修改无须通知或征得我方同意。</w:t>
      </w:r>
    </w:p>
    <w:p w14:paraId="09A9903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本保函在合同下全部</w:t>
      </w:r>
      <w:r>
        <w:rPr>
          <w:rFonts w:hint="eastAsia" w:ascii="宋体" w:hAnsi="宋体" w:eastAsia="宋体" w:cs="宋体"/>
          <w:color w:val="auto"/>
          <w:szCs w:val="21"/>
          <w:highlight w:val="none"/>
          <w:lang w:val="en-US" w:eastAsia="zh-CN"/>
        </w:rPr>
        <w:t>子项目并网验收合格</w:t>
      </w:r>
      <w:r>
        <w:rPr>
          <w:rFonts w:hint="eastAsia" w:ascii="宋体" w:hAnsi="宋体" w:eastAsia="宋体" w:cs="宋体"/>
          <w:color w:val="auto"/>
          <w:szCs w:val="21"/>
          <w:highlight w:val="none"/>
        </w:rPr>
        <w:t>后第</w:t>
      </w: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天起失效。</w:t>
      </w:r>
    </w:p>
    <w:p w14:paraId="5B2EC89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lang w:val="en-US" w:eastAsia="zh-CN"/>
        </w:rPr>
        <w:t>出具保函</w:t>
      </w:r>
      <w:r>
        <w:rPr>
          <w:rFonts w:hint="eastAsia" w:ascii="宋体" w:hAnsi="宋体" w:eastAsia="宋体" w:cs="宋体"/>
          <w:color w:val="auto"/>
          <w:szCs w:val="21"/>
          <w:highlight w:val="none"/>
        </w:rPr>
        <w:t>联系人：                   银行</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56F6E3B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p>
    <w:p w14:paraId="0BE3B622">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598A435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4220E5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08A6AF64">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026E1059">
      <w:pPr>
        <w:keepNext w:val="0"/>
        <w:keepLines w:val="0"/>
        <w:pageBreakBefore w:val="0"/>
        <w:widowControl w:val="0"/>
        <w:kinsoku/>
        <w:wordWrap/>
        <w:overflowPunct/>
        <w:topLinePunct w:val="0"/>
        <w:autoSpaceDE/>
        <w:autoSpaceDN/>
        <w:bidi w:val="0"/>
        <w:adjustRightInd/>
        <w:snapToGrid/>
        <w:spacing w:line="360" w:lineRule="auto"/>
        <w:ind w:left="0" w:leftChars="0" w:firstLine="1260" w:firstLineChars="6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88EE517">
      <w:pPr>
        <w:wordWrap w:val="0"/>
        <w:spacing w:line="360" w:lineRule="auto"/>
        <w:rPr>
          <w:rFonts w:hint="eastAsia" w:ascii="宋体" w:hAnsi="宋体" w:eastAsia="宋体" w:cs="宋体"/>
          <w:color w:val="auto"/>
          <w:szCs w:val="21"/>
          <w:highlight w:val="none"/>
          <w:lang w:val="en-US" w:eastAsia="zh-CN"/>
        </w:rPr>
      </w:pPr>
    </w:p>
    <w:p w14:paraId="59404047">
      <w:pPr>
        <w:wordWrap w:val="0"/>
        <w:spacing w:line="360" w:lineRule="auto"/>
        <w:rPr>
          <w:rFonts w:hint="eastAsia" w:ascii="宋体" w:hAnsi="宋体" w:eastAsia="宋体" w:cs="宋体"/>
          <w:color w:val="auto"/>
          <w:szCs w:val="21"/>
          <w:highlight w:val="none"/>
          <w:lang w:val="en-US" w:eastAsia="zh-CN"/>
        </w:rPr>
      </w:pPr>
    </w:p>
    <w:p w14:paraId="0A9F5876">
      <w:pPr>
        <w:wordWrap w:val="0"/>
        <w:spacing w:line="360" w:lineRule="auto"/>
        <w:rPr>
          <w:rFonts w:hint="eastAsia" w:ascii="宋体" w:hAnsi="宋体" w:eastAsia="宋体" w:cs="宋体"/>
          <w:color w:val="auto"/>
          <w:szCs w:val="21"/>
          <w:highlight w:val="none"/>
          <w:lang w:val="en-US" w:eastAsia="zh-CN"/>
        </w:rPr>
      </w:pPr>
    </w:p>
    <w:p w14:paraId="4C5F9760">
      <w:pPr>
        <w:wordWrap w:val="0"/>
        <w:spacing w:line="360" w:lineRule="auto"/>
        <w:rPr>
          <w:rFonts w:hint="eastAsia" w:ascii="宋体" w:hAnsi="宋体" w:eastAsia="宋体" w:cs="宋体"/>
          <w:color w:val="auto"/>
          <w:szCs w:val="21"/>
          <w:highlight w:val="none"/>
          <w:lang w:val="en-US" w:eastAsia="zh-CN"/>
        </w:rPr>
      </w:pPr>
    </w:p>
    <w:p w14:paraId="6D68986C">
      <w:pPr>
        <w:pageBreakBefore w:val="0"/>
        <w:wordWrap/>
        <w:spacing w:line="240" w:lineRule="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415FBF7A">
      <w:pPr>
        <w:pageBreakBefore w:val="0"/>
        <w:wordWrap w:val="0"/>
        <w:spacing w:line="360" w:lineRule="auto"/>
        <w:outlineLvl w:val="1"/>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五、不可撤销银行</w:t>
      </w:r>
      <w:r>
        <w:rPr>
          <w:rFonts w:hint="eastAsia" w:ascii="宋体" w:hAnsi="宋体" w:eastAsia="宋体" w:cs="宋体"/>
          <w:b/>
          <w:bCs/>
          <w:color w:val="auto"/>
          <w:sz w:val="28"/>
          <w:szCs w:val="28"/>
          <w:highlight w:val="none"/>
        </w:rPr>
        <w:t>质量保修保函格式</w:t>
      </w:r>
    </w:p>
    <w:p w14:paraId="7EB8A38E">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不可撤销银行质量保修保函</w:t>
      </w:r>
    </w:p>
    <w:p w14:paraId="2D59B3D3">
      <w:pPr>
        <w:widowControl/>
        <w:autoSpaceDE w:val="0"/>
        <w:autoSpaceDN w:val="0"/>
        <w:adjustRightInd w:val="0"/>
        <w:spacing w:line="360" w:lineRule="auto"/>
        <w:jc w:val="left"/>
        <w:rPr>
          <w:rFonts w:ascii="宋体" w:hAnsi="宋体" w:eastAsia="宋体" w:cs="宋体"/>
          <w:color w:val="auto"/>
          <w:kern w:val="0"/>
          <w:szCs w:val="21"/>
          <w:highlight w:val="none"/>
        </w:rPr>
      </w:pPr>
    </w:p>
    <w:p w14:paraId="004B5F20">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66ABAC53">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7320959">
      <w:pPr>
        <w:spacing w:line="360" w:lineRule="auto"/>
        <w:ind w:firstLine="48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（卖方全称）(</w:t>
      </w:r>
      <w:r>
        <w:rPr>
          <w:rFonts w:hint="eastAsia" w:ascii="宋体" w:hAnsi="宋体" w:eastAsia="宋体" w:cs="宋体"/>
          <w:color w:val="auto"/>
          <w:kern w:val="0"/>
          <w:szCs w:val="21"/>
          <w:highlight w:val="none"/>
        </w:rPr>
        <w:t>下称“申请人”</w:t>
      </w:r>
      <w:r>
        <w:rPr>
          <w:rFonts w:hint="eastAsia" w:ascii="宋体" w:hAnsi="宋体" w:eastAsia="宋体" w:cs="宋体"/>
          <w:color w:val="auto"/>
          <w:szCs w:val="21"/>
          <w:highlight w:val="none"/>
        </w:rPr>
        <w:t>)与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买方全称）(</w:t>
      </w:r>
      <w:r>
        <w:rPr>
          <w:rFonts w:hint="eastAsia" w:ascii="宋体" w:hAnsi="宋体" w:eastAsia="宋体" w:cs="宋体"/>
          <w:color w:val="auto"/>
          <w:kern w:val="0"/>
          <w:szCs w:val="21"/>
          <w:highlight w:val="none"/>
        </w:rPr>
        <w:t>下称“受益人”</w:t>
      </w:r>
      <w:r>
        <w:rPr>
          <w:rFonts w:hint="eastAsia" w:ascii="宋体" w:hAnsi="宋体" w:eastAsia="宋体" w:cs="宋体"/>
          <w:color w:val="auto"/>
          <w:szCs w:val="21"/>
          <w:highlight w:val="none"/>
        </w:rPr>
        <w:t xml:space="preserve">)签订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（项目名称）采购合同(编号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日签署)，并保证</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有义务按合同约定向</w:t>
      </w:r>
      <w:r>
        <w:rPr>
          <w:rFonts w:hint="eastAsia" w:ascii="宋体" w:hAnsi="宋体" w:eastAsia="宋体" w:cs="宋体"/>
          <w:color w:val="auto"/>
          <w:szCs w:val="21"/>
          <w:highlight w:val="none"/>
          <w:lang w:val="en-US" w:eastAsia="zh-CN"/>
        </w:rPr>
        <w:t>受益人</w:t>
      </w:r>
      <w:r>
        <w:rPr>
          <w:rFonts w:hint="eastAsia" w:ascii="宋体" w:hAnsi="宋体" w:eastAsia="宋体" w:cs="宋体"/>
          <w:color w:val="auto"/>
          <w:szCs w:val="21"/>
          <w:highlight w:val="none"/>
        </w:rPr>
        <w:t>提供质量保证、质保期内的售后服务；</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在合同中</w:t>
      </w:r>
      <w:r>
        <w:rPr>
          <w:rFonts w:hint="eastAsia" w:ascii="宋体" w:hAnsi="宋体" w:eastAsia="宋体" w:cs="宋体"/>
          <w:color w:val="auto"/>
          <w:szCs w:val="21"/>
          <w:highlight w:val="none"/>
          <w:lang w:val="en-US" w:eastAsia="zh-CN"/>
        </w:rPr>
        <w:t>约定，在申请人提前申请退还质量保修金时，</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 xml:space="preserve">           应通过经</w:t>
      </w:r>
      <w:r>
        <w:rPr>
          <w:rFonts w:hint="eastAsia" w:ascii="宋体" w:hAnsi="宋体" w:eastAsia="宋体" w:cs="宋体"/>
          <w:color w:val="auto"/>
          <w:szCs w:val="21"/>
          <w:highlight w:val="none"/>
          <w:lang w:val="en-US" w:eastAsia="zh-CN"/>
        </w:rPr>
        <w:t>受益人</w:t>
      </w:r>
      <w:r>
        <w:rPr>
          <w:rFonts w:hint="eastAsia" w:ascii="宋体" w:hAnsi="宋体" w:eastAsia="宋体" w:cs="宋体"/>
          <w:color w:val="auto"/>
          <w:szCs w:val="21"/>
          <w:highlight w:val="none"/>
        </w:rPr>
        <w:t>认可的银行提交合同指定的合同</w:t>
      </w:r>
      <w:r>
        <w:rPr>
          <w:rFonts w:hint="eastAsia" w:ascii="宋体" w:hAnsi="宋体" w:eastAsia="宋体" w:cs="宋体"/>
          <w:b w:val="0"/>
          <w:bCs w:val="0"/>
          <w:color w:val="auto"/>
          <w:sz w:val="21"/>
          <w:szCs w:val="21"/>
          <w:highlight w:val="none"/>
        </w:rPr>
        <w:t>结算价款的3%</w:t>
      </w:r>
      <w:r>
        <w:rPr>
          <w:rFonts w:hint="eastAsia" w:ascii="宋体" w:hAnsi="宋体" w:eastAsia="宋体" w:cs="宋体"/>
          <w:b w:val="0"/>
          <w:bCs w:val="0"/>
          <w:color w:val="auto"/>
          <w:sz w:val="21"/>
          <w:szCs w:val="21"/>
          <w:highlight w:val="none"/>
          <w:lang w:val="en-US" w:eastAsia="zh-CN"/>
        </w:rPr>
        <w:t>及其销项税额</w:t>
      </w:r>
      <w:r>
        <w:rPr>
          <w:rFonts w:hint="eastAsia" w:ascii="宋体" w:hAnsi="宋体" w:eastAsia="宋体" w:cs="宋体"/>
          <w:color w:val="auto"/>
          <w:szCs w:val="21"/>
          <w:highlight w:val="none"/>
        </w:rPr>
        <w:t>的担保金额作为质保金等事实，</w:t>
      </w:r>
      <w:r>
        <w:rPr>
          <w:rFonts w:hint="eastAsia" w:ascii="宋体" w:hAnsi="宋体" w:eastAsia="宋体" w:cs="宋体"/>
          <w:color w:val="auto"/>
          <w:kern w:val="0"/>
          <w:szCs w:val="21"/>
          <w:highlight w:val="none"/>
        </w:rPr>
        <w:t>我方受申请人的委托，无条件、见索即付、不可撤销地在受益人出具本保函原件且提出因申请人没有履行上述合同</w:t>
      </w:r>
      <w:r>
        <w:rPr>
          <w:rFonts w:hint="eastAsia" w:ascii="宋体" w:hAnsi="宋体" w:eastAsia="宋体" w:cs="宋体"/>
          <w:color w:val="auto"/>
          <w:szCs w:val="21"/>
          <w:highlight w:val="none"/>
        </w:rPr>
        <w:t>质量保证</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售后服务</w:t>
      </w:r>
      <w:r>
        <w:rPr>
          <w:rFonts w:hint="eastAsia" w:ascii="宋体" w:hAnsi="宋体" w:eastAsia="宋体" w:cs="宋体"/>
          <w:color w:val="auto"/>
          <w:kern w:val="0"/>
          <w:szCs w:val="21"/>
          <w:highlight w:val="none"/>
        </w:rPr>
        <w:t>规定，而要求我方承担保证责任后，在保函限额内向受益人支付不超过人民币（大写）_________（¥_______元）的款项。</w:t>
      </w:r>
    </w:p>
    <w:p w14:paraId="11860A1F">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在向我行提出要求前，我行将不坚持要求</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首先向</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提出上述款项的索赔。</w:t>
      </w:r>
    </w:p>
    <w:p w14:paraId="1498F4CB">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我行承诺：无论是否经我行知晓或同意，我行的义务和责任不因</w:t>
      </w:r>
      <w:r>
        <w:rPr>
          <w:rFonts w:hint="eastAsia" w:ascii="宋体" w:hAnsi="宋体" w:eastAsia="宋体" w:cs="宋体"/>
          <w:color w:val="auto"/>
          <w:kern w:val="0"/>
          <w:szCs w:val="21"/>
          <w:highlight w:val="none"/>
        </w:rPr>
        <w:t>受益人</w:t>
      </w:r>
      <w:r>
        <w:rPr>
          <w:rFonts w:hint="eastAsia" w:ascii="宋体" w:hAnsi="宋体" w:eastAsia="宋体" w:cs="宋体"/>
          <w:color w:val="auto"/>
          <w:szCs w:val="21"/>
          <w:highlight w:val="none"/>
        </w:rPr>
        <w:t>与</w:t>
      </w:r>
      <w:r>
        <w:rPr>
          <w:rFonts w:hint="eastAsia" w:ascii="宋体" w:hAnsi="宋体" w:eastAsia="宋体" w:cs="宋体"/>
          <w:color w:val="auto"/>
          <w:kern w:val="0"/>
          <w:szCs w:val="21"/>
          <w:highlight w:val="none"/>
        </w:rPr>
        <w:t>申请人</w:t>
      </w:r>
      <w:r>
        <w:rPr>
          <w:rFonts w:hint="eastAsia" w:ascii="宋体" w:hAnsi="宋体" w:eastAsia="宋体" w:cs="宋体"/>
          <w:color w:val="auto"/>
          <w:szCs w:val="21"/>
          <w:highlight w:val="none"/>
        </w:rPr>
        <w:t>对合同条款所作的任何修改或补充而解除。</w:t>
      </w:r>
      <w:r>
        <w:rPr>
          <w:rFonts w:hint="eastAsia" w:ascii="宋体" w:hAnsi="宋体" w:eastAsia="宋体" w:cs="宋体"/>
          <w:color w:val="auto"/>
          <w:kern w:val="0"/>
          <w:szCs w:val="21"/>
          <w:highlight w:val="none"/>
        </w:rPr>
        <w:t>因此，有关上述变动、补充和修改无须通知或征得我方同意。</w:t>
      </w:r>
    </w:p>
    <w:p w14:paraId="3B7FA9D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本保函在</w:t>
      </w:r>
      <w:r>
        <w:rPr>
          <w:rFonts w:hint="eastAsia" w:ascii="宋体" w:hAnsi="宋体" w:eastAsia="宋体" w:cs="宋体"/>
          <w:b w:val="0"/>
          <w:bCs w:val="0"/>
          <w:color w:val="auto"/>
          <w:kern w:val="0"/>
          <w:sz w:val="21"/>
          <w:szCs w:val="21"/>
          <w:highlight w:val="none"/>
          <w:lang w:val="en-US" w:eastAsia="zh-CN"/>
        </w:rPr>
        <w:t>申请人</w:t>
      </w:r>
      <w:r>
        <w:rPr>
          <w:rFonts w:hint="eastAsia" w:ascii="宋体" w:hAnsi="宋体" w:eastAsia="宋体" w:cs="宋体"/>
          <w:b w:val="0"/>
          <w:bCs w:val="0"/>
          <w:color w:val="auto"/>
          <w:kern w:val="0"/>
          <w:sz w:val="21"/>
          <w:szCs w:val="21"/>
          <w:highlight w:val="none"/>
        </w:rPr>
        <w:t>承诺的</w:t>
      </w:r>
      <w:r>
        <w:rPr>
          <w:rFonts w:hint="eastAsia" w:ascii="宋体" w:hAnsi="宋体" w:eastAsia="宋体" w:cs="宋体"/>
          <w:b w:val="0"/>
          <w:bCs w:val="0"/>
          <w:color w:val="auto"/>
          <w:kern w:val="0"/>
          <w:sz w:val="21"/>
          <w:szCs w:val="21"/>
          <w:highlight w:val="none"/>
          <w:lang w:val="en-US" w:eastAsia="zh-CN"/>
        </w:rPr>
        <w:t>合同项目整体</w:t>
      </w:r>
      <w:r>
        <w:rPr>
          <w:rFonts w:hint="eastAsia" w:ascii="宋体" w:hAnsi="宋体" w:eastAsia="宋体" w:cs="宋体"/>
          <w:b w:val="0"/>
          <w:bCs w:val="0"/>
          <w:color w:val="auto"/>
          <w:kern w:val="0"/>
          <w:sz w:val="21"/>
          <w:szCs w:val="21"/>
          <w:highlight w:val="none"/>
        </w:rPr>
        <w:t>质保期限</w:t>
      </w:r>
      <w:r>
        <w:rPr>
          <w:rFonts w:hint="eastAsia" w:ascii="宋体" w:hAnsi="宋体" w:eastAsia="宋体" w:cs="宋体"/>
          <w:b w:val="0"/>
          <w:bCs w:val="0"/>
          <w:color w:val="auto"/>
          <w:kern w:val="0"/>
          <w:sz w:val="21"/>
          <w:szCs w:val="21"/>
          <w:highlight w:val="none"/>
          <w:lang w:val="en-US" w:eastAsia="zh-CN"/>
        </w:rPr>
        <w:t>内有效</w:t>
      </w:r>
      <w:r>
        <w:rPr>
          <w:rFonts w:hint="eastAsia" w:ascii="宋体" w:hAnsi="宋体" w:eastAsia="宋体" w:cs="宋体"/>
          <w:color w:val="auto"/>
          <w:szCs w:val="21"/>
          <w:highlight w:val="none"/>
        </w:rPr>
        <w:t>。</w:t>
      </w:r>
    </w:p>
    <w:p w14:paraId="0149F9FE">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w:t>
      </w:r>
      <w:r>
        <w:rPr>
          <w:rFonts w:hint="eastAsia" w:ascii="宋体" w:hAnsi="宋体" w:eastAsia="宋体" w:cs="宋体"/>
          <w:color w:val="auto"/>
          <w:szCs w:val="21"/>
          <w:highlight w:val="none"/>
          <w:lang w:val="en-US" w:eastAsia="zh-CN"/>
        </w:rPr>
        <w:t>出具保函</w:t>
      </w:r>
      <w:r>
        <w:rPr>
          <w:rFonts w:hint="eastAsia" w:ascii="宋体" w:hAnsi="宋体" w:eastAsia="宋体" w:cs="宋体"/>
          <w:color w:val="auto"/>
          <w:szCs w:val="21"/>
          <w:highlight w:val="none"/>
        </w:rPr>
        <w:t>联系人：                   银行</w:t>
      </w:r>
      <w:r>
        <w:rPr>
          <w:rFonts w:hint="eastAsia" w:ascii="宋体" w:hAnsi="宋体" w:eastAsia="宋体" w:cs="宋体"/>
          <w:color w:val="auto"/>
          <w:szCs w:val="21"/>
          <w:highlight w:val="none"/>
          <w:lang w:val="en-US" w:eastAsia="zh-CN"/>
        </w:rPr>
        <w:t>经办人</w:t>
      </w:r>
      <w:r>
        <w:rPr>
          <w:rFonts w:hint="eastAsia" w:ascii="宋体" w:hAnsi="宋体" w:eastAsia="宋体" w:cs="宋体"/>
          <w:color w:val="auto"/>
          <w:szCs w:val="21"/>
          <w:highlight w:val="none"/>
        </w:rPr>
        <w:t>联系电话：             ）</w:t>
      </w:r>
    </w:p>
    <w:p w14:paraId="2A4447E2">
      <w:pPr>
        <w:keepNext w:val="0"/>
        <w:keepLines w:val="0"/>
        <w:pageBreakBefore w:val="0"/>
        <w:widowControl/>
        <w:kinsoku/>
        <w:wordWrap/>
        <w:overflowPunct/>
        <w:topLinePunct w:val="0"/>
        <w:autoSpaceDE w:val="0"/>
        <w:autoSpaceDN w:val="0"/>
        <w:bidi w:val="0"/>
        <w:adjustRightInd w:val="0"/>
        <w:snapToGrid/>
        <w:spacing w:line="360" w:lineRule="auto"/>
        <w:ind w:firstLine="437"/>
        <w:jc w:val="left"/>
        <w:textAlignment w:val="auto"/>
        <w:rPr>
          <w:rFonts w:ascii="宋体" w:hAnsi="宋体" w:eastAsia="宋体" w:cs="宋体"/>
          <w:color w:val="auto"/>
          <w:kern w:val="0"/>
          <w:szCs w:val="21"/>
          <w:highlight w:val="none"/>
        </w:rPr>
      </w:pPr>
    </w:p>
    <w:p w14:paraId="5CB6C457">
      <w:pPr>
        <w:keepNext w:val="0"/>
        <w:keepLines w:val="0"/>
        <w:pageBreakBefore w:val="0"/>
        <w:widowControl/>
        <w:kinsoku/>
        <w:wordWrap/>
        <w:overflowPunct/>
        <w:topLinePunct w:val="0"/>
        <w:autoSpaceDE w:val="0"/>
        <w:autoSpaceDN w:val="0"/>
        <w:bidi w:val="0"/>
        <w:adjustRightInd w:val="0"/>
        <w:snapToGrid/>
        <w:spacing w:line="360" w:lineRule="auto"/>
        <w:ind w:firstLine="2520" w:firstLineChars="1200"/>
        <w:jc w:val="left"/>
        <w:textAlignment w:val="auto"/>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BE012D5">
      <w:pPr>
        <w:keepNext w:val="0"/>
        <w:keepLines w:val="0"/>
        <w:pageBreakBefore w:val="0"/>
        <w:widowControl/>
        <w:kinsoku/>
        <w:wordWrap/>
        <w:overflowPunct/>
        <w:topLinePunct w:val="0"/>
        <w:autoSpaceDE w:val="0"/>
        <w:autoSpaceDN w:val="0"/>
        <w:bidi w:val="0"/>
        <w:adjustRightInd w:val="0"/>
        <w:snapToGrid/>
        <w:spacing w:line="360" w:lineRule="auto"/>
        <w:ind w:firstLine="2520" w:firstLineChars="1200"/>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4C70B9CD">
      <w:pPr>
        <w:keepNext w:val="0"/>
        <w:keepLines w:val="0"/>
        <w:pageBreakBefore w:val="0"/>
        <w:widowControl/>
        <w:kinsoku/>
        <w:wordWrap/>
        <w:overflowPunct/>
        <w:topLinePunct w:val="0"/>
        <w:autoSpaceDE w:val="0"/>
        <w:autoSpaceDN w:val="0"/>
        <w:bidi w:val="0"/>
        <w:adjustRightInd w:val="0"/>
        <w:snapToGrid/>
        <w:spacing w:line="360" w:lineRule="auto"/>
        <w:ind w:firstLine="5502" w:firstLineChars="2620"/>
        <w:jc w:val="left"/>
        <w:textAlignment w:val="auto"/>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F73CA66">
      <w:pPr>
        <w:keepNext w:val="0"/>
        <w:keepLines w:val="0"/>
        <w:pageBreakBefore w:val="0"/>
        <w:widowControl/>
        <w:kinsoku/>
        <w:wordWrap/>
        <w:overflowPunct/>
        <w:topLinePunct w:val="0"/>
        <w:autoSpaceDE w:val="0"/>
        <w:autoSpaceDN w:val="0"/>
        <w:bidi w:val="0"/>
        <w:adjustRightInd w:val="0"/>
        <w:snapToGrid/>
        <w:spacing w:line="360" w:lineRule="auto"/>
        <w:ind w:firstLine="5502" w:firstLineChars="2620"/>
        <w:jc w:val="left"/>
        <w:textAlignment w:val="auto"/>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4BD9F14">
      <w:pPr>
        <w:keepNext w:val="0"/>
        <w:keepLines w:val="0"/>
        <w:pageBreakBefore w:val="0"/>
        <w:kinsoku/>
        <w:wordWrap/>
        <w:overflowPunct/>
        <w:topLinePunct w:val="0"/>
        <w:autoSpaceDE w:val="0"/>
        <w:autoSpaceDN w:val="0"/>
        <w:bidi w:val="0"/>
        <w:adjustRightInd w:val="0"/>
        <w:snapToGrid/>
        <w:spacing w:line="360" w:lineRule="auto"/>
        <w:ind w:left="840" w:firstLine="420" w:firstLineChars="200"/>
        <w:jc w:val="left"/>
        <w:textAlignment w:val="auto"/>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bookmarkEnd w:id="863"/>
    <w:bookmarkEnd w:id="864"/>
    <w:p w14:paraId="252356D0">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865" w:name="_Toc5319"/>
      <w:bookmarkStart w:id="866" w:name="_Toc14777"/>
      <w:bookmarkStart w:id="867" w:name="_Toc9840"/>
      <w:bookmarkStart w:id="868" w:name="_Toc9860"/>
      <w:bookmarkStart w:id="869" w:name="_Toc15817"/>
      <w:bookmarkStart w:id="870" w:name="_Toc142508361"/>
      <w:bookmarkStart w:id="871" w:name="_Toc32761_WPSOffice_Level1"/>
      <w:bookmarkStart w:id="872" w:name="_Toc29078"/>
      <w:bookmarkStart w:id="873" w:name="_Toc486167708"/>
      <w:bookmarkStart w:id="874" w:name="_Toc195714372"/>
      <w:bookmarkStart w:id="875" w:name="_Toc450662895"/>
      <w:r>
        <w:rPr>
          <w:rFonts w:hint="eastAsia" w:ascii="宋体" w:hAnsi="宋体" w:eastAsia="宋体" w:cs="宋体"/>
          <w:b/>
          <w:bCs/>
          <w:color w:val="auto"/>
          <w:kern w:val="44"/>
          <w:sz w:val="32"/>
          <w:szCs w:val="32"/>
          <w:highlight w:val="none"/>
          <w:lang w:val="zh-CN"/>
        </w:rPr>
        <w:t>第六篇 投标文件格式</w:t>
      </w:r>
      <w:bookmarkEnd w:id="865"/>
      <w:bookmarkEnd w:id="866"/>
      <w:bookmarkEnd w:id="867"/>
      <w:bookmarkEnd w:id="868"/>
      <w:bookmarkEnd w:id="869"/>
      <w:bookmarkEnd w:id="870"/>
      <w:bookmarkEnd w:id="871"/>
      <w:bookmarkEnd w:id="872"/>
      <w:bookmarkEnd w:id="873"/>
      <w:bookmarkEnd w:id="874"/>
      <w:bookmarkEnd w:id="875"/>
    </w:p>
    <w:p w14:paraId="0FDB99E5">
      <w:pPr>
        <w:jc w:val="center"/>
        <w:outlineLvl w:val="1"/>
        <w:rPr>
          <w:rFonts w:ascii="宋体" w:hAnsi="宋体" w:eastAsia="宋体" w:cs="宋体"/>
          <w:b/>
          <w:color w:val="auto"/>
          <w:kern w:val="0"/>
          <w:sz w:val="32"/>
          <w:szCs w:val="32"/>
          <w:highlight w:val="none"/>
        </w:rPr>
      </w:pPr>
      <w:bookmarkStart w:id="876" w:name="_Toc12879"/>
      <w:bookmarkStart w:id="877" w:name="_Toc31978"/>
      <w:bookmarkStart w:id="878" w:name="_Toc3268"/>
      <w:bookmarkStart w:id="879" w:name="_Toc5778"/>
      <w:bookmarkStart w:id="880" w:name="_Toc195714373"/>
      <w:bookmarkStart w:id="881" w:name="_Toc14781"/>
      <w:bookmarkStart w:id="882" w:name="_Toc21648"/>
      <w:bookmarkStart w:id="883" w:name="_Toc3633"/>
      <w:bookmarkStart w:id="884" w:name="_Toc142508362"/>
      <w:bookmarkStart w:id="885" w:name="_Toc533708121"/>
      <w:bookmarkStart w:id="886" w:name="_Toc140596921"/>
      <w:bookmarkStart w:id="887" w:name="_Toc104991868"/>
      <w:bookmarkStart w:id="888" w:name="_Toc21133_WPSOffice_Level2"/>
      <w:bookmarkStart w:id="889" w:name="_Toc102860067"/>
      <w:bookmarkStart w:id="890" w:name="_Toc102860411"/>
      <w:bookmarkStart w:id="891" w:name="_Toc1977721"/>
      <w:bookmarkStart w:id="892" w:name="_Toc486167709"/>
      <w:bookmarkStart w:id="893" w:name="_Toc94107202"/>
      <w:r>
        <w:rPr>
          <w:rFonts w:hint="eastAsia" w:ascii="宋体" w:hAnsi="宋体" w:eastAsia="宋体" w:cs="宋体"/>
          <w:b/>
          <w:color w:val="auto"/>
          <w:kern w:val="0"/>
          <w:sz w:val="32"/>
          <w:szCs w:val="32"/>
          <w:highlight w:val="none"/>
        </w:rPr>
        <w:t>一  商务标格式</w:t>
      </w:r>
      <w:bookmarkEnd w:id="876"/>
      <w:bookmarkEnd w:id="877"/>
      <w:bookmarkEnd w:id="878"/>
      <w:bookmarkEnd w:id="879"/>
      <w:bookmarkEnd w:id="880"/>
      <w:bookmarkEnd w:id="881"/>
      <w:bookmarkEnd w:id="882"/>
      <w:bookmarkEnd w:id="883"/>
    </w:p>
    <w:p w14:paraId="64C1321D">
      <w:pPr>
        <w:rPr>
          <w:rFonts w:ascii="宋体" w:hAnsi="宋体" w:eastAsia="宋体" w:cs="宋体"/>
          <w:color w:val="auto"/>
          <w:sz w:val="84"/>
          <w:highlight w:val="none"/>
        </w:rPr>
      </w:pPr>
      <w:r>
        <w:rPr>
          <w:rFonts w:hint="eastAsia" w:ascii="宋体" w:hAnsi="宋体" w:eastAsia="宋体" w:cs="宋体"/>
          <w:b/>
          <w:color w:val="auto"/>
          <w:kern w:val="0"/>
          <w:sz w:val="32"/>
          <w:szCs w:val="32"/>
          <w:highlight w:val="none"/>
        </w:rPr>
        <w:br w:type="page"/>
      </w:r>
    </w:p>
    <w:p w14:paraId="59219C14">
      <w:pPr>
        <w:pStyle w:val="22"/>
        <w:spacing w:line="360" w:lineRule="auto"/>
        <w:jc w:val="center"/>
        <w:rPr>
          <w:rFonts w:ascii="宋体" w:hAnsi="宋体" w:cs="宋体"/>
          <w:color w:val="auto"/>
          <w:sz w:val="84"/>
          <w:highlight w:val="none"/>
        </w:rPr>
      </w:pPr>
    </w:p>
    <w:p w14:paraId="392CC377">
      <w:pPr>
        <w:pStyle w:val="22"/>
        <w:spacing w:line="360" w:lineRule="auto"/>
        <w:jc w:val="center"/>
        <w:rPr>
          <w:rFonts w:ascii="宋体" w:hAnsi="宋体" w:cs="宋体"/>
          <w:color w:val="auto"/>
          <w:sz w:val="84"/>
          <w:highlight w:val="none"/>
        </w:rPr>
      </w:pPr>
    </w:p>
    <w:p w14:paraId="58D4F006">
      <w:pPr>
        <w:pStyle w:val="22"/>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327CA300">
      <w:pPr>
        <w:pStyle w:val="22"/>
        <w:spacing w:line="360" w:lineRule="auto"/>
        <w:rPr>
          <w:rFonts w:ascii="宋体" w:hAnsi="宋体" w:cs="宋体"/>
          <w:color w:val="auto"/>
          <w:highlight w:val="none"/>
        </w:rPr>
      </w:pPr>
    </w:p>
    <w:p w14:paraId="3A4AD7CA">
      <w:pPr>
        <w:pStyle w:val="22"/>
        <w:spacing w:line="360" w:lineRule="auto"/>
        <w:rPr>
          <w:rFonts w:ascii="宋体" w:hAnsi="宋体" w:cs="宋体"/>
          <w:color w:val="auto"/>
          <w:highlight w:val="none"/>
        </w:rPr>
      </w:pPr>
    </w:p>
    <w:p w14:paraId="5EAFCFE5">
      <w:pPr>
        <w:pStyle w:val="22"/>
        <w:spacing w:line="360" w:lineRule="auto"/>
        <w:rPr>
          <w:rFonts w:ascii="宋体" w:hAnsi="宋体" w:cs="宋体"/>
          <w:color w:val="auto"/>
          <w:highlight w:val="none"/>
        </w:rPr>
      </w:pPr>
    </w:p>
    <w:p w14:paraId="3568789C">
      <w:pPr>
        <w:pStyle w:val="22"/>
        <w:spacing w:line="360" w:lineRule="auto"/>
        <w:rPr>
          <w:rFonts w:ascii="宋体" w:hAnsi="宋体" w:cs="宋体"/>
          <w:color w:val="auto"/>
          <w:highlight w:val="none"/>
        </w:rPr>
      </w:pPr>
    </w:p>
    <w:p w14:paraId="0B890A97">
      <w:pPr>
        <w:pStyle w:val="22"/>
        <w:spacing w:line="360" w:lineRule="auto"/>
        <w:rPr>
          <w:rFonts w:ascii="宋体" w:hAnsi="宋体" w:cs="宋体"/>
          <w:color w:val="auto"/>
          <w:highlight w:val="none"/>
        </w:rPr>
      </w:pPr>
    </w:p>
    <w:p w14:paraId="6F82A9F1">
      <w:pPr>
        <w:pStyle w:val="22"/>
        <w:spacing w:line="360" w:lineRule="auto"/>
        <w:rPr>
          <w:rFonts w:ascii="宋体" w:hAnsi="宋体" w:cs="宋体"/>
          <w:color w:val="auto"/>
          <w:highlight w:val="none"/>
        </w:rPr>
      </w:pPr>
    </w:p>
    <w:p w14:paraId="0453077B">
      <w:pPr>
        <w:pStyle w:val="22"/>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0372197B">
      <w:pPr>
        <w:pStyle w:val="22"/>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6E75FA1D">
      <w:pPr>
        <w:pStyle w:val="22"/>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投标文件商务标 </w:t>
      </w:r>
    </w:p>
    <w:p w14:paraId="3C91972D">
      <w:pPr>
        <w:pStyle w:val="22"/>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4CDE2933">
      <w:pPr>
        <w:pStyle w:val="22"/>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5E7880ED">
      <w:pPr>
        <w:pStyle w:val="22"/>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1951C974">
      <w:pPr>
        <w:pStyle w:val="22"/>
        <w:spacing w:line="360" w:lineRule="auto"/>
        <w:rPr>
          <w:rFonts w:ascii="宋体" w:hAnsi="宋体" w:cs="宋体"/>
          <w:color w:val="auto"/>
          <w:highlight w:val="none"/>
        </w:rPr>
      </w:pPr>
    </w:p>
    <w:p w14:paraId="5A6D1B5B">
      <w:pPr>
        <w:pStyle w:val="22"/>
        <w:spacing w:line="360" w:lineRule="auto"/>
        <w:rPr>
          <w:rFonts w:ascii="宋体" w:hAnsi="宋体" w:cs="宋体"/>
          <w:color w:val="auto"/>
          <w:highlight w:val="none"/>
        </w:rPr>
      </w:pPr>
      <w:r>
        <w:rPr>
          <w:rFonts w:hint="eastAsia" w:ascii="宋体" w:hAnsi="宋体" w:cs="宋体"/>
          <w:color w:val="auto"/>
          <w:highlight w:val="none"/>
        </w:rPr>
        <w:br w:type="page"/>
      </w:r>
    </w:p>
    <w:p w14:paraId="2FE7F30C">
      <w:pPr>
        <w:pStyle w:val="22"/>
        <w:spacing w:line="500" w:lineRule="exact"/>
        <w:jc w:val="center"/>
        <w:outlineLvl w:val="2"/>
        <w:rPr>
          <w:rFonts w:ascii="宋体" w:hAnsi="宋体" w:cs="宋体"/>
          <w:b/>
          <w:bCs/>
          <w:color w:val="auto"/>
          <w:sz w:val="24"/>
          <w:szCs w:val="24"/>
          <w:highlight w:val="none"/>
        </w:rPr>
      </w:pPr>
      <w:bookmarkStart w:id="894" w:name="_Toc17612"/>
      <w:bookmarkStart w:id="895" w:name="_Toc10999"/>
      <w:bookmarkStart w:id="896" w:name="_Toc25139"/>
      <w:bookmarkStart w:id="897" w:name="_Toc31361"/>
      <w:bookmarkStart w:id="898" w:name="_Toc195714374"/>
      <w:bookmarkStart w:id="899" w:name="_Toc16205"/>
      <w:bookmarkStart w:id="900" w:name="_Toc9704"/>
      <w:bookmarkStart w:id="901" w:name="_Toc15600"/>
      <w:r>
        <w:rPr>
          <w:rFonts w:hint="eastAsia" w:ascii="宋体" w:hAnsi="宋体" w:cs="宋体"/>
          <w:b/>
          <w:bCs/>
          <w:color w:val="auto"/>
          <w:sz w:val="24"/>
          <w:szCs w:val="24"/>
          <w:highlight w:val="none"/>
        </w:rPr>
        <w:t>目录</w:t>
      </w:r>
      <w:bookmarkEnd w:id="894"/>
      <w:bookmarkEnd w:id="895"/>
      <w:bookmarkEnd w:id="896"/>
      <w:bookmarkEnd w:id="897"/>
      <w:bookmarkEnd w:id="898"/>
      <w:bookmarkEnd w:id="899"/>
      <w:bookmarkEnd w:id="900"/>
      <w:bookmarkEnd w:id="901"/>
    </w:p>
    <w:p w14:paraId="2D046B0C">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一、投标函；</w:t>
      </w:r>
    </w:p>
    <w:p w14:paraId="006FD92E">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二、投标承诺书；</w:t>
      </w:r>
    </w:p>
    <w:p w14:paraId="65395742">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三、供货及/或提供服务过程承诺函；</w:t>
      </w:r>
    </w:p>
    <w:p w14:paraId="582B623D">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四、投标人资格证明文件：</w:t>
      </w:r>
    </w:p>
    <w:p w14:paraId="0EF8B074">
      <w:pPr>
        <w:pBdr>
          <w:bottom w:val="single" w:color="auto" w:sz="6" w:space="0"/>
        </w:pBdr>
        <w:spacing w:line="500" w:lineRule="exact"/>
        <w:ind w:firstLine="472" w:firstLineChars="224"/>
        <w:jc w:val="left"/>
        <w:rPr>
          <w:rFonts w:ascii="宋体" w:hAnsi="宋体" w:eastAsia="宋体" w:cs="宋体"/>
          <w:b/>
          <w:bCs/>
          <w:color w:val="auto"/>
          <w:szCs w:val="21"/>
          <w:highlight w:val="none"/>
        </w:rPr>
      </w:pPr>
      <w:bookmarkStart w:id="902" w:name="_Toc9143"/>
      <w:bookmarkStart w:id="903" w:name="_Toc26853"/>
      <w:bookmarkStart w:id="904" w:name="_Toc29393"/>
      <w:r>
        <w:rPr>
          <w:rFonts w:hint="eastAsia" w:ascii="宋体" w:hAnsi="宋体" w:eastAsia="宋体" w:cs="宋体"/>
          <w:b/>
          <w:bCs/>
          <w:color w:val="auto"/>
          <w:szCs w:val="21"/>
          <w:highlight w:val="none"/>
        </w:rPr>
        <w:t>4.1 多证合一营业执照（或事业单位法人证书）原件扫描件；</w:t>
      </w:r>
      <w:bookmarkEnd w:id="902"/>
      <w:bookmarkEnd w:id="903"/>
      <w:bookmarkEnd w:id="904"/>
    </w:p>
    <w:p w14:paraId="08D842D6">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7A4FDB47">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4.3 法定代表人身份证明书和法定代表人授权书（法定代表人投标时只提供法定代表人身份证明书，委托他人为投标代表时同时提供法定代表人授权书）；</w:t>
      </w:r>
    </w:p>
    <w:p w14:paraId="70FC2B1B">
      <w:pPr>
        <w:widowControl/>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4.4 本项目的特定资格要求：（1）供货安装资质：①具有以下其中一种资质：a）电力工程施工总承包乙级（或以上）企业资质；b）输变电工程专业承包乙级（或以上）企业资质【或更换资质证书前有效期内：电力工程施工总承包三级（或以上）企业资质；或输变电工程专业承包三级（或以上）企业资质】；②具有《承装（修、试）电力设施许可证》承装类五级或以上资质【或具有2025年7月1日以来颁发或换领的《承装（修、试）电力设施许可证》承装类三级或以上电子证照】；③具有在效期内的《安全生产许可证》。（2）设计资质：具有有效期内的工程设计综合资质，或工程设计电力行业乙级（或以上）资质，或工程设计电力行业（送变电工程）专业乙级（或以上）资质，或工程设计电力行业（新能源发电工程）专业乙级（或以上）资质【或更换资质证书前有效期内：工程设计综合甲级资质，或工程设计电力行业乙级（或以上）资质，或工程设计电力行业（送电工程或变电工程）专业丙级（或以上）资质，或工程设计电力行业（新能源发电）专业乙级资质】；【投标人提供以上资质证书原件扫描件】</w:t>
      </w:r>
    </w:p>
    <w:p w14:paraId="6528D5E4">
      <w:pPr>
        <w:pBdr>
          <w:bottom w:val="single" w:color="auto" w:sz="6" w:space="0"/>
        </w:pBdr>
        <w:spacing w:line="500" w:lineRule="exact"/>
        <w:ind w:firstLine="472" w:firstLineChars="224"/>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4.5 项目负责人要求（若为联合体投标的，以联合体牵头单位提供的人员为准，联合体成员单位提供的人员不予认可）：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提供有效的相关证书扫描件，并提供由人力资源和社会保障部门（或税务部门）出具的投标人2025年2月至2025年7月为其缴纳的社会保险凭证扫描件】</w:t>
      </w:r>
    </w:p>
    <w:p w14:paraId="22D21750">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 xml:space="preserve"> 资格业绩【</w:t>
      </w:r>
      <w:r>
        <w:rPr>
          <w:rFonts w:hint="eastAsia" w:ascii="宋体" w:hAnsi="宋体" w:eastAsia="宋体" w:cs="宋体"/>
          <w:b/>
          <w:bCs/>
          <w:color w:val="auto"/>
          <w:szCs w:val="21"/>
          <w:highlight w:val="none"/>
          <w:lang w:val="zh-CN"/>
        </w:rPr>
        <w:t>投标人提供一份2022年1月1日以来分布式光伏发电的业绩（合同签订日期为</w:t>
      </w:r>
      <w:r>
        <w:rPr>
          <w:rFonts w:hint="eastAsia" w:ascii="宋体" w:hAnsi="宋体" w:eastAsia="宋体" w:cs="宋体"/>
          <w:b/>
          <w:bCs/>
          <w:color w:val="auto"/>
          <w:szCs w:val="21"/>
          <w:highlight w:val="none"/>
        </w:rPr>
        <w:t>2022</w:t>
      </w:r>
      <w:r>
        <w:rPr>
          <w:rFonts w:hint="eastAsia" w:ascii="宋体" w:hAnsi="宋体" w:eastAsia="宋体" w:cs="宋体"/>
          <w:b/>
          <w:bCs/>
          <w:color w:val="auto"/>
          <w:szCs w:val="21"/>
          <w:highlight w:val="none"/>
          <w:lang w:val="zh-CN"/>
        </w:rPr>
        <w:t>年</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月</w:t>
      </w:r>
      <w:r>
        <w:rPr>
          <w:rFonts w:hint="eastAsia" w:ascii="宋体" w:hAnsi="宋体" w:eastAsia="宋体" w:cs="宋体"/>
          <w:b/>
          <w:bCs/>
          <w:color w:val="auto"/>
          <w:szCs w:val="21"/>
          <w:highlight w:val="none"/>
        </w:rPr>
        <w:t>1</w:t>
      </w:r>
      <w:r>
        <w:rPr>
          <w:rFonts w:hint="eastAsia" w:ascii="宋体" w:hAnsi="宋体" w:eastAsia="宋体" w:cs="宋体"/>
          <w:b/>
          <w:bCs/>
          <w:color w:val="auto"/>
          <w:szCs w:val="21"/>
          <w:highlight w:val="none"/>
          <w:lang w:val="zh-CN"/>
        </w:rPr>
        <w:t>日或以后）</w:t>
      </w:r>
      <w:r>
        <w:rPr>
          <w:rFonts w:hint="eastAsia" w:ascii="宋体" w:hAnsi="宋体" w:eastAsia="宋体" w:cs="宋体"/>
          <w:b/>
          <w:bCs/>
          <w:color w:val="auto"/>
          <w:szCs w:val="21"/>
          <w:highlight w:val="none"/>
        </w:rPr>
        <w:t>】；</w:t>
      </w:r>
    </w:p>
    <w:p w14:paraId="7EBBEB5B">
      <w:pPr>
        <w:pBdr>
          <w:bottom w:val="single" w:color="auto" w:sz="6" w:space="0"/>
        </w:pBdr>
        <w:spacing w:line="500" w:lineRule="exact"/>
        <w:ind w:firstLine="472" w:firstLineChars="224"/>
        <w:jc w:val="left"/>
        <w:rPr>
          <w:rFonts w:ascii="宋体" w:hAnsi="宋体" w:eastAsia="宋体" w:cs="宋体"/>
          <w:b/>
          <w:bCs/>
          <w:color w:val="auto"/>
          <w:szCs w:val="21"/>
          <w:highlight w:val="none"/>
        </w:rPr>
      </w:pPr>
      <w:bookmarkStart w:id="905" w:name="_Toc3719"/>
      <w:bookmarkStart w:id="906" w:name="_Toc16965"/>
      <w:bookmarkStart w:id="907" w:name="_Toc28803"/>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 xml:space="preserve"> 最近3年投标人牵涉的其他（失信和违法）处罚说明；</w:t>
      </w:r>
      <w:bookmarkEnd w:id="905"/>
      <w:bookmarkEnd w:id="906"/>
      <w:bookmarkEnd w:id="907"/>
    </w:p>
    <w:p w14:paraId="5A442F77">
      <w:pPr>
        <w:pBdr>
          <w:bottom w:val="single" w:color="auto" w:sz="6" w:space="0"/>
        </w:pBdr>
        <w:spacing w:line="500" w:lineRule="exact"/>
        <w:ind w:firstLine="472" w:firstLineChars="224"/>
        <w:jc w:val="left"/>
        <w:rPr>
          <w:rFonts w:ascii="宋体" w:hAnsi="宋体" w:eastAsia="宋体" w:cs="宋体"/>
          <w:b/>
          <w:bCs/>
          <w:color w:val="auto"/>
          <w:szCs w:val="21"/>
          <w:highlight w:val="none"/>
        </w:rPr>
      </w:pPr>
      <w:bookmarkStart w:id="908" w:name="_Toc9842"/>
      <w:bookmarkStart w:id="909" w:name="_Toc24527"/>
      <w:bookmarkStart w:id="910" w:name="_Toc10328"/>
      <w:r>
        <w:rPr>
          <w:rFonts w:hint="eastAsia" w:ascii="宋体" w:hAnsi="宋体" w:eastAsia="宋体" w:cs="宋体"/>
          <w:b/>
          <w:bCs/>
          <w:color w:val="auto"/>
          <w:szCs w:val="21"/>
          <w:highlight w:val="none"/>
        </w:rPr>
        <w:t>4.</w:t>
      </w: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 xml:space="preserve"> 联合体共同投标协议书（当联合体投标时提供）</w:t>
      </w:r>
      <w:bookmarkEnd w:id="908"/>
      <w:bookmarkEnd w:id="909"/>
      <w:bookmarkEnd w:id="910"/>
      <w:r>
        <w:rPr>
          <w:rFonts w:hint="eastAsia" w:ascii="宋体" w:hAnsi="宋体" w:eastAsia="宋体" w:cs="宋体"/>
          <w:b/>
          <w:bCs/>
          <w:color w:val="auto"/>
          <w:szCs w:val="21"/>
          <w:highlight w:val="none"/>
        </w:rPr>
        <w:t>；</w:t>
      </w:r>
    </w:p>
    <w:p w14:paraId="45AF589E">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五、投标人基本情况一览表；</w:t>
      </w:r>
    </w:p>
    <w:p w14:paraId="5C80A927">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六、投标人财务状况表；</w:t>
      </w:r>
    </w:p>
    <w:p w14:paraId="2176DDE0">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七、标准化体系认证；</w:t>
      </w:r>
    </w:p>
    <w:p w14:paraId="33CCAE90">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八、合同条款响应程度（合同条款偏离表）；</w:t>
      </w:r>
    </w:p>
    <w:p w14:paraId="12FA0F7A">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九、业绩表；</w:t>
      </w:r>
    </w:p>
    <w:p w14:paraId="17BC97E9">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val="zh-CN"/>
        </w:rPr>
        <w:t>十、中标服务费承诺书；</w:t>
      </w:r>
    </w:p>
    <w:p w14:paraId="0B1371F1">
      <w:pPr>
        <w:pBdr>
          <w:bottom w:val="single" w:color="auto" w:sz="6" w:space="0"/>
        </w:pBdr>
        <w:spacing w:line="500" w:lineRule="exact"/>
        <w:ind w:firstLine="472" w:firstLineChars="224"/>
        <w:jc w:val="left"/>
        <w:rPr>
          <w:rFonts w:ascii="宋体" w:hAnsi="宋体" w:eastAsia="宋体" w:cs="宋体"/>
          <w:b/>
          <w:color w:val="auto"/>
          <w:kern w:val="0"/>
          <w:sz w:val="32"/>
          <w:szCs w:val="32"/>
          <w:highlight w:val="none"/>
        </w:rPr>
      </w:pPr>
      <w:r>
        <w:rPr>
          <w:rFonts w:hint="eastAsia" w:ascii="宋体" w:hAnsi="宋体" w:eastAsia="宋体" w:cs="宋体"/>
          <w:b/>
          <w:bCs/>
          <w:color w:val="auto"/>
          <w:szCs w:val="21"/>
          <w:highlight w:val="none"/>
        </w:rPr>
        <w:t>十一、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r>
        <w:rPr>
          <w:rFonts w:hint="eastAsia" w:ascii="宋体" w:hAnsi="宋体" w:eastAsia="宋体" w:cs="宋体"/>
          <w:b/>
          <w:color w:val="auto"/>
          <w:kern w:val="0"/>
          <w:sz w:val="32"/>
          <w:szCs w:val="32"/>
          <w:highlight w:val="none"/>
        </w:rPr>
        <w:br w:type="page"/>
      </w:r>
    </w:p>
    <w:p w14:paraId="268A80E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911" w:name="_Toc13281"/>
      <w:bookmarkStart w:id="912" w:name="_Toc12810"/>
      <w:bookmarkStart w:id="913" w:name="_Toc7834"/>
      <w:bookmarkStart w:id="914" w:name="_Toc330"/>
      <w:bookmarkStart w:id="915" w:name="_Toc17613"/>
      <w:bookmarkStart w:id="916" w:name="_Toc195714375"/>
      <w:bookmarkStart w:id="917" w:name="_Toc23782"/>
      <w:bookmarkStart w:id="918" w:name="_Toc16116"/>
      <w:bookmarkStart w:id="919" w:name="_Toc15226"/>
      <w:bookmarkStart w:id="920" w:name="_Toc3028"/>
      <w:bookmarkStart w:id="921" w:name="_Toc27679"/>
      <w:r>
        <w:rPr>
          <w:rFonts w:hint="eastAsia" w:ascii="宋体" w:hAnsi="宋体" w:eastAsia="宋体" w:cs="宋体"/>
          <w:b/>
          <w:color w:val="auto"/>
          <w:kern w:val="0"/>
          <w:sz w:val="32"/>
          <w:szCs w:val="32"/>
          <w:highlight w:val="none"/>
        </w:rPr>
        <w:t>一、投标函格式</w:t>
      </w:r>
      <w:bookmarkEnd w:id="884"/>
      <w:bookmarkEnd w:id="885"/>
      <w:bookmarkEnd w:id="886"/>
      <w:bookmarkEnd w:id="887"/>
      <w:bookmarkEnd w:id="888"/>
      <w:bookmarkEnd w:id="889"/>
      <w:bookmarkEnd w:id="890"/>
      <w:bookmarkEnd w:id="891"/>
      <w:bookmarkEnd w:id="892"/>
      <w:bookmarkEnd w:id="893"/>
      <w:bookmarkEnd w:id="911"/>
      <w:bookmarkEnd w:id="912"/>
      <w:bookmarkEnd w:id="913"/>
      <w:bookmarkEnd w:id="914"/>
      <w:bookmarkEnd w:id="915"/>
      <w:bookmarkEnd w:id="916"/>
      <w:bookmarkEnd w:id="917"/>
      <w:bookmarkEnd w:id="918"/>
      <w:bookmarkEnd w:id="919"/>
      <w:bookmarkEnd w:id="920"/>
      <w:bookmarkEnd w:id="921"/>
    </w:p>
    <w:p w14:paraId="0704B086">
      <w:pPr>
        <w:autoSpaceDE w:val="0"/>
        <w:autoSpaceDN w:val="0"/>
        <w:adjustRightInd w:val="0"/>
        <w:spacing w:line="360" w:lineRule="auto"/>
        <w:jc w:val="center"/>
        <w:rPr>
          <w:rFonts w:ascii="宋体" w:hAnsi="宋体" w:eastAsia="宋体" w:cs="宋体"/>
          <w:b/>
          <w:bCs/>
          <w:color w:val="auto"/>
          <w:sz w:val="30"/>
          <w:szCs w:val="30"/>
          <w:highlight w:val="none"/>
        </w:rPr>
      </w:pPr>
      <w:bookmarkStart w:id="922" w:name="_Toc16695_WPSOffice_Level3"/>
      <w:r>
        <w:rPr>
          <w:rFonts w:hint="eastAsia" w:ascii="宋体" w:hAnsi="宋体" w:eastAsia="宋体" w:cs="宋体"/>
          <w:b/>
          <w:bCs/>
          <w:color w:val="auto"/>
          <w:sz w:val="30"/>
          <w:szCs w:val="30"/>
          <w:highlight w:val="none"/>
          <w:lang w:val="zh-CN"/>
        </w:rPr>
        <w:t>投 标 函</w:t>
      </w:r>
      <w:bookmarkEnd w:id="922"/>
    </w:p>
    <w:p w14:paraId="35A159AA">
      <w:pPr>
        <w:autoSpaceDE w:val="0"/>
        <w:autoSpaceDN w:val="0"/>
        <w:adjustRightInd w:val="0"/>
        <w:spacing w:line="360" w:lineRule="auto"/>
        <w:rPr>
          <w:rFonts w:ascii="宋体" w:hAnsi="宋体" w:eastAsia="宋体" w:cs="宋体"/>
          <w:color w:val="auto"/>
          <w:szCs w:val="21"/>
          <w:highlight w:val="none"/>
          <w:lang w:val="zh-CN"/>
        </w:rPr>
      </w:pPr>
    </w:p>
    <w:p w14:paraId="0DD7FB9F">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rPr>
        <w:t>东莞市水务集团科技发展有限公司</w:t>
      </w:r>
    </w:p>
    <w:p w14:paraId="772F2219">
      <w:pPr>
        <w:autoSpaceDE w:val="0"/>
        <w:autoSpaceDN w:val="0"/>
        <w:adjustRightInd w:val="0"/>
        <w:spacing w:line="360" w:lineRule="auto"/>
        <w:rPr>
          <w:rFonts w:ascii="宋体" w:hAnsi="宋体" w:eastAsia="宋体" w:cs="宋体"/>
          <w:color w:val="auto"/>
          <w:szCs w:val="21"/>
          <w:highlight w:val="none"/>
        </w:rPr>
      </w:pPr>
    </w:p>
    <w:p w14:paraId="7DE81206">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东莞市水务环境投资控股集团分布式光伏发电项目（第一批）净水厂项目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CA0A9D2">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DE344AF">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的投标；</w:t>
      </w:r>
    </w:p>
    <w:p w14:paraId="1A17A91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5EA3398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1A1A77C5">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w:t>
      </w:r>
      <w:r>
        <w:rPr>
          <w:rFonts w:hint="eastAsia" w:ascii="宋体" w:hAnsi="宋体" w:eastAsia="宋体" w:cs="宋体"/>
          <w:color w:val="auto"/>
          <w:szCs w:val="21"/>
          <w:highlight w:val="none"/>
        </w:rPr>
        <w:t>回</w:t>
      </w:r>
      <w:r>
        <w:rPr>
          <w:rFonts w:hint="eastAsia" w:ascii="宋体" w:hAnsi="宋体" w:eastAsia="宋体" w:cs="宋体"/>
          <w:color w:val="auto"/>
          <w:szCs w:val="21"/>
          <w:highlight w:val="none"/>
          <w:lang w:val="zh-CN"/>
        </w:rPr>
        <w:t>投标，则不予退还我方投标保证金；</w:t>
      </w:r>
    </w:p>
    <w:p w14:paraId="09E8568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2CB23F1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50CC5E3">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FE262FC">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718D2F91">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CC3D06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C1142EA">
      <w:pPr>
        <w:autoSpaceDE w:val="0"/>
        <w:autoSpaceDN w:val="0"/>
        <w:adjustRightInd w:val="0"/>
        <w:spacing w:line="360" w:lineRule="auto"/>
        <w:ind w:firstLine="315" w:firstLineChars="150"/>
        <w:rPr>
          <w:rFonts w:ascii="宋体" w:hAnsi="宋体" w:eastAsia="宋体" w:cs="宋体"/>
          <w:color w:val="auto"/>
          <w:szCs w:val="21"/>
          <w:highlight w:val="none"/>
          <w:lang w:val="zh-CN"/>
        </w:rPr>
      </w:pPr>
      <w:bookmarkStart w:id="923" w:name="_Toc9344"/>
      <w:bookmarkStart w:id="924" w:name="_Toc27614"/>
      <w:bookmarkStart w:id="925" w:name="_Toc31639"/>
      <w:r>
        <w:rPr>
          <w:rFonts w:hint="eastAsia" w:ascii="宋体" w:hAnsi="宋体" w:eastAsia="宋体" w:cs="宋体"/>
          <w:color w:val="auto"/>
          <w:szCs w:val="21"/>
          <w:highlight w:val="none"/>
          <w:lang w:val="zh-CN"/>
        </w:rPr>
        <w:t>（十一）所有与本投标有关的函件请发往下列地址：</w:t>
      </w:r>
      <w:bookmarkEnd w:id="923"/>
      <w:bookmarkEnd w:id="924"/>
      <w:bookmarkEnd w:id="925"/>
    </w:p>
    <w:p w14:paraId="7E8BFD96">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52BEFFD">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327A00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235ECFD4">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014121C">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A05D72D">
      <w:pPr>
        <w:autoSpaceDE w:val="0"/>
        <w:autoSpaceDN w:val="0"/>
        <w:adjustRightInd w:val="0"/>
        <w:spacing w:line="360" w:lineRule="auto"/>
        <w:ind w:firstLine="4960" w:firstLineChars="2362"/>
        <w:rPr>
          <w:rFonts w:ascii="宋体" w:hAnsi="宋体" w:eastAsia="宋体" w:cs="宋体"/>
          <w:color w:val="auto"/>
          <w:szCs w:val="21"/>
          <w:highlight w:val="none"/>
          <w:lang w:val="zh-CN"/>
        </w:rPr>
      </w:pPr>
    </w:p>
    <w:p w14:paraId="7BE7C81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EEBAA8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5A3AFF47">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9D18AEE">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8ED90E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926" w:name="_Toc28613_WPSOffice_Level2"/>
      <w:bookmarkStart w:id="927" w:name="_Toc30995"/>
      <w:bookmarkStart w:id="928" w:name="_Toc10742"/>
      <w:bookmarkStart w:id="929" w:name="_Toc102860412"/>
      <w:bookmarkStart w:id="930" w:name="_Toc195714376"/>
      <w:bookmarkStart w:id="931" w:name="_Toc94107203"/>
      <w:bookmarkStart w:id="932" w:name="_Toc15029"/>
      <w:bookmarkStart w:id="933" w:name="_Toc142508363"/>
      <w:bookmarkStart w:id="934" w:name="_Toc102860068"/>
      <w:bookmarkStart w:id="935" w:name="_Toc24901"/>
      <w:bookmarkStart w:id="936" w:name="_Toc1977722"/>
      <w:bookmarkStart w:id="937" w:name="_Toc9496"/>
      <w:bookmarkStart w:id="938" w:name="_Toc140596922"/>
      <w:bookmarkStart w:id="939" w:name="_Toc3104"/>
      <w:bookmarkStart w:id="940" w:name="_Toc12417"/>
      <w:bookmarkStart w:id="941" w:name="_Toc26992"/>
      <w:bookmarkStart w:id="942" w:name="_Toc104991869"/>
      <w:bookmarkStart w:id="943" w:name="_Toc486167710"/>
      <w:bookmarkStart w:id="944" w:name="_Toc11283"/>
      <w:bookmarkStart w:id="945" w:name="_Toc533708122"/>
      <w:bookmarkStart w:id="946" w:name="_Toc21535"/>
      <w:r>
        <w:rPr>
          <w:rFonts w:hint="eastAsia" w:ascii="宋体" w:hAnsi="宋体" w:eastAsia="宋体" w:cs="宋体"/>
          <w:b/>
          <w:color w:val="auto"/>
          <w:kern w:val="0"/>
          <w:sz w:val="32"/>
          <w:szCs w:val="32"/>
          <w:highlight w:val="none"/>
        </w:rPr>
        <w:t>二、投标承诺书格式</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1433C1D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47" w:name="_Toc28571"/>
      <w:bookmarkStart w:id="948" w:name="_Toc246"/>
      <w:bookmarkStart w:id="949" w:name="_Toc23650"/>
      <w:r>
        <w:rPr>
          <w:rFonts w:hint="eastAsia" w:ascii="宋体" w:hAnsi="宋体" w:eastAsia="宋体" w:cs="宋体"/>
          <w:b/>
          <w:bCs/>
          <w:color w:val="auto"/>
          <w:sz w:val="30"/>
          <w:szCs w:val="30"/>
          <w:highlight w:val="none"/>
          <w:lang w:val="zh-CN"/>
        </w:rPr>
        <w:t>投标承诺书</w:t>
      </w:r>
      <w:bookmarkEnd w:id="947"/>
      <w:bookmarkEnd w:id="948"/>
      <w:bookmarkEnd w:id="949"/>
    </w:p>
    <w:p w14:paraId="3013649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2599CBA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东莞市水务环境投资控股集团分布式光伏发电项目（第一批）净水厂项目</w:t>
      </w:r>
      <w:r>
        <w:rPr>
          <w:rFonts w:hint="eastAsia" w:ascii="宋体" w:hAnsi="宋体" w:eastAsia="宋体" w:cs="宋体"/>
          <w:color w:val="auto"/>
          <w:kern w:val="0"/>
          <w:szCs w:val="21"/>
          <w:highlight w:val="none"/>
        </w:rPr>
        <w:t>（招标编号：               ）招标文件的所有内容（包括澄清，以及所有已提供的参考资料和有关附件），并完全理解上述文件所表达的意思，该项目递交投标文件时间截止后，我方承诺不再对上述文件内容进行询问或异议。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3851C93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31.2款约定按时提供原件核查的，因此导致我方无法参与东莞市水务环境投资控股集团有限公司相关招标采购活动的，由我方自行承担全部后果。</w:t>
      </w:r>
    </w:p>
    <w:p w14:paraId="367C29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67CD9534">
      <w:pPr>
        <w:autoSpaceDE w:val="0"/>
        <w:autoSpaceDN w:val="0"/>
        <w:adjustRightInd w:val="0"/>
        <w:spacing w:line="360" w:lineRule="auto"/>
        <w:jc w:val="left"/>
        <w:rPr>
          <w:rFonts w:ascii="宋体" w:hAnsi="宋体" w:eastAsia="宋体" w:cs="宋体"/>
          <w:color w:val="auto"/>
          <w:kern w:val="0"/>
          <w:sz w:val="24"/>
          <w:szCs w:val="24"/>
          <w:highlight w:val="none"/>
        </w:rPr>
      </w:pPr>
    </w:p>
    <w:p w14:paraId="207B60FD">
      <w:pPr>
        <w:autoSpaceDE w:val="0"/>
        <w:autoSpaceDN w:val="0"/>
        <w:adjustRightInd w:val="0"/>
        <w:spacing w:line="360" w:lineRule="auto"/>
        <w:jc w:val="left"/>
        <w:rPr>
          <w:rFonts w:ascii="宋体" w:hAnsi="宋体" w:eastAsia="宋体" w:cs="宋体"/>
          <w:color w:val="auto"/>
          <w:kern w:val="0"/>
          <w:sz w:val="24"/>
          <w:szCs w:val="24"/>
          <w:highlight w:val="none"/>
        </w:rPr>
      </w:pPr>
    </w:p>
    <w:p w14:paraId="3AEC7F2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6E5758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2C75DB06">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3D7A1BC">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34A49617">
      <w:pPr>
        <w:autoSpaceDE w:val="0"/>
        <w:autoSpaceDN w:val="0"/>
        <w:adjustRightInd w:val="0"/>
        <w:spacing w:line="360" w:lineRule="auto"/>
        <w:jc w:val="left"/>
        <w:rPr>
          <w:rFonts w:ascii="宋体" w:hAnsi="宋体" w:eastAsia="宋体" w:cs="宋体"/>
          <w:color w:val="auto"/>
          <w:kern w:val="0"/>
          <w:sz w:val="24"/>
          <w:szCs w:val="24"/>
          <w:highlight w:val="none"/>
        </w:rPr>
      </w:pPr>
      <w:bookmarkStart w:id="950" w:name="_Toc311032584"/>
      <w:bookmarkStart w:id="951" w:name="_Toc316896755"/>
      <w:bookmarkStart w:id="952" w:name="_Toc326768876"/>
    </w:p>
    <w:p w14:paraId="69CCFDE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953" w:name="_Toc195714377"/>
      <w:bookmarkStart w:id="954" w:name="_Toc140596923"/>
      <w:bookmarkStart w:id="955" w:name="_Toc3108"/>
      <w:bookmarkStart w:id="956" w:name="_Toc86764083"/>
      <w:bookmarkStart w:id="957" w:name="_Toc104991870"/>
      <w:bookmarkStart w:id="958" w:name="_Toc102860413"/>
      <w:bookmarkStart w:id="959" w:name="_Toc26446"/>
      <w:bookmarkStart w:id="960" w:name="_Toc26786"/>
      <w:bookmarkStart w:id="961" w:name="_Toc12063"/>
      <w:bookmarkStart w:id="962" w:name="_Toc11649"/>
      <w:bookmarkStart w:id="963" w:name="_Toc5075"/>
      <w:bookmarkStart w:id="964" w:name="_Toc94107204"/>
      <w:bookmarkStart w:id="965" w:name="_Toc102860069"/>
      <w:bookmarkStart w:id="966" w:name="_Toc142508364"/>
      <w:bookmarkStart w:id="967" w:name="_Toc82182546"/>
      <w:bookmarkStart w:id="968" w:name="_Toc26712"/>
      <w:bookmarkStart w:id="969" w:name="_Toc29910"/>
      <w:bookmarkStart w:id="970" w:name="_Toc26569"/>
      <w:bookmarkStart w:id="971" w:name="_Toc24336"/>
      <w:bookmarkStart w:id="972" w:name="_Toc533708123"/>
      <w:bookmarkStart w:id="973" w:name="_Toc7024_WPSOffice_Level2"/>
      <w:bookmarkStart w:id="974" w:name="_Toc1977723"/>
      <w:bookmarkStart w:id="975" w:name="_Toc486167711"/>
      <w:r>
        <w:rPr>
          <w:rFonts w:hint="eastAsia" w:ascii="宋体" w:hAnsi="宋体" w:eastAsia="宋体" w:cs="宋体"/>
          <w:b/>
          <w:color w:val="auto"/>
          <w:kern w:val="44"/>
          <w:sz w:val="32"/>
          <w:szCs w:val="32"/>
          <w:highlight w:val="none"/>
        </w:rPr>
        <w:t>三、供货及/或提供服务过程承诺函格式</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2CE139B1">
      <w:pPr>
        <w:autoSpaceDE w:val="0"/>
        <w:autoSpaceDN w:val="0"/>
        <w:adjustRightInd w:val="0"/>
        <w:spacing w:line="360" w:lineRule="auto"/>
        <w:jc w:val="center"/>
        <w:rPr>
          <w:rFonts w:ascii="宋体" w:hAnsi="宋体" w:eastAsia="宋体" w:cs="宋体"/>
          <w:b/>
          <w:color w:val="auto"/>
          <w:kern w:val="44"/>
          <w:sz w:val="30"/>
          <w:szCs w:val="30"/>
          <w:highlight w:val="none"/>
        </w:rPr>
      </w:pPr>
      <w:bookmarkStart w:id="976" w:name="_Toc1221"/>
      <w:bookmarkStart w:id="977" w:name="_Toc24622"/>
      <w:bookmarkStart w:id="978" w:name="_Toc31046"/>
      <w:r>
        <w:rPr>
          <w:rFonts w:hint="eastAsia" w:ascii="宋体" w:hAnsi="宋体" w:eastAsia="宋体" w:cs="宋体"/>
          <w:b/>
          <w:color w:val="auto"/>
          <w:kern w:val="44"/>
          <w:sz w:val="30"/>
          <w:szCs w:val="30"/>
          <w:highlight w:val="none"/>
        </w:rPr>
        <w:t>供货及/或提供服务过程承诺函</w:t>
      </w:r>
      <w:bookmarkEnd w:id="976"/>
      <w:bookmarkEnd w:id="977"/>
      <w:bookmarkEnd w:id="978"/>
    </w:p>
    <w:p w14:paraId="73E0CD6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致东莞市水务集团科技发展有限公司：</w:t>
      </w:r>
    </w:p>
    <w:p w14:paraId="3CC2E0F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东莞市水务环境投资控股集团分布式光伏发电项目（第一批）净水厂项目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62287F8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40512A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BE8942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0AE11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B836C3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85B19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EA0CC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3AF94F3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7F758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124EB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382D557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179A1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7DCA957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443F04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C235DB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979" w:name="_Toc29890"/>
      <w:bookmarkStart w:id="980" w:name="_Toc5792"/>
      <w:bookmarkStart w:id="981" w:name="_Toc8469"/>
      <w:r>
        <w:rPr>
          <w:rFonts w:hint="eastAsia" w:ascii="宋体" w:hAnsi="宋体" w:eastAsia="宋体" w:cs="宋体"/>
          <w:color w:val="auto"/>
          <w:kern w:val="0"/>
          <w:szCs w:val="21"/>
          <w:highlight w:val="none"/>
        </w:rPr>
        <w:t>③我方承诺不在厂内道路、消防通道内搭建临时建筑或堆放物资。</w:t>
      </w:r>
      <w:bookmarkEnd w:id="979"/>
      <w:bookmarkEnd w:id="980"/>
      <w:bookmarkEnd w:id="981"/>
    </w:p>
    <w:p w14:paraId="66D9634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0BEAC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01C423C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982" w:name="_Toc12925"/>
      <w:bookmarkStart w:id="983" w:name="_Toc2419"/>
      <w:bookmarkStart w:id="984" w:name="_Toc7697"/>
      <w:r>
        <w:rPr>
          <w:rFonts w:hint="eastAsia" w:ascii="宋体" w:hAnsi="宋体" w:eastAsia="宋体" w:cs="宋体"/>
          <w:color w:val="auto"/>
          <w:kern w:val="0"/>
          <w:szCs w:val="21"/>
          <w:highlight w:val="none"/>
        </w:rPr>
        <w:t>⑥我方承诺防雷、防静电设施及用电设施有良好接地。</w:t>
      </w:r>
      <w:bookmarkEnd w:id="982"/>
      <w:bookmarkEnd w:id="983"/>
      <w:bookmarkEnd w:id="984"/>
    </w:p>
    <w:p w14:paraId="1908EE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692250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54971A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423294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4A32E6A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60E022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0A7667E0">
      <w:pPr>
        <w:autoSpaceDE w:val="0"/>
        <w:autoSpaceDN w:val="0"/>
        <w:adjustRightInd w:val="0"/>
        <w:spacing w:line="360" w:lineRule="auto"/>
        <w:ind w:firstLine="4960" w:firstLineChars="2362"/>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BD854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8370990">
      <w:pPr>
        <w:autoSpaceDE w:val="0"/>
        <w:autoSpaceDN w:val="0"/>
        <w:adjustRightInd w:val="0"/>
        <w:spacing w:line="360" w:lineRule="auto"/>
        <w:ind w:right="420"/>
        <w:jc w:val="center"/>
        <w:rPr>
          <w:rFonts w:ascii="宋体" w:hAnsi="宋体" w:eastAsia="宋体" w:cs="宋体"/>
          <w:b/>
          <w:bCs/>
          <w:color w:val="auto"/>
          <w:kern w:val="0"/>
          <w:sz w:val="24"/>
          <w:szCs w:val="24"/>
          <w:highlight w:val="none"/>
        </w:rPr>
      </w:pPr>
      <w:r>
        <w:rPr>
          <w:rFonts w:hint="eastAsia" w:ascii="宋体" w:hAnsi="宋体" w:eastAsia="宋体" w:cs="宋体"/>
          <w:b/>
          <w:bCs/>
          <w:color w:val="auto"/>
          <w:kern w:val="0"/>
          <w:szCs w:val="21"/>
          <w:highlight w:val="none"/>
        </w:rPr>
        <w:t>说明：由投标人使用投标人的企业数字证书，法定代表人或其授权代表数字证书电子签名。</w:t>
      </w:r>
    </w:p>
    <w:bookmarkEnd w:id="972"/>
    <w:bookmarkEnd w:id="973"/>
    <w:bookmarkEnd w:id="974"/>
    <w:bookmarkEnd w:id="975"/>
    <w:p w14:paraId="44BE46C2">
      <w:pPr>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985" w:name="_Toc5630"/>
      <w:bookmarkStart w:id="986" w:name="_Toc142508369"/>
      <w:bookmarkStart w:id="987" w:name="_Toc19708"/>
      <w:bookmarkStart w:id="988" w:name="_Toc94107209"/>
      <w:bookmarkStart w:id="989" w:name="_Toc1977725"/>
      <w:bookmarkStart w:id="990" w:name="_Toc6561"/>
      <w:bookmarkStart w:id="991" w:name="_Toc104991875"/>
      <w:bookmarkStart w:id="992" w:name="_Toc21067"/>
      <w:bookmarkStart w:id="993" w:name="_Toc102860418"/>
      <w:bookmarkStart w:id="994" w:name="_Toc195714382"/>
      <w:bookmarkStart w:id="995" w:name="_Toc6190"/>
      <w:bookmarkStart w:id="996" w:name="_Toc23083"/>
      <w:bookmarkStart w:id="997" w:name="_Toc25659"/>
      <w:bookmarkStart w:id="998" w:name="_Toc26516"/>
      <w:bookmarkStart w:id="999" w:name="_Toc26927"/>
      <w:bookmarkStart w:id="1000" w:name="_Toc25034"/>
      <w:bookmarkStart w:id="1001" w:name="_Toc102860074"/>
      <w:bookmarkStart w:id="1002" w:name="_Toc140596928"/>
      <w:bookmarkStart w:id="1003" w:name="_Toc20759_WPSOffice_Level2"/>
      <w:bookmarkStart w:id="1004" w:name="_Toc486167712"/>
      <w:bookmarkStart w:id="1005" w:name="_Toc533708124"/>
      <w:r>
        <w:rPr>
          <w:rFonts w:hint="eastAsia" w:ascii="宋体" w:hAnsi="宋体" w:eastAsia="宋体" w:cs="宋体"/>
          <w:b/>
          <w:color w:val="auto"/>
          <w:kern w:val="0"/>
          <w:sz w:val="32"/>
          <w:szCs w:val="32"/>
          <w:highlight w:val="none"/>
        </w:rPr>
        <w:t>四、投标人资格证明文件</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0BA8B98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06" w:name="_Toc17358"/>
      <w:bookmarkStart w:id="1007" w:name="_Toc102860419"/>
      <w:bookmarkStart w:id="1008" w:name="_Toc22003"/>
      <w:bookmarkStart w:id="1009" w:name="_Toc24325"/>
      <w:bookmarkStart w:id="1010" w:name="_Toc25267"/>
      <w:bookmarkStart w:id="1011" w:name="_Toc22987"/>
      <w:bookmarkStart w:id="1012" w:name="_Toc5002"/>
      <w:bookmarkStart w:id="1013" w:name="_Toc102860075"/>
      <w:bookmarkStart w:id="1014" w:name="_Toc29874"/>
      <w:bookmarkStart w:id="1015" w:name="_Toc104991876"/>
      <w:bookmarkStart w:id="1016" w:name="_Toc140596929"/>
      <w:bookmarkStart w:id="1017" w:name="_Toc142508370"/>
      <w:bookmarkStart w:id="1018" w:name="_Toc195714383"/>
      <w:bookmarkStart w:id="1019" w:name="_Toc6502"/>
      <w:bookmarkStart w:id="1020" w:name="_Toc94107210"/>
      <w:bookmarkStart w:id="1021" w:name="_Toc3267"/>
      <w:bookmarkStart w:id="1022" w:name="_Toc6741"/>
      <w:bookmarkStart w:id="1023" w:name="_Toc1977726"/>
      <w:r>
        <w:rPr>
          <w:rFonts w:hint="eastAsia" w:ascii="宋体" w:hAnsi="宋体" w:eastAsia="宋体" w:cs="宋体"/>
          <w:b/>
          <w:color w:val="auto"/>
          <w:kern w:val="0"/>
          <w:sz w:val="30"/>
          <w:szCs w:val="30"/>
          <w:highlight w:val="none"/>
        </w:rPr>
        <w:t>4.1 多证合一营业执照（或事业单位法人证书）原件扫描件</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14:paraId="2CD55987">
      <w:pPr>
        <w:tabs>
          <w:tab w:val="left" w:pos="567"/>
        </w:tabs>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r>
        <w:rPr>
          <w:rFonts w:hint="eastAsia" w:ascii="宋体" w:hAnsi="宋体" w:eastAsia="宋体" w:cs="宋体"/>
          <w:b/>
          <w:bCs/>
          <w:color w:val="auto"/>
          <w:kern w:val="0"/>
          <w:szCs w:val="21"/>
          <w:highlight w:val="none"/>
        </w:rPr>
        <w:t>联合体投标的，则联合体各方均提交</w:t>
      </w:r>
    </w:p>
    <w:p w14:paraId="241F3E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790188">
      <w:pPr>
        <w:tabs>
          <w:tab w:val="left" w:pos="567"/>
        </w:tabs>
        <w:autoSpaceDE w:val="0"/>
        <w:autoSpaceDN w:val="0"/>
        <w:adjustRightInd w:val="0"/>
        <w:spacing w:line="360" w:lineRule="auto"/>
        <w:ind w:firstLine="316" w:firstLineChars="150"/>
        <w:jc w:val="left"/>
        <w:rPr>
          <w:rFonts w:ascii="宋体" w:hAnsi="宋体" w:eastAsia="宋体" w:cs="宋体"/>
          <w:b/>
          <w:color w:val="auto"/>
          <w:kern w:val="0"/>
          <w:szCs w:val="21"/>
          <w:highlight w:val="none"/>
        </w:rPr>
        <w:sectPr>
          <w:pgSz w:w="12240" w:h="15840"/>
          <w:pgMar w:top="1191" w:right="1043" w:bottom="1191" w:left="1043" w:header="720" w:footer="720" w:gutter="0"/>
          <w:cols w:space="720" w:num="1"/>
          <w:docGrid w:linePitch="326" w:charSpace="0"/>
        </w:sectPr>
      </w:pPr>
    </w:p>
    <w:p w14:paraId="71B0A02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024" w:name="_Toc27861"/>
      <w:bookmarkStart w:id="1025" w:name="_Toc102860420"/>
      <w:bookmarkStart w:id="1026" w:name="_Toc2750"/>
      <w:bookmarkStart w:id="1027" w:name="_Toc18165"/>
      <w:bookmarkStart w:id="1028" w:name="_Toc2188"/>
      <w:bookmarkStart w:id="1029" w:name="_Toc7756"/>
      <w:bookmarkStart w:id="1030" w:name="_Toc94107211"/>
      <w:bookmarkStart w:id="1031" w:name="_Toc104991877"/>
      <w:bookmarkStart w:id="1032" w:name="_Toc142508371"/>
      <w:bookmarkStart w:id="1033" w:name="_Toc11158"/>
      <w:bookmarkStart w:id="1034" w:name="_Toc25013"/>
      <w:bookmarkStart w:id="1035" w:name="_Toc195714384"/>
      <w:bookmarkStart w:id="1036" w:name="_Toc20504"/>
      <w:bookmarkStart w:id="1037" w:name="_Toc15138"/>
      <w:bookmarkStart w:id="1038" w:name="_Toc102860076"/>
      <w:bookmarkStart w:id="1039" w:name="_Toc23347"/>
      <w:bookmarkStart w:id="1040" w:name="_Toc140596930"/>
      <w:r>
        <w:rPr>
          <w:rFonts w:hint="eastAsia" w:ascii="宋体" w:hAnsi="宋体" w:eastAsia="宋体" w:cs="宋体"/>
          <w:b/>
          <w:color w:val="auto"/>
          <w:kern w:val="0"/>
          <w:sz w:val="30"/>
          <w:szCs w:val="30"/>
          <w:highlight w:val="none"/>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p w14:paraId="601837A0">
      <w:pPr>
        <w:tabs>
          <w:tab w:val="left" w:pos="567"/>
        </w:tabs>
        <w:autoSpaceDE w:val="0"/>
        <w:autoSpaceDN w:val="0"/>
        <w:adjustRightInd w:val="0"/>
        <w:spacing w:line="360" w:lineRule="auto"/>
        <w:ind w:firstLine="422" w:firstLineChars="2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说明：</w:t>
      </w:r>
      <w:r>
        <w:rPr>
          <w:rFonts w:hint="eastAsia" w:ascii="宋体" w:hAnsi="宋体" w:eastAsia="宋体" w:cs="宋体"/>
          <w:b/>
          <w:bCs/>
          <w:color w:val="auto"/>
          <w:kern w:val="0"/>
          <w:szCs w:val="21"/>
          <w:highlight w:val="none"/>
        </w:rPr>
        <w:t>联合体投标的，则联合体各方均提交</w:t>
      </w:r>
    </w:p>
    <w:p w14:paraId="46F77637">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1041" w:name="_Toc2018"/>
      <w:bookmarkStart w:id="1042" w:name="_Toc13128"/>
      <w:bookmarkStart w:id="1043" w:name="_Toc140596931"/>
      <w:bookmarkStart w:id="1044" w:name="_Toc4760"/>
      <w:bookmarkStart w:id="1045" w:name="_Toc26882"/>
      <w:bookmarkStart w:id="1046" w:name="_Toc142508372"/>
      <w:bookmarkStart w:id="1047" w:name="_Toc7441"/>
      <w:bookmarkStart w:id="1048" w:name="_Toc9132"/>
      <w:bookmarkStart w:id="1049" w:name="_Toc10733"/>
      <w:bookmarkStart w:id="1050" w:name="_Toc17499"/>
      <w:bookmarkStart w:id="1051" w:name="_Toc195714385"/>
      <w:bookmarkStart w:id="1052" w:name="_Toc102860421"/>
      <w:bookmarkStart w:id="1053" w:name="_Toc94107212"/>
      <w:bookmarkStart w:id="1054" w:name="_Toc102860077"/>
      <w:bookmarkStart w:id="1055" w:name="_Toc10802"/>
      <w:bookmarkStart w:id="1056" w:name="_Toc104991878"/>
      <w:bookmarkStart w:id="1057" w:name="_Toc31457"/>
      <w:r>
        <w:rPr>
          <w:rFonts w:hint="eastAsia" w:ascii="宋体" w:hAnsi="宋体" w:eastAsia="宋体" w:cs="宋体"/>
          <w:b/>
          <w:color w:val="auto"/>
          <w:kern w:val="0"/>
          <w:sz w:val="30"/>
          <w:szCs w:val="30"/>
          <w:highlight w:val="none"/>
        </w:rPr>
        <w:t>4.3 法定代表人身份证明书、法定代表人授权书格式（法定代表人投标时只需提供法定代表人身份证明书，委托他人为投标代表或签署投标文件时需同时提供法定代表人授权书）</w:t>
      </w:r>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352171F4">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1003"/>
      <w:bookmarkEnd w:id="1004"/>
      <w:bookmarkEnd w:id="1005"/>
      <w:bookmarkEnd w:id="1023"/>
    </w:p>
    <w:p w14:paraId="12DA063C">
      <w:pPr>
        <w:spacing w:before="120" w:after="120" w:line="360" w:lineRule="auto"/>
        <w:ind w:firstLine="608" w:firstLineChars="202"/>
        <w:jc w:val="center"/>
        <w:rPr>
          <w:rFonts w:ascii="宋体" w:hAnsi="宋体" w:eastAsia="宋体" w:cs="宋体"/>
          <w:b/>
          <w:bCs/>
          <w:color w:val="auto"/>
          <w:sz w:val="30"/>
          <w:szCs w:val="30"/>
          <w:highlight w:val="none"/>
        </w:rPr>
      </w:pPr>
      <w:bookmarkStart w:id="1058" w:name="_Toc11033_WPSOffice_Level3"/>
      <w:r>
        <w:rPr>
          <w:rFonts w:hint="eastAsia" w:ascii="宋体" w:hAnsi="宋体" w:eastAsia="宋体" w:cs="宋体"/>
          <w:b/>
          <w:color w:val="auto"/>
          <w:sz w:val="30"/>
          <w:szCs w:val="30"/>
          <w:highlight w:val="none"/>
        </w:rPr>
        <w:t>法定代</w:t>
      </w:r>
      <w:bookmarkStart w:id="1059" w:name="_Toc45995270"/>
      <w:bookmarkStart w:id="1060" w:name="_Toc36971359"/>
      <w:r>
        <w:rPr>
          <w:rFonts w:hint="eastAsia" w:ascii="宋体" w:hAnsi="宋体" w:eastAsia="宋体" w:cs="宋体"/>
          <w:b/>
          <w:color w:val="auto"/>
          <w:sz w:val="30"/>
          <w:szCs w:val="30"/>
          <w:highlight w:val="none"/>
        </w:rPr>
        <w:t>表人身份证明书</w:t>
      </w:r>
      <w:bookmarkEnd w:id="1058"/>
    </w:p>
    <w:bookmarkEnd w:id="1059"/>
    <w:bookmarkEnd w:id="1060"/>
    <w:p w14:paraId="7871C79E">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5190C1F4">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1CC5EE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73C6373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3C14C26F">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3D9AD6C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022A82AF">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348F5448">
      <w:pPr>
        <w:snapToGrid w:val="0"/>
        <w:spacing w:line="360" w:lineRule="auto"/>
        <w:ind w:firstLine="3465" w:firstLineChars="1650"/>
        <w:rPr>
          <w:rFonts w:ascii="宋体" w:hAnsi="宋体" w:eastAsia="宋体" w:cs="宋体"/>
          <w:color w:val="auto"/>
          <w:kern w:val="3"/>
          <w:szCs w:val="24"/>
          <w:highlight w:val="none"/>
        </w:rPr>
      </w:pPr>
    </w:p>
    <w:p w14:paraId="3177261D">
      <w:pPr>
        <w:snapToGrid w:val="0"/>
        <w:spacing w:line="360" w:lineRule="auto"/>
        <w:ind w:firstLine="3465" w:firstLineChars="1650"/>
        <w:rPr>
          <w:rFonts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70C4BC2A">
      <w:pPr>
        <w:spacing w:before="120" w:after="120" w:line="360" w:lineRule="auto"/>
        <w:ind w:left="340" w:leftChars="162" w:firstLine="474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C8EE11B">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25E863A"/>
                          <w:p w14:paraId="6262FAA3"/>
                          <w:p w14:paraId="57345388"/>
                          <w:p w14:paraId="2468BEF7"/>
                          <w:p w14:paraId="61EFDFA5">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438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325E863A"/>
                    <w:p w14:paraId="6262FAA3"/>
                    <w:p w14:paraId="57345388"/>
                    <w:p w14:paraId="2468BEF7"/>
                    <w:p w14:paraId="61EFDFA5">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F4EFB24"/>
                          <w:p w14:paraId="3E203F70"/>
                          <w:p w14:paraId="093CDAFA"/>
                          <w:p w14:paraId="08B60AAF"/>
                          <w:p w14:paraId="36D9A7E9">
                            <w:pPr>
                              <w:jc w:val="center"/>
                              <w:rPr>
                                <w:szCs w:val="21"/>
                              </w:rPr>
                            </w:pPr>
                            <w:r>
                              <w:rPr>
                                <w:rFonts w:hint="eastAsia"/>
                                <w:szCs w:val="21"/>
                              </w:rPr>
                              <w:t>法定代表人身份证反面</w:t>
                            </w:r>
                          </w:p>
                          <w:p w14:paraId="3F1687BB">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3360;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F4EFB24"/>
                    <w:p w14:paraId="3E203F70"/>
                    <w:p w14:paraId="093CDAFA"/>
                    <w:p w14:paraId="08B60AAF"/>
                    <w:p w14:paraId="36D9A7E9">
                      <w:pPr>
                        <w:jc w:val="center"/>
                        <w:rPr>
                          <w:szCs w:val="21"/>
                        </w:rPr>
                      </w:pPr>
                      <w:r>
                        <w:rPr>
                          <w:rFonts w:hint="eastAsia"/>
                          <w:szCs w:val="21"/>
                        </w:rPr>
                        <w:t>法定代表人身份证反面</w:t>
                      </w:r>
                    </w:p>
                    <w:p w14:paraId="3F1687BB">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29F21D"/>
                          <w:p w14:paraId="3F1A6B43"/>
                          <w:p w14:paraId="5F078124"/>
                          <w:p w14:paraId="153DCEA4"/>
                          <w:p w14:paraId="1B78A25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4129F21D"/>
                    <w:p w14:paraId="3F1A6B43"/>
                    <w:p w14:paraId="5F078124"/>
                    <w:p w14:paraId="153DCEA4"/>
                    <w:p w14:paraId="1B78A25E">
                      <w:pPr>
                        <w:jc w:val="center"/>
                      </w:pPr>
                      <w:r>
                        <w:rPr>
                          <w:rFonts w:hint="eastAsia"/>
                        </w:rPr>
                        <w:t>身份证正面</w:t>
                      </w:r>
                    </w:p>
                  </w:txbxContent>
                </v:textbox>
              </v:shape>
            </w:pict>
          </mc:Fallback>
        </mc:AlternateContent>
      </w:r>
    </w:p>
    <w:p w14:paraId="52597B30">
      <w:pPr>
        <w:autoSpaceDE w:val="0"/>
        <w:autoSpaceDN w:val="0"/>
        <w:adjustRightInd w:val="0"/>
        <w:jc w:val="left"/>
        <w:rPr>
          <w:rFonts w:ascii="宋体" w:hAnsi="宋体" w:eastAsia="宋体" w:cs="宋体"/>
          <w:color w:val="auto"/>
          <w:kern w:val="0"/>
          <w:sz w:val="24"/>
          <w:szCs w:val="24"/>
          <w:highlight w:val="none"/>
        </w:rPr>
      </w:pPr>
    </w:p>
    <w:p w14:paraId="4D9E56D8">
      <w:pPr>
        <w:autoSpaceDE w:val="0"/>
        <w:autoSpaceDN w:val="0"/>
        <w:adjustRightInd w:val="0"/>
        <w:jc w:val="left"/>
        <w:rPr>
          <w:rFonts w:ascii="宋体" w:hAnsi="宋体" w:eastAsia="宋体" w:cs="宋体"/>
          <w:color w:val="auto"/>
          <w:kern w:val="0"/>
          <w:sz w:val="24"/>
          <w:szCs w:val="24"/>
          <w:highlight w:val="none"/>
        </w:rPr>
      </w:pPr>
    </w:p>
    <w:p w14:paraId="1AA5CBBB">
      <w:pPr>
        <w:autoSpaceDE w:val="0"/>
        <w:autoSpaceDN w:val="0"/>
        <w:adjustRightInd w:val="0"/>
        <w:jc w:val="left"/>
        <w:rPr>
          <w:rFonts w:ascii="宋体" w:hAnsi="宋体" w:eastAsia="宋体" w:cs="宋体"/>
          <w:color w:val="auto"/>
          <w:kern w:val="0"/>
          <w:sz w:val="24"/>
          <w:szCs w:val="24"/>
          <w:highlight w:val="none"/>
        </w:rPr>
      </w:pPr>
    </w:p>
    <w:p w14:paraId="712DDBF0">
      <w:pPr>
        <w:autoSpaceDE w:val="0"/>
        <w:autoSpaceDN w:val="0"/>
        <w:adjustRightInd w:val="0"/>
        <w:jc w:val="left"/>
        <w:rPr>
          <w:rFonts w:ascii="宋体" w:hAnsi="宋体" w:eastAsia="宋体" w:cs="宋体"/>
          <w:color w:val="auto"/>
          <w:kern w:val="0"/>
          <w:sz w:val="24"/>
          <w:szCs w:val="24"/>
          <w:highlight w:val="none"/>
        </w:rPr>
      </w:pPr>
    </w:p>
    <w:p w14:paraId="57A5550B">
      <w:pPr>
        <w:autoSpaceDE w:val="0"/>
        <w:autoSpaceDN w:val="0"/>
        <w:adjustRightInd w:val="0"/>
        <w:jc w:val="left"/>
        <w:rPr>
          <w:rFonts w:ascii="宋体" w:hAnsi="宋体" w:eastAsia="宋体" w:cs="宋体"/>
          <w:color w:val="auto"/>
          <w:kern w:val="0"/>
          <w:sz w:val="24"/>
          <w:szCs w:val="24"/>
          <w:highlight w:val="none"/>
        </w:rPr>
      </w:pPr>
    </w:p>
    <w:p w14:paraId="45F7E803">
      <w:pPr>
        <w:autoSpaceDE w:val="0"/>
        <w:autoSpaceDN w:val="0"/>
        <w:adjustRightInd w:val="0"/>
        <w:jc w:val="left"/>
        <w:rPr>
          <w:rFonts w:ascii="宋体" w:hAnsi="宋体" w:eastAsia="宋体" w:cs="宋体"/>
          <w:color w:val="auto"/>
          <w:kern w:val="0"/>
          <w:sz w:val="24"/>
          <w:szCs w:val="24"/>
          <w:highlight w:val="none"/>
        </w:rPr>
      </w:pPr>
    </w:p>
    <w:p w14:paraId="7CD52952">
      <w:pPr>
        <w:autoSpaceDE w:val="0"/>
        <w:autoSpaceDN w:val="0"/>
        <w:adjustRightInd w:val="0"/>
        <w:jc w:val="left"/>
        <w:rPr>
          <w:rFonts w:ascii="宋体" w:hAnsi="宋体" w:eastAsia="宋体" w:cs="宋体"/>
          <w:color w:val="auto"/>
          <w:kern w:val="0"/>
          <w:sz w:val="24"/>
          <w:szCs w:val="24"/>
          <w:highlight w:val="none"/>
        </w:rPr>
      </w:pPr>
    </w:p>
    <w:p w14:paraId="769389FD">
      <w:pPr>
        <w:autoSpaceDE w:val="0"/>
        <w:autoSpaceDN w:val="0"/>
        <w:adjustRightInd w:val="0"/>
        <w:jc w:val="left"/>
        <w:rPr>
          <w:rFonts w:ascii="宋体" w:hAnsi="宋体" w:eastAsia="宋体" w:cs="宋体"/>
          <w:color w:val="auto"/>
          <w:kern w:val="0"/>
          <w:sz w:val="24"/>
          <w:szCs w:val="24"/>
          <w:highlight w:val="none"/>
        </w:rPr>
      </w:pPr>
    </w:p>
    <w:p w14:paraId="043BCF67">
      <w:pPr>
        <w:autoSpaceDE w:val="0"/>
        <w:autoSpaceDN w:val="0"/>
        <w:adjustRightInd w:val="0"/>
        <w:jc w:val="left"/>
        <w:rPr>
          <w:rFonts w:ascii="宋体" w:hAnsi="宋体" w:eastAsia="宋体" w:cs="宋体"/>
          <w:color w:val="auto"/>
          <w:kern w:val="0"/>
          <w:sz w:val="24"/>
          <w:szCs w:val="24"/>
          <w:highlight w:val="none"/>
        </w:rPr>
      </w:pPr>
    </w:p>
    <w:p w14:paraId="50D3F325">
      <w:pPr>
        <w:autoSpaceDE w:val="0"/>
        <w:autoSpaceDN w:val="0"/>
        <w:adjustRightInd w:val="0"/>
        <w:jc w:val="left"/>
        <w:rPr>
          <w:rFonts w:ascii="宋体" w:hAnsi="宋体" w:eastAsia="宋体" w:cs="宋体"/>
          <w:b/>
          <w:color w:val="auto"/>
          <w:kern w:val="0"/>
          <w:szCs w:val="21"/>
          <w:highlight w:val="none"/>
        </w:rPr>
      </w:pPr>
    </w:p>
    <w:p w14:paraId="41BD4F9B">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523735C1">
      <w:pPr>
        <w:autoSpaceDE w:val="0"/>
        <w:autoSpaceDN w:val="0"/>
        <w:adjustRightInd w:val="0"/>
        <w:jc w:val="left"/>
        <w:rPr>
          <w:rFonts w:ascii="宋体" w:hAnsi="宋体" w:eastAsia="宋体" w:cs="宋体"/>
          <w:color w:val="auto"/>
          <w:kern w:val="0"/>
          <w:szCs w:val="21"/>
          <w:highlight w:val="none"/>
        </w:rPr>
      </w:pPr>
    </w:p>
    <w:p w14:paraId="48C6A970">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说明：由投标人使用投标人的企业数字证书电子签名；联合体投标的，则联合体各方均提交。</w:t>
      </w:r>
      <w:r>
        <w:rPr>
          <w:rFonts w:hint="eastAsia" w:ascii="宋体" w:hAnsi="宋体" w:eastAsia="宋体" w:cs="宋体"/>
          <w:color w:val="auto"/>
          <w:szCs w:val="24"/>
          <w:highlight w:val="none"/>
          <w:lang w:val="zh-CN"/>
        </w:rPr>
        <w:br w:type="page"/>
      </w:r>
      <w:bookmarkEnd w:id="950"/>
      <w:bookmarkEnd w:id="951"/>
      <w:bookmarkEnd w:id="952"/>
      <w:bookmarkStart w:id="1061" w:name="_Toc1977727"/>
      <w:bookmarkStart w:id="1062" w:name="_Toc486167713"/>
      <w:bookmarkStart w:id="1063" w:name="_Toc533708125"/>
      <w:bookmarkStart w:id="1064" w:name="_Toc6240_WPSOffice_Level2"/>
      <w:r>
        <w:rPr>
          <w:rFonts w:hint="eastAsia" w:ascii="宋体" w:hAnsi="宋体" w:eastAsia="宋体" w:cs="宋体"/>
          <w:b/>
          <w:color w:val="auto"/>
          <w:szCs w:val="24"/>
          <w:highlight w:val="none"/>
        </w:rPr>
        <w:t>（2）法定代表人授权书格式</w:t>
      </w:r>
      <w:bookmarkEnd w:id="1061"/>
      <w:bookmarkEnd w:id="1062"/>
      <w:bookmarkEnd w:id="1063"/>
      <w:bookmarkEnd w:id="1064"/>
    </w:p>
    <w:p w14:paraId="60D8ADBF">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257394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065" w:name="_Toc29146_WPSOffice_Level3"/>
      <w:r>
        <w:rPr>
          <w:rFonts w:hint="eastAsia" w:ascii="宋体" w:hAnsi="宋体" w:eastAsia="宋体" w:cs="宋体"/>
          <w:b/>
          <w:bCs/>
          <w:color w:val="auto"/>
          <w:sz w:val="30"/>
          <w:szCs w:val="30"/>
          <w:highlight w:val="none"/>
          <w:lang w:val="zh-CN"/>
        </w:rPr>
        <w:t>法定代表人授权书</w:t>
      </w:r>
      <w:bookmarkEnd w:id="1065"/>
    </w:p>
    <w:p w14:paraId="0A4BEBBF">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致：东莞市水务集团科技发展有限公司</w:t>
      </w:r>
    </w:p>
    <w:p w14:paraId="6A47129D">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东莞市水务环境投资控股集团分布式光伏发电项目（第一批）净水厂项目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6E082E08">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750CF1DE">
      <w:pPr>
        <w:spacing w:before="120" w:after="120" w:line="360" w:lineRule="auto"/>
        <w:ind w:left="348" w:leftChars="136" w:hanging="62"/>
        <w:rPr>
          <w:rFonts w:ascii="宋体" w:hAnsi="宋体" w:eastAsia="宋体" w:cs="宋体"/>
          <w:color w:val="auto"/>
          <w:szCs w:val="24"/>
          <w:highlight w:val="none"/>
        </w:rPr>
      </w:pPr>
    </w:p>
    <w:p w14:paraId="04699A4C">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（企业数字证书电子签名）</w:t>
      </w:r>
    </w:p>
    <w:p w14:paraId="0325495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126B1F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0BA5F77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D6A7D6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lang w:val="zh-CN"/>
        </w:rPr>
        <w:t>（电子签名）</w:t>
      </w:r>
    </w:p>
    <w:p w14:paraId="7CBABC4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19C8B6A">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FC8C032">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AAA0CB1">
      <w:pPr>
        <w:pStyle w:val="41"/>
        <w:widowControl w:val="0"/>
        <w:snapToGrid w:val="0"/>
        <w:spacing w:before="0" w:beforeAutospacing="0" w:after="0" w:afterAutospacing="0" w:line="360" w:lineRule="auto"/>
        <w:jc w:val="center"/>
        <w:rPr>
          <w:rFonts w:eastAsia="宋体" w:cs="宋体"/>
          <w:b/>
          <w:color w:val="auto"/>
          <w:sz w:val="21"/>
          <w:szCs w:val="21"/>
          <w:highlight w:val="none"/>
          <w:lang w:bidi="ar"/>
        </w:rPr>
      </w:pPr>
    </w:p>
    <w:p w14:paraId="2FA648DB">
      <w:pPr>
        <w:widowControl/>
        <w:autoSpaceDE w:val="0"/>
        <w:autoSpaceDN w:val="0"/>
        <w:spacing w:before="120" w:after="120" w:line="360" w:lineRule="auto"/>
        <w:ind w:right="73" w:rightChars="35" w:firstLine="422" w:firstLineChars="200"/>
        <w:textAlignment w:val="bottom"/>
        <w:rPr>
          <w:rFonts w:ascii="宋体" w:hAnsi="宋体" w:eastAsia="宋体" w:cs="宋体"/>
          <w:color w:val="auto"/>
          <w:szCs w:val="24"/>
          <w:highlight w:val="none"/>
        </w:rPr>
      </w:pPr>
      <w:r>
        <w:rPr>
          <w:rFonts w:hint="eastAsia" w:ascii="宋体" w:hAnsi="宋体" w:eastAsia="宋体" w:cs="宋体"/>
          <w:b/>
          <w:bCs/>
          <w:color w:val="auto"/>
          <w:szCs w:val="21"/>
          <w:highlight w:val="none"/>
          <w:u w:val="single"/>
          <w:lang w:bidi="ar"/>
        </w:rPr>
        <w:t>说明：由投标人使用投标人的企业数字证书，法定代表人、其授权代表数字证书电子签名，联合体投标的，则由联合体牵头单位提交并进行电子签名。</w:t>
      </w: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法定代表人、被授权人身份证原件扫描件</w:t>
      </w:r>
    </w:p>
    <w:p w14:paraId="49BB813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7456"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5252458"/>
                          <w:p w14:paraId="62DF6639"/>
                          <w:p w14:paraId="7514C763"/>
                          <w:p w14:paraId="4E799419"/>
                          <w:p w14:paraId="29604E73">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7456;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5252458"/>
                    <w:p w14:paraId="62DF6639"/>
                    <w:p w14:paraId="7514C763"/>
                    <w:p w14:paraId="4E799419"/>
                    <w:p w14:paraId="29604E73">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203880B"/>
                          <w:p w14:paraId="62C58BD3"/>
                          <w:p w14:paraId="79F3E634"/>
                          <w:p w14:paraId="10AEA7B0"/>
                          <w:p w14:paraId="2C90376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5408;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203880B"/>
                    <w:p w14:paraId="62C58BD3"/>
                    <w:p w14:paraId="79F3E634"/>
                    <w:p w14:paraId="10AEA7B0"/>
                    <w:p w14:paraId="2C90376A">
                      <w:pPr>
                        <w:jc w:val="center"/>
                        <w:rPr>
                          <w:rFonts w:hAnsi="宋体"/>
                        </w:rPr>
                      </w:pPr>
                      <w:r>
                        <w:rPr>
                          <w:rFonts w:hint="eastAsia" w:hAnsi="宋体"/>
                        </w:rPr>
                        <w:t>法定代表人身份证正面</w:t>
                      </w:r>
                    </w:p>
                  </w:txbxContent>
                </v:textbox>
              </v:shape>
            </w:pict>
          </mc:Fallback>
        </mc:AlternateContent>
      </w:r>
    </w:p>
    <w:p w14:paraId="1F78379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56F7EB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52E48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134227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F11AC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9243D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3EFDB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54278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70393E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8480"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8EF3A70"/>
                          <w:p w14:paraId="306802ED">
                            <w:pPr>
                              <w:jc w:val="center"/>
                              <w:rPr>
                                <w:rFonts w:hAnsi="宋体"/>
                                <w:color w:val="FF0000"/>
                              </w:rPr>
                            </w:pPr>
                          </w:p>
                          <w:p w14:paraId="53ADFAC4">
                            <w:pPr>
                              <w:jc w:val="center"/>
                              <w:rPr>
                                <w:rFonts w:hAnsi="宋体"/>
                                <w:color w:val="FF0000"/>
                              </w:rPr>
                            </w:pPr>
                          </w:p>
                          <w:p w14:paraId="2FA9C732">
                            <w:pPr>
                              <w:jc w:val="center"/>
                              <w:rPr>
                                <w:rFonts w:hAnsi="宋体"/>
                                <w:color w:val="FF0000"/>
                              </w:rPr>
                            </w:pPr>
                          </w:p>
                          <w:p w14:paraId="588AB256">
                            <w:pPr>
                              <w:jc w:val="center"/>
                            </w:pPr>
                            <w:r>
                              <w:rPr>
                                <w:rFonts w:hint="eastAsia" w:hAnsi="宋体"/>
                              </w:rPr>
                              <w:t>被授权人身份证反面</w:t>
                            </w:r>
                          </w:p>
                          <w:p w14:paraId="0AC8031F"/>
                          <w:p w14:paraId="79BD7CDB"/>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8480;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gfIj2QAAAAoBAAAPAAAAAAAAAAEAIAAAACIA&#10;AABkcnMvZG93bnJldi54bWxQSwECFAAUAAAACACHTuJA6xsUeEECAACIBAAADgAAAAAAAAABACAA&#10;AAAoAQAAZHJzL2Uyb0RvYy54bWxQSwUGAAAAAAYABgBZAQAA2wUAAAAA&#10;">
                <v:fill on="t" focussize="0,0"/>
                <v:stroke color="#000000" miterlimit="8" joinstyle="miter"/>
                <v:imagedata o:title=""/>
                <o:lock v:ext="edit" aspectratio="f"/>
                <v:textbox>
                  <w:txbxContent>
                    <w:p w14:paraId="18EF3A70"/>
                    <w:p w14:paraId="306802ED">
                      <w:pPr>
                        <w:jc w:val="center"/>
                        <w:rPr>
                          <w:rFonts w:hAnsi="宋体"/>
                          <w:color w:val="FF0000"/>
                        </w:rPr>
                      </w:pPr>
                    </w:p>
                    <w:p w14:paraId="53ADFAC4">
                      <w:pPr>
                        <w:jc w:val="center"/>
                        <w:rPr>
                          <w:rFonts w:hAnsi="宋体"/>
                          <w:color w:val="FF0000"/>
                        </w:rPr>
                      </w:pPr>
                    </w:p>
                    <w:p w14:paraId="2FA9C732">
                      <w:pPr>
                        <w:jc w:val="center"/>
                        <w:rPr>
                          <w:rFonts w:hAnsi="宋体"/>
                          <w:color w:val="FF0000"/>
                        </w:rPr>
                      </w:pPr>
                    </w:p>
                    <w:p w14:paraId="588AB256">
                      <w:pPr>
                        <w:jc w:val="center"/>
                      </w:pPr>
                      <w:r>
                        <w:rPr>
                          <w:rFonts w:hint="eastAsia" w:hAnsi="宋体"/>
                        </w:rPr>
                        <w:t>被授权人身份证反面</w:t>
                      </w:r>
                    </w:p>
                    <w:p w14:paraId="0AC8031F"/>
                    <w:p w14:paraId="79BD7CDB"/>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6432"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36AD702"/>
                          <w:p w14:paraId="67F4D143">
                            <w:pPr>
                              <w:jc w:val="center"/>
                              <w:rPr>
                                <w:rFonts w:hAnsi="宋体"/>
                                <w:color w:val="FF0000"/>
                              </w:rPr>
                            </w:pPr>
                          </w:p>
                          <w:p w14:paraId="0A6C6D61">
                            <w:pPr>
                              <w:jc w:val="center"/>
                              <w:rPr>
                                <w:rFonts w:hAnsi="宋体"/>
                                <w:color w:val="FF0000"/>
                              </w:rPr>
                            </w:pPr>
                          </w:p>
                          <w:p w14:paraId="74B4052C">
                            <w:pPr>
                              <w:jc w:val="center"/>
                              <w:rPr>
                                <w:rFonts w:hAnsi="宋体"/>
                                <w:color w:val="FF0000"/>
                              </w:rPr>
                            </w:pPr>
                          </w:p>
                          <w:p w14:paraId="7828F10C">
                            <w:pPr>
                              <w:jc w:val="center"/>
                            </w:pPr>
                            <w:r>
                              <w:rPr>
                                <w:rFonts w:hint="eastAsia" w:hAnsi="宋体"/>
                              </w:rPr>
                              <w:t>被授权人身份证正面</w:t>
                            </w:r>
                          </w:p>
                          <w:p w14:paraId="6640D174"/>
                          <w:p w14:paraId="5732AFC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6432;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HE2rzUICAACIBAAADgAAAAAAAAABACAA&#10;AAAnAQAAZHJzL2Uyb0RvYy54bWxQSwUGAAAAAAYABgBZAQAA2wUAAAAA&#10;">
                <v:fill on="t" focussize="0,0"/>
                <v:stroke color="#000000" miterlimit="8" joinstyle="miter"/>
                <v:imagedata o:title=""/>
                <o:lock v:ext="edit" aspectratio="f"/>
                <v:textbox>
                  <w:txbxContent>
                    <w:p w14:paraId="036AD702"/>
                    <w:p w14:paraId="67F4D143">
                      <w:pPr>
                        <w:jc w:val="center"/>
                        <w:rPr>
                          <w:rFonts w:hAnsi="宋体"/>
                          <w:color w:val="FF0000"/>
                        </w:rPr>
                      </w:pPr>
                    </w:p>
                    <w:p w14:paraId="0A6C6D61">
                      <w:pPr>
                        <w:jc w:val="center"/>
                        <w:rPr>
                          <w:rFonts w:hAnsi="宋体"/>
                          <w:color w:val="FF0000"/>
                        </w:rPr>
                      </w:pPr>
                    </w:p>
                    <w:p w14:paraId="74B4052C">
                      <w:pPr>
                        <w:jc w:val="center"/>
                        <w:rPr>
                          <w:rFonts w:hAnsi="宋体"/>
                          <w:color w:val="FF0000"/>
                        </w:rPr>
                      </w:pPr>
                    </w:p>
                    <w:p w14:paraId="7828F10C">
                      <w:pPr>
                        <w:jc w:val="center"/>
                      </w:pPr>
                      <w:r>
                        <w:rPr>
                          <w:rFonts w:hint="eastAsia" w:hAnsi="宋体"/>
                        </w:rPr>
                        <w:t>被授权人身份证正面</w:t>
                      </w:r>
                    </w:p>
                    <w:p w14:paraId="6640D174"/>
                    <w:p w14:paraId="5732AFCE"/>
                  </w:txbxContent>
                </v:textbox>
              </v:shape>
            </w:pict>
          </mc:Fallback>
        </mc:AlternateContent>
      </w:r>
    </w:p>
    <w:p w14:paraId="3AC11DF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3E957D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18E1A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86A2C4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78DC0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CAF2450">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docGrid w:linePitch="326" w:charSpace="0"/>
        </w:sectPr>
      </w:pPr>
      <w:r>
        <w:rPr>
          <w:rFonts w:hint="eastAsia" w:ascii="宋体" w:hAnsi="宋体" w:eastAsia="宋体" w:cs="宋体"/>
          <w:b/>
          <w:color w:val="auto"/>
          <w:szCs w:val="24"/>
          <w:highlight w:val="none"/>
        </w:rPr>
        <w:t>注：上述所附身份证应在有效期限内。</w:t>
      </w:r>
    </w:p>
    <w:p w14:paraId="6F954573">
      <w:pPr>
        <w:pStyle w:val="5"/>
        <w:pageBreakBefore/>
        <w:spacing w:line="360" w:lineRule="auto"/>
        <w:rPr>
          <w:rFonts w:hAnsi="宋体" w:cs="宋体"/>
          <w:b/>
          <w:color w:val="auto"/>
          <w:sz w:val="30"/>
          <w:szCs w:val="30"/>
          <w:highlight w:val="none"/>
        </w:rPr>
      </w:pPr>
      <w:bookmarkStart w:id="1066" w:name="_Toc22946"/>
      <w:bookmarkStart w:id="1067" w:name="_Toc2626"/>
      <w:bookmarkStart w:id="1068" w:name="_Toc4685"/>
      <w:bookmarkStart w:id="1069" w:name="_Toc15716"/>
      <w:bookmarkStart w:id="1070" w:name="_Toc32328"/>
      <w:bookmarkStart w:id="1071" w:name="_Toc12400"/>
      <w:bookmarkStart w:id="1072" w:name="_Toc195714386"/>
      <w:bookmarkStart w:id="1073" w:name="_Toc10084"/>
      <w:bookmarkStart w:id="1074" w:name="_Toc29471"/>
      <w:bookmarkStart w:id="1075" w:name="_Toc21507"/>
      <w:bookmarkStart w:id="1076" w:name="_Toc23849"/>
      <w:bookmarkStart w:id="1077" w:name="_Toc140596933"/>
      <w:bookmarkStart w:id="1078" w:name="_Toc104991880"/>
      <w:bookmarkStart w:id="1079" w:name="_Toc94107214"/>
      <w:bookmarkStart w:id="1080" w:name="_Toc1977730"/>
      <w:bookmarkStart w:id="1081" w:name="_Toc142508373"/>
      <w:r>
        <w:rPr>
          <w:rFonts w:hint="eastAsia" w:hAnsi="宋体" w:cs="宋体"/>
          <w:b/>
          <w:color w:val="auto"/>
          <w:sz w:val="30"/>
          <w:szCs w:val="30"/>
          <w:highlight w:val="none"/>
        </w:rPr>
        <w:t>4.4 本项目的特定资格要求</w:t>
      </w:r>
      <w:bookmarkEnd w:id="1066"/>
      <w:bookmarkEnd w:id="1067"/>
      <w:bookmarkEnd w:id="1068"/>
    </w:p>
    <w:p w14:paraId="5EAFDB57">
      <w:pPr>
        <w:spacing w:line="360" w:lineRule="auto"/>
        <w:ind w:firstLine="420" w:firstLineChars="200"/>
        <w:rPr>
          <w:rFonts w:ascii="宋体" w:hAnsi="宋体" w:eastAsia="宋体" w:cs="宋体"/>
          <w:color w:val="auto"/>
          <w:highlight w:val="none"/>
        </w:rPr>
      </w:pPr>
      <w:bookmarkStart w:id="1082" w:name="OLE_LINK404"/>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供货安装</w:t>
      </w:r>
      <w:r>
        <w:rPr>
          <w:rFonts w:hint="eastAsia" w:ascii="宋体" w:hAnsi="宋体" w:eastAsia="宋体" w:cs="宋体"/>
          <w:bCs/>
          <w:color w:val="auto"/>
          <w:szCs w:val="21"/>
          <w:highlight w:val="none"/>
          <w:lang w:val="zh-CN"/>
        </w:rPr>
        <w:t>资质：①具有以下其中一种资质：a）电力工程施工总承包</w:t>
      </w:r>
      <w:r>
        <w:rPr>
          <w:rFonts w:hint="eastAsia" w:ascii="宋体" w:hAnsi="宋体" w:eastAsia="宋体" w:cs="宋体"/>
          <w:bCs/>
          <w:color w:val="auto"/>
          <w:szCs w:val="21"/>
          <w:highlight w:val="none"/>
        </w:rPr>
        <w:t>乙级</w:t>
      </w:r>
      <w:r>
        <w:rPr>
          <w:rFonts w:hint="eastAsia" w:ascii="宋体" w:hAnsi="宋体" w:eastAsia="宋体" w:cs="宋体"/>
          <w:bCs/>
          <w:color w:val="auto"/>
          <w:szCs w:val="21"/>
          <w:highlight w:val="none"/>
          <w:lang w:val="zh-CN"/>
        </w:rPr>
        <w:t>（或以上）企业资质；</w:t>
      </w:r>
      <w:r>
        <w:rPr>
          <w:rFonts w:hint="eastAsia" w:ascii="宋体" w:hAnsi="宋体" w:eastAsia="宋体" w:cs="宋体"/>
          <w:bCs/>
          <w:color w:val="auto"/>
          <w:szCs w:val="21"/>
          <w:highlight w:val="none"/>
        </w:rPr>
        <w:t>b</w:t>
      </w:r>
      <w:r>
        <w:rPr>
          <w:rFonts w:hint="eastAsia" w:ascii="宋体" w:hAnsi="宋体" w:eastAsia="宋体" w:cs="宋体"/>
          <w:bCs/>
          <w:color w:val="auto"/>
          <w:szCs w:val="21"/>
          <w:highlight w:val="none"/>
          <w:lang w:val="zh-CN"/>
        </w:rPr>
        <w:t>）输变电工程专业承包</w:t>
      </w:r>
      <w:r>
        <w:rPr>
          <w:rFonts w:hint="eastAsia" w:ascii="宋体" w:hAnsi="宋体" w:eastAsia="宋体" w:cs="宋体"/>
          <w:bCs/>
          <w:color w:val="auto"/>
          <w:szCs w:val="21"/>
          <w:highlight w:val="none"/>
        </w:rPr>
        <w:t>乙级</w:t>
      </w:r>
      <w:r>
        <w:rPr>
          <w:rFonts w:hint="eastAsia" w:ascii="宋体" w:hAnsi="宋体" w:eastAsia="宋体" w:cs="宋体"/>
          <w:bCs/>
          <w:color w:val="auto"/>
          <w:szCs w:val="21"/>
          <w:highlight w:val="none"/>
          <w:lang w:val="zh-CN"/>
        </w:rPr>
        <w:t>（或以上）企业资质【</w:t>
      </w:r>
      <w:r>
        <w:rPr>
          <w:rFonts w:hint="eastAsia" w:ascii="宋体" w:hAnsi="宋体" w:eastAsia="宋体" w:cs="宋体"/>
          <w:bCs/>
          <w:color w:val="auto"/>
          <w:szCs w:val="21"/>
          <w:highlight w:val="none"/>
        </w:rPr>
        <w:t>或更换资质证书前有效期内：</w:t>
      </w:r>
      <w:r>
        <w:rPr>
          <w:rFonts w:hint="eastAsia" w:ascii="宋体" w:hAnsi="宋体" w:eastAsia="宋体" w:cs="宋体"/>
          <w:bCs/>
          <w:color w:val="auto"/>
          <w:szCs w:val="21"/>
          <w:highlight w:val="none"/>
          <w:lang w:val="zh-CN"/>
        </w:rPr>
        <w:t>电力工程施工总承包三级（或以上）企业资质；</w:t>
      </w:r>
      <w:r>
        <w:rPr>
          <w:rFonts w:hint="eastAsia" w:ascii="宋体" w:hAnsi="宋体" w:eastAsia="宋体" w:cs="宋体"/>
          <w:bCs/>
          <w:color w:val="auto"/>
          <w:szCs w:val="21"/>
          <w:highlight w:val="none"/>
        </w:rPr>
        <w:t>或</w:t>
      </w:r>
      <w:r>
        <w:rPr>
          <w:rFonts w:hint="eastAsia" w:ascii="宋体" w:hAnsi="宋体" w:eastAsia="宋体" w:cs="宋体"/>
          <w:bCs/>
          <w:color w:val="auto"/>
          <w:szCs w:val="21"/>
          <w:highlight w:val="none"/>
          <w:lang w:val="zh-CN"/>
        </w:rPr>
        <w:t>输变电工程专业承包三级（或以上）企业资质】；②具有《承装（修、试）电力设施许可证》承装类五级或以上资质【或具</w:t>
      </w:r>
      <w:r>
        <w:rPr>
          <w:rFonts w:hint="eastAsia" w:ascii="宋体" w:hAnsi="宋体" w:eastAsia="宋体" w:cs="宋体"/>
          <w:bCs/>
          <w:color w:val="auto"/>
          <w:szCs w:val="21"/>
          <w:highlight w:val="none"/>
        </w:rPr>
        <w:t>有2025年7月1日以来</w:t>
      </w:r>
      <w:r>
        <w:rPr>
          <w:rFonts w:hint="eastAsia" w:ascii="宋体" w:hAnsi="宋体" w:eastAsia="宋体" w:cs="宋体"/>
          <w:bCs/>
          <w:color w:val="auto"/>
          <w:szCs w:val="21"/>
          <w:highlight w:val="none"/>
          <w:lang w:val="zh-CN"/>
        </w:rPr>
        <w:t>颁发</w:t>
      </w:r>
      <w:r>
        <w:rPr>
          <w:rFonts w:hint="eastAsia" w:ascii="宋体" w:hAnsi="宋体" w:eastAsia="宋体" w:cs="宋体"/>
          <w:bCs/>
          <w:color w:val="auto"/>
          <w:szCs w:val="21"/>
          <w:highlight w:val="none"/>
        </w:rPr>
        <w:t>或换领</w:t>
      </w:r>
      <w:r>
        <w:rPr>
          <w:rFonts w:hint="eastAsia" w:ascii="宋体" w:hAnsi="宋体" w:eastAsia="宋体" w:cs="宋体"/>
          <w:bCs/>
          <w:color w:val="auto"/>
          <w:szCs w:val="21"/>
          <w:highlight w:val="none"/>
          <w:lang w:val="zh-CN"/>
        </w:rPr>
        <w:t>的《承装（修、试）电力设施许可证》承装类三级或以上电子证照】；③具有在效期内的《安全生产许可证》。（</w:t>
      </w: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zh-CN"/>
        </w:rPr>
        <w:t>）设计资质：具有有效期内</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val="zh-CN"/>
        </w:rPr>
        <w:t>工程设计综合资质，或工程设计电力行业乙级（或以上）资质，或工程设计电力行业（送</w:t>
      </w:r>
      <w:r>
        <w:rPr>
          <w:rFonts w:hint="eastAsia" w:ascii="宋体" w:hAnsi="宋体" w:eastAsia="宋体" w:cs="宋体"/>
          <w:bCs/>
          <w:color w:val="auto"/>
          <w:szCs w:val="21"/>
          <w:highlight w:val="none"/>
        </w:rPr>
        <w:t>变</w:t>
      </w:r>
      <w:r>
        <w:rPr>
          <w:rFonts w:hint="eastAsia" w:ascii="宋体" w:hAnsi="宋体" w:eastAsia="宋体" w:cs="宋体"/>
          <w:bCs/>
          <w:color w:val="auto"/>
          <w:szCs w:val="21"/>
          <w:highlight w:val="none"/>
          <w:lang w:val="zh-CN"/>
        </w:rPr>
        <w:t>电工程）专业乙级（或以上）资质，或工程设计电力行业（新能源发电</w:t>
      </w:r>
      <w:r>
        <w:rPr>
          <w:rFonts w:hint="eastAsia" w:ascii="宋体" w:hAnsi="宋体" w:eastAsia="宋体" w:cs="宋体"/>
          <w:bCs/>
          <w:color w:val="auto"/>
          <w:szCs w:val="21"/>
          <w:highlight w:val="none"/>
        </w:rPr>
        <w:t>工程</w:t>
      </w:r>
      <w:r>
        <w:rPr>
          <w:rFonts w:hint="eastAsia" w:ascii="宋体" w:hAnsi="宋体" w:eastAsia="宋体" w:cs="宋体"/>
          <w:bCs/>
          <w:color w:val="auto"/>
          <w:szCs w:val="21"/>
          <w:highlight w:val="none"/>
          <w:lang w:val="zh-CN"/>
        </w:rPr>
        <w:t>）专业乙级（或以上）资质【</w:t>
      </w:r>
      <w:r>
        <w:rPr>
          <w:rFonts w:hint="eastAsia" w:ascii="宋体" w:hAnsi="宋体" w:eastAsia="宋体" w:cs="宋体"/>
          <w:bCs/>
          <w:color w:val="auto"/>
          <w:szCs w:val="21"/>
          <w:highlight w:val="none"/>
        </w:rPr>
        <w:t>或更换资质证书前有效期内</w:t>
      </w:r>
      <w:r>
        <w:rPr>
          <w:rFonts w:hint="eastAsia" w:ascii="宋体" w:hAnsi="宋体" w:eastAsia="宋体" w:cs="宋体"/>
          <w:bCs/>
          <w:color w:val="auto"/>
          <w:szCs w:val="21"/>
          <w:highlight w:val="none"/>
          <w:lang w:val="zh-CN"/>
        </w:rPr>
        <w:t>：工程设计综合</w:t>
      </w:r>
      <w:r>
        <w:rPr>
          <w:rFonts w:hint="eastAsia" w:ascii="宋体" w:hAnsi="宋体" w:eastAsia="宋体" w:cs="宋体"/>
          <w:bCs/>
          <w:color w:val="auto"/>
          <w:szCs w:val="21"/>
          <w:highlight w:val="none"/>
        </w:rPr>
        <w:t>甲级</w:t>
      </w:r>
      <w:r>
        <w:rPr>
          <w:rFonts w:hint="eastAsia" w:ascii="宋体" w:hAnsi="宋体" w:eastAsia="宋体" w:cs="宋体"/>
          <w:bCs/>
          <w:color w:val="auto"/>
          <w:szCs w:val="21"/>
          <w:highlight w:val="none"/>
          <w:lang w:val="zh-CN"/>
        </w:rPr>
        <w:t>资质，或工程设计电力行业乙级（或以上）资质，或工程设计电力行业（送电工程或变电工程）专业丙级（或以上）资质，或工程设计电力行业（新能源发电）专业乙级资质】。</w:t>
      </w:r>
      <w:r>
        <w:rPr>
          <w:rFonts w:hint="eastAsia" w:ascii="宋体" w:hAnsi="宋体" w:eastAsia="宋体" w:cs="宋体"/>
          <w:color w:val="auto"/>
          <w:highlight w:val="none"/>
        </w:rPr>
        <w:t>【投标人提供以上资质证书原件扫描件】</w:t>
      </w:r>
      <w:bookmarkEnd w:id="1082"/>
    </w:p>
    <w:p w14:paraId="1F8D4722">
      <w:pPr>
        <w:spacing w:line="360" w:lineRule="auto"/>
        <w:ind w:firstLine="420" w:firstLineChars="200"/>
        <w:rPr>
          <w:rFonts w:ascii="宋体" w:hAnsi="宋体" w:eastAsia="宋体" w:cs="宋体"/>
          <w:color w:val="auto"/>
          <w:highlight w:val="none"/>
        </w:rPr>
      </w:pPr>
    </w:p>
    <w:p w14:paraId="0F923C81">
      <w:pPr>
        <w:pStyle w:val="5"/>
        <w:pageBreakBefore/>
        <w:spacing w:line="360" w:lineRule="auto"/>
        <w:rPr>
          <w:rFonts w:hint="eastAsia" w:hAnsi="宋体" w:cs="宋体"/>
          <w:b/>
          <w:color w:val="auto"/>
          <w:sz w:val="30"/>
          <w:szCs w:val="30"/>
          <w:highlight w:val="none"/>
          <w:lang w:val="en-US" w:eastAsia="zh-CN"/>
        </w:rPr>
      </w:pPr>
      <w:bookmarkStart w:id="1083" w:name="_Toc3904"/>
      <w:bookmarkStart w:id="1084" w:name="_Toc1084"/>
      <w:bookmarkStart w:id="1085" w:name="_Toc27465"/>
      <w:r>
        <w:rPr>
          <w:rFonts w:hint="eastAsia" w:hAnsi="宋体" w:cs="宋体"/>
          <w:b/>
          <w:color w:val="auto"/>
          <w:sz w:val="30"/>
          <w:szCs w:val="30"/>
          <w:highlight w:val="none"/>
          <w:lang w:val="en-US" w:eastAsia="zh-CN"/>
        </w:rPr>
        <w:t>4.5 项目负责人要求（若为联合体投标的，以联合体牵头单位提供的人员为准，联合体成员单位提供的人员不予认可）</w:t>
      </w:r>
    </w:p>
    <w:p w14:paraId="26264C7B">
      <w:pPr>
        <w:spacing w:line="360" w:lineRule="auto"/>
        <w:ind w:firstLine="420" w:firstLineChars="200"/>
        <w:rPr>
          <w:rFonts w:hint="eastAsia" w:ascii="宋体" w:hAnsi="宋体" w:eastAsia="宋体" w:cs="宋体"/>
          <w:bCs/>
          <w:color w:val="auto"/>
          <w:szCs w:val="21"/>
          <w:highlight w:val="none"/>
          <w:lang w:val="zh-CN" w:eastAsia="zh-CN"/>
        </w:rPr>
      </w:pPr>
      <w:r>
        <w:rPr>
          <w:rFonts w:hint="eastAsia" w:ascii="宋体" w:hAnsi="宋体" w:eastAsia="宋体" w:cs="宋体"/>
          <w:b w:val="0"/>
          <w:bCs/>
          <w:color w:val="auto"/>
          <w:szCs w:val="21"/>
          <w:highlight w:val="none"/>
          <w:lang w:val="zh-CN" w:eastAsia="zh-CN"/>
        </w:rPr>
        <w:t>投标人为本项目投入的项目负责人应具备二级或以上等级的注册建造师，建造师注册证书中列明的专业类别为电力工程（或机电工程），且具备建设行政主管部门颁发的安全生产考核合格证（须为项目负责人安全生产考核合格证，即“建安B”类证）；【提供有效的相关证书扫描件，并提供由人力资源和社会保障部门（或税务部门）出具的投标人2025年2月至2025年7月为其缴纳的社会保险凭证扫描件】</w:t>
      </w:r>
    </w:p>
    <w:p w14:paraId="05BEF3E2">
      <w:pPr>
        <w:pStyle w:val="5"/>
        <w:pageBreakBefore/>
        <w:spacing w:line="360" w:lineRule="auto"/>
        <w:rPr>
          <w:rFonts w:hAnsi="宋体" w:cs="宋体"/>
          <w:b/>
          <w:color w:val="auto"/>
          <w:sz w:val="30"/>
          <w:szCs w:val="30"/>
          <w:highlight w:val="none"/>
          <w:lang w:val="zh-CN"/>
        </w:rPr>
      </w:pPr>
      <w:r>
        <w:rPr>
          <w:rFonts w:hint="eastAsia" w:hAnsi="宋体" w:cs="宋体"/>
          <w:b/>
          <w:color w:val="auto"/>
          <w:sz w:val="30"/>
          <w:szCs w:val="30"/>
          <w:highlight w:val="none"/>
        </w:rPr>
        <w:t>4.</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 xml:space="preserve"> </w:t>
      </w:r>
      <w:r>
        <w:rPr>
          <w:rFonts w:hint="eastAsia" w:hAnsi="宋体" w:cs="宋体"/>
          <w:b/>
          <w:bCs/>
          <w:color w:val="auto"/>
          <w:kern w:val="2"/>
          <w:sz w:val="32"/>
          <w:szCs w:val="32"/>
          <w:highlight w:val="none"/>
        </w:rPr>
        <w:t>资格业绩</w:t>
      </w:r>
      <w:r>
        <w:rPr>
          <w:rFonts w:hint="eastAsia" w:hAnsi="宋体" w:cs="宋体"/>
          <w:b/>
          <w:bCs/>
          <w:color w:val="auto"/>
          <w:sz w:val="32"/>
          <w:szCs w:val="32"/>
          <w:highlight w:val="none"/>
        </w:rPr>
        <w:t>【</w:t>
      </w:r>
      <w:bookmarkEnd w:id="1069"/>
      <w:bookmarkEnd w:id="1070"/>
      <w:bookmarkEnd w:id="1071"/>
      <w:r>
        <w:rPr>
          <w:rFonts w:hint="eastAsia" w:hAnsi="宋体" w:cs="宋体"/>
          <w:b/>
          <w:bCs/>
          <w:color w:val="auto"/>
          <w:sz w:val="32"/>
          <w:szCs w:val="32"/>
          <w:highlight w:val="none"/>
        </w:rPr>
        <w:t>投标人提供一份2022年1月1日以来</w:t>
      </w:r>
      <w:bookmarkStart w:id="1086" w:name="OLE_LINK69"/>
      <w:r>
        <w:rPr>
          <w:rFonts w:hint="eastAsia" w:hAnsi="宋体" w:cs="宋体"/>
          <w:b/>
          <w:bCs/>
          <w:color w:val="auto"/>
          <w:sz w:val="32"/>
          <w:szCs w:val="32"/>
          <w:highlight w:val="none"/>
        </w:rPr>
        <w:t>分布式光伏发电的</w:t>
      </w:r>
      <w:bookmarkEnd w:id="1086"/>
      <w:r>
        <w:rPr>
          <w:rFonts w:hint="eastAsia" w:hAnsi="宋体" w:cs="宋体"/>
          <w:b/>
          <w:bCs/>
          <w:color w:val="auto"/>
          <w:sz w:val="32"/>
          <w:szCs w:val="32"/>
          <w:highlight w:val="none"/>
        </w:rPr>
        <w:t>业绩（合同签订日期为2022年1月1日或以后）】</w:t>
      </w:r>
      <w:bookmarkEnd w:id="1072"/>
      <w:bookmarkEnd w:id="1073"/>
      <w:bookmarkEnd w:id="1074"/>
      <w:bookmarkEnd w:id="1075"/>
      <w:bookmarkEnd w:id="1076"/>
      <w:bookmarkEnd w:id="1083"/>
      <w:bookmarkEnd w:id="1084"/>
      <w:bookmarkEnd w:id="1085"/>
    </w:p>
    <w:tbl>
      <w:tblPr>
        <w:tblStyle w:val="46"/>
        <w:tblW w:w="4995"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6"/>
        <w:gridCol w:w="687"/>
        <w:gridCol w:w="890"/>
        <w:gridCol w:w="890"/>
        <w:gridCol w:w="890"/>
        <w:gridCol w:w="890"/>
        <w:gridCol w:w="890"/>
        <w:gridCol w:w="890"/>
        <w:gridCol w:w="574"/>
        <w:gridCol w:w="451"/>
        <w:gridCol w:w="479"/>
        <w:gridCol w:w="637"/>
        <w:gridCol w:w="514"/>
      </w:tblGrid>
      <w:tr w14:paraId="708ED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E3C257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70" w:type="pct"/>
            <w:tcBorders>
              <w:top w:val="single" w:color="auto" w:sz="4" w:space="0"/>
              <w:left w:val="single" w:color="auto" w:sz="4" w:space="0"/>
              <w:bottom w:val="single" w:color="auto" w:sz="4" w:space="0"/>
              <w:right w:val="single" w:color="auto" w:sz="4" w:space="0"/>
            </w:tcBorders>
            <w:vAlign w:val="center"/>
          </w:tcPr>
          <w:p w14:paraId="132DF13D">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52A1687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479" w:type="pct"/>
            <w:tcBorders>
              <w:top w:val="single" w:color="auto" w:sz="4" w:space="0"/>
              <w:left w:val="single" w:color="auto" w:sz="4" w:space="0"/>
              <w:bottom w:val="single" w:color="auto" w:sz="4" w:space="0"/>
              <w:right w:val="single" w:color="auto" w:sz="4" w:space="0"/>
            </w:tcBorders>
            <w:vAlign w:val="center"/>
          </w:tcPr>
          <w:p w14:paraId="50AE52C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合同主要内容</w:t>
            </w:r>
          </w:p>
        </w:tc>
        <w:tc>
          <w:tcPr>
            <w:tcW w:w="479" w:type="pct"/>
            <w:tcBorders>
              <w:top w:val="single" w:color="auto" w:sz="4" w:space="0"/>
              <w:left w:val="single" w:color="auto" w:sz="4" w:space="0"/>
              <w:bottom w:val="single" w:color="auto" w:sz="4" w:space="0"/>
              <w:right w:val="single" w:color="auto" w:sz="4" w:space="0"/>
            </w:tcBorders>
            <w:vAlign w:val="center"/>
          </w:tcPr>
          <w:p w14:paraId="60C0EB1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合同标的光伏组件品牌</w:t>
            </w:r>
          </w:p>
        </w:tc>
        <w:tc>
          <w:tcPr>
            <w:tcW w:w="479" w:type="pct"/>
            <w:tcBorders>
              <w:top w:val="single" w:color="auto" w:sz="4" w:space="0"/>
              <w:left w:val="single" w:color="auto" w:sz="4" w:space="0"/>
              <w:bottom w:val="single" w:color="auto" w:sz="4" w:space="0"/>
              <w:right w:val="single" w:color="auto" w:sz="4" w:space="0"/>
            </w:tcBorders>
            <w:vAlign w:val="center"/>
          </w:tcPr>
          <w:p w14:paraId="010B704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合同标的逆变器品牌</w:t>
            </w:r>
          </w:p>
        </w:tc>
        <w:tc>
          <w:tcPr>
            <w:tcW w:w="479" w:type="pct"/>
            <w:tcBorders>
              <w:top w:val="single" w:color="auto" w:sz="4" w:space="0"/>
              <w:left w:val="single" w:color="auto" w:sz="4" w:space="0"/>
              <w:bottom w:val="single" w:color="auto" w:sz="4" w:space="0"/>
              <w:right w:val="single" w:color="auto" w:sz="4" w:space="0"/>
            </w:tcBorders>
            <w:vAlign w:val="center"/>
          </w:tcPr>
          <w:p w14:paraId="430C325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合同标的电缆品牌</w:t>
            </w:r>
          </w:p>
        </w:tc>
        <w:tc>
          <w:tcPr>
            <w:tcW w:w="479" w:type="pct"/>
            <w:tcBorders>
              <w:top w:val="single" w:color="auto" w:sz="4" w:space="0"/>
              <w:left w:val="single" w:color="auto" w:sz="4" w:space="0"/>
              <w:bottom w:val="single" w:color="auto" w:sz="4" w:space="0"/>
              <w:right w:val="single" w:color="auto" w:sz="4" w:space="0"/>
            </w:tcBorders>
            <w:vAlign w:val="center"/>
          </w:tcPr>
          <w:p w14:paraId="5B88014D">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6F00DDB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479" w:type="pct"/>
            <w:tcBorders>
              <w:top w:val="single" w:color="auto" w:sz="4" w:space="0"/>
              <w:left w:val="single" w:color="auto" w:sz="4" w:space="0"/>
              <w:bottom w:val="single" w:color="auto" w:sz="4" w:space="0"/>
              <w:right w:val="single" w:color="auto" w:sz="4" w:space="0"/>
            </w:tcBorders>
            <w:vAlign w:val="center"/>
          </w:tcPr>
          <w:p w14:paraId="1B12453F">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单项合同总装机容量【</w:t>
            </w:r>
            <w:r>
              <w:rPr>
                <w:rFonts w:hint="eastAsia" w:ascii="宋体" w:hAnsi="宋体" w:eastAsia="宋体" w:cs="宋体"/>
                <w:color w:val="auto"/>
                <w:kern w:val="0"/>
                <w:szCs w:val="21"/>
                <w:highlight w:val="none"/>
              </w:rPr>
              <w:t>以该合同下并网验收证明上的装机容量填写</w:t>
            </w:r>
            <w:r>
              <w:rPr>
                <w:rFonts w:hint="eastAsia" w:ascii="宋体" w:hAnsi="宋体" w:eastAsia="宋体" w:cs="宋体"/>
                <w:color w:val="auto"/>
                <w:kern w:val="0"/>
                <w:szCs w:val="21"/>
                <w:highlight w:val="none"/>
                <w:lang w:val="zh-CN"/>
              </w:rPr>
              <w:t>】</w:t>
            </w:r>
          </w:p>
        </w:tc>
        <w:tc>
          <w:tcPr>
            <w:tcW w:w="309" w:type="pct"/>
            <w:tcBorders>
              <w:top w:val="single" w:color="auto" w:sz="4" w:space="0"/>
              <w:left w:val="single" w:color="auto" w:sz="4" w:space="0"/>
              <w:bottom w:val="single" w:color="auto" w:sz="4" w:space="0"/>
              <w:right w:val="single" w:color="auto" w:sz="4" w:space="0"/>
            </w:tcBorders>
            <w:vAlign w:val="center"/>
          </w:tcPr>
          <w:p w14:paraId="4307CF71">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243" w:type="pct"/>
            <w:tcBorders>
              <w:top w:val="single" w:color="auto" w:sz="4" w:space="0"/>
              <w:left w:val="single" w:color="auto" w:sz="4" w:space="0"/>
              <w:bottom w:val="single" w:color="auto" w:sz="4" w:space="0"/>
              <w:right w:val="single" w:color="auto" w:sz="4" w:space="0"/>
            </w:tcBorders>
            <w:vAlign w:val="center"/>
          </w:tcPr>
          <w:p w14:paraId="4600862A">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174EC7F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258" w:type="pct"/>
            <w:tcBorders>
              <w:top w:val="single" w:color="auto" w:sz="4" w:space="0"/>
              <w:left w:val="single" w:color="auto" w:sz="4" w:space="0"/>
              <w:bottom w:val="single" w:color="auto" w:sz="4" w:space="0"/>
              <w:right w:val="single" w:color="auto" w:sz="4" w:space="0"/>
            </w:tcBorders>
            <w:vAlign w:val="center"/>
          </w:tcPr>
          <w:p w14:paraId="30E127AF">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1A49F2F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343" w:type="pct"/>
            <w:tcBorders>
              <w:top w:val="single" w:color="auto" w:sz="4" w:space="0"/>
              <w:left w:val="single" w:color="auto" w:sz="4" w:space="0"/>
              <w:bottom w:val="single" w:color="auto" w:sz="4" w:space="0"/>
              <w:right w:val="single" w:color="auto" w:sz="4" w:space="0"/>
            </w:tcBorders>
            <w:vAlign w:val="center"/>
          </w:tcPr>
          <w:p w14:paraId="2B792B4C">
            <w:pPr>
              <w:rPr>
                <w:rFonts w:ascii="宋体" w:hAnsi="宋体" w:eastAsia="宋体" w:cs="宋体"/>
                <w:color w:val="auto"/>
                <w:highlight w:val="none"/>
              </w:rPr>
            </w:pPr>
            <w:r>
              <w:rPr>
                <w:rFonts w:hint="eastAsia" w:ascii="宋体" w:hAnsi="宋体" w:eastAsia="宋体" w:cs="宋体"/>
                <w:color w:val="auto"/>
                <w:kern w:val="0"/>
                <w:szCs w:val="21"/>
                <w:highlight w:val="none"/>
                <w:lang w:val="zh-CN"/>
              </w:rPr>
              <w:t>买方单位联系人及电话</w:t>
            </w:r>
          </w:p>
          <w:p w14:paraId="7C2DF489">
            <w:pPr>
              <w:autoSpaceDE w:val="0"/>
              <w:autoSpaceDN w:val="0"/>
              <w:adjustRightInd w:val="0"/>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502726AE">
            <w:pPr>
              <w:rPr>
                <w:rFonts w:ascii="宋体" w:hAnsi="宋体" w:eastAsia="宋体" w:cs="宋体"/>
                <w:color w:val="auto"/>
                <w:highlight w:val="none"/>
              </w:rPr>
            </w:pPr>
            <w:r>
              <w:rPr>
                <w:rFonts w:hint="eastAsia" w:ascii="宋体" w:hAnsi="宋体" w:eastAsia="宋体" w:cs="宋体"/>
                <w:color w:val="auto"/>
                <w:kern w:val="0"/>
                <w:szCs w:val="21"/>
                <w:highlight w:val="none"/>
                <w:lang w:val="zh-CN"/>
              </w:rPr>
              <w:t>备注</w:t>
            </w:r>
          </w:p>
          <w:p w14:paraId="4B29754C">
            <w:pPr>
              <w:autoSpaceDE w:val="0"/>
              <w:autoSpaceDN w:val="0"/>
              <w:adjustRightInd w:val="0"/>
              <w:jc w:val="center"/>
              <w:rPr>
                <w:rFonts w:ascii="宋体" w:hAnsi="宋体" w:eastAsia="宋体" w:cs="宋体"/>
                <w:color w:val="auto"/>
                <w:kern w:val="0"/>
                <w:szCs w:val="21"/>
                <w:highlight w:val="none"/>
              </w:rPr>
            </w:pPr>
          </w:p>
        </w:tc>
      </w:tr>
      <w:tr w14:paraId="6C146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139F0C33">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70" w:type="pct"/>
            <w:tcBorders>
              <w:top w:val="single" w:color="auto" w:sz="4" w:space="0"/>
              <w:left w:val="single" w:color="auto" w:sz="4" w:space="0"/>
              <w:bottom w:val="single" w:color="auto" w:sz="4" w:space="0"/>
              <w:right w:val="single" w:color="auto" w:sz="4" w:space="0"/>
            </w:tcBorders>
            <w:vAlign w:val="center"/>
          </w:tcPr>
          <w:p w14:paraId="0A28FA71">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98FE427">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A4EEF5A">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5835EF9">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901FB8A">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33FA6D1">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E2BA395">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5AA7C326">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38A8625C">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42F75F7B">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171EE675">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2B7C8EE7">
            <w:pPr>
              <w:autoSpaceDE w:val="0"/>
              <w:autoSpaceDN w:val="0"/>
              <w:adjustRightInd w:val="0"/>
              <w:spacing w:line="360" w:lineRule="auto"/>
              <w:jc w:val="center"/>
              <w:rPr>
                <w:rFonts w:ascii="宋体" w:hAnsi="宋体" w:eastAsia="宋体" w:cs="宋体"/>
                <w:color w:val="auto"/>
                <w:kern w:val="0"/>
                <w:szCs w:val="21"/>
                <w:highlight w:val="none"/>
              </w:rPr>
            </w:pPr>
          </w:p>
        </w:tc>
      </w:tr>
      <w:tr w14:paraId="0EE7F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3861E9E6">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70" w:type="pct"/>
            <w:tcBorders>
              <w:top w:val="single" w:color="auto" w:sz="4" w:space="0"/>
              <w:left w:val="single" w:color="auto" w:sz="4" w:space="0"/>
              <w:bottom w:val="single" w:color="auto" w:sz="4" w:space="0"/>
              <w:right w:val="single" w:color="auto" w:sz="4" w:space="0"/>
            </w:tcBorders>
            <w:vAlign w:val="center"/>
          </w:tcPr>
          <w:p w14:paraId="7FC38BA0">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DEFDC3F">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17A248A">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DE5DB37">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3FE7C6B">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0FBA06AD">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6105559">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0800652B">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1AF890E6">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1FEBF96">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7F04CD13">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526BF758">
            <w:pPr>
              <w:autoSpaceDE w:val="0"/>
              <w:autoSpaceDN w:val="0"/>
              <w:adjustRightInd w:val="0"/>
              <w:spacing w:line="360" w:lineRule="auto"/>
              <w:jc w:val="center"/>
              <w:rPr>
                <w:rFonts w:ascii="宋体" w:hAnsi="宋体" w:eastAsia="宋体" w:cs="宋体"/>
                <w:color w:val="auto"/>
                <w:kern w:val="0"/>
                <w:szCs w:val="21"/>
                <w:highlight w:val="none"/>
              </w:rPr>
            </w:pPr>
          </w:p>
        </w:tc>
      </w:tr>
      <w:tr w14:paraId="209B4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9F07364">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70" w:type="pct"/>
            <w:tcBorders>
              <w:top w:val="single" w:color="auto" w:sz="4" w:space="0"/>
              <w:left w:val="single" w:color="auto" w:sz="4" w:space="0"/>
              <w:bottom w:val="single" w:color="auto" w:sz="4" w:space="0"/>
              <w:right w:val="single" w:color="auto" w:sz="4" w:space="0"/>
            </w:tcBorders>
            <w:vAlign w:val="center"/>
          </w:tcPr>
          <w:p w14:paraId="064FF9F9">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466C409">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FE4D73D">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DB98BEC">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F5150D4">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37F25379">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4166AAB2">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4713D044">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4BEC6C04">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0980CDA5">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37F70E9F">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2DC93D91">
            <w:pPr>
              <w:autoSpaceDE w:val="0"/>
              <w:autoSpaceDN w:val="0"/>
              <w:adjustRightInd w:val="0"/>
              <w:spacing w:line="360" w:lineRule="auto"/>
              <w:jc w:val="center"/>
              <w:rPr>
                <w:rFonts w:ascii="宋体" w:hAnsi="宋体" w:eastAsia="宋体" w:cs="宋体"/>
                <w:color w:val="auto"/>
                <w:kern w:val="0"/>
                <w:szCs w:val="21"/>
                <w:highlight w:val="none"/>
              </w:rPr>
            </w:pPr>
          </w:p>
        </w:tc>
      </w:tr>
      <w:tr w14:paraId="7EB920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848609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70" w:type="pct"/>
            <w:tcBorders>
              <w:top w:val="single" w:color="auto" w:sz="4" w:space="0"/>
              <w:left w:val="single" w:color="auto" w:sz="4" w:space="0"/>
              <w:bottom w:val="single" w:color="auto" w:sz="4" w:space="0"/>
              <w:right w:val="single" w:color="auto" w:sz="4" w:space="0"/>
            </w:tcBorders>
            <w:vAlign w:val="center"/>
          </w:tcPr>
          <w:p w14:paraId="012F5CA1">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64BB3819">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6D89DCE">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542F528C">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0B641A18">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052CD0E3">
            <w:pPr>
              <w:autoSpaceDE w:val="0"/>
              <w:autoSpaceDN w:val="0"/>
              <w:adjustRightInd w:val="0"/>
              <w:spacing w:line="360" w:lineRule="auto"/>
              <w:jc w:val="center"/>
              <w:rPr>
                <w:rFonts w:ascii="宋体" w:hAnsi="宋体" w:eastAsia="宋体" w:cs="宋体"/>
                <w:color w:val="auto"/>
                <w:kern w:val="0"/>
                <w:szCs w:val="21"/>
                <w:highlight w:val="none"/>
              </w:rPr>
            </w:pPr>
          </w:p>
        </w:tc>
        <w:tc>
          <w:tcPr>
            <w:tcW w:w="479" w:type="pct"/>
            <w:tcBorders>
              <w:top w:val="single" w:color="auto" w:sz="4" w:space="0"/>
              <w:left w:val="single" w:color="auto" w:sz="4" w:space="0"/>
              <w:bottom w:val="single" w:color="auto" w:sz="4" w:space="0"/>
              <w:right w:val="single" w:color="auto" w:sz="4" w:space="0"/>
            </w:tcBorders>
            <w:vAlign w:val="center"/>
          </w:tcPr>
          <w:p w14:paraId="7A0D786B">
            <w:pPr>
              <w:autoSpaceDE w:val="0"/>
              <w:autoSpaceDN w:val="0"/>
              <w:adjustRightInd w:val="0"/>
              <w:spacing w:line="360" w:lineRule="auto"/>
              <w:jc w:val="center"/>
              <w:rPr>
                <w:rFonts w:ascii="宋体" w:hAnsi="宋体" w:eastAsia="宋体" w:cs="宋体"/>
                <w:color w:val="auto"/>
                <w:kern w:val="0"/>
                <w:szCs w:val="21"/>
                <w:highlight w:val="none"/>
              </w:rPr>
            </w:pPr>
          </w:p>
        </w:tc>
        <w:tc>
          <w:tcPr>
            <w:tcW w:w="309" w:type="pct"/>
            <w:tcBorders>
              <w:top w:val="single" w:color="auto" w:sz="4" w:space="0"/>
              <w:left w:val="single" w:color="auto" w:sz="4" w:space="0"/>
              <w:bottom w:val="single" w:color="auto" w:sz="4" w:space="0"/>
              <w:right w:val="single" w:color="auto" w:sz="4" w:space="0"/>
            </w:tcBorders>
          </w:tcPr>
          <w:p w14:paraId="10503347">
            <w:pPr>
              <w:autoSpaceDE w:val="0"/>
              <w:autoSpaceDN w:val="0"/>
              <w:adjustRightInd w:val="0"/>
              <w:spacing w:line="360" w:lineRule="auto"/>
              <w:jc w:val="center"/>
              <w:rPr>
                <w:rFonts w:ascii="宋体" w:hAnsi="宋体" w:eastAsia="宋体" w:cs="宋体"/>
                <w:color w:val="auto"/>
                <w:kern w:val="0"/>
                <w:szCs w:val="21"/>
                <w:highlight w:val="none"/>
              </w:rPr>
            </w:pPr>
          </w:p>
        </w:tc>
        <w:tc>
          <w:tcPr>
            <w:tcW w:w="243" w:type="pct"/>
            <w:tcBorders>
              <w:top w:val="single" w:color="auto" w:sz="4" w:space="0"/>
              <w:left w:val="single" w:color="auto" w:sz="4" w:space="0"/>
              <w:bottom w:val="single" w:color="auto" w:sz="4" w:space="0"/>
              <w:right w:val="single" w:color="auto" w:sz="4" w:space="0"/>
            </w:tcBorders>
            <w:vAlign w:val="center"/>
          </w:tcPr>
          <w:p w14:paraId="1B03B98C">
            <w:pPr>
              <w:autoSpaceDE w:val="0"/>
              <w:autoSpaceDN w:val="0"/>
              <w:adjustRightInd w:val="0"/>
              <w:spacing w:line="360" w:lineRule="auto"/>
              <w:jc w:val="center"/>
              <w:rPr>
                <w:rFonts w:ascii="宋体" w:hAnsi="宋体" w:eastAsia="宋体" w:cs="宋体"/>
                <w:color w:val="auto"/>
                <w:kern w:val="0"/>
                <w:szCs w:val="21"/>
                <w:highlight w:val="none"/>
              </w:rPr>
            </w:pPr>
          </w:p>
        </w:tc>
        <w:tc>
          <w:tcPr>
            <w:tcW w:w="258" w:type="pct"/>
            <w:tcBorders>
              <w:top w:val="single" w:color="auto" w:sz="4" w:space="0"/>
              <w:left w:val="single" w:color="auto" w:sz="4" w:space="0"/>
              <w:bottom w:val="single" w:color="auto" w:sz="4" w:space="0"/>
              <w:right w:val="single" w:color="auto" w:sz="4" w:space="0"/>
            </w:tcBorders>
            <w:vAlign w:val="center"/>
          </w:tcPr>
          <w:p w14:paraId="5933B85A">
            <w:pPr>
              <w:autoSpaceDE w:val="0"/>
              <w:autoSpaceDN w:val="0"/>
              <w:adjustRightInd w:val="0"/>
              <w:spacing w:line="360" w:lineRule="auto"/>
              <w:jc w:val="center"/>
              <w:rPr>
                <w:rFonts w:ascii="宋体" w:hAnsi="宋体" w:eastAsia="宋体" w:cs="宋体"/>
                <w:color w:val="auto"/>
                <w:kern w:val="0"/>
                <w:szCs w:val="21"/>
                <w:highlight w:val="none"/>
              </w:rPr>
            </w:pPr>
          </w:p>
        </w:tc>
        <w:tc>
          <w:tcPr>
            <w:tcW w:w="343" w:type="pct"/>
            <w:tcBorders>
              <w:top w:val="single" w:color="auto" w:sz="4" w:space="0"/>
              <w:left w:val="single" w:color="auto" w:sz="4" w:space="0"/>
              <w:bottom w:val="single" w:color="auto" w:sz="4" w:space="0"/>
              <w:right w:val="single" w:color="auto" w:sz="4" w:space="0"/>
            </w:tcBorders>
            <w:vAlign w:val="center"/>
          </w:tcPr>
          <w:p w14:paraId="74A27902">
            <w:pPr>
              <w:autoSpaceDE w:val="0"/>
              <w:autoSpaceDN w:val="0"/>
              <w:adjustRightInd w:val="0"/>
              <w:spacing w:line="360" w:lineRule="auto"/>
              <w:jc w:val="center"/>
              <w:rPr>
                <w:rFonts w:ascii="宋体" w:hAnsi="宋体" w:eastAsia="宋体" w:cs="宋体"/>
                <w:color w:val="auto"/>
                <w:kern w:val="0"/>
                <w:szCs w:val="21"/>
                <w:highlight w:val="none"/>
              </w:rPr>
            </w:pPr>
          </w:p>
        </w:tc>
        <w:tc>
          <w:tcPr>
            <w:tcW w:w="276" w:type="pct"/>
            <w:tcBorders>
              <w:top w:val="single" w:color="auto" w:sz="4" w:space="0"/>
              <w:left w:val="single" w:color="auto" w:sz="4" w:space="0"/>
              <w:bottom w:val="single" w:color="auto" w:sz="4" w:space="0"/>
              <w:right w:val="single" w:color="auto" w:sz="4" w:space="0"/>
            </w:tcBorders>
            <w:vAlign w:val="center"/>
          </w:tcPr>
          <w:p w14:paraId="5C8E8225">
            <w:pPr>
              <w:autoSpaceDE w:val="0"/>
              <w:autoSpaceDN w:val="0"/>
              <w:adjustRightInd w:val="0"/>
              <w:spacing w:line="360" w:lineRule="auto"/>
              <w:jc w:val="center"/>
              <w:rPr>
                <w:rFonts w:ascii="宋体" w:hAnsi="宋体" w:eastAsia="宋体" w:cs="宋体"/>
                <w:color w:val="auto"/>
                <w:kern w:val="0"/>
                <w:szCs w:val="21"/>
                <w:highlight w:val="none"/>
              </w:rPr>
            </w:pPr>
          </w:p>
        </w:tc>
      </w:tr>
    </w:tbl>
    <w:p w14:paraId="5C71BC8C">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9FD26C5">
      <w:pPr>
        <w:spacing w:line="360" w:lineRule="auto"/>
        <w:ind w:left="424" w:hanging="424" w:hangingChars="201"/>
        <w:rPr>
          <w:rFonts w:ascii="宋体" w:hAnsi="宋体" w:eastAsia="宋体" w:cs="宋体"/>
          <w:color w:val="auto"/>
          <w:szCs w:val="21"/>
          <w:highlight w:val="none"/>
          <w:lang w:val="zh-CN"/>
        </w:rPr>
      </w:pPr>
      <w:r>
        <w:rPr>
          <w:rFonts w:hint="eastAsia" w:ascii="宋体" w:hAnsi="宋体" w:eastAsia="宋体" w:cs="宋体"/>
          <w:b/>
          <w:bCs/>
          <w:color w:val="auto"/>
          <w:szCs w:val="21"/>
          <w:highlight w:val="none"/>
          <w:lang w:val="zh-CN"/>
        </w:rPr>
        <w:t>（1）</w:t>
      </w:r>
      <w:r>
        <w:rPr>
          <w:rFonts w:hint="eastAsia" w:ascii="宋体" w:hAnsi="宋体" w:eastAsia="宋体" w:cs="宋体"/>
          <w:b/>
          <w:bCs/>
          <w:color w:val="auto"/>
          <w:szCs w:val="21"/>
          <w:highlight w:val="none"/>
        </w:rPr>
        <w:t>作为投标人资格条件证明的业绩放置在此处</w:t>
      </w:r>
      <w:r>
        <w:rPr>
          <w:rFonts w:hint="eastAsia" w:ascii="宋体" w:hAnsi="宋体" w:eastAsia="宋体" w:cs="宋体"/>
          <w:color w:val="auto"/>
          <w:szCs w:val="21"/>
          <w:highlight w:val="none"/>
          <w:lang w:val="zh-CN"/>
        </w:rPr>
        <w:t>。</w:t>
      </w:r>
    </w:p>
    <w:p w14:paraId="17D7FEAD">
      <w:pPr>
        <w:spacing w:line="360" w:lineRule="auto"/>
        <w:ind w:left="424" w:hanging="424" w:hangingChars="201"/>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2）业绩须同时附合同原件扫描件、并网验收证明原件扫描件，和合同下对应任意1份已供货或实施的发票扫描件（发票销售方应为投标人/联合体的牵头单位，非合同能源管理模式下以电费回收成本的项目的发票购买方应为合同买方，合同能源管理模式下以电费回收成本的项目的发票购买方可为合同买方或为能源使用方）。</w:t>
      </w:r>
    </w:p>
    <w:p w14:paraId="0F027408">
      <w:pPr>
        <w:tabs>
          <w:tab w:val="left" w:pos="567"/>
        </w:tabs>
        <w:autoSpaceDE w:val="0"/>
        <w:autoSpaceDN w:val="0"/>
        <w:adjustRightInd w:val="0"/>
        <w:spacing w:line="360" w:lineRule="auto"/>
        <w:ind w:left="525" w:hanging="525" w:hangingChars="250"/>
        <w:jc w:val="left"/>
        <w:rPr>
          <w:rFonts w:ascii="宋体" w:hAnsi="宋体" w:eastAsia="宋体" w:cs="宋体"/>
          <w:bCs/>
          <w:color w:val="auto"/>
          <w:szCs w:val="21"/>
          <w:highlight w:val="none"/>
        </w:rPr>
      </w:pPr>
      <w:bookmarkStart w:id="1087" w:name="_Toc14640"/>
      <w:bookmarkStart w:id="1088" w:name="_Toc1010"/>
      <w:bookmarkStart w:id="1089" w:name="_Toc8140"/>
      <w:bookmarkStart w:id="1090" w:name="_Toc22543"/>
      <w:bookmarkStart w:id="1091" w:name="_Toc14004"/>
      <w:bookmarkStart w:id="1092" w:name="_Toc27959"/>
      <w:bookmarkStart w:id="1093" w:name="_Toc6253"/>
      <w:bookmarkStart w:id="1094" w:name="_Toc14967"/>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val="zh-CN"/>
        </w:rPr>
        <w:t>）</w:t>
      </w:r>
      <w:r>
        <w:rPr>
          <w:rFonts w:hint="eastAsia" w:ascii="宋体" w:hAnsi="宋体" w:eastAsia="宋体" w:cs="宋体"/>
          <w:b/>
          <w:color w:val="auto"/>
          <w:kern w:val="0"/>
          <w:szCs w:val="21"/>
          <w:highlight w:val="none"/>
        </w:rPr>
        <w:t>分布式光伏发电项目业绩合同范围/合同服务内容仅为设计、接入方案编制、维修维护类服务的，该类项目业绩不予认可；业绩合同必须包含反映合同名称、签约双方信息、合同标的/合同范围/合同服务内容、加盖合同各方印章的落款等信息的关键页，并网验收证明必须有项目属地电力管理部门（如供电局、供电公司、供电管理/服务中心、电网公司、供电所）的印章，否则该类业绩不予认可。</w:t>
      </w:r>
    </w:p>
    <w:p w14:paraId="63313A90">
      <w:pPr>
        <w:tabs>
          <w:tab w:val="left" w:pos="567"/>
        </w:tabs>
        <w:autoSpaceDE w:val="0"/>
        <w:autoSpaceDN w:val="0"/>
        <w:adjustRightInd w:val="0"/>
        <w:spacing w:line="360" w:lineRule="auto"/>
        <w:ind w:left="525" w:hanging="525" w:hangingChars="250"/>
        <w:jc w:val="left"/>
        <w:rPr>
          <w:rFonts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若合同</w:t>
      </w:r>
      <w:r>
        <w:rPr>
          <w:rFonts w:hint="eastAsia" w:ascii="宋体" w:hAnsi="宋体" w:eastAsia="宋体" w:cs="宋体"/>
          <w:b/>
          <w:color w:val="auto"/>
          <w:szCs w:val="21"/>
          <w:highlight w:val="none"/>
        </w:rPr>
        <w:t>和并网验收证明</w:t>
      </w:r>
      <w:r>
        <w:rPr>
          <w:rFonts w:hint="eastAsia" w:ascii="宋体" w:hAnsi="宋体" w:eastAsia="宋体" w:cs="宋体"/>
          <w:b/>
          <w:color w:val="auto"/>
          <w:szCs w:val="21"/>
          <w:highlight w:val="none"/>
          <w:lang w:val="zh-CN"/>
        </w:rPr>
        <w:t>无法反映资格业绩条件</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1.合同签订日期为</w:t>
      </w:r>
      <w:r>
        <w:rPr>
          <w:rFonts w:hint="eastAsia" w:ascii="宋体" w:hAnsi="宋体" w:eastAsia="宋体" w:cs="宋体"/>
          <w:b/>
          <w:color w:val="auto"/>
          <w:szCs w:val="21"/>
          <w:highlight w:val="none"/>
        </w:rPr>
        <w:t>2022</w:t>
      </w:r>
      <w:r>
        <w:rPr>
          <w:rFonts w:hint="eastAsia" w:ascii="宋体" w:hAnsi="宋体" w:eastAsia="宋体" w:cs="宋体"/>
          <w:b/>
          <w:color w:val="auto"/>
          <w:szCs w:val="21"/>
          <w:highlight w:val="none"/>
          <w:lang w:val="zh-CN"/>
        </w:rPr>
        <w:t>年1月1日或以后；</w:t>
      </w:r>
      <w:r>
        <w:rPr>
          <w:rFonts w:hint="eastAsia" w:ascii="宋体" w:hAnsi="宋体" w:eastAsia="宋体" w:cs="宋体"/>
          <w:b/>
          <w:color w:val="auto"/>
          <w:kern w:val="0"/>
          <w:szCs w:val="21"/>
          <w:highlight w:val="none"/>
        </w:rPr>
        <w:t>2.合同标的必须为分布式光伏发电的业绩（若合同文本和并网验收证明反映的光伏发电类别不一致时，以并网验收证明上反映的光伏发电类别为准）；3.合同范围/合同服务内容。</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，还需提供合同</w:t>
      </w:r>
      <w:r>
        <w:rPr>
          <w:rFonts w:hint="eastAsia" w:ascii="宋体" w:hAnsi="宋体" w:eastAsia="宋体" w:cs="宋体"/>
          <w:b/>
          <w:color w:val="auto"/>
          <w:szCs w:val="21"/>
          <w:highlight w:val="none"/>
        </w:rPr>
        <w:t>甲方</w:t>
      </w:r>
      <w:r>
        <w:rPr>
          <w:rFonts w:hint="eastAsia" w:ascii="宋体" w:hAnsi="宋体" w:eastAsia="宋体" w:cs="宋体"/>
          <w:b/>
          <w:color w:val="auto"/>
          <w:szCs w:val="21"/>
          <w:highlight w:val="none"/>
          <w:lang w:val="zh-CN"/>
        </w:rPr>
        <w:t>出具的书面补充说明文件</w:t>
      </w:r>
      <w:r>
        <w:rPr>
          <w:rFonts w:hint="eastAsia" w:ascii="宋体" w:hAnsi="宋体" w:eastAsia="宋体" w:cs="宋体"/>
          <w:b/>
          <w:color w:val="auto"/>
          <w:szCs w:val="21"/>
          <w:highlight w:val="none"/>
        </w:rPr>
        <w:t>原件扫描件</w:t>
      </w:r>
      <w:r>
        <w:rPr>
          <w:rFonts w:hint="eastAsia" w:ascii="宋体" w:hAnsi="宋体" w:eastAsia="宋体" w:cs="宋体"/>
          <w:b/>
          <w:color w:val="auto"/>
          <w:szCs w:val="21"/>
          <w:highlight w:val="none"/>
          <w:lang w:val="zh-CN"/>
        </w:rPr>
        <w:t>作为辅助证明（补充说明文件</w:t>
      </w:r>
      <w:r>
        <w:rPr>
          <w:rFonts w:hint="eastAsia" w:ascii="宋体" w:hAnsi="宋体" w:eastAsia="宋体" w:cs="宋体"/>
          <w:b/>
          <w:color w:val="auto"/>
          <w:szCs w:val="21"/>
          <w:highlight w:val="none"/>
        </w:rPr>
        <w:t>原件扫描件</w:t>
      </w:r>
      <w:r>
        <w:rPr>
          <w:rFonts w:hint="eastAsia" w:ascii="宋体" w:hAnsi="宋体" w:eastAsia="宋体" w:cs="宋体"/>
          <w:b/>
          <w:color w:val="auto"/>
          <w:szCs w:val="21"/>
          <w:highlight w:val="none"/>
          <w:lang w:val="zh-CN"/>
        </w:rPr>
        <w:t>能显示合同</w:t>
      </w:r>
      <w:r>
        <w:rPr>
          <w:rFonts w:hint="eastAsia" w:ascii="宋体" w:hAnsi="宋体" w:eastAsia="宋体" w:cs="宋体"/>
          <w:b/>
          <w:color w:val="auto"/>
          <w:szCs w:val="21"/>
          <w:highlight w:val="none"/>
        </w:rPr>
        <w:t>甲方</w:t>
      </w:r>
      <w:r>
        <w:rPr>
          <w:rFonts w:hint="eastAsia" w:ascii="宋体" w:hAnsi="宋体" w:eastAsia="宋体" w:cs="宋体"/>
          <w:b/>
          <w:color w:val="auto"/>
          <w:szCs w:val="21"/>
          <w:highlight w:val="none"/>
          <w:lang w:val="zh-CN"/>
        </w:rPr>
        <w:t>公章）</w:t>
      </w:r>
      <w:r>
        <w:rPr>
          <w:rFonts w:hint="eastAsia" w:ascii="宋体" w:hAnsi="宋体" w:eastAsia="宋体" w:cs="宋体"/>
          <w:bCs/>
          <w:color w:val="auto"/>
          <w:szCs w:val="21"/>
          <w:highlight w:val="none"/>
          <w:lang w:val="zh-CN"/>
        </w:rPr>
        <w:t>。</w:t>
      </w:r>
      <w:bookmarkEnd w:id="1087"/>
      <w:bookmarkEnd w:id="1088"/>
      <w:bookmarkEnd w:id="1089"/>
      <w:bookmarkEnd w:id="1090"/>
      <w:bookmarkEnd w:id="1091"/>
      <w:bookmarkEnd w:id="1092"/>
    </w:p>
    <w:p w14:paraId="1936C5F0">
      <w:pPr>
        <w:tabs>
          <w:tab w:val="left" w:pos="567"/>
        </w:tabs>
        <w:autoSpaceDE w:val="0"/>
        <w:autoSpaceDN w:val="0"/>
        <w:adjustRightInd w:val="0"/>
        <w:spacing w:line="360" w:lineRule="auto"/>
        <w:ind w:left="420" w:hanging="420" w:hangingChars="200"/>
        <w:jc w:val="left"/>
        <w:rPr>
          <w:rFonts w:ascii="宋体" w:hAnsi="宋体" w:eastAsia="宋体" w:cs="宋体"/>
          <w:b/>
          <w:color w:val="auto"/>
          <w:szCs w:val="21"/>
          <w:highlight w:val="none"/>
        </w:rPr>
      </w:pPr>
      <w:bookmarkStart w:id="1095" w:name="_Toc30018"/>
      <w:bookmarkStart w:id="1096" w:name="_Toc3854"/>
      <w:bookmarkStart w:id="1097" w:name="_Toc22967"/>
      <w:bookmarkStart w:id="1098" w:name="_Toc18908"/>
      <w:bookmarkStart w:id="1099" w:name="_Toc20374"/>
      <w:bookmarkStart w:id="1100" w:name="_Toc18049"/>
      <w:r>
        <w:rPr>
          <w:rFonts w:hint="eastAsia" w:ascii="宋体" w:hAnsi="宋体" w:eastAsia="宋体" w:cs="宋体"/>
          <w:bCs/>
          <w:color w:val="auto"/>
          <w:szCs w:val="21"/>
          <w:highlight w:val="none"/>
          <w:lang w:val="zh-CN"/>
        </w:rPr>
        <w:t>（</w:t>
      </w:r>
      <w:r>
        <w:rPr>
          <w:rFonts w:ascii="宋体" w:hAnsi="宋体" w:eastAsia="宋体" w:cs="宋体"/>
          <w:bCs/>
          <w:color w:val="auto"/>
          <w:szCs w:val="21"/>
          <w:highlight w:val="none"/>
        </w:rPr>
        <w:t>5</w:t>
      </w:r>
      <w:r>
        <w:rPr>
          <w:rFonts w:hint="eastAsia" w:ascii="宋体" w:hAnsi="宋体" w:eastAsia="宋体" w:cs="宋体"/>
          <w:bCs/>
          <w:color w:val="auto"/>
          <w:szCs w:val="21"/>
          <w:highlight w:val="none"/>
          <w:lang w:val="zh-CN"/>
        </w:rPr>
        <w:t>）</w:t>
      </w:r>
      <w:bookmarkEnd w:id="1093"/>
      <w:bookmarkEnd w:id="1094"/>
      <w:r>
        <w:rPr>
          <w:rFonts w:hint="eastAsia" w:ascii="宋体" w:hAnsi="宋体" w:eastAsia="宋体" w:cs="宋体"/>
          <w:b/>
          <w:color w:val="auto"/>
          <w:kern w:val="0"/>
          <w:szCs w:val="21"/>
          <w:highlight w:val="none"/>
        </w:rPr>
        <w:t>若为联合体投标的，以联合体牵头单位提供的业绩为准，非牵头单位的的业绩不予认可。</w:t>
      </w:r>
    </w:p>
    <w:p w14:paraId="6D381F3B">
      <w:pPr>
        <w:tabs>
          <w:tab w:val="left" w:pos="567"/>
        </w:tabs>
        <w:autoSpaceDE w:val="0"/>
        <w:autoSpaceDN w:val="0"/>
        <w:adjustRightInd w:val="0"/>
        <w:spacing w:line="360" w:lineRule="auto"/>
        <w:ind w:left="525" w:hanging="525" w:hangingChars="250"/>
        <w:jc w:val="left"/>
        <w:rPr>
          <w:rFonts w:ascii="宋体" w:hAnsi="宋体" w:eastAsia="宋体" w:cs="宋体"/>
          <w:b/>
          <w:color w:val="auto"/>
          <w:kern w:val="0"/>
          <w:sz w:val="30"/>
          <w:szCs w:val="30"/>
          <w:highlight w:val="none"/>
        </w:rPr>
      </w:pPr>
      <w:r>
        <w:rPr>
          <w:rFonts w:hint="eastAsia" w:ascii="宋体" w:hAnsi="宋体" w:eastAsia="宋体" w:cs="宋体"/>
          <w:bCs/>
          <w:color w:val="auto"/>
          <w:szCs w:val="21"/>
          <w:highlight w:val="none"/>
          <w:lang w:val="zh-CN"/>
        </w:rPr>
        <w:t>（</w:t>
      </w:r>
      <w:r>
        <w:rPr>
          <w:rFonts w:ascii="宋体" w:hAnsi="宋体" w:eastAsia="宋体" w:cs="宋体"/>
          <w:bCs/>
          <w:color w:val="auto"/>
          <w:szCs w:val="21"/>
          <w:highlight w:val="none"/>
          <w:lang w:val="zh-CN"/>
        </w:rPr>
        <w:t>6</w:t>
      </w:r>
      <w:r>
        <w:rPr>
          <w:rFonts w:hint="eastAsia" w:ascii="宋体" w:hAnsi="宋体" w:eastAsia="宋体" w:cs="宋体"/>
          <w:bCs/>
          <w:color w:val="auto"/>
          <w:szCs w:val="21"/>
          <w:highlight w:val="none"/>
          <w:lang w:val="zh-CN"/>
        </w:rPr>
        <w:t>）</w:t>
      </w:r>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1095"/>
      <w:bookmarkEnd w:id="1096"/>
      <w:bookmarkEnd w:id="1097"/>
      <w:bookmarkEnd w:id="1098"/>
      <w:bookmarkEnd w:id="1099"/>
      <w:bookmarkEnd w:id="1100"/>
      <w:r>
        <w:rPr>
          <w:rFonts w:hint="eastAsia" w:ascii="宋体" w:hAnsi="宋体" w:eastAsia="宋体" w:cs="宋体"/>
          <w:b/>
          <w:color w:val="auto"/>
          <w:kern w:val="0"/>
          <w:sz w:val="30"/>
          <w:szCs w:val="30"/>
          <w:highlight w:val="none"/>
        </w:rPr>
        <w:br w:type="page"/>
      </w:r>
    </w:p>
    <w:p w14:paraId="60EE4D77">
      <w:pPr>
        <w:tabs>
          <w:tab w:val="left" w:pos="567"/>
        </w:tabs>
        <w:autoSpaceDE w:val="0"/>
        <w:autoSpaceDN w:val="0"/>
        <w:adjustRightInd w:val="0"/>
        <w:spacing w:line="360" w:lineRule="auto"/>
        <w:jc w:val="left"/>
        <w:outlineLvl w:val="2"/>
        <w:rPr>
          <w:rFonts w:ascii="宋体" w:hAnsi="宋体" w:eastAsia="宋体" w:cs="宋体"/>
          <w:b/>
          <w:bCs/>
          <w:color w:val="auto"/>
          <w:sz w:val="32"/>
          <w:szCs w:val="32"/>
          <w:highlight w:val="none"/>
          <w:lang w:val="zh-CN"/>
        </w:rPr>
      </w:pPr>
      <w:bookmarkStart w:id="1101" w:name="_Toc8121"/>
      <w:bookmarkStart w:id="1102" w:name="_Toc4556"/>
      <w:bookmarkStart w:id="1103" w:name="_Toc12629"/>
      <w:bookmarkStart w:id="1104" w:name="_Toc21843"/>
      <w:bookmarkStart w:id="1105" w:name="_Toc7508"/>
      <w:bookmarkStart w:id="1106" w:name="_Toc8599"/>
      <w:bookmarkStart w:id="1107" w:name="_Toc28635"/>
      <w:bookmarkStart w:id="1108" w:name="_Toc23309"/>
      <w:bookmarkStart w:id="1109" w:name="_Toc17003"/>
      <w:bookmarkStart w:id="1110" w:name="_Toc16429"/>
      <w:bookmarkStart w:id="1111" w:name="_Toc195714387"/>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7</w:t>
      </w:r>
      <w:r>
        <w:rPr>
          <w:rFonts w:hint="eastAsia" w:ascii="宋体" w:hAnsi="宋体" w:eastAsia="宋体" w:cs="宋体"/>
          <w:b/>
          <w:color w:val="auto"/>
          <w:kern w:val="0"/>
          <w:sz w:val="30"/>
          <w:szCs w:val="30"/>
          <w:highlight w:val="none"/>
        </w:rPr>
        <w:t xml:space="preserve"> 最近3年投标人牵涉的其他（失信和违法）处罚说明格式</w:t>
      </w:r>
      <w:bookmarkEnd w:id="1077"/>
      <w:bookmarkEnd w:id="1078"/>
      <w:bookmarkEnd w:id="1079"/>
      <w:bookmarkEnd w:id="1080"/>
      <w:bookmarkEnd w:id="1081"/>
      <w:bookmarkEnd w:id="1101"/>
      <w:bookmarkEnd w:id="1102"/>
      <w:bookmarkEnd w:id="1103"/>
      <w:bookmarkEnd w:id="1104"/>
      <w:bookmarkEnd w:id="1105"/>
      <w:bookmarkEnd w:id="1106"/>
      <w:bookmarkEnd w:id="1107"/>
      <w:bookmarkEnd w:id="1108"/>
      <w:bookmarkEnd w:id="1109"/>
      <w:bookmarkEnd w:id="1110"/>
      <w:bookmarkEnd w:id="1111"/>
    </w:p>
    <w:p w14:paraId="539AD325">
      <w:pPr>
        <w:autoSpaceDE w:val="0"/>
        <w:autoSpaceDN w:val="0"/>
        <w:adjustRightInd w:val="0"/>
        <w:spacing w:line="360" w:lineRule="auto"/>
        <w:jc w:val="center"/>
        <w:rPr>
          <w:rFonts w:ascii="宋体" w:hAnsi="宋体" w:eastAsia="宋体" w:cs="宋体"/>
          <w:color w:val="auto"/>
          <w:kern w:val="0"/>
          <w:sz w:val="24"/>
          <w:szCs w:val="24"/>
          <w:highlight w:val="none"/>
        </w:rPr>
      </w:pPr>
      <w:bookmarkStart w:id="1112" w:name="_Toc15974"/>
      <w:bookmarkStart w:id="1113" w:name="_Toc13432"/>
      <w:bookmarkStart w:id="1114" w:name="_Toc18260"/>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bookmarkEnd w:id="1112"/>
      <w:bookmarkEnd w:id="1113"/>
      <w:bookmarkEnd w:id="1114"/>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2666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2050438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4FFF19D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1C0A1B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6E0508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6B29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714887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A5068D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A83737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6D3E74EA">
            <w:pPr>
              <w:autoSpaceDE w:val="0"/>
              <w:autoSpaceDN w:val="0"/>
              <w:adjustRightInd w:val="0"/>
              <w:spacing w:line="360" w:lineRule="auto"/>
              <w:jc w:val="center"/>
              <w:rPr>
                <w:rFonts w:ascii="宋体" w:hAnsi="宋体" w:eastAsia="宋体" w:cs="宋体"/>
                <w:color w:val="auto"/>
                <w:kern w:val="0"/>
                <w:szCs w:val="21"/>
                <w:highlight w:val="none"/>
              </w:rPr>
            </w:pPr>
          </w:p>
        </w:tc>
      </w:tr>
      <w:tr w14:paraId="1FDFD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D413A2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787812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5E81127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E11E01F">
            <w:pPr>
              <w:autoSpaceDE w:val="0"/>
              <w:autoSpaceDN w:val="0"/>
              <w:adjustRightInd w:val="0"/>
              <w:spacing w:line="360" w:lineRule="auto"/>
              <w:jc w:val="center"/>
              <w:rPr>
                <w:rFonts w:ascii="宋体" w:hAnsi="宋体" w:eastAsia="宋体" w:cs="宋体"/>
                <w:color w:val="auto"/>
                <w:kern w:val="0"/>
                <w:szCs w:val="21"/>
                <w:highlight w:val="none"/>
              </w:rPr>
            </w:pPr>
          </w:p>
        </w:tc>
      </w:tr>
      <w:tr w14:paraId="0A45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CE2A85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是否被认定为政府采购严重违法失信行为记录名单</w:t>
            </w:r>
          </w:p>
        </w:tc>
        <w:tc>
          <w:tcPr>
            <w:tcW w:w="1417" w:type="dxa"/>
            <w:vAlign w:val="center"/>
          </w:tcPr>
          <w:p w14:paraId="5E2D765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0DD6D51">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6984D3C">
            <w:pPr>
              <w:autoSpaceDE w:val="0"/>
              <w:autoSpaceDN w:val="0"/>
              <w:adjustRightInd w:val="0"/>
              <w:spacing w:line="360" w:lineRule="auto"/>
              <w:jc w:val="center"/>
              <w:rPr>
                <w:rFonts w:ascii="宋体" w:hAnsi="宋体" w:eastAsia="宋体" w:cs="宋体"/>
                <w:color w:val="auto"/>
                <w:kern w:val="0"/>
                <w:szCs w:val="21"/>
                <w:highlight w:val="none"/>
              </w:rPr>
            </w:pPr>
          </w:p>
        </w:tc>
      </w:tr>
    </w:tbl>
    <w:p w14:paraId="78B1CE0B">
      <w:pPr>
        <w:autoSpaceDE w:val="0"/>
        <w:autoSpaceDN w:val="0"/>
        <w:adjustRightInd w:val="0"/>
        <w:spacing w:line="360" w:lineRule="auto"/>
        <w:jc w:val="left"/>
        <w:rPr>
          <w:rFonts w:ascii="宋体" w:hAnsi="宋体" w:eastAsia="宋体" w:cs="宋体"/>
          <w:color w:val="auto"/>
          <w:kern w:val="0"/>
          <w:szCs w:val="21"/>
          <w:highlight w:val="none"/>
        </w:rPr>
      </w:pPr>
    </w:p>
    <w:p w14:paraId="5A85F74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78638DE">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“认定时间”列填“无”；若受到相关处罚的应附处罚相关材料扫描件；若出现相关处罚的处罚期满,但处罚公示没有及时更新的情况,投标人须提供相关材料（扫描件）佐证，需原件备查</w:t>
      </w:r>
      <w:r>
        <w:rPr>
          <w:rFonts w:hint="eastAsia" w:ascii="宋体" w:hAnsi="宋体" w:eastAsia="宋体" w:cs="宋体"/>
          <w:color w:val="auto"/>
          <w:szCs w:val="21"/>
          <w:highlight w:val="none"/>
          <w:lang w:val="zh-CN"/>
        </w:rPr>
        <w:t>。</w:t>
      </w:r>
    </w:p>
    <w:p w14:paraId="52E9C89C">
      <w:pPr>
        <w:autoSpaceDE w:val="0"/>
        <w:autoSpaceDN w:val="0"/>
        <w:adjustRightInd w:val="0"/>
        <w:spacing w:line="360" w:lineRule="auto"/>
        <w:jc w:val="left"/>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（2）联合体投标的，则联合体各方均提交。</w:t>
      </w:r>
    </w:p>
    <w:p w14:paraId="54E6EB7D">
      <w:pPr>
        <w:autoSpaceDE w:val="0"/>
        <w:autoSpaceDN w:val="0"/>
        <w:adjustRightInd w:val="0"/>
        <w:ind w:right="-23" w:rightChars="-11"/>
        <w:jc w:val="left"/>
        <w:rPr>
          <w:rFonts w:ascii="宋体" w:hAnsi="宋体" w:eastAsia="宋体" w:cs="宋体"/>
          <w:b/>
          <w:bCs/>
          <w:color w:val="auto"/>
          <w:kern w:val="0"/>
          <w:szCs w:val="21"/>
          <w:highlight w:val="none"/>
          <w:lang w:val="zh-CN"/>
        </w:rPr>
      </w:pPr>
    </w:p>
    <w:p w14:paraId="2A443264">
      <w:pPr>
        <w:autoSpaceDE w:val="0"/>
        <w:autoSpaceDN w:val="0"/>
        <w:adjustRightInd w:val="0"/>
        <w:spacing w:line="360" w:lineRule="auto"/>
        <w:jc w:val="center"/>
        <w:rPr>
          <w:rFonts w:ascii="宋体" w:hAnsi="宋体" w:eastAsia="宋体" w:cs="宋体"/>
          <w:color w:val="auto"/>
          <w:kern w:val="0"/>
          <w:sz w:val="24"/>
          <w:szCs w:val="24"/>
          <w:highlight w:val="none"/>
        </w:rPr>
      </w:pPr>
    </w:p>
    <w:p w14:paraId="6361C8C6">
      <w:pPr>
        <w:spacing w:line="360" w:lineRule="auto"/>
        <w:ind w:firstLine="494" w:firstLineChars="206"/>
        <w:rPr>
          <w:rFonts w:ascii="宋体" w:hAnsi="宋体" w:eastAsia="宋体" w:cs="宋体"/>
          <w:color w:val="auto"/>
          <w:kern w:val="0"/>
          <w:sz w:val="24"/>
          <w:szCs w:val="24"/>
          <w:highlight w:val="none"/>
        </w:rPr>
      </w:pPr>
    </w:p>
    <w:p w14:paraId="1B04ECDF">
      <w:pPr>
        <w:spacing w:line="360" w:lineRule="auto"/>
        <w:ind w:firstLine="494" w:firstLineChars="206"/>
        <w:rPr>
          <w:rFonts w:ascii="宋体" w:hAnsi="宋体" w:eastAsia="宋体" w:cs="宋体"/>
          <w:color w:val="auto"/>
          <w:kern w:val="0"/>
          <w:sz w:val="24"/>
          <w:szCs w:val="24"/>
          <w:highlight w:val="none"/>
        </w:rPr>
      </w:pPr>
    </w:p>
    <w:p w14:paraId="2834CB1F">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1939447">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6075F2D2">
      <w:pPr>
        <w:autoSpaceDE w:val="0"/>
        <w:autoSpaceDN w:val="0"/>
        <w:adjustRightInd w:val="0"/>
        <w:spacing w:line="360" w:lineRule="auto"/>
        <w:jc w:val="center"/>
        <w:rPr>
          <w:rFonts w:ascii="宋体" w:hAnsi="宋体" w:eastAsia="宋体" w:cs="宋体"/>
          <w:b/>
          <w:bCs/>
          <w:color w:val="auto"/>
          <w:szCs w:val="24"/>
          <w:highlight w:val="none"/>
          <w:lang w:val="zh-CN"/>
        </w:rPr>
      </w:pPr>
    </w:p>
    <w:p w14:paraId="2C9B028F">
      <w:pPr>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77AB7E88">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p>
    <w:p w14:paraId="442D05D5">
      <w:pPr>
        <w:rPr>
          <w:rFonts w:ascii="宋体" w:hAnsi="宋体" w:eastAsia="宋体" w:cs="宋体"/>
          <w:color w:val="auto"/>
          <w:szCs w:val="24"/>
          <w:highlight w:val="none"/>
          <w:lang w:val="zh-CN"/>
        </w:rPr>
      </w:pPr>
      <w:bookmarkStart w:id="1115" w:name="_Toc6412"/>
      <w:bookmarkStart w:id="1116" w:name="_Toc533708126"/>
      <w:bookmarkStart w:id="1117" w:name="_Toc486167714"/>
      <w:bookmarkStart w:id="1118" w:name="_Toc1977731"/>
      <w:bookmarkStart w:id="1119" w:name="_Toc142508374"/>
      <w:bookmarkStart w:id="1120" w:name="_Toc104991881"/>
      <w:bookmarkStart w:id="1121" w:name="_Toc140596934"/>
      <w:bookmarkStart w:id="1122" w:name="_Toc102860423"/>
      <w:bookmarkStart w:id="1123" w:name="_Toc2031_WPSOffice_Level2"/>
      <w:bookmarkStart w:id="1124" w:name="_Toc30939"/>
      <w:bookmarkStart w:id="1125" w:name="_Toc94107215"/>
      <w:bookmarkStart w:id="1126" w:name="_Toc102860079"/>
      <w:r>
        <w:rPr>
          <w:rFonts w:hint="eastAsia" w:ascii="宋体" w:hAnsi="宋体" w:eastAsia="宋体" w:cs="宋体"/>
          <w:color w:val="auto"/>
          <w:szCs w:val="24"/>
          <w:highlight w:val="none"/>
          <w:lang w:val="zh-CN"/>
        </w:rPr>
        <w:br w:type="page"/>
      </w:r>
    </w:p>
    <w:p w14:paraId="39CB86BB">
      <w:pPr>
        <w:tabs>
          <w:tab w:val="left" w:pos="567"/>
        </w:tabs>
        <w:autoSpaceDE w:val="0"/>
        <w:autoSpaceDN w:val="0"/>
        <w:adjustRightInd w:val="0"/>
        <w:spacing w:line="360" w:lineRule="auto"/>
        <w:jc w:val="left"/>
        <w:outlineLvl w:val="2"/>
        <w:rPr>
          <w:rFonts w:ascii="宋体" w:hAnsi="宋体" w:eastAsia="宋体" w:cs="宋体"/>
          <w:b/>
          <w:bCs/>
          <w:color w:val="auto"/>
          <w:sz w:val="32"/>
          <w:szCs w:val="32"/>
          <w:highlight w:val="none"/>
          <w:lang w:val="zh-CN"/>
        </w:rPr>
      </w:pPr>
      <w:bookmarkStart w:id="1127" w:name="_Toc7933"/>
      <w:bookmarkStart w:id="1128" w:name="_Toc14571"/>
      <w:bookmarkStart w:id="1129" w:name="_Toc18201"/>
      <w:bookmarkStart w:id="1130" w:name="_Toc27948"/>
      <w:bookmarkStart w:id="1131" w:name="_Toc21091"/>
      <w:bookmarkStart w:id="1132" w:name="_Toc15713"/>
      <w:bookmarkStart w:id="1133" w:name="OLE_LINK56"/>
      <w:bookmarkStart w:id="1134" w:name="OLE_LINK68"/>
      <w:bookmarkStart w:id="1135" w:name="_Toc18145"/>
      <w:bookmarkStart w:id="1136" w:name="_Toc195714388"/>
      <w:bookmarkStart w:id="1137" w:name="_Toc3374"/>
      <w:bookmarkStart w:id="1138" w:name="_Toc17508"/>
      <w:bookmarkStart w:id="1139" w:name="_Toc18126"/>
      <w:bookmarkStart w:id="1140" w:name="_Toc115"/>
      <w:r>
        <w:rPr>
          <w:rFonts w:hint="eastAsia" w:ascii="宋体" w:hAnsi="宋体" w:eastAsia="宋体" w:cs="宋体"/>
          <w:b/>
          <w:color w:val="auto"/>
          <w:kern w:val="0"/>
          <w:sz w:val="30"/>
          <w:szCs w:val="30"/>
          <w:highlight w:val="none"/>
        </w:rPr>
        <w:t>4.</w:t>
      </w:r>
      <w:r>
        <w:rPr>
          <w:rFonts w:hint="eastAsia" w:ascii="宋体" w:hAnsi="宋体" w:eastAsia="宋体" w:cs="宋体"/>
          <w:b/>
          <w:color w:val="auto"/>
          <w:kern w:val="0"/>
          <w:sz w:val="30"/>
          <w:szCs w:val="30"/>
          <w:highlight w:val="none"/>
          <w:lang w:val="en-US" w:eastAsia="zh-CN"/>
        </w:rPr>
        <w:t>8</w:t>
      </w:r>
      <w:r>
        <w:rPr>
          <w:rFonts w:hint="eastAsia" w:ascii="宋体" w:hAnsi="宋体" w:eastAsia="宋体" w:cs="宋体"/>
          <w:b/>
          <w:color w:val="auto"/>
          <w:kern w:val="0"/>
          <w:sz w:val="30"/>
          <w:szCs w:val="30"/>
          <w:highlight w:val="none"/>
        </w:rPr>
        <w:t xml:space="preserve"> </w:t>
      </w:r>
      <w:bookmarkStart w:id="1141" w:name="OLE_LINK63"/>
      <w:r>
        <w:rPr>
          <w:rFonts w:hint="eastAsia" w:ascii="宋体" w:hAnsi="宋体" w:eastAsia="宋体" w:cs="宋体"/>
          <w:b/>
          <w:color w:val="auto"/>
          <w:kern w:val="0"/>
          <w:sz w:val="30"/>
          <w:szCs w:val="30"/>
          <w:highlight w:val="none"/>
        </w:rPr>
        <w:t>联合体共同投标协议书格式（当联合体投标时提供）</w:t>
      </w:r>
      <w:bookmarkEnd w:id="1127"/>
      <w:bookmarkEnd w:id="1128"/>
      <w:bookmarkEnd w:id="1129"/>
      <w:bookmarkEnd w:id="1130"/>
      <w:bookmarkEnd w:id="1131"/>
      <w:bookmarkEnd w:id="1132"/>
      <w:bookmarkEnd w:id="1141"/>
    </w:p>
    <w:bookmarkEnd w:id="1133"/>
    <w:p w14:paraId="2322ED39">
      <w:pPr>
        <w:pStyle w:val="221"/>
        <w:spacing w:line="360" w:lineRule="auto"/>
        <w:jc w:val="center"/>
        <w:rPr>
          <w:rFonts w:hint="default" w:ascii="宋体" w:hAnsi="宋体" w:eastAsia="宋体" w:cs="宋体"/>
          <w:color w:val="auto"/>
          <w:sz w:val="30"/>
          <w:szCs w:val="30"/>
          <w:highlight w:val="none"/>
        </w:rPr>
      </w:pPr>
      <w:bookmarkStart w:id="1142" w:name="OLE_LINK57"/>
      <w:bookmarkStart w:id="1143" w:name="OLE_LINK61"/>
      <w:r>
        <w:rPr>
          <w:rFonts w:ascii="宋体" w:hAnsi="宋体" w:eastAsia="宋体" w:cs="宋体"/>
          <w:b/>
          <w:color w:val="auto"/>
          <w:sz w:val="30"/>
          <w:szCs w:val="30"/>
          <w:highlight w:val="none"/>
        </w:rPr>
        <w:t>联合体共同投标协议书</w:t>
      </w:r>
      <w:bookmarkEnd w:id="1142"/>
    </w:p>
    <w:bookmarkEnd w:id="1143"/>
    <w:p w14:paraId="5FC92CC5">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立约方：</w:t>
      </w:r>
      <w:r>
        <w:rPr>
          <w:rFonts w:ascii="宋体" w:hAnsi="宋体" w:eastAsia="宋体" w:cs="宋体"/>
          <w:color w:val="auto"/>
          <w:sz w:val="21"/>
          <w:szCs w:val="21"/>
          <w:highlight w:val="none"/>
          <w:u w:val="single"/>
        </w:rPr>
        <w:t>（甲公司全称）</w:t>
      </w:r>
    </w:p>
    <w:p w14:paraId="6012FA17">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u w:val="single"/>
        </w:rPr>
        <w:t>（乙公司全称）</w:t>
      </w:r>
    </w:p>
    <w:p w14:paraId="29CB262C">
      <w:pPr>
        <w:pStyle w:val="221"/>
        <w:spacing w:line="360" w:lineRule="auto"/>
        <w:ind w:firstLine="480"/>
        <w:rPr>
          <w:rFonts w:hint="default" w:ascii="宋体" w:hAnsi="宋体" w:eastAsia="宋体" w:cs="宋体"/>
          <w:color w:val="auto"/>
          <w:sz w:val="21"/>
          <w:szCs w:val="21"/>
          <w:highlight w:val="none"/>
        </w:rPr>
      </w:pPr>
    </w:p>
    <w:p w14:paraId="5B23E3E3">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u w:val="single"/>
        </w:rPr>
        <w:t>（甲公司全称）、（乙公司全称）</w:t>
      </w:r>
      <w:r>
        <w:rPr>
          <w:rFonts w:ascii="宋体" w:hAnsi="宋体" w:eastAsia="宋体" w:cs="宋体"/>
          <w:color w:val="auto"/>
          <w:sz w:val="21"/>
          <w:szCs w:val="21"/>
          <w:highlight w:val="none"/>
        </w:rPr>
        <w:t>自愿组成联合体，以一个投标人的身份共同参加（项目名称）（</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编号）的</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活动。经各方充分协商一致，就项目的</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和合同实施阶段的有关事务协商一致订立协议如下：</w:t>
      </w:r>
    </w:p>
    <w:p w14:paraId="4FA68783">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一、联合体各方关系</w:t>
      </w:r>
    </w:p>
    <w:p w14:paraId="6984E240">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u w:val="single"/>
        </w:rPr>
        <w:t>（甲公司全称）、（乙公司全称）</w:t>
      </w:r>
      <w:r>
        <w:rPr>
          <w:rFonts w:ascii="宋体" w:hAnsi="宋体" w:eastAsia="宋体" w:cs="宋体"/>
          <w:color w:val="auto"/>
          <w:sz w:val="21"/>
          <w:szCs w:val="21"/>
          <w:highlight w:val="none"/>
        </w:rPr>
        <w:t>共同组成一个联合体，以一个投标人的身份共同参加本项目的</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。（甲公司全称）、（乙公司全称）作为联合体成员，若中标，联合体各方共同与（</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人）签订采购合同。</w:t>
      </w:r>
    </w:p>
    <w:p w14:paraId="5CB74827">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二、联合体内部有关事项约定如下：</w:t>
      </w:r>
    </w:p>
    <w:p w14:paraId="726FF9B7">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1.（甲公司全称）作为联合体的牵头单位，代表联合体双方负责投标和合同实施阶段的主办、协调工作。</w:t>
      </w:r>
    </w:p>
    <w:p w14:paraId="0F496C1A">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14:paraId="1FE809BE">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3.如果本联合体中标，</w:t>
      </w:r>
      <w:r>
        <w:rPr>
          <w:rFonts w:ascii="宋体" w:hAnsi="宋体" w:eastAsia="宋体" w:cs="宋体"/>
          <w:color w:val="auto"/>
          <w:sz w:val="21"/>
          <w:szCs w:val="21"/>
          <w:highlight w:val="none"/>
          <w:u w:val="single"/>
        </w:rPr>
        <w:t>（甲公司全称）</w:t>
      </w:r>
      <w:r>
        <w:rPr>
          <w:rFonts w:ascii="宋体" w:hAnsi="宋体" w:eastAsia="宋体" w:cs="宋体"/>
          <w:color w:val="auto"/>
          <w:sz w:val="21"/>
          <w:szCs w:val="21"/>
          <w:highlight w:val="none"/>
        </w:rPr>
        <w:t>负责本项目___________部分，</w:t>
      </w:r>
      <w:r>
        <w:rPr>
          <w:rFonts w:ascii="宋体" w:hAnsi="宋体" w:eastAsia="宋体" w:cs="宋体"/>
          <w:color w:val="auto"/>
          <w:sz w:val="21"/>
          <w:szCs w:val="21"/>
          <w:highlight w:val="none"/>
          <w:u w:val="single"/>
        </w:rPr>
        <w:t>（乙公司全称）</w:t>
      </w:r>
      <w:r>
        <w:rPr>
          <w:rFonts w:ascii="宋体" w:hAnsi="宋体" w:eastAsia="宋体" w:cs="宋体"/>
          <w:color w:val="auto"/>
          <w:sz w:val="21"/>
          <w:szCs w:val="21"/>
          <w:highlight w:val="none"/>
        </w:rPr>
        <w:t>负责本项目___________部分。</w:t>
      </w:r>
    </w:p>
    <w:p w14:paraId="6DDF0CAB">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4.如中标，联合体各方共同与（</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人）签订合同书，并就中标项目向</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人负责有连带的和各自的法律责任。</w:t>
      </w:r>
    </w:p>
    <w:p w14:paraId="4A039C7E">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三、联合体各方不得再以自己名义参与</w:t>
      </w:r>
      <w:bookmarkStart w:id="1144" w:name="OLE_LINK66"/>
      <w:r>
        <w:rPr>
          <w:rFonts w:ascii="宋体" w:hAnsi="宋体" w:eastAsia="宋体" w:cs="宋体"/>
          <w:color w:val="auto"/>
          <w:sz w:val="21"/>
          <w:szCs w:val="21"/>
          <w:highlight w:val="none"/>
        </w:rPr>
        <w:t>本</w:t>
      </w:r>
      <w:bookmarkEnd w:id="1144"/>
      <w:r>
        <w:rPr>
          <w:rFonts w:ascii="宋体" w:hAnsi="宋体" w:eastAsia="宋体" w:cs="宋体"/>
          <w:color w:val="auto"/>
          <w:sz w:val="21"/>
          <w:szCs w:val="21"/>
          <w:highlight w:val="none"/>
          <w:lang w:eastAsia="zh-CN"/>
        </w:rPr>
        <w:t>项目投标</w:t>
      </w:r>
      <w:r>
        <w:rPr>
          <w:rFonts w:ascii="宋体" w:hAnsi="宋体" w:eastAsia="宋体" w:cs="宋体"/>
          <w:color w:val="auto"/>
          <w:sz w:val="21"/>
          <w:szCs w:val="21"/>
          <w:highlight w:val="none"/>
        </w:rPr>
        <w:t>，联合体各方不能作为其它联合体或单独</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单位的项目组成员参加本</w:t>
      </w:r>
      <w:r>
        <w:rPr>
          <w:rFonts w:ascii="宋体" w:hAnsi="宋体" w:eastAsia="宋体" w:cs="宋体"/>
          <w:color w:val="auto"/>
          <w:sz w:val="21"/>
          <w:szCs w:val="21"/>
          <w:highlight w:val="none"/>
          <w:lang w:eastAsia="zh-CN"/>
        </w:rPr>
        <w:t>项目投标</w:t>
      </w:r>
      <w:r>
        <w:rPr>
          <w:rFonts w:ascii="宋体" w:hAnsi="宋体" w:eastAsia="宋体" w:cs="宋体"/>
          <w:color w:val="auto"/>
          <w:sz w:val="21"/>
          <w:szCs w:val="21"/>
          <w:highlight w:val="none"/>
        </w:rPr>
        <w:t>。因发生上述问题导致联合体</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成为无效报价，联合体的其他成员可追究其违约责任和经济损失。</w:t>
      </w:r>
    </w:p>
    <w:p w14:paraId="20E86137">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四、联合体如因违约过失责任而导致</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人经济损失或被索赔时，本联合体任何一方均同意无条件优先清偿</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人的一切债务和经济赔偿。</w:t>
      </w:r>
    </w:p>
    <w:p w14:paraId="5BFE39F0">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五、本协议在自签署之日起生效，有效期内有效，如获中标资格，合同有效期延续至合同履行完毕之日。</w:t>
      </w:r>
    </w:p>
    <w:p w14:paraId="455323DD">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六、本协议书正本一式_____份，随投标文件_____份，送</w:t>
      </w:r>
      <w:r>
        <w:rPr>
          <w:rFonts w:ascii="宋体" w:hAnsi="宋体" w:eastAsia="宋体" w:cs="宋体"/>
          <w:color w:val="auto"/>
          <w:sz w:val="21"/>
          <w:szCs w:val="21"/>
          <w:highlight w:val="none"/>
          <w:lang w:eastAsia="zh-CN"/>
        </w:rPr>
        <w:t>招标</w:t>
      </w:r>
      <w:r>
        <w:rPr>
          <w:rFonts w:ascii="宋体" w:hAnsi="宋体" w:eastAsia="宋体" w:cs="宋体"/>
          <w:color w:val="auto"/>
          <w:sz w:val="21"/>
          <w:szCs w:val="21"/>
          <w:highlight w:val="none"/>
        </w:rPr>
        <w:t>人_____份，联合体成员各一份；副本一式_____份，联合体成员各执_____份。</w:t>
      </w:r>
    </w:p>
    <w:p w14:paraId="3AB23261">
      <w:pPr>
        <w:pStyle w:val="221"/>
        <w:spacing w:line="360" w:lineRule="auto"/>
        <w:rPr>
          <w:rFonts w:hint="default" w:ascii="宋体" w:hAnsi="宋体" w:eastAsia="宋体" w:cs="宋体"/>
          <w:color w:val="auto"/>
          <w:sz w:val="21"/>
          <w:szCs w:val="21"/>
          <w:highlight w:val="none"/>
        </w:rPr>
      </w:pPr>
    </w:p>
    <w:p w14:paraId="3AEA10C7">
      <w:pPr>
        <w:pStyle w:val="221"/>
        <w:spacing w:line="360" w:lineRule="auto"/>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甲公司全称：</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u w:val="single"/>
        </w:rPr>
        <w:t>（盖章）</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，乙公司全称：</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u w:val="single"/>
        </w:rPr>
        <w:t>（盖章）</w:t>
      </w:r>
      <w:r>
        <w:rPr>
          <w:rFonts w:ascii="宋体" w:hAnsi="宋体" w:eastAsia="宋体" w:cs="宋体"/>
          <w:color w:val="auto"/>
          <w:sz w:val="21"/>
          <w:szCs w:val="21"/>
          <w:highlight w:val="none"/>
          <w:u w:val="single"/>
          <w:lang w:eastAsia="zh-CN"/>
        </w:rPr>
        <w:t xml:space="preserve">      </w:t>
      </w:r>
    </w:p>
    <w:p w14:paraId="2F7CCB24">
      <w:pPr>
        <w:pStyle w:val="221"/>
        <w:spacing w:line="360" w:lineRule="auto"/>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年</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月</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日，</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年</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月</w:t>
      </w:r>
      <w:r>
        <w:rPr>
          <w:rFonts w:ascii="宋体" w:hAnsi="宋体" w:eastAsia="宋体" w:cs="宋体"/>
          <w:color w:val="auto"/>
          <w:sz w:val="21"/>
          <w:szCs w:val="21"/>
          <w:highlight w:val="none"/>
          <w:u w:val="single"/>
          <w:lang w:eastAsia="zh-CN"/>
        </w:rPr>
        <w:t xml:space="preserve">    </w:t>
      </w:r>
      <w:r>
        <w:rPr>
          <w:rFonts w:ascii="宋体" w:hAnsi="宋体" w:eastAsia="宋体" w:cs="宋体"/>
          <w:color w:val="auto"/>
          <w:sz w:val="21"/>
          <w:szCs w:val="21"/>
          <w:highlight w:val="none"/>
        </w:rPr>
        <w:t>日</w:t>
      </w:r>
    </w:p>
    <w:p w14:paraId="2DFB74FE">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注：1．联合</w:t>
      </w:r>
      <w:r>
        <w:rPr>
          <w:rFonts w:ascii="宋体" w:hAnsi="宋体" w:eastAsia="宋体" w:cs="宋体"/>
          <w:color w:val="auto"/>
          <w:sz w:val="21"/>
          <w:szCs w:val="21"/>
          <w:highlight w:val="none"/>
          <w:lang w:eastAsia="zh-CN"/>
        </w:rPr>
        <w:t>投标</w:t>
      </w:r>
      <w:r>
        <w:rPr>
          <w:rFonts w:ascii="宋体" w:hAnsi="宋体" w:eastAsia="宋体" w:cs="宋体"/>
          <w:color w:val="auto"/>
          <w:sz w:val="21"/>
          <w:szCs w:val="21"/>
          <w:highlight w:val="none"/>
        </w:rPr>
        <w:t>时需签本协议，联合体各方成员应在本协议上共同盖章确认。</w:t>
      </w:r>
    </w:p>
    <w:p w14:paraId="037FDA17">
      <w:pPr>
        <w:pStyle w:val="221"/>
        <w:spacing w:line="360" w:lineRule="auto"/>
        <w:ind w:firstLine="480"/>
        <w:rPr>
          <w:rFonts w:hint="default" w:ascii="宋体" w:hAnsi="宋体" w:eastAsia="宋体" w:cs="宋体"/>
          <w:color w:val="auto"/>
          <w:sz w:val="21"/>
          <w:szCs w:val="21"/>
          <w:highlight w:val="none"/>
        </w:rPr>
      </w:pPr>
      <w:r>
        <w:rPr>
          <w:rFonts w:ascii="宋体" w:hAnsi="宋体" w:eastAsia="宋体" w:cs="宋体"/>
          <w:color w:val="auto"/>
          <w:sz w:val="21"/>
          <w:szCs w:val="21"/>
          <w:highlight w:val="none"/>
        </w:rPr>
        <w:t>2．本协议内容不得擅自修改。此协议将作为签订合同的附件之一。</w:t>
      </w:r>
    </w:p>
    <w:p w14:paraId="3CA12F15">
      <w:pPr>
        <w:pStyle w:val="221"/>
        <w:spacing w:line="360" w:lineRule="auto"/>
        <w:ind w:firstLine="480"/>
        <w:rPr>
          <w:rFonts w:hint="default" w:ascii="宋体" w:hAnsi="宋体" w:eastAsia="宋体" w:cs="宋体"/>
          <w:color w:val="auto"/>
          <w:sz w:val="21"/>
          <w:szCs w:val="21"/>
          <w:highlight w:val="none"/>
        </w:rPr>
      </w:pPr>
    </w:p>
    <w:p w14:paraId="28D27C4C">
      <w:pPr>
        <w:pStyle w:val="221"/>
        <w:spacing w:line="360" w:lineRule="auto"/>
        <w:ind w:firstLine="480"/>
        <w:rPr>
          <w:rFonts w:hint="default" w:ascii="宋体" w:hAnsi="宋体" w:eastAsia="宋体" w:cs="宋体"/>
          <w:b/>
          <w:bCs/>
          <w:color w:val="auto"/>
          <w:sz w:val="21"/>
          <w:szCs w:val="21"/>
          <w:highlight w:val="none"/>
          <w:lang w:eastAsia="zh-CN"/>
        </w:rPr>
      </w:pPr>
      <w:r>
        <w:rPr>
          <w:rFonts w:ascii="宋体" w:hAnsi="宋体" w:eastAsia="宋体" w:cs="宋体"/>
          <w:b/>
          <w:bCs/>
          <w:color w:val="auto"/>
          <w:sz w:val="21"/>
          <w:szCs w:val="21"/>
          <w:highlight w:val="none"/>
          <w:lang w:eastAsia="zh-CN"/>
        </w:rPr>
        <w:t>说明：本联合体共同投标协议书需由联合体各方成员盖章后扫描上传。</w:t>
      </w:r>
    </w:p>
    <w:p w14:paraId="5B0132A2">
      <w:pPr>
        <w:pStyle w:val="221"/>
        <w:spacing w:line="360" w:lineRule="auto"/>
        <w:ind w:firstLine="480"/>
        <w:rPr>
          <w:rFonts w:hint="default" w:ascii="宋体" w:hAnsi="宋体" w:eastAsia="宋体" w:cs="宋体"/>
          <w:color w:val="auto"/>
          <w:sz w:val="21"/>
          <w:szCs w:val="21"/>
          <w:highlight w:val="none"/>
          <w:lang w:eastAsia="zh-CN"/>
        </w:rPr>
      </w:pPr>
    </w:p>
    <w:bookmarkEnd w:id="1134"/>
    <w:p w14:paraId="603C2026">
      <w:pPr>
        <w:pageBreakBefore/>
        <w:tabs>
          <w:tab w:val="left" w:pos="567"/>
        </w:tabs>
        <w:autoSpaceDE w:val="0"/>
        <w:autoSpaceDN w:val="0"/>
        <w:adjustRightInd w:val="0"/>
        <w:spacing w:line="360" w:lineRule="auto"/>
        <w:jc w:val="left"/>
        <w:outlineLvl w:val="2"/>
        <w:rPr>
          <w:rFonts w:ascii="宋体" w:hAnsi="宋体" w:eastAsia="宋体" w:cs="宋体"/>
          <w:color w:val="auto"/>
          <w:kern w:val="0"/>
          <w:szCs w:val="21"/>
          <w:highlight w:val="none"/>
          <w:u w:val="single"/>
        </w:rPr>
      </w:pPr>
      <w:bookmarkStart w:id="1145" w:name="_Toc1306"/>
      <w:bookmarkStart w:id="1146" w:name="_Toc1798"/>
      <w:bookmarkStart w:id="1147" w:name="_Toc6872"/>
      <w:r>
        <w:rPr>
          <w:rFonts w:hint="eastAsia" w:ascii="宋体" w:hAnsi="宋体" w:eastAsia="宋体" w:cs="宋体"/>
          <w:b/>
          <w:color w:val="auto"/>
          <w:sz w:val="32"/>
          <w:szCs w:val="32"/>
          <w:highlight w:val="none"/>
        </w:rPr>
        <w:t>五</w:t>
      </w:r>
      <w:r>
        <w:rPr>
          <w:rFonts w:hint="eastAsia" w:ascii="宋体" w:hAnsi="宋体" w:eastAsia="宋体" w:cs="宋体"/>
          <w:b/>
          <w:color w:val="auto"/>
          <w:kern w:val="0"/>
          <w:sz w:val="32"/>
          <w:szCs w:val="32"/>
          <w:highlight w:val="none"/>
        </w:rPr>
        <w:t>、投标人基本情况一览表</w:t>
      </w:r>
      <w:bookmarkEnd w:id="1115"/>
      <w:bookmarkEnd w:id="1116"/>
      <w:bookmarkEnd w:id="1117"/>
      <w:bookmarkEnd w:id="1118"/>
      <w:bookmarkEnd w:id="1119"/>
      <w:bookmarkEnd w:id="1120"/>
      <w:bookmarkEnd w:id="1121"/>
      <w:bookmarkEnd w:id="1122"/>
      <w:bookmarkEnd w:id="1123"/>
      <w:bookmarkEnd w:id="1124"/>
      <w:bookmarkEnd w:id="1125"/>
      <w:bookmarkEnd w:id="1126"/>
      <w:bookmarkEnd w:id="1135"/>
      <w:bookmarkEnd w:id="1136"/>
      <w:bookmarkEnd w:id="1137"/>
      <w:bookmarkEnd w:id="1138"/>
      <w:bookmarkEnd w:id="1139"/>
      <w:bookmarkEnd w:id="1140"/>
      <w:bookmarkEnd w:id="1145"/>
      <w:bookmarkEnd w:id="1146"/>
      <w:bookmarkEnd w:id="1147"/>
    </w:p>
    <w:p w14:paraId="3D1C6336">
      <w:pPr>
        <w:autoSpaceDE w:val="0"/>
        <w:autoSpaceDN w:val="0"/>
        <w:adjustRightInd w:val="0"/>
        <w:spacing w:line="360" w:lineRule="auto"/>
        <w:jc w:val="center"/>
        <w:rPr>
          <w:rFonts w:ascii="宋体" w:hAnsi="宋体" w:eastAsia="宋体" w:cs="宋体"/>
          <w:b/>
          <w:bCs/>
          <w:color w:val="auto"/>
          <w:sz w:val="30"/>
          <w:szCs w:val="30"/>
          <w:highlight w:val="none"/>
        </w:rPr>
      </w:pPr>
      <w:bookmarkStart w:id="1148" w:name="_Toc25282"/>
      <w:bookmarkStart w:id="1149" w:name="_Toc13008"/>
      <w:bookmarkStart w:id="1150" w:name="_Toc2773_WPSOffice_Level3"/>
      <w:bookmarkStart w:id="1151" w:name="_Toc28892"/>
      <w:r>
        <w:rPr>
          <w:rFonts w:hint="eastAsia" w:ascii="宋体" w:hAnsi="宋体" w:eastAsia="宋体" w:cs="宋体"/>
          <w:b/>
          <w:bCs/>
          <w:color w:val="auto"/>
          <w:sz w:val="30"/>
          <w:szCs w:val="30"/>
          <w:highlight w:val="none"/>
          <w:lang w:val="zh-CN"/>
        </w:rPr>
        <w:t>投标人基本情况一览表</w:t>
      </w:r>
      <w:bookmarkEnd w:id="1148"/>
      <w:bookmarkEnd w:id="1149"/>
      <w:bookmarkEnd w:id="1150"/>
      <w:bookmarkEnd w:id="1151"/>
    </w:p>
    <w:p w14:paraId="54B2C472">
      <w:pPr>
        <w:autoSpaceDE w:val="0"/>
        <w:autoSpaceDN w:val="0"/>
        <w:adjustRightInd w:val="0"/>
        <w:spacing w:line="360" w:lineRule="auto"/>
        <w:ind w:firstLine="420"/>
        <w:rPr>
          <w:rFonts w:ascii="宋体" w:hAnsi="宋体" w:eastAsia="宋体" w:cs="宋体"/>
          <w:color w:val="auto"/>
          <w:szCs w:val="21"/>
          <w:highlight w:val="none"/>
        </w:rPr>
      </w:pPr>
      <w:bookmarkStart w:id="1152" w:name="_Toc25310"/>
      <w:bookmarkStart w:id="1153" w:name="_Toc20228"/>
      <w:bookmarkStart w:id="1154" w:name="_Toc16526"/>
      <w:r>
        <w:rPr>
          <w:rFonts w:hint="eastAsia" w:ascii="宋体" w:hAnsi="宋体" w:eastAsia="宋体" w:cs="宋体"/>
          <w:color w:val="auto"/>
          <w:szCs w:val="21"/>
          <w:highlight w:val="none"/>
          <w:lang w:val="zh-CN"/>
        </w:rPr>
        <w:t>1．名称及概况：</w:t>
      </w:r>
      <w:bookmarkEnd w:id="1152"/>
      <w:bookmarkEnd w:id="1153"/>
      <w:bookmarkEnd w:id="1154"/>
    </w:p>
    <w:p w14:paraId="7DE91E3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2A224C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53D4F1E4">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446FA1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09970A8">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553F65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659AA5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（4）法人代表：__________________________________________</w:t>
      </w:r>
    </w:p>
    <w:p w14:paraId="74571CF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71D6363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5D7247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5A8AA27">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DE0D04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301FF9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5E863B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4EE3CF3">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A1F2818">
      <w:pPr>
        <w:autoSpaceDE w:val="0"/>
        <w:autoSpaceDN w:val="0"/>
        <w:adjustRightInd w:val="0"/>
        <w:spacing w:line="360" w:lineRule="auto"/>
        <w:ind w:firstLine="420"/>
        <w:rPr>
          <w:rFonts w:ascii="宋体" w:hAnsi="宋体" w:eastAsia="宋体" w:cs="宋体"/>
          <w:color w:val="auto"/>
          <w:szCs w:val="24"/>
          <w:highlight w:val="none"/>
        </w:rPr>
      </w:pPr>
      <w:bookmarkStart w:id="1155" w:name="_Toc31879"/>
      <w:bookmarkStart w:id="1156" w:name="_Toc11903"/>
      <w:bookmarkStart w:id="1157" w:name="_Toc14400"/>
      <w:r>
        <w:rPr>
          <w:rFonts w:hint="eastAsia" w:ascii="宋体" w:hAnsi="宋体" w:eastAsia="宋体" w:cs="宋体"/>
          <w:color w:val="auto"/>
          <w:szCs w:val="24"/>
          <w:highlight w:val="none"/>
          <w:lang w:val="zh-CN"/>
        </w:rPr>
        <w:t>4. 提交资料（包括但不限于组织架构、公司简介等）：</w:t>
      </w:r>
      <w:bookmarkEnd w:id="1155"/>
      <w:bookmarkEnd w:id="1156"/>
      <w:bookmarkEnd w:id="1157"/>
    </w:p>
    <w:p w14:paraId="02A13E16">
      <w:pPr>
        <w:autoSpaceDE w:val="0"/>
        <w:autoSpaceDN w:val="0"/>
        <w:adjustRightInd w:val="0"/>
        <w:spacing w:line="360" w:lineRule="auto"/>
        <w:ind w:firstLine="630" w:firstLineChars="300"/>
        <w:rPr>
          <w:rFonts w:ascii="宋体" w:hAnsi="宋体" w:eastAsia="宋体" w:cs="宋体"/>
          <w:color w:val="auto"/>
          <w:szCs w:val="24"/>
          <w:highlight w:val="none"/>
          <w:lang w:val="zh-CN"/>
        </w:rPr>
      </w:pPr>
      <w:bookmarkStart w:id="1158" w:name="_Toc4727"/>
      <w:bookmarkStart w:id="1159" w:name="_Toc3929"/>
      <w:bookmarkStart w:id="1160" w:name="_Toc5162"/>
      <w:r>
        <w:rPr>
          <w:rFonts w:hint="eastAsia" w:ascii="宋体" w:hAnsi="宋体" w:eastAsia="宋体" w:cs="宋体"/>
          <w:color w:val="auto"/>
          <w:szCs w:val="24"/>
          <w:highlight w:val="none"/>
          <w:lang w:val="zh-CN"/>
        </w:rPr>
        <w:t>（1）公司简介；</w:t>
      </w:r>
      <w:bookmarkEnd w:id="1158"/>
      <w:bookmarkEnd w:id="1159"/>
      <w:bookmarkEnd w:id="1160"/>
    </w:p>
    <w:p w14:paraId="6B59795A">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CA31D35">
      <w:pPr>
        <w:autoSpaceDE w:val="0"/>
        <w:autoSpaceDN w:val="0"/>
        <w:adjustRightInd w:val="0"/>
        <w:spacing w:line="360" w:lineRule="auto"/>
        <w:ind w:firstLine="630" w:firstLineChars="300"/>
        <w:rPr>
          <w:rFonts w:ascii="宋体" w:hAnsi="宋体" w:eastAsia="宋体" w:cs="宋体"/>
          <w:color w:val="auto"/>
          <w:szCs w:val="24"/>
          <w:highlight w:val="none"/>
          <w:lang w:val="zh-CN"/>
        </w:rPr>
      </w:pPr>
      <w:bookmarkStart w:id="1161" w:name="_Toc5293"/>
      <w:bookmarkStart w:id="1162" w:name="_Toc27360"/>
      <w:bookmarkStart w:id="1163" w:name="_Toc17222"/>
      <w:r>
        <w:rPr>
          <w:rFonts w:hint="eastAsia" w:ascii="宋体" w:hAnsi="宋体" w:eastAsia="宋体" w:cs="宋体"/>
          <w:color w:val="auto"/>
          <w:szCs w:val="24"/>
          <w:highlight w:val="none"/>
          <w:lang w:val="zh-CN"/>
        </w:rPr>
        <w:t>（2）公司组织架构；</w:t>
      </w:r>
      <w:bookmarkEnd w:id="1161"/>
      <w:bookmarkEnd w:id="1162"/>
      <w:bookmarkEnd w:id="1163"/>
    </w:p>
    <w:p w14:paraId="116FBF5F">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1172E62A">
      <w:pPr>
        <w:autoSpaceDE w:val="0"/>
        <w:autoSpaceDN w:val="0"/>
        <w:adjustRightInd w:val="0"/>
        <w:spacing w:line="360" w:lineRule="auto"/>
        <w:ind w:left="821" w:leftChars="331" w:hanging="126" w:hangingChars="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（3）东莞市内设有分支机构情况介绍[应提供该分支机构的多证合一营业执照原件扫描件等证明材料]（若无前述分支机构的无需介绍）。</w:t>
      </w:r>
    </w:p>
    <w:p w14:paraId="7135419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F89A859">
      <w:pPr>
        <w:autoSpaceDE w:val="0"/>
        <w:autoSpaceDN w:val="0"/>
        <w:adjustRightInd w:val="0"/>
        <w:spacing w:line="360" w:lineRule="auto"/>
        <w:ind w:firstLine="420" w:firstLineChars="200"/>
        <w:rPr>
          <w:rFonts w:ascii="宋体" w:hAnsi="宋体" w:eastAsia="宋体" w:cs="宋体"/>
          <w:color w:val="auto"/>
          <w:szCs w:val="24"/>
          <w:highlight w:val="none"/>
        </w:rPr>
      </w:pPr>
    </w:p>
    <w:p w14:paraId="68686B59">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EDCFC01">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F3AE5DF">
      <w:pPr>
        <w:autoSpaceDE w:val="0"/>
        <w:autoSpaceDN w:val="0"/>
        <w:adjustRightInd w:val="0"/>
        <w:spacing w:line="360" w:lineRule="auto"/>
        <w:jc w:val="center"/>
        <w:rPr>
          <w:rFonts w:ascii="宋体" w:hAnsi="宋体" w:eastAsia="宋体" w:cs="宋体"/>
          <w:b/>
          <w:bCs/>
          <w:color w:val="auto"/>
          <w:szCs w:val="24"/>
          <w:highlight w:val="none"/>
          <w:lang w:val="zh-CN"/>
        </w:rPr>
      </w:pPr>
    </w:p>
    <w:p w14:paraId="0836243A">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bCs/>
          <w:color w:val="auto"/>
          <w:kern w:val="0"/>
          <w:szCs w:val="21"/>
          <w:highlight w:val="none"/>
        </w:rPr>
        <w:t>；联合体投标的，则联合体各方均提交。</w:t>
      </w:r>
    </w:p>
    <w:p w14:paraId="0E4E56C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1164" w:name="_Toc31090"/>
      <w:bookmarkStart w:id="1165" w:name="_Toc104991882"/>
      <w:bookmarkStart w:id="1166" w:name="_Toc7439"/>
      <w:bookmarkStart w:id="1167" w:name="_Toc195714389"/>
      <w:bookmarkStart w:id="1168" w:name="_Toc13621"/>
      <w:bookmarkStart w:id="1169" w:name="_Toc140596935"/>
      <w:bookmarkStart w:id="1170" w:name="_Toc9160"/>
      <w:bookmarkStart w:id="1171" w:name="_Toc29014"/>
      <w:bookmarkStart w:id="1172" w:name="_Toc12005"/>
      <w:bookmarkStart w:id="1173" w:name="_Toc10443"/>
      <w:bookmarkStart w:id="1174" w:name="_Toc4023"/>
      <w:bookmarkStart w:id="1175" w:name="_Toc142508375"/>
      <w:bookmarkStart w:id="1176" w:name="_Toc18075"/>
      <w:bookmarkStart w:id="1177" w:name="_Toc102860080"/>
      <w:bookmarkStart w:id="1178" w:name="_Toc102860424"/>
      <w:bookmarkStart w:id="1179" w:name="_Toc285"/>
      <w:bookmarkStart w:id="1180" w:name="_Toc94107216"/>
      <w:bookmarkStart w:id="1181" w:name="_Toc1977733"/>
      <w:bookmarkStart w:id="1182" w:name="_Toc486167715"/>
      <w:bookmarkStart w:id="1183" w:name="_Toc9051_WPSOffice_Level2"/>
      <w:bookmarkStart w:id="1184" w:name="_Toc533708128"/>
      <w:r>
        <w:rPr>
          <w:rFonts w:hint="eastAsia" w:ascii="宋体" w:hAnsi="宋体" w:eastAsia="宋体" w:cs="宋体"/>
          <w:b/>
          <w:color w:val="auto"/>
          <w:sz w:val="32"/>
          <w:szCs w:val="32"/>
          <w:highlight w:val="none"/>
        </w:rPr>
        <w:t>六</w:t>
      </w:r>
      <w:r>
        <w:rPr>
          <w:rFonts w:hint="eastAsia" w:ascii="宋体" w:hAnsi="宋体" w:eastAsia="宋体" w:cs="宋体"/>
          <w:b/>
          <w:color w:val="auto"/>
          <w:sz w:val="32"/>
          <w:szCs w:val="32"/>
          <w:highlight w:val="none"/>
          <w:lang w:val="zh-CN"/>
        </w:rPr>
        <w:t>、投标人财务状况表格式</w:t>
      </w:r>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p>
    <w:p w14:paraId="72FA89DF">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4AEDDA9">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E1AB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1D9110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67CFA3D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717BC3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28E2402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2C265117">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315F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4FDB56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2022</w:t>
            </w:r>
          </w:p>
        </w:tc>
        <w:tc>
          <w:tcPr>
            <w:tcW w:w="1944" w:type="dxa"/>
            <w:vAlign w:val="center"/>
          </w:tcPr>
          <w:p w14:paraId="4B85FE8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E3E6F4A">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10C34D1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AFA1F8A">
            <w:pPr>
              <w:autoSpaceDE w:val="0"/>
              <w:autoSpaceDN w:val="0"/>
              <w:adjustRightInd w:val="0"/>
              <w:spacing w:line="360" w:lineRule="auto"/>
              <w:jc w:val="center"/>
              <w:rPr>
                <w:rFonts w:ascii="宋体" w:hAnsi="宋体" w:eastAsia="宋体" w:cs="宋体"/>
                <w:color w:val="auto"/>
                <w:kern w:val="0"/>
                <w:szCs w:val="21"/>
                <w:highlight w:val="none"/>
              </w:rPr>
            </w:pPr>
          </w:p>
        </w:tc>
      </w:tr>
      <w:tr w14:paraId="5A3C95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6120B3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2023</w:t>
            </w:r>
          </w:p>
        </w:tc>
        <w:tc>
          <w:tcPr>
            <w:tcW w:w="1944" w:type="dxa"/>
            <w:vAlign w:val="center"/>
          </w:tcPr>
          <w:p w14:paraId="1670744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009F5AC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DF0EE3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19FBA98">
            <w:pPr>
              <w:autoSpaceDE w:val="0"/>
              <w:autoSpaceDN w:val="0"/>
              <w:adjustRightInd w:val="0"/>
              <w:spacing w:line="360" w:lineRule="auto"/>
              <w:jc w:val="center"/>
              <w:rPr>
                <w:rFonts w:ascii="宋体" w:hAnsi="宋体" w:eastAsia="宋体" w:cs="宋体"/>
                <w:color w:val="auto"/>
                <w:kern w:val="0"/>
                <w:szCs w:val="21"/>
                <w:highlight w:val="none"/>
              </w:rPr>
            </w:pPr>
          </w:p>
        </w:tc>
      </w:tr>
      <w:tr w14:paraId="515980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FB9DC8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2024</w:t>
            </w:r>
          </w:p>
        </w:tc>
        <w:tc>
          <w:tcPr>
            <w:tcW w:w="1944" w:type="dxa"/>
            <w:vAlign w:val="center"/>
          </w:tcPr>
          <w:p w14:paraId="6C94882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42DAB5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AAA1FB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9C3D5D4">
            <w:pPr>
              <w:autoSpaceDE w:val="0"/>
              <w:autoSpaceDN w:val="0"/>
              <w:adjustRightInd w:val="0"/>
              <w:spacing w:line="360" w:lineRule="auto"/>
              <w:jc w:val="center"/>
              <w:rPr>
                <w:rFonts w:ascii="宋体" w:hAnsi="宋体" w:eastAsia="宋体" w:cs="宋体"/>
                <w:color w:val="auto"/>
                <w:kern w:val="0"/>
                <w:szCs w:val="21"/>
                <w:highlight w:val="none"/>
              </w:rPr>
            </w:pPr>
          </w:p>
        </w:tc>
      </w:tr>
      <w:tr w14:paraId="1037E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EDF6D8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76B41F70">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D5BBFBA">
            <w:pPr>
              <w:autoSpaceDE w:val="0"/>
              <w:autoSpaceDN w:val="0"/>
              <w:adjustRightInd w:val="0"/>
              <w:spacing w:line="360" w:lineRule="auto"/>
              <w:jc w:val="center"/>
              <w:rPr>
                <w:rFonts w:ascii="宋体" w:hAnsi="宋体" w:eastAsia="宋体" w:cs="宋体"/>
                <w:color w:val="auto"/>
                <w:kern w:val="0"/>
                <w:szCs w:val="21"/>
                <w:highlight w:val="none"/>
              </w:rPr>
            </w:pPr>
          </w:p>
        </w:tc>
      </w:tr>
    </w:tbl>
    <w:p w14:paraId="3225F9EC">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B3A10B1">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1DB93033">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1D6C2374">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A3DA3E9">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A86E18E">
      <w:pPr>
        <w:autoSpaceDE w:val="0"/>
        <w:autoSpaceDN w:val="0"/>
        <w:adjustRightInd w:val="0"/>
        <w:spacing w:line="360" w:lineRule="auto"/>
        <w:jc w:val="center"/>
        <w:rPr>
          <w:rFonts w:ascii="宋体" w:hAnsi="宋体" w:eastAsia="宋体" w:cs="宋体"/>
          <w:b/>
          <w:bCs/>
          <w:color w:val="auto"/>
          <w:szCs w:val="24"/>
          <w:highlight w:val="none"/>
          <w:lang w:val="zh-CN"/>
        </w:rPr>
      </w:pPr>
    </w:p>
    <w:p w14:paraId="49379159">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r>
        <w:rPr>
          <w:rFonts w:hint="eastAsia" w:ascii="宋体" w:hAnsi="宋体" w:eastAsia="宋体" w:cs="宋体"/>
          <w:b/>
          <w:bCs/>
          <w:color w:val="auto"/>
          <w:kern w:val="0"/>
          <w:szCs w:val="21"/>
          <w:highlight w:val="none"/>
        </w:rPr>
        <w:t>联合体投标的，则联合体牵头单位提交</w:t>
      </w:r>
      <w:r>
        <w:rPr>
          <w:rFonts w:hint="eastAsia" w:ascii="宋体" w:hAnsi="宋体" w:eastAsia="宋体" w:cs="宋体"/>
          <w:b/>
          <w:bCs/>
          <w:color w:val="auto"/>
          <w:szCs w:val="24"/>
          <w:highlight w:val="none"/>
          <w:lang w:val="zh-CN"/>
        </w:rPr>
        <w:t>。</w:t>
      </w:r>
    </w:p>
    <w:p w14:paraId="23B4FBF9">
      <w:pPr>
        <w:autoSpaceDE w:val="0"/>
        <w:autoSpaceDN w:val="0"/>
        <w:adjustRightInd w:val="0"/>
        <w:spacing w:line="360" w:lineRule="auto"/>
        <w:ind w:firstLine="6274"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docGrid w:linePitch="326" w:charSpace="0"/>
        </w:sectPr>
      </w:pPr>
    </w:p>
    <w:bookmarkEnd w:id="1181"/>
    <w:bookmarkEnd w:id="1182"/>
    <w:bookmarkEnd w:id="1183"/>
    <w:bookmarkEnd w:id="1184"/>
    <w:p w14:paraId="148A1F8F">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1185" w:name="_Toc954"/>
      <w:bookmarkStart w:id="1186" w:name="_Toc30041"/>
      <w:bookmarkStart w:id="1187" w:name="_Toc137"/>
      <w:bookmarkStart w:id="1188" w:name="_Toc16452"/>
      <w:bookmarkStart w:id="1189" w:name="_Toc23325"/>
      <w:bookmarkStart w:id="1190" w:name="_Toc15550"/>
      <w:bookmarkStart w:id="1191" w:name="_Toc17995"/>
      <w:bookmarkStart w:id="1192" w:name="_Toc195714390"/>
      <w:bookmarkStart w:id="1193" w:name="_Toc104991883"/>
      <w:bookmarkStart w:id="1194" w:name="_Toc102860081"/>
      <w:bookmarkStart w:id="1195" w:name="_Toc142508376"/>
      <w:bookmarkStart w:id="1196" w:name="_Toc140596936"/>
      <w:bookmarkStart w:id="1197" w:name="_Toc533708130"/>
      <w:bookmarkStart w:id="1198" w:name="_Toc16948"/>
      <w:bookmarkStart w:id="1199" w:name="_Toc94107217"/>
      <w:bookmarkStart w:id="1200" w:name="_Toc5085"/>
      <w:bookmarkStart w:id="1201" w:name="_Toc486167716"/>
      <w:bookmarkStart w:id="1202" w:name="_Toc739_WPSOffice_Level2"/>
      <w:bookmarkStart w:id="1203" w:name="_Toc26821"/>
      <w:bookmarkStart w:id="1204" w:name="_Toc102860425"/>
      <w:bookmarkStart w:id="1205" w:name="_Toc333"/>
      <w:bookmarkStart w:id="1206" w:name="_Toc28458"/>
      <w:bookmarkStart w:id="1207" w:name="_Toc6028"/>
      <w:bookmarkStart w:id="1208" w:name="_Toc1977736"/>
      <w:r>
        <w:rPr>
          <w:rFonts w:hint="eastAsia" w:ascii="宋体" w:hAnsi="宋体" w:eastAsia="宋体" w:cs="宋体"/>
          <w:b/>
          <w:color w:val="auto"/>
          <w:kern w:val="0"/>
          <w:sz w:val="32"/>
          <w:szCs w:val="32"/>
          <w:highlight w:val="none"/>
        </w:rPr>
        <w:t>七</w:t>
      </w:r>
      <w:r>
        <w:rPr>
          <w:rFonts w:hint="eastAsia" w:ascii="宋体" w:hAnsi="宋体" w:eastAsia="宋体" w:cs="宋体"/>
          <w:b/>
          <w:color w:val="auto"/>
          <w:kern w:val="0"/>
          <w:sz w:val="32"/>
          <w:szCs w:val="32"/>
          <w:highlight w:val="none"/>
          <w:lang w:val="zh-CN"/>
        </w:rPr>
        <w:t>、</w:t>
      </w:r>
      <w:bookmarkStart w:id="1209" w:name="OLE_LINK369"/>
      <w:r>
        <w:rPr>
          <w:rFonts w:hint="eastAsia" w:ascii="宋体" w:hAnsi="宋体" w:eastAsia="宋体" w:cs="宋体"/>
          <w:b/>
          <w:color w:val="auto"/>
          <w:kern w:val="0"/>
          <w:sz w:val="32"/>
          <w:szCs w:val="32"/>
          <w:highlight w:val="none"/>
          <w:lang w:val="zh-CN"/>
        </w:rPr>
        <w:t>标准化体系认证</w:t>
      </w:r>
      <w:bookmarkEnd w:id="1185"/>
      <w:bookmarkEnd w:id="1186"/>
      <w:bookmarkEnd w:id="1187"/>
      <w:bookmarkEnd w:id="1188"/>
      <w:bookmarkEnd w:id="1189"/>
      <w:bookmarkEnd w:id="1190"/>
      <w:bookmarkEnd w:id="1209"/>
    </w:p>
    <w:p w14:paraId="5A74DF53">
      <w:pPr>
        <w:tabs>
          <w:tab w:val="left" w:pos="567"/>
        </w:tabs>
        <w:wordWrap w:val="0"/>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bookmarkStart w:id="1210" w:name="_Toc22564"/>
      <w:bookmarkStart w:id="1211" w:name="_Toc24623"/>
      <w:bookmarkStart w:id="1212" w:name="_Toc15286"/>
      <w:r>
        <w:rPr>
          <w:rFonts w:hint="eastAsia" w:ascii="宋体" w:hAnsi="宋体" w:eastAsia="宋体" w:cs="宋体"/>
          <w:color w:val="auto"/>
          <w:kern w:val="0"/>
          <w:szCs w:val="21"/>
          <w:highlight w:val="none"/>
        </w:rPr>
        <w:t>备注：</w:t>
      </w:r>
      <w:bookmarkEnd w:id="1210"/>
      <w:bookmarkEnd w:id="1211"/>
      <w:r>
        <w:rPr>
          <w:rFonts w:hint="eastAsia" w:ascii="宋体" w:hAnsi="宋体" w:eastAsia="宋体" w:cs="宋体"/>
          <w:color w:val="auto"/>
          <w:kern w:val="0"/>
          <w:szCs w:val="21"/>
          <w:highlight w:val="none"/>
        </w:rPr>
        <w:t>①投标人应提供有效证书复印件及能显示证书有效状态的全国认证认可信息公共服务平台（http://cx.cnca.cn/)查询结果凭证{凭证界面需显示有“全国认证认可信息公共服务平台”或“认证证书（需显示网址cx.cnca.cn）”}，否则不得分。②若为联合体投标的，以联合体牵头单位提供的认证证书为准。</w:t>
      </w:r>
      <w:bookmarkEnd w:id="1212"/>
    </w:p>
    <w:p w14:paraId="48E474B4">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1213" w:name="_Toc16314"/>
      <w:bookmarkStart w:id="1214" w:name="_Toc14944"/>
      <w:bookmarkStart w:id="1215" w:name="_Toc9255"/>
      <w:r>
        <w:rPr>
          <w:rFonts w:hint="eastAsia" w:ascii="宋体" w:hAnsi="宋体" w:eastAsia="宋体" w:cs="宋体"/>
          <w:b/>
          <w:color w:val="auto"/>
          <w:kern w:val="0"/>
          <w:sz w:val="32"/>
          <w:szCs w:val="32"/>
          <w:highlight w:val="none"/>
        </w:rPr>
        <w:t>八</w:t>
      </w:r>
      <w:r>
        <w:rPr>
          <w:rFonts w:hint="eastAsia" w:ascii="宋体" w:hAnsi="宋体" w:eastAsia="宋体" w:cs="宋体"/>
          <w:b/>
          <w:color w:val="auto"/>
          <w:kern w:val="0"/>
          <w:sz w:val="32"/>
          <w:szCs w:val="32"/>
          <w:highlight w:val="none"/>
          <w:lang w:val="zh-CN"/>
        </w:rPr>
        <w:t>、合同条款偏离表格式</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13"/>
      <w:bookmarkEnd w:id="1214"/>
      <w:bookmarkEnd w:id="1215"/>
    </w:p>
    <w:p w14:paraId="1A8BB97F">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1216" w:name="_Toc26412_WPSOffice_Level3"/>
      <w:r>
        <w:rPr>
          <w:rFonts w:hint="eastAsia" w:ascii="宋体" w:hAnsi="宋体" w:eastAsia="宋体" w:cs="宋体"/>
          <w:b/>
          <w:bCs/>
          <w:color w:val="auto"/>
          <w:kern w:val="0"/>
          <w:sz w:val="28"/>
          <w:szCs w:val="30"/>
          <w:highlight w:val="none"/>
          <w:lang w:val="zh-CN"/>
        </w:rPr>
        <w:t>东莞市水务环境投资控股集团分布式光伏发电项目（第一批）净水厂项目合同条款偏离表</w:t>
      </w:r>
      <w:bookmarkEnd w:id="1216"/>
    </w:p>
    <w:tbl>
      <w:tblPr>
        <w:tblStyle w:val="4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63"/>
        <w:gridCol w:w="2516"/>
        <w:gridCol w:w="1190"/>
        <w:gridCol w:w="3137"/>
      </w:tblGrid>
      <w:tr w14:paraId="5C44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0" w:type="pct"/>
            <w:vMerge w:val="restart"/>
            <w:vAlign w:val="center"/>
          </w:tcPr>
          <w:p w14:paraId="3EED6E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160" w:type="pct"/>
            <w:gridSpan w:val="2"/>
            <w:vAlign w:val="center"/>
          </w:tcPr>
          <w:p w14:paraId="2B7C935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2349" w:type="pct"/>
            <w:gridSpan w:val="2"/>
            <w:vAlign w:val="center"/>
          </w:tcPr>
          <w:p w14:paraId="2C9A680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6626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0" w:type="pct"/>
            <w:vMerge w:val="continue"/>
            <w:vAlign w:val="center"/>
          </w:tcPr>
          <w:p w14:paraId="18EFE594">
            <w:pPr>
              <w:autoSpaceDE w:val="0"/>
              <w:autoSpaceDN w:val="0"/>
              <w:adjustRightInd w:val="0"/>
              <w:spacing w:line="400" w:lineRule="exact"/>
              <w:jc w:val="center"/>
              <w:rPr>
                <w:rFonts w:ascii="宋体" w:hAnsi="宋体" w:eastAsia="宋体" w:cs="宋体"/>
                <w:color w:val="auto"/>
                <w:kern w:val="0"/>
                <w:szCs w:val="21"/>
                <w:highlight w:val="none"/>
              </w:rPr>
            </w:pPr>
          </w:p>
        </w:tc>
        <w:tc>
          <w:tcPr>
            <w:tcW w:w="794" w:type="pct"/>
            <w:vAlign w:val="center"/>
          </w:tcPr>
          <w:p w14:paraId="35D7440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1366" w:type="pct"/>
            <w:vAlign w:val="center"/>
          </w:tcPr>
          <w:p w14:paraId="7D7859A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46" w:type="pct"/>
            <w:vAlign w:val="center"/>
          </w:tcPr>
          <w:p w14:paraId="2A5198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1703" w:type="pct"/>
            <w:vAlign w:val="center"/>
          </w:tcPr>
          <w:p w14:paraId="23FA743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B1D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26E61C3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94" w:type="pct"/>
            <w:vAlign w:val="center"/>
          </w:tcPr>
          <w:p w14:paraId="0A861C3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1366" w:type="pct"/>
            <w:vAlign w:val="center"/>
          </w:tcPr>
          <w:p w14:paraId="06F2E01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合同项目</w:t>
            </w:r>
          </w:p>
        </w:tc>
        <w:tc>
          <w:tcPr>
            <w:tcW w:w="646" w:type="pct"/>
            <w:vAlign w:val="center"/>
          </w:tcPr>
          <w:p w14:paraId="673793DC">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6FBC94AF">
            <w:pPr>
              <w:autoSpaceDE w:val="0"/>
              <w:autoSpaceDN w:val="0"/>
              <w:adjustRightInd w:val="0"/>
              <w:jc w:val="center"/>
              <w:rPr>
                <w:rFonts w:ascii="宋体" w:hAnsi="宋体" w:eastAsia="宋体" w:cs="宋体"/>
                <w:color w:val="auto"/>
                <w:kern w:val="0"/>
                <w:szCs w:val="21"/>
                <w:highlight w:val="none"/>
              </w:rPr>
            </w:pPr>
          </w:p>
        </w:tc>
      </w:tr>
      <w:tr w14:paraId="3C22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5F3CF58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94" w:type="pct"/>
            <w:vAlign w:val="center"/>
          </w:tcPr>
          <w:p w14:paraId="5B71ADF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1366" w:type="pct"/>
            <w:vAlign w:val="center"/>
          </w:tcPr>
          <w:p w14:paraId="1304D04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合同价及销项税额</w:t>
            </w:r>
          </w:p>
        </w:tc>
        <w:tc>
          <w:tcPr>
            <w:tcW w:w="646" w:type="pct"/>
            <w:vAlign w:val="center"/>
          </w:tcPr>
          <w:p w14:paraId="5038A695">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1BBBD282">
            <w:pPr>
              <w:autoSpaceDE w:val="0"/>
              <w:autoSpaceDN w:val="0"/>
              <w:adjustRightInd w:val="0"/>
              <w:jc w:val="center"/>
              <w:rPr>
                <w:rFonts w:ascii="宋体" w:hAnsi="宋体" w:eastAsia="宋体" w:cs="宋体"/>
                <w:color w:val="auto"/>
                <w:kern w:val="0"/>
                <w:szCs w:val="21"/>
                <w:highlight w:val="none"/>
              </w:rPr>
            </w:pPr>
          </w:p>
        </w:tc>
      </w:tr>
      <w:tr w14:paraId="635B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1A18622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94" w:type="pct"/>
            <w:vAlign w:val="center"/>
          </w:tcPr>
          <w:p w14:paraId="643A65F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1366" w:type="pct"/>
            <w:vAlign w:val="center"/>
          </w:tcPr>
          <w:p w14:paraId="7BF36BF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646" w:type="pct"/>
            <w:vAlign w:val="center"/>
          </w:tcPr>
          <w:p w14:paraId="33CBA6BD">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31B6AB2F">
            <w:pPr>
              <w:autoSpaceDE w:val="0"/>
              <w:autoSpaceDN w:val="0"/>
              <w:adjustRightInd w:val="0"/>
              <w:jc w:val="center"/>
              <w:rPr>
                <w:rFonts w:ascii="宋体" w:hAnsi="宋体" w:eastAsia="宋体" w:cs="宋体"/>
                <w:color w:val="auto"/>
                <w:kern w:val="0"/>
                <w:szCs w:val="21"/>
                <w:highlight w:val="none"/>
              </w:rPr>
            </w:pPr>
          </w:p>
        </w:tc>
      </w:tr>
      <w:tr w14:paraId="6FB2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42328FD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94" w:type="pct"/>
            <w:vAlign w:val="center"/>
          </w:tcPr>
          <w:p w14:paraId="3A7F1E8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1366" w:type="pct"/>
            <w:vAlign w:val="center"/>
          </w:tcPr>
          <w:p w14:paraId="5F6C33D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合同组成</w:t>
            </w:r>
          </w:p>
        </w:tc>
        <w:tc>
          <w:tcPr>
            <w:tcW w:w="646" w:type="pct"/>
            <w:vAlign w:val="center"/>
          </w:tcPr>
          <w:p w14:paraId="05BED5B0">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738A8FAE">
            <w:pPr>
              <w:autoSpaceDE w:val="0"/>
              <w:autoSpaceDN w:val="0"/>
              <w:adjustRightInd w:val="0"/>
              <w:jc w:val="center"/>
              <w:rPr>
                <w:rFonts w:ascii="宋体" w:hAnsi="宋体" w:eastAsia="宋体" w:cs="宋体"/>
                <w:color w:val="auto"/>
                <w:kern w:val="0"/>
                <w:szCs w:val="21"/>
                <w:highlight w:val="none"/>
              </w:rPr>
            </w:pPr>
          </w:p>
        </w:tc>
      </w:tr>
      <w:tr w14:paraId="3C9D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3F4F9B0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94" w:type="pct"/>
            <w:vAlign w:val="center"/>
          </w:tcPr>
          <w:p w14:paraId="38E8EF4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1366" w:type="pct"/>
            <w:vAlign w:val="center"/>
          </w:tcPr>
          <w:p w14:paraId="04DFCB4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产品质量要求</w:t>
            </w:r>
          </w:p>
        </w:tc>
        <w:tc>
          <w:tcPr>
            <w:tcW w:w="646" w:type="pct"/>
            <w:vAlign w:val="center"/>
          </w:tcPr>
          <w:p w14:paraId="1A105456">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2C96630B">
            <w:pPr>
              <w:autoSpaceDE w:val="0"/>
              <w:autoSpaceDN w:val="0"/>
              <w:adjustRightInd w:val="0"/>
              <w:jc w:val="center"/>
              <w:rPr>
                <w:rFonts w:ascii="宋体" w:hAnsi="宋体" w:eastAsia="宋体" w:cs="宋体"/>
                <w:color w:val="auto"/>
                <w:kern w:val="0"/>
                <w:szCs w:val="21"/>
                <w:highlight w:val="none"/>
              </w:rPr>
            </w:pPr>
          </w:p>
        </w:tc>
      </w:tr>
      <w:tr w14:paraId="7637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6DD707D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794" w:type="pct"/>
            <w:vAlign w:val="center"/>
          </w:tcPr>
          <w:p w14:paraId="1297597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1366" w:type="pct"/>
            <w:vAlign w:val="center"/>
          </w:tcPr>
          <w:p w14:paraId="0927B4F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包装、运输</w:t>
            </w:r>
          </w:p>
        </w:tc>
        <w:tc>
          <w:tcPr>
            <w:tcW w:w="646" w:type="pct"/>
            <w:vAlign w:val="center"/>
          </w:tcPr>
          <w:p w14:paraId="43804E3A">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2627CB1D">
            <w:pPr>
              <w:autoSpaceDE w:val="0"/>
              <w:autoSpaceDN w:val="0"/>
              <w:adjustRightInd w:val="0"/>
              <w:jc w:val="center"/>
              <w:rPr>
                <w:rFonts w:ascii="宋体" w:hAnsi="宋体" w:eastAsia="宋体" w:cs="宋体"/>
                <w:color w:val="auto"/>
                <w:kern w:val="0"/>
                <w:szCs w:val="21"/>
                <w:highlight w:val="none"/>
              </w:rPr>
            </w:pPr>
          </w:p>
        </w:tc>
      </w:tr>
      <w:tr w14:paraId="76F8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41BBCB0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794" w:type="pct"/>
            <w:vAlign w:val="center"/>
          </w:tcPr>
          <w:p w14:paraId="5FF90D1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1366" w:type="pct"/>
            <w:vAlign w:val="center"/>
          </w:tcPr>
          <w:p w14:paraId="758D23B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保险</w:t>
            </w:r>
          </w:p>
        </w:tc>
        <w:tc>
          <w:tcPr>
            <w:tcW w:w="646" w:type="pct"/>
            <w:vAlign w:val="center"/>
          </w:tcPr>
          <w:p w14:paraId="409E4406">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22DB0B5D">
            <w:pPr>
              <w:autoSpaceDE w:val="0"/>
              <w:autoSpaceDN w:val="0"/>
              <w:adjustRightInd w:val="0"/>
              <w:jc w:val="center"/>
              <w:rPr>
                <w:rFonts w:ascii="宋体" w:hAnsi="宋体" w:eastAsia="宋体" w:cs="宋体"/>
                <w:color w:val="auto"/>
                <w:kern w:val="0"/>
                <w:szCs w:val="21"/>
                <w:highlight w:val="none"/>
              </w:rPr>
            </w:pPr>
          </w:p>
        </w:tc>
      </w:tr>
      <w:tr w14:paraId="2288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2BB55AE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794" w:type="pct"/>
            <w:vAlign w:val="center"/>
          </w:tcPr>
          <w:p w14:paraId="0A267BF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1366" w:type="pct"/>
            <w:vAlign w:val="center"/>
          </w:tcPr>
          <w:p w14:paraId="7FDA4E3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货物的交付</w:t>
            </w:r>
          </w:p>
        </w:tc>
        <w:tc>
          <w:tcPr>
            <w:tcW w:w="646" w:type="pct"/>
            <w:vAlign w:val="center"/>
          </w:tcPr>
          <w:p w14:paraId="7E93B194">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721D850D">
            <w:pPr>
              <w:autoSpaceDE w:val="0"/>
              <w:autoSpaceDN w:val="0"/>
              <w:adjustRightInd w:val="0"/>
              <w:jc w:val="center"/>
              <w:rPr>
                <w:rFonts w:ascii="宋体" w:hAnsi="宋体" w:eastAsia="宋体" w:cs="宋体"/>
                <w:color w:val="auto"/>
                <w:kern w:val="0"/>
                <w:szCs w:val="21"/>
                <w:highlight w:val="none"/>
              </w:rPr>
            </w:pPr>
          </w:p>
        </w:tc>
      </w:tr>
      <w:tr w14:paraId="4FE6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7B1A877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794" w:type="pct"/>
            <w:vAlign w:val="center"/>
          </w:tcPr>
          <w:p w14:paraId="5796650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1366" w:type="pct"/>
            <w:vAlign w:val="center"/>
          </w:tcPr>
          <w:p w14:paraId="74FA045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安装、调试</w:t>
            </w:r>
          </w:p>
        </w:tc>
        <w:tc>
          <w:tcPr>
            <w:tcW w:w="646" w:type="pct"/>
            <w:vAlign w:val="center"/>
          </w:tcPr>
          <w:p w14:paraId="1656F3F3">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781AAD9E">
            <w:pPr>
              <w:autoSpaceDE w:val="0"/>
              <w:autoSpaceDN w:val="0"/>
              <w:adjustRightInd w:val="0"/>
              <w:jc w:val="center"/>
              <w:rPr>
                <w:rFonts w:ascii="宋体" w:hAnsi="宋体" w:eastAsia="宋体" w:cs="宋体"/>
                <w:color w:val="auto"/>
                <w:kern w:val="0"/>
                <w:szCs w:val="21"/>
                <w:highlight w:val="none"/>
              </w:rPr>
            </w:pPr>
          </w:p>
        </w:tc>
      </w:tr>
      <w:tr w14:paraId="6523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60C1C9D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794" w:type="pct"/>
            <w:vAlign w:val="center"/>
          </w:tcPr>
          <w:p w14:paraId="5C6779F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1366" w:type="pct"/>
            <w:vAlign w:val="center"/>
          </w:tcPr>
          <w:p w14:paraId="464A4AF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w:t>
            </w:r>
          </w:p>
        </w:tc>
        <w:tc>
          <w:tcPr>
            <w:tcW w:w="646" w:type="pct"/>
            <w:vAlign w:val="center"/>
          </w:tcPr>
          <w:p w14:paraId="6A69D71A">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7DD546AA">
            <w:pPr>
              <w:autoSpaceDE w:val="0"/>
              <w:autoSpaceDN w:val="0"/>
              <w:adjustRightInd w:val="0"/>
              <w:jc w:val="center"/>
              <w:rPr>
                <w:rFonts w:ascii="宋体" w:hAnsi="宋体" w:eastAsia="宋体" w:cs="宋体"/>
                <w:color w:val="auto"/>
                <w:kern w:val="0"/>
                <w:szCs w:val="21"/>
                <w:highlight w:val="none"/>
              </w:rPr>
            </w:pPr>
          </w:p>
        </w:tc>
      </w:tr>
      <w:tr w14:paraId="408F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5B5CC76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794" w:type="pct"/>
            <w:shd w:val="clear" w:color="auto" w:fill="auto"/>
            <w:vAlign w:val="center"/>
          </w:tcPr>
          <w:p w14:paraId="6BBA768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1366" w:type="pct"/>
            <w:shd w:val="clear" w:color="auto" w:fill="auto"/>
            <w:vAlign w:val="center"/>
          </w:tcPr>
          <w:p w14:paraId="0770426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项目照管</w:t>
            </w:r>
          </w:p>
        </w:tc>
        <w:tc>
          <w:tcPr>
            <w:tcW w:w="646" w:type="pct"/>
            <w:vAlign w:val="center"/>
          </w:tcPr>
          <w:p w14:paraId="60D62534">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3567761E">
            <w:pPr>
              <w:autoSpaceDE w:val="0"/>
              <w:autoSpaceDN w:val="0"/>
              <w:adjustRightInd w:val="0"/>
              <w:jc w:val="center"/>
              <w:rPr>
                <w:rFonts w:ascii="宋体" w:hAnsi="宋体" w:eastAsia="宋体" w:cs="宋体"/>
                <w:color w:val="auto"/>
                <w:kern w:val="0"/>
                <w:szCs w:val="21"/>
                <w:highlight w:val="none"/>
              </w:rPr>
            </w:pPr>
          </w:p>
        </w:tc>
      </w:tr>
      <w:tr w14:paraId="199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23E65EF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794" w:type="pct"/>
            <w:shd w:val="clear" w:color="auto" w:fill="auto"/>
            <w:vAlign w:val="center"/>
          </w:tcPr>
          <w:p w14:paraId="260F6A7B">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第十二条</w:t>
            </w:r>
          </w:p>
        </w:tc>
        <w:tc>
          <w:tcPr>
            <w:tcW w:w="1366" w:type="pct"/>
            <w:shd w:val="clear" w:color="auto" w:fill="auto"/>
            <w:vAlign w:val="center"/>
          </w:tcPr>
          <w:p w14:paraId="7B66EE7C">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知识产权</w:t>
            </w:r>
          </w:p>
        </w:tc>
        <w:tc>
          <w:tcPr>
            <w:tcW w:w="646" w:type="pct"/>
            <w:vAlign w:val="center"/>
          </w:tcPr>
          <w:p w14:paraId="778E0772">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1C760AF9">
            <w:pPr>
              <w:autoSpaceDE w:val="0"/>
              <w:autoSpaceDN w:val="0"/>
              <w:adjustRightInd w:val="0"/>
              <w:jc w:val="center"/>
              <w:rPr>
                <w:rFonts w:ascii="宋体" w:hAnsi="宋体" w:eastAsia="宋体" w:cs="宋体"/>
                <w:color w:val="auto"/>
                <w:kern w:val="0"/>
                <w:szCs w:val="21"/>
                <w:highlight w:val="none"/>
              </w:rPr>
            </w:pPr>
          </w:p>
        </w:tc>
      </w:tr>
      <w:tr w14:paraId="511E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69C2D7F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794" w:type="pct"/>
            <w:shd w:val="clear" w:color="auto" w:fill="auto"/>
            <w:vAlign w:val="center"/>
          </w:tcPr>
          <w:p w14:paraId="7CA344B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1366" w:type="pct"/>
            <w:shd w:val="clear" w:color="auto" w:fill="auto"/>
            <w:vAlign w:val="center"/>
          </w:tcPr>
          <w:p w14:paraId="50356A2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技术服务、设计联络、设计技术要求和培训</w:t>
            </w:r>
          </w:p>
        </w:tc>
        <w:tc>
          <w:tcPr>
            <w:tcW w:w="646" w:type="pct"/>
            <w:vAlign w:val="center"/>
          </w:tcPr>
          <w:p w14:paraId="709B6914">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215A9D43">
            <w:pPr>
              <w:autoSpaceDE w:val="0"/>
              <w:autoSpaceDN w:val="0"/>
              <w:adjustRightInd w:val="0"/>
              <w:jc w:val="center"/>
              <w:rPr>
                <w:rFonts w:ascii="宋体" w:hAnsi="宋体" w:eastAsia="宋体" w:cs="宋体"/>
                <w:color w:val="auto"/>
                <w:kern w:val="0"/>
                <w:szCs w:val="21"/>
                <w:highlight w:val="none"/>
              </w:rPr>
            </w:pPr>
          </w:p>
        </w:tc>
      </w:tr>
      <w:tr w14:paraId="1F84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6BC15CBF">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794" w:type="pct"/>
            <w:shd w:val="clear" w:color="auto" w:fill="auto"/>
            <w:vAlign w:val="center"/>
          </w:tcPr>
          <w:p w14:paraId="1D4A2FB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1366" w:type="pct"/>
            <w:shd w:val="clear" w:color="auto" w:fill="auto"/>
            <w:vAlign w:val="center"/>
          </w:tcPr>
          <w:p w14:paraId="0A919D3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质保期及售后服务</w:t>
            </w:r>
          </w:p>
        </w:tc>
        <w:tc>
          <w:tcPr>
            <w:tcW w:w="646" w:type="pct"/>
            <w:vAlign w:val="center"/>
          </w:tcPr>
          <w:p w14:paraId="04340897">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5EDBD444">
            <w:pPr>
              <w:autoSpaceDE w:val="0"/>
              <w:autoSpaceDN w:val="0"/>
              <w:adjustRightInd w:val="0"/>
              <w:jc w:val="center"/>
              <w:rPr>
                <w:rFonts w:ascii="宋体" w:hAnsi="宋体" w:eastAsia="宋体" w:cs="宋体"/>
                <w:color w:val="auto"/>
                <w:kern w:val="0"/>
                <w:szCs w:val="21"/>
                <w:highlight w:val="none"/>
              </w:rPr>
            </w:pPr>
          </w:p>
        </w:tc>
      </w:tr>
      <w:tr w14:paraId="6C25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1201CCA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794" w:type="pct"/>
            <w:shd w:val="clear" w:color="auto" w:fill="auto"/>
            <w:vAlign w:val="center"/>
          </w:tcPr>
          <w:p w14:paraId="5AB6CA5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1366" w:type="pct"/>
            <w:shd w:val="clear" w:color="auto" w:fill="auto"/>
            <w:vAlign w:val="center"/>
          </w:tcPr>
          <w:p w14:paraId="1DB73B6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项目运维</w:t>
            </w:r>
          </w:p>
        </w:tc>
        <w:tc>
          <w:tcPr>
            <w:tcW w:w="646" w:type="pct"/>
            <w:vAlign w:val="center"/>
          </w:tcPr>
          <w:p w14:paraId="0B994BF9">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54FAEA49">
            <w:pPr>
              <w:autoSpaceDE w:val="0"/>
              <w:autoSpaceDN w:val="0"/>
              <w:adjustRightInd w:val="0"/>
              <w:jc w:val="center"/>
              <w:rPr>
                <w:rFonts w:ascii="宋体" w:hAnsi="宋体" w:eastAsia="宋体" w:cs="宋体"/>
                <w:color w:val="auto"/>
                <w:kern w:val="0"/>
                <w:szCs w:val="21"/>
                <w:highlight w:val="none"/>
              </w:rPr>
            </w:pPr>
          </w:p>
        </w:tc>
      </w:tr>
      <w:tr w14:paraId="2D19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3180240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794" w:type="pct"/>
            <w:shd w:val="clear" w:color="auto" w:fill="auto"/>
            <w:vAlign w:val="center"/>
          </w:tcPr>
          <w:p w14:paraId="4EC6E03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1366" w:type="pct"/>
            <w:shd w:val="clear" w:color="auto" w:fill="auto"/>
            <w:vAlign w:val="center"/>
          </w:tcPr>
          <w:p w14:paraId="4C0AA81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履约担保</w:t>
            </w:r>
          </w:p>
        </w:tc>
        <w:tc>
          <w:tcPr>
            <w:tcW w:w="646" w:type="pct"/>
            <w:vAlign w:val="center"/>
          </w:tcPr>
          <w:p w14:paraId="59626FFC">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2B8C27A6">
            <w:pPr>
              <w:autoSpaceDE w:val="0"/>
              <w:autoSpaceDN w:val="0"/>
              <w:adjustRightInd w:val="0"/>
              <w:jc w:val="center"/>
              <w:rPr>
                <w:rFonts w:ascii="宋体" w:hAnsi="宋体" w:eastAsia="宋体" w:cs="宋体"/>
                <w:color w:val="auto"/>
                <w:kern w:val="0"/>
                <w:szCs w:val="21"/>
                <w:highlight w:val="none"/>
              </w:rPr>
            </w:pPr>
          </w:p>
        </w:tc>
      </w:tr>
      <w:tr w14:paraId="3719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2709C79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794" w:type="pct"/>
            <w:shd w:val="clear" w:color="auto" w:fill="auto"/>
            <w:vAlign w:val="center"/>
          </w:tcPr>
          <w:p w14:paraId="0D4CFCC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1366" w:type="pct"/>
            <w:shd w:val="clear" w:color="auto" w:fill="auto"/>
            <w:vAlign w:val="center"/>
          </w:tcPr>
          <w:p w14:paraId="3543AF8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技术资料</w:t>
            </w:r>
          </w:p>
        </w:tc>
        <w:tc>
          <w:tcPr>
            <w:tcW w:w="646" w:type="pct"/>
            <w:vAlign w:val="center"/>
          </w:tcPr>
          <w:p w14:paraId="7459AF13">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59B37563">
            <w:pPr>
              <w:autoSpaceDE w:val="0"/>
              <w:autoSpaceDN w:val="0"/>
              <w:adjustRightInd w:val="0"/>
              <w:jc w:val="center"/>
              <w:rPr>
                <w:rFonts w:ascii="宋体" w:hAnsi="宋体" w:eastAsia="宋体" w:cs="宋体"/>
                <w:color w:val="auto"/>
                <w:kern w:val="0"/>
                <w:szCs w:val="21"/>
                <w:highlight w:val="none"/>
              </w:rPr>
            </w:pPr>
          </w:p>
        </w:tc>
      </w:tr>
      <w:tr w14:paraId="0337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1E07EA2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794" w:type="pct"/>
            <w:shd w:val="clear" w:color="auto" w:fill="auto"/>
            <w:vAlign w:val="center"/>
          </w:tcPr>
          <w:p w14:paraId="7AE90EC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第十八条</w:t>
            </w:r>
          </w:p>
        </w:tc>
        <w:tc>
          <w:tcPr>
            <w:tcW w:w="1366" w:type="pct"/>
            <w:shd w:val="clear" w:color="auto" w:fill="auto"/>
            <w:vAlign w:val="center"/>
          </w:tcPr>
          <w:p w14:paraId="3D7267E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廉洁条款</w:t>
            </w:r>
          </w:p>
        </w:tc>
        <w:tc>
          <w:tcPr>
            <w:tcW w:w="646" w:type="pct"/>
            <w:vAlign w:val="center"/>
          </w:tcPr>
          <w:p w14:paraId="7543F245">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73F3175D">
            <w:pPr>
              <w:autoSpaceDE w:val="0"/>
              <w:autoSpaceDN w:val="0"/>
              <w:adjustRightInd w:val="0"/>
              <w:jc w:val="center"/>
              <w:rPr>
                <w:rFonts w:ascii="宋体" w:hAnsi="宋体" w:eastAsia="宋体" w:cs="宋体"/>
                <w:color w:val="auto"/>
                <w:kern w:val="0"/>
                <w:szCs w:val="21"/>
                <w:highlight w:val="none"/>
              </w:rPr>
            </w:pPr>
          </w:p>
        </w:tc>
      </w:tr>
      <w:tr w14:paraId="6592C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601CC4E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794" w:type="pct"/>
            <w:shd w:val="clear" w:color="auto" w:fill="auto"/>
            <w:vAlign w:val="center"/>
          </w:tcPr>
          <w:p w14:paraId="3B7A931E">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第十九条</w:t>
            </w:r>
          </w:p>
        </w:tc>
        <w:tc>
          <w:tcPr>
            <w:tcW w:w="1366" w:type="pct"/>
            <w:shd w:val="clear" w:color="auto" w:fill="auto"/>
            <w:vAlign w:val="center"/>
          </w:tcPr>
          <w:p w14:paraId="73460E6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646" w:type="pct"/>
            <w:vAlign w:val="center"/>
          </w:tcPr>
          <w:p w14:paraId="1F29A497">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5155AD5E">
            <w:pPr>
              <w:autoSpaceDE w:val="0"/>
              <w:autoSpaceDN w:val="0"/>
              <w:adjustRightInd w:val="0"/>
              <w:jc w:val="center"/>
              <w:rPr>
                <w:rFonts w:ascii="宋体" w:hAnsi="宋体" w:eastAsia="宋体" w:cs="宋体"/>
                <w:color w:val="auto"/>
                <w:kern w:val="0"/>
                <w:szCs w:val="21"/>
                <w:highlight w:val="none"/>
              </w:rPr>
            </w:pPr>
          </w:p>
        </w:tc>
      </w:tr>
      <w:tr w14:paraId="0406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55AF0C7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794" w:type="pct"/>
            <w:shd w:val="clear" w:color="auto" w:fill="auto"/>
            <w:vAlign w:val="center"/>
          </w:tcPr>
          <w:p w14:paraId="5072656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第二十条</w:t>
            </w:r>
          </w:p>
        </w:tc>
        <w:tc>
          <w:tcPr>
            <w:tcW w:w="1366" w:type="pct"/>
            <w:shd w:val="clear" w:color="auto" w:fill="auto"/>
            <w:vAlign w:val="center"/>
          </w:tcPr>
          <w:p w14:paraId="4E1CBB2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646" w:type="pct"/>
            <w:vAlign w:val="center"/>
          </w:tcPr>
          <w:p w14:paraId="6C0CD483">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0E8BF76D">
            <w:pPr>
              <w:autoSpaceDE w:val="0"/>
              <w:autoSpaceDN w:val="0"/>
              <w:adjustRightInd w:val="0"/>
              <w:jc w:val="center"/>
              <w:rPr>
                <w:rFonts w:ascii="宋体" w:hAnsi="宋体" w:eastAsia="宋体" w:cs="宋体"/>
                <w:color w:val="auto"/>
                <w:kern w:val="0"/>
                <w:szCs w:val="21"/>
                <w:highlight w:val="none"/>
              </w:rPr>
            </w:pPr>
          </w:p>
        </w:tc>
      </w:tr>
      <w:tr w14:paraId="3ADE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3E1CF09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794" w:type="pct"/>
            <w:shd w:val="clear" w:color="auto" w:fill="auto"/>
            <w:vAlign w:val="center"/>
          </w:tcPr>
          <w:p w14:paraId="3B951B5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第二十一条</w:t>
            </w:r>
          </w:p>
        </w:tc>
        <w:tc>
          <w:tcPr>
            <w:tcW w:w="1366" w:type="pct"/>
            <w:shd w:val="clear" w:color="auto" w:fill="auto"/>
            <w:vAlign w:val="center"/>
          </w:tcPr>
          <w:p w14:paraId="43A3F7B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646" w:type="pct"/>
            <w:vAlign w:val="center"/>
          </w:tcPr>
          <w:p w14:paraId="320DD33D">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1CB713C1">
            <w:pPr>
              <w:autoSpaceDE w:val="0"/>
              <w:autoSpaceDN w:val="0"/>
              <w:adjustRightInd w:val="0"/>
              <w:jc w:val="center"/>
              <w:rPr>
                <w:rFonts w:ascii="宋体" w:hAnsi="宋体" w:eastAsia="宋体" w:cs="宋体"/>
                <w:color w:val="auto"/>
                <w:kern w:val="0"/>
                <w:szCs w:val="21"/>
                <w:highlight w:val="none"/>
              </w:rPr>
            </w:pPr>
          </w:p>
        </w:tc>
      </w:tr>
      <w:tr w14:paraId="6AB8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6CA11CA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794" w:type="pct"/>
            <w:shd w:val="clear" w:color="auto" w:fill="auto"/>
            <w:vAlign w:val="center"/>
          </w:tcPr>
          <w:p w14:paraId="5A82549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第二十二条</w:t>
            </w:r>
          </w:p>
        </w:tc>
        <w:tc>
          <w:tcPr>
            <w:tcW w:w="1366" w:type="pct"/>
            <w:shd w:val="clear" w:color="auto" w:fill="auto"/>
            <w:vAlign w:val="center"/>
          </w:tcPr>
          <w:p w14:paraId="7FDEE7A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646" w:type="pct"/>
            <w:vAlign w:val="center"/>
          </w:tcPr>
          <w:p w14:paraId="5CAC30D6">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153744B9">
            <w:pPr>
              <w:autoSpaceDE w:val="0"/>
              <w:autoSpaceDN w:val="0"/>
              <w:adjustRightInd w:val="0"/>
              <w:jc w:val="center"/>
              <w:rPr>
                <w:rFonts w:ascii="宋体" w:hAnsi="宋体" w:eastAsia="宋体" w:cs="宋体"/>
                <w:color w:val="auto"/>
                <w:kern w:val="0"/>
                <w:szCs w:val="21"/>
                <w:highlight w:val="none"/>
              </w:rPr>
            </w:pPr>
          </w:p>
        </w:tc>
      </w:tr>
      <w:tr w14:paraId="71CF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3F3CDC91">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794" w:type="pct"/>
            <w:shd w:val="clear" w:color="auto" w:fill="auto"/>
            <w:vAlign w:val="center"/>
          </w:tcPr>
          <w:p w14:paraId="77FD3D6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第二十三条</w:t>
            </w:r>
          </w:p>
        </w:tc>
        <w:tc>
          <w:tcPr>
            <w:tcW w:w="1366" w:type="pct"/>
            <w:shd w:val="clear" w:color="auto" w:fill="auto"/>
            <w:vAlign w:val="center"/>
          </w:tcPr>
          <w:p w14:paraId="63CADDB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w:t>
            </w:r>
          </w:p>
        </w:tc>
        <w:tc>
          <w:tcPr>
            <w:tcW w:w="646" w:type="pct"/>
            <w:vAlign w:val="center"/>
          </w:tcPr>
          <w:p w14:paraId="3445B7D8">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5B84EC66">
            <w:pPr>
              <w:autoSpaceDE w:val="0"/>
              <w:autoSpaceDN w:val="0"/>
              <w:adjustRightInd w:val="0"/>
              <w:jc w:val="center"/>
              <w:rPr>
                <w:rFonts w:ascii="宋体" w:hAnsi="宋体" w:eastAsia="宋体" w:cs="宋体"/>
                <w:color w:val="auto"/>
                <w:kern w:val="0"/>
                <w:szCs w:val="21"/>
                <w:highlight w:val="none"/>
              </w:rPr>
            </w:pPr>
          </w:p>
        </w:tc>
      </w:tr>
      <w:tr w14:paraId="7541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5149491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794" w:type="pct"/>
            <w:shd w:val="clear" w:color="auto" w:fill="auto"/>
            <w:vAlign w:val="center"/>
          </w:tcPr>
          <w:p w14:paraId="635E170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第二十四条</w:t>
            </w:r>
          </w:p>
        </w:tc>
        <w:tc>
          <w:tcPr>
            <w:tcW w:w="1366" w:type="pct"/>
            <w:shd w:val="clear" w:color="auto" w:fill="auto"/>
            <w:vAlign w:val="center"/>
          </w:tcPr>
          <w:p w14:paraId="476F671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646" w:type="pct"/>
            <w:vAlign w:val="center"/>
          </w:tcPr>
          <w:p w14:paraId="2D058887">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68F46797">
            <w:pPr>
              <w:autoSpaceDE w:val="0"/>
              <w:autoSpaceDN w:val="0"/>
              <w:adjustRightInd w:val="0"/>
              <w:jc w:val="center"/>
              <w:rPr>
                <w:rFonts w:ascii="宋体" w:hAnsi="宋体" w:eastAsia="宋体" w:cs="宋体"/>
                <w:color w:val="auto"/>
                <w:kern w:val="0"/>
                <w:szCs w:val="21"/>
                <w:highlight w:val="none"/>
              </w:rPr>
            </w:pPr>
          </w:p>
        </w:tc>
      </w:tr>
      <w:tr w14:paraId="0643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72C8C879">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25</w:t>
            </w:r>
          </w:p>
        </w:tc>
        <w:tc>
          <w:tcPr>
            <w:tcW w:w="794" w:type="pct"/>
            <w:vAlign w:val="center"/>
          </w:tcPr>
          <w:p w14:paraId="1BEDF17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附件4</w:t>
            </w:r>
          </w:p>
        </w:tc>
        <w:tc>
          <w:tcPr>
            <w:tcW w:w="1366" w:type="pct"/>
            <w:vAlign w:val="center"/>
          </w:tcPr>
          <w:p w14:paraId="13E8E13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646" w:type="pct"/>
            <w:vAlign w:val="center"/>
          </w:tcPr>
          <w:p w14:paraId="276DA114">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6F683A7C">
            <w:pPr>
              <w:autoSpaceDE w:val="0"/>
              <w:autoSpaceDN w:val="0"/>
              <w:adjustRightInd w:val="0"/>
              <w:jc w:val="center"/>
              <w:rPr>
                <w:rFonts w:ascii="宋体" w:hAnsi="宋体" w:eastAsia="宋体" w:cs="宋体"/>
                <w:color w:val="auto"/>
                <w:kern w:val="0"/>
                <w:szCs w:val="21"/>
                <w:highlight w:val="none"/>
              </w:rPr>
            </w:pPr>
          </w:p>
        </w:tc>
      </w:tr>
      <w:tr w14:paraId="75B5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0" w:type="pct"/>
            <w:vAlign w:val="center"/>
          </w:tcPr>
          <w:p w14:paraId="3B25A947">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794" w:type="pct"/>
            <w:vAlign w:val="center"/>
          </w:tcPr>
          <w:p w14:paraId="7259020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附件5</w:t>
            </w:r>
          </w:p>
        </w:tc>
        <w:tc>
          <w:tcPr>
            <w:tcW w:w="1366" w:type="pct"/>
            <w:vAlign w:val="center"/>
          </w:tcPr>
          <w:p w14:paraId="259F89C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646" w:type="pct"/>
            <w:vAlign w:val="center"/>
          </w:tcPr>
          <w:p w14:paraId="09688DBF">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0CC9F74C">
            <w:pPr>
              <w:autoSpaceDE w:val="0"/>
              <w:autoSpaceDN w:val="0"/>
              <w:adjustRightInd w:val="0"/>
              <w:jc w:val="center"/>
              <w:rPr>
                <w:rFonts w:ascii="宋体" w:hAnsi="宋体" w:eastAsia="宋体" w:cs="宋体"/>
                <w:color w:val="auto"/>
                <w:kern w:val="0"/>
                <w:szCs w:val="21"/>
                <w:highlight w:val="none"/>
              </w:rPr>
            </w:pPr>
          </w:p>
        </w:tc>
      </w:tr>
      <w:tr w14:paraId="21B5F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Align w:val="center"/>
          </w:tcPr>
          <w:p w14:paraId="1B338594">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7</w:t>
            </w:r>
          </w:p>
        </w:tc>
        <w:tc>
          <w:tcPr>
            <w:tcW w:w="794" w:type="pct"/>
            <w:vAlign w:val="center"/>
          </w:tcPr>
          <w:p w14:paraId="38A081C5">
            <w:pPr>
              <w:autoSpaceDE w:val="0"/>
              <w:autoSpaceDN w:val="0"/>
              <w:adjustRightInd w:val="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7</w:t>
            </w:r>
          </w:p>
        </w:tc>
        <w:tc>
          <w:tcPr>
            <w:tcW w:w="1366" w:type="pct"/>
            <w:vAlign w:val="center"/>
          </w:tcPr>
          <w:p w14:paraId="4762D0C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运维服务质量季度考核评分表</w:t>
            </w:r>
          </w:p>
        </w:tc>
        <w:tc>
          <w:tcPr>
            <w:tcW w:w="646" w:type="pct"/>
            <w:vAlign w:val="center"/>
          </w:tcPr>
          <w:p w14:paraId="60BEA248">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2D883020">
            <w:pPr>
              <w:autoSpaceDE w:val="0"/>
              <w:autoSpaceDN w:val="0"/>
              <w:adjustRightInd w:val="0"/>
              <w:jc w:val="center"/>
              <w:rPr>
                <w:rFonts w:ascii="宋体" w:hAnsi="宋体" w:eastAsia="宋体" w:cs="宋体"/>
                <w:color w:val="auto"/>
                <w:kern w:val="0"/>
                <w:szCs w:val="21"/>
                <w:highlight w:val="none"/>
              </w:rPr>
            </w:pPr>
          </w:p>
        </w:tc>
      </w:tr>
      <w:tr w14:paraId="3C13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Align w:val="center"/>
          </w:tcPr>
          <w:p w14:paraId="661EAE82">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p>
        </w:tc>
        <w:tc>
          <w:tcPr>
            <w:tcW w:w="794" w:type="pct"/>
            <w:vAlign w:val="center"/>
          </w:tcPr>
          <w:p w14:paraId="7FD294B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1366" w:type="pct"/>
            <w:vAlign w:val="center"/>
          </w:tcPr>
          <w:p w14:paraId="0D6B475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646" w:type="pct"/>
            <w:vAlign w:val="center"/>
          </w:tcPr>
          <w:p w14:paraId="2A1FFB07">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5FAE4628">
            <w:pPr>
              <w:autoSpaceDE w:val="0"/>
              <w:autoSpaceDN w:val="0"/>
              <w:adjustRightInd w:val="0"/>
              <w:jc w:val="center"/>
              <w:rPr>
                <w:rFonts w:ascii="宋体" w:hAnsi="宋体" w:eastAsia="宋体" w:cs="宋体"/>
                <w:color w:val="auto"/>
                <w:kern w:val="0"/>
                <w:szCs w:val="21"/>
                <w:highlight w:val="none"/>
              </w:rPr>
            </w:pPr>
          </w:p>
        </w:tc>
      </w:tr>
      <w:tr w14:paraId="23E8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Align w:val="center"/>
          </w:tcPr>
          <w:p w14:paraId="2DAAB26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29</w:t>
            </w:r>
          </w:p>
        </w:tc>
        <w:tc>
          <w:tcPr>
            <w:tcW w:w="794" w:type="pct"/>
            <w:vAlign w:val="center"/>
          </w:tcPr>
          <w:p w14:paraId="661F023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1366" w:type="pct"/>
            <w:vAlign w:val="center"/>
          </w:tcPr>
          <w:p w14:paraId="530BD1DA">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646" w:type="pct"/>
            <w:vAlign w:val="center"/>
          </w:tcPr>
          <w:p w14:paraId="4B889AB7">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63423234">
            <w:pPr>
              <w:autoSpaceDE w:val="0"/>
              <w:autoSpaceDN w:val="0"/>
              <w:adjustRightInd w:val="0"/>
              <w:jc w:val="center"/>
              <w:rPr>
                <w:rFonts w:ascii="宋体" w:hAnsi="宋体" w:eastAsia="宋体" w:cs="宋体"/>
                <w:color w:val="auto"/>
                <w:kern w:val="0"/>
                <w:szCs w:val="21"/>
                <w:highlight w:val="none"/>
              </w:rPr>
            </w:pPr>
          </w:p>
        </w:tc>
      </w:tr>
      <w:tr w14:paraId="2741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Align w:val="center"/>
          </w:tcPr>
          <w:p w14:paraId="42FD82BE">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30</w:t>
            </w:r>
          </w:p>
        </w:tc>
        <w:tc>
          <w:tcPr>
            <w:tcW w:w="794" w:type="pct"/>
            <w:vAlign w:val="center"/>
          </w:tcPr>
          <w:p w14:paraId="0335927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1366" w:type="pct"/>
            <w:vAlign w:val="center"/>
          </w:tcPr>
          <w:p w14:paraId="0EDE487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646" w:type="pct"/>
            <w:vAlign w:val="center"/>
          </w:tcPr>
          <w:p w14:paraId="700F09B0">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65C4248B">
            <w:pPr>
              <w:autoSpaceDE w:val="0"/>
              <w:autoSpaceDN w:val="0"/>
              <w:adjustRightInd w:val="0"/>
              <w:jc w:val="center"/>
              <w:rPr>
                <w:rFonts w:ascii="宋体" w:hAnsi="宋体" w:eastAsia="宋体" w:cs="宋体"/>
                <w:color w:val="auto"/>
                <w:kern w:val="0"/>
                <w:szCs w:val="21"/>
                <w:highlight w:val="none"/>
              </w:rPr>
            </w:pPr>
          </w:p>
        </w:tc>
      </w:tr>
      <w:tr w14:paraId="7F9E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Align w:val="center"/>
          </w:tcPr>
          <w:p w14:paraId="49CA75F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31</w:t>
            </w:r>
          </w:p>
        </w:tc>
        <w:tc>
          <w:tcPr>
            <w:tcW w:w="1463" w:type="dxa"/>
            <w:vAlign w:val="center"/>
          </w:tcPr>
          <w:p w14:paraId="46AD78C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四</w:t>
            </w:r>
          </w:p>
        </w:tc>
        <w:tc>
          <w:tcPr>
            <w:tcW w:w="2516" w:type="dxa"/>
            <w:vAlign w:val="center"/>
          </w:tcPr>
          <w:p w14:paraId="1ACF97C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不可撤销银行预付款保函</w:t>
            </w:r>
          </w:p>
        </w:tc>
        <w:tc>
          <w:tcPr>
            <w:tcW w:w="646" w:type="pct"/>
            <w:vAlign w:val="center"/>
          </w:tcPr>
          <w:p w14:paraId="4C5C46EB">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76F9FABC">
            <w:pPr>
              <w:autoSpaceDE w:val="0"/>
              <w:autoSpaceDN w:val="0"/>
              <w:adjustRightInd w:val="0"/>
              <w:jc w:val="center"/>
              <w:rPr>
                <w:rFonts w:ascii="宋体" w:hAnsi="宋体" w:eastAsia="宋体" w:cs="宋体"/>
                <w:color w:val="auto"/>
                <w:kern w:val="0"/>
                <w:szCs w:val="21"/>
                <w:highlight w:val="none"/>
              </w:rPr>
            </w:pPr>
          </w:p>
        </w:tc>
      </w:tr>
      <w:tr w14:paraId="0689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3" w:type="dxa"/>
            <w:vAlign w:val="center"/>
          </w:tcPr>
          <w:p w14:paraId="5FA2C0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32</w:t>
            </w:r>
          </w:p>
        </w:tc>
        <w:tc>
          <w:tcPr>
            <w:tcW w:w="1463" w:type="dxa"/>
            <w:vAlign w:val="center"/>
          </w:tcPr>
          <w:p w14:paraId="685D265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五</w:t>
            </w:r>
          </w:p>
        </w:tc>
        <w:tc>
          <w:tcPr>
            <w:tcW w:w="2516" w:type="dxa"/>
            <w:vAlign w:val="center"/>
          </w:tcPr>
          <w:p w14:paraId="49E5C7F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不可撤销银行</w:t>
            </w:r>
            <w:r>
              <w:rPr>
                <w:rFonts w:hint="eastAsia" w:ascii="宋体" w:hAnsi="宋体" w:eastAsia="宋体" w:cs="宋体"/>
                <w:color w:val="auto"/>
                <w:kern w:val="0"/>
                <w:szCs w:val="21"/>
                <w:highlight w:val="none"/>
              </w:rPr>
              <w:t>质量保修保函</w:t>
            </w:r>
          </w:p>
        </w:tc>
        <w:tc>
          <w:tcPr>
            <w:tcW w:w="646" w:type="pct"/>
            <w:vAlign w:val="center"/>
          </w:tcPr>
          <w:p w14:paraId="535A3210">
            <w:pPr>
              <w:autoSpaceDE w:val="0"/>
              <w:autoSpaceDN w:val="0"/>
              <w:adjustRightInd w:val="0"/>
              <w:jc w:val="center"/>
              <w:rPr>
                <w:rFonts w:ascii="宋体" w:hAnsi="宋体" w:eastAsia="宋体" w:cs="宋体"/>
                <w:color w:val="auto"/>
                <w:kern w:val="0"/>
                <w:szCs w:val="21"/>
                <w:highlight w:val="none"/>
              </w:rPr>
            </w:pPr>
          </w:p>
        </w:tc>
        <w:tc>
          <w:tcPr>
            <w:tcW w:w="1703" w:type="pct"/>
            <w:vAlign w:val="center"/>
          </w:tcPr>
          <w:p w14:paraId="2374122C">
            <w:pPr>
              <w:autoSpaceDE w:val="0"/>
              <w:autoSpaceDN w:val="0"/>
              <w:adjustRightInd w:val="0"/>
              <w:jc w:val="center"/>
              <w:rPr>
                <w:rFonts w:ascii="宋体" w:hAnsi="宋体" w:eastAsia="宋体" w:cs="宋体"/>
                <w:color w:val="auto"/>
                <w:kern w:val="0"/>
                <w:szCs w:val="21"/>
                <w:highlight w:val="none"/>
              </w:rPr>
            </w:pPr>
          </w:p>
        </w:tc>
      </w:tr>
    </w:tbl>
    <w:p w14:paraId="72754FAC">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highlight w:val="none"/>
          <w:lang w:val="zh-CN"/>
        </w:rPr>
      </w:pPr>
    </w:p>
    <w:p w14:paraId="4A81CB3E">
      <w:pPr>
        <w:autoSpaceDE w:val="0"/>
        <w:autoSpaceDN w:val="0"/>
        <w:adjustRightInd w:val="0"/>
        <w:snapToGrid w:val="0"/>
        <w:spacing w:line="360" w:lineRule="auto"/>
        <w:ind w:left="166" w:leftChars="-101" w:hanging="378" w:hangingChars="18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259A3C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1065A51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7B91681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29AB023A">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350C7413">
      <w:pPr>
        <w:spacing w:line="360" w:lineRule="auto"/>
        <w:ind w:left="357" w:leftChars="-100" w:hanging="567" w:hangingChars="270"/>
        <w:rPr>
          <w:rFonts w:ascii="宋体" w:hAnsi="宋体" w:eastAsia="宋体" w:cs="宋体"/>
          <w:color w:val="auto"/>
          <w:szCs w:val="21"/>
          <w:highlight w:val="none"/>
        </w:rPr>
      </w:pPr>
    </w:p>
    <w:p w14:paraId="6F264D02">
      <w:pPr>
        <w:spacing w:line="360" w:lineRule="auto"/>
        <w:ind w:left="357" w:leftChars="-100" w:hanging="567" w:hangingChars="270"/>
        <w:rPr>
          <w:rFonts w:ascii="宋体" w:hAnsi="宋体" w:eastAsia="宋体" w:cs="宋体"/>
          <w:color w:val="auto"/>
          <w:szCs w:val="21"/>
          <w:highlight w:val="none"/>
        </w:rPr>
      </w:pPr>
    </w:p>
    <w:p w14:paraId="3C00EB07">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78FDC0D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6641CA4">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496E4B2">
      <w:pPr>
        <w:autoSpaceDE w:val="0"/>
        <w:autoSpaceDN w:val="0"/>
        <w:adjustRightInd w:val="0"/>
        <w:spacing w:line="360" w:lineRule="auto"/>
        <w:jc w:val="center"/>
        <w:rPr>
          <w:rFonts w:ascii="宋体" w:hAnsi="宋体" w:eastAsia="宋体" w:cs="宋体"/>
          <w:b/>
          <w:bCs/>
          <w:color w:val="auto"/>
          <w:szCs w:val="24"/>
          <w:highlight w:val="none"/>
          <w:lang w:val="zh-CN"/>
        </w:rPr>
      </w:pPr>
    </w:p>
    <w:p w14:paraId="34514BFB">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5EF309A">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1217" w:name="_Toc6740"/>
      <w:bookmarkStart w:id="1218" w:name="_Toc104991884"/>
      <w:bookmarkStart w:id="1219" w:name="_Toc6230"/>
      <w:bookmarkStart w:id="1220" w:name="_Toc140596937"/>
      <w:bookmarkStart w:id="1221" w:name="_Toc94107218"/>
      <w:bookmarkStart w:id="1222" w:name="_Toc29505"/>
      <w:bookmarkStart w:id="1223" w:name="_Toc102860082"/>
      <w:bookmarkStart w:id="1224" w:name="_Toc27005"/>
      <w:bookmarkStart w:id="1225" w:name="_Toc31371"/>
      <w:bookmarkStart w:id="1226" w:name="_Toc195714391"/>
      <w:bookmarkStart w:id="1227" w:name="_Toc102860426"/>
      <w:bookmarkStart w:id="1228" w:name="_Toc13179"/>
      <w:bookmarkStart w:id="1229" w:name="_Toc5473"/>
      <w:bookmarkStart w:id="1230" w:name="_Toc142508377"/>
      <w:bookmarkStart w:id="1231" w:name="_Toc21963"/>
      <w:bookmarkStart w:id="1232" w:name="_Toc11349"/>
      <w:bookmarkStart w:id="1233" w:name="_Toc5987"/>
      <w:bookmarkStart w:id="1234" w:name="_Toc486167717"/>
      <w:bookmarkStart w:id="1235" w:name="_Toc27980_WPSOffice_Level2"/>
      <w:r>
        <w:rPr>
          <w:rFonts w:hint="eastAsia" w:ascii="宋体" w:hAnsi="宋体" w:eastAsia="宋体" w:cs="宋体"/>
          <w:b/>
          <w:color w:val="auto"/>
          <w:kern w:val="0"/>
          <w:sz w:val="32"/>
          <w:szCs w:val="32"/>
          <w:highlight w:val="none"/>
        </w:rPr>
        <w:t>九、业绩表格式</w:t>
      </w:r>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69EF22CE">
      <w:pPr>
        <w:autoSpaceDE w:val="0"/>
        <w:autoSpaceDN w:val="0"/>
        <w:adjustRightInd w:val="0"/>
        <w:spacing w:line="360" w:lineRule="auto"/>
        <w:ind w:firstLine="602"/>
        <w:jc w:val="center"/>
        <w:rPr>
          <w:rFonts w:ascii="宋体" w:hAnsi="宋体" w:eastAsia="宋体" w:cs="宋体"/>
          <w:b/>
          <w:bCs/>
          <w:color w:val="auto"/>
          <w:sz w:val="30"/>
          <w:szCs w:val="30"/>
          <w:highlight w:val="none"/>
          <w:lang w:val="zh-CN"/>
        </w:rPr>
      </w:pPr>
      <w:bookmarkStart w:id="1236" w:name="OLE_LINK124"/>
      <w:r>
        <w:rPr>
          <w:rFonts w:hint="eastAsia" w:ascii="宋体" w:hAnsi="宋体" w:eastAsia="宋体" w:cs="宋体"/>
          <w:b/>
          <w:bCs/>
          <w:color w:val="auto"/>
          <w:sz w:val="30"/>
          <w:szCs w:val="30"/>
          <w:highlight w:val="none"/>
          <w:lang w:val="zh-CN"/>
        </w:rPr>
        <w:t>投标人</w:t>
      </w:r>
      <w:r>
        <w:rPr>
          <w:rFonts w:hint="eastAsia" w:ascii="宋体" w:hAnsi="宋体" w:eastAsia="宋体" w:cs="宋体"/>
          <w:b/>
          <w:bCs/>
          <w:color w:val="auto"/>
          <w:sz w:val="30"/>
          <w:szCs w:val="30"/>
          <w:highlight w:val="none"/>
        </w:rPr>
        <w:t>2022</w:t>
      </w:r>
      <w:r>
        <w:rPr>
          <w:rFonts w:hint="eastAsia" w:ascii="宋体" w:hAnsi="宋体" w:eastAsia="宋体" w:cs="宋体"/>
          <w:b/>
          <w:bCs/>
          <w:color w:val="auto"/>
          <w:sz w:val="30"/>
          <w:szCs w:val="30"/>
          <w:highlight w:val="none"/>
          <w:lang w:val="zh-CN"/>
        </w:rPr>
        <w:t>年</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月</w:t>
      </w:r>
      <w:r>
        <w:rPr>
          <w:rFonts w:hint="eastAsia" w:ascii="宋体" w:hAnsi="宋体" w:eastAsia="宋体" w:cs="宋体"/>
          <w:b/>
          <w:bCs/>
          <w:color w:val="auto"/>
          <w:sz w:val="30"/>
          <w:szCs w:val="30"/>
          <w:highlight w:val="none"/>
        </w:rPr>
        <w:t>1</w:t>
      </w:r>
      <w:r>
        <w:rPr>
          <w:rFonts w:hint="eastAsia" w:ascii="宋体" w:hAnsi="宋体" w:eastAsia="宋体" w:cs="宋体"/>
          <w:b/>
          <w:bCs/>
          <w:color w:val="auto"/>
          <w:sz w:val="30"/>
          <w:szCs w:val="30"/>
          <w:highlight w:val="none"/>
          <w:lang w:val="zh-CN"/>
        </w:rPr>
        <w:t>日</w:t>
      </w:r>
      <w:r>
        <w:rPr>
          <w:rFonts w:hint="eastAsia" w:ascii="宋体" w:hAnsi="宋体" w:eastAsia="宋体" w:cs="宋体"/>
          <w:b/>
          <w:bCs/>
          <w:color w:val="auto"/>
          <w:sz w:val="30"/>
          <w:szCs w:val="30"/>
          <w:highlight w:val="none"/>
        </w:rPr>
        <w:t>以来</w:t>
      </w:r>
      <w:r>
        <w:rPr>
          <w:rFonts w:hint="eastAsia" w:ascii="宋体" w:hAnsi="宋体" w:eastAsia="宋体" w:cs="宋体"/>
          <w:b/>
          <w:bCs/>
          <w:color w:val="auto"/>
          <w:sz w:val="30"/>
          <w:szCs w:val="30"/>
          <w:highlight w:val="none"/>
          <w:lang w:val="zh-CN"/>
        </w:rPr>
        <w:t>完成的分布式光伏发电业绩表</w:t>
      </w:r>
    </w:p>
    <w:bookmarkEnd w:id="1236"/>
    <w:tbl>
      <w:tblPr>
        <w:tblStyle w:val="4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8"/>
        <w:gridCol w:w="585"/>
        <w:gridCol w:w="764"/>
        <w:gridCol w:w="747"/>
        <w:gridCol w:w="972"/>
        <w:gridCol w:w="972"/>
        <w:gridCol w:w="972"/>
        <w:gridCol w:w="780"/>
        <w:gridCol w:w="585"/>
        <w:gridCol w:w="535"/>
        <w:gridCol w:w="568"/>
        <w:gridCol w:w="749"/>
        <w:gridCol w:w="493"/>
      </w:tblGrid>
      <w:tr w14:paraId="10829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6270F5D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序号</w:t>
            </w:r>
          </w:p>
        </w:tc>
        <w:tc>
          <w:tcPr>
            <w:tcW w:w="317" w:type="pct"/>
            <w:tcBorders>
              <w:top w:val="single" w:color="auto" w:sz="4" w:space="0"/>
              <w:left w:val="single" w:color="auto" w:sz="4" w:space="0"/>
              <w:bottom w:val="single" w:color="auto" w:sz="4" w:space="0"/>
              <w:right w:val="single" w:color="auto" w:sz="4" w:space="0"/>
            </w:tcBorders>
            <w:vAlign w:val="center"/>
          </w:tcPr>
          <w:p w14:paraId="04C97387">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项目</w:t>
            </w:r>
          </w:p>
          <w:p w14:paraId="7AFD0716">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名称</w:t>
            </w:r>
          </w:p>
        </w:tc>
        <w:tc>
          <w:tcPr>
            <w:tcW w:w="414" w:type="pct"/>
            <w:tcBorders>
              <w:top w:val="single" w:color="auto" w:sz="4" w:space="0"/>
              <w:left w:val="single" w:color="auto" w:sz="4" w:space="0"/>
              <w:bottom w:val="single" w:color="auto" w:sz="4" w:space="0"/>
              <w:right w:val="single" w:color="auto" w:sz="4" w:space="0"/>
            </w:tcBorders>
            <w:vAlign w:val="center"/>
          </w:tcPr>
          <w:p w14:paraId="5947943D">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合同主要内容</w:t>
            </w:r>
          </w:p>
        </w:tc>
        <w:tc>
          <w:tcPr>
            <w:tcW w:w="405" w:type="pct"/>
            <w:tcBorders>
              <w:top w:val="single" w:color="auto" w:sz="4" w:space="0"/>
              <w:left w:val="single" w:color="auto" w:sz="4" w:space="0"/>
              <w:bottom w:val="single" w:color="auto" w:sz="4" w:space="0"/>
              <w:right w:val="single" w:color="auto" w:sz="4" w:space="0"/>
            </w:tcBorders>
            <w:vAlign w:val="center"/>
          </w:tcPr>
          <w:p w14:paraId="2CFA17D9">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合同标的光伏组件品牌</w:t>
            </w:r>
          </w:p>
        </w:tc>
        <w:tc>
          <w:tcPr>
            <w:tcW w:w="527" w:type="pct"/>
            <w:tcBorders>
              <w:top w:val="single" w:color="auto" w:sz="4" w:space="0"/>
              <w:left w:val="single" w:color="auto" w:sz="4" w:space="0"/>
              <w:bottom w:val="single" w:color="auto" w:sz="4" w:space="0"/>
              <w:right w:val="single" w:color="auto" w:sz="4" w:space="0"/>
            </w:tcBorders>
            <w:vAlign w:val="center"/>
          </w:tcPr>
          <w:p w14:paraId="2B0DF620">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合同标的逆变器品牌</w:t>
            </w:r>
          </w:p>
        </w:tc>
        <w:tc>
          <w:tcPr>
            <w:tcW w:w="527" w:type="pct"/>
            <w:tcBorders>
              <w:top w:val="single" w:color="auto" w:sz="4" w:space="0"/>
              <w:left w:val="single" w:color="auto" w:sz="4" w:space="0"/>
              <w:bottom w:val="single" w:color="auto" w:sz="4" w:space="0"/>
              <w:right w:val="single" w:color="auto" w:sz="4" w:space="0"/>
            </w:tcBorders>
            <w:vAlign w:val="center"/>
          </w:tcPr>
          <w:p w14:paraId="71BF70FD">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合同标的电缆品牌</w:t>
            </w:r>
          </w:p>
        </w:tc>
        <w:tc>
          <w:tcPr>
            <w:tcW w:w="527" w:type="pct"/>
            <w:tcBorders>
              <w:top w:val="single" w:color="auto" w:sz="4" w:space="0"/>
              <w:left w:val="single" w:color="auto" w:sz="4" w:space="0"/>
              <w:bottom w:val="single" w:color="auto" w:sz="4" w:space="0"/>
              <w:right w:val="single" w:color="auto" w:sz="4" w:space="0"/>
            </w:tcBorders>
            <w:vAlign w:val="center"/>
          </w:tcPr>
          <w:p w14:paraId="20AE36E5">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单项合同</w:t>
            </w:r>
          </w:p>
          <w:p w14:paraId="0C3D6C13">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金额（单位：万元）</w:t>
            </w:r>
          </w:p>
        </w:tc>
        <w:tc>
          <w:tcPr>
            <w:tcW w:w="423" w:type="pct"/>
            <w:tcBorders>
              <w:top w:val="single" w:color="auto" w:sz="4" w:space="0"/>
              <w:left w:val="single" w:color="auto" w:sz="4" w:space="0"/>
              <w:bottom w:val="single" w:color="auto" w:sz="4" w:space="0"/>
              <w:right w:val="single" w:color="auto" w:sz="4" w:space="0"/>
            </w:tcBorders>
            <w:vAlign w:val="center"/>
          </w:tcPr>
          <w:p w14:paraId="2F9C8F1C">
            <w:pPr>
              <w:autoSpaceDE w:val="0"/>
              <w:autoSpaceDN w:val="0"/>
              <w:adjustRightInd w:val="0"/>
              <w:jc w:val="center"/>
              <w:rPr>
                <w:rFonts w:ascii="宋体" w:hAnsi="宋体" w:eastAsia="宋体" w:cs="宋体"/>
                <w:color w:val="auto"/>
                <w:kern w:val="0"/>
                <w:szCs w:val="21"/>
                <w:highlight w:val="none"/>
                <w:lang w:val="zh-CN"/>
              </w:rPr>
            </w:pPr>
            <w:bookmarkStart w:id="1237" w:name="OLE_LINK128"/>
            <w:r>
              <w:rPr>
                <w:rFonts w:hint="eastAsia" w:ascii="宋体" w:hAnsi="宋体" w:eastAsia="宋体" w:cs="宋体"/>
                <w:color w:val="auto"/>
                <w:kern w:val="0"/>
                <w:szCs w:val="21"/>
                <w:highlight w:val="none"/>
                <w:lang w:val="zh-CN"/>
              </w:rPr>
              <w:t>单项合同总装机容量</w:t>
            </w:r>
            <w:bookmarkEnd w:id="1237"/>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以该合同下并网验收证明上的装机容量填写</w:t>
            </w:r>
            <w:r>
              <w:rPr>
                <w:rFonts w:hint="eastAsia" w:ascii="宋体" w:hAnsi="宋体" w:eastAsia="宋体" w:cs="宋体"/>
                <w:color w:val="auto"/>
                <w:kern w:val="0"/>
                <w:szCs w:val="21"/>
                <w:highlight w:val="none"/>
                <w:lang w:val="zh-CN"/>
              </w:rPr>
              <w:t>】</w:t>
            </w:r>
          </w:p>
        </w:tc>
        <w:tc>
          <w:tcPr>
            <w:tcW w:w="317" w:type="pct"/>
            <w:tcBorders>
              <w:top w:val="single" w:color="auto" w:sz="4" w:space="0"/>
              <w:left w:val="single" w:color="auto" w:sz="4" w:space="0"/>
              <w:bottom w:val="single" w:color="auto" w:sz="4" w:space="0"/>
              <w:right w:val="single" w:color="auto" w:sz="4" w:space="0"/>
            </w:tcBorders>
            <w:vAlign w:val="center"/>
          </w:tcPr>
          <w:p w14:paraId="52B5B5BB">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合同期限</w:t>
            </w:r>
          </w:p>
        </w:tc>
        <w:tc>
          <w:tcPr>
            <w:tcW w:w="290" w:type="pct"/>
            <w:tcBorders>
              <w:top w:val="single" w:color="auto" w:sz="4" w:space="0"/>
              <w:left w:val="single" w:color="auto" w:sz="4" w:space="0"/>
              <w:bottom w:val="single" w:color="auto" w:sz="4" w:space="0"/>
              <w:right w:val="single" w:color="auto" w:sz="4" w:space="0"/>
            </w:tcBorders>
            <w:vAlign w:val="center"/>
          </w:tcPr>
          <w:p w14:paraId="1F8B60C2">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签约</w:t>
            </w:r>
          </w:p>
          <w:p w14:paraId="02F9313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日期</w:t>
            </w:r>
          </w:p>
        </w:tc>
        <w:tc>
          <w:tcPr>
            <w:tcW w:w="308" w:type="pct"/>
            <w:tcBorders>
              <w:top w:val="single" w:color="auto" w:sz="4" w:space="0"/>
              <w:left w:val="single" w:color="auto" w:sz="4" w:space="0"/>
              <w:bottom w:val="single" w:color="auto" w:sz="4" w:space="0"/>
              <w:right w:val="single" w:color="auto" w:sz="4" w:space="0"/>
            </w:tcBorders>
            <w:vAlign w:val="center"/>
          </w:tcPr>
          <w:p w14:paraId="2E67B657">
            <w:pPr>
              <w:autoSpaceDE w:val="0"/>
              <w:autoSpaceDN w:val="0"/>
              <w:adjustRightInd w:val="0"/>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完成</w:t>
            </w:r>
          </w:p>
          <w:p w14:paraId="797553DB">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情况</w:t>
            </w:r>
          </w:p>
        </w:tc>
        <w:tc>
          <w:tcPr>
            <w:tcW w:w="406" w:type="pct"/>
            <w:tcBorders>
              <w:top w:val="single" w:color="auto" w:sz="4" w:space="0"/>
              <w:left w:val="single" w:color="auto" w:sz="4" w:space="0"/>
              <w:bottom w:val="single" w:color="auto" w:sz="4" w:space="0"/>
              <w:right w:val="single" w:color="auto" w:sz="4" w:space="0"/>
            </w:tcBorders>
            <w:vAlign w:val="center"/>
          </w:tcPr>
          <w:p w14:paraId="23E5C772">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买方单位联系人及电话</w:t>
            </w:r>
          </w:p>
        </w:tc>
        <w:tc>
          <w:tcPr>
            <w:tcW w:w="267" w:type="pct"/>
            <w:tcBorders>
              <w:top w:val="single" w:color="auto" w:sz="4" w:space="0"/>
              <w:left w:val="single" w:color="auto" w:sz="4" w:space="0"/>
              <w:bottom w:val="single" w:color="auto" w:sz="4" w:space="0"/>
              <w:right w:val="single" w:color="auto" w:sz="4" w:space="0"/>
            </w:tcBorders>
            <w:vAlign w:val="center"/>
          </w:tcPr>
          <w:p w14:paraId="027B5FC5">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备注</w:t>
            </w:r>
          </w:p>
        </w:tc>
      </w:tr>
      <w:tr w14:paraId="7D16E7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2254E6F1">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w:t>
            </w:r>
          </w:p>
        </w:tc>
        <w:tc>
          <w:tcPr>
            <w:tcW w:w="317" w:type="pct"/>
            <w:tcBorders>
              <w:top w:val="single" w:color="auto" w:sz="4" w:space="0"/>
              <w:left w:val="single" w:color="auto" w:sz="4" w:space="0"/>
              <w:bottom w:val="single" w:color="auto" w:sz="4" w:space="0"/>
              <w:right w:val="single" w:color="auto" w:sz="4" w:space="0"/>
            </w:tcBorders>
            <w:vAlign w:val="center"/>
          </w:tcPr>
          <w:p w14:paraId="25B58465">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0D5D99EB">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6191EE40">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FC258C3">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B45D938">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4D4B2466">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3D626F29">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79FF3888">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14FC736C">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589B0C03">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6519699D">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6B780400">
            <w:pPr>
              <w:autoSpaceDE w:val="0"/>
              <w:autoSpaceDN w:val="0"/>
              <w:adjustRightInd w:val="0"/>
              <w:spacing w:line="360" w:lineRule="auto"/>
              <w:jc w:val="center"/>
              <w:rPr>
                <w:rFonts w:ascii="宋体" w:hAnsi="宋体" w:eastAsia="宋体" w:cs="宋体"/>
                <w:color w:val="auto"/>
                <w:kern w:val="0"/>
                <w:szCs w:val="21"/>
                <w:highlight w:val="none"/>
              </w:rPr>
            </w:pPr>
          </w:p>
        </w:tc>
      </w:tr>
      <w:tr w14:paraId="48BF2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6B8E45E1">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w:t>
            </w:r>
          </w:p>
        </w:tc>
        <w:tc>
          <w:tcPr>
            <w:tcW w:w="317" w:type="pct"/>
            <w:tcBorders>
              <w:top w:val="single" w:color="auto" w:sz="4" w:space="0"/>
              <w:left w:val="single" w:color="auto" w:sz="4" w:space="0"/>
              <w:bottom w:val="single" w:color="auto" w:sz="4" w:space="0"/>
              <w:right w:val="single" w:color="auto" w:sz="4" w:space="0"/>
            </w:tcBorders>
            <w:vAlign w:val="center"/>
          </w:tcPr>
          <w:p w14:paraId="1F2E31D4">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794B1C0">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5B291B25">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A6F9484">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990CE89">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CDA9D0C">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45451C13">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0304DFDD">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08D1A020">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68ED43FB">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3FCCFC64">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33B0157D">
            <w:pPr>
              <w:autoSpaceDE w:val="0"/>
              <w:autoSpaceDN w:val="0"/>
              <w:adjustRightInd w:val="0"/>
              <w:spacing w:line="360" w:lineRule="auto"/>
              <w:jc w:val="center"/>
              <w:rPr>
                <w:rFonts w:ascii="宋体" w:hAnsi="宋体" w:eastAsia="宋体" w:cs="宋体"/>
                <w:color w:val="auto"/>
                <w:kern w:val="0"/>
                <w:szCs w:val="21"/>
                <w:highlight w:val="none"/>
              </w:rPr>
            </w:pPr>
          </w:p>
        </w:tc>
      </w:tr>
      <w:tr w14:paraId="1AD1C0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1C54949A">
            <w:pPr>
              <w:autoSpaceDE w:val="0"/>
              <w:autoSpaceDN w:val="0"/>
              <w:adjustRightInd w:val="0"/>
              <w:spacing w:line="360" w:lineRule="auto"/>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w:t>
            </w:r>
          </w:p>
        </w:tc>
        <w:tc>
          <w:tcPr>
            <w:tcW w:w="317" w:type="pct"/>
            <w:tcBorders>
              <w:top w:val="single" w:color="auto" w:sz="4" w:space="0"/>
              <w:left w:val="single" w:color="auto" w:sz="4" w:space="0"/>
              <w:bottom w:val="single" w:color="auto" w:sz="4" w:space="0"/>
              <w:right w:val="single" w:color="auto" w:sz="4" w:space="0"/>
            </w:tcBorders>
            <w:vAlign w:val="center"/>
          </w:tcPr>
          <w:p w14:paraId="262B15BB">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2487032E">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0DF83ED8">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46C1616">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D6F43C2">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231B3842">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38BF06F8">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736A75D4">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7370B02B">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2757DE2D">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4FDC1DC0">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37E800E1">
            <w:pPr>
              <w:autoSpaceDE w:val="0"/>
              <w:autoSpaceDN w:val="0"/>
              <w:adjustRightInd w:val="0"/>
              <w:spacing w:line="360" w:lineRule="auto"/>
              <w:jc w:val="center"/>
              <w:rPr>
                <w:rFonts w:ascii="宋体" w:hAnsi="宋体" w:eastAsia="宋体" w:cs="宋体"/>
                <w:color w:val="auto"/>
                <w:kern w:val="0"/>
                <w:szCs w:val="21"/>
                <w:highlight w:val="none"/>
              </w:rPr>
            </w:pPr>
          </w:p>
        </w:tc>
      </w:tr>
      <w:tr w14:paraId="66DAC2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65" w:type="pct"/>
            <w:tcBorders>
              <w:top w:val="single" w:color="auto" w:sz="4" w:space="0"/>
              <w:left w:val="single" w:color="auto" w:sz="4" w:space="0"/>
              <w:bottom w:val="single" w:color="auto" w:sz="4" w:space="0"/>
              <w:right w:val="single" w:color="auto" w:sz="4" w:space="0"/>
            </w:tcBorders>
            <w:vAlign w:val="center"/>
          </w:tcPr>
          <w:p w14:paraId="17C81B8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317" w:type="pct"/>
            <w:tcBorders>
              <w:top w:val="single" w:color="auto" w:sz="4" w:space="0"/>
              <w:left w:val="single" w:color="auto" w:sz="4" w:space="0"/>
              <w:bottom w:val="single" w:color="auto" w:sz="4" w:space="0"/>
              <w:right w:val="single" w:color="auto" w:sz="4" w:space="0"/>
            </w:tcBorders>
            <w:vAlign w:val="center"/>
          </w:tcPr>
          <w:p w14:paraId="7B80E239">
            <w:pPr>
              <w:autoSpaceDE w:val="0"/>
              <w:autoSpaceDN w:val="0"/>
              <w:adjustRightInd w:val="0"/>
              <w:spacing w:line="360" w:lineRule="auto"/>
              <w:jc w:val="center"/>
              <w:rPr>
                <w:rFonts w:ascii="宋体" w:hAnsi="宋体" w:eastAsia="宋体" w:cs="宋体"/>
                <w:color w:val="auto"/>
                <w:kern w:val="0"/>
                <w:szCs w:val="21"/>
                <w:highlight w:val="none"/>
              </w:rPr>
            </w:pPr>
          </w:p>
        </w:tc>
        <w:tc>
          <w:tcPr>
            <w:tcW w:w="414" w:type="pct"/>
            <w:tcBorders>
              <w:top w:val="single" w:color="auto" w:sz="4" w:space="0"/>
              <w:left w:val="single" w:color="auto" w:sz="4" w:space="0"/>
              <w:bottom w:val="single" w:color="auto" w:sz="4" w:space="0"/>
              <w:right w:val="single" w:color="auto" w:sz="4" w:space="0"/>
            </w:tcBorders>
            <w:vAlign w:val="center"/>
          </w:tcPr>
          <w:p w14:paraId="356CAAFC">
            <w:pPr>
              <w:autoSpaceDE w:val="0"/>
              <w:autoSpaceDN w:val="0"/>
              <w:adjustRightInd w:val="0"/>
              <w:spacing w:line="360" w:lineRule="auto"/>
              <w:jc w:val="center"/>
              <w:rPr>
                <w:rFonts w:ascii="宋体" w:hAnsi="宋体" w:eastAsia="宋体" w:cs="宋体"/>
                <w:color w:val="auto"/>
                <w:kern w:val="0"/>
                <w:szCs w:val="21"/>
                <w:highlight w:val="none"/>
              </w:rPr>
            </w:pPr>
          </w:p>
        </w:tc>
        <w:tc>
          <w:tcPr>
            <w:tcW w:w="405" w:type="pct"/>
            <w:tcBorders>
              <w:top w:val="single" w:color="auto" w:sz="4" w:space="0"/>
              <w:left w:val="single" w:color="auto" w:sz="4" w:space="0"/>
              <w:bottom w:val="single" w:color="auto" w:sz="4" w:space="0"/>
              <w:right w:val="single" w:color="auto" w:sz="4" w:space="0"/>
            </w:tcBorders>
            <w:vAlign w:val="center"/>
          </w:tcPr>
          <w:p w14:paraId="04A12EF9">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190ABFA">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670E63B">
            <w:pPr>
              <w:autoSpaceDE w:val="0"/>
              <w:autoSpaceDN w:val="0"/>
              <w:adjustRightInd w:val="0"/>
              <w:spacing w:line="360" w:lineRule="auto"/>
              <w:jc w:val="center"/>
              <w:rPr>
                <w:rFonts w:ascii="宋体" w:hAnsi="宋体" w:eastAsia="宋体" w:cs="宋体"/>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FCB32A5">
            <w:pPr>
              <w:autoSpaceDE w:val="0"/>
              <w:autoSpaceDN w:val="0"/>
              <w:adjustRightInd w:val="0"/>
              <w:spacing w:line="360" w:lineRule="auto"/>
              <w:jc w:val="center"/>
              <w:rPr>
                <w:rFonts w:ascii="宋体" w:hAnsi="宋体" w:eastAsia="宋体" w:cs="宋体"/>
                <w:color w:val="auto"/>
                <w:kern w:val="0"/>
                <w:szCs w:val="21"/>
                <w:highlight w:val="none"/>
              </w:rPr>
            </w:pPr>
          </w:p>
        </w:tc>
        <w:tc>
          <w:tcPr>
            <w:tcW w:w="423" w:type="pct"/>
            <w:tcBorders>
              <w:top w:val="single" w:color="auto" w:sz="4" w:space="0"/>
              <w:left w:val="single" w:color="auto" w:sz="4" w:space="0"/>
              <w:bottom w:val="single" w:color="auto" w:sz="4" w:space="0"/>
              <w:right w:val="single" w:color="auto" w:sz="4" w:space="0"/>
            </w:tcBorders>
          </w:tcPr>
          <w:p w14:paraId="011BC36E">
            <w:pPr>
              <w:autoSpaceDE w:val="0"/>
              <w:autoSpaceDN w:val="0"/>
              <w:adjustRightInd w:val="0"/>
              <w:spacing w:line="360" w:lineRule="auto"/>
              <w:jc w:val="center"/>
              <w:rPr>
                <w:rFonts w:ascii="宋体" w:hAnsi="宋体" w:eastAsia="宋体" w:cs="宋体"/>
                <w:color w:val="auto"/>
                <w:kern w:val="0"/>
                <w:szCs w:val="21"/>
                <w:highlight w:val="none"/>
              </w:rPr>
            </w:pPr>
          </w:p>
        </w:tc>
        <w:tc>
          <w:tcPr>
            <w:tcW w:w="317" w:type="pct"/>
            <w:tcBorders>
              <w:top w:val="single" w:color="auto" w:sz="4" w:space="0"/>
              <w:left w:val="single" w:color="auto" w:sz="4" w:space="0"/>
              <w:bottom w:val="single" w:color="auto" w:sz="4" w:space="0"/>
              <w:right w:val="single" w:color="auto" w:sz="4" w:space="0"/>
            </w:tcBorders>
          </w:tcPr>
          <w:p w14:paraId="1CEE362D">
            <w:pPr>
              <w:autoSpaceDE w:val="0"/>
              <w:autoSpaceDN w:val="0"/>
              <w:adjustRightInd w:val="0"/>
              <w:spacing w:line="360" w:lineRule="auto"/>
              <w:jc w:val="center"/>
              <w:rPr>
                <w:rFonts w:ascii="宋体" w:hAnsi="宋体" w:eastAsia="宋体" w:cs="宋体"/>
                <w:color w:val="auto"/>
                <w:kern w:val="0"/>
                <w:szCs w:val="21"/>
                <w:highlight w:val="none"/>
              </w:rPr>
            </w:pPr>
          </w:p>
        </w:tc>
        <w:tc>
          <w:tcPr>
            <w:tcW w:w="290" w:type="pct"/>
            <w:tcBorders>
              <w:top w:val="single" w:color="auto" w:sz="4" w:space="0"/>
              <w:left w:val="single" w:color="auto" w:sz="4" w:space="0"/>
              <w:bottom w:val="single" w:color="auto" w:sz="4" w:space="0"/>
              <w:right w:val="single" w:color="auto" w:sz="4" w:space="0"/>
            </w:tcBorders>
            <w:vAlign w:val="center"/>
          </w:tcPr>
          <w:p w14:paraId="3BC3DB57">
            <w:pPr>
              <w:autoSpaceDE w:val="0"/>
              <w:autoSpaceDN w:val="0"/>
              <w:adjustRightInd w:val="0"/>
              <w:spacing w:line="360" w:lineRule="auto"/>
              <w:jc w:val="center"/>
              <w:rPr>
                <w:rFonts w:ascii="宋体" w:hAnsi="宋体" w:eastAsia="宋体" w:cs="宋体"/>
                <w:color w:val="auto"/>
                <w:kern w:val="0"/>
                <w:szCs w:val="21"/>
                <w:highlight w:val="none"/>
              </w:rPr>
            </w:pPr>
          </w:p>
        </w:tc>
        <w:tc>
          <w:tcPr>
            <w:tcW w:w="308" w:type="pct"/>
            <w:tcBorders>
              <w:top w:val="single" w:color="auto" w:sz="4" w:space="0"/>
              <w:left w:val="single" w:color="auto" w:sz="4" w:space="0"/>
              <w:bottom w:val="single" w:color="auto" w:sz="4" w:space="0"/>
              <w:right w:val="single" w:color="auto" w:sz="4" w:space="0"/>
            </w:tcBorders>
            <w:vAlign w:val="center"/>
          </w:tcPr>
          <w:p w14:paraId="06175881">
            <w:pPr>
              <w:autoSpaceDE w:val="0"/>
              <w:autoSpaceDN w:val="0"/>
              <w:adjustRightInd w:val="0"/>
              <w:spacing w:line="360" w:lineRule="auto"/>
              <w:jc w:val="center"/>
              <w:rPr>
                <w:rFonts w:ascii="宋体" w:hAnsi="宋体" w:eastAsia="宋体" w:cs="宋体"/>
                <w:color w:val="auto"/>
                <w:kern w:val="0"/>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14:paraId="70965FAC">
            <w:pPr>
              <w:autoSpaceDE w:val="0"/>
              <w:autoSpaceDN w:val="0"/>
              <w:adjustRightInd w:val="0"/>
              <w:spacing w:line="360" w:lineRule="auto"/>
              <w:jc w:val="center"/>
              <w:rPr>
                <w:rFonts w:ascii="宋体" w:hAnsi="宋体" w:eastAsia="宋体" w:cs="宋体"/>
                <w:color w:val="auto"/>
                <w:kern w:val="0"/>
                <w:szCs w:val="21"/>
                <w:highlight w:val="none"/>
              </w:rPr>
            </w:pPr>
          </w:p>
        </w:tc>
        <w:tc>
          <w:tcPr>
            <w:tcW w:w="267" w:type="pct"/>
            <w:tcBorders>
              <w:top w:val="single" w:color="auto" w:sz="4" w:space="0"/>
              <w:left w:val="single" w:color="auto" w:sz="4" w:space="0"/>
              <w:bottom w:val="single" w:color="auto" w:sz="4" w:space="0"/>
              <w:right w:val="single" w:color="auto" w:sz="4" w:space="0"/>
            </w:tcBorders>
            <w:vAlign w:val="center"/>
          </w:tcPr>
          <w:p w14:paraId="5C536E0A">
            <w:pPr>
              <w:autoSpaceDE w:val="0"/>
              <w:autoSpaceDN w:val="0"/>
              <w:adjustRightInd w:val="0"/>
              <w:spacing w:line="360" w:lineRule="auto"/>
              <w:jc w:val="center"/>
              <w:rPr>
                <w:rFonts w:ascii="宋体" w:hAnsi="宋体" w:eastAsia="宋体" w:cs="宋体"/>
                <w:color w:val="auto"/>
                <w:kern w:val="0"/>
                <w:szCs w:val="21"/>
                <w:highlight w:val="none"/>
              </w:rPr>
            </w:pPr>
          </w:p>
        </w:tc>
      </w:tr>
    </w:tbl>
    <w:p w14:paraId="5274931E">
      <w:pPr>
        <w:autoSpaceDE w:val="0"/>
        <w:autoSpaceDN w:val="0"/>
        <w:adjustRightInd w:val="0"/>
        <w:snapToGrid w:val="0"/>
        <w:spacing w:line="360" w:lineRule="auto"/>
        <w:ind w:left="186" w:leftChars="-158" w:hanging="518" w:hangingChars="247"/>
        <w:jc w:val="left"/>
        <w:rPr>
          <w:rFonts w:ascii="宋体" w:hAnsi="宋体" w:eastAsia="宋体" w:cs="宋体"/>
          <w:color w:val="auto"/>
          <w:szCs w:val="24"/>
          <w:highlight w:val="none"/>
          <w:lang w:val="zh-CN"/>
        </w:rPr>
      </w:pPr>
    </w:p>
    <w:p w14:paraId="1B509866">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62C026A">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（1）同一个单项合同的业绩可以同时在资格业绩和评分业绩重复放置；</w:t>
      </w:r>
    </w:p>
    <w:p w14:paraId="51CD9767">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w:t>
      </w:r>
      <w:r>
        <w:rPr>
          <w:rFonts w:hint="eastAsia" w:ascii="宋体" w:hAnsi="宋体" w:eastAsia="宋体" w:cs="宋体"/>
          <w:b/>
          <w:bCs/>
          <w:color w:val="auto"/>
          <w:szCs w:val="24"/>
          <w:highlight w:val="none"/>
          <w:lang w:val="zh-CN"/>
        </w:rPr>
        <w:t>作为投标人评分</w:t>
      </w:r>
      <w:r>
        <w:rPr>
          <w:rFonts w:hint="eastAsia" w:ascii="宋体" w:hAnsi="宋体" w:eastAsia="宋体" w:cs="宋体"/>
          <w:b/>
          <w:bCs/>
          <w:color w:val="auto"/>
          <w:szCs w:val="24"/>
          <w:highlight w:val="none"/>
        </w:rPr>
        <w:t>要求的业绩放置在此处,</w:t>
      </w:r>
      <w:bookmarkStart w:id="1238" w:name="OLE_LINK130"/>
      <w:r>
        <w:rPr>
          <w:rFonts w:hint="eastAsia" w:ascii="宋体" w:hAnsi="宋体" w:eastAsia="宋体" w:cs="宋体"/>
          <w:b/>
          <w:bCs/>
          <w:color w:val="auto"/>
          <w:szCs w:val="24"/>
          <w:highlight w:val="none"/>
          <w:lang w:val="zh-CN"/>
        </w:rPr>
        <w:t>业绩按</w:t>
      </w:r>
      <w:r>
        <w:rPr>
          <w:rFonts w:hint="eastAsia" w:ascii="宋体" w:hAnsi="宋体" w:eastAsia="宋体" w:cs="宋体"/>
          <w:b/>
          <w:bCs/>
          <w:color w:val="auto"/>
          <w:szCs w:val="24"/>
          <w:highlight w:val="none"/>
        </w:rPr>
        <w:t>单项合同总装机容量（</w:t>
      </w:r>
      <w:r>
        <w:rPr>
          <w:rFonts w:hint="eastAsia" w:ascii="宋体" w:hAnsi="宋体" w:eastAsia="宋体" w:cs="宋体"/>
          <w:b/>
          <w:color w:val="auto"/>
          <w:kern w:val="0"/>
          <w:szCs w:val="21"/>
          <w:highlight w:val="none"/>
        </w:rPr>
        <w:t>单项合同内多份并网验收证明的，以累计量计算</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zh-CN"/>
        </w:rPr>
        <w:t>从高到低的方式排列</w:t>
      </w:r>
      <w:bookmarkEnd w:id="1238"/>
      <w:r>
        <w:rPr>
          <w:rFonts w:hint="eastAsia" w:ascii="宋体" w:hAnsi="宋体" w:eastAsia="宋体" w:cs="宋体"/>
          <w:color w:val="auto"/>
          <w:szCs w:val="24"/>
          <w:highlight w:val="none"/>
          <w:lang w:val="zh-CN"/>
        </w:rPr>
        <w:t>；</w:t>
      </w:r>
    </w:p>
    <w:p w14:paraId="6DAADC3A">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业绩须同时附合同原件扫描件、并网验收证明原件扫描件，和合同下对应任意1份已供货或实施的发票扫描件（发票销售方应为投标人/联合体的牵头单位，非合同能源管理模式下以电费回收成本的项目的发票购买方应为合同买方，合同能源管理模式下以电费回收成本的项目的发票购买方可为合同买方或为能源使用方），否则不得分</w:t>
      </w:r>
      <w:r>
        <w:rPr>
          <w:rFonts w:hint="eastAsia" w:ascii="宋体" w:hAnsi="宋体" w:eastAsia="宋体" w:cs="宋体"/>
          <w:color w:val="auto"/>
          <w:szCs w:val="24"/>
          <w:highlight w:val="none"/>
          <w:lang w:val="zh-CN"/>
        </w:rPr>
        <w:t>；</w:t>
      </w:r>
    </w:p>
    <w:p w14:paraId="1B2378E7">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4</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单项合同总装机容量以并网验收证明上标明的装机容量为准，单项合同内多份并网验收证明的，以累计量作为评分依据；当业绩证明材料内装机容量单位非MW、MWp时，评审时按对应单位换算后打分，即1000kW=1MW,1000kWp=1MWp；</w:t>
      </w:r>
    </w:p>
    <w:p w14:paraId="29368BE1">
      <w:pPr>
        <w:autoSpaceDE w:val="0"/>
        <w:autoSpaceDN w:val="0"/>
        <w:adjustRightInd w:val="0"/>
        <w:snapToGrid w:val="0"/>
        <w:spacing w:line="360" w:lineRule="auto"/>
        <w:ind w:left="481" w:leftChars="-41" w:hanging="567" w:hangingChars="270"/>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分布式光伏发电项目业绩合同范围/合同服务内容仅为设计、接入方案编制、维修维护类服务的，该类项目业绩不得分；业绩合同必须包含反映合同名称、签约双方信息、合同标的/合同范围/合同服务内容、加盖合同各方印章的落款等信息的关键页，并网验收证明必须有项目属地电力管理部门（如供电局、供电公司、供电管理/服务中心、电网公司、供电所）的印章，否则该类业绩不得分；</w:t>
      </w:r>
    </w:p>
    <w:p w14:paraId="0B1F2408">
      <w:pPr>
        <w:autoSpaceDE w:val="0"/>
        <w:autoSpaceDN w:val="0"/>
        <w:adjustRightInd w:val="0"/>
        <w:snapToGrid w:val="0"/>
        <w:spacing w:line="360" w:lineRule="auto"/>
        <w:ind w:left="481" w:leftChars="-41" w:hanging="567" w:hangingChars="270"/>
        <w:jc w:val="left"/>
        <w:rPr>
          <w:rFonts w:ascii="宋体" w:hAnsi="宋体" w:eastAsia="宋体" w:cs="宋体"/>
          <w:b/>
          <w:bCs/>
          <w:color w:val="auto"/>
          <w:szCs w:val="21"/>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val="zh-CN"/>
        </w:rPr>
        <w:t>）</w:t>
      </w:r>
      <w:r>
        <w:rPr>
          <w:rFonts w:hint="eastAsia" w:ascii="宋体" w:hAnsi="宋体" w:eastAsia="宋体" w:cs="宋体"/>
          <w:b/>
          <w:color w:val="auto"/>
          <w:kern w:val="0"/>
          <w:szCs w:val="21"/>
          <w:highlight w:val="none"/>
        </w:rPr>
        <w:t>若合同和并网验收证明无法反映评分条件[1.合同签订日期为2022年1月1日或以后；2.合同标的必须为分布式光伏发电的业绩（若合同文本和并网验收证明反映的光伏发电类别不一致时，以并网验收证明上反映的光伏发电类别为准）；3.单项合同装机容量；4.合同范围/合同服务内容。]，还需提供合同甲方出具的书面补充说明文件原件扫描件作为辅助证明（补充说明文件原件扫描件能显示合同甲方公章）</w:t>
      </w:r>
      <w:r>
        <w:rPr>
          <w:rFonts w:hint="eastAsia" w:ascii="宋体" w:hAnsi="宋体" w:eastAsia="宋体" w:cs="宋体"/>
          <w:b/>
          <w:bCs/>
          <w:color w:val="auto"/>
          <w:szCs w:val="21"/>
          <w:highlight w:val="none"/>
          <w:lang w:val="zh-CN"/>
        </w:rPr>
        <w:t>；</w:t>
      </w:r>
    </w:p>
    <w:p w14:paraId="1AA41E56">
      <w:pPr>
        <w:autoSpaceDE w:val="0"/>
        <w:autoSpaceDN w:val="0"/>
        <w:adjustRightInd w:val="0"/>
        <w:snapToGrid w:val="0"/>
        <w:spacing w:line="360" w:lineRule="auto"/>
        <w:ind w:left="481" w:leftChars="-41" w:hanging="567" w:hangingChars="270"/>
        <w:jc w:val="left"/>
        <w:rPr>
          <w:rFonts w:ascii="宋体" w:hAnsi="宋体" w:eastAsia="宋体" w:cs="宋体"/>
          <w:b/>
          <w:bCs/>
          <w:color w:val="auto"/>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val="zh-CN"/>
        </w:rPr>
        <w:t>）</w:t>
      </w:r>
      <w:r>
        <w:rPr>
          <w:rFonts w:hint="eastAsia" w:ascii="宋体" w:hAnsi="宋体" w:eastAsia="宋体" w:cs="宋体"/>
          <w:b/>
          <w:bCs/>
          <w:color w:val="auto"/>
          <w:szCs w:val="24"/>
          <w:highlight w:val="none"/>
        </w:rPr>
        <w:t>框架协议下未签订单项合同的，该框架协议整体视为一份单项合同；</w:t>
      </w:r>
    </w:p>
    <w:p w14:paraId="3196BDB8">
      <w:pPr>
        <w:autoSpaceDE w:val="0"/>
        <w:autoSpaceDN w:val="0"/>
        <w:adjustRightInd w:val="0"/>
        <w:snapToGrid w:val="0"/>
        <w:spacing w:line="360" w:lineRule="auto"/>
        <w:ind w:left="481" w:leftChars="-41" w:hanging="567" w:hangingChars="270"/>
        <w:jc w:val="left"/>
        <w:rPr>
          <w:rFonts w:ascii="宋体" w:hAnsi="宋体" w:eastAsia="宋体" w:cs="宋体"/>
          <w:b/>
          <w:bCs/>
          <w:color w:val="auto"/>
          <w:szCs w:val="24"/>
          <w:highlight w:val="none"/>
          <w:lang w:val="zh-CN"/>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8</w:t>
      </w:r>
      <w:r>
        <w:rPr>
          <w:rFonts w:hint="eastAsia" w:ascii="宋体" w:hAnsi="宋体" w:eastAsia="宋体" w:cs="宋体"/>
          <w:color w:val="auto"/>
          <w:szCs w:val="24"/>
          <w:highlight w:val="none"/>
          <w:lang w:val="zh-CN"/>
        </w:rPr>
        <w:t>）</w:t>
      </w:r>
      <w:r>
        <w:rPr>
          <w:rFonts w:hint="eastAsia" w:ascii="宋体" w:hAnsi="宋体" w:eastAsia="宋体" w:cs="宋体"/>
          <w:b/>
          <w:bCs/>
          <w:color w:val="auto"/>
          <w:szCs w:val="24"/>
          <w:highlight w:val="none"/>
          <w:lang w:val="zh-CN"/>
        </w:rPr>
        <w:t>若为联合体投标的，</w:t>
      </w:r>
      <w:r>
        <w:rPr>
          <w:rFonts w:hint="eastAsia" w:ascii="宋体" w:hAnsi="宋体" w:eastAsia="宋体" w:cs="宋体"/>
          <w:b/>
          <w:color w:val="auto"/>
          <w:kern w:val="0"/>
          <w:szCs w:val="21"/>
          <w:highlight w:val="none"/>
        </w:rPr>
        <w:t>以联合体牵头单位提供的业绩为准，非牵头单位的业绩不予认可</w:t>
      </w:r>
      <w:r>
        <w:rPr>
          <w:rFonts w:hint="eastAsia" w:ascii="宋体" w:hAnsi="宋体" w:eastAsia="宋体" w:cs="宋体"/>
          <w:b/>
          <w:bCs/>
          <w:color w:val="auto"/>
          <w:szCs w:val="24"/>
          <w:highlight w:val="none"/>
          <w:lang w:val="zh-CN"/>
        </w:rPr>
        <w:t>；</w:t>
      </w:r>
    </w:p>
    <w:p w14:paraId="30587900">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w:t>
      </w:r>
      <w:r>
        <w:rPr>
          <w:rFonts w:hint="eastAsia" w:ascii="宋体" w:hAnsi="宋体" w:eastAsia="宋体" w:cs="宋体"/>
          <w:color w:val="auto"/>
          <w:szCs w:val="24"/>
          <w:highlight w:val="none"/>
        </w:rPr>
        <w:t>9</w:t>
      </w:r>
      <w:r>
        <w:rPr>
          <w:rFonts w:hint="eastAsia" w:ascii="宋体" w:hAnsi="宋体" w:eastAsia="宋体" w:cs="宋体"/>
          <w:color w:val="auto"/>
          <w:szCs w:val="24"/>
          <w:highlight w:val="none"/>
          <w:lang w:val="zh-CN"/>
        </w:rPr>
        <w:t>）未按上述要求在此格式下提供证明材料的业绩，或在此格式下所附材料无法证明填报项目符合本项评分要求的业绩，在评标时将不予考虑。</w:t>
      </w:r>
    </w:p>
    <w:p w14:paraId="097E1146">
      <w:pPr>
        <w:autoSpaceDE w:val="0"/>
        <w:autoSpaceDN w:val="0"/>
        <w:adjustRightInd w:val="0"/>
        <w:spacing w:line="360" w:lineRule="auto"/>
        <w:ind w:firstLine="5040" w:firstLineChars="2400"/>
        <w:jc w:val="left"/>
        <w:rPr>
          <w:rFonts w:ascii="宋体" w:hAnsi="宋体" w:eastAsia="宋体" w:cs="宋体"/>
          <w:color w:val="auto"/>
          <w:szCs w:val="24"/>
          <w:highlight w:val="none"/>
          <w:lang w:val="zh-CN"/>
        </w:rPr>
      </w:pPr>
    </w:p>
    <w:p w14:paraId="2E4FC03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4430544">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D8E27E5">
      <w:pPr>
        <w:autoSpaceDE w:val="0"/>
        <w:autoSpaceDN w:val="0"/>
        <w:adjustRightInd w:val="0"/>
        <w:spacing w:line="360" w:lineRule="auto"/>
        <w:jc w:val="center"/>
        <w:rPr>
          <w:rFonts w:ascii="宋体" w:hAnsi="宋体" w:eastAsia="宋体" w:cs="宋体"/>
          <w:b/>
          <w:bCs/>
          <w:color w:val="auto"/>
          <w:szCs w:val="24"/>
          <w:highlight w:val="none"/>
          <w:lang w:val="zh-CN"/>
        </w:rPr>
      </w:pPr>
    </w:p>
    <w:p w14:paraId="11985A19">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DA9937A">
      <w:pPr>
        <w:widowControl/>
        <w:jc w:val="left"/>
        <w:rPr>
          <w:rFonts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br w:type="page"/>
      </w:r>
    </w:p>
    <w:bookmarkEnd w:id="1234"/>
    <w:bookmarkEnd w:id="1235"/>
    <w:p w14:paraId="685C08C1">
      <w:pPr>
        <w:pStyle w:val="5"/>
        <w:pageBreakBefore/>
        <w:spacing w:line="360" w:lineRule="auto"/>
        <w:rPr>
          <w:rFonts w:hAnsi="宋体" w:cs="宋体"/>
          <w:b/>
          <w:bCs/>
          <w:color w:val="auto"/>
          <w:kern w:val="2"/>
          <w:sz w:val="32"/>
          <w:szCs w:val="32"/>
          <w:highlight w:val="none"/>
          <w:lang w:val="zh-CN"/>
        </w:rPr>
      </w:pPr>
      <w:bookmarkStart w:id="1239" w:name="_Toc8972"/>
      <w:bookmarkStart w:id="1240" w:name="_Toc4743574"/>
      <w:bookmarkStart w:id="1241" w:name="_Toc24011"/>
      <w:bookmarkStart w:id="1242" w:name="_Toc447044610"/>
      <w:bookmarkStart w:id="1243" w:name="_Toc78709789"/>
      <w:bookmarkStart w:id="1244" w:name="_Toc447045097"/>
      <w:bookmarkStart w:id="1245" w:name="_Toc24242"/>
      <w:bookmarkStart w:id="1246" w:name="_Toc534983546"/>
      <w:bookmarkStart w:id="1247" w:name="_Toc447044486"/>
      <w:bookmarkStart w:id="1248" w:name="_Toc104991886"/>
      <w:bookmarkStart w:id="1249" w:name="_Toc1977738"/>
      <w:bookmarkStart w:id="1250" w:name="_Toc31135"/>
      <w:bookmarkStart w:id="1251" w:name="_Toc102860428"/>
      <w:bookmarkStart w:id="1252" w:name="_Toc94107221"/>
      <w:bookmarkStart w:id="1253" w:name="_Toc24616"/>
      <w:bookmarkStart w:id="1254" w:name="_Toc2007"/>
      <w:bookmarkStart w:id="1255" w:name="_Toc28042"/>
      <w:bookmarkStart w:id="1256" w:name="_Toc142508379"/>
      <w:bookmarkStart w:id="1257" w:name="_Toc29652"/>
      <w:bookmarkStart w:id="1258" w:name="_Toc195714398"/>
      <w:bookmarkStart w:id="1259" w:name="_Toc18185"/>
      <w:bookmarkStart w:id="1260" w:name="_Toc140596939"/>
      <w:bookmarkStart w:id="1261" w:name="_Toc18762"/>
      <w:bookmarkStart w:id="1262" w:name="_Toc102860084"/>
      <w:bookmarkStart w:id="1263" w:name="_Toc533708134"/>
      <w:bookmarkStart w:id="1264" w:name="_Toc486167721"/>
      <w:r>
        <w:rPr>
          <w:rFonts w:hint="eastAsia" w:hAnsi="宋体" w:cs="宋体"/>
          <w:b/>
          <w:bCs/>
          <w:color w:val="auto"/>
          <w:kern w:val="2"/>
          <w:sz w:val="32"/>
          <w:szCs w:val="32"/>
          <w:highlight w:val="none"/>
          <w:lang w:val="zh-CN"/>
        </w:rPr>
        <w:t>十、中标服务费承诺书格式</w:t>
      </w:r>
      <w:bookmarkEnd w:id="1239"/>
      <w:bookmarkEnd w:id="1240"/>
      <w:bookmarkEnd w:id="1241"/>
      <w:bookmarkEnd w:id="1242"/>
      <w:bookmarkEnd w:id="1243"/>
      <w:bookmarkEnd w:id="1244"/>
      <w:bookmarkEnd w:id="1245"/>
      <w:bookmarkEnd w:id="1246"/>
      <w:bookmarkEnd w:id="1247"/>
    </w:p>
    <w:p w14:paraId="1D03473D">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50C574E1">
      <w:pPr>
        <w:spacing w:line="360" w:lineRule="auto"/>
        <w:rPr>
          <w:rFonts w:ascii="宋体" w:hAnsi="宋体" w:eastAsia="宋体" w:cs="宋体"/>
          <w:b/>
          <w:bCs/>
          <w:color w:val="auto"/>
          <w:highlight w:val="none"/>
          <w:lang w:val="zh-CN"/>
        </w:rPr>
      </w:pPr>
    </w:p>
    <w:p w14:paraId="02C7C19E">
      <w:pPr>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致：广州宏达工程顾问集团有限公司</w:t>
      </w:r>
    </w:p>
    <w:p w14:paraId="0334E3F0">
      <w:pPr>
        <w:spacing w:line="360" w:lineRule="auto"/>
        <w:ind w:right="893"/>
        <w:rPr>
          <w:rFonts w:ascii="宋体" w:hAnsi="宋体" w:eastAsia="宋体" w:cs="宋体"/>
          <w:color w:val="auto"/>
          <w:szCs w:val="21"/>
          <w:highlight w:val="none"/>
          <w:lang w:val="zh-CN"/>
        </w:rPr>
      </w:pPr>
    </w:p>
    <w:p w14:paraId="083ED0BA">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kern w:val="0"/>
          <w:szCs w:val="21"/>
          <w:highlight w:val="none"/>
          <w:u w:val="single"/>
          <w:lang w:eastAsia="zh-CN"/>
        </w:rPr>
        <w:t>东莞市水务环境投资控股集团分布式光伏发电项目（第一批）净水厂项目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司即广州宏达工程顾问集团有限公司指定的银行账号，一次性交纳中标服务费</w:t>
      </w:r>
      <w:r>
        <w:rPr>
          <w:rFonts w:hint="eastAsia" w:ascii="宋体" w:hAnsi="宋体" w:eastAsia="宋体" w:cs="宋体"/>
          <w:color w:val="auto"/>
          <w:highlight w:val="none"/>
          <w:lang w:val="zh-CN"/>
        </w:rPr>
        <w:t>。</w:t>
      </w:r>
    </w:p>
    <w:p w14:paraId="79B3DC18">
      <w:pPr>
        <w:spacing w:line="360" w:lineRule="auto"/>
        <w:ind w:right="893"/>
        <w:rPr>
          <w:rFonts w:ascii="宋体" w:hAnsi="宋体" w:eastAsia="宋体" w:cs="宋体"/>
          <w:color w:val="auto"/>
          <w:szCs w:val="21"/>
          <w:highlight w:val="none"/>
          <w:lang w:val="zh-CN"/>
        </w:rPr>
      </w:pPr>
    </w:p>
    <w:p w14:paraId="79D7803E">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50C7DAF3">
      <w:pPr>
        <w:spacing w:line="360" w:lineRule="auto"/>
        <w:ind w:right="893"/>
        <w:rPr>
          <w:rFonts w:ascii="宋体" w:hAnsi="宋体" w:eastAsia="宋体" w:cs="宋体"/>
          <w:color w:val="auto"/>
          <w:highlight w:val="none"/>
          <w:lang w:val="zh-CN"/>
        </w:rPr>
      </w:pPr>
    </w:p>
    <w:p w14:paraId="14DDB959">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030F3612">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126A87A7">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163B9AB7">
      <w:pPr>
        <w:spacing w:line="360" w:lineRule="auto"/>
        <w:ind w:right="893"/>
        <w:rPr>
          <w:rFonts w:ascii="宋体" w:hAnsi="宋体" w:eastAsia="宋体" w:cs="宋体"/>
          <w:color w:val="auto"/>
          <w:highlight w:val="none"/>
          <w:lang w:val="zh-CN"/>
        </w:rPr>
      </w:pPr>
    </w:p>
    <w:p w14:paraId="5FC1253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BE64E23">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ED2F28C">
      <w:pPr>
        <w:autoSpaceDE w:val="0"/>
        <w:autoSpaceDN w:val="0"/>
        <w:adjustRightInd w:val="0"/>
        <w:spacing w:line="360" w:lineRule="auto"/>
        <w:jc w:val="center"/>
        <w:rPr>
          <w:rFonts w:ascii="宋体" w:hAnsi="宋体" w:eastAsia="宋体" w:cs="宋体"/>
          <w:b/>
          <w:bCs/>
          <w:color w:val="auto"/>
          <w:szCs w:val="24"/>
          <w:highlight w:val="none"/>
          <w:lang w:val="zh-CN"/>
        </w:rPr>
      </w:pPr>
    </w:p>
    <w:p w14:paraId="0209FBBA">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791E98E6">
      <w:pPr>
        <w:pageBreakBefore/>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737" w:bottom="1191" w:left="1503" w:header="720" w:footer="720" w:gutter="0"/>
          <w:cols w:space="720" w:num="1"/>
          <w:docGrid w:linePitch="326" w:charSpace="0"/>
        </w:sectPr>
      </w:pPr>
      <w:bookmarkStart w:id="1265" w:name="_Toc21969"/>
      <w:bookmarkStart w:id="1266" w:name="_Toc19058"/>
      <w:bookmarkStart w:id="1267" w:name="_Toc541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5"/>
      <w:bookmarkEnd w:id="1266"/>
      <w:bookmarkEnd w:id="1267"/>
    </w:p>
    <w:p w14:paraId="5988D77A">
      <w:pPr>
        <w:jc w:val="center"/>
        <w:outlineLvl w:val="1"/>
        <w:rPr>
          <w:rFonts w:ascii="宋体" w:hAnsi="宋体" w:eastAsia="宋体" w:cs="宋体"/>
          <w:b/>
          <w:color w:val="auto"/>
          <w:kern w:val="0"/>
          <w:sz w:val="32"/>
          <w:szCs w:val="32"/>
          <w:highlight w:val="none"/>
        </w:rPr>
      </w:pPr>
      <w:bookmarkStart w:id="1268" w:name="_Toc32650"/>
      <w:bookmarkStart w:id="1269" w:name="_Toc5151"/>
      <w:bookmarkStart w:id="1270" w:name="_Toc27993"/>
      <w:bookmarkStart w:id="1271" w:name="_Toc14997"/>
      <w:bookmarkStart w:id="1272" w:name="_Toc14144"/>
      <w:bookmarkStart w:id="1273" w:name="_Toc17076"/>
      <w:bookmarkStart w:id="1274" w:name="_Toc4972"/>
      <w:bookmarkStart w:id="1275" w:name="_Toc195714399"/>
      <w:bookmarkStart w:id="1276" w:name="_Toc142508380"/>
      <w:bookmarkStart w:id="1277" w:name="_Toc94107222"/>
      <w:bookmarkStart w:id="1278" w:name="_Toc31916"/>
      <w:bookmarkStart w:id="1279" w:name="_Toc18038"/>
      <w:bookmarkStart w:id="1280" w:name="_Toc1977739"/>
      <w:bookmarkStart w:id="1281" w:name="_Toc140596940"/>
      <w:bookmarkStart w:id="1282" w:name="_Toc27482"/>
      <w:bookmarkStart w:id="1283" w:name="_Toc104991887"/>
      <w:bookmarkStart w:id="1284" w:name="_Toc102860429"/>
      <w:bookmarkStart w:id="1285" w:name="_Toc102860085"/>
      <w:r>
        <w:rPr>
          <w:rFonts w:hint="eastAsia" w:ascii="宋体" w:hAnsi="宋体" w:eastAsia="宋体" w:cs="宋体"/>
          <w:b/>
          <w:color w:val="auto"/>
          <w:kern w:val="0"/>
          <w:sz w:val="32"/>
          <w:szCs w:val="32"/>
          <w:highlight w:val="none"/>
        </w:rPr>
        <w:t>二  技术标格式</w:t>
      </w:r>
      <w:bookmarkEnd w:id="1268"/>
      <w:bookmarkEnd w:id="1269"/>
      <w:bookmarkEnd w:id="1270"/>
      <w:bookmarkEnd w:id="1271"/>
      <w:bookmarkEnd w:id="1272"/>
      <w:bookmarkEnd w:id="1273"/>
      <w:bookmarkEnd w:id="1274"/>
      <w:bookmarkEnd w:id="1275"/>
    </w:p>
    <w:p w14:paraId="790A83BD">
      <w:pPr>
        <w:jc w:val="left"/>
        <w:rPr>
          <w:rFonts w:ascii="宋体" w:hAnsi="宋体" w:eastAsia="宋体" w:cs="宋体"/>
          <w:b/>
          <w:color w:val="auto"/>
          <w:kern w:val="0"/>
          <w:sz w:val="32"/>
          <w:szCs w:val="32"/>
          <w:highlight w:val="none"/>
        </w:rPr>
      </w:pPr>
    </w:p>
    <w:bookmarkEnd w:id="1263"/>
    <w:bookmarkEnd w:id="1276"/>
    <w:bookmarkEnd w:id="1277"/>
    <w:bookmarkEnd w:id="1278"/>
    <w:bookmarkEnd w:id="1279"/>
    <w:bookmarkEnd w:id="1280"/>
    <w:bookmarkEnd w:id="1281"/>
    <w:bookmarkEnd w:id="1282"/>
    <w:bookmarkEnd w:id="1283"/>
    <w:bookmarkEnd w:id="1284"/>
    <w:bookmarkEnd w:id="1285"/>
    <w:p w14:paraId="02D7F8B9">
      <w:pPr>
        <w:pStyle w:val="22"/>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br w:type="page"/>
      </w:r>
      <w:bookmarkEnd w:id="1264"/>
      <w:bookmarkStart w:id="1286" w:name="_Toc94107223"/>
      <w:bookmarkStart w:id="1287" w:name="_Toc102860430"/>
      <w:bookmarkStart w:id="1288" w:name="_Toc1977740"/>
      <w:bookmarkStart w:id="1289" w:name="_Toc140596941"/>
      <w:bookmarkStart w:id="1290" w:name="_Toc102860086"/>
      <w:bookmarkStart w:id="1291" w:name="_Toc533708135"/>
      <w:bookmarkStart w:id="1292" w:name="_Toc104991888"/>
      <w:bookmarkStart w:id="1293" w:name="_Toc142508381"/>
    </w:p>
    <w:p w14:paraId="09E39105">
      <w:pPr>
        <w:pStyle w:val="22"/>
        <w:spacing w:line="360" w:lineRule="auto"/>
        <w:jc w:val="center"/>
        <w:rPr>
          <w:rFonts w:ascii="宋体" w:hAnsi="宋体" w:cs="宋体"/>
          <w:b/>
          <w:color w:val="auto"/>
          <w:kern w:val="0"/>
          <w:szCs w:val="21"/>
          <w:highlight w:val="none"/>
        </w:rPr>
      </w:pPr>
    </w:p>
    <w:p w14:paraId="046D0DE3">
      <w:pPr>
        <w:pStyle w:val="22"/>
        <w:spacing w:line="360" w:lineRule="auto"/>
        <w:jc w:val="center"/>
        <w:rPr>
          <w:rFonts w:ascii="宋体" w:hAnsi="宋体" w:cs="宋体"/>
          <w:b/>
          <w:color w:val="auto"/>
          <w:kern w:val="0"/>
          <w:szCs w:val="21"/>
          <w:highlight w:val="none"/>
        </w:rPr>
      </w:pPr>
    </w:p>
    <w:p w14:paraId="71649AFB">
      <w:pPr>
        <w:pStyle w:val="22"/>
        <w:spacing w:line="360" w:lineRule="auto"/>
        <w:jc w:val="center"/>
        <w:rPr>
          <w:rFonts w:ascii="宋体" w:hAnsi="宋体" w:cs="宋体"/>
          <w:b/>
          <w:color w:val="auto"/>
          <w:kern w:val="0"/>
          <w:szCs w:val="21"/>
          <w:highlight w:val="none"/>
        </w:rPr>
      </w:pPr>
    </w:p>
    <w:p w14:paraId="32D3DD71">
      <w:pPr>
        <w:pStyle w:val="22"/>
        <w:spacing w:line="360" w:lineRule="auto"/>
        <w:jc w:val="center"/>
        <w:rPr>
          <w:rFonts w:ascii="宋体" w:hAnsi="宋体" w:cs="宋体"/>
          <w:b/>
          <w:color w:val="auto"/>
          <w:kern w:val="0"/>
          <w:szCs w:val="21"/>
          <w:highlight w:val="none"/>
        </w:rPr>
      </w:pPr>
    </w:p>
    <w:p w14:paraId="35EBD0C8">
      <w:pPr>
        <w:pStyle w:val="22"/>
        <w:spacing w:line="360" w:lineRule="auto"/>
        <w:jc w:val="center"/>
        <w:rPr>
          <w:rFonts w:ascii="宋体" w:hAnsi="宋体" w:cs="宋体"/>
          <w:b/>
          <w:color w:val="auto"/>
          <w:kern w:val="0"/>
          <w:szCs w:val="21"/>
          <w:highlight w:val="none"/>
        </w:rPr>
      </w:pPr>
    </w:p>
    <w:p w14:paraId="0652023C">
      <w:pPr>
        <w:pStyle w:val="22"/>
        <w:spacing w:line="360" w:lineRule="auto"/>
        <w:jc w:val="center"/>
        <w:rPr>
          <w:rFonts w:ascii="宋体" w:hAnsi="宋体" w:cs="宋体"/>
          <w:b/>
          <w:color w:val="auto"/>
          <w:kern w:val="0"/>
          <w:szCs w:val="21"/>
          <w:highlight w:val="none"/>
        </w:rPr>
      </w:pPr>
    </w:p>
    <w:p w14:paraId="76A911A9">
      <w:pPr>
        <w:pStyle w:val="22"/>
        <w:spacing w:line="360" w:lineRule="auto"/>
        <w:jc w:val="center"/>
        <w:rPr>
          <w:rFonts w:ascii="宋体" w:hAnsi="宋体" w:cs="宋体"/>
          <w:b/>
          <w:color w:val="auto"/>
          <w:kern w:val="0"/>
          <w:szCs w:val="21"/>
          <w:highlight w:val="none"/>
        </w:rPr>
      </w:pPr>
    </w:p>
    <w:p w14:paraId="0A08BDC4">
      <w:pPr>
        <w:pStyle w:val="22"/>
        <w:spacing w:line="360" w:lineRule="auto"/>
        <w:jc w:val="center"/>
        <w:rPr>
          <w:rFonts w:ascii="宋体" w:hAnsi="宋体" w:cs="宋体"/>
          <w:b/>
          <w:color w:val="auto"/>
          <w:kern w:val="0"/>
          <w:szCs w:val="21"/>
          <w:highlight w:val="none"/>
        </w:rPr>
      </w:pPr>
    </w:p>
    <w:p w14:paraId="33C1FE49">
      <w:pPr>
        <w:pStyle w:val="22"/>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14:paraId="55285ADE">
      <w:pPr>
        <w:pStyle w:val="22"/>
        <w:spacing w:line="360" w:lineRule="auto"/>
        <w:rPr>
          <w:rFonts w:ascii="宋体" w:hAnsi="宋体" w:cs="宋体"/>
          <w:color w:val="auto"/>
          <w:highlight w:val="none"/>
        </w:rPr>
      </w:pPr>
    </w:p>
    <w:p w14:paraId="7F9A6556">
      <w:pPr>
        <w:pStyle w:val="22"/>
        <w:spacing w:line="360" w:lineRule="auto"/>
        <w:rPr>
          <w:rFonts w:ascii="宋体" w:hAnsi="宋体" w:cs="宋体"/>
          <w:color w:val="auto"/>
          <w:highlight w:val="none"/>
        </w:rPr>
      </w:pPr>
    </w:p>
    <w:p w14:paraId="7AEDDE87">
      <w:pPr>
        <w:pStyle w:val="22"/>
        <w:spacing w:line="360" w:lineRule="auto"/>
        <w:rPr>
          <w:rFonts w:ascii="宋体" w:hAnsi="宋体" w:cs="宋体"/>
          <w:color w:val="auto"/>
          <w:highlight w:val="none"/>
        </w:rPr>
      </w:pPr>
    </w:p>
    <w:p w14:paraId="1268C027">
      <w:pPr>
        <w:pStyle w:val="22"/>
        <w:spacing w:line="360" w:lineRule="auto"/>
        <w:rPr>
          <w:rFonts w:ascii="宋体" w:hAnsi="宋体" w:cs="宋体"/>
          <w:color w:val="auto"/>
          <w:highlight w:val="none"/>
        </w:rPr>
      </w:pPr>
    </w:p>
    <w:p w14:paraId="553C1B16">
      <w:pPr>
        <w:pStyle w:val="22"/>
        <w:spacing w:line="360" w:lineRule="auto"/>
        <w:rPr>
          <w:rFonts w:ascii="宋体" w:hAnsi="宋体" w:cs="宋体"/>
          <w:color w:val="auto"/>
          <w:highlight w:val="none"/>
        </w:rPr>
      </w:pPr>
    </w:p>
    <w:p w14:paraId="190EB892">
      <w:pPr>
        <w:pStyle w:val="22"/>
        <w:spacing w:line="360" w:lineRule="auto"/>
        <w:rPr>
          <w:rFonts w:ascii="宋体" w:hAnsi="宋体" w:cs="宋体"/>
          <w:color w:val="auto"/>
          <w:highlight w:val="none"/>
        </w:rPr>
      </w:pPr>
    </w:p>
    <w:p w14:paraId="7611927F">
      <w:pPr>
        <w:pStyle w:val="22"/>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14:paraId="1F0BA007">
      <w:pPr>
        <w:pStyle w:val="22"/>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14:paraId="4F117AC7">
      <w:pPr>
        <w:pStyle w:val="22"/>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投标文件技术标 </w:t>
      </w:r>
    </w:p>
    <w:p w14:paraId="7A236441">
      <w:pPr>
        <w:pStyle w:val="22"/>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14:paraId="4E9F8190">
      <w:pPr>
        <w:pStyle w:val="22"/>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（企业数字证书电子签名）   </w:t>
      </w:r>
    </w:p>
    <w:p w14:paraId="09C26F3D">
      <w:pPr>
        <w:pStyle w:val="22"/>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14:paraId="6508DE0C">
      <w:pPr>
        <w:pStyle w:val="22"/>
        <w:spacing w:line="360" w:lineRule="auto"/>
        <w:rPr>
          <w:rFonts w:ascii="宋体" w:hAnsi="宋体" w:cs="宋体"/>
          <w:color w:val="auto"/>
          <w:highlight w:val="none"/>
        </w:rPr>
      </w:pPr>
    </w:p>
    <w:p w14:paraId="7F2D64AC">
      <w:pPr>
        <w:pStyle w:val="22"/>
        <w:spacing w:line="360" w:lineRule="auto"/>
        <w:rPr>
          <w:rFonts w:ascii="宋体" w:hAnsi="宋体" w:cs="宋体"/>
          <w:color w:val="auto"/>
          <w:highlight w:val="none"/>
        </w:rPr>
      </w:pPr>
      <w:r>
        <w:rPr>
          <w:rFonts w:hint="eastAsia" w:ascii="宋体" w:hAnsi="宋体" w:cs="宋体"/>
          <w:color w:val="auto"/>
          <w:highlight w:val="none"/>
        </w:rPr>
        <w:br w:type="page"/>
      </w:r>
    </w:p>
    <w:p w14:paraId="5B6CCA17">
      <w:pPr>
        <w:tabs>
          <w:tab w:val="left" w:pos="567"/>
        </w:tabs>
        <w:autoSpaceDE w:val="0"/>
        <w:autoSpaceDN w:val="0"/>
        <w:adjustRightInd w:val="0"/>
        <w:spacing w:line="360" w:lineRule="auto"/>
        <w:ind w:left="357" w:leftChars="-100" w:hanging="567"/>
        <w:jc w:val="center"/>
        <w:outlineLvl w:val="2"/>
        <w:rPr>
          <w:rFonts w:ascii="宋体" w:hAnsi="宋体" w:eastAsia="宋体" w:cs="宋体"/>
          <w:b/>
          <w:color w:val="auto"/>
          <w:kern w:val="0"/>
          <w:sz w:val="24"/>
          <w:szCs w:val="24"/>
          <w:highlight w:val="none"/>
        </w:rPr>
      </w:pPr>
      <w:bookmarkStart w:id="1294" w:name="_Toc20130"/>
      <w:bookmarkStart w:id="1295" w:name="_Toc8004"/>
      <w:bookmarkStart w:id="1296" w:name="_Toc195714400"/>
      <w:bookmarkStart w:id="1297" w:name="_Toc5601"/>
      <w:bookmarkStart w:id="1298" w:name="_Toc23169"/>
      <w:bookmarkStart w:id="1299" w:name="_Toc14054"/>
      <w:bookmarkStart w:id="1300" w:name="_Toc23902"/>
      <w:bookmarkStart w:id="1301" w:name="_Toc11390"/>
      <w:r>
        <w:rPr>
          <w:rFonts w:hint="eastAsia" w:ascii="宋体" w:hAnsi="宋体" w:eastAsia="宋体" w:cs="宋体"/>
          <w:b/>
          <w:color w:val="auto"/>
          <w:kern w:val="0"/>
          <w:sz w:val="24"/>
          <w:szCs w:val="24"/>
          <w:highlight w:val="none"/>
        </w:rPr>
        <w:t>目录</w:t>
      </w:r>
      <w:bookmarkEnd w:id="1294"/>
      <w:bookmarkEnd w:id="1295"/>
      <w:bookmarkEnd w:id="1296"/>
      <w:bookmarkEnd w:id="1297"/>
      <w:bookmarkEnd w:id="1298"/>
      <w:bookmarkEnd w:id="1299"/>
      <w:bookmarkEnd w:id="1300"/>
      <w:bookmarkEnd w:id="1301"/>
    </w:p>
    <w:p w14:paraId="5BE736EA">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一、用户需求的响应程度（用户需求偏离表）；</w:t>
      </w:r>
    </w:p>
    <w:p w14:paraId="3C7C8CAE">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bCs/>
          <w:color w:val="auto"/>
          <w:kern w:val="0"/>
          <w:szCs w:val="21"/>
          <w:highlight w:val="none"/>
        </w:rPr>
        <w:t>供货货物清单表</w:t>
      </w:r>
      <w:bookmarkStart w:id="1302" w:name="OLE_LINK138"/>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货物明细中的</w:t>
      </w:r>
      <w:r>
        <w:rPr>
          <w:rFonts w:hint="eastAsia" w:ascii="宋体" w:hAnsi="宋体" w:eastAsia="宋体" w:cs="宋体"/>
          <w:b/>
          <w:bCs/>
          <w:color w:val="auto"/>
          <w:kern w:val="0"/>
          <w:szCs w:val="21"/>
          <w:highlight w:val="none"/>
        </w:rPr>
        <w:t>项目</w:t>
      </w:r>
      <w:r>
        <w:rPr>
          <w:rFonts w:hint="eastAsia" w:ascii="宋体" w:hAnsi="宋体" w:eastAsia="宋体" w:cs="宋体"/>
          <w:b/>
          <w:bCs/>
          <w:color w:val="auto"/>
          <w:kern w:val="0"/>
          <w:szCs w:val="21"/>
          <w:highlight w:val="none"/>
          <w:lang w:val="zh-CN"/>
        </w:rPr>
        <w:t>名称、</w:t>
      </w:r>
      <w:r>
        <w:rPr>
          <w:rFonts w:hint="eastAsia" w:ascii="宋体" w:hAnsi="宋体" w:eastAsia="宋体" w:cs="宋体"/>
          <w:b/>
          <w:bCs/>
          <w:color w:val="auto"/>
          <w:kern w:val="0"/>
          <w:szCs w:val="21"/>
          <w:highlight w:val="none"/>
        </w:rPr>
        <w:t>单位</w:t>
      </w:r>
      <w:r>
        <w:rPr>
          <w:rFonts w:hint="eastAsia" w:ascii="宋体" w:hAnsi="宋体" w:eastAsia="宋体" w:cs="宋体"/>
          <w:b/>
          <w:bCs/>
          <w:color w:val="auto"/>
          <w:kern w:val="0"/>
          <w:szCs w:val="21"/>
          <w:highlight w:val="none"/>
          <w:lang w:val="zh-CN"/>
        </w:rPr>
        <w:t>、数量等，应与用户需求书</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zh-CN"/>
        </w:rPr>
        <w:t>附件1项目清单一致，需包含光伏组件、逆变器、电缆、汇流箱、并网柜、计量设备、支架材料、监控设备等主材</w:t>
      </w:r>
      <w:r>
        <w:rPr>
          <w:rFonts w:hint="eastAsia" w:ascii="宋体" w:hAnsi="宋体" w:eastAsia="宋体" w:cs="宋体"/>
          <w:b/>
          <w:bCs/>
          <w:color w:val="auto"/>
          <w:kern w:val="0"/>
          <w:szCs w:val="21"/>
          <w:highlight w:val="none"/>
        </w:rPr>
        <w:t>）</w:t>
      </w:r>
      <w:bookmarkEnd w:id="1302"/>
      <w:r>
        <w:rPr>
          <w:rFonts w:hint="eastAsia" w:ascii="宋体" w:hAnsi="宋体" w:eastAsia="宋体" w:cs="宋体"/>
          <w:b/>
          <w:bCs/>
          <w:color w:val="auto"/>
          <w:szCs w:val="21"/>
          <w:highlight w:val="none"/>
        </w:rPr>
        <w:t>；</w:t>
      </w:r>
    </w:p>
    <w:p w14:paraId="55116067">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三、</w:t>
      </w:r>
      <w:bookmarkStart w:id="1303" w:name="OLE_LINK336"/>
      <w:r>
        <w:rPr>
          <w:rFonts w:hint="eastAsia" w:ascii="宋体" w:hAnsi="宋体" w:eastAsia="宋体" w:cs="宋体"/>
          <w:b/>
          <w:bCs/>
          <w:color w:val="auto"/>
          <w:szCs w:val="21"/>
          <w:highlight w:val="none"/>
        </w:rPr>
        <w:t>光伏发电设施技术证明材料；</w:t>
      </w:r>
    </w:p>
    <w:p w14:paraId="02484836">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四、光伏系统主要设备产品性能</w:t>
      </w:r>
      <w:bookmarkEnd w:id="1303"/>
      <w:r>
        <w:rPr>
          <w:rFonts w:hint="eastAsia" w:ascii="宋体" w:hAnsi="宋体" w:eastAsia="宋体" w:cs="宋体"/>
          <w:b/>
          <w:bCs/>
          <w:color w:val="auto"/>
          <w:szCs w:val="21"/>
          <w:highlight w:val="none"/>
        </w:rPr>
        <w:t>；</w:t>
      </w:r>
    </w:p>
    <w:p w14:paraId="5D3C2276">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五、质保时间（质保说明书）；</w:t>
      </w:r>
    </w:p>
    <w:p w14:paraId="5E54FB61">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六、</w:t>
      </w:r>
      <w:r>
        <w:rPr>
          <w:rFonts w:hint="eastAsia" w:ascii="宋体" w:hAnsi="宋体" w:eastAsia="宋体" w:cs="宋体"/>
          <w:b/>
          <w:bCs/>
          <w:color w:val="auto"/>
          <w:kern w:val="0"/>
          <w:szCs w:val="21"/>
          <w:highlight w:val="none"/>
        </w:rPr>
        <w:t>技术服务团队实力（投标人提供证明资料）</w:t>
      </w:r>
      <w:r>
        <w:rPr>
          <w:rFonts w:hint="eastAsia" w:ascii="宋体" w:hAnsi="宋体" w:eastAsia="宋体" w:cs="宋体"/>
          <w:b/>
          <w:bCs/>
          <w:color w:val="auto"/>
          <w:szCs w:val="21"/>
          <w:highlight w:val="none"/>
        </w:rPr>
        <w:t>；</w:t>
      </w:r>
    </w:p>
    <w:p w14:paraId="514D2269">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七、</w:t>
      </w:r>
      <w:bookmarkStart w:id="1304" w:name="OLE_LINK344"/>
      <w:r>
        <w:rPr>
          <w:rFonts w:hint="eastAsia" w:ascii="宋体" w:hAnsi="宋体" w:eastAsia="宋体" w:cs="宋体"/>
          <w:b/>
          <w:bCs/>
          <w:color w:val="auto"/>
          <w:kern w:val="0"/>
          <w:szCs w:val="21"/>
          <w:highlight w:val="none"/>
        </w:rPr>
        <w:t>系统总体设计方案（投标人自行编写）</w:t>
      </w:r>
      <w:bookmarkEnd w:id="1304"/>
      <w:r>
        <w:rPr>
          <w:rFonts w:hint="eastAsia" w:ascii="宋体" w:hAnsi="宋体" w:eastAsia="宋体" w:cs="宋体"/>
          <w:b/>
          <w:bCs/>
          <w:color w:val="auto"/>
          <w:szCs w:val="21"/>
          <w:highlight w:val="none"/>
        </w:rPr>
        <w:t>；</w:t>
      </w:r>
    </w:p>
    <w:p w14:paraId="6BAA508B">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八、项目实施方案（投标人自行编写）；</w:t>
      </w:r>
    </w:p>
    <w:p w14:paraId="2AAF4229">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九、安全保证措施（投标人自行编写）；</w:t>
      </w:r>
    </w:p>
    <w:p w14:paraId="304EBEA1">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十、技术服务运维方案（投标人自行编写）；</w:t>
      </w:r>
    </w:p>
    <w:p w14:paraId="3875DE04">
      <w:pPr>
        <w:pBdr>
          <w:bottom w:val="single" w:color="auto" w:sz="6" w:space="0"/>
        </w:pBdr>
        <w:spacing w:line="500" w:lineRule="exact"/>
        <w:ind w:firstLine="472" w:firstLineChars="224"/>
        <w:jc w:val="left"/>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十一</w:t>
      </w:r>
      <w:r>
        <w:rPr>
          <w:rFonts w:hint="eastAsia" w:ascii="宋体" w:hAnsi="宋体" w:eastAsia="宋体" w:cs="宋体"/>
          <w:b/>
          <w:bCs/>
          <w:color w:val="auto"/>
          <w:szCs w:val="21"/>
          <w:highlight w:val="none"/>
        </w:rPr>
        <w:t>、投标人认为有必要提供的其它材料（不做强制要求）。</w:t>
      </w:r>
    </w:p>
    <w:p w14:paraId="124495CA">
      <w:pPr>
        <w:pBdr>
          <w:bottom w:val="single" w:color="auto" w:sz="6" w:space="0"/>
        </w:pBdr>
        <w:spacing w:line="500" w:lineRule="exact"/>
        <w:ind w:firstLine="675" w:firstLineChars="224"/>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72CADE4F">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05" w:name="_Toc30448"/>
      <w:bookmarkStart w:id="1306" w:name="_Toc27934"/>
      <w:bookmarkStart w:id="1307" w:name="_Toc23268"/>
      <w:bookmarkStart w:id="1308" w:name="_Toc24129"/>
      <w:bookmarkStart w:id="1309" w:name="_Toc20085"/>
      <w:bookmarkStart w:id="1310" w:name="_Toc32398"/>
      <w:bookmarkStart w:id="1311" w:name="_Toc24879"/>
      <w:bookmarkStart w:id="1312" w:name="_Toc195714401"/>
      <w:bookmarkStart w:id="1313" w:name="_Toc19585"/>
      <w:bookmarkStart w:id="1314" w:name="_Toc4813"/>
      <w:bookmarkStart w:id="1315" w:name="_Toc18999"/>
      <w:r>
        <w:rPr>
          <w:rFonts w:hint="eastAsia" w:ascii="宋体" w:hAnsi="宋体" w:eastAsia="宋体" w:cs="宋体"/>
          <w:b/>
          <w:color w:val="auto"/>
          <w:kern w:val="0"/>
          <w:sz w:val="30"/>
          <w:szCs w:val="30"/>
          <w:highlight w:val="none"/>
        </w:rPr>
        <w:t>一、用户需求偏离表</w:t>
      </w:r>
      <w:bookmarkEnd w:id="1286"/>
      <w:bookmarkEnd w:id="1287"/>
      <w:bookmarkEnd w:id="1288"/>
      <w:bookmarkEnd w:id="1289"/>
      <w:bookmarkEnd w:id="1290"/>
      <w:bookmarkEnd w:id="1291"/>
      <w:bookmarkEnd w:id="1292"/>
      <w:bookmarkEnd w:id="1293"/>
      <w:bookmarkEnd w:id="1305"/>
      <w:bookmarkEnd w:id="1306"/>
      <w:bookmarkEnd w:id="1307"/>
      <w:bookmarkEnd w:id="1308"/>
      <w:bookmarkEnd w:id="1309"/>
      <w:bookmarkEnd w:id="1310"/>
      <w:bookmarkEnd w:id="1311"/>
      <w:bookmarkEnd w:id="1312"/>
      <w:bookmarkEnd w:id="1313"/>
      <w:bookmarkEnd w:id="1314"/>
      <w:bookmarkEnd w:id="1315"/>
    </w:p>
    <w:p w14:paraId="40B9CA9A">
      <w:pPr>
        <w:spacing w:before="120" w:after="120" w:line="360" w:lineRule="auto"/>
        <w:jc w:val="center"/>
        <w:rPr>
          <w:rFonts w:ascii="宋体" w:hAnsi="宋体" w:eastAsia="宋体" w:cs="宋体"/>
          <w:color w:val="auto"/>
          <w:kern w:val="0"/>
          <w:szCs w:val="21"/>
          <w:highlight w:val="none"/>
        </w:rPr>
      </w:pPr>
      <w:bookmarkStart w:id="1316" w:name="_Toc17449_WPSOffice_Level3"/>
      <w:r>
        <w:rPr>
          <w:rFonts w:hint="eastAsia" w:ascii="宋体" w:hAnsi="宋体" w:eastAsia="宋体" w:cs="宋体"/>
          <w:b/>
          <w:color w:val="auto"/>
          <w:kern w:val="0"/>
          <w:sz w:val="30"/>
          <w:szCs w:val="30"/>
          <w:highlight w:val="none"/>
          <w:lang w:val="zh-CN"/>
        </w:rPr>
        <w:t>用户需求偏离表</w:t>
      </w:r>
      <w:bookmarkEnd w:id="1316"/>
    </w:p>
    <w:tbl>
      <w:tblPr>
        <w:tblStyle w:val="46"/>
        <w:tblW w:w="51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780"/>
        <w:gridCol w:w="6250"/>
        <w:gridCol w:w="610"/>
        <w:gridCol w:w="646"/>
        <w:gridCol w:w="672"/>
      </w:tblGrid>
      <w:tr w14:paraId="167B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9" w:type="pct"/>
            <w:vMerge w:val="restart"/>
            <w:vAlign w:val="center"/>
          </w:tcPr>
          <w:p w14:paraId="73B64A0E">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713" w:type="pct"/>
            <w:gridSpan w:val="2"/>
            <w:vAlign w:val="center"/>
          </w:tcPr>
          <w:p w14:paraId="27E9008E">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017" w:type="pct"/>
            <w:gridSpan w:val="3"/>
            <w:vAlign w:val="center"/>
          </w:tcPr>
          <w:p w14:paraId="0F79DB44">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5322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9" w:type="pct"/>
            <w:vMerge w:val="continue"/>
            <w:vAlign w:val="center"/>
          </w:tcPr>
          <w:p w14:paraId="5A4F4AB3">
            <w:pPr>
              <w:keepNext/>
              <w:keepLines/>
              <w:spacing w:line="360" w:lineRule="auto"/>
              <w:jc w:val="center"/>
              <w:rPr>
                <w:rFonts w:ascii="宋体" w:hAnsi="宋体" w:eastAsia="宋体" w:cs="宋体"/>
                <w:color w:val="auto"/>
                <w:kern w:val="0"/>
                <w:sz w:val="18"/>
                <w:szCs w:val="18"/>
                <w:highlight w:val="none"/>
              </w:rPr>
            </w:pPr>
          </w:p>
        </w:tc>
        <w:tc>
          <w:tcPr>
            <w:tcW w:w="412" w:type="pct"/>
            <w:vAlign w:val="center"/>
          </w:tcPr>
          <w:p w14:paraId="01993152">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300" w:type="pct"/>
            <w:vAlign w:val="center"/>
          </w:tcPr>
          <w:p w14:paraId="1F53E236">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22" w:type="pct"/>
            <w:vAlign w:val="center"/>
          </w:tcPr>
          <w:p w14:paraId="65792098">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341" w:type="pct"/>
            <w:vAlign w:val="center"/>
          </w:tcPr>
          <w:p w14:paraId="51534050">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53" w:type="pct"/>
            <w:vAlign w:val="center"/>
          </w:tcPr>
          <w:p w14:paraId="0B79A23A">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0BF5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 w:type="pct"/>
            <w:vAlign w:val="center"/>
          </w:tcPr>
          <w:p w14:paraId="02172D8E">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12" w:type="pct"/>
            <w:vAlign w:val="center"/>
          </w:tcPr>
          <w:p w14:paraId="5446F7BA">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一、项目概况</w:t>
            </w:r>
          </w:p>
        </w:tc>
        <w:tc>
          <w:tcPr>
            <w:tcW w:w="3300" w:type="pct"/>
            <w:vAlign w:val="center"/>
          </w:tcPr>
          <w:p w14:paraId="631975D9">
            <w:pPr>
              <w:widowControl/>
              <w:spacing w:line="360" w:lineRule="auto"/>
              <w:ind w:firstLine="360" w:firstLineChars="200"/>
              <w:jc w:val="left"/>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为贯彻落实国家“双碳”战略，积极响应市委市政府关于市属国企积极参与光伏发电项目开发建设的要求，东莞市水务环境投资控股集团</w:t>
            </w:r>
            <w:r>
              <w:rPr>
                <w:rFonts w:hint="eastAsia" w:ascii="宋体" w:hAnsi="宋体" w:eastAsia="宋体" w:cs="宋体"/>
                <w:color w:val="auto"/>
                <w:kern w:val="0"/>
                <w:sz w:val="18"/>
                <w:szCs w:val="18"/>
                <w:highlight w:val="none"/>
                <w:lang w:val="en-US" w:eastAsia="zh-CN"/>
              </w:rPr>
              <w:t>有限公司</w:t>
            </w:r>
            <w:r>
              <w:rPr>
                <w:rFonts w:hint="eastAsia" w:ascii="宋体" w:hAnsi="宋体" w:eastAsia="宋体" w:cs="宋体"/>
                <w:color w:val="auto"/>
                <w:kern w:val="0"/>
                <w:sz w:val="18"/>
                <w:szCs w:val="18"/>
                <w:highlight w:val="none"/>
              </w:rPr>
              <w:t>正大力拓展绿色新能源业务板块。根据东莞市水务环境投资控股集团</w:t>
            </w:r>
            <w:r>
              <w:rPr>
                <w:rFonts w:hint="eastAsia" w:ascii="宋体" w:hAnsi="宋体" w:eastAsia="宋体" w:cs="宋体"/>
                <w:color w:val="auto"/>
                <w:kern w:val="0"/>
                <w:sz w:val="18"/>
                <w:szCs w:val="18"/>
                <w:highlight w:val="none"/>
                <w:lang w:val="en-US" w:eastAsia="zh-CN"/>
              </w:rPr>
              <w:t>有限公司</w:t>
            </w:r>
            <w:r>
              <w:rPr>
                <w:rFonts w:hint="eastAsia" w:ascii="宋体" w:hAnsi="宋体" w:eastAsia="宋体" w:cs="宋体"/>
                <w:color w:val="auto"/>
                <w:kern w:val="0"/>
                <w:sz w:val="18"/>
                <w:szCs w:val="18"/>
                <w:highlight w:val="none"/>
              </w:rPr>
              <w:t>工作部署，拟在东城温塘水质净化厂、横沥东坑水质净化厂、虎门宁洲水质净化厂、沙田福禄沙水质净化厂、常平岗梓水质净化厂、常平沙湖口水质净化厂、高埗低涌水质净化厂等7家水质净化厂的工作间屋面和部分工作池池面安装光伏发电设施，直属企业东莞市水务集团科技发展有限公司（以下简称“招标人”）负责上述7家厂区光伏发电项目（以下简称“水质净化厂光伏项目”）投资、建设及运营。</w:t>
            </w:r>
          </w:p>
        </w:tc>
        <w:tc>
          <w:tcPr>
            <w:tcW w:w="322" w:type="pct"/>
            <w:vAlign w:val="center"/>
          </w:tcPr>
          <w:p w14:paraId="4952B766">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51A1B549">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13527A95">
            <w:pPr>
              <w:keepNext/>
              <w:keepLines/>
              <w:spacing w:line="360" w:lineRule="auto"/>
              <w:jc w:val="center"/>
              <w:rPr>
                <w:rFonts w:ascii="宋体" w:hAnsi="宋体" w:eastAsia="宋体" w:cs="宋体"/>
                <w:color w:val="auto"/>
                <w:kern w:val="0"/>
                <w:sz w:val="18"/>
                <w:szCs w:val="18"/>
                <w:highlight w:val="none"/>
              </w:rPr>
            </w:pPr>
          </w:p>
        </w:tc>
      </w:tr>
      <w:tr w14:paraId="0705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vAlign w:val="center"/>
          </w:tcPr>
          <w:p w14:paraId="7FDDA9F7">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12" w:type="pct"/>
            <w:vAlign w:val="center"/>
          </w:tcPr>
          <w:p w14:paraId="40854A81">
            <w:pPr>
              <w:spacing w:line="360" w:lineRule="auto"/>
              <w:jc w:val="center"/>
              <w:rPr>
                <w:rFonts w:ascii="宋体" w:hAnsi="宋体" w:eastAsia="宋体" w:cs="宋体"/>
                <w:color w:val="auto"/>
                <w:kern w:val="0"/>
                <w:sz w:val="18"/>
                <w:szCs w:val="18"/>
                <w:highlight w:val="none"/>
                <w:lang w:val="zh-CN"/>
              </w:rPr>
            </w:pPr>
            <w:r>
              <w:rPr>
                <w:rFonts w:hint="eastAsia" w:ascii="宋体" w:hAnsi="宋体" w:eastAsia="宋体" w:cs="宋体"/>
                <w:color w:val="auto"/>
                <w:kern w:val="0"/>
                <w:sz w:val="18"/>
                <w:szCs w:val="18"/>
                <w:highlight w:val="none"/>
                <w:lang w:val="zh-CN"/>
              </w:rPr>
              <w:t>二、工作内容</w:t>
            </w:r>
          </w:p>
        </w:tc>
        <w:tc>
          <w:tcPr>
            <w:tcW w:w="3300" w:type="pct"/>
            <w:vAlign w:val="center"/>
          </w:tcPr>
          <w:p w14:paraId="703F09FF">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1、项目建设内容：</w:t>
            </w:r>
          </w:p>
          <w:p w14:paraId="298C5AD8">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根据《东莞市水务集团分布式光伏发电项目（第一批）》方案优化内容，水质净化厂光伏项目主要建设内容包括但不限于光伏组件、并网设施、交流汇流箱、逆变器、开关柜、光伏支架、电缆、监控、通讯、防雷及安全防护等配套设施的安装及相关配套手续的办理，光伏发电建设规模初定为13529.02kWp，详见下表。</w:t>
            </w:r>
          </w:p>
          <w:p w14:paraId="45558CA2">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最终安装容量以项目实际安装容量为准，据实际建设</w:t>
            </w:r>
            <w:r>
              <w:rPr>
                <w:rFonts w:hint="eastAsia" w:ascii="宋体" w:hAnsi="宋体" w:eastAsia="宋体" w:cs="宋体"/>
                <w:color w:val="auto"/>
                <w:sz w:val="18"/>
                <w:szCs w:val="18"/>
                <w:highlight w:val="none"/>
                <w:lang w:val="en-US" w:eastAsia="zh-CN"/>
              </w:rPr>
              <w:t>后的结算装机</w:t>
            </w:r>
            <w:r>
              <w:rPr>
                <w:rFonts w:ascii="宋体" w:hAnsi="宋体" w:eastAsia="宋体" w:cs="宋体"/>
                <w:color w:val="auto"/>
                <w:sz w:val="18"/>
                <w:szCs w:val="18"/>
                <w:highlight w:val="none"/>
              </w:rPr>
              <w:t>容量及每瓦单价结算。</w:t>
            </w:r>
          </w:p>
          <w:tbl>
            <w:tblPr>
              <w:tblStyle w:val="46"/>
              <w:tblW w:w="4998" w:type="pct"/>
              <w:jc w:val="center"/>
              <w:tblLayout w:type="autofit"/>
              <w:tblCellMar>
                <w:top w:w="0" w:type="dxa"/>
                <w:left w:w="108" w:type="dxa"/>
                <w:bottom w:w="0" w:type="dxa"/>
                <w:right w:w="108" w:type="dxa"/>
              </w:tblCellMar>
            </w:tblPr>
            <w:tblGrid>
              <w:gridCol w:w="1159"/>
              <w:gridCol w:w="1075"/>
              <w:gridCol w:w="1304"/>
              <w:gridCol w:w="1531"/>
              <w:gridCol w:w="963"/>
            </w:tblGrid>
            <w:tr w14:paraId="5A9ABC6C">
              <w:tblPrEx>
                <w:tblCellMar>
                  <w:top w:w="0" w:type="dxa"/>
                  <w:left w:w="108" w:type="dxa"/>
                  <w:bottom w:w="0" w:type="dxa"/>
                  <w:right w:w="108" w:type="dxa"/>
                </w:tblCellMar>
              </w:tblPrEx>
              <w:trPr>
                <w:trHeight w:val="820" w:hRule="atLeast"/>
                <w:jc w:val="center"/>
              </w:trPr>
              <w:tc>
                <w:tcPr>
                  <w:tcW w:w="9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EF2D">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厂区名称</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DA69B">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安装区域</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72BE">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面积</w:t>
                  </w:r>
                  <w:r>
                    <w:rPr>
                      <w:rFonts w:hint="eastAsia" w:ascii="宋体" w:hAnsi="宋体" w:eastAsia="宋体" w:cs="宋体"/>
                      <w:b/>
                      <w:bCs/>
                      <w:color w:val="auto"/>
                      <w:kern w:val="0"/>
                      <w:sz w:val="18"/>
                      <w:szCs w:val="18"/>
                      <w:highlight w:val="none"/>
                      <w:lang w:bidi="ar"/>
                    </w:rPr>
                    <w:br w:type="textWrapping"/>
                  </w:r>
                  <w:r>
                    <w:rPr>
                      <w:rFonts w:hint="eastAsia" w:ascii="宋体" w:hAnsi="宋体" w:eastAsia="宋体" w:cs="宋体"/>
                      <w:b/>
                      <w:bCs/>
                      <w:color w:val="auto"/>
                      <w:kern w:val="0"/>
                      <w:sz w:val="18"/>
                      <w:szCs w:val="18"/>
                      <w:highlight w:val="none"/>
                      <w:lang w:bidi="ar"/>
                    </w:rPr>
                    <w:t>（单位：㎡）</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A9FF">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暂定装机容量</w:t>
                  </w:r>
                  <w:r>
                    <w:rPr>
                      <w:rFonts w:hint="eastAsia" w:ascii="宋体" w:hAnsi="宋体" w:eastAsia="宋体" w:cs="宋体"/>
                      <w:b/>
                      <w:bCs/>
                      <w:color w:val="auto"/>
                      <w:kern w:val="0"/>
                      <w:sz w:val="18"/>
                      <w:szCs w:val="18"/>
                      <w:highlight w:val="none"/>
                      <w:lang w:bidi="ar"/>
                    </w:rPr>
                    <w:br w:type="textWrapping"/>
                  </w:r>
                  <w:r>
                    <w:rPr>
                      <w:rFonts w:hint="eastAsia" w:ascii="宋体" w:hAnsi="宋体" w:eastAsia="宋体" w:cs="宋体"/>
                      <w:b/>
                      <w:bCs/>
                      <w:color w:val="auto"/>
                      <w:kern w:val="0"/>
                      <w:sz w:val="18"/>
                      <w:szCs w:val="18"/>
                      <w:highlight w:val="none"/>
                      <w:lang w:bidi="ar"/>
                    </w:rPr>
                    <w:t>（单位：kWp）</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6108">
                  <w:pPr>
                    <w:widowControl/>
                    <w:jc w:val="center"/>
                    <w:textAlignment w:val="center"/>
                    <w:rPr>
                      <w:rFonts w:ascii="宋体" w:hAnsi="宋体" w:eastAsia="宋体" w:cs="宋体"/>
                      <w:b/>
                      <w:bCs/>
                      <w:color w:val="auto"/>
                      <w:sz w:val="18"/>
                      <w:szCs w:val="18"/>
                      <w:highlight w:val="none"/>
                    </w:rPr>
                  </w:pPr>
                  <w:r>
                    <w:rPr>
                      <w:rFonts w:hint="eastAsia" w:ascii="宋体" w:hAnsi="宋体" w:eastAsia="宋体" w:cs="宋体"/>
                      <w:b/>
                      <w:bCs/>
                      <w:color w:val="auto"/>
                      <w:kern w:val="0"/>
                      <w:sz w:val="18"/>
                      <w:szCs w:val="18"/>
                      <w:highlight w:val="none"/>
                      <w:lang w:bidi="ar"/>
                    </w:rPr>
                    <w:t>安装步梯位置</w:t>
                  </w:r>
                </w:p>
              </w:tc>
            </w:tr>
            <w:tr w14:paraId="0949253C">
              <w:tblPrEx>
                <w:tblCellMar>
                  <w:top w:w="0" w:type="dxa"/>
                  <w:left w:w="108" w:type="dxa"/>
                  <w:bottom w:w="0" w:type="dxa"/>
                  <w:right w:w="108" w:type="dxa"/>
                </w:tblCellMar>
              </w:tblPrEx>
              <w:trPr>
                <w:trHeight w:val="580" w:hRule="atLeast"/>
                <w:jc w:val="center"/>
              </w:trPr>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737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东城温塘水质净化厂</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45C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8D50C">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1296.57</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5D6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297.6</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22247">
                  <w:pPr>
                    <w:jc w:val="center"/>
                    <w:rPr>
                      <w:rFonts w:ascii="宋体" w:hAnsi="宋体" w:eastAsia="宋体" w:cs="宋体"/>
                      <w:color w:val="auto"/>
                      <w:sz w:val="18"/>
                      <w:szCs w:val="18"/>
                      <w:highlight w:val="none"/>
                    </w:rPr>
                  </w:pPr>
                </w:p>
              </w:tc>
            </w:tr>
            <w:tr w14:paraId="57FFF454">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0016F">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D581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EB95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1239.85</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7E8E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385.02</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9463">
                  <w:pPr>
                    <w:jc w:val="center"/>
                    <w:rPr>
                      <w:rFonts w:ascii="宋体" w:hAnsi="宋体" w:eastAsia="宋体" w:cs="宋体"/>
                      <w:color w:val="auto"/>
                      <w:sz w:val="18"/>
                      <w:szCs w:val="18"/>
                      <w:highlight w:val="none"/>
                    </w:rPr>
                  </w:pPr>
                </w:p>
              </w:tc>
            </w:tr>
            <w:tr w14:paraId="5FE6E160">
              <w:tblPrEx>
                <w:tblCellMar>
                  <w:top w:w="0" w:type="dxa"/>
                  <w:left w:w="108" w:type="dxa"/>
                  <w:bottom w:w="0" w:type="dxa"/>
                  <w:right w:w="108" w:type="dxa"/>
                </w:tblCellMar>
              </w:tblPrEx>
              <w:trPr>
                <w:trHeight w:val="580" w:hRule="atLeast"/>
                <w:jc w:val="center"/>
              </w:trPr>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A194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横沥东坑水质净化厂</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BAD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127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7050.1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1A39">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1618.2</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47CA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综合楼加装步梯</w:t>
                  </w:r>
                </w:p>
              </w:tc>
            </w:tr>
            <w:tr w14:paraId="228FAE29">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1406">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A576">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A8F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7703.79</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AAF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1768.24</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9057B">
                  <w:pPr>
                    <w:jc w:val="center"/>
                    <w:rPr>
                      <w:rFonts w:ascii="宋体" w:hAnsi="宋体" w:eastAsia="宋体" w:cs="宋体"/>
                      <w:color w:val="auto"/>
                      <w:sz w:val="18"/>
                      <w:szCs w:val="18"/>
                      <w:highlight w:val="none"/>
                    </w:rPr>
                  </w:pPr>
                </w:p>
              </w:tc>
            </w:tr>
            <w:tr w14:paraId="5D75C174">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63C64">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6C2C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彩钢瓦</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9091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2052.9</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9FD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471.2</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33008">
                  <w:pPr>
                    <w:jc w:val="center"/>
                    <w:rPr>
                      <w:rFonts w:ascii="宋体" w:hAnsi="宋体" w:eastAsia="宋体" w:cs="宋体"/>
                      <w:color w:val="auto"/>
                      <w:sz w:val="18"/>
                      <w:szCs w:val="18"/>
                      <w:highlight w:val="none"/>
                    </w:rPr>
                  </w:pPr>
                </w:p>
              </w:tc>
            </w:tr>
            <w:tr w14:paraId="3768C7F8">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F9B3">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6553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屋面及彩钢瓦</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276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1612.61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F6B91">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370.14</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7A862">
                  <w:pPr>
                    <w:jc w:val="center"/>
                    <w:rPr>
                      <w:rFonts w:ascii="宋体" w:hAnsi="宋体" w:eastAsia="宋体" w:cs="宋体"/>
                      <w:color w:val="auto"/>
                      <w:sz w:val="18"/>
                      <w:szCs w:val="18"/>
                      <w:highlight w:val="none"/>
                    </w:rPr>
                  </w:pPr>
                </w:p>
              </w:tc>
            </w:tr>
            <w:tr w14:paraId="3D20BE0C">
              <w:tblPrEx>
                <w:tblCellMar>
                  <w:top w:w="0" w:type="dxa"/>
                  <w:left w:w="108" w:type="dxa"/>
                  <w:bottom w:w="0" w:type="dxa"/>
                  <w:right w:w="108" w:type="dxa"/>
                </w:tblCellMar>
              </w:tblPrEx>
              <w:trPr>
                <w:trHeight w:val="580" w:hRule="atLeast"/>
                <w:jc w:val="center"/>
              </w:trPr>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84FC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虎门宁洲水质净化厂</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CB4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997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7611.95</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FEB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1747.16</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9BBD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三期鼓风机房及变电所加装步梯</w:t>
                  </w:r>
                </w:p>
              </w:tc>
            </w:tr>
            <w:tr w14:paraId="22D9752C">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ADE5D">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D049">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50DD">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1826</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65A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419.12</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2C932">
                  <w:pPr>
                    <w:jc w:val="center"/>
                    <w:rPr>
                      <w:rFonts w:ascii="宋体" w:hAnsi="宋体" w:eastAsia="宋体" w:cs="宋体"/>
                      <w:color w:val="auto"/>
                      <w:sz w:val="18"/>
                      <w:szCs w:val="18"/>
                      <w:highlight w:val="none"/>
                    </w:rPr>
                  </w:pPr>
                </w:p>
              </w:tc>
            </w:tr>
            <w:tr w14:paraId="0C49198E">
              <w:tblPrEx>
                <w:tblCellMar>
                  <w:top w:w="0" w:type="dxa"/>
                  <w:left w:w="108" w:type="dxa"/>
                  <w:bottom w:w="0" w:type="dxa"/>
                  <w:right w:w="108" w:type="dxa"/>
                </w:tblCellMar>
              </w:tblPrEx>
              <w:trPr>
                <w:trHeight w:val="580" w:hRule="atLeast"/>
                <w:jc w:val="center"/>
              </w:trPr>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0268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沙田福禄沙水质净化厂</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A853">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003F">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1701.75</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C6B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390.6</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E2BDE">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综合楼加装步梯</w:t>
                  </w:r>
                </w:p>
              </w:tc>
            </w:tr>
            <w:tr w14:paraId="21F21AB3">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6328">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22E99">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484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2976.72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7E5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683.24</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1C514">
                  <w:pPr>
                    <w:jc w:val="center"/>
                    <w:rPr>
                      <w:rFonts w:ascii="宋体" w:hAnsi="宋体" w:eastAsia="宋体" w:cs="宋体"/>
                      <w:color w:val="auto"/>
                      <w:sz w:val="18"/>
                      <w:szCs w:val="18"/>
                      <w:highlight w:val="none"/>
                    </w:rPr>
                  </w:pPr>
                </w:p>
              </w:tc>
            </w:tr>
            <w:tr w14:paraId="68B023CC">
              <w:tblPrEx>
                <w:tblCellMar>
                  <w:top w:w="0" w:type="dxa"/>
                  <w:left w:w="108" w:type="dxa"/>
                  <w:bottom w:w="0" w:type="dxa"/>
                  <w:right w:w="108" w:type="dxa"/>
                </w:tblCellMar>
              </w:tblPrEx>
              <w:trPr>
                <w:trHeight w:val="580" w:hRule="atLeast"/>
                <w:jc w:val="center"/>
              </w:trPr>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C25B1">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常平岗梓水质净化厂</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F00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5D1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4933.11</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ED6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786.16</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E6A6A">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二期综合楼、辅助用房加装步梯</w:t>
                  </w:r>
                </w:p>
              </w:tc>
            </w:tr>
            <w:tr w14:paraId="3B30FE6E">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9C0B">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1DA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9EC3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10708.33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8AC9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1059.58</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ECA1">
                  <w:pPr>
                    <w:jc w:val="center"/>
                    <w:rPr>
                      <w:rFonts w:ascii="宋体" w:hAnsi="宋体" w:eastAsia="宋体" w:cs="宋体"/>
                      <w:color w:val="auto"/>
                      <w:sz w:val="18"/>
                      <w:szCs w:val="18"/>
                      <w:highlight w:val="none"/>
                    </w:rPr>
                  </w:pPr>
                </w:p>
              </w:tc>
            </w:tr>
            <w:tr w14:paraId="18D39619">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265CC">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541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池面及屋面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999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1748</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DA2B">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244.28</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3B64">
                  <w:pPr>
                    <w:jc w:val="center"/>
                    <w:rPr>
                      <w:rFonts w:ascii="宋体" w:hAnsi="宋体" w:eastAsia="宋体" w:cs="宋体"/>
                      <w:color w:val="auto"/>
                      <w:sz w:val="18"/>
                      <w:szCs w:val="18"/>
                      <w:highlight w:val="none"/>
                    </w:rPr>
                  </w:pPr>
                </w:p>
              </w:tc>
            </w:tr>
            <w:tr w14:paraId="3E950BB2">
              <w:trPr>
                <w:trHeight w:val="580" w:hRule="atLeast"/>
                <w:jc w:val="center"/>
              </w:trPr>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1325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常平沙湖口水质净化厂</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D09C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79FE">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3714.13</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E0234">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852.5</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98708">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二期综合楼、辅助用房加装步梯</w:t>
                  </w:r>
                </w:p>
              </w:tc>
            </w:tr>
            <w:tr w14:paraId="6287BDD6">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233B">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7E46">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A189">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5699.5</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6C2D0">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1308.2</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91F5">
                  <w:pPr>
                    <w:jc w:val="center"/>
                    <w:rPr>
                      <w:rFonts w:ascii="宋体" w:hAnsi="宋体" w:eastAsia="宋体" w:cs="宋体"/>
                      <w:color w:val="auto"/>
                      <w:sz w:val="18"/>
                      <w:szCs w:val="18"/>
                      <w:highlight w:val="none"/>
                    </w:rPr>
                  </w:pPr>
                </w:p>
              </w:tc>
            </w:tr>
            <w:tr w14:paraId="7A67289E">
              <w:tblPrEx>
                <w:tblCellMar>
                  <w:top w:w="0" w:type="dxa"/>
                  <w:left w:w="108" w:type="dxa"/>
                  <w:bottom w:w="0" w:type="dxa"/>
                  <w:right w:w="108" w:type="dxa"/>
                </w:tblCellMar>
              </w:tblPrEx>
              <w:trPr>
                <w:trHeight w:val="580" w:hRule="atLeast"/>
                <w:jc w:val="center"/>
              </w:trPr>
              <w:tc>
                <w:tcPr>
                  <w:tcW w:w="9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5A1336">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高埗低涌水质净化厂</w:t>
                  </w: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1056">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池面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40F3">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950.82</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0945">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218.24</w:t>
                  </w:r>
                </w:p>
              </w:tc>
              <w:tc>
                <w:tcPr>
                  <w:tcW w:w="7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2FC9C">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二期综合楼加装步梯</w:t>
                  </w:r>
                </w:p>
              </w:tc>
            </w:tr>
            <w:tr w14:paraId="0A1DB155">
              <w:tblPrEx>
                <w:tblCellMar>
                  <w:top w:w="0" w:type="dxa"/>
                  <w:left w:w="108" w:type="dxa"/>
                  <w:bottom w:w="0" w:type="dxa"/>
                  <w:right w:w="108" w:type="dxa"/>
                </w:tblCellMar>
              </w:tblPrEx>
              <w:trPr>
                <w:trHeight w:val="580" w:hRule="atLeast"/>
                <w:jc w:val="center"/>
              </w:trPr>
              <w:tc>
                <w:tcPr>
                  <w:tcW w:w="9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FE57">
                  <w:pPr>
                    <w:jc w:val="center"/>
                    <w:rPr>
                      <w:rFonts w:ascii="宋体" w:hAnsi="宋体" w:eastAsia="宋体" w:cs="宋体"/>
                      <w:color w:val="auto"/>
                      <w:sz w:val="18"/>
                      <w:szCs w:val="18"/>
                      <w:highlight w:val="none"/>
                    </w:rPr>
                  </w:pPr>
                </w:p>
              </w:tc>
              <w:tc>
                <w:tcPr>
                  <w:tcW w:w="8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89E2">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屋面</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D1EA6">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3962.65</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54E7">
                  <w:pPr>
                    <w:widowControl/>
                    <w:jc w:val="center"/>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909.54</w:t>
                  </w:r>
                </w:p>
              </w:tc>
              <w:tc>
                <w:tcPr>
                  <w:tcW w:w="7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E00F">
                  <w:pPr>
                    <w:jc w:val="center"/>
                    <w:rPr>
                      <w:rFonts w:ascii="宋体" w:hAnsi="宋体" w:eastAsia="宋体" w:cs="宋体"/>
                      <w:color w:val="auto"/>
                      <w:sz w:val="18"/>
                      <w:szCs w:val="18"/>
                      <w:highlight w:val="none"/>
                    </w:rPr>
                  </w:pPr>
                </w:p>
              </w:tc>
            </w:tr>
            <w:tr w14:paraId="487C8EE3">
              <w:tblPrEx>
                <w:tblCellMar>
                  <w:top w:w="0" w:type="dxa"/>
                  <w:left w:w="108" w:type="dxa"/>
                  <w:bottom w:w="0" w:type="dxa"/>
                  <w:right w:w="108" w:type="dxa"/>
                </w:tblCellMar>
              </w:tblPrEx>
              <w:trPr>
                <w:trHeight w:val="580" w:hRule="atLeast"/>
                <w:jc w:val="center"/>
              </w:trPr>
              <w:tc>
                <w:tcPr>
                  <w:tcW w:w="293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B3EE1">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暂定总装机容量（单位：kWp）</w:t>
                  </w:r>
                </w:p>
              </w:tc>
              <w:tc>
                <w:tcPr>
                  <w:tcW w:w="1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BE2A">
                  <w:pPr>
                    <w:widowControl/>
                    <w:jc w:val="center"/>
                    <w:textAlignment w:val="center"/>
                    <w:rPr>
                      <w:rFonts w:ascii="宋体" w:hAnsi="宋体" w:eastAsia="宋体" w:cs="宋体"/>
                      <w:color w:val="auto"/>
                      <w:kern w:val="0"/>
                      <w:sz w:val="18"/>
                      <w:szCs w:val="18"/>
                      <w:highlight w:val="none"/>
                      <w:lang w:bidi="ar"/>
                    </w:rPr>
                  </w:pPr>
                  <w:r>
                    <w:rPr>
                      <w:rFonts w:hint="eastAsia" w:ascii="宋体" w:hAnsi="宋体" w:eastAsia="宋体" w:cs="宋体"/>
                      <w:b/>
                      <w:bCs/>
                      <w:color w:val="auto"/>
                      <w:kern w:val="0"/>
                      <w:sz w:val="18"/>
                      <w:szCs w:val="18"/>
                      <w:highlight w:val="none"/>
                      <w:lang w:bidi="ar"/>
                    </w:rPr>
                    <w:t>13529.02</w:t>
                  </w:r>
                </w:p>
              </w:tc>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FB57">
                  <w:pPr>
                    <w:jc w:val="center"/>
                    <w:rPr>
                      <w:rFonts w:ascii="宋体" w:hAnsi="宋体" w:eastAsia="宋体" w:cs="宋体"/>
                      <w:color w:val="auto"/>
                      <w:sz w:val="18"/>
                      <w:szCs w:val="18"/>
                      <w:highlight w:val="none"/>
                    </w:rPr>
                  </w:pPr>
                </w:p>
              </w:tc>
            </w:tr>
            <w:tr w14:paraId="7F32C4CB">
              <w:tblPrEx>
                <w:tblCellMar>
                  <w:top w:w="0" w:type="dxa"/>
                  <w:left w:w="108" w:type="dxa"/>
                  <w:bottom w:w="0" w:type="dxa"/>
                  <w:right w:w="108" w:type="dxa"/>
                </w:tblCellMar>
              </w:tblPrEx>
              <w:trPr>
                <w:trHeight w:val="58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C3A21">
                  <w:pPr>
                    <w:widowControl/>
                    <w:jc w:val="left"/>
                    <w:textAlignment w:val="center"/>
                    <w:rPr>
                      <w:rFonts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注：新增踏步钢梯费用由投标人承担，投标人须在投标报价中全额计入此项费用，中标后不再另行调整。</w:t>
                  </w:r>
                </w:p>
              </w:tc>
            </w:tr>
          </w:tbl>
          <w:p w14:paraId="1297E52C">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2、服务内容：</w:t>
            </w:r>
          </w:p>
          <w:p w14:paraId="55E76E96">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本项目按图纸、用户需求书、合同范围总承包，包括但不限于完成太阳能光伏组件至并网点全部项目的勘察与设计、设备材料供应及安装（含并网设施、光伏组件、交流汇流箱、逆变器、开关柜、光伏支架、电缆、监控、防雷及安全等配套设施等光伏发电项目所有设备材料，运输、储存），以及在各水质净化厂现状条件下为满足本项目实施的相关拆除、迁改、基础制作、安装，按厂区要求增设的钢结构室外楼梯和安全线缆，电网接入系统检测、全部项目系统调试及试运、验收（含为满足并网条件，需按供电局要求完成线路改造、安健环改造、网络安防、电能质量优化及调度控制系统建设等相关工作，以及供电局所需的试验）并交付生产、培训、质量保修期内的消缺等完成并网投运全过程的工作，办理从项目备案到供电局并网投运全过程中所需的各类手续，在满足合同其它责任和义务的同时使本项目符合相关达标验收的要求，提供1年的运营维护服务。</w:t>
            </w:r>
          </w:p>
        </w:tc>
        <w:tc>
          <w:tcPr>
            <w:tcW w:w="322" w:type="pct"/>
            <w:vAlign w:val="center"/>
          </w:tcPr>
          <w:p w14:paraId="38C4E0AA">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19B3B024">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7A385267">
            <w:pPr>
              <w:keepNext/>
              <w:keepLines/>
              <w:spacing w:line="360" w:lineRule="auto"/>
              <w:jc w:val="center"/>
              <w:rPr>
                <w:rFonts w:ascii="宋体" w:hAnsi="宋体" w:eastAsia="宋体" w:cs="宋体"/>
                <w:color w:val="auto"/>
                <w:kern w:val="0"/>
                <w:sz w:val="18"/>
                <w:szCs w:val="18"/>
                <w:highlight w:val="none"/>
              </w:rPr>
            </w:pPr>
          </w:p>
        </w:tc>
      </w:tr>
      <w:tr w14:paraId="4A0D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5197D09A">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12" w:type="pct"/>
            <w:vAlign w:val="center"/>
          </w:tcPr>
          <w:p w14:paraId="484C39D1">
            <w:pPr>
              <w:spacing w:line="360" w:lineRule="auto"/>
              <w:jc w:val="center"/>
              <w:rPr>
                <w:rFonts w:ascii="宋体" w:hAnsi="宋体" w:eastAsia="宋体" w:cs="宋体"/>
                <w:color w:val="auto"/>
                <w:sz w:val="18"/>
                <w:szCs w:val="18"/>
                <w:highlight w:val="none"/>
                <w:lang w:val="zh-CN"/>
              </w:rPr>
            </w:pPr>
            <w:r>
              <w:rPr>
                <w:rFonts w:hint="eastAsia" w:ascii="宋体" w:hAnsi="宋体" w:eastAsia="宋体" w:cs="宋体"/>
                <w:color w:val="auto"/>
                <w:sz w:val="18"/>
                <w:szCs w:val="18"/>
                <w:highlight w:val="none"/>
                <w:lang w:val="zh-CN"/>
              </w:rPr>
              <w:t>三、费用说明</w:t>
            </w:r>
          </w:p>
        </w:tc>
        <w:tc>
          <w:tcPr>
            <w:tcW w:w="3300" w:type="pct"/>
            <w:vAlign w:val="center"/>
          </w:tcPr>
          <w:p w14:paraId="6444A915">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1、项目经供电局验收通过且全容量并网发电后1年内的全部运维费（含日常办公、设备巡检、维修养护、组件清洗、耗材更换、人员工资及保险、管理酬金等所有相关费用）均已包含在总承包费用中，中标人须自行承担上述全部成本，招标人不再另行支付任何费用。</w:t>
            </w:r>
          </w:p>
          <w:p w14:paraId="266DAFAE">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3、项目实施过程中，与本项目相关的原建（构）筑物的拆除、设备迁改（生产设备除外）、原彩钢瓦屋顶、车棚顶拆除或为方便厂区后期运维，按厂区要求增设的室外楼梯（钢结构）和安全线缆等，其费用包含在总承包费用里。</w:t>
            </w:r>
          </w:p>
          <w:p w14:paraId="5A07E8D3">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4、项目实施过程中需按要求办理项目的全部手续及合规性工作，包括但不限于：（1）向项目所在地相关主管部门办理备案手续；（2）供电局对项目接入意见办理、接入方案的设计、评审、接入施工图纸的设计、评审、接入系统的设备、材料的采购、施工、调试以及竣工验收；（3）政府部门或售电公司上网项目核准；（4）为满足并网条件，需按供电局要求完成线路改造、安健环改造、网络安防、电能质量优化及调度控制系统建设等相关工作。前述所有手续的办理、协调及实施费用均已包含在总承包费用中，不因任何原因调整总承包费用。投标人须自行承担因手续延误或变更产生的全部责任及额外成本。</w:t>
            </w:r>
          </w:p>
          <w:p w14:paraId="42C3FC52">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5、投标人需负责项目招标范围内的设计、供货、施工和验收及满足并网投运所需要的一切手续，即便在招标范围内没有载明，但实际证明是确保项目发电运行所必须的，则需纳入设计、采购、安装及提供服务范围。</w:t>
            </w:r>
          </w:p>
          <w:p w14:paraId="1C45421A">
            <w:pPr>
              <w:spacing w:line="360" w:lineRule="auto"/>
              <w:ind w:firstLine="360" w:firstLineChars="200"/>
              <w:rPr>
                <w:rFonts w:ascii="宋体" w:hAnsi="宋体" w:eastAsia="宋体" w:cs="宋体"/>
                <w:color w:val="auto"/>
                <w:sz w:val="18"/>
                <w:szCs w:val="18"/>
                <w:highlight w:val="none"/>
              </w:rPr>
            </w:pPr>
            <w:r>
              <w:rPr>
                <w:rFonts w:ascii="宋体" w:hAnsi="宋体" w:eastAsia="宋体" w:cs="宋体"/>
                <w:color w:val="auto"/>
                <w:sz w:val="18"/>
                <w:szCs w:val="18"/>
                <w:highlight w:val="none"/>
              </w:rPr>
              <w:t>6、接入方式以供电局批复为准；技术要求以本用户需求书“五、光伏发电设施技术要求”为准。根据项目的要求，等保测评、涉网试验等包括在本次招标范围内。</w:t>
            </w:r>
          </w:p>
        </w:tc>
        <w:tc>
          <w:tcPr>
            <w:tcW w:w="322" w:type="pct"/>
            <w:vAlign w:val="center"/>
          </w:tcPr>
          <w:p w14:paraId="29F2223F">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5E144EFE">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1233350E">
            <w:pPr>
              <w:keepNext/>
              <w:keepLines/>
              <w:spacing w:line="360" w:lineRule="auto"/>
              <w:jc w:val="center"/>
              <w:rPr>
                <w:rFonts w:ascii="宋体" w:hAnsi="宋体" w:eastAsia="宋体" w:cs="宋体"/>
                <w:color w:val="auto"/>
                <w:kern w:val="0"/>
                <w:sz w:val="18"/>
                <w:szCs w:val="18"/>
                <w:highlight w:val="none"/>
              </w:rPr>
            </w:pPr>
          </w:p>
        </w:tc>
      </w:tr>
      <w:tr w14:paraId="4D42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2CA327E9">
            <w:pPr>
              <w:spacing w:line="360" w:lineRule="auto"/>
              <w:jc w:val="center"/>
              <w:rPr>
                <w:rFonts w:ascii="宋体" w:hAnsi="宋体" w:eastAsia="宋体" w:cs="宋体"/>
                <w:color w:val="auto"/>
                <w:kern w:val="0"/>
                <w:sz w:val="18"/>
                <w:szCs w:val="18"/>
                <w:highlight w:val="none"/>
              </w:rPr>
            </w:pPr>
            <w:bookmarkStart w:id="1317" w:name="_Toc195714402"/>
            <w:bookmarkStart w:id="1318" w:name="_Toc4860"/>
            <w:bookmarkStart w:id="1319" w:name="_Toc440"/>
            <w:bookmarkStart w:id="1320" w:name="_Toc32583"/>
            <w:r>
              <w:rPr>
                <w:rFonts w:hint="eastAsia" w:ascii="宋体" w:hAnsi="宋体" w:eastAsia="宋体" w:cs="宋体"/>
                <w:color w:val="auto"/>
                <w:kern w:val="0"/>
                <w:sz w:val="18"/>
                <w:szCs w:val="18"/>
                <w:highlight w:val="none"/>
              </w:rPr>
              <w:t>4</w:t>
            </w:r>
          </w:p>
        </w:tc>
        <w:tc>
          <w:tcPr>
            <w:tcW w:w="412" w:type="pct"/>
            <w:vAlign w:val="center"/>
          </w:tcPr>
          <w:p w14:paraId="209F17A9">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四、设计规范和设计依据</w:t>
            </w:r>
          </w:p>
        </w:tc>
        <w:tc>
          <w:tcPr>
            <w:tcW w:w="3300" w:type="pct"/>
            <w:vAlign w:val="center"/>
          </w:tcPr>
          <w:p w14:paraId="6FC9BB7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（1）建筑平面、总平面；其他相关专业提出的要求。</w:t>
            </w:r>
          </w:p>
          <w:p w14:paraId="10A3312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（2）招标人所提供的可行性研究报告、房屋检定报告、原厂区设计图纸等资料。</w:t>
            </w:r>
          </w:p>
          <w:p w14:paraId="49A8855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（3）国家及省的有关规范、标准、规程：</w:t>
            </w:r>
          </w:p>
          <w:p w14:paraId="4088250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《光伏发电站防雷技术规程》 DL/T 1364-2014(国家能源局)</w:t>
            </w:r>
          </w:p>
          <w:p w14:paraId="6C54B45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《光伏并网逆变器技术规范》 NB/T 32004-2018(国家能源局)</w:t>
            </w:r>
          </w:p>
          <w:p w14:paraId="0132FF2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《光伏发电站电能质量检测技术规程》 NB/T 32006-2013(国家能源局)</w:t>
            </w:r>
          </w:p>
          <w:p w14:paraId="0D66C2C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《光伏发电站功率预测系统技术要求》 NB/T 32011-2013(国家能源局)</w:t>
            </w:r>
          </w:p>
          <w:p w14:paraId="3169E10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《光伏发电站防孤岛效应检测技术规程》 NB/T 32014-2013(国家能源局)</w:t>
            </w:r>
          </w:p>
          <w:p w14:paraId="497A3C77">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《并网光伏发电监控系统技术规范》 NB/T 32016-2013(国家能源局)</w:t>
            </w:r>
          </w:p>
          <w:p w14:paraId="51FB3EF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《太阳能光伏系统防雷技术规范》 QX/T 263-2015(中国气象局)</w:t>
            </w:r>
          </w:p>
          <w:p w14:paraId="227FA80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《光伏发电接入配电网设计规范》 GB/T 50865-2013</w:t>
            </w:r>
          </w:p>
          <w:p w14:paraId="461DC0D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《光伏发电站接入电力系统设计规范》 GB/T 50866-2013</w:t>
            </w:r>
          </w:p>
          <w:p w14:paraId="12E984E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《光伏发电站继电保护技术规范》 GB/T 32900-2016</w:t>
            </w:r>
          </w:p>
          <w:p w14:paraId="4BED822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《分布式光伏发电系统接入电网技术规范》 Q/CSG_1211001-2014</w:t>
            </w:r>
          </w:p>
          <w:p w14:paraId="5684141F">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《光伏发电站接入电网技术规范》 Q/CSG_1211002-2014</w:t>
            </w:r>
          </w:p>
          <w:p w14:paraId="3CAEA1E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《光伏发电并网技术标准》 Q/CSG_1211006-2016</w:t>
            </w:r>
          </w:p>
          <w:p w14:paraId="7CE484B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《并网光伏发电站监控系统技术规范》 Q/CSG_1211011-2016</w:t>
            </w:r>
          </w:p>
          <w:p w14:paraId="4BEB90B7">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《光伏发电站设计标准》 GB50797-2012</w:t>
            </w:r>
          </w:p>
          <w:p w14:paraId="406159E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《建筑结构荷载规范》 GB50009-2012</w:t>
            </w:r>
          </w:p>
          <w:p w14:paraId="6C5AD01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《建筑物防雷设计规范》 GB50057-2010</w:t>
            </w:r>
          </w:p>
          <w:p w14:paraId="03F6378E">
            <w:pPr>
              <w:spacing w:line="360" w:lineRule="auto"/>
              <w:ind w:firstLine="360" w:firstLineChars="200"/>
              <w:rPr>
                <w:rFonts w:ascii="宋体" w:hAnsi="宋体" w:eastAsia="宋体" w:cs="宋体"/>
                <w:b/>
                <w:color w:val="auto"/>
                <w:sz w:val="18"/>
                <w:szCs w:val="18"/>
                <w:highlight w:val="none"/>
              </w:rPr>
            </w:pPr>
            <w:r>
              <w:rPr>
                <w:rFonts w:hint="eastAsia" w:ascii="宋体" w:hAnsi="宋体" w:eastAsia="宋体" w:cs="宋体"/>
                <w:bCs/>
                <w:color w:val="auto"/>
                <w:sz w:val="18"/>
                <w:szCs w:val="18"/>
                <w:highlight w:val="none"/>
              </w:rPr>
              <w:t>且包含未明列但属国家或地方规定的其他强制执行标准或规范（条款）</w:t>
            </w:r>
          </w:p>
        </w:tc>
        <w:tc>
          <w:tcPr>
            <w:tcW w:w="322" w:type="pct"/>
            <w:vAlign w:val="center"/>
          </w:tcPr>
          <w:p w14:paraId="74919B52">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595A1D0B">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4A732AD8">
            <w:pPr>
              <w:keepNext/>
              <w:keepLines/>
              <w:spacing w:line="360" w:lineRule="auto"/>
              <w:jc w:val="center"/>
              <w:rPr>
                <w:rFonts w:ascii="宋体" w:hAnsi="宋体" w:eastAsia="宋体" w:cs="宋体"/>
                <w:color w:val="auto"/>
                <w:kern w:val="0"/>
                <w:sz w:val="18"/>
                <w:szCs w:val="18"/>
                <w:highlight w:val="none"/>
              </w:rPr>
            </w:pPr>
          </w:p>
        </w:tc>
      </w:tr>
      <w:tr w14:paraId="28D9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restart"/>
            <w:vAlign w:val="center"/>
          </w:tcPr>
          <w:p w14:paraId="5C617EB0">
            <w:pPr>
              <w:spacing w:line="360" w:lineRule="auto"/>
              <w:jc w:val="center"/>
              <w:rPr>
                <w:rFonts w:ascii="宋体" w:hAnsi="宋体" w:eastAsia="宋体" w:cs="宋体"/>
                <w:color w:val="auto"/>
                <w:kern w:val="0"/>
                <w:sz w:val="18"/>
                <w:szCs w:val="18"/>
                <w:highlight w:val="none"/>
              </w:rPr>
            </w:pPr>
            <w:bookmarkStart w:id="1321" w:name="_Toc32586"/>
            <w:r>
              <w:rPr>
                <w:rFonts w:hint="eastAsia" w:ascii="宋体" w:hAnsi="宋体" w:eastAsia="宋体" w:cs="宋体"/>
                <w:color w:val="auto"/>
                <w:kern w:val="0"/>
                <w:sz w:val="18"/>
                <w:szCs w:val="18"/>
                <w:highlight w:val="none"/>
              </w:rPr>
              <w:t>5</w:t>
            </w:r>
          </w:p>
        </w:tc>
        <w:tc>
          <w:tcPr>
            <w:tcW w:w="412" w:type="pct"/>
            <w:vMerge w:val="restart"/>
            <w:vAlign w:val="center"/>
          </w:tcPr>
          <w:p w14:paraId="4A0932B9">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五、光伏发电设施技术要求</w:t>
            </w:r>
          </w:p>
        </w:tc>
        <w:tc>
          <w:tcPr>
            <w:tcW w:w="3300" w:type="pct"/>
            <w:vAlign w:val="center"/>
          </w:tcPr>
          <w:p w14:paraId="18EBD769">
            <w:pPr>
              <w:widowControl/>
              <w:spacing w:line="360" w:lineRule="auto"/>
              <w:ind w:firstLine="361" w:firstLineChars="200"/>
              <w:jc w:val="left"/>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1、光伏组件</w:t>
            </w:r>
          </w:p>
          <w:p w14:paraId="6ABFE93F">
            <w:pPr>
              <w:widowControl/>
              <w:spacing w:line="360" w:lineRule="auto"/>
              <w:ind w:firstLine="361" w:firstLineChars="200"/>
              <w:jc w:val="left"/>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（1）光伏组件光伏发电系统采用高效单晶硅光伏组件，单块容量620Wp</w:t>
            </w:r>
            <w:r>
              <w:rPr>
                <w:rFonts w:hint="eastAsia" w:ascii="宋体" w:hAnsi="宋体" w:eastAsia="宋体" w:cs="宋体"/>
                <w:b/>
                <w:bCs/>
                <w:color w:val="auto"/>
                <w:spacing w:val="-2"/>
                <w:sz w:val="18"/>
                <w:szCs w:val="18"/>
                <w:highlight w:val="none"/>
              </w:rPr>
              <w:t>～</w:t>
            </w:r>
            <w:r>
              <w:rPr>
                <w:rFonts w:hint="eastAsia" w:ascii="宋体" w:hAnsi="宋体" w:eastAsia="宋体" w:cs="宋体"/>
                <w:b/>
                <w:bCs/>
                <w:color w:val="auto"/>
                <w:spacing w:val="-2"/>
                <w:sz w:val="18"/>
                <w:szCs w:val="18"/>
                <w:highlight w:val="none"/>
                <w:lang w:val="en-US" w:eastAsia="zh-CN"/>
              </w:rPr>
              <w:t>650</w:t>
            </w:r>
            <w:r>
              <w:rPr>
                <w:rFonts w:hint="eastAsia" w:ascii="宋体" w:hAnsi="宋体" w:eastAsia="宋体" w:cs="宋体"/>
                <w:b/>
                <w:bCs/>
                <w:color w:val="auto"/>
                <w:spacing w:val="-2"/>
                <w:sz w:val="18"/>
                <w:szCs w:val="18"/>
                <w:highlight w:val="none"/>
              </w:rPr>
              <w:t>Wp</w:t>
            </w:r>
            <w:r>
              <w:rPr>
                <w:rFonts w:hint="eastAsia" w:ascii="宋体" w:hAnsi="宋体" w:eastAsia="宋体" w:cs="宋体"/>
                <w:b/>
                <w:color w:val="auto"/>
                <w:sz w:val="18"/>
                <w:szCs w:val="18"/>
                <w:highlight w:val="none"/>
              </w:rPr>
              <w:t>,具体参数如下：</w:t>
            </w:r>
          </w:p>
          <w:p w14:paraId="3ECA6C71">
            <w:pPr>
              <w:widowControl/>
              <w:spacing w:line="360" w:lineRule="auto"/>
              <w:jc w:val="center"/>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光伏组件主要技术参数表</w:t>
            </w:r>
          </w:p>
          <w:tbl>
            <w:tblPr>
              <w:tblStyle w:val="46"/>
              <w:tblW w:w="59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15"/>
              <w:gridCol w:w="3481"/>
            </w:tblGrid>
            <w:tr w14:paraId="4E18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28D3A1F1">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型号规</w:t>
                  </w:r>
                  <w:r>
                    <w:rPr>
                      <w:rFonts w:hint="eastAsia" w:ascii="宋体" w:hAnsi="宋体" w:eastAsia="宋体" w:cs="宋体"/>
                      <w:color w:val="auto"/>
                      <w:spacing w:val="5"/>
                      <w:sz w:val="18"/>
                      <w:szCs w:val="18"/>
                      <w:highlight w:val="none"/>
                    </w:rPr>
                    <w:t>格</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5353A52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单晶硅双面双玻</w:t>
                  </w:r>
                  <w:r>
                    <w:rPr>
                      <w:rFonts w:hint="eastAsia" w:ascii="宋体" w:hAnsi="宋体" w:eastAsia="宋体" w:cs="宋体"/>
                      <w:color w:val="auto"/>
                      <w:spacing w:val="-2"/>
                      <w:sz w:val="18"/>
                      <w:szCs w:val="18"/>
                      <w:highlight w:val="none"/>
                    </w:rPr>
                    <w:t>620Wp～</w:t>
                  </w:r>
                  <w:r>
                    <w:rPr>
                      <w:rFonts w:hint="eastAsia" w:ascii="宋体" w:hAnsi="宋体" w:eastAsia="宋体" w:cs="宋体"/>
                      <w:color w:val="auto"/>
                      <w:spacing w:val="-2"/>
                      <w:sz w:val="18"/>
                      <w:szCs w:val="18"/>
                      <w:highlight w:val="none"/>
                      <w:lang w:val="en-US" w:eastAsia="zh-CN"/>
                    </w:rPr>
                    <w:t>650Wp</w:t>
                  </w:r>
                </w:p>
              </w:tc>
            </w:tr>
            <w:tr w14:paraId="08D1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17E98FA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标称功率</w:t>
                  </w:r>
                  <w:r>
                    <w:rPr>
                      <w:rFonts w:hint="eastAsia" w:ascii="宋体" w:hAnsi="宋体" w:eastAsia="宋体" w:cs="宋体"/>
                      <w:color w:val="auto"/>
                      <w:sz w:val="18"/>
                      <w:szCs w:val="18"/>
                      <w:highlight w:val="none"/>
                    </w:rPr>
                    <w:t>(W)</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0CE727DA">
                  <w:pPr>
                    <w:spacing w:line="360" w:lineRule="auto"/>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620</w:t>
                  </w:r>
                  <w:r>
                    <w:rPr>
                      <w:rFonts w:hint="eastAsia" w:ascii="宋体" w:hAnsi="宋体" w:eastAsia="宋体" w:cs="宋体"/>
                      <w:color w:val="auto"/>
                      <w:sz w:val="18"/>
                      <w:szCs w:val="18"/>
                      <w:highlight w:val="none"/>
                      <w:lang w:val="en-US" w:eastAsia="zh-CN"/>
                    </w:rPr>
                    <w:t>Wp～650Wp</w:t>
                  </w:r>
                </w:p>
              </w:tc>
            </w:tr>
            <w:tr w14:paraId="43A68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0135F837">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组</w:t>
                  </w:r>
                  <w:r>
                    <w:rPr>
                      <w:rFonts w:hint="eastAsia" w:ascii="宋体" w:hAnsi="宋体" w:eastAsia="宋体" w:cs="宋体"/>
                      <w:color w:val="auto"/>
                      <w:spacing w:val="-5"/>
                      <w:sz w:val="18"/>
                      <w:szCs w:val="18"/>
                      <w:highlight w:val="none"/>
                    </w:rPr>
                    <w:t>件效率(</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7BC7499E">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pacing w:val="-2"/>
                      <w:sz w:val="18"/>
                      <w:szCs w:val="18"/>
                      <w:highlight w:val="none"/>
                    </w:rPr>
                    <w:t>23</w:t>
                  </w:r>
                </w:p>
              </w:tc>
            </w:tr>
            <w:tr w14:paraId="4550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3256AAF9">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首年功率衰减率</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055A9121">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r>
            <w:tr w14:paraId="017E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6E43848D">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次年后每年功率衰减率</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5A257B44">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pacing w:val="-2"/>
                      <w:sz w:val="18"/>
                      <w:szCs w:val="18"/>
                      <w:highlight w:val="none"/>
                    </w:rPr>
                    <w:t>0.4</w:t>
                  </w:r>
                </w:p>
              </w:tc>
            </w:tr>
            <w:tr w14:paraId="4EA97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69E1887B">
                  <w:pPr>
                    <w:spacing w:line="360" w:lineRule="auto"/>
                    <w:jc w:val="center"/>
                    <w:rPr>
                      <w:rFonts w:ascii="宋体" w:hAnsi="宋体" w:eastAsia="宋体" w:cs="宋体"/>
                      <w:color w:val="auto"/>
                      <w:spacing w:val="6"/>
                      <w:sz w:val="18"/>
                      <w:szCs w:val="18"/>
                      <w:highlight w:val="none"/>
                    </w:rPr>
                  </w:pPr>
                  <w:r>
                    <w:rPr>
                      <w:rFonts w:hint="eastAsia" w:ascii="宋体" w:hAnsi="宋体" w:eastAsia="宋体" w:cs="宋体"/>
                      <w:color w:val="auto"/>
                      <w:spacing w:val="6"/>
                      <w:sz w:val="18"/>
                      <w:szCs w:val="18"/>
                      <w:highlight w:val="none"/>
                    </w:rPr>
                    <w:t>25年后</w:t>
                  </w:r>
                  <w:r>
                    <w:rPr>
                      <w:rFonts w:hint="eastAsia" w:ascii="宋体" w:hAnsi="宋体" w:eastAsia="宋体" w:cs="宋体"/>
                      <w:color w:val="auto"/>
                      <w:sz w:val="18"/>
                      <w:szCs w:val="18"/>
                      <w:highlight w:val="none"/>
                    </w:rPr>
                    <w:t>功率衰减率</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39DE7190">
                  <w:pPr>
                    <w:spacing w:line="360" w:lineRule="auto"/>
                    <w:jc w:val="center"/>
                    <w:rPr>
                      <w:rFonts w:ascii="宋体" w:hAnsi="宋体" w:eastAsia="宋体" w:cs="宋体"/>
                      <w:color w:val="auto"/>
                      <w:spacing w:val="-12"/>
                      <w:position w:val="1"/>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pacing w:val="-2"/>
                      <w:sz w:val="18"/>
                      <w:szCs w:val="18"/>
                      <w:highlight w:val="none"/>
                    </w:rPr>
                    <w:t>13</w:t>
                  </w:r>
                </w:p>
              </w:tc>
            </w:tr>
            <w:tr w14:paraId="75258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2DEC6F70">
                  <w:pPr>
                    <w:spacing w:line="360" w:lineRule="auto"/>
                    <w:jc w:val="center"/>
                    <w:rPr>
                      <w:rFonts w:ascii="宋体" w:hAnsi="宋体" w:eastAsia="宋体" w:cs="宋体"/>
                      <w:color w:val="auto"/>
                      <w:spacing w:val="6"/>
                      <w:sz w:val="18"/>
                      <w:szCs w:val="18"/>
                      <w:highlight w:val="none"/>
                    </w:rPr>
                  </w:pPr>
                  <w:r>
                    <w:rPr>
                      <w:rFonts w:hint="eastAsia" w:ascii="宋体" w:hAnsi="宋体" w:eastAsia="宋体" w:cs="宋体"/>
                      <w:color w:val="auto"/>
                      <w:spacing w:val="6"/>
                      <w:sz w:val="18"/>
                      <w:szCs w:val="18"/>
                      <w:highlight w:val="none"/>
                    </w:rPr>
                    <w:t>功率公差(</w:t>
                  </w:r>
                  <w:r>
                    <w:rPr>
                      <w:rFonts w:hint="eastAsia" w:ascii="宋体" w:hAnsi="宋体" w:eastAsia="宋体" w:cs="宋体"/>
                      <w:color w:val="auto"/>
                      <w:spacing w:val="2"/>
                      <w:position w:val="-1"/>
                      <w:sz w:val="18"/>
                      <w:szCs w:val="18"/>
                      <w:highlight w:val="none"/>
                    </w:rPr>
                    <w:t>%</w:t>
                  </w:r>
                  <w:r>
                    <w:rPr>
                      <w:rFonts w:hint="eastAsia" w:ascii="宋体" w:hAnsi="宋体" w:eastAsia="宋体" w:cs="宋体"/>
                      <w:color w:val="auto"/>
                      <w:spacing w:val="5"/>
                      <w:sz w:val="18"/>
                      <w:szCs w:val="18"/>
                      <w:highlight w:val="none"/>
                    </w:rPr>
                    <w:t>)</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1864B6E9">
                  <w:pPr>
                    <w:spacing w:line="360" w:lineRule="auto"/>
                    <w:jc w:val="center"/>
                    <w:rPr>
                      <w:rFonts w:ascii="宋体" w:hAnsi="宋体" w:eastAsia="宋体" w:cs="宋体"/>
                      <w:color w:val="auto"/>
                      <w:spacing w:val="-12"/>
                      <w:position w:val="1"/>
                      <w:sz w:val="18"/>
                      <w:szCs w:val="18"/>
                      <w:highlight w:val="none"/>
                    </w:rPr>
                  </w:pPr>
                  <w:r>
                    <w:rPr>
                      <w:rFonts w:hint="eastAsia" w:ascii="宋体" w:hAnsi="宋体" w:eastAsia="宋体" w:cs="宋体"/>
                      <w:color w:val="auto"/>
                      <w:spacing w:val="2"/>
                      <w:position w:val="-1"/>
                      <w:sz w:val="18"/>
                      <w:szCs w:val="18"/>
                      <w:highlight w:val="none"/>
                    </w:rPr>
                    <w:t>0</w:t>
                  </w: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2"/>
                      <w:position w:val="-1"/>
                      <w:sz w:val="18"/>
                      <w:szCs w:val="18"/>
                      <w:highlight w:val="none"/>
                    </w:rPr>
                    <w:t>3</w:t>
                  </w:r>
                </w:p>
              </w:tc>
            </w:tr>
            <w:tr w14:paraId="32C1A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425E08A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功</w:t>
                  </w:r>
                  <w:r>
                    <w:rPr>
                      <w:rFonts w:hint="eastAsia" w:ascii="宋体" w:hAnsi="宋体" w:eastAsia="宋体" w:cs="宋体"/>
                      <w:color w:val="auto"/>
                      <w:spacing w:val="5"/>
                      <w:sz w:val="18"/>
                      <w:szCs w:val="18"/>
                      <w:highlight w:val="none"/>
                    </w:rPr>
                    <w:t>率误差(%)</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27440FB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12"/>
                      <w:position w:val="1"/>
                      <w:sz w:val="18"/>
                      <w:szCs w:val="18"/>
                      <w:highlight w:val="none"/>
                    </w:rPr>
                    <w:t>±</w:t>
                  </w:r>
                  <w:r>
                    <w:rPr>
                      <w:rFonts w:hint="eastAsia" w:ascii="宋体" w:hAnsi="宋体" w:eastAsia="宋体" w:cs="宋体"/>
                      <w:color w:val="auto"/>
                      <w:spacing w:val="-11"/>
                      <w:position w:val="1"/>
                      <w:sz w:val="18"/>
                      <w:szCs w:val="18"/>
                      <w:highlight w:val="none"/>
                    </w:rPr>
                    <w:t>3</w:t>
                  </w:r>
                </w:p>
              </w:tc>
            </w:tr>
            <w:tr w14:paraId="167C1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6F0D7B7A">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短路电流温度系数(%/℃</w:t>
                  </w:r>
                  <w:r>
                    <w:rPr>
                      <w:rFonts w:hint="eastAsia" w:ascii="宋体" w:hAnsi="宋体" w:eastAsia="宋体" w:cs="宋体"/>
                      <w:color w:val="auto"/>
                      <w:spacing w:val="6"/>
                      <w:sz w:val="18"/>
                      <w:szCs w:val="18"/>
                      <w:highlight w:val="none"/>
                    </w:rPr>
                    <w:t>)</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1EB9D772">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3"/>
                      <w:position w:val="1"/>
                      <w:sz w:val="18"/>
                      <w:szCs w:val="18"/>
                      <w:highlight w:val="none"/>
                    </w:rPr>
                    <w:t>+0.0</w:t>
                  </w:r>
                  <w:r>
                    <w:rPr>
                      <w:rFonts w:hint="eastAsia" w:ascii="宋体" w:hAnsi="宋体" w:eastAsia="宋体" w:cs="宋体"/>
                      <w:color w:val="auto"/>
                      <w:spacing w:val="2"/>
                      <w:position w:val="1"/>
                      <w:sz w:val="18"/>
                      <w:szCs w:val="18"/>
                      <w:highlight w:val="none"/>
                    </w:rPr>
                    <w:t>5</w:t>
                  </w:r>
                </w:p>
              </w:tc>
            </w:tr>
            <w:tr w14:paraId="1930D9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15A39F17">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开</w:t>
                  </w:r>
                  <w:r>
                    <w:rPr>
                      <w:rFonts w:hint="eastAsia" w:ascii="宋体" w:hAnsi="宋体" w:eastAsia="宋体" w:cs="宋体"/>
                      <w:color w:val="auto"/>
                      <w:spacing w:val="7"/>
                      <w:sz w:val="18"/>
                      <w:szCs w:val="18"/>
                      <w:highlight w:val="none"/>
                    </w:rPr>
                    <w:t>路电压温度系数(%/℃)</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5BCAE662">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3"/>
                      <w:sz w:val="18"/>
                      <w:szCs w:val="18"/>
                      <w:highlight w:val="none"/>
                    </w:rPr>
                    <w:t>0.23</w:t>
                  </w:r>
                </w:p>
              </w:tc>
            </w:tr>
            <w:tr w14:paraId="737FB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003D2256">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最大功率温度系数(%/℃</w:t>
                  </w:r>
                  <w:r>
                    <w:rPr>
                      <w:rFonts w:hint="eastAsia" w:ascii="宋体" w:hAnsi="宋体" w:eastAsia="宋体" w:cs="宋体"/>
                      <w:color w:val="auto"/>
                      <w:spacing w:val="6"/>
                      <w:sz w:val="18"/>
                      <w:szCs w:val="18"/>
                      <w:highlight w:val="none"/>
                    </w:rPr>
                    <w:t>)</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75242077">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w:t>
                  </w:r>
                  <w:r>
                    <w:rPr>
                      <w:rFonts w:hint="eastAsia" w:ascii="宋体" w:hAnsi="宋体" w:eastAsia="宋体" w:cs="宋体"/>
                      <w:color w:val="auto"/>
                      <w:spacing w:val="3"/>
                      <w:sz w:val="18"/>
                      <w:szCs w:val="18"/>
                      <w:highlight w:val="none"/>
                    </w:rPr>
                    <w:t>0.29</w:t>
                  </w:r>
                </w:p>
              </w:tc>
            </w:tr>
            <w:tr w14:paraId="618F5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56DD377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最大系统电</w:t>
                  </w:r>
                  <w:r>
                    <w:rPr>
                      <w:rFonts w:hint="eastAsia" w:ascii="宋体" w:hAnsi="宋体" w:eastAsia="宋体" w:cs="宋体"/>
                      <w:color w:val="auto"/>
                      <w:spacing w:val="7"/>
                      <w:sz w:val="18"/>
                      <w:szCs w:val="18"/>
                      <w:highlight w:val="none"/>
                    </w:rPr>
                    <w:t>压</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24290A59">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DC</w:t>
                  </w:r>
                  <w:r>
                    <w:rPr>
                      <w:rFonts w:hint="eastAsia" w:ascii="宋体" w:hAnsi="宋体" w:eastAsia="宋体" w:cs="宋体"/>
                      <w:color w:val="auto"/>
                      <w:spacing w:val="9"/>
                      <w:sz w:val="18"/>
                      <w:szCs w:val="18"/>
                      <w:highlight w:val="none"/>
                    </w:rPr>
                    <w:t>1</w:t>
                  </w:r>
                  <w:r>
                    <w:rPr>
                      <w:rFonts w:hint="eastAsia" w:ascii="宋体" w:hAnsi="宋体" w:eastAsia="宋体" w:cs="宋体"/>
                      <w:color w:val="auto"/>
                      <w:spacing w:val="7"/>
                      <w:sz w:val="18"/>
                      <w:szCs w:val="18"/>
                      <w:highlight w:val="none"/>
                    </w:rPr>
                    <w:t>500</w:t>
                  </w:r>
                  <w:r>
                    <w:rPr>
                      <w:rFonts w:hint="eastAsia" w:ascii="宋体" w:hAnsi="宋体" w:eastAsia="宋体" w:cs="宋体"/>
                      <w:color w:val="auto"/>
                      <w:sz w:val="18"/>
                      <w:szCs w:val="18"/>
                      <w:highlight w:val="none"/>
                    </w:rPr>
                    <w:t>V（IEC）</w:t>
                  </w:r>
                </w:p>
              </w:tc>
            </w:tr>
            <w:tr w14:paraId="7E358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2E11212C">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工作温度范围</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5"/>
                      <w:sz w:val="18"/>
                      <w:szCs w:val="18"/>
                      <w:highlight w:val="none"/>
                    </w:rPr>
                    <w:t>℃，高温±5℃)</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7B5AF724">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w:t>
                  </w:r>
                  <w:r>
                    <w:rPr>
                      <w:rFonts w:hint="eastAsia" w:ascii="宋体" w:hAnsi="宋体" w:eastAsia="宋体" w:cs="宋体"/>
                      <w:color w:val="auto"/>
                      <w:spacing w:val="5"/>
                      <w:sz w:val="18"/>
                      <w:szCs w:val="18"/>
                      <w:highlight w:val="none"/>
                    </w:rPr>
                    <w:t>40 ⁓+85</w:t>
                  </w:r>
                </w:p>
              </w:tc>
            </w:tr>
            <w:tr w14:paraId="7CB97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0071154D">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接</w:t>
                  </w:r>
                  <w:r>
                    <w:rPr>
                      <w:rFonts w:hint="eastAsia" w:ascii="宋体" w:hAnsi="宋体" w:eastAsia="宋体" w:cs="宋体"/>
                      <w:color w:val="auto"/>
                      <w:spacing w:val="8"/>
                      <w:sz w:val="18"/>
                      <w:szCs w:val="18"/>
                      <w:highlight w:val="none"/>
                    </w:rPr>
                    <w:t>线盒类型</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722E875D">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pacing w:val="4"/>
                      <w:sz w:val="18"/>
                      <w:szCs w:val="18"/>
                      <w:highlight w:val="none"/>
                    </w:rPr>
                    <w:t>密封防水型 防护等级</w:t>
                  </w:r>
                  <w:r>
                    <w:rPr>
                      <w:rFonts w:hint="eastAsia" w:ascii="宋体" w:hAnsi="宋体" w:eastAsia="宋体" w:cs="宋体"/>
                      <w:color w:val="auto"/>
                      <w:sz w:val="18"/>
                      <w:szCs w:val="18"/>
                      <w:highlight w:val="none"/>
                    </w:rPr>
                    <w:t>IP</w:t>
                  </w:r>
                  <w:r>
                    <w:rPr>
                      <w:rFonts w:hint="eastAsia" w:ascii="宋体" w:hAnsi="宋体" w:eastAsia="宋体" w:cs="宋体"/>
                      <w:color w:val="auto"/>
                      <w:spacing w:val="4"/>
                      <w:sz w:val="18"/>
                      <w:szCs w:val="18"/>
                      <w:highlight w:val="none"/>
                    </w:rPr>
                    <w:t>6</w:t>
                  </w:r>
                  <w:r>
                    <w:rPr>
                      <w:rFonts w:hint="eastAsia" w:ascii="宋体" w:hAnsi="宋体" w:eastAsia="宋体" w:cs="宋体"/>
                      <w:color w:val="auto"/>
                      <w:spacing w:val="1"/>
                      <w:sz w:val="18"/>
                      <w:szCs w:val="18"/>
                      <w:highlight w:val="none"/>
                    </w:rPr>
                    <w:t>8</w:t>
                  </w:r>
                </w:p>
              </w:tc>
            </w:tr>
            <w:tr w14:paraId="511AA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center"/>
                </w:tcPr>
                <w:p w14:paraId="0E1036FC">
                  <w:pPr>
                    <w:spacing w:line="360" w:lineRule="auto"/>
                    <w:jc w:val="center"/>
                    <w:rPr>
                      <w:rFonts w:ascii="宋体" w:hAnsi="宋体" w:eastAsia="宋体" w:cs="宋体"/>
                      <w:color w:val="auto"/>
                      <w:spacing w:val="5"/>
                      <w:sz w:val="18"/>
                      <w:szCs w:val="18"/>
                      <w:highlight w:val="none"/>
                    </w:rPr>
                  </w:pPr>
                  <w:r>
                    <w:rPr>
                      <w:rFonts w:hint="eastAsia" w:ascii="宋体" w:hAnsi="宋体" w:eastAsia="宋体" w:cs="宋体"/>
                      <w:color w:val="auto"/>
                      <w:spacing w:val="5"/>
                      <w:sz w:val="18"/>
                      <w:szCs w:val="18"/>
                      <w:highlight w:val="none"/>
                    </w:rPr>
                    <w:t>边框</w:t>
                  </w:r>
                  <w:r>
                    <w:rPr>
                      <w:rFonts w:hint="eastAsia" w:ascii="宋体" w:hAnsi="宋体" w:eastAsia="宋体" w:cs="宋体"/>
                      <w:color w:val="auto"/>
                      <w:spacing w:val="8"/>
                      <w:sz w:val="18"/>
                      <w:szCs w:val="18"/>
                      <w:highlight w:val="none"/>
                    </w:rPr>
                    <w:t>类型</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40AA83C5">
                  <w:pPr>
                    <w:spacing w:line="360" w:lineRule="auto"/>
                    <w:jc w:val="center"/>
                    <w:rPr>
                      <w:rFonts w:ascii="宋体" w:hAnsi="宋体" w:eastAsia="宋体" w:cs="宋体"/>
                      <w:color w:val="auto"/>
                      <w:spacing w:val="5"/>
                      <w:position w:val="1"/>
                      <w:sz w:val="18"/>
                      <w:szCs w:val="18"/>
                      <w:highlight w:val="none"/>
                    </w:rPr>
                  </w:pPr>
                  <w:r>
                    <w:rPr>
                      <w:rFonts w:hint="eastAsia" w:ascii="宋体" w:hAnsi="宋体" w:eastAsia="宋体" w:cs="宋体"/>
                      <w:color w:val="auto"/>
                      <w:spacing w:val="5"/>
                      <w:position w:val="1"/>
                      <w:sz w:val="18"/>
                      <w:szCs w:val="18"/>
                      <w:highlight w:val="none"/>
                    </w:rPr>
                    <w:t>阳极氧化铝合金 防积灰设计（可加装导流器）</w:t>
                  </w:r>
                </w:p>
              </w:tc>
            </w:tr>
            <w:tr w14:paraId="5327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2097" w:type="pct"/>
                  <w:tcBorders>
                    <w:top w:val="single" w:color="000000" w:sz="2" w:space="0"/>
                    <w:left w:val="single" w:color="000000" w:sz="2" w:space="0"/>
                    <w:bottom w:val="single" w:color="000000" w:sz="2" w:space="0"/>
                    <w:right w:val="single" w:color="000000" w:sz="2" w:space="0"/>
                    <w:tl2br w:val="nil"/>
                    <w:tr2bl w:val="nil"/>
                  </w:tcBorders>
                  <w:vAlign w:val="bottom"/>
                </w:tcPr>
                <w:p w14:paraId="492A376E">
                  <w:pPr>
                    <w:spacing w:line="360" w:lineRule="auto"/>
                    <w:jc w:val="center"/>
                    <w:rPr>
                      <w:rFonts w:ascii="宋体" w:hAnsi="宋体" w:eastAsia="宋体" w:cs="宋体"/>
                      <w:color w:val="auto"/>
                      <w:spacing w:val="5"/>
                      <w:sz w:val="18"/>
                      <w:szCs w:val="18"/>
                      <w:highlight w:val="none"/>
                    </w:rPr>
                  </w:pPr>
                  <w:r>
                    <w:rPr>
                      <w:rFonts w:hint="eastAsia" w:ascii="宋体" w:hAnsi="宋体" w:eastAsia="宋体" w:cs="宋体"/>
                      <w:color w:val="auto"/>
                      <w:spacing w:val="5"/>
                      <w:sz w:val="18"/>
                      <w:szCs w:val="18"/>
                      <w:highlight w:val="none"/>
                    </w:rPr>
                    <w:t>安全防护等级</w:t>
                  </w:r>
                </w:p>
              </w:tc>
              <w:tc>
                <w:tcPr>
                  <w:tcW w:w="2902" w:type="pct"/>
                  <w:tcBorders>
                    <w:top w:val="single" w:color="000000" w:sz="2" w:space="0"/>
                    <w:left w:val="single" w:color="000000" w:sz="2" w:space="0"/>
                    <w:bottom w:val="single" w:color="000000" w:sz="2" w:space="0"/>
                    <w:right w:val="single" w:color="000000" w:sz="2" w:space="0"/>
                    <w:tl2br w:val="nil"/>
                    <w:tr2bl w:val="nil"/>
                  </w:tcBorders>
                  <w:vAlign w:val="bottom"/>
                </w:tcPr>
                <w:p w14:paraId="6FE5B478">
                  <w:pPr>
                    <w:spacing w:line="360" w:lineRule="auto"/>
                    <w:jc w:val="center"/>
                    <w:rPr>
                      <w:rFonts w:ascii="宋体" w:hAnsi="宋体" w:eastAsia="宋体" w:cs="宋体"/>
                      <w:color w:val="auto"/>
                      <w:spacing w:val="5"/>
                      <w:position w:val="1"/>
                      <w:sz w:val="18"/>
                      <w:szCs w:val="18"/>
                      <w:highlight w:val="none"/>
                    </w:rPr>
                  </w:pPr>
                  <w:r>
                    <w:rPr>
                      <w:rFonts w:hint="eastAsia" w:ascii="宋体" w:hAnsi="宋体" w:eastAsia="宋体" w:cs="宋体"/>
                      <w:color w:val="auto"/>
                      <w:spacing w:val="5"/>
                      <w:position w:val="1"/>
                      <w:sz w:val="18"/>
                      <w:szCs w:val="18"/>
                      <w:highlight w:val="none"/>
                    </w:rPr>
                    <w:t>ClassⅡ</w:t>
                  </w:r>
                </w:p>
              </w:tc>
            </w:tr>
          </w:tbl>
          <w:p w14:paraId="05E79DF1">
            <w:pPr>
              <w:widowControl/>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w:t>
            </w:r>
            <w:r>
              <w:rPr>
                <w:rFonts w:hint="eastAsia" w:ascii="宋体" w:hAnsi="宋体" w:eastAsia="宋体" w:cs="宋体"/>
                <w:b/>
                <w:color w:val="auto"/>
                <w:sz w:val="18"/>
                <w:szCs w:val="18"/>
                <w:highlight w:val="none"/>
                <w:u w:val="single"/>
              </w:rPr>
              <w:t>光伏项目建设使用的太阳能组件须为</w:t>
            </w:r>
            <w:r>
              <w:rPr>
                <w:rFonts w:ascii="宋体" w:hAnsi="宋体" w:eastAsia="宋体" w:cs="宋体"/>
                <w:b/>
                <w:color w:val="auto"/>
                <w:sz w:val="18"/>
                <w:szCs w:val="18"/>
                <w:highlight w:val="none"/>
                <w:u w:val="single"/>
              </w:rPr>
              <w:t>A级品质，其生产企业要纳入国家工信部名录或产品通过TUV国际产品质量认证或CQC认证，投标时提供对应证明材料</w:t>
            </w:r>
            <w:r>
              <w:rPr>
                <w:rFonts w:hint="eastAsia" w:ascii="宋体" w:hAnsi="宋体" w:eastAsia="宋体" w:cs="宋体"/>
                <w:bCs/>
                <w:color w:val="auto"/>
                <w:sz w:val="18"/>
                <w:szCs w:val="18"/>
                <w:highlight w:val="none"/>
              </w:rPr>
              <w:t>。</w:t>
            </w:r>
          </w:p>
          <w:p w14:paraId="5A451BB3">
            <w:pPr>
              <w:widowControl/>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（3）光伏组件防护等级不低于IP66，在雨、雾、露水的湿气的环境下能正常工作，耐火等级达到A级不燃。</w:t>
            </w:r>
            <w:r>
              <w:rPr>
                <w:rFonts w:hint="eastAsia" w:ascii="宋体" w:hAnsi="宋体" w:eastAsia="宋体" w:cs="宋体"/>
                <w:b/>
                <w:color w:val="auto"/>
                <w:sz w:val="18"/>
                <w:szCs w:val="18"/>
                <w:highlight w:val="none"/>
                <w:u w:val="single"/>
              </w:rPr>
              <w:t>投标时需提供具有相应资质机构出具的检测报告，若检测机构为英文版则需提供中文版检测报告</w:t>
            </w:r>
            <w:r>
              <w:rPr>
                <w:rFonts w:hint="eastAsia" w:ascii="宋体" w:hAnsi="宋体" w:eastAsia="宋体" w:cs="宋体"/>
                <w:bCs/>
                <w:color w:val="auto"/>
                <w:sz w:val="18"/>
                <w:szCs w:val="18"/>
                <w:highlight w:val="none"/>
              </w:rPr>
              <w:t>。</w:t>
            </w:r>
          </w:p>
          <w:p w14:paraId="6CF56BA4">
            <w:pPr>
              <w:widowControl/>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（4）所供电池组件需满足抗25mm冰雹的撞击要求，</w:t>
            </w:r>
            <w:r>
              <w:rPr>
                <w:rFonts w:hint="eastAsia" w:ascii="宋体" w:hAnsi="宋体" w:eastAsia="宋体" w:cs="宋体"/>
                <w:b/>
                <w:color w:val="auto"/>
                <w:sz w:val="18"/>
                <w:szCs w:val="18"/>
                <w:highlight w:val="none"/>
                <w:u w:val="single"/>
              </w:rPr>
              <w:t>冰雹实验需满足</w:t>
            </w:r>
            <w:r>
              <w:rPr>
                <w:rFonts w:ascii="宋体" w:hAnsi="宋体" w:eastAsia="宋体" w:cs="宋体"/>
                <w:b/>
                <w:color w:val="auto"/>
                <w:sz w:val="18"/>
                <w:szCs w:val="18"/>
                <w:highlight w:val="none"/>
                <w:u w:val="single"/>
              </w:rPr>
              <w:t xml:space="preserve"> IEC61215 </w:t>
            </w:r>
            <w:r>
              <w:rPr>
                <w:rFonts w:hint="eastAsia" w:ascii="宋体" w:hAnsi="宋体" w:eastAsia="宋体" w:cs="宋体"/>
                <w:b/>
                <w:color w:val="auto"/>
                <w:sz w:val="18"/>
                <w:szCs w:val="18"/>
                <w:highlight w:val="none"/>
                <w:u w:val="single"/>
              </w:rPr>
              <w:t>相关规定，并提供实验冰球质量、尺寸及试验速度</w:t>
            </w:r>
            <w:r>
              <w:rPr>
                <w:rFonts w:hint="eastAsia" w:ascii="宋体" w:hAnsi="宋体" w:eastAsia="宋体" w:cs="宋体"/>
                <w:bCs/>
                <w:color w:val="auto"/>
                <w:sz w:val="18"/>
                <w:szCs w:val="18"/>
                <w:highlight w:val="none"/>
              </w:rPr>
              <w:t>，同时提供组件适应安装的气候条件，</w:t>
            </w:r>
            <w:r>
              <w:rPr>
                <w:rFonts w:hint="eastAsia" w:ascii="宋体" w:hAnsi="宋体" w:eastAsia="宋体" w:cs="宋体"/>
                <w:b/>
                <w:color w:val="auto"/>
                <w:sz w:val="18"/>
                <w:szCs w:val="18"/>
                <w:highlight w:val="none"/>
                <w:u w:val="single"/>
              </w:rPr>
              <w:t>需对所供组件的抗冰雹能力加以说明并提供证明文件</w:t>
            </w:r>
            <w:r>
              <w:rPr>
                <w:rFonts w:hint="eastAsia" w:ascii="宋体" w:hAnsi="宋体" w:eastAsia="宋体" w:cs="宋体"/>
                <w:bCs/>
                <w:color w:val="auto"/>
                <w:sz w:val="18"/>
                <w:szCs w:val="18"/>
                <w:highlight w:val="none"/>
              </w:rPr>
              <w:t>。</w:t>
            </w:r>
          </w:p>
          <w:p w14:paraId="591662E0">
            <w:pPr>
              <w:widowControl/>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（5）所供组电池组件需具备防盐雾腐蚀功能，不因盐雾腐蚀出现绝缘降低、发电量减少情况。</w:t>
            </w:r>
          </w:p>
          <w:p w14:paraId="145689C2">
            <w:pPr>
              <w:widowControl/>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（6）电池组件需具备一定的抗潮湿能力，组件在雨、雾、露水的湿气的环境下，组件能正常工作，绝缘性能满足要求，不允许出现漏电现象，湿漏电流试验需满足IEC61215相关条款规定。</w:t>
            </w:r>
          </w:p>
          <w:p w14:paraId="1C041308">
            <w:pPr>
              <w:widowControl/>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（7）要求同一光伏发电单元内光伏组件的电池片需为同一批次原料，表面颜色均匀一致，无机械损伤，焊点无氧化斑，电池组件的I-V曲线基本相同。</w:t>
            </w:r>
          </w:p>
          <w:p w14:paraId="41FD86B6">
            <w:pPr>
              <w:widowControl/>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（8）光伏组件进场后投标人需安排抽样进行开箱检查与EL检测，对不合格组件免费进行更换，并且在项目施工完成验收时，需组织对安装组件隐裂情况进行检测，检测到的存在不合格的组件，投标人需安排替换。</w:t>
            </w:r>
          </w:p>
        </w:tc>
        <w:tc>
          <w:tcPr>
            <w:tcW w:w="322" w:type="pct"/>
            <w:vAlign w:val="center"/>
          </w:tcPr>
          <w:p w14:paraId="16BC81C6">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58A05743">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67AE8E7C">
            <w:pPr>
              <w:keepNext/>
              <w:keepLines/>
              <w:spacing w:line="360" w:lineRule="auto"/>
              <w:jc w:val="center"/>
              <w:rPr>
                <w:rFonts w:ascii="宋体" w:hAnsi="宋体" w:eastAsia="宋体" w:cs="宋体"/>
                <w:color w:val="auto"/>
                <w:kern w:val="0"/>
                <w:sz w:val="18"/>
                <w:szCs w:val="18"/>
                <w:highlight w:val="none"/>
              </w:rPr>
            </w:pPr>
          </w:p>
        </w:tc>
      </w:tr>
      <w:tr w14:paraId="1177B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continue"/>
            <w:vAlign w:val="center"/>
          </w:tcPr>
          <w:p w14:paraId="0BC8238F">
            <w:pPr>
              <w:spacing w:line="360" w:lineRule="auto"/>
              <w:jc w:val="center"/>
              <w:rPr>
                <w:rFonts w:ascii="宋体" w:hAnsi="宋体" w:eastAsia="宋体" w:cs="宋体"/>
                <w:color w:val="auto"/>
                <w:kern w:val="0"/>
                <w:sz w:val="18"/>
                <w:szCs w:val="18"/>
                <w:highlight w:val="none"/>
              </w:rPr>
            </w:pPr>
          </w:p>
        </w:tc>
        <w:tc>
          <w:tcPr>
            <w:tcW w:w="412" w:type="pct"/>
            <w:vMerge w:val="continue"/>
            <w:vAlign w:val="center"/>
          </w:tcPr>
          <w:p w14:paraId="092E7EC5">
            <w:pPr>
              <w:spacing w:line="360" w:lineRule="auto"/>
              <w:jc w:val="center"/>
              <w:rPr>
                <w:rFonts w:ascii="宋体" w:hAnsi="宋体" w:eastAsia="宋体" w:cs="宋体"/>
                <w:color w:val="auto"/>
                <w:sz w:val="18"/>
                <w:szCs w:val="18"/>
                <w:highlight w:val="none"/>
              </w:rPr>
            </w:pPr>
          </w:p>
        </w:tc>
        <w:tc>
          <w:tcPr>
            <w:tcW w:w="3300" w:type="pct"/>
            <w:vAlign w:val="center"/>
          </w:tcPr>
          <w:p w14:paraId="7D27D49A">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2、逆变器</w:t>
            </w:r>
          </w:p>
          <w:p w14:paraId="341F4CF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逆变器选型时除应考虑具有过/欠电压、过/欠频率、防孤岛效应、短路保护、逆向功率保护等保护功能外，同时应考虑其电压（电流）总谐波畸变率满足国际规定要求，减少对电网的干扰。整个光伏系统采用若干组逆变器每个逆变器具有自动最大功率跟踪功能，并能够随着光伏组件接收的功率，以最经济的方式自动识别并投入运行。</w:t>
            </w:r>
          </w:p>
          <w:p w14:paraId="6CD5921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（2）逆变器必须是经国家认监委批准的认证机构认证且达标的产品（须具备直流拉弧检测功能），并提供不低于5年的质保。</w:t>
            </w:r>
          </w:p>
          <w:p w14:paraId="647E817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（3）最大逆变效率≥98.5%，中国效率≥98%，交流输出400V机型直流输入电压范围范围200~1100V或更宽，交流输出800V机型直流输入电压范围500~1500V或更宽。</w:t>
            </w:r>
          </w:p>
          <w:p w14:paraId="0C1B58E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（4）逆变器输出功率大于其额定功率的50%时，功率因数应不小于0.98，输出有功功率在20%-50%之间时，功率因数不小于0.95。同时逆变器功率因素必须满足项目所在地电网要求。</w:t>
            </w:r>
          </w:p>
          <w:p w14:paraId="7B726CF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10%额定功率及以上下电流总谐波畸变率≤3%；交流输出三相电压的允许偏差不超过额定电压的±7%；直流分量不超过其交流额定值的0.5%；具有电网过/欠压保护、过/欠频保护、防孤岛保护、恢复并网保护、过流保护、极性反接保护、过载保护功能、Anti-PID功能，具备远程操作功能。</w:t>
            </w:r>
          </w:p>
          <w:p w14:paraId="2B58B2C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（6）逆变器要求能够自动化运行，可维护性强。采用近端线连或者 app 通讯方式，可实时了解各项运行数据、实时故障数据、历史故障数据、总发电量等数据，逆变器镶有设备的铭牌，需提供标准/开放的协议和接口。</w:t>
            </w:r>
          </w:p>
          <w:p w14:paraId="0C9F8C9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（7）逆变器≥110kW需安装高温排风装置，在环境温度高于45℃时自动启动排风装置，排风口应具有防尘措施。</w:t>
            </w:r>
          </w:p>
          <w:p w14:paraId="7B9CCE79">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（8）组串式逆变器箱体须具备防盐雾腐蚀措施，具备防盐雾腐蚀功能，确保箱体内部25年内无任何腐蚀现象。</w:t>
            </w:r>
          </w:p>
          <w:p w14:paraId="61C6358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（9）要求配置每路组串电压电流检测功能。</w:t>
            </w:r>
          </w:p>
          <w:p w14:paraId="2B6730D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（10）具有直流拉弧检测功能。</w:t>
            </w:r>
          </w:p>
          <w:p w14:paraId="4AD81D4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（11）逆变器必须满足系统抗PID功能和修复PID功能。</w:t>
            </w:r>
          </w:p>
          <w:p w14:paraId="2B6FDB66">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（12）逆变器内置交直流防雷和直流开关，交直流浪涌保护II 级以上，具备良好的电气隔离性，整机符合国家相关标准。</w:t>
            </w:r>
          </w:p>
          <w:p w14:paraId="2F21E27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（13）逆变器直流输入支路必须配置光伏专用熔断器，确保当直流侧发生短路或热斑效应时，可快速隔离故障点。</w:t>
            </w:r>
          </w:p>
          <w:p w14:paraId="1C306F19">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（14）支持PLC通讯，项目通电并网后投标人必须负责为招标人技术员注册APP监控软件，并将光伏电站现场实时监测数据联通传送至招标人指定的数据控制中心PC端。</w:t>
            </w:r>
          </w:p>
          <w:p w14:paraId="2B9F9F77">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（15）户外安装时，要求具备遮阳挡雨措施，挡雨板材质应采用304及以上不锈钢材质。</w:t>
            </w:r>
          </w:p>
        </w:tc>
        <w:tc>
          <w:tcPr>
            <w:tcW w:w="322" w:type="pct"/>
            <w:vAlign w:val="center"/>
          </w:tcPr>
          <w:p w14:paraId="7852E688">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5B0FAAF6">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4263F136">
            <w:pPr>
              <w:keepNext/>
              <w:keepLines/>
              <w:spacing w:line="360" w:lineRule="auto"/>
              <w:jc w:val="center"/>
              <w:rPr>
                <w:rFonts w:ascii="宋体" w:hAnsi="宋体" w:eastAsia="宋体" w:cs="宋体"/>
                <w:color w:val="auto"/>
                <w:kern w:val="0"/>
                <w:sz w:val="18"/>
                <w:szCs w:val="18"/>
                <w:highlight w:val="none"/>
              </w:rPr>
            </w:pPr>
          </w:p>
        </w:tc>
      </w:tr>
      <w:tr w14:paraId="0623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continue"/>
            <w:vAlign w:val="center"/>
          </w:tcPr>
          <w:p w14:paraId="4C65FF18">
            <w:pPr>
              <w:spacing w:line="360" w:lineRule="auto"/>
              <w:jc w:val="center"/>
              <w:rPr>
                <w:rFonts w:ascii="宋体" w:hAnsi="宋体" w:eastAsia="宋体" w:cs="宋体"/>
                <w:color w:val="auto"/>
                <w:kern w:val="0"/>
                <w:sz w:val="18"/>
                <w:szCs w:val="18"/>
                <w:highlight w:val="none"/>
              </w:rPr>
            </w:pPr>
          </w:p>
        </w:tc>
        <w:tc>
          <w:tcPr>
            <w:tcW w:w="412" w:type="pct"/>
            <w:vMerge w:val="continue"/>
            <w:vAlign w:val="center"/>
          </w:tcPr>
          <w:p w14:paraId="59450B66">
            <w:pPr>
              <w:spacing w:line="360" w:lineRule="auto"/>
              <w:jc w:val="center"/>
              <w:rPr>
                <w:rFonts w:ascii="宋体" w:hAnsi="宋体" w:eastAsia="宋体" w:cs="宋体"/>
                <w:color w:val="auto"/>
                <w:sz w:val="18"/>
                <w:szCs w:val="18"/>
                <w:highlight w:val="none"/>
              </w:rPr>
            </w:pPr>
          </w:p>
        </w:tc>
        <w:tc>
          <w:tcPr>
            <w:tcW w:w="3300" w:type="pct"/>
            <w:vAlign w:val="center"/>
          </w:tcPr>
          <w:p w14:paraId="17B949C9">
            <w:pPr>
              <w:widowControl/>
              <w:numPr>
                <w:ilvl w:val="2"/>
                <w:numId w:val="0"/>
              </w:numPr>
              <w:tabs>
                <w:tab w:val="left" w:pos="735"/>
                <w:tab w:val="left" w:pos="2160"/>
              </w:tabs>
              <w:spacing w:line="360" w:lineRule="auto"/>
              <w:ind w:firstLine="361" w:firstLineChars="200"/>
              <w:jc w:val="left"/>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3、交流汇流箱</w:t>
            </w:r>
          </w:p>
          <w:p w14:paraId="69ECE8C1">
            <w:pPr>
              <w:widowControl/>
              <w:numPr>
                <w:ilvl w:val="2"/>
                <w:numId w:val="0"/>
              </w:numPr>
              <w:tabs>
                <w:tab w:val="left" w:pos="735"/>
                <w:tab w:val="left" w:pos="21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（1）配电箱必须是成套配电箱，</w:t>
            </w:r>
            <w:r>
              <w:rPr>
                <w:rFonts w:hint="eastAsia" w:ascii="宋体" w:hAnsi="宋体" w:eastAsia="宋体" w:cs="宋体"/>
                <w:b/>
                <w:color w:val="auto"/>
                <w:sz w:val="18"/>
                <w:szCs w:val="18"/>
                <w:highlight w:val="none"/>
                <w:u w:val="single"/>
              </w:rPr>
              <w:t>成套配电箱内开关要提供</w:t>
            </w:r>
            <w:r>
              <w:rPr>
                <w:rFonts w:ascii="宋体" w:hAnsi="宋体" w:eastAsia="宋体" w:cs="宋体"/>
                <w:b/>
                <w:color w:val="auto"/>
                <w:sz w:val="18"/>
                <w:szCs w:val="18"/>
                <w:highlight w:val="none"/>
                <w:u w:val="single"/>
              </w:rPr>
              <w:t>3C认证和出厂检验报告，投标时提供对应证明材料</w:t>
            </w:r>
            <w:r>
              <w:rPr>
                <w:rFonts w:hint="eastAsia" w:ascii="宋体" w:hAnsi="宋体" w:eastAsia="宋体" w:cs="宋体"/>
                <w:bCs/>
                <w:color w:val="auto"/>
                <w:sz w:val="18"/>
                <w:szCs w:val="18"/>
                <w:highlight w:val="none"/>
              </w:rPr>
              <w:t>。箱内并网设备要配备符合安全需求的闸刀、断路器、浪涌保护器，并应具备光伏元件故障、漏电自动断开光伏输出总开关。</w:t>
            </w:r>
          </w:p>
          <w:p w14:paraId="55D617CB">
            <w:pPr>
              <w:widowControl/>
              <w:numPr>
                <w:ilvl w:val="2"/>
                <w:numId w:val="0"/>
              </w:numPr>
              <w:tabs>
                <w:tab w:val="left" w:pos="735"/>
                <w:tab w:val="left" w:pos="21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（2）采用的内置漏电保护和浪涌保护，采用交直II级防雷保护，整体符合国家相关标准。</w:t>
            </w:r>
          </w:p>
          <w:p w14:paraId="584F6B2C">
            <w:pPr>
              <w:widowControl/>
              <w:numPr>
                <w:ilvl w:val="2"/>
                <w:numId w:val="0"/>
              </w:numPr>
              <w:tabs>
                <w:tab w:val="left" w:pos="735"/>
                <w:tab w:val="left" w:pos="21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（3）箱体的防护等级不低于IP65，适合户外安装，满足防水、防尘、防紫外线、防盐雾、耐腐蚀等，安装位置干燥、通风良好。</w:t>
            </w:r>
          </w:p>
          <w:p w14:paraId="0CE3C696">
            <w:pPr>
              <w:widowControl/>
              <w:numPr>
                <w:ilvl w:val="2"/>
                <w:numId w:val="0"/>
              </w:numPr>
              <w:tabs>
                <w:tab w:val="left" w:pos="735"/>
                <w:tab w:val="left" w:pos="21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（4）箱体需采用304不锈钢，钢板的厚度≥1.5mm，经过静电喷塑处理，内部全部的金属结构都需经过防腐处理，内外表面平整、光洁，无锈蚀、涂层脱落和磕碰损伤现象。</w:t>
            </w:r>
          </w:p>
          <w:p w14:paraId="341A1F78">
            <w:pPr>
              <w:widowControl/>
              <w:numPr>
                <w:ilvl w:val="2"/>
                <w:numId w:val="0"/>
              </w:numPr>
              <w:tabs>
                <w:tab w:val="left" w:pos="735"/>
                <w:tab w:val="left" w:pos="21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（5）箱体内部结构具有足够的机械强度，保证元器件安装后及操作时无摇晃、不变形；元器 件安装走线应整齐、可靠、合理布置；电器间绝缘应符合国家有关标准，进出线必须通过接线端子。</w:t>
            </w:r>
          </w:p>
          <w:p w14:paraId="32A1D9C5">
            <w:pPr>
              <w:widowControl/>
              <w:numPr>
                <w:ilvl w:val="2"/>
                <w:numId w:val="0"/>
              </w:numPr>
              <w:tabs>
                <w:tab w:val="left" w:pos="735"/>
                <w:tab w:val="left" w:pos="21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（6）箱体内应该针对接入的设备及线路，拥有明显的电气开断元件，能够确保检修时能够逐级断开系统，每个汇流箱必须给出一次及二次接线图。</w:t>
            </w:r>
          </w:p>
        </w:tc>
        <w:tc>
          <w:tcPr>
            <w:tcW w:w="322" w:type="pct"/>
            <w:vAlign w:val="center"/>
          </w:tcPr>
          <w:p w14:paraId="1C934759">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18077C5C">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7ECD24AB">
            <w:pPr>
              <w:keepNext/>
              <w:keepLines/>
              <w:spacing w:line="360" w:lineRule="auto"/>
              <w:jc w:val="center"/>
              <w:rPr>
                <w:rFonts w:ascii="宋体" w:hAnsi="宋体" w:eastAsia="宋体" w:cs="宋体"/>
                <w:color w:val="auto"/>
                <w:kern w:val="0"/>
                <w:sz w:val="18"/>
                <w:szCs w:val="18"/>
                <w:highlight w:val="none"/>
              </w:rPr>
            </w:pPr>
          </w:p>
        </w:tc>
      </w:tr>
      <w:tr w14:paraId="5B2F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continue"/>
            <w:vAlign w:val="center"/>
          </w:tcPr>
          <w:p w14:paraId="4F851E7F">
            <w:pPr>
              <w:spacing w:line="360" w:lineRule="auto"/>
              <w:jc w:val="center"/>
              <w:rPr>
                <w:rFonts w:ascii="宋体" w:hAnsi="宋体" w:eastAsia="宋体" w:cs="宋体"/>
                <w:color w:val="auto"/>
                <w:kern w:val="0"/>
                <w:sz w:val="18"/>
                <w:szCs w:val="18"/>
                <w:highlight w:val="none"/>
              </w:rPr>
            </w:pPr>
          </w:p>
        </w:tc>
        <w:tc>
          <w:tcPr>
            <w:tcW w:w="412" w:type="pct"/>
            <w:vMerge w:val="continue"/>
            <w:vAlign w:val="center"/>
          </w:tcPr>
          <w:p w14:paraId="3E5E5CC6">
            <w:pPr>
              <w:spacing w:line="360" w:lineRule="auto"/>
              <w:jc w:val="center"/>
              <w:rPr>
                <w:rFonts w:ascii="宋体" w:hAnsi="宋体" w:eastAsia="宋体" w:cs="宋体"/>
                <w:color w:val="auto"/>
                <w:sz w:val="18"/>
                <w:szCs w:val="18"/>
                <w:highlight w:val="none"/>
              </w:rPr>
            </w:pPr>
          </w:p>
        </w:tc>
        <w:tc>
          <w:tcPr>
            <w:tcW w:w="3300" w:type="pct"/>
            <w:vAlign w:val="center"/>
          </w:tcPr>
          <w:p w14:paraId="3C72C6BB">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4、并网柜</w:t>
            </w:r>
          </w:p>
          <w:p w14:paraId="17AD427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（1）中压10千伏项目中配置的配电箱应为自动化成套配电箱。</w:t>
            </w:r>
          </w:p>
          <w:p w14:paraId="45EFEE6B">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u w:val="single"/>
              </w:rPr>
              <w:t>（</w:t>
            </w:r>
            <w:r>
              <w:rPr>
                <w:rFonts w:ascii="宋体" w:hAnsi="宋体" w:eastAsia="宋体" w:cs="宋体"/>
                <w:b/>
                <w:color w:val="auto"/>
                <w:sz w:val="18"/>
                <w:szCs w:val="18"/>
                <w:highlight w:val="none"/>
                <w:u w:val="single"/>
              </w:rPr>
              <w:t>2）并网柜与电气元件均应具备国内3C认证，投标时提供对应证明材料。</w:t>
            </w:r>
          </w:p>
          <w:p w14:paraId="4E162DE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并网柜具备被动孤岛检测、有压自动重合闸、失压跳闸、过欠压保护、过电流保护、防雷保护、短路保护、高低频保护、防孤岛保护等基本功能，若当地供电部门要求，还需配置逆功率保护；同时具备智能通讯功能，可以和后台系统通讯组网，远程操作断路器分合闸，远程查看并网柜各种电参量及开关位置信息。</w:t>
            </w:r>
          </w:p>
          <w:p w14:paraId="26333D0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（4）光伏并网柜可以加装计量仓，计量表具备双向计量功能，计量表有功电能精度不低于0.5S 级，电压互感器、电流互感器不低于0.2S 级。计量电表数据均接入到监控系统后台。</w:t>
            </w:r>
          </w:p>
          <w:p w14:paraId="14897E37">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（5）柜体的防护等级不低于IP41，配电房内安装，柜型按照原有配电房开关柜定做，整体符合国家相关标准。</w:t>
            </w:r>
          </w:p>
          <w:p w14:paraId="35F3987F">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（6）柜体需采用冷轧钢板制作，钢板的厚度≥1.5mm，经过静电喷塑处理，内部全部的金属结构都需经过防腐处理，内外表面平整、光洁，无锈蚀、涂层脱落和磕碰损伤现象。</w:t>
            </w:r>
          </w:p>
          <w:p w14:paraId="4BD36F2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（7）630A及以上低压断路器采用固定式框架式断路器，要求配置具有三段保护的数显智能模块，630A以下采用塑壳式断路器。</w:t>
            </w:r>
          </w:p>
          <w:p w14:paraId="3353619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（8）柜体内应该针对接入的设备及线路，拥有明显的电气开断元件，能够确保检修时能够逐级断开系统，每个并网柜在安装时必须给出一次及二次接线图。</w:t>
            </w:r>
          </w:p>
          <w:p w14:paraId="2E2869E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（9）所有电气设备安装完成后，应进行电气交接试验，并形成记录。</w:t>
            </w:r>
          </w:p>
        </w:tc>
        <w:tc>
          <w:tcPr>
            <w:tcW w:w="322" w:type="pct"/>
            <w:vAlign w:val="center"/>
          </w:tcPr>
          <w:p w14:paraId="5F6C12CC">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21CD7466">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5A0325A0">
            <w:pPr>
              <w:keepNext/>
              <w:keepLines/>
              <w:spacing w:line="360" w:lineRule="auto"/>
              <w:jc w:val="center"/>
              <w:rPr>
                <w:rFonts w:ascii="宋体" w:hAnsi="宋体" w:eastAsia="宋体" w:cs="宋体"/>
                <w:color w:val="auto"/>
                <w:kern w:val="0"/>
                <w:sz w:val="18"/>
                <w:szCs w:val="18"/>
                <w:highlight w:val="none"/>
              </w:rPr>
            </w:pPr>
          </w:p>
        </w:tc>
      </w:tr>
      <w:tr w14:paraId="07B3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continue"/>
            <w:vAlign w:val="center"/>
          </w:tcPr>
          <w:p w14:paraId="17EA448F">
            <w:pPr>
              <w:spacing w:line="360" w:lineRule="auto"/>
              <w:jc w:val="center"/>
              <w:rPr>
                <w:rFonts w:ascii="宋体" w:hAnsi="宋体" w:eastAsia="宋体" w:cs="宋体"/>
                <w:color w:val="auto"/>
                <w:kern w:val="0"/>
                <w:sz w:val="18"/>
                <w:szCs w:val="18"/>
                <w:highlight w:val="none"/>
              </w:rPr>
            </w:pPr>
          </w:p>
        </w:tc>
        <w:tc>
          <w:tcPr>
            <w:tcW w:w="412" w:type="pct"/>
            <w:vMerge w:val="continue"/>
            <w:vAlign w:val="center"/>
          </w:tcPr>
          <w:p w14:paraId="4B0BAED4">
            <w:pPr>
              <w:spacing w:line="360" w:lineRule="auto"/>
              <w:jc w:val="center"/>
              <w:rPr>
                <w:rFonts w:ascii="宋体" w:hAnsi="宋体" w:eastAsia="宋体" w:cs="宋体"/>
                <w:color w:val="auto"/>
                <w:sz w:val="18"/>
                <w:szCs w:val="18"/>
                <w:highlight w:val="none"/>
              </w:rPr>
            </w:pPr>
          </w:p>
        </w:tc>
        <w:tc>
          <w:tcPr>
            <w:tcW w:w="3300" w:type="pct"/>
            <w:vAlign w:val="center"/>
          </w:tcPr>
          <w:p w14:paraId="58035BC7">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5、光伏支架</w:t>
            </w:r>
          </w:p>
          <w:p w14:paraId="2D6D944D">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支架（含阵列式）的强度应满足在自重、风荷载和地震荷载共同作用下的使用要求，设计时光伏支架基础设计使用年限50年，光伏支架结构设计使用年限25年，表面防腐应满足10年内可拆卸再利用和25年内安全使用的要求；建筑光伏一体化的光伏支架设计使用年限应与一体化建筑主体结构一致。</w:t>
            </w:r>
          </w:p>
          <w:p w14:paraId="4BC079F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（2）支架设计（含阵列式）必须满足东莞地区的风压等级要求（即0.65KN/m²风压，风速在32.27米/秒以上的热带气旋）的抗风要求。</w:t>
            </w:r>
          </w:p>
          <w:p w14:paraId="6D91F606">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（3）本项目支架形式采用固定式钢支架的，需选用Q235B及以上钢材，钢材防腐可采用热浸锌和镀镁铝锌两种方式。若采用热浸锌防腐，镀锌层厚度应满足《光伏支架结构设计规程》（NB/T 10115-2018）、《金属覆盖层 钢铁制件热浸镀锌层技术要求及试验方法》（GB/T13912-2020）的相关要求。钢构件厚度＞6mm 时，热浸镀锌平均厚度不应小于85μm，局部镀锌厚度不应小于70μm；对于3＜钢构件厚度≤6mm 时，热浸镀锌平均厚度不应小于70μm，局部镀锌厚度不应小于55μm；镀镁铝锌不低于275mg/m</w:t>
            </w:r>
            <w:r>
              <w:rPr>
                <w:rFonts w:hint="eastAsia" w:ascii="宋体" w:hAnsi="宋体" w:eastAsia="宋体" w:cs="宋体"/>
                <w:bCs/>
                <w:color w:val="auto"/>
                <w:sz w:val="18"/>
                <w:szCs w:val="18"/>
                <w:highlight w:val="none"/>
                <w:vertAlign w:val="superscript"/>
              </w:rPr>
              <w:t>2</w:t>
            </w:r>
            <w:r>
              <w:rPr>
                <w:rFonts w:hint="eastAsia" w:ascii="宋体" w:hAnsi="宋体" w:eastAsia="宋体" w:cs="宋体"/>
                <w:bCs/>
                <w:color w:val="auto"/>
                <w:sz w:val="18"/>
                <w:szCs w:val="18"/>
                <w:highlight w:val="none"/>
              </w:rPr>
              <w:t>；光伏支架铝构件阳极氧化膜平均厚度不应小于15μm，局部厚度不应小于12μm，铝合金连接件阳极氧化膜平均厚度不应小于10μm，局部厚度不应小于8μm。</w:t>
            </w:r>
          </w:p>
          <w:p w14:paraId="482D4E9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彩钢瓦屋面采用夹具固定，夹具、压块及安装龙骨均采用600铝合金，强度等级不低于6063-T6，铝合金支架的使用寿命应在25年以上。结构主材化学成分和力学性能应符合《铝合金结构设计规范》（GB50429-2007）规定。铝合金型材经阳极氧化处理，氧化膜平均厚度不小于15μm，并满足《光伏发电站设计标准》（GB50797-2012）中相关要求。</w:t>
            </w:r>
          </w:p>
          <w:p w14:paraId="6B00AB2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（5）光伏支架施工图设计应根据建构筑物承载力检测报告进行深化，并在过程中征得招标人同意，钢材选用及防腐要求同混凝土屋面支架要求。</w:t>
            </w:r>
          </w:p>
          <w:p w14:paraId="6E3FE42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（6）光伏车棚钢材选用及防腐要求同混凝土屋面支架要求。</w:t>
            </w:r>
          </w:p>
          <w:p w14:paraId="24E5E3E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7）本项目光伏支架布置必须考虑光伏电站的建设和后期运行不能影响厂区的正常运作，厂区地下管网错综复杂，支架基础要注意避开地下管网，基础桩基施工过程注意对厂区生产构筑物、管道、电缆的安全监测，如因施工原因造成安全隐患，投标人需无条件修复。</w:t>
            </w:r>
          </w:p>
          <w:p w14:paraId="09275CE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8）光伏支架根据建构筑物承载力检测报告，如确因屋面承载力不满足抗风荷载要求，光伏支架可采用膨胀螺栓或化学螺栓锚固，但投标人需及时修复锚固过程中破损的屋面防水层，并保障屋面的防水性能不低于本项目工程实施前。若因光伏项目造成屋面漏水的，由投标人负责处理修复完好。</w:t>
            </w:r>
          </w:p>
          <w:p w14:paraId="3C58623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（9）本项目光伏支架布置需为后期光伏板机器人自动清洗、厂区维护运营预留操作路径。</w:t>
            </w:r>
          </w:p>
          <w:p w14:paraId="45783AE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（10）设计时，整个支架结构的强度、挠度、稳定性应符合国家结构设计相关规范的安全性要求；同时，支架结构的的节点连接也应满足国家结构设计规范的结构安全性的要求。</w:t>
            </w:r>
            <w:r>
              <w:rPr>
                <w:rFonts w:hint="eastAsia" w:ascii="宋体" w:hAnsi="宋体" w:eastAsia="宋体" w:cs="宋体"/>
                <w:b/>
                <w:bCs/>
                <w:color w:val="auto"/>
                <w:sz w:val="18"/>
                <w:szCs w:val="18"/>
                <w:highlight w:val="none"/>
                <w:u w:val="single"/>
              </w:rPr>
              <w:t>若在现有变压器容量的基础上，若因单块光伏板容量增大，导致组件排布数量减少的，中标人需采用与运维通道相同材质的板材，把空缺部分补平，达到</w:t>
            </w:r>
            <w:r>
              <w:rPr>
                <w:rFonts w:hint="eastAsia" w:ascii="宋体" w:hAnsi="宋体" w:eastAsia="宋体" w:cs="宋体"/>
                <w:b/>
                <w:bCs/>
                <w:color w:val="auto"/>
                <w:sz w:val="18"/>
                <w:szCs w:val="18"/>
                <w:highlight w:val="none"/>
                <w:u w:val="single"/>
                <w:lang w:val="en-US" w:eastAsia="zh-CN"/>
              </w:rPr>
              <w:t>招标人</w:t>
            </w:r>
            <w:r>
              <w:rPr>
                <w:rFonts w:hint="eastAsia" w:ascii="宋体" w:hAnsi="宋体" w:eastAsia="宋体" w:cs="宋体"/>
                <w:b/>
                <w:bCs/>
                <w:color w:val="auto"/>
                <w:sz w:val="18"/>
                <w:szCs w:val="18"/>
                <w:highlight w:val="none"/>
                <w:u w:val="single"/>
              </w:rPr>
              <w:t>或厂区的美观要求，费用已包含在合同不含税固定每瓦单价内，招标人无需另行支付费用。</w:t>
            </w:r>
          </w:p>
          <w:p w14:paraId="60CBFA1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（11）组件安装螺栓选用不锈钢304及以上材质，表面需钝化，安装前须点胶或采用防松动螺母。</w:t>
            </w:r>
          </w:p>
          <w:p w14:paraId="0CF61C66">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（12）支架安装完毕后中标人须委托第三方完成支架抗拉拔测试，要求符合《GB 50797-2012光伏电站设计标准》和《JGJ 145-2013混凝土结构后锚固技术规程》相关内容，锚栓抗拔力需达到设计荷载的1.5–2倍，且滑移量≤0.5 mm、残余变形≤0.2%。</w:t>
            </w:r>
          </w:p>
        </w:tc>
        <w:tc>
          <w:tcPr>
            <w:tcW w:w="322" w:type="pct"/>
            <w:vAlign w:val="center"/>
          </w:tcPr>
          <w:p w14:paraId="5C6101D5">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451294AC">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3EC7C861">
            <w:pPr>
              <w:keepNext/>
              <w:keepLines/>
              <w:spacing w:line="360" w:lineRule="auto"/>
              <w:jc w:val="center"/>
              <w:rPr>
                <w:rFonts w:ascii="宋体" w:hAnsi="宋体" w:eastAsia="宋体" w:cs="宋体"/>
                <w:color w:val="auto"/>
                <w:kern w:val="0"/>
                <w:sz w:val="18"/>
                <w:szCs w:val="18"/>
                <w:highlight w:val="none"/>
              </w:rPr>
            </w:pPr>
          </w:p>
          <w:p w14:paraId="740D2431">
            <w:pPr>
              <w:keepNext/>
              <w:keepLines/>
              <w:spacing w:line="360" w:lineRule="auto"/>
              <w:jc w:val="center"/>
              <w:rPr>
                <w:rFonts w:ascii="宋体" w:hAnsi="宋体" w:eastAsia="宋体" w:cs="宋体"/>
                <w:color w:val="auto"/>
                <w:kern w:val="0"/>
                <w:sz w:val="18"/>
                <w:szCs w:val="18"/>
                <w:highlight w:val="none"/>
              </w:rPr>
            </w:pPr>
          </w:p>
        </w:tc>
      </w:tr>
      <w:tr w14:paraId="74F2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continue"/>
            <w:vAlign w:val="center"/>
          </w:tcPr>
          <w:p w14:paraId="6FA155CB">
            <w:pPr>
              <w:spacing w:line="360" w:lineRule="auto"/>
              <w:jc w:val="center"/>
              <w:rPr>
                <w:rFonts w:ascii="宋体" w:hAnsi="宋体" w:eastAsia="宋体" w:cs="宋体"/>
                <w:color w:val="auto"/>
                <w:kern w:val="0"/>
                <w:sz w:val="18"/>
                <w:szCs w:val="18"/>
                <w:highlight w:val="none"/>
              </w:rPr>
            </w:pPr>
          </w:p>
        </w:tc>
        <w:tc>
          <w:tcPr>
            <w:tcW w:w="412" w:type="pct"/>
            <w:vMerge w:val="continue"/>
            <w:vAlign w:val="center"/>
          </w:tcPr>
          <w:p w14:paraId="57B007D3">
            <w:pPr>
              <w:spacing w:line="360" w:lineRule="auto"/>
              <w:jc w:val="center"/>
              <w:rPr>
                <w:rFonts w:ascii="宋体" w:hAnsi="宋体" w:eastAsia="宋体" w:cs="宋体"/>
                <w:color w:val="auto"/>
                <w:sz w:val="18"/>
                <w:szCs w:val="18"/>
                <w:highlight w:val="none"/>
              </w:rPr>
            </w:pPr>
          </w:p>
        </w:tc>
        <w:tc>
          <w:tcPr>
            <w:tcW w:w="3300" w:type="pct"/>
            <w:vAlign w:val="center"/>
          </w:tcPr>
          <w:p w14:paraId="3034E1E4">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6、电气安装要求</w:t>
            </w:r>
          </w:p>
          <w:p w14:paraId="42C1DDD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（1）光伏电站必须在逆变器输出汇总点设置易于操作、可闭锁、且具有明显断开点的并网总断路器，以保证电力设备检修维护人员的人身安全。</w:t>
            </w:r>
          </w:p>
          <w:p w14:paraId="1906553D">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（2）光伏电站和并网点设备的防雷和接地应符合当地供电部门规定要求，光伏电站接地网接地电阻合格，接地电阻应按规定周期进行测试。</w:t>
            </w:r>
          </w:p>
          <w:p w14:paraId="228DA81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光伏电站或电网异常、故障时为保护设备和人身安全，应具有相应继电保护功能，保护电网和光伏设备的安全运行，确保维护人员和公众人身安全。光伏电站的保护应符合当地供电部门规定的可靠性、选择性、灵活性和速动性的要求。</w:t>
            </w:r>
          </w:p>
          <w:p w14:paraId="50E96EAD">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（4）光伏电站的过流与短路保护、防孤岛能力、逆变器保护、恢复并网等应满足当地供电部门规定的要求。</w:t>
            </w:r>
          </w:p>
          <w:p w14:paraId="398ACE6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（5）光伏电站的二次用直流系统的设计配置及蓄电池的放电容量应符合相关规程的技术要求。</w:t>
            </w:r>
          </w:p>
          <w:p w14:paraId="66A04DD5">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（6）光伏电站的电能质量满足规程要求，电压谐波和波形畸变、电压偏差、电压波动和闪变、电压不平衡度、直流分量在规定的范围内，保证功率因素在0.98以上。</w:t>
            </w:r>
          </w:p>
          <w:p w14:paraId="3CF0E4E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（7）光伏电站的安全自动装置应按国家规定配置齐全。</w:t>
            </w:r>
          </w:p>
          <w:p w14:paraId="75D5D19F">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（8）直流部分和交流低压部分的总线路损耗应控制在2%以内。</w:t>
            </w:r>
          </w:p>
          <w:p w14:paraId="65F737D5">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（9）配线线槽在建筑物上的布置应美观，与整个建筑协调一致，布线应隐蔽，从底部不能明显的看到线缆。各方阵的线缆便于连接，并有足够的强度，线缆连接附件应防水、抗老化。</w:t>
            </w:r>
          </w:p>
          <w:p w14:paraId="511DDBA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（10）直流侧电缆要以减少线损并防止外界干扰的原则选型，选用双绝缘防紫外线阻燃铜芯电缆，电缆性能符合《橡胶和塑料软管 实验室光源暴露试验法 颜色、外观和其他物理性能变化的测定》（GB/T18950-2023）性能测试的要求；交流侧需要考虑敷设的形式和安全来选择，应采用铜芯阻燃5芯电缆，若涉及埋管电缆须采用铠装。</w:t>
            </w:r>
          </w:p>
          <w:p w14:paraId="4BFC09A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（11）电缆要采用铜芯电缆，其中直流电缆采用中国质量中心认证的光伏专用电缆，能满足室外30年的使用年限。光伏线缆 MC4 插头制作应严格按规范进行，各类线缆不能裸露。</w:t>
            </w:r>
          </w:p>
          <w:p w14:paraId="6DE8C18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（12）所有线缆敷设完成后，应进行直流电阻、绝缘电阻、直流耐压/交流耐压试验，并形成记录。</w:t>
            </w:r>
          </w:p>
        </w:tc>
        <w:tc>
          <w:tcPr>
            <w:tcW w:w="322" w:type="pct"/>
            <w:vAlign w:val="center"/>
          </w:tcPr>
          <w:p w14:paraId="21C00EFF">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243E99BC">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3CB37177">
            <w:pPr>
              <w:keepNext/>
              <w:keepLines/>
              <w:spacing w:line="360" w:lineRule="auto"/>
              <w:jc w:val="center"/>
              <w:rPr>
                <w:rFonts w:ascii="宋体" w:hAnsi="宋体" w:eastAsia="宋体" w:cs="宋体"/>
                <w:color w:val="auto"/>
                <w:kern w:val="0"/>
                <w:sz w:val="18"/>
                <w:szCs w:val="18"/>
                <w:highlight w:val="none"/>
              </w:rPr>
            </w:pPr>
          </w:p>
        </w:tc>
      </w:tr>
      <w:tr w14:paraId="69D4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continue"/>
            <w:vAlign w:val="center"/>
          </w:tcPr>
          <w:p w14:paraId="76C0B929">
            <w:pPr>
              <w:spacing w:line="360" w:lineRule="auto"/>
              <w:jc w:val="center"/>
              <w:rPr>
                <w:rFonts w:ascii="宋体" w:hAnsi="宋体" w:eastAsia="宋体" w:cs="宋体"/>
                <w:color w:val="auto"/>
                <w:kern w:val="0"/>
                <w:sz w:val="18"/>
                <w:szCs w:val="18"/>
                <w:highlight w:val="none"/>
              </w:rPr>
            </w:pPr>
          </w:p>
        </w:tc>
        <w:tc>
          <w:tcPr>
            <w:tcW w:w="412" w:type="pct"/>
            <w:vMerge w:val="continue"/>
            <w:vAlign w:val="center"/>
          </w:tcPr>
          <w:p w14:paraId="1E2EA606">
            <w:pPr>
              <w:spacing w:line="360" w:lineRule="auto"/>
              <w:jc w:val="center"/>
              <w:rPr>
                <w:rFonts w:ascii="宋体" w:hAnsi="宋体" w:eastAsia="宋体" w:cs="宋体"/>
                <w:color w:val="auto"/>
                <w:sz w:val="18"/>
                <w:szCs w:val="18"/>
                <w:highlight w:val="none"/>
              </w:rPr>
            </w:pPr>
          </w:p>
        </w:tc>
        <w:tc>
          <w:tcPr>
            <w:tcW w:w="3300" w:type="pct"/>
            <w:vAlign w:val="center"/>
          </w:tcPr>
          <w:p w14:paraId="467F331A">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7、防雷系统技术要求</w:t>
            </w:r>
          </w:p>
          <w:p w14:paraId="11CC32C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（1）光伏系统的防雷设计，应满足雷电防护分区、分级确定的防雷等级要求。各连接点的连接 电阻应小于4Ω。接地网的制作应符合国家相关规范要求。屋顶必须有等电位接地地网作为接地连接。防雷接地设施符合国家《建筑物防雷设计规范》（GB50057-2010）。</w:t>
            </w:r>
          </w:p>
          <w:p w14:paraId="77E87F9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（2）提供的并网逆变器安全可靠，能确保25年内有效防止光伏组件PID现象的发生。</w:t>
            </w:r>
          </w:p>
          <w:p w14:paraId="71AF3B1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（3）带边框的光伏太阳能组件防雷接地要牢靠，并网逆变器将外壳可靠接地，避雷针、避雷扁钢、接地线及接地级要符合规范要求。</w:t>
            </w:r>
          </w:p>
          <w:p w14:paraId="0743653D">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（4）组件与组件之间、组件与导轨之间需用接地线连接，线槽需做好等电位连接与接地。</w:t>
            </w:r>
          </w:p>
          <w:p w14:paraId="028DC88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光伏组件作为建筑一部分，本身要具备很好的防雷措施，能够与建筑物的防雷带有很明显的防雷连接点。在并网逆变器、交流汇流箱，光伏并网柜都应该有分级别的防雷防浪涌保护模块，保护相关的电气设备和线路。</w:t>
            </w:r>
          </w:p>
          <w:p w14:paraId="037D358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（5）防雷系统完成后由中标人委托具备防雷检测CMA、CNAS资质认证的第三方检测单位进行防雷检测工作，出具加盖CMA或CNAS章的检测报告。</w:t>
            </w:r>
          </w:p>
        </w:tc>
        <w:tc>
          <w:tcPr>
            <w:tcW w:w="322" w:type="pct"/>
            <w:vAlign w:val="center"/>
          </w:tcPr>
          <w:p w14:paraId="69E74FB2">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60CE2107">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61F713D9">
            <w:pPr>
              <w:keepNext/>
              <w:keepLines/>
              <w:spacing w:line="360" w:lineRule="auto"/>
              <w:jc w:val="center"/>
              <w:rPr>
                <w:rFonts w:ascii="宋体" w:hAnsi="宋体" w:eastAsia="宋体" w:cs="宋体"/>
                <w:color w:val="auto"/>
                <w:kern w:val="0"/>
                <w:sz w:val="18"/>
                <w:szCs w:val="18"/>
                <w:highlight w:val="none"/>
              </w:rPr>
            </w:pPr>
          </w:p>
        </w:tc>
      </w:tr>
      <w:tr w14:paraId="1D54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Merge w:val="continue"/>
            <w:vAlign w:val="center"/>
          </w:tcPr>
          <w:p w14:paraId="11EAA329">
            <w:pPr>
              <w:spacing w:line="360" w:lineRule="auto"/>
              <w:jc w:val="center"/>
              <w:rPr>
                <w:rFonts w:ascii="宋体" w:hAnsi="宋体" w:eastAsia="宋体" w:cs="宋体"/>
                <w:color w:val="auto"/>
                <w:kern w:val="0"/>
                <w:sz w:val="18"/>
                <w:szCs w:val="18"/>
                <w:highlight w:val="none"/>
              </w:rPr>
            </w:pPr>
          </w:p>
        </w:tc>
        <w:tc>
          <w:tcPr>
            <w:tcW w:w="412" w:type="pct"/>
            <w:vMerge w:val="continue"/>
            <w:vAlign w:val="center"/>
          </w:tcPr>
          <w:p w14:paraId="59526B53">
            <w:pPr>
              <w:spacing w:line="360" w:lineRule="auto"/>
              <w:jc w:val="center"/>
              <w:rPr>
                <w:rFonts w:ascii="宋体" w:hAnsi="宋体" w:eastAsia="宋体" w:cs="宋体"/>
                <w:color w:val="auto"/>
                <w:sz w:val="18"/>
                <w:szCs w:val="18"/>
                <w:highlight w:val="none"/>
              </w:rPr>
            </w:pPr>
          </w:p>
        </w:tc>
        <w:tc>
          <w:tcPr>
            <w:tcW w:w="3300" w:type="pct"/>
            <w:vAlign w:val="center"/>
          </w:tcPr>
          <w:p w14:paraId="51B92442">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8、视频监控系统技术要求</w:t>
            </w:r>
          </w:p>
          <w:p w14:paraId="4F60F18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（1）本项目中系统监控管理由投标人提供，投标人负责安装调试及配合招标人后期维护。</w:t>
            </w:r>
          </w:p>
          <w:p w14:paraId="2EE50835">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（2）视频监控采用高清光口网络摄像机加光口高速摄像机的模式，招标人能通过投标人提供的网络地址或软件对光伏电站进行实时远程监控，图像分辨率达到</w:t>
            </w:r>
            <w:r>
              <w:rPr>
                <w:rFonts w:hint="eastAsia" w:ascii="宋体" w:hAnsi="宋体" w:eastAsia="宋体" w:cs="宋体"/>
                <w:bCs/>
                <w:color w:val="auto"/>
                <w:sz w:val="18"/>
                <w:szCs w:val="18"/>
                <w:highlight w:val="none"/>
                <w:lang w:val="en-US" w:eastAsia="zh-CN"/>
              </w:rPr>
              <w:t>2560×1440</w:t>
            </w:r>
            <w:r>
              <w:rPr>
                <w:rFonts w:hint="eastAsia" w:ascii="宋体" w:hAnsi="宋体" w:eastAsia="宋体" w:cs="宋体"/>
                <w:bCs/>
                <w:color w:val="auto"/>
                <w:sz w:val="18"/>
                <w:szCs w:val="18"/>
                <w:highlight w:val="none"/>
              </w:rPr>
              <w:t>以上，镜头变倍≥20 倍光学变焦，能够分辨出设备的外观及运行状态、识别出人员车辆等，防护等级要求达到IP67，TVS 8000V防雷、防浪涌、防突波，具有红外夜视功能，夜视距离≥150 米，使用先进的压缩编码技术，视频图像直接在前端进行压缩，通过网络传输回电站监控室，避免外界电磁场对图像的影响。</w:t>
            </w:r>
          </w:p>
          <w:p w14:paraId="05776FC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视频监控系统既支持光伏电站全景展示又能进行细节展示，对于重要设备还具有从多个摄像机进行多角度监视的功能，同时实时图像自动复位，即可对发电阵列内可旋转的摄像机设定默认监视位置，正常状态下摄像机保持默认位置；在控制完成后自动恢复到默认监视位置。</w:t>
            </w:r>
          </w:p>
          <w:p w14:paraId="14FA5CF5">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项目通电并网后投标人必须负责为招标人技术员注册APP视频监控软件，软件长期有效且可免费升级，并将光伏电站现场实时监测数据联通传送至招标人指定的数据控制中心PC端，实现集中监控，具体要求如下：</w:t>
            </w:r>
          </w:p>
          <w:tbl>
            <w:tblPr>
              <w:tblStyle w:val="2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6"/>
              <w:gridCol w:w="1518"/>
              <w:gridCol w:w="3458"/>
            </w:tblGrid>
            <w:tr w14:paraId="2C71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868" w:type="pct"/>
                  <w:tcMar>
                    <w:top w:w="57" w:type="dxa"/>
                    <w:left w:w="57" w:type="dxa"/>
                    <w:bottom w:w="57" w:type="dxa"/>
                    <w:right w:w="57" w:type="dxa"/>
                  </w:tcMar>
                  <w:vAlign w:val="center"/>
                </w:tcPr>
                <w:p w14:paraId="2A717E19">
                  <w:pPr>
                    <w:autoSpaceDE/>
                    <w:autoSpaceDN/>
                    <w:jc w:val="center"/>
                    <w:rPr>
                      <w:rFonts w:ascii="宋体" w:hAnsi="宋体" w:eastAsia="宋体" w:cs="宋体"/>
                      <w:b/>
                      <w:bCs/>
                      <w:color w:val="auto"/>
                      <w:sz w:val="18"/>
                      <w:szCs w:val="18"/>
                      <w:highlight w:val="none"/>
                      <w:lang w:eastAsia="en-US"/>
                    </w:rPr>
                  </w:pPr>
                  <w:r>
                    <w:rPr>
                      <w:rFonts w:hint="eastAsia" w:ascii="宋体" w:hAnsi="宋体" w:eastAsia="宋体" w:cs="宋体"/>
                      <w:b/>
                      <w:bCs/>
                      <w:color w:val="auto"/>
                      <w:spacing w:val="-5"/>
                      <w:sz w:val="18"/>
                      <w:szCs w:val="18"/>
                      <w:highlight w:val="none"/>
                      <w:lang w:eastAsia="en-US"/>
                    </w:rPr>
                    <w:t>区</w:t>
                  </w:r>
                  <w:r>
                    <w:rPr>
                      <w:rFonts w:hint="eastAsia" w:ascii="宋体" w:hAnsi="宋体" w:eastAsia="宋体" w:cs="宋体"/>
                      <w:b/>
                      <w:bCs/>
                      <w:color w:val="auto"/>
                      <w:spacing w:val="-3"/>
                      <w:sz w:val="18"/>
                      <w:szCs w:val="18"/>
                      <w:highlight w:val="none"/>
                      <w:lang w:eastAsia="en-US"/>
                    </w:rPr>
                    <w:t>域</w:t>
                  </w:r>
                </w:p>
              </w:tc>
              <w:tc>
                <w:tcPr>
                  <w:tcW w:w="1260" w:type="pct"/>
                  <w:tcMar>
                    <w:top w:w="57" w:type="dxa"/>
                    <w:left w:w="57" w:type="dxa"/>
                    <w:bottom w:w="57" w:type="dxa"/>
                    <w:right w:w="57" w:type="dxa"/>
                  </w:tcMar>
                  <w:vAlign w:val="center"/>
                </w:tcPr>
                <w:p w14:paraId="5E4967EB">
                  <w:pPr>
                    <w:autoSpaceDE/>
                    <w:autoSpaceDN/>
                    <w:jc w:val="center"/>
                    <w:rPr>
                      <w:rFonts w:ascii="宋体" w:hAnsi="宋体" w:eastAsia="宋体" w:cs="宋体"/>
                      <w:b/>
                      <w:bCs/>
                      <w:color w:val="auto"/>
                      <w:sz w:val="18"/>
                      <w:szCs w:val="18"/>
                      <w:highlight w:val="none"/>
                      <w:lang w:eastAsia="en-US"/>
                    </w:rPr>
                  </w:pPr>
                  <w:r>
                    <w:rPr>
                      <w:rFonts w:hint="eastAsia" w:ascii="宋体" w:hAnsi="宋体" w:eastAsia="宋体" w:cs="宋体"/>
                      <w:b/>
                      <w:bCs/>
                      <w:color w:val="auto"/>
                      <w:spacing w:val="8"/>
                      <w:sz w:val="18"/>
                      <w:szCs w:val="18"/>
                      <w:highlight w:val="none"/>
                      <w:lang w:eastAsia="en-US"/>
                    </w:rPr>
                    <w:t>摄像头数量</w:t>
                  </w:r>
                </w:p>
              </w:tc>
              <w:tc>
                <w:tcPr>
                  <w:tcW w:w="2871" w:type="pct"/>
                  <w:tcMar>
                    <w:top w:w="57" w:type="dxa"/>
                    <w:left w:w="57" w:type="dxa"/>
                    <w:bottom w:w="57" w:type="dxa"/>
                    <w:right w:w="57" w:type="dxa"/>
                  </w:tcMar>
                  <w:vAlign w:val="center"/>
                </w:tcPr>
                <w:p w14:paraId="62217068">
                  <w:pPr>
                    <w:autoSpaceDE/>
                    <w:autoSpaceDN/>
                    <w:jc w:val="center"/>
                    <w:rPr>
                      <w:rFonts w:ascii="宋体" w:hAnsi="宋体" w:eastAsia="宋体" w:cs="宋体"/>
                      <w:b/>
                      <w:bCs/>
                      <w:color w:val="auto"/>
                      <w:sz w:val="18"/>
                      <w:szCs w:val="18"/>
                      <w:highlight w:val="none"/>
                      <w:lang w:eastAsia="en-US"/>
                    </w:rPr>
                  </w:pPr>
                  <w:r>
                    <w:rPr>
                      <w:rFonts w:hint="eastAsia" w:ascii="宋体" w:hAnsi="宋体" w:eastAsia="宋体" w:cs="宋体"/>
                      <w:b/>
                      <w:bCs/>
                      <w:color w:val="auto"/>
                      <w:spacing w:val="4"/>
                      <w:sz w:val="18"/>
                      <w:szCs w:val="18"/>
                      <w:highlight w:val="none"/>
                      <w:lang w:eastAsia="en-US"/>
                    </w:rPr>
                    <w:t>技术</w:t>
                  </w:r>
                </w:p>
              </w:tc>
            </w:tr>
            <w:tr w14:paraId="63D3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7" w:hRule="atLeast"/>
                <w:jc w:val="center"/>
              </w:trPr>
              <w:tc>
                <w:tcPr>
                  <w:tcW w:w="868" w:type="pct"/>
                  <w:tcMar>
                    <w:top w:w="57" w:type="dxa"/>
                    <w:left w:w="57" w:type="dxa"/>
                    <w:bottom w:w="57" w:type="dxa"/>
                    <w:right w:w="57" w:type="dxa"/>
                  </w:tcMar>
                  <w:vAlign w:val="center"/>
                </w:tcPr>
                <w:p w14:paraId="1F5F1151">
                  <w:pPr>
                    <w:autoSpaceDE/>
                    <w:autoSpaceDN/>
                    <w:jc w:val="center"/>
                    <w:rPr>
                      <w:rFonts w:ascii="宋体" w:hAnsi="宋体" w:eastAsia="宋体" w:cs="宋体"/>
                      <w:color w:val="auto"/>
                      <w:sz w:val="18"/>
                      <w:szCs w:val="18"/>
                      <w:highlight w:val="none"/>
                      <w:lang w:eastAsia="en-US"/>
                    </w:rPr>
                  </w:pPr>
                  <w:r>
                    <w:rPr>
                      <w:rFonts w:hint="eastAsia" w:ascii="宋体" w:hAnsi="宋体" w:eastAsia="宋体" w:cs="宋体"/>
                      <w:color w:val="auto"/>
                      <w:spacing w:val="4"/>
                      <w:sz w:val="18"/>
                      <w:szCs w:val="18"/>
                      <w:highlight w:val="none"/>
                      <w:lang w:eastAsia="en-US"/>
                    </w:rPr>
                    <w:t>光伏组件</w:t>
                  </w:r>
                </w:p>
              </w:tc>
              <w:tc>
                <w:tcPr>
                  <w:tcW w:w="1260" w:type="pct"/>
                  <w:vMerge w:val="restart"/>
                  <w:tcMar>
                    <w:top w:w="57" w:type="dxa"/>
                    <w:left w:w="57" w:type="dxa"/>
                    <w:bottom w:w="57" w:type="dxa"/>
                    <w:right w:w="57" w:type="dxa"/>
                  </w:tcMar>
                  <w:vAlign w:val="center"/>
                </w:tcPr>
                <w:p w14:paraId="340663D3">
                  <w:pPr>
                    <w:autoSpaceDE/>
                    <w:autoSpaceDN/>
                    <w:spacing w:line="360" w:lineRule="auto"/>
                    <w:jc w:val="left"/>
                    <w:rPr>
                      <w:rFonts w:ascii="宋体" w:hAnsi="宋体" w:eastAsia="宋体" w:cs="宋体"/>
                      <w:color w:val="auto"/>
                      <w:sz w:val="18"/>
                      <w:szCs w:val="18"/>
                      <w:highlight w:val="none"/>
                      <w:lang w:eastAsia="zh-CN"/>
                    </w:rPr>
                  </w:pPr>
                  <w:r>
                    <w:rPr>
                      <w:rFonts w:hint="eastAsia" w:ascii="宋体" w:hAnsi="宋体" w:eastAsia="宋体" w:cs="宋体"/>
                      <w:color w:val="auto"/>
                      <w:spacing w:val="-4"/>
                      <w:sz w:val="18"/>
                      <w:szCs w:val="18"/>
                      <w:highlight w:val="none"/>
                      <w:lang w:eastAsia="zh-CN"/>
                    </w:rPr>
                    <w:t>1.</w:t>
                  </w:r>
                  <w:r>
                    <w:rPr>
                      <w:rFonts w:hint="eastAsia" w:ascii="宋体" w:hAnsi="宋体" w:eastAsia="宋体" w:cs="宋体"/>
                      <w:color w:val="auto"/>
                      <w:sz w:val="18"/>
                      <w:szCs w:val="18"/>
                      <w:highlight w:val="none"/>
                      <w:lang w:eastAsia="zh-CN"/>
                    </w:rPr>
                    <w:t>根据现场及招标人意见调整；</w:t>
                  </w:r>
                </w:p>
                <w:p w14:paraId="2CA04732">
                  <w:pPr>
                    <w:autoSpaceDE/>
                    <w:autoSpaceDN/>
                    <w:spacing w:line="360" w:lineRule="auto"/>
                    <w:jc w:val="left"/>
                    <w:rPr>
                      <w:rFonts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2.视频监控画面必须覆盖所有光伏组件、逆变器区域，不得存在盲区。</w:t>
                  </w:r>
                </w:p>
              </w:tc>
              <w:tc>
                <w:tcPr>
                  <w:tcW w:w="2871" w:type="pct"/>
                  <w:vMerge w:val="restart"/>
                  <w:tcMar>
                    <w:top w:w="57" w:type="dxa"/>
                    <w:left w:w="57" w:type="dxa"/>
                    <w:bottom w:w="57" w:type="dxa"/>
                    <w:right w:w="57" w:type="dxa"/>
                  </w:tcMar>
                  <w:vAlign w:val="center"/>
                </w:tcPr>
                <w:p w14:paraId="624C95C3">
                  <w:pPr>
                    <w:autoSpaceDE/>
                    <w:autoSpaceDN/>
                    <w:spacing w:line="360" w:lineRule="auto"/>
                    <w:rPr>
                      <w:rFonts w:hint="default" w:ascii="宋体" w:hAnsi="宋体" w:eastAsia="宋体" w:cs="宋体"/>
                      <w:color w:val="auto"/>
                      <w:spacing w:val="-4"/>
                      <w:sz w:val="18"/>
                      <w:szCs w:val="18"/>
                      <w:highlight w:val="none"/>
                      <w:lang w:val="en-US" w:eastAsia="zh-CN"/>
                    </w:rPr>
                  </w:pPr>
                  <w:r>
                    <w:rPr>
                      <w:rFonts w:hint="eastAsia" w:ascii="宋体" w:hAnsi="宋体" w:eastAsia="宋体" w:cs="宋体"/>
                      <w:color w:val="auto"/>
                      <w:spacing w:val="-4"/>
                      <w:sz w:val="18"/>
                      <w:szCs w:val="18"/>
                      <w:highlight w:val="none"/>
                      <w:lang w:eastAsia="zh-CN"/>
                    </w:rPr>
                    <w:t>1.</w:t>
                  </w:r>
                  <w:r>
                    <w:rPr>
                      <w:rFonts w:hint="eastAsia" w:ascii="宋体" w:hAnsi="宋体" w:eastAsia="宋体" w:cs="宋体"/>
                      <w:color w:val="auto"/>
                      <w:spacing w:val="-4"/>
                      <w:sz w:val="18"/>
                      <w:szCs w:val="18"/>
                      <w:highlight w:val="none"/>
                      <w:lang w:eastAsia="en-US"/>
                    </w:rPr>
                    <w:t>支持使用4G/5G卡，</w:t>
                  </w:r>
                  <w:r>
                    <w:rPr>
                      <w:rFonts w:hint="eastAsia" w:ascii="宋体" w:hAnsi="宋体" w:eastAsia="宋体" w:cs="宋体"/>
                      <w:color w:val="auto"/>
                      <w:spacing w:val="-4"/>
                      <w:sz w:val="18"/>
                      <w:szCs w:val="18"/>
                      <w:highlight w:val="none"/>
                      <w:lang w:val="en-US" w:eastAsia="en-US"/>
                    </w:rPr>
                    <w:t>含</w:t>
                  </w:r>
                  <w:r>
                    <w:rPr>
                      <w:rFonts w:hint="eastAsia" w:ascii="宋体" w:hAnsi="宋体" w:eastAsia="宋体" w:cs="宋体"/>
                      <w:color w:val="auto"/>
                      <w:spacing w:val="-4"/>
                      <w:sz w:val="18"/>
                      <w:szCs w:val="18"/>
                      <w:highlight w:val="none"/>
                      <w:lang w:eastAsia="en-US"/>
                    </w:rPr>
                    <w:t>1年流量包，</w:t>
                  </w:r>
                  <w:r>
                    <w:rPr>
                      <w:rFonts w:hint="eastAsia" w:ascii="宋体" w:hAnsi="宋体" w:eastAsia="宋体" w:cs="宋体"/>
                      <w:color w:val="auto"/>
                      <w:spacing w:val="-4"/>
                      <w:sz w:val="18"/>
                      <w:szCs w:val="18"/>
                      <w:highlight w:val="none"/>
                      <w:lang w:val="en-US" w:eastAsia="en-US"/>
                    </w:rPr>
                    <w:t>设备具备插卡功能</w:t>
                  </w:r>
                  <w:r>
                    <w:rPr>
                      <w:rFonts w:hint="eastAsia" w:ascii="宋体" w:hAnsi="宋体" w:eastAsia="宋体" w:cs="宋体"/>
                      <w:color w:val="auto"/>
                      <w:spacing w:val="-4"/>
                      <w:sz w:val="18"/>
                      <w:szCs w:val="18"/>
                      <w:highlight w:val="none"/>
                      <w:lang w:val="en-US" w:eastAsia="zh-CN"/>
                    </w:rPr>
                    <w:t>;</w:t>
                  </w:r>
                </w:p>
                <w:p w14:paraId="0A13DA7D">
                  <w:pPr>
                    <w:autoSpaceDE/>
                    <w:autoSpaceDN/>
                    <w:spacing w:line="360" w:lineRule="auto"/>
                    <w:rPr>
                      <w:rFonts w:ascii="宋体" w:hAnsi="宋体" w:eastAsia="宋体" w:cs="宋体"/>
                      <w:color w:val="auto"/>
                      <w:spacing w:val="-4"/>
                      <w:sz w:val="18"/>
                      <w:szCs w:val="18"/>
                      <w:highlight w:val="none"/>
                      <w:lang w:eastAsia="zh-CN"/>
                    </w:rPr>
                  </w:pPr>
                  <w:r>
                    <w:rPr>
                      <w:rFonts w:hint="eastAsia" w:ascii="宋体" w:hAnsi="宋体" w:eastAsia="宋体" w:cs="宋体"/>
                      <w:color w:val="auto"/>
                      <w:spacing w:val="-4"/>
                      <w:sz w:val="18"/>
                      <w:szCs w:val="18"/>
                      <w:highlight w:val="none"/>
                      <w:lang w:eastAsia="zh-CN"/>
                    </w:rPr>
                    <w:t>2.支持手机远程监控，TF卡容量不小于256G，所有监控数据要保留1个月以上；</w:t>
                  </w:r>
                </w:p>
                <w:p w14:paraId="55798377">
                  <w:pPr>
                    <w:autoSpaceDE/>
                    <w:autoSpaceDN/>
                    <w:spacing w:line="360" w:lineRule="auto"/>
                    <w:rPr>
                      <w:rFonts w:ascii="宋体" w:hAnsi="宋体" w:eastAsia="宋体" w:cs="宋体"/>
                      <w:color w:val="auto"/>
                      <w:spacing w:val="-4"/>
                      <w:sz w:val="18"/>
                      <w:szCs w:val="18"/>
                      <w:highlight w:val="none"/>
                      <w:lang w:eastAsia="zh-CN"/>
                    </w:rPr>
                  </w:pPr>
                  <w:r>
                    <w:rPr>
                      <w:rFonts w:hint="eastAsia" w:ascii="宋体" w:hAnsi="宋体" w:eastAsia="宋体" w:cs="宋体"/>
                      <w:color w:val="auto"/>
                      <w:spacing w:val="-4"/>
                      <w:sz w:val="18"/>
                      <w:szCs w:val="18"/>
                      <w:highlight w:val="none"/>
                      <w:lang w:eastAsia="zh-CN"/>
                    </w:rPr>
                    <w:t>3.视频摄像头为高清、具有夜视功能，支持移动侦测报警；</w:t>
                  </w:r>
                </w:p>
                <w:p w14:paraId="5682502E">
                  <w:pPr>
                    <w:autoSpaceDE/>
                    <w:autoSpaceDN/>
                    <w:spacing w:line="360" w:lineRule="auto"/>
                    <w:rPr>
                      <w:rFonts w:ascii="宋体" w:hAnsi="宋体" w:eastAsia="宋体" w:cs="宋体"/>
                      <w:color w:val="auto"/>
                      <w:spacing w:val="-4"/>
                      <w:sz w:val="18"/>
                      <w:szCs w:val="18"/>
                      <w:highlight w:val="none"/>
                      <w:lang w:eastAsia="zh-CN"/>
                    </w:rPr>
                  </w:pPr>
                  <w:r>
                    <w:rPr>
                      <w:rFonts w:hint="eastAsia" w:ascii="宋体" w:hAnsi="宋体" w:eastAsia="宋体" w:cs="宋体"/>
                      <w:color w:val="auto"/>
                      <w:spacing w:val="-4"/>
                      <w:sz w:val="18"/>
                      <w:szCs w:val="18"/>
                      <w:highlight w:val="none"/>
                      <w:lang w:eastAsia="zh-CN"/>
                    </w:rPr>
                    <w:t>4.视频监控电源需引自市电，若配置室外立杆需可靠接地并不造成光伏组件阴影遮挡；</w:t>
                  </w:r>
                </w:p>
                <w:p w14:paraId="2BB07FBD">
                  <w:pPr>
                    <w:autoSpaceDE/>
                    <w:autoSpaceDN/>
                    <w:spacing w:line="360" w:lineRule="auto"/>
                    <w:rPr>
                      <w:rFonts w:ascii="宋体" w:hAnsi="宋体" w:eastAsia="宋体" w:cs="宋体"/>
                      <w:color w:val="auto"/>
                      <w:spacing w:val="-4"/>
                      <w:sz w:val="18"/>
                      <w:szCs w:val="18"/>
                      <w:highlight w:val="none"/>
                      <w:lang w:eastAsia="zh-CN"/>
                    </w:rPr>
                  </w:pPr>
                  <w:r>
                    <w:rPr>
                      <w:rFonts w:hint="eastAsia" w:ascii="宋体" w:hAnsi="宋体" w:eastAsia="宋体" w:cs="宋体"/>
                      <w:color w:val="auto"/>
                      <w:spacing w:val="-4"/>
                      <w:sz w:val="18"/>
                      <w:szCs w:val="18"/>
                      <w:highlight w:val="none"/>
                      <w:lang w:eastAsia="zh-CN"/>
                    </w:rPr>
                    <w:t>5.所有摄像头均可360°自由转动巡检；</w:t>
                  </w:r>
                </w:p>
                <w:p w14:paraId="1394DBDB">
                  <w:pPr>
                    <w:autoSpaceDE/>
                    <w:autoSpaceDN/>
                    <w:spacing w:line="360" w:lineRule="auto"/>
                    <w:rPr>
                      <w:rFonts w:ascii="宋体" w:hAnsi="宋体" w:eastAsia="宋体" w:cs="宋体"/>
                      <w:color w:val="auto"/>
                      <w:sz w:val="18"/>
                      <w:szCs w:val="18"/>
                      <w:highlight w:val="none"/>
                      <w:lang w:eastAsia="zh-CN"/>
                    </w:rPr>
                  </w:pPr>
                  <w:r>
                    <w:rPr>
                      <w:rFonts w:hint="eastAsia" w:ascii="宋体" w:hAnsi="宋体" w:eastAsia="宋体" w:cs="宋体"/>
                      <w:color w:val="auto"/>
                      <w:spacing w:val="-4"/>
                      <w:sz w:val="18"/>
                      <w:szCs w:val="18"/>
                      <w:highlight w:val="none"/>
                      <w:lang w:eastAsia="zh-CN"/>
                    </w:rPr>
                    <w:t>6.提供标准/开放的协议和接口，由招标人实现集成整合应用。</w:t>
                  </w:r>
                </w:p>
              </w:tc>
            </w:tr>
            <w:tr w14:paraId="2067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atLeast"/>
                <w:jc w:val="center"/>
              </w:trPr>
              <w:tc>
                <w:tcPr>
                  <w:tcW w:w="868" w:type="pct"/>
                  <w:tcMar>
                    <w:top w:w="57" w:type="dxa"/>
                    <w:left w:w="57" w:type="dxa"/>
                    <w:bottom w:w="57" w:type="dxa"/>
                    <w:right w:w="57" w:type="dxa"/>
                  </w:tcMar>
                  <w:vAlign w:val="center"/>
                </w:tcPr>
                <w:p w14:paraId="109B3C1E">
                  <w:pPr>
                    <w:autoSpaceDE/>
                    <w:autoSpaceDN/>
                    <w:jc w:val="center"/>
                    <w:rPr>
                      <w:rFonts w:ascii="宋体" w:hAnsi="宋体" w:eastAsia="宋体" w:cs="宋体"/>
                      <w:color w:val="auto"/>
                      <w:sz w:val="18"/>
                      <w:szCs w:val="18"/>
                      <w:highlight w:val="none"/>
                      <w:lang w:eastAsia="zh-CN"/>
                    </w:rPr>
                  </w:pPr>
                  <w:r>
                    <w:rPr>
                      <w:rFonts w:hint="eastAsia" w:ascii="宋体" w:hAnsi="宋体" w:eastAsia="宋体" w:cs="宋体"/>
                      <w:color w:val="auto"/>
                      <w:spacing w:val="7"/>
                      <w:sz w:val="18"/>
                      <w:szCs w:val="18"/>
                      <w:highlight w:val="none"/>
                      <w:lang w:eastAsia="zh-CN"/>
                    </w:rPr>
                    <w:t>并网逆变器</w:t>
                  </w:r>
                </w:p>
              </w:tc>
              <w:tc>
                <w:tcPr>
                  <w:tcW w:w="1260" w:type="pct"/>
                  <w:vMerge w:val="continue"/>
                  <w:tcMar>
                    <w:top w:w="57" w:type="dxa"/>
                    <w:left w:w="57" w:type="dxa"/>
                    <w:bottom w:w="57" w:type="dxa"/>
                    <w:right w:w="57" w:type="dxa"/>
                  </w:tcMar>
                  <w:vAlign w:val="center"/>
                </w:tcPr>
                <w:p w14:paraId="328BA7DF">
                  <w:pPr>
                    <w:autoSpaceDE/>
                    <w:autoSpaceDN/>
                    <w:jc w:val="center"/>
                    <w:rPr>
                      <w:rFonts w:ascii="宋体" w:hAnsi="宋体" w:eastAsia="宋体" w:cs="宋体"/>
                      <w:color w:val="auto"/>
                      <w:sz w:val="18"/>
                      <w:szCs w:val="18"/>
                      <w:highlight w:val="none"/>
                      <w:lang w:eastAsia="zh-CN"/>
                    </w:rPr>
                  </w:pPr>
                </w:p>
              </w:tc>
              <w:tc>
                <w:tcPr>
                  <w:tcW w:w="2871" w:type="pct"/>
                  <w:vMerge w:val="continue"/>
                  <w:tcMar>
                    <w:top w:w="57" w:type="dxa"/>
                    <w:left w:w="57" w:type="dxa"/>
                    <w:bottom w:w="57" w:type="dxa"/>
                    <w:right w:w="57" w:type="dxa"/>
                  </w:tcMar>
                  <w:vAlign w:val="center"/>
                </w:tcPr>
                <w:p w14:paraId="20A8FEB1">
                  <w:pPr>
                    <w:autoSpaceDE/>
                    <w:autoSpaceDN/>
                    <w:jc w:val="center"/>
                    <w:rPr>
                      <w:rFonts w:ascii="宋体" w:hAnsi="宋体" w:eastAsia="宋体" w:cs="宋体"/>
                      <w:color w:val="auto"/>
                      <w:sz w:val="18"/>
                      <w:szCs w:val="18"/>
                      <w:highlight w:val="none"/>
                      <w:lang w:eastAsia="zh-CN"/>
                    </w:rPr>
                  </w:pPr>
                </w:p>
              </w:tc>
            </w:tr>
          </w:tbl>
          <w:p w14:paraId="6B6BC884">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(5)中标人须在项目进场施工后7天内按以上要求完成所有区域视频监控的安装投运和移交，确保视频监控系统正常运行。</w:t>
            </w:r>
          </w:p>
        </w:tc>
        <w:tc>
          <w:tcPr>
            <w:tcW w:w="322" w:type="pct"/>
            <w:vAlign w:val="center"/>
          </w:tcPr>
          <w:p w14:paraId="4F0EB257">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2C2A6A11">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25C47111">
            <w:pPr>
              <w:keepNext/>
              <w:keepLines/>
              <w:spacing w:line="360" w:lineRule="auto"/>
              <w:jc w:val="center"/>
              <w:rPr>
                <w:rFonts w:ascii="宋体" w:hAnsi="宋体" w:eastAsia="宋体" w:cs="宋体"/>
                <w:color w:val="auto"/>
                <w:kern w:val="0"/>
                <w:sz w:val="18"/>
                <w:szCs w:val="18"/>
                <w:highlight w:val="none"/>
              </w:rPr>
            </w:pPr>
          </w:p>
        </w:tc>
      </w:tr>
      <w:tr w14:paraId="0E5A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082B70E2">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w:t>
            </w:r>
          </w:p>
        </w:tc>
        <w:tc>
          <w:tcPr>
            <w:tcW w:w="412" w:type="pct"/>
            <w:vAlign w:val="center"/>
          </w:tcPr>
          <w:p w14:paraId="6374724D">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六、质量及安全保障</w:t>
            </w:r>
          </w:p>
        </w:tc>
        <w:tc>
          <w:tcPr>
            <w:tcW w:w="3300" w:type="pct"/>
            <w:vAlign w:val="center"/>
          </w:tcPr>
          <w:p w14:paraId="1D89199C">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1、质量要求</w:t>
            </w:r>
          </w:p>
          <w:p w14:paraId="25EB5FB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（1）达到国家或光伏、电力行业质量检验评定的 合格 标准。</w:t>
            </w:r>
          </w:p>
          <w:p w14:paraId="658C06D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（2）建立健全质量保证体系，并保证其正常运作。</w:t>
            </w:r>
          </w:p>
          <w:p w14:paraId="47E29199">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（3）加强安装调试过程控制，设专人对安装质量进行跟踪检查。</w:t>
            </w:r>
          </w:p>
          <w:p w14:paraId="32A5586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（4）对项目质量的检查严格执行三检制（自检、互检、专检）。</w:t>
            </w:r>
          </w:p>
          <w:p w14:paraId="53446535">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2、安全保证措施</w:t>
            </w:r>
          </w:p>
          <w:p w14:paraId="0198F87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（1）建立安全生产体系，制定详细的安全保证措施，加强安全管理，保证安全生产无事故。</w:t>
            </w:r>
          </w:p>
          <w:p w14:paraId="7F6A3EF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（2）项目现场的布置符合防火、防爆、防雷电等安全规定及文明施工的要求。项目现场生活办公用房、仓库、材料堆放场按批准的总平面布置图进行布置。</w:t>
            </w:r>
          </w:p>
          <w:p w14:paraId="2020B76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（3）现场道路保持畅通，危险地点悬挂安全警示标牌，项目现场设置安全宣传标语。</w:t>
            </w:r>
          </w:p>
          <w:p w14:paraId="513B0355">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（4）各类房屋、库棚、料场等安全消防距离符合有关规定，现场易燃杂物随时清理，严禁在有火种的场所或其近旁堆放易燃物品。</w:t>
            </w:r>
          </w:p>
          <w:p w14:paraId="1BF757B6">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成品保护措施：脆弱屋面在实施前应采集承载数据，经结构荷载计算光伏荷载≤0.71KN/m2，符合承载要求才可进行安装；应采取避免集中受力的保证措施，如架设轻质木板或其他增大受力面积的保证措施，同时必须优先安装运维通道，避免屋面因集中受力变形破裂受损。如因保护措施不足，使原有屋面受损，投标人应承担维修责任及费用，情况严重的，招标人有权要求投标人按照招标人遭受的损失进行赔偿。</w:t>
            </w:r>
          </w:p>
          <w:p w14:paraId="7DD525B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（6）项目现场的临时用电严格按照《建筑与市政工程施工现场临时用电安全技术标准》JGJ/46-2024 的规定执行，严格按照三相五线制布设电线，做到二级保护，三级控制，一机一闸，同时需出专项方案。</w:t>
            </w:r>
          </w:p>
          <w:p w14:paraId="651877A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（7）项目现场的高处作业严格按照《建筑施工高处作业安全技术规范》JGJ80-2016的规定落实安全措施，正确佩戴五点式安全带（绳）、安全帽，同时需出专项方案。</w:t>
            </w:r>
          </w:p>
          <w:p w14:paraId="36C4130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（8）项目现场的吊装作业必须设置警戒区域，禁止人员跟随物体起吊，禁止人员站在吊物作业范围内下方，同时需出专项方案。</w:t>
            </w:r>
          </w:p>
          <w:p w14:paraId="36CCD11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（9）项目现场的动火作业点应落实消防安全措施，清理周边易燃、可燃物体，设置灭火毯、灭火器等设施，严禁在禁火区域进行动火，同时需出专项方案。</w:t>
            </w:r>
          </w:p>
          <w:p w14:paraId="2FB0CDC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10）项目现场设立安全警示牌。危险区域必须悬挂“临边区域，当心坠落”、“高空作业，当心坠落”、“小心踏空，以防坠落”、“以防坠落，请勿攀爬”、“吊装作业，请勿靠近”、“高压有电，请勿靠近”、“当心触电”、“注意安全 ”、“严禁烟火”、“禁止通行”或“高空作业，系好安全带”、“必须系安全带”、“必须戴安全帽”等警示标志。</w:t>
            </w:r>
          </w:p>
        </w:tc>
        <w:tc>
          <w:tcPr>
            <w:tcW w:w="322" w:type="pct"/>
            <w:vAlign w:val="center"/>
          </w:tcPr>
          <w:p w14:paraId="46DD0E17">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69868FC2">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66BCEBD3">
            <w:pPr>
              <w:keepNext/>
              <w:keepLines/>
              <w:spacing w:line="360" w:lineRule="auto"/>
              <w:jc w:val="center"/>
              <w:rPr>
                <w:rFonts w:ascii="宋体" w:hAnsi="宋体" w:eastAsia="宋体" w:cs="宋体"/>
                <w:color w:val="auto"/>
                <w:kern w:val="0"/>
                <w:sz w:val="18"/>
                <w:szCs w:val="18"/>
                <w:highlight w:val="none"/>
              </w:rPr>
            </w:pPr>
          </w:p>
        </w:tc>
      </w:tr>
      <w:tr w14:paraId="7850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712A2FA5">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7</w:t>
            </w:r>
          </w:p>
        </w:tc>
        <w:tc>
          <w:tcPr>
            <w:tcW w:w="412" w:type="pct"/>
            <w:vAlign w:val="center"/>
          </w:tcPr>
          <w:p w14:paraId="267E9FF1">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七、安全运维技术要求</w:t>
            </w:r>
          </w:p>
        </w:tc>
        <w:tc>
          <w:tcPr>
            <w:tcW w:w="3300" w:type="pct"/>
            <w:vAlign w:val="center"/>
          </w:tcPr>
          <w:p w14:paraId="10F9C156">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1、安全运维要求</w:t>
            </w:r>
          </w:p>
          <w:p w14:paraId="2DDA8C3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投标人应当在光伏系统并网成功后在招标人要求时间内，按投标文件及合同约定制定相应的运维制度，成立专门的管理团队，编制运维方案，确保光伏设施的安全运行；投标人在质保期内需配合招标人进行运维管理。</w:t>
            </w:r>
          </w:p>
          <w:p w14:paraId="05DEDE1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（2）质保期内投标人应确保光伏系统安全、稳定、可靠运行，定期派人检查、监管和记录项目的运行情况，并定期汇总给招标人安全运维部门。</w:t>
            </w:r>
          </w:p>
          <w:p w14:paraId="7B9F2D6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（3）投标人对光伏系统提供一年的运营维护服务，负责项目照管责任并承担全部运营维护所需费用。</w:t>
            </w:r>
          </w:p>
          <w:p w14:paraId="448CA7A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（4）投标人承诺对光伏系统提供质保期内维修保养服务，并承担维修保养费用。</w:t>
            </w:r>
          </w:p>
          <w:p w14:paraId="6C01C77A">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2、安全运维设施</w:t>
            </w:r>
          </w:p>
          <w:p w14:paraId="26FE995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（1）水清洗系统</w:t>
            </w:r>
          </w:p>
          <w:p w14:paraId="52C03E75">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①考虑到后期光伏组件清洗，每个屋面光伏系统需设计水清洗系统，要求在光伏组件排布屋面安装水管，并在出水口加装水龙头，在每个接水口需要配置相应的计量水表。</w:t>
            </w:r>
          </w:p>
          <w:p w14:paraId="1AD59EA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②水清洗系统冲洗端水压不足（压力小于0.2MPa时）需加装增压泵，出口压力可调节，最小出口压力保证每个终端同时开启时冲洗压力大于0.2MPa，泵入口设置可拆卸式滤网保证冲洗水不含杂质。</w:t>
            </w:r>
          </w:p>
          <w:p w14:paraId="4419AC0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③所有的冲洗水管采用PPR热熔管，清洗水管管网放在通道上，水管拖长不超过50米且不能放在光伏组件上，在棚架光伏组件面每25米设置一个水龙头，按只能走通道的原则来布置水龙头。</w:t>
            </w:r>
          </w:p>
          <w:p w14:paraId="2E83053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④水管、水龙头应安装整齐、牢固，外观无明显破损和质量问题。</w:t>
            </w:r>
          </w:p>
          <w:p w14:paraId="1BF58964">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⑤混凝土屋顶原排水系统不足以及时排水或建筑物业主方要求增加新的排水管时需设计安装引到地面的排水管。</w:t>
            </w:r>
          </w:p>
          <w:p w14:paraId="5846E62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（2）运维通道</w:t>
            </w:r>
          </w:p>
          <w:p w14:paraId="60B6DA3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各项目根据组件排布设置合理的运维通道，确保方便运维人员进行运维。运维通道应连成一体，并和水管、桥架等统一布置。</w:t>
            </w:r>
          </w:p>
          <w:p w14:paraId="177CD64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A.混凝土屋面光伏结构棚面中间设置花纹钢板运维通道，通道能直达到检修楼梯平台且不影响光伏系统件的正常运行。运维花纹钢板要求如下：</w:t>
            </w:r>
          </w:p>
          <w:p w14:paraId="169052ED">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①花纹钢板材质采用镀锌钢，花纹钢板的重量在15kg/m2以内，宽度不低于400mm；</w:t>
            </w:r>
          </w:p>
          <w:p w14:paraId="710BE2E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②花纹钢板能够满足并能覆盖整个屋面太阳能板区域运维过程中的清洗、检修等工作；</w:t>
            </w:r>
          </w:p>
          <w:p w14:paraId="730F0A06">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③花纹钢板与花纹钢板衔接处可靠固定，花纹钢板与光伏结构棚可靠连接；</w:t>
            </w:r>
          </w:p>
          <w:p w14:paraId="71C2768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④花纹钢板强度和质量，满足如下要求：确保花纹钢板不移位晃动，不下垂并满足踩踏强度要求，寿命要求25年以上；</w:t>
            </w:r>
          </w:p>
          <w:p w14:paraId="7E698573">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⑤花纹钢板侧必须设置悬挂安全绳的牢固点，并参照《坠落防护水平生命线装置》GB38454-2019沿着花纹钢板加装水平生命线，确保方便运维人员安全清洗、运维。</w:t>
            </w:r>
          </w:p>
          <w:p w14:paraId="6FBE3A2D">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（3）检修配电箱</w:t>
            </w:r>
          </w:p>
          <w:p w14:paraId="73B37C0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为方便运维人员进行后期运维作业，安装光伏系统的屋面需加装检修配电箱，做法同逆变器一样，安装户外支架或挂墙安装,箱体采用厚度≥1.5mm的304不锈钢，防护等级不低于IP65，可靠接地，电源由交流汇流箱、逆变器交流端就近引入，开关与线缆大小的选型需满足焊接要求，同时方便视频监控系统取电。</w:t>
            </w:r>
          </w:p>
          <w:p w14:paraId="12129FE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（4）安全护栏、钢斜梯、采光带标识</w:t>
            </w:r>
          </w:p>
          <w:p w14:paraId="2131F0EC">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①安全护栏：若屋顶无护栏或女儿墙屋顶的屋顶临边、洞口处，需加装高度≥1200mm的永久热镀锌角钢、U型钢材质防护围栏，以保护人身安全，同时也要减少护栏对光伏组件阴影遮挡影响。护栏立柱之间的间距小于1.5m，横杆之间的间距小于0.6m，护栏按间隔可靠防雷接地。护栏安装应牢固、美观，符合《建筑施工高处作业安全技术规范》JGJ80-2016。</w:t>
            </w:r>
          </w:p>
          <w:p w14:paraId="0FEE1417">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②扶手踏步钢斜梯：为方便运维和安全作业，未设置楼梯的屋面、棚架式光伏组件面，须设置扶手踏步镀锌钢斜梯，钢梯宽度≥0.8m，扶手高度≥0.9m，同时加装0.8m×1.2m运维操作平台并与运维通道进行连接，应符合《固定式钢梯及平台安全要求 第2部分:钢斜梯》GB4053.2-2009规定。钢斜梯入口要有带锁的活动门，钢斜梯旁边设置“非内部人员禁止进入”等安全警示牌。</w:t>
            </w:r>
          </w:p>
          <w:p w14:paraId="379597E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③采光带周围用宽度不少于100mm黄色油漆标识（或贴警示带），并设置“禁止踩踏”警示牌；同时设置防坠落网进行保护，防止人员踩空。</w:t>
            </w:r>
          </w:p>
        </w:tc>
        <w:tc>
          <w:tcPr>
            <w:tcW w:w="322" w:type="pct"/>
            <w:vAlign w:val="center"/>
          </w:tcPr>
          <w:p w14:paraId="7E5C5E14">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6CEE37B5">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18022BFC">
            <w:pPr>
              <w:keepNext/>
              <w:keepLines/>
              <w:spacing w:line="360" w:lineRule="auto"/>
              <w:jc w:val="center"/>
              <w:rPr>
                <w:rFonts w:ascii="宋体" w:hAnsi="宋体" w:eastAsia="宋体" w:cs="宋体"/>
                <w:color w:val="auto"/>
                <w:kern w:val="0"/>
                <w:sz w:val="18"/>
                <w:szCs w:val="18"/>
                <w:highlight w:val="none"/>
              </w:rPr>
            </w:pPr>
          </w:p>
        </w:tc>
      </w:tr>
      <w:tr w14:paraId="4D09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4B53DD2A">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w:t>
            </w:r>
          </w:p>
        </w:tc>
        <w:tc>
          <w:tcPr>
            <w:tcW w:w="412" w:type="pct"/>
            <w:vAlign w:val="center"/>
          </w:tcPr>
          <w:p w14:paraId="046CE12D">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八、消防要求</w:t>
            </w:r>
          </w:p>
        </w:tc>
        <w:tc>
          <w:tcPr>
            <w:tcW w:w="3300" w:type="pct"/>
            <w:vAlign w:val="center"/>
          </w:tcPr>
          <w:p w14:paraId="7AB13BD2">
            <w:pPr>
              <w:widowControl/>
              <w:tabs>
                <w:tab w:val="left" w:pos="360"/>
              </w:tabs>
              <w:spacing w:line="360" w:lineRule="auto"/>
              <w:ind w:firstLine="361" w:firstLineChars="200"/>
              <w:jc w:val="left"/>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1、主要设计原则、功能及配置</w:t>
            </w:r>
          </w:p>
          <w:p w14:paraId="1D2A3233">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本项目依据国家有关消防条例、规范进行设计，本着“预防为主、防消结合 ”的消防工作方针，消防系统的设置以加强自身防范力量为主，立足于自救，同时与消防部门联防，做到“防患于未然”，从积极的方面预防火灾的发生及蔓延。变电站内电气设备较多，消防设计的重点是防止电气火灾。</w:t>
            </w:r>
          </w:p>
          <w:p w14:paraId="5C5F5D8D">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（1）对设有电气仪表设备的房间，应配置移动式气体灭火器和手动火灾报警（警铃）。</w:t>
            </w:r>
          </w:p>
          <w:p w14:paraId="78F1A70C">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（2）对光伏组件屋面应按方阵、逆变器数量配置干粉灭火器和消防沙，用于发电单元电气设备的灭火。</w:t>
            </w:r>
          </w:p>
          <w:p w14:paraId="7034FBF8">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根据“预防为主、防消结合”的原则，本着减少着火几率，阻止电缆着火延燃及窜燃的目的，结合现场实际情况，主要采取“封”“堵”“隔”“涂”等技术措施，封堵施工按照国家及行业有关标准和以往的电缆防火封堵措施并结合电站实际情况进行，交流电缆采用阻燃型。安装主要达到《电气装置安装工程 电缆线路施工及验收标准》GB50168-2018。</w:t>
            </w:r>
          </w:p>
          <w:p w14:paraId="428A4A7C">
            <w:pPr>
              <w:widowControl/>
              <w:tabs>
                <w:tab w:val="left" w:pos="360"/>
              </w:tabs>
              <w:spacing w:line="360" w:lineRule="auto"/>
              <w:ind w:firstLine="361" w:firstLineChars="200"/>
              <w:jc w:val="left"/>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2、消防设计及消防验收</w:t>
            </w:r>
          </w:p>
          <w:p w14:paraId="6CB50701">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投标人须依据《中华人民共和国消防法》、《建设工程消防设计审查验收管理暂行规定》等法律法规及当地消防管理部门的要求，完成如下事项（包括但不限于）:</w:t>
            </w:r>
          </w:p>
          <w:p w14:paraId="5081F630">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（1）光伏发电项目的消防设计及备案；</w:t>
            </w:r>
          </w:p>
          <w:p w14:paraId="4ACB9E33">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（2）委托有资质的第三方机构进行消防检测，并取得消防设施检测合格证明文件；</w:t>
            </w:r>
          </w:p>
          <w:p w14:paraId="32FF11D2">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（3）竣工验收消防备案；</w:t>
            </w:r>
          </w:p>
          <w:p w14:paraId="476E28A1">
            <w:pPr>
              <w:widowControl/>
              <w:tabs>
                <w:tab w:val="left" w:pos="360"/>
              </w:tabs>
              <w:spacing w:line="360" w:lineRule="auto"/>
              <w:ind w:firstLine="360" w:firstLineChars="200"/>
              <w:jc w:val="left"/>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（4）如本项目被确定为抽查对象，须通过当地消防管理部门的检测检验。</w:t>
            </w:r>
          </w:p>
        </w:tc>
        <w:tc>
          <w:tcPr>
            <w:tcW w:w="322" w:type="pct"/>
            <w:vAlign w:val="center"/>
          </w:tcPr>
          <w:p w14:paraId="44DEAEB8">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69D755A6">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281CD192">
            <w:pPr>
              <w:keepNext/>
              <w:keepLines/>
              <w:spacing w:line="360" w:lineRule="auto"/>
              <w:jc w:val="center"/>
              <w:rPr>
                <w:rFonts w:ascii="宋体" w:hAnsi="宋体" w:eastAsia="宋体" w:cs="宋体"/>
                <w:color w:val="auto"/>
                <w:kern w:val="0"/>
                <w:sz w:val="18"/>
                <w:szCs w:val="18"/>
                <w:highlight w:val="none"/>
              </w:rPr>
            </w:pPr>
          </w:p>
        </w:tc>
      </w:tr>
      <w:tr w14:paraId="47E9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0D4B7BAA">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9</w:t>
            </w:r>
          </w:p>
        </w:tc>
        <w:tc>
          <w:tcPr>
            <w:tcW w:w="412" w:type="pct"/>
            <w:vAlign w:val="center"/>
          </w:tcPr>
          <w:p w14:paraId="450DA09E">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九、其他要求</w:t>
            </w:r>
          </w:p>
        </w:tc>
        <w:tc>
          <w:tcPr>
            <w:tcW w:w="3300" w:type="pct"/>
            <w:vAlign w:val="center"/>
          </w:tcPr>
          <w:p w14:paraId="1D9C00E9">
            <w:pPr>
              <w:spacing w:line="360" w:lineRule="auto"/>
              <w:ind w:firstLine="361" w:firstLineChars="200"/>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1、工期安排：</w:t>
            </w:r>
          </w:p>
          <w:p w14:paraId="20C2D91F">
            <w:pPr>
              <w:pStyle w:val="25"/>
              <w:spacing w:line="360" w:lineRule="auto"/>
              <w:ind w:firstLine="360" w:firstLineChars="200"/>
              <w:rPr>
                <w:rFonts w:hint="eastAsia" w:hAnsi="宋体" w:cs="宋体"/>
                <w:color w:val="auto"/>
                <w:sz w:val="18"/>
                <w:szCs w:val="18"/>
                <w:highlight w:val="none"/>
                <w:lang w:eastAsia="zh-CN"/>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1）深化设计工期：合同签订之日起，10</w:t>
            </w:r>
            <w:r>
              <w:rPr>
                <w:rFonts w:hint="eastAsia" w:hAnsi="宋体" w:cs="宋体"/>
                <w:color w:val="auto"/>
                <w:sz w:val="18"/>
                <w:szCs w:val="18"/>
                <w:highlight w:val="none"/>
              </w:rPr>
              <w:t>日（日历日，下同）内完成项目深化设计文件</w:t>
            </w:r>
            <w:r>
              <w:rPr>
                <w:rFonts w:hint="eastAsia" w:hAnsi="宋体" w:cs="宋体"/>
                <w:color w:val="auto"/>
                <w:sz w:val="18"/>
                <w:szCs w:val="18"/>
                <w:highlight w:val="none"/>
                <w:lang w:eastAsia="zh-CN"/>
              </w:rPr>
              <w:t>。</w:t>
            </w:r>
          </w:p>
          <w:p w14:paraId="446C9370">
            <w:pPr>
              <w:pStyle w:val="25"/>
              <w:spacing w:line="360" w:lineRule="auto"/>
              <w:ind w:firstLine="360" w:firstLineChars="200"/>
              <w:rPr>
                <w:rFonts w:hint="eastAsia" w:hAnsi="宋体" w:cs="宋体"/>
                <w:color w:val="auto"/>
                <w:sz w:val="18"/>
                <w:szCs w:val="18"/>
                <w:highlight w:val="none"/>
              </w:rPr>
            </w:pP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2）供货安装工期：</w:t>
            </w:r>
            <w:r>
              <w:rPr>
                <w:rFonts w:hint="eastAsia" w:hAnsi="宋体" w:cs="宋体"/>
                <w:color w:val="auto"/>
                <w:sz w:val="18"/>
                <w:szCs w:val="18"/>
                <w:highlight w:val="none"/>
              </w:rPr>
              <w:t>每个子项目（厂区）的基准实施周期为150日，</w:t>
            </w:r>
            <w:r>
              <w:rPr>
                <w:rFonts w:hint="eastAsia" w:hAnsi="宋体" w:cs="宋体"/>
                <w:color w:val="auto"/>
                <w:sz w:val="18"/>
                <w:szCs w:val="18"/>
                <w:highlight w:val="none"/>
                <w:lang w:val="en-US" w:eastAsia="zh-CN"/>
              </w:rPr>
              <w:t>子项目完成项目备案并由招标人</w:t>
            </w:r>
            <w:r>
              <w:rPr>
                <w:rFonts w:hint="eastAsia" w:hAnsi="宋体" w:cs="宋体"/>
                <w:color w:val="auto"/>
                <w:sz w:val="18"/>
                <w:szCs w:val="18"/>
                <w:highlight w:val="none"/>
              </w:rPr>
              <w:t>或其委托的项目管理公司签发该子项目开工通知之日起120日内完成该子项目所有建设内容（即初步验收合格），建设完成后，30日内完成并网通电。若本项目未能在工期要求时间内完成工作，</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需承担违约责任，并根据本</w:t>
            </w:r>
            <w:r>
              <w:rPr>
                <w:rFonts w:hint="eastAsia" w:hAnsi="宋体" w:cs="宋体"/>
                <w:color w:val="auto"/>
                <w:sz w:val="18"/>
                <w:szCs w:val="18"/>
                <w:highlight w:val="none"/>
                <w:lang w:val="en-US" w:eastAsia="zh-CN"/>
              </w:rPr>
              <w:t>项目</w:t>
            </w:r>
            <w:r>
              <w:rPr>
                <w:rFonts w:hint="eastAsia" w:hAnsi="宋体" w:cs="宋体"/>
                <w:color w:val="auto"/>
                <w:sz w:val="18"/>
                <w:szCs w:val="18"/>
                <w:highlight w:val="none"/>
              </w:rPr>
              <w:t>合同第二十一条的约定向</w:t>
            </w:r>
            <w:r>
              <w:rPr>
                <w:rFonts w:hint="eastAsia" w:hAnsi="宋体" w:cs="宋体"/>
                <w:color w:val="auto"/>
                <w:sz w:val="18"/>
                <w:szCs w:val="18"/>
                <w:highlight w:val="none"/>
                <w:lang w:val="en-US" w:eastAsia="zh-CN"/>
              </w:rPr>
              <w:t>招标人</w:t>
            </w:r>
            <w:r>
              <w:rPr>
                <w:rFonts w:hint="eastAsia" w:hAnsi="宋体" w:cs="宋体"/>
                <w:color w:val="auto"/>
                <w:sz w:val="18"/>
                <w:szCs w:val="18"/>
                <w:highlight w:val="none"/>
              </w:rPr>
              <w:t>支付对应的违约金。如因供电部门审批延误、不可抗力或其他非项目</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原因且不可归责于</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的客观因素导致工期延误，则受影响子项目的工期应相应顺延，顺延时长以实际延误时间为准，并经</w:t>
            </w:r>
            <w:r>
              <w:rPr>
                <w:rFonts w:hint="eastAsia" w:hAnsi="宋体" w:cs="宋体"/>
                <w:color w:val="auto"/>
                <w:sz w:val="18"/>
                <w:szCs w:val="18"/>
                <w:highlight w:val="none"/>
                <w:lang w:val="en-US" w:eastAsia="zh-CN"/>
              </w:rPr>
              <w:t>招标人</w:t>
            </w:r>
            <w:r>
              <w:rPr>
                <w:rFonts w:hint="eastAsia" w:hAnsi="宋体" w:cs="宋体"/>
                <w:color w:val="auto"/>
                <w:sz w:val="18"/>
                <w:szCs w:val="18"/>
                <w:highlight w:val="none"/>
              </w:rPr>
              <w:t>、</w:t>
            </w:r>
            <w:r>
              <w:rPr>
                <w:rFonts w:hint="eastAsia" w:hAnsi="宋体" w:cs="宋体"/>
                <w:color w:val="auto"/>
                <w:sz w:val="18"/>
                <w:szCs w:val="18"/>
                <w:highlight w:val="none"/>
                <w:lang w:val="en-US" w:eastAsia="zh-CN"/>
              </w:rPr>
              <w:t>中标人</w:t>
            </w:r>
            <w:r>
              <w:rPr>
                <w:rFonts w:hint="eastAsia" w:hAnsi="宋体" w:cs="宋体"/>
                <w:color w:val="auto"/>
                <w:sz w:val="18"/>
                <w:szCs w:val="18"/>
                <w:highlight w:val="none"/>
              </w:rPr>
              <w:t>双方盖章确认。</w:t>
            </w:r>
          </w:p>
          <w:p w14:paraId="2787F912">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2、运维期：1年，自项目下全部子项目并网审批通过开始正式送电之日起计算。</w:t>
            </w:r>
          </w:p>
          <w:p w14:paraId="35DB473C">
            <w:pPr>
              <w:spacing w:line="360" w:lineRule="auto"/>
              <w:ind w:firstLine="361" w:firstLineChars="200"/>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3、质保期：质保期为项目整体最终验收</w:t>
            </w:r>
            <w:r>
              <w:rPr>
                <w:rFonts w:hint="eastAsia" w:ascii="宋体" w:hAnsi="宋体" w:eastAsia="宋体" w:cs="宋体"/>
                <w:b/>
                <w:bCs/>
                <w:color w:val="auto"/>
                <w:sz w:val="18"/>
                <w:szCs w:val="18"/>
                <w:highlight w:val="none"/>
              </w:rPr>
              <w:t>（即本项目下全部子项目竣工验收）</w:t>
            </w:r>
            <w:r>
              <w:rPr>
                <w:rFonts w:hint="eastAsia" w:ascii="宋体" w:hAnsi="宋体" w:eastAsia="宋体" w:cs="宋体"/>
                <w:b/>
                <w:color w:val="auto"/>
                <w:sz w:val="18"/>
                <w:szCs w:val="18"/>
                <w:highlight w:val="none"/>
              </w:rPr>
              <w:t>合格后2年，如个体设备有更高要求的，遵循更高要求。</w:t>
            </w:r>
          </w:p>
          <w:p w14:paraId="01428652">
            <w:pPr>
              <w:spacing w:line="360" w:lineRule="auto"/>
              <w:ind w:firstLine="361" w:firstLineChars="200"/>
              <w:rPr>
                <w:rFonts w:ascii="宋体" w:hAnsi="宋体" w:eastAsia="宋体" w:cs="宋体"/>
                <w:b/>
                <w:color w:val="auto"/>
                <w:sz w:val="18"/>
                <w:szCs w:val="18"/>
                <w:highlight w:val="none"/>
              </w:rPr>
            </w:pPr>
            <w:r>
              <w:rPr>
                <w:rFonts w:hint="eastAsia" w:ascii="宋体" w:hAnsi="宋体" w:eastAsia="宋体" w:cs="宋体"/>
                <w:b/>
                <w:color w:val="auto"/>
                <w:sz w:val="18"/>
                <w:szCs w:val="18"/>
                <w:highlight w:val="none"/>
              </w:rPr>
              <w:t>4、合同价格形式</w:t>
            </w:r>
          </w:p>
          <w:p w14:paraId="746C1AC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（1）关于合同价格形式的约定：以暂定不含税总价、不含税固定每瓦单价总承包的方式。</w:t>
            </w:r>
          </w:p>
          <w:p w14:paraId="12F19BB5">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（2）关于合同价格调整的约定：根据最终</w:t>
            </w:r>
            <w:r>
              <w:rPr>
                <w:rFonts w:hint="eastAsia" w:ascii="宋体" w:hAnsi="宋体" w:eastAsia="宋体" w:cs="宋体"/>
                <w:bCs/>
                <w:color w:val="auto"/>
                <w:sz w:val="18"/>
                <w:szCs w:val="18"/>
                <w:highlight w:val="none"/>
                <w:lang w:val="en-US" w:eastAsia="zh-CN"/>
              </w:rPr>
              <w:t>结算</w:t>
            </w:r>
            <w:r>
              <w:rPr>
                <w:rFonts w:hint="eastAsia" w:ascii="宋体" w:hAnsi="宋体" w:eastAsia="宋体" w:cs="宋体"/>
                <w:bCs/>
                <w:color w:val="auto"/>
                <w:sz w:val="18"/>
                <w:szCs w:val="18"/>
                <w:highlight w:val="none"/>
              </w:rPr>
              <w:t>装机容量及合同约定相应调整。</w:t>
            </w:r>
          </w:p>
          <w:p w14:paraId="12D7B809">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注：</w:t>
            </w:r>
          </w:p>
          <w:p w14:paraId="3CE5DE18">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color w:val="auto"/>
                <w:sz w:val="18"/>
                <w:szCs w:val="18"/>
                <w:highlight w:val="none"/>
              </w:rPr>
              <w:t>①</w:t>
            </w:r>
            <w:r>
              <w:rPr>
                <w:rFonts w:hint="eastAsia" w:ascii="宋体" w:hAnsi="宋体" w:eastAsia="宋体" w:cs="宋体"/>
                <w:b/>
                <w:bCs/>
                <w:color w:val="auto"/>
                <w:sz w:val="18"/>
                <w:szCs w:val="18"/>
                <w:highlight w:val="none"/>
                <w:u w:val="single"/>
              </w:rPr>
              <w:t>结算合同价以结算装机容量计算，按以下方式确定结算装机容量：（1）如安装并网光伏组件单块容量与投标产品一致，以并网装机容量作为结算装机容量；（2）经招标人书面提出光伏组件型号变化时，该调整范围内以并网装机容量作为结算装机容量；（3）如果中标人因产能、产品迭代等自身原因提出安装使用质量条件不低于合同约定及用户需求书的单块并网组件，且容量（对比投标产品）增大导致实际并网装机容量增大的，经招标人书面同意后，可以调整，但按并网光伏组件数量和投标产品单块组件容量计算结算装机容量（即结算装机容量=投标产品单块组件容量×并网光伏组件数量）；（4）原则上，单个子项目内建设范围（建设区域）不得改变，因招标人原因对单个子项目内建设范围（建设区域）增减的，经招标人书面确认后，对应调整，按照前述（1）至（3）项原则确定结算装机容量。</w:t>
            </w:r>
          </w:p>
          <w:p w14:paraId="6615BB9F">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②中标不含税固定每瓦单价=暂定不含税总价（即中标人的投标报价）÷暂定总装机容量（计算的单价按四舍五入保留小数点后3位小数），招标人按中标不含税固定每瓦单价×实际结算装机容量和对应的销项税额进行结算。</w:t>
            </w:r>
          </w:p>
          <w:p w14:paraId="2858D3A7">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③合同暂定价格仅为便于计算使用，不作为招标人最终采购实施数量的保证。招标人的实际需求数量以实际装机容量为准，按实际的结算装机容量结算。在履行期内，中标人不得因招标人实际采购实施数量的减少或增加而要求招标人作出任何形式的补偿或赔偿，或要求招标人按暂定数量采购。 </w:t>
            </w:r>
          </w:p>
          <w:p w14:paraId="509557D9">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5、付款方式：</w:t>
            </w:r>
          </w:p>
          <w:p w14:paraId="2F37B8B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第一阶段：合同签订后，中标人向招标人提交</w:t>
            </w:r>
            <w:r>
              <w:rPr>
                <w:rFonts w:hint="eastAsia" w:ascii="宋体" w:hAnsi="宋体" w:eastAsia="宋体" w:cs="宋体"/>
                <w:b w:val="0"/>
                <w:bCs w:val="0"/>
                <w:color w:val="auto"/>
                <w:sz w:val="18"/>
                <w:szCs w:val="18"/>
                <w:highlight w:val="none"/>
              </w:rPr>
              <w:t>等额不可撤销银行预付款保函</w:t>
            </w:r>
            <w:r>
              <w:rPr>
                <w:rFonts w:hint="eastAsia" w:ascii="宋体" w:hAnsi="宋体" w:eastAsia="宋体" w:cs="宋体"/>
                <w:bCs/>
                <w:color w:val="auto"/>
                <w:sz w:val="18"/>
                <w:szCs w:val="18"/>
                <w:highlight w:val="none"/>
              </w:rPr>
              <w:t>，经招标人审核确认后，招标人向中标人支付合同暂定不含税总价20%</w:t>
            </w:r>
            <w:r>
              <w:rPr>
                <w:rFonts w:hint="eastAsia" w:ascii="宋体" w:hAnsi="宋体" w:eastAsia="宋体" w:cs="宋体"/>
                <w:b w:val="0"/>
                <w:bCs w:val="0"/>
                <w:color w:val="auto"/>
                <w:sz w:val="18"/>
                <w:szCs w:val="18"/>
                <w:highlight w:val="none"/>
                <w:lang w:val="en-US" w:eastAsia="zh-CN"/>
              </w:rPr>
              <w:t>的预付款</w:t>
            </w:r>
            <w:r>
              <w:rPr>
                <w:rFonts w:hint="eastAsia" w:ascii="宋体" w:hAnsi="宋体" w:eastAsia="宋体" w:cs="宋体"/>
                <w:bCs/>
                <w:color w:val="auto"/>
                <w:sz w:val="18"/>
                <w:szCs w:val="18"/>
                <w:highlight w:val="none"/>
              </w:rPr>
              <w:t>和对应的销项税额；</w:t>
            </w:r>
          </w:p>
          <w:p w14:paraId="68648CC0">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第二阶段：按子项目进度支付，所有子项目在该阶段累计支付金额不超过合同暂定不含税总价的 60%和对应的销项税额，具体如下：</w:t>
            </w:r>
          </w:p>
          <w:p w14:paraId="3B0816D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（1）中标人完成子项目备案并经招标人确认后，招标人向中标人支付该子项目的项目暂定不含税总价的10%和对应的销项税额；</w:t>
            </w:r>
          </w:p>
          <w:p w14:paraId="18936E6E">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（2）中标人完成光伏</w:t>
            </w:r>
            <w:r>
              <w:rPr>
                <w:rFonts w:hint="eastAsia" w:ascii="宋体" w:hAnsi="宋体" w:eastAsia="宋体" w:cs="宋体"/>
                <w:bCs/>
                <w:color w:val="auto"/>
                <w:sz w:val="18"/>
                <w:szCs w:val="18"/>
                <w:highlight w:val="none"/>
                <w:lang w:val="en-US" w:eastAsia="zh-CN"/>
              </w:rPr>
              <w:t>组件铺设</w:t>
            </w:r>
            <w:r>
              <w:rPr>
                <w:rFonts w:hint="eastAsia" w:ascii="宋体" w:hAnsi="宋体" w:eastAsia="宋体" w:cs="宋体"/>
                <w:bCs/>
                <w:color w:val="auto"/>
                <w:sz w:val="18"/>
                <w:szCs w:val="18"/>
                <w:highlight w:val="none"/>
              </w:rPr>
              <w:t>并经招标人确认后，招标人向中标人支付该子项目的项目暂定不含税总价的30%和对应的销项税额；</w:t>
            </w:r>
          </w:p>
          <w:p w14:paraId="2FF5593B">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（3）子项目完成并网验收，招标人向中标人支付该子项目的项目暂定不含税总价的20%和对应的销项税额。</w:t>
            </w:r>
          </w:p>
          <w:p w14:paraId="1316A35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第三阶段：在所有子项目竣工验收合格并结算完成后，招标人向中标人支付至</w:t>
            </w:r>
            <w:r>
              <w:rPr>
                <w:rFonts w:hint="eastAsia" w:ascii="宋体" w:hAnsi="宋体" w:eastAsia="宋体" w:cs="宋体"/>
                <w:bCs/>
                <w:color w:val="auto"/>
                <w:sz w:val="18"/>
                <w:szCs w:val="18"/>
                <w:highlight w:val="none"/>
                <w:lang w:val="en-US" w:eastAsia="zh-CN"/>
              </w:rPr>
              <w:t>合同</w:t>
            </w:r>
            <w:r>
              <w:rPr>
                <w:rFonts w:hint="eastAsia" w:ascii="宋体" w:hAnsi="宋体" w:eastAsia="宋体" w:cs="宋体"/>
                <w:bCs/>
                <w:color w:val="auto"/>
                <w:sz w:val="18"/>
                <w:szCs w:val="18"/>
                <w:highlight w:val="none"/>
              </w:rPr>
              <w:t>不含税结算价款的90%和对应的销项税额。</w:t>
            </w:r>
          </w:p>
          <w:p w14:paraId="034ABC6A">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第四阶段：不含税总结算价的7%和对应的销项税额作为1年运维费用</w:t>
            </w:r>
            <w:r>
              <w:rPr>
                <w:rFonts w:hint="eastAsia" w:hAnsi="宋体" w:cs="宋体"/>
                <w:color w:val="auto"/>
                <w:szCs w:val="21"/>
                <w:highlight w:val="none"/>
              </w:rPr>
              <w:t>，</w:t>
            </w:r>
            <w:r>
              <w:rPr>
                <w:rFonts w:hint="eastAsia" w:ascii="宋体" w:hAnsi="宋体" w:eastAsia="宋体" w:cs="宋体"/>
                <w:color w:val="auto"/>
                <w:sz w:val="18"/>
                <w:szCs w:val="18"/>
                <w:highlight w:val="none"/>
              </w:rPr>
              <w:t>按一年四个季度分四期进行支付</w:t>
            </w:r>
            <w:r>
              <w:rPr>
                <w:rFonts w:hint="eastAsia" w:ascii="宋体" w:hAnsi="宋体" w:eastAsia="宋体" w:cs="宋体"/>
                <w:bCs/>
                <w:color w:val="auto"/>
                <w:sz w:val="18"/>
                <w:szCs w:val="18"/>
                <w:highlight w:val="none"/>
              </w:rPr>
              <w:t>。运维期费用结合季度考核评价表按季度（运维起始期3个月视为一个季度）结算，具体如下：</w:t>
            </w:r>
          </w:p>
          <w:p w14:paraId="7A35E451">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（1）每季度运维费用为1年运维费用的25%；</w:t>
            </w:r>
          </w:p>
          <w:p w14:paraId="5C34641F">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（2）按季度考核评价表的评分结算当季度运维费用，评分90分以上（包括90分），按全额结算当季度运维费用；评分90分以下（不包括90分），按所得分数与满分的百分比结算当季度运维费用；</w:t>
            </w:r>
          </w:p>
          <w:p w14:paraId="77748A42">
            <w:pPr>
              <w:spacing w:line="360" w:lineRule="auto"/>
              <w:ind w:firstLine="360" w:firstLineChars="200"/>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（3）每季度运维费用中标人需在下一季度第一个月按要求提供请款资料，招标人在收到请款资料后20日内进行支付。</w:t>
            </w:r>
          </w:p>
          <w:p w14:paraId="33B531AC">
            <w:pPr>
              <w:pStyle w:val="21"/>
              <w:widowControl/>
              <w:tabs>
                <w:tab w:val="left" w:pos="2766"/>
                <w:tab w:val="left" w:pos="5888"/>
                <w:tab w:val="left" w:pos="8696"/>
                <w:tab w:val="left" w:pos="9074"/>
              </w:tabs>
              <w:snapToGrid w:val="0"/>
              <w:spacing w:line="360" w:lineRule="auto"/>
              <w:ind w:firstLine="361" w:firstLineChars="200"/>
              <w:jc w:val="left"/>
              <w:rPr>
                <w:rFonts w:hint="eastAsia" w:ascii="宋体" w:hAnsi="宋体" w:eastAsia="宋体" w:cs="宋体"/>
                <w:b w:val="0"/>
                <w:bCs/>
                <w:color w:val="auto"/>
                <w:sz w:val="18"/>
                <w:szCs w:val="18"/>
                <w:highlight w:val="none"/>
                <w:lang w:val="en-US"/>
              </w:rPr>
            </w:pPr>
            <w:r>
              <w:rPr>
                <w:rFonts w:hint="eastAsia" w:ascii="宋体" w:hAnsi="宋体" w:eastAsia="宋体" w:cs="宋体"/>
                <w:bCs/>
                <w:color w:val="auto"/>
                <w:sz w:val="18"/>
                <w:szCs w:val="18"/>
                <w:highlight w:val="none"/>
              </w:rPr>
              <w:t>第五阶段：</w:t>
            </w:r>
            <w:r>
              <w:rPr>
                <w:rFonts w:hint="eastAsia" w:ascii="宋体" w:hAnsi="宋体" w:eastAsia="宋体" w:cs="宋体"/>
                <w:b w:val="0"/>
                <w:bCs w:val="0"/>
                <w:color w:val="auto"/>
                <w:sz w:val="18"/>
                <w:szCs w:val="18"/>
                <w:highlight w:val="none"/>
              </w:rPr>
              <w:t>结算价款的</w:t>
            </w: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18"/>
                <w:szCs w:val="18"/>
                <w:highlight w:val="none"/>
                <w:lang w:val="en-US" w:eastAsia="zh-CN"/>
              </w:rPr>
              <w:t>及其销项税额</w:t>
            </w:r>
            <w:r>
              <w:rPr>
                <w:rFonts w:hint="eastAsia" w:ascii="宋体" w:hAnsi="宋体" w:eastAsia="宋体" w:cs="宋体"/>
                <w:b w:val="0"/>
                <w:bCs w:val="0"/>
                <w:color w:val="auto"/>
                <w:sz w:val="18"/>
                <w:szCs w:val="18"/>
                <w:highlight w:val="none"/>
              </w:rPr>
              <w:t>留作质量保修金。若中标人按合同约定履行质量保修义务，招标人将在质保期满后无息退还剩余质量保修金。如中标人未按合同约定履行质量保修义务，招标人有权不予退还或推迟退还质量保修金。中标人可在承诺的</w:t>
            </w:r>
            <w:r>
              <w:rPr>
                <w:rFonts w:hint="eastAsia" w:ascii="宋体" w:hAnsi="宋体" w:eastAsia="宋体" w:cs="宋体"/>
                <w:b w:val="0"/>
                <w:bCs w:val="0"/>
                <w:color w:val="auto"/>
                <w:sz w:val="18"/>
                <w:szCs w:val="18"/>
                <w:highlight w:val="none"/>
                <w:lang w:val="en-US" w:eastAsia="zh-CN"/>
              </w:rPr>
              <w:t>项目整体</w:t>
            </w:r>
            <w:r>
              <w:rPr>
                <w:rFonts w:hint="eastAsia" w:ascii="宋体" w:hAnsi="宋体" w:eastAsia="宋体" w:cs="宋体"/>
                <w:b w:val="0"/>
                <w:bCs w:val="0"/>
                <w:color w:val="auto"/>
                <w:sz w:val="18"/>
                <w:szCs w:val="18"/>
                <w:highlight w:val="none"/>
              </w:rPr>
              <w:t>质量保修期届满前，提前申请退还质量保修金。如提前申请，中标人须向招标人提交一份担保金额与质量保修金等额、无条件、见索即付且不可撤销</w:t>
            </w:r>
            <w:r>
              <w:rPr>
                <w:rFonts w:hint="eastAsia" w:ascii="宋体" w:hAnsi="宋体" w:eastAsia="宋体" w:cs="宋体"/>
                <w:b w:val="0"/>
                <w:bCs w:val="0"/>
                <w:color w:val="auto"/>
                <w:sz w:val="18"/>
                <w:szCs w:val="18"/>
                <w:highlight w:val="none"/>
                <w:lang w:val="en-US" w:eastAsia="zh-CN"/>
              </w:rPr>
              <w:t>银行</w:t>
            </w:r>
            <w:r>
              <w:rPr>
                <w:rFonts w:hint="eastAsia" w:ascii="宋体" w:hAnsi="宋体" w:eastAsia="宋体" w:cs="宋体"/>
                <w:b w:val="0"/>
                <w:bCs w:val="0"/>
                <w:color w:val="auto"/>
                <w:sz w:val="18"/>
                <w:szCs w:val="18"/>
                <w:highlight w:val="none"/>
              </w:rPr>
              <w:t>质量保修保函，该</w:t>
            </w:r>
            <w:r>
              <w:rPr>
                <w:rFonts w:hint="eastAsia" w:ascii="宋体" w:hAnsi="宋体" w:eastAsia="宋体" w:cs="宋体"/>
                <w:b w:val="0"/>
                <w:bCs w:val="0"/>
                <w:color w:val="auto"/>
                <w:sz w:val="18"/>
                <w:szCs w:val="18"/>
                <w:highlight w:val="none"/>
                <w:lang w:val="en-US" w:eastAsia="zh-CN"/>
              </w:rPr>
              <w:t>银行</w:t>
            </w:r>
            <w:r>
              <w:rPr>
                <w:rFonts w:hint="eastAsia" w:ascii="宋体" w:hAnsi="宋体" w:eastAsia="宋体" w:cs="宋体"/>
                <w:b w:val="0"/>
                <w:bCs w:val="0"/>
                <w:color w:val="auto"/>
                <w:sz w:val="18"/>
                <w:szCs w:val="18"/>
                <w:highlight w:val="none"/>
              </w:rPr>
              <w:t>保函的有效期应覆盖</w:t>
            </w:r>
            <w:r>
              <w:rPr>
                <w:rFonts w:hint="eastAsia" w:ascii="宋体" w:hAnsi="宋体" w:eastAsia="宋体" w:cs="宋体"/>
                <w:b w:val="0"/>
                <w:bCs w:val="0"/>
                <w:color w:val="auto"/>
                <w:sz w:val="18"/>
                <w:szCs w:val="18"/>
                <w:highlight w:val="none"/>
                <w:lang w:val="en-US" w:eastAsia="zh-CN"/>
              </w:rPr>
              <w:t>中</w:t>
            </w:r>
            <w:r>
              <w:rPr>
                <w:rFonts w:hint="eastAsia" w:ascii="宋体" w:hAnsi="宋体" w:eastAsia="宋体" w:cs="宋体"/>
                <w:b w:val="0"/>
                <w:bCs w:val="0"/>
                <w:color w:val="auto"/>
                <w:sz w:val="18"/>
                <w:szCs w:val="18"/>
                <w:highlight w:val="none"/>
              </w:rPr>
              <w:t>标人承诺的</w:t>
            </w:r>
            <w:r>
              <w:rPr>
                <w:rFonts w:hint="eastAsia" w:ascii="宋体" w:hAnsi="宋体" w:eastAsia="宋体" w:cs="宋体"/>
                <w:b w:val="0"/>
                <w:bCs w:val="0"/>
                <w:color w:val="auto"/>
                <w:sz w:val="18"/>
                <w:szCs w:val="18"/>
                <w:highlight w:val="none"/>
                <w:lang w:val="en-US" w:eastAsia="zh-CN"/>
              </w:rPr>
              <w:t>项目整体</w:t>
            </w:r>
            <w:r>
              <w:rPr>
                <w:rFonts w:hint="eastAsia" w:ascii="宋体" w:hAnsi="宋体" w:eastAsia="宋体" w:cs="宋体"/>
                <w:b w:val="0"/>
                <w:bCs w:val="0"/>
                <w:color w:val="auto"/>
                <w:sz w:val="18"/>
                <w:szCs w:val="18"/>
                <w:highlight w:val="none"/>
              </w:rPr>
              <w:t>质保期限。招标人将在收到符合要求的</w:t>
            </w:r>
            <w:r>
              <w:rPr>
                <w:rFonts w:hint="eastAsia" w:ascii="宋体" w:hAnsi="宋体" w:eastAsia="宋体" w:cs="宋体"/>
                <w:b w:val="0"/>
                <w:bCs w:val="0"/>
                <w:color w:val="auto"/>
                <w:sz w:val="18"/>
                <w:szCs w:val="18"/>
                <w:highlight w:val="none"/>
                <w:lang w:val="en-US" w:eastAsia="zh-CN"/>
              </w:rPr>
              <w:t>银行</w:t>
            </w:r>
            <w:r>
              <w:rPr>
                <w:rFonts w:hint="eastAsia" w:ascii="宋体" w:hAnsi="宋体" w:eastAsia="宋体" w:cs="宋体"/>
                <w:b w:val="0"/>
                <w:bCs w:val="0"/>
                <w:color w:val="auto"/>
                <w:sz w:val="18"/>
                <w:szCs w:val="18"/>
                <w:highlight w:val="none"/>
              </w:rPr>
              <w:t>保函后办理退还</w:t>
            </w:r>
            <w:r>
              <w:rPr>
                <w:rFonts w:hint="eastAsia" w:ascii="宋体" w:hAnsi="宋体" w:eastAsia="宋体" w:cs="宋体"/>
                <w:bCs/>
                <w:color w:val="auto"/>
                <w:sz w:val="18"/>
                <w:szCs w:val="18"/>
                <w:highlight w:val="none"/>
              </w:rPr>
              <w:t>。</w:t>
            </w:r>
          </w:p>
          <w:p w14:paraId="3F6044AB">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6、投标人须对本项目为单位的货物及服务进行整体投标，任何只对其中一部分内容进行的投标都被视为无效投标。如本项目的部分安装（实施）工程需要具有相应资质才能实施但投标人不具备该项资质的，投标人应在获得招标人的书面同意后，委托具有相应资质的单位实施。</w:t>
            </w:r>
          </w:p>
        </w:tc>
        <w:tc>
          <w:tcPr>
            <w:tcW w:w="322" w:type="pct"/>
            <w:vAlign w:val="center"/>
          </w:tcPr>
          <w:p w14:paraId="671ABC0E">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63B60F26">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3B5490B1">
            <w:pPr>
              <w:keepNext/>
              <w:keepLines/>
              <w:spacing w:line="360" w:lineRule="auto"/>
              <w:jc w:val="center"/>
              <w:rPr>
                <w:rFonts w:ascii="宋体" w:hAnsi="宋体" w:eastAsia="宋体" w:cs="宋体"/>
                <w:color w:val="auto"/>
                <w:kern w:val="0"/>
                <w:sz w:val="18"/>
                <w:szCs w:val="18"/>
                <w:highlight w:val="none"/>
              </w:rPr>
            </w:pPr>
          </w:p>
        </w:tc>
      </w:tr>
      <w:tr w14:paraId="35F3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26D23C0E">
            <w:pPr>
              <w:spacing w:line="360" w:lineRule="auto"/>
              <w:jc w:val="center"/>
              <w:rPr>
                <w:rFonts w:ascii="宋体" w:hAnsi="宋体" w:eastAsia="宋体" w:cs="宋体"/>
                <w:color w:val="auto"/>
                <w:kern w:val="0"/>
                <w:sz w:val="18"/>
                <w:szCs w:val="18"/>
                <w:highlight w:val="none"/>
              </w:rPr>
            </w:pPr>
            <w:bookmarkStart w:id="1322" w:name="_Toc23184"/>
            <w:bookmarkStart w:id="1323" w:name="_Toc24985"/>
            <w:bookmarkStart w:id="1324" w:name="_Toc13661"/>
            <w:r>
              <w:rPr>
                <w:rFonts w:hint="eastAsia" w:ascii="宋体" w:hAnsi="宋体" w:eastAsia="宋体" w:cs="宋体"/>
                <w:color w:val="auto"/>
                <w:kern w:val="0"/>
                <w:sz w:val="18"/>
                <w:szCs w:val="18"/>
                <w:highlight w:val="none"/>
              </w:rPr>
              <w:t>10</w:t>
            </w:r>
          </w:p>
        </w:tc>
        <w:tc>
          <w:tcPr>
            <w:tcW w:w="412" w:type="pct"/>
            <w:vAlign w:val="center"/>
          </w:tcPr>
          <w:p w14:paraId="3460CA71">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附件1 项目清单（详见本项目招标公告）</w:t>
            </w:r>
          </w:p>
        </w:tc>
        <w:tc>
          <w:tcPr>
            <w:tcW w:w="3300" w:type="pct"/>
            <w:vAlign w:val="center"/>
          </w:tcPr>
          <w:p w14:paraId="7CF95BBE">
            <w:pPr>
              <w:spacing w:line="360" w:lineRule="auto"/>
              <w:ind w:firstLine="361" w:firstLineChars="200"/>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特别说明：</w:t>
            </w:r>
            <w:r>
              <w:rPr>
                <w:rFonts w:hint="eastAsia" w:ascii="宋体" w:hAnsi="宋体" w:eastAsia="宋体" w:cs="宋体"/>
                <w:b/>
                <w:color w:val="auto"/>
                <w:sz w:val="18"/>
                <w:szCs w:val="18"/>
                <w:highlight w:val="none"/>
                <w:u w:val="single"/>
              </w:rPr>
              <w:t>本项目按图纸、用户需求书、合同范围总承包，并以不含税固定每瓦单价包干。本项目清单仅供投标人核算造价，不作为结算计价标准，最终合同的结算价按合同约定的不含税固定每瓦单价×实际结算装机容量和对应的销项税额结算</w:t>
            </w:r>
            <w:r>
              <w:rPr>
                <w:rFonts w:hint="eastAsia" w:ascii="宋体" w:hAnsi="宋体" w:eastAsia="宋体" w:cs="宋体"/>
                <w:b/>
                <w:color w:val="auto"/>
                <w:sz w:val="18"/>
                <w:szCs w:val="18"/>
                <w:highlight w:val="none"/>
              </w:rPr>
              <w:t>。</w:t>
            </w:r>
          </w:p>
        </w:tc>
        <w:tc>
          <w:tcPr>
            <w:tcW w:w="322" w:type="pct"/>
            <w:vAlign w:val="center"/>
          </w:tcPr>
          <w:p w14:paraId="0D9A98BC">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17F0EFD9">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1BE4B021">
            <w:pPr>
              <w:keepNext/>
              <w:keepLines/>
              <w:spacing w:line="360" w:lineRule="auto"/>
              <w:jc w:val="center"/>
              <w:rPr>
                <w:rFonts w:ascii="宋体" w:hAnsi="宋体" w:eastAsia="宋体" w:cs="宋体"/>
                <w:color w:val="auto"/>
                <w:kern w:val="0"/>
                <w:sz w:val="18"/>
                <w:szCs w:val="18"/>
                <w:highlight w:val="none"/>
              </w:rPr>
            </w:pPr>
          </w:p>
        </w:tc>
      </w:tr>
      <w:tr w14:paraId="16596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9" w:type="pct"/>
            <w:vAlign w:val="center"/>
          </w:tcPr>
          <w:p w14:paraId="7548AB0C">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412" w:type="pct"/>
            <w:vAlign w:val="center"/>
          </w:tcPr>
          <w:p w14:paraId="2C52ED6B">
            <w:pPr>
              <w:spacing w:line="360" w:lineRule="auto"/>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附件2 图纸（详见本项目招标公告）</w:t>
            </w:r>
          </w:p>
        </w:tc>
        <w:tc>
          <w:tcPr>
            <w:tcW w:w="3300" w:type="pct"/>
            <w:vAlign w:val="center"/>
          </w:tcPr>
          <w:p w14:paraId="0C5E418A">
            <w:pPr>
              <w:spacing w:line="360" w:lineRule="auto"/>
              <w:jc w:val="center"/>
              <w:rPr>
                <w:rFonts w:ascii="宋体" w:hAnsi="宋体" w:eastAsia="宋体" w:cs="宋体"/>
                <w:bCs/>
                <w:color w:val="auto"/>
                <w:sz w:val="18"/>
                <w:szCs w:val="18"/>
                <w:highlight w:val="none"/>
              </w:rPr>
            </w:pPr>
            <w:r>
              <w:rPr>
                <w:rFonts w:hint="eastAsia" w:ascii="宋体" w:hAnsi="宋体" w:eastAsia="宋体" w:cs="宋体"/>
                <w:b/>
                <w:color w:val="auto"/>
                <w:sz w:val="18"/>
                <w:szCs w:val="18"/>
                <w:highlight w:val="none"/>
              </w:rPr>
              <w:t>图纸目录</w:t>
            </w:r>
          </w:p>
          <w:tbl>
            <w:tblPr>
              <w:tblStyle w:val="4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813"/>
              <w:gridCol w:w="2101"/>
              <w:gridCol w:w="596"/>
              <w:gridCol w:w="961"/>
              <w:gridCol w:w="1011"/>
            </w:tblGrid>
            <w:tr w14:paraId="03FC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jc w:val="center"/>
              </w:trPr>
              <w:tc>
                <w:tcPr>
                  <w:tcW w:w="446" w:type="pct"/>
                  <w:vAlign w:val="center"/>
                </w:tcPr>
                <w:p w14:paraId="69C0E32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420" w:type="pct"/>
                  <w:gridSpan w:val="2"/>
                  <w:vAlign w:val="center"/>
                </w:tcPr>
                <w:p w14:paraId="36D4E8FB">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图纸名称</w:t>
                  </w:r>
                </w:p>
              </w:tc>
              <w:tc>
                <w:tcPr>
                  <w:tcW w:w="495" w:type="pct"/>
                  <w:vAlign w:val="center"/>
                </w:tcPr>
                <w:p w14:paraId="1A7CFCB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页数</w:t>
                  </w:r>
                </w:p>
              </w:tc>
              <w:tc>
                <w:tcPr>
                  <w:tcW w:w="798" w:type="pct"/>
                  <w:vAlign w:val="center"/>
                </w:tcPr>
                <w:p w14:paraId="23FD070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出图日期</w:t>
                  </w:r>
                </w:p>
              </w:tc>
              <w:tc>
                <w:tcPr>
                  <w:tcW w:w="840" w:type="pct"/>
                  <w:vAlign w:val="center"/>
                </w:tcPr>
                <w:p w14:paraId="110E7E92">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6D63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7E85406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675" w:type="pct"/>
                  <w:vMerge w:val="restart"/>
                  <w:vAlign w:val="center"/>
                </w:tcPr>
                <w:p w14:paraId="32CC29F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东莞市水务集团分布式光伏发电项目(第一批)净水厂项目</w:t>
                  </w:r>
                </w:p>
              </w:tc>
              <w:tc>
                <w:tcPr>
                  <w:tcW w:w="1745" w:type="pct"/>
                  <w:vAlign w:val="center"/>
                </w:tcPr>
                <w:p w14:paraId="15BC8D25">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常平岗梓水质净化厂</w:t>
                  </w:r>
                </w:p>
              </w:tc>
              <w:tc>
                <w:tcPr>
                  <w:tcW w:w="495" w:type="pct"/>
                  <w:vAlign w:val="center"/>
                </w:tcPr>
                <w:p w14:paraId="3F3DFFA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51</w:t>
                  </w:r>
                </w:p>
              </w:tc>
              <w:tc>
                <w:tcPr>
                  <w:tcW w:w="798" w:type="pct"/>
                  <w:vAlign w:val="center"/>
                </w:tcPr>
                <w:p w14:paraId="04C6DA1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3F37008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电气部分</w:t>
                  </w:r>
                </w:p>
              </w:tc>
            </w:tr>
            <w:tr w14:paraId="4DA6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6" w:type="pct"/>
                  <w:vAlign w:val="center"/>
                </w:tcPr>
                <w:p w14:paraId="6A6D57A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675" w:type="pct"/>
                  <w:vMerge w:val="continue"/>
                  <w:vAlign w:val="center"/>
                </w:tcPr>
                <w:p w14:paraId="6F83B6FF">
                  <w:pPr>
                    <w:jc w:val="center"/>
                    <w:rPr>
                      <w:rFonts w:ascii="宋体" w:hAnsi="宋体" w:eastAsia="宋体" w:cs="宋体"/>
                      <w:color w:val="auto"/>
                      <w:sz w:val="18"/>
                      <w:szCs w:val="18"/>
                      <w:highlight w:val="none"/>
                    </w:rPr>
                  </w:pPr>
                </w:p>
              </w:tc>
              <w:tc>
                <w:tcPr>
                  <w:tcW w:w="1745" w:type="pct"/>
                  <w:vAlign w:val="center"/>
                </w:tcPr>
                <w:p w14:paraId="6751F15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常平沙湖口水质净化厂</w:t>
                  </w:r>
                </w:p>
              </w:tc>
              <w:tc>
                <w:tcPr>
                  <w:tcW w:w="495" w:type="pct"/>
                  <w:vAlign w:val="center"/>
                </w:tcPr>
                <w:p w14:paraId="339ECFC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0</w:t>
                  </w:r>
                </w:p>
              </w:tc>
              <w:tc>
                <w:tcPr>
                  <w:tcW w:w="798" w:type="pct"/>
                  <w:vAlign w:val="center"/>
                </w:tcPr>
                <w:p w14:paraId="1B572625">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rPr>
                    <w:t>08</w:t>
                  </w:r>
                </w:p>
              </w:tc>
              <w:tc>
                <w:tcPr>
                  <w:tcW w:w="840" w:type="pct"/>
                  <w:vAlign w:val="center"/>
                </w:tcPr>
                <w:p w14:paraId="61E41A2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电气部分</w:t>
                  </w:r>
                </w:p>
              </w:tc>
            </w:tr>
            <w:tr w14:paraId="329D9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774106C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p>
              </w:tc>
              <w:tc>
                <w:tcPr>
                  <w:tcW w:w="675" w:type="pct"/>
                  <w:vMerge w:val="continue"/>
                  <w:vAlign w:val="center"/>
                </w:tcPr>
                <w:p w14:paraId="5C675913">
                  <w:pPr>
                    <w:jc w:val="center"/>
                    <w:rPr>
                      <w:rFonts w:ascii="宋体" w:hAnsi="宋体" w:eastAsia="宋体" w:cs="宋体"/>
                      <w:color w:val="auto"/>
                      <w:sz w:val="18"/>
                      <w:szCs w:val="18"/>
                      <w:highlight w:val="none"/>
                    </w:rPr>
                  </w:pPr>
                </w:p>
              </w:tc>
              <w:tc>
                <w:tcPr>
                  <w:tcW w:w="1745" w:type="pct"/>
                  <w:vAlign w:val="center"/>
                </w:tcPr>
                <w:p w14:paraId="6CAEE5F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东城温塘水质净化厂</w:t>
                  </w:r>
                </w:p>
              </w:tc>
              <w:tc>
                <w:tcPr>
                  <w:tcW w:w="495" w:type="pct"/>
                  <w:vAlign w:val="center"/>
                </w:tcPr>
                <w:p w14:paraId="40A73A4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42</w:t>
                  </w:r>
                </w:p>
              </w:tc>
              <w:tc>
                <w:tcPr>
                  <w:tcW w:w="798" w:type="pct"/>
                  <w:vAlign w:val="center"/>
                </w:tcPr>
                <w:p w14:paraId="08677D7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7C56368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电气部分</w:t>
                  </w:r>
                </w:p>
              </w:tc>
            </w:tr>
            <w:tr w14:paraId="237E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54AD26DF">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675" w:type="pct"/>
                  <w:vMerge w:val="continue"/>
                  <w:vAlign w:val="center"/>
                </w:tcPr>
                <w:p w14:paraId="37423056">
                  <w:pPr>
                    <w:jc w:val="center"/>
                    <w:rPr>
                      <w:rFonts w:ascii="宋体" w:hAnsi="宋体" w:eastAsia="宋体" w:cs="宋体"/>
                      <w:color w:val="auto"/>
                      <w:sz w:val="18"/>
                      <w:szCs w:val="18"/>
                      <w:highlight w:val="none"/>
                    </w:rPr>
                  </w:pPr>
                </w:p>
              </w:tc>
              <w:tc>
                <w:tcPr>
                  <w:tcW w:w="1745" w:type="pct"/>
                  <w:vAlign w:val="center"/>
                </w:tcPr>
                <w:p w14:paraId="2FEA86F2">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高埗低涌水质净化厂</w:t>
                  </w:r>
                </w:p>
              </w:tc>
              <w:tc>
                <w:tcPr>
                  <w:tcW w:w="495" w:type="pct"/>
                  <w:vAlign w:val="center"/>
                </w:tcPr>
                <w:p w14:paraId="67CE23A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r>
                    <w:rPr>
                      <w:rFonts w:hint="eastAsia" w:ascii="宋体" w:hAnsi="宋体" w:eastAsia="宋体" w:cs="宋体"/>
                      <w:color w:val="auto"/>
                      <w:sz w:val="18"/>
                      <w:szCs w:val="18"/>
                      <w:highlight w:val="none"/>
                      <w:lang w:val="en-US" w:eastAsia="zh-CN"/>
                    </w:rPr>
                    <w:t>3</w:t>
                  </w:r>
                </w:p>
              </w:tc>
              <w:tc>
                <w:tcPr>
                  <w:tcW w:w="798" w:type="pct"/>
                  <w:vAlign w:val="center"/>
                </w:tcPr>
                <w:p w14:paraId="6E5B906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61CAEA8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电气部分</w:t>
                  </w:r>
                </w:p>
              </w:tc>
            </w:tr>
            <w:tr w14:paraId="5760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6" w:type="pct"/>
                  <w:vAlign w:val="center"/>
                </w:tcPr>
                <w:p w14:paraId="2875F15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p>
              </w:tc>
              <w:tc>
                <w:tcPr>
                  <w:tcW w:w="675" w:type="pct"/>
                  <w:vMerge w:val="continue"/>
                  <w:vAlign w:val="center"/>
                </w:tcPr>
                <w:p w14:paraId="3EF31913">
                  <w:pPr>
                    <w:jc w:val="center"/>
                    <w:rPr>
                      <w:rFonts w:ascii="宋体" w:hAnsi="宋体" w:eastAsia="宋体" w:cs="宋体"/>
                      <w:color w:val="auto"/>
                      <w:sz w:val="18"/>
                      <w:szCs w:val="18"/>
                      <w:highlight w:val="none"/>
                    </w:rPr>
                  </w:pPr>
                </w:p>
              </w:tc>
              <w:tc>
                <w:tcPr>
                  <w:tcW w:w="1745" w:type="pct"/>
                  <w:vAlign w:val="center"/>
                </w:tcPr>
                <w:p w14:paraId="060256F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横东水质净化厂</w:t>
                  </w:r>
                </w:p>
              </w:tc>
              <w:tc>
                <w:tcPr>
                  <w:tcW w:w="495" w:type="pct"/>
                  <w:vAlign w:val="center"/>
                </w:tcPr>
                <w:p w14:paraId="410488F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w:t>
                  </w:r>
                  <w:r>
                    <w:rPr>
                      <w:rFonts w:hint="eastAsia" w:ascii="宋体" w:hAnsi="宋体" w:eastAsia="宋体" w:cs="宋体"/>
                      <w:color w:val="auto"/>
                      <w:sz w:val="18"/>
                      <w:szCs w:val="18"/>
                      <w:highlight w:val="none"/>
                      <w:lang w:val="en-US" w:eastAsia="zh-CN"/>
                    </w:rPr>
                    <w:t>3</w:t>
                  </w:r>
                </w:p>
              </w:tc>
              <w:tc>
                <w:tcPr>
                  <w:tcW w:w="798" w:type="pct"/>
                  <w:vAlign w:val="center"/>
                </w:tcPr>
                <w:p w14:paraId="5B4B9B5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4F6FD4F8">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电气部分</w:t>
                  </w:r>
                </w:p>
              </w:tc>
            </w:tr>
            <w:tr w14:paraId="77E6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530A969B">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675" w:type="pct"/>
                  <w:vMerge w:val="continue"/>
                  <w:vAlign w:val="center"/>
                </w:tcPr>
                <w:p w14:paraId="73CE3613">
                  <w:pPr>
                    <w:jc w:val="center"/>
                    <w:rPr>
                      <w:rFonts w:ascii="宋体" w:hAnsi="宋体" w:eastAsia="宋体" w:cs="宋体"/>
                      <w:color w:val="auto"/>
                      <w:sz w:val="18"/>
                      <w:szCs w:val="18"/>
                      <w:highlight w:val="none"/>
                    </w:rPr>
                  </w:pPr>
                </w:p>
              </w:tc>
              <w:tc>
                <w:tcPr>
                  <w:tcW w:w="1745" w:type="pct"/>
                  <w:vAlign w:val="center"/>
                </w:tcPr>
                <w:p w14:paraId="0036727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虎门宁洲水质净化厂</w:t>
                  </w:r>
                </w:p>
              </w:tc>
              <w:tc>
                <w:tcPr>
                  <w:tcW w:w="495" w:type="pct"/>
                  <w:vAlign w:val="center"/>
                </w:tcPr>
                <w:p w14:paraId="4161EB9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50</w:t>
                  </w:r>
                </w:p>
              </w:tc>
              <w:tc>
                <w:tcPr>
                  <w:tcW w:w="798" w:type="pct"/>
                  <w:vAlign w:val="center"/>
                </w:tcPr>
                <w:p w14:paraId="4E6ECFBE">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7D1A843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电气部分</w:t>
                  </w:r>
                </w:p>
              </w:tc>
            </w:tr>
            <w:tr w14:paraId="1941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59AF5DE8">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7</w:t>
                  </w:r>
                </w:p>
              </w:tc>
              <w:tc>
                <w:tcPr>
                  <w:tcW w:w="675" w:type="pct"/>
                  <w:vMerge w:val="continue"/>
                  <w:vAlign w:val="center"/>
                </w:tcPr>
                <w:p w14:paraId="2B3DEE1C">
                  <w:pPr>
                    <w:jc w:val="center"/>
                    <w:rPr>
                      <w:rFonts w:ascii="宋体" w:hAnsi="宋体" w:eastAsia="宋体" w:cs="宋体"/>
                      <w:color w:val="auto"/>
                      <w:sz w:val="18"/>
                      <w:szCs w:val="18"/>
                      <w:highlight w:val="none"/>
                    </w:rPr>
                  </w:pPr>
                </w:p>
              </w:tc>
              <w:tc>
                <w:tcPr>
                  <w:tcW w:w="1745" w:type="pct"/>
                  <w:vAlign w:val="center"/>
                </w:tcPr>
                <w:p w14:paraId="45756DF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沙田福禄沙水质净化厂</w:t>
                  </w:r>
                </w:p>
              </w:tc>
              <w:tc>
                <w:tcPr>
                  <w:tcW w:w="495" w:type="pct"/>
                  <w:vAlign w:val="center"/>
                </w:tcPr>
                <w:p w14:paraId="171FAC5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44</w:t>
                  </w:r>
                </w:p>
              </w:tc>
              <w:tc>
                <w:tcPr>
                  <w:tcW w:w="798" w:type="pct"/>
                  <w:vAlign w:val="center"/>
                </w:tcPr>
                <w:p w14:paraId="2D7CB99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045579F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电气部分</w:t>
                  </w:r>
                </w:p>
              </w:tc>
            </w:tr>
            <w:tr w14:paraId="4B5A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6" w:type="pct"/>
                  <w:vAlign w:val="center"/>
                </w:tcPr>
                <w:p w14:paraId="18F25EC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8</w:t>
                  </w:r>
                </w:p>
              </w:tc>
              <w:tc>
                <w:tcPr>
                  <w:tcW w:w="675" w:type="pct"/>
                  <w:vMerge w:val="continue"/>
                  <w:vAlign w:val="center"/>
                </w:tcPr>
                <w:p w14:paraId="6BA07D37">
                  <w:pPr>
                    <w:jc w:val="center"/>
                    <w:rPr>
                      <w:rFonts w:ascii="宋体" w:hAnsi="宋体" w:eastAsia="宋体" w:cs="宋体"/>
                      <w:color w:val="auto"/>
                      <w:sz w:val="18"/>
                      <w:szCs w:val="18"/>
                      <w:highlight w:val="none"/>
                    </w:rPr>
                  </w:pPr>
                </w:p>
              </w:tc>
              <w:tc>
                <w:tcPr>
                  <w:tcW w:w="1745" w:type="pct"/>
                  <w:vAlign w:val="center"/>
                </w:tcPr>
                <w:p w14:paraId="00DB7CA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常平岗梓水质净化厂</w:t>
                  </w:r>
                </w:p>
              </w:tc>
              <w:tc>
                <w:tcPr>
                  <w:tcW w:w="495" w:type="pct"/>
                  <w:vAlign w:val="center"/>
                </w:tcPr>
                <w:p w14:paraId="20E711F9">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rPr>
                    <w:t>7</w:t>
                  </w:r>
                  <w:r>
                    <w:rPr>
                      <w:rFonts w:hint="eastAsia" w:ascii="宋体" w:hAnsi="宋体" w:eastAsia="宋体" w:cs="宋体"/>
                      <w:color w:val="auto"/>
                      <w:sz w:val="18"/>
                      <w:szCs w:val="18"/>
                      <w:highlight w:val="none"/>
                      <w:lang w:val="en-US" w:eastAsia="zh-CN"/>
                    </w:rPr>
                    <w:t>4</w:t>
                  </w:r>
                </w:p>
              </w:tc>
              <w:tc>
                <w:tcPr>
                  <w:tcW w:w="798" w:type="pct"/>
                  <w:vAlign w:val="center"/>
                </w:tcPr>
                <w:p w14:paraId="6DA1532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07F6690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结构部分</w:t>
                  </w:r>
                </w:p>
              </w:tc>
            </w:tr>
            <w:tr w14:paraId="0D49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0E20D4F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9</w:t>
                  </w:r>
                </w:p>
              </w:tc>
              <w:tc>
                <w:tcPr>
                  <w:tcW w:w="675" w:type="pct"/>
                  <w:vMerge w:val="continue"/>
                  <w:vAlign w:val="center"/>
                </w:tcPr>
                <w:p w14:paraId="0EA24F7F">
                  <w:pPr>
                    <w:jc w:val="center"/>
                    <w:rPr>
                      <w:rFonts w:ascii="宋体" w:hAnsi="宋体" w:eastAsia="宋体" w:cs="宋体"/>
                      <w:color w:val="auto"/>
                      <w:sz w:val="18"/>
                      <w:szCs w:val="18"/>
                      <w:highlight w:val="none"/>
                    </w:rPr>
                  </w:pPr>
                </w:p>
              </w:tc>
              <w:tc>
                <w:tcPr>
                  <w:tcW w:w="1745" w:type="pct"/>
                  <w:vAlign w:val="center"/>
                </w:tcPr>
                <w:p w14:paraId="339521CB">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常平沙湖口水质净化厂</w:t>
                  </w:r>
                </w:p>
              </w:tc>
              <w:tc>
                <w:tcPr>
                  <w:tcW w:w="495" w:type="pct"/>
                  <w:vAlign w:val="center"/>
                </w:tcPr>
                <w:p w14:paraId="79BE2B3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50</w:t>
                  </w:r>
                </w:p>
              </w:tc>
              <w:tc>
                <w:tcPr>
                  <w:tcW w:w="798" w:type="pct"/>
                  <w:vAlign w:val="center"/>
                </w:tcPr>
                <w:p w14:paraId="4F34480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2FE6C22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结构部分</w:t>
                  </w:r>
                </w:p>
              </w:tc>
            </w:tr>
            <w:tr w14:paraId="1916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6" w:type="pct"/>
                  <w:vAlign w:val="center"/>
                </w:tcPr>
                <w:p w14:paraId="03C8739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10</w:t>
                  </w:r>
                </w:p>
              </w:tc>
              <w:tc>
                <w:tcPr>
                  <w:tcW w:w="675" w:type="pct"/>
                  <w:vMerge w:val="continue"/>
                  <w:vAlign w:val="center"/>
                </w:tcPr>
                <w:p w14:paraId="11A0D47A">
                  <w:pPr>
                    <w:jc w:val="center"/>
                    <w:rPr>
                      <w:rFonts w:ascii="宋体" w:hAnsi="宋体" w:eastAsia="宋体" w:cs="宋体"/>
                      <w:color w:val="auto"/>
                      <w:sz w:val="18"/>
                      <w:szCs w:val="18"/>
                      <w:highlight w:val="none"/>
                    </w:rPr>
                  </w:pPr>
                </w:p>
              </w:tc>
              <w:tc>
                <w:tcPr>
                  <w:tcW w:w="1745" w:type="pct"/>
                  <w:vAlign w:val="center"/>
                </w:tcPr>
                <w:p w14:paraId="4A5B1055">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东城温塘水质净化厂</w:t>
                  </w:r>
                </w:p>
              </w:tc>
              <w:tc>
                <w:tcPr>
                  <w:tcW w:w="495" w:type="pct"/>
                  <w:vAlign w:val="center"/>
                </w:tcPr>
                <w:p w14:paraId="1349919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lang w:val="en-US" w:eastAsia="zh-CN"/>
                    </w:rPr>
                    <w:t>9</w:t>
                  </w:r>
                </w:p>
              </w:tc>
              <w:tc>
                <w:tcPr>
                  <w:tcW w:w="798" w:type="pct"/>
                  <w:vAlign w:val="center"/>
                </w:tcPr>
                <w:p w14:paraId="73BF95EF">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0A549D25">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结构部分</w:t>
                  </w:r>
                </w:p>
              </w:tc>
            </w:tr>
            <w:tr w14:paraId="7809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4B0FF27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11</w:t>
                  </w:r>
                </w:p>
              </w:tc>
              <w:tc>
                <w:tcPr>
                  <w:tcW w:w="675" w:type="pct"/>
                  <w:vMerge w:val="continue"/>
                  <w:vAlign w:val="center"/>
                </w:tcPr>
                <w:p w14:paraId="15C4EE74">
                  <w:pPr>
                    <w:jc w:val="center"/>
                    <w:rPr>
                      <w:rFonts w:ascii="宋体" w:hAnsi="宋体" w:eastAsia="宋体" w:cs="宋体"/>
                      <w:color w:val="auto"/>
                      <w:sz w:val="18"/>
                      <w:szCs w:val="18"/>
                      <w:highlight w:val="none"/>
                    </w:rPr>
                  </w:pPr>
                </w:p>
              </w:tc>
              <w:tc>
                <w:tcPr>
                  <w:tcW w:w="1745" w:type="pct"/>
                  <w:vAlign w:val="center"/>
                </w:tcPr>
                <w:p w14:paraId="29EFC8C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高埗低涌水质净化厂</w:t>
                  </w:r>
                </w:p>
              </w:tc>
              <w:tc>
                <w:tcPr>
                  <w:tcW w:w="495" w:type="pct"/>
                  <w:vAlign w:val="center"/>
                </w:tcPr>
                <w:p w14:paraId="1920C89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23</w:t>
                  </w:r>
                </w:p>
              </w:tc>
              <w:tc>
                <w:tcPr>
                  <w:tcW w:w="798" w:type="pct"/>
                  <w:vAlign w:val="center"/>
                </w:tcPr>
                <w:p w14:paraId="38832C8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33304F8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结构部分</w:t>
                  </w:r>
                </w:p>
              </w:tc>
            </w:tr>
            <w:tr w14:paraId="1121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51031D2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12</w:t>
                  </w:r>
                </w:p>
              </w:tc>
              <w:tc>
                <w:tcPr>
                  <w:tcW w:w="675" w:type="pct"/>
                  <w:vMerge w:val="continue"/>
                  <w:vAlign w:val="center"/>
                </w:tcPr>
                <w:p w14:paraId="32E86D53">
                  <w:pPr>
                    <w:jc w:val="center"/>
                    <w:rPr>
                      <w:rFonts w:ascii="宋体" w:hAnsi="宋体" w:eastAsia="宋体" w:cs="宋体"/>
                      <w:color w:val="auto"/>
                      <w:sz w:val="18"/>
                      <w:szCs w:val="18"/>
                      <w:highlight w:val="none"/>
                    </w:rPr>
                  </w:pPr>
                </w:p>
              </w:tc>
              <w:tc>
                <w:tcPr>
                  <w:tcW w:w="1745" w:type="pct"/>
                  <w:vAlign w:val="center"/>
                </w:tcPr>
                <w:p w14:paraId="73D8806A">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横东水质净化厂</w:t>
                  </w:r>
                </w:p>
              </w:tc>
              <w:tc>
                <w:tcPr>
                  <w:tcW w:w="495" w:type="pct"/>
                  <w:vAlign w:val="center"/>
                </w:tcPr>
                <w:p w14:paraId="4CC2734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51</w:t>
                  </w:r>
                </w:p>
              </w:tc>
              <w:tc>
                <w:tcPr>
                  <w:tcW w:w="798" w:type="pct"/>
                  <w:vAlign w:val="center"/>
                </w:tcPr>
                <w:p w14:paraId="3B00318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3E476A0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结构部分</w:t>
                  </w:r>
                </w:p>
              </w:tc>
            </w:tr>
            <w:tr w14:paraId="220C3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46" w:type="pct"/>
                  <w:vAlign w:val="center"/>
                </w:tcPr>
                <w:p w14:paraId="7E7A2AC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13</w:t>
                  </w:r>
                </w:p>
              </w:tc>
              <w:tc>
                <w:tcPr>
                  <w:tcW w:w="675" w:type="pct"/>
                  <w:vMerge w:val="continue"/>
                  <w:vAlign w:val="center"/>
                </w:tcPr>
                <w:p w14:paraId="336D8F40">
                  <w:pPr>
                    <w:jc w:val="center"/>
                    <w:rPr>
                      <w:rFonts w:ascii="宋体" w:hAnsi="宋体" w:eastAsia="宋体" w:cs="宋体"/>
                      <w:color w:val="auto"/>
                      <w:sz w:val="18"/>
                      <w:szCs w:val="18"/>
                      <w:highlight w:val="none"/>
                    </w:rPr>
                  </w:pPr>
                </w:p>
              </w:tc>
              <w:tc>
                <w:tcPr>
                  <w:tcW w:w="1745" w:type="pct"/>
                  <w:vAlign w:val="center"/>
                </w:tcPr>
                <w:p w14:paraId="05A4838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虎门宁洲水质净化厂</w:t>
                  </w:r>
                </w:p>
              </w:tc>
              <w:tc>
                <w:tcPr>
                  <w:tcW w:w="495" w:type="pct"/>
                  <w:vAlign w:val="center"/>
                </w:tcPr>
                <w:p w14:paraId="1200DD2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32</w:t>
                  </w:r>
                </w:p>
              </w:tc>
              <w:tc>
                <w:tcPr>
                  <w:tcW w:w="798" w:type="pct"/>
                  <w:vAlign w:val="center"/>
                </w:tcPr>
                <w:p w14:paraId="14FD03B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5285400E">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结构部分</w:t>
                  </w:r>
                </w:p>
              </w:tc>
            </w:tr>
            <w:tr w14:paraId="7FF6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46" w:type="pct"/>
                  <w:vAlign w:val="center"/>
                </w:tcPr>
                <w:p w14:paraId="33223C4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14</w:t>
                  </w:r>
                </w:p>
              </w:tc>
              <w:tc>
                <w:tcPr>
                  <w:tcW w:w="675" w:type="pct"/>
                  <w:vMerge w:val="continue"/>
                  <w:vAlign w:val="center"/>
                </w:tcPr>
                <w:p w14:paraId="49C68A6A">
                  <w:pPr>
                    <w:jc w:val="center"/>
                    <w:rPr>
                      <w:rFonts w:ascii="宋体" w:hAnsi="宋体" w:eastAsia="宋体" w:cs="宋体"/>
                      <w:color w:val="auto"/>
                      <w:sz w:val="18"/>
                      <w:szCs w:val="18"/>
                      <w:highlight w:val="none"/>
                    </w:rPr>
                  </w:pPr>
                </w:p>
              </w:tc>
              <w:tc>
                <w:tcPr>
                  <w:tcW w:w="1745" w:type="pct"/>
                  <w:vAlign w:val="center"/>
                </w:tcPr>
                <w:p w14:paraId="6B5284EC">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沙田福禄沙水质净化厂</w:t>
                  </w:r>
                </w:p>
              </w:tc>
              <w:tc>
                <w:tcPr>
                  <w:tcW w:w="495" w:type="pct"/>
                  <w:vAlign w:val="center"/>
                </w:tcPr>
                <w:p w14:paraId="6BB6E01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29</w:t>
                  </w:r>
                </w:p>
              </w:tc>
              <w:tc>
                <w:tcPr>
                  <w:tcW w:w="798" w:type="pct"/>
                  <w:vAlign w:val="center"/>
                </w:tcPr>
                <w:p w14:paraId="403C8A3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2025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08</w:t>
                  </w:r>
                </w:p>
              </w:tc>
              <w:tc>
                <w:tcPr>
                  <w:tcW w:w="840" w:type="pct"/>
                  <w:vAlign w:val="center"/>
                </w:tcPr>
                <w:p w14:paraId="7B755F33">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结构部分</w:t>
                  </w:r>
                </w:p>
              </w:tc>
            </w:tr>
          </w:tbl>
          <w:p w14:paraId="4AB1D966">
            <w:pPr>
              <w:spacing w:line="360" w:lineRule="auto"/>
              <w:rPr>
                <w:rFonts w:ascii="宋体" w:hAnsi="宋体" w:eastAsia="宋体" w:cs="宋体"/>
                <w:bCs/>
                <w:color w:val="auto"/>
                <w:sz w:val="18"/>
                <w:szCs w:val="18"/>
                <w:highlight w:val="none"/>
              </w:rPr>
            </w:pPr>
          </w:p>
        </w:tc>
        <w:tc>
          <w:tcPr>
            <w:tcW w:w="322" w:type="pct"/>
            <w:vAlign w:val="center"/>
          </w:tcPr>
          <w:p w14:paraId="3A47DE2D">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40D9EAA9">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4579901D">
            <w:pPr>
              <w:keepNext/>
              <w:keepLines/>
              <w:spacing w:line="360" w:lineRule="auto"/>
              <w:jc w:val="center"/>
              <w:rPr>
                <w:rFonts w:ascii="宋体" w:hAnsi="宋体" w:eastAsia="宋体" w:cs="宋体"/>
                <w:color w:val="auto"/>
                <w:kern w:val="0"/>
                <w:sz w:val="18"/>
                <w:szCs w:val="18"/>
                <w:highlight w:val="none"/>
              </w:rPr>
            </w:pPr>
          </w:p>
        </w:tc>
      </w:tr>
      <w:tr w14:paraId="5C23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8EB94BD">
            <w:pPr>
              <w:keepNext/>
              <w:keepLines/>
              <w:spacing w:line="360" w:lineRule="auto"/>
              <w:jc w:val="left"/>
              <w:outlineLvl w:val="2"/>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用户需求书“★”条款汇总：</w:t>
            </w:r>
            <w:bookmarkEnd w:id="1317"/>
            <w:bookmarkEnd w:id="1318"/>
            <w:bookmarkEnd w:id="1319"/>
            <w:bookmarkEnd w:id="1320"/>
            <w:bookmarkEnd w:id="1321"/>
            <w:bookmarkEnd w:id="1322"/>
            <w:bookmarkEnd w:id="1323"/>
            <w:bookmarkEnd w:id="1324"/>
          </w:p>
        </w:tc>
      </w:tr>
      <w:tr w14:paraId="4634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vAlign w:val="center"/>
          </w:tcPr>
          <w:p w14:paraId="6B911E19">
            <w:pPr>
              <w:spacing w:line="360" w:lineRule="auto"/>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p>
        </w:tc>
        <w:tc>
          <w:tcPr>
            <w:tcW w:w="412" w:type="pct"/>
            <w:vAlign w:val="center"/>
          </w:tcPr>
          <w:p w14:paraId="22465662">
            <w:pPr>
              <w:spacing w:line="360" w:lineRule="auto"/>
              <w:jc w:val="center"/>
              <w:rPr>
                <w:rFonts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三、费用说明</w:t>
            </w:r>
          </w:p>
        </w:tc>
        <w:tc>
          <w:tcPr>
            <w:tcW w:w="3300" w:type="pct"/>
            <w:vAlign w:val="center"/>
          </w:tcPr>
          <w:p w14:paraId="1A9B42E1">
            <w:pPr>
              <w:spacing w:line="360" w:lineRule="auto"/>
              <w:ind w:firstLine="361" w:firstLineChars="200"/>
              <w:rPr>
                <w:rFonts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★2、投标人需提供</w:t>
            </w:r>
            <w:r>
              <w:rPr>
                <w:rFonts w:hint="eastAsia" w:ascii="宋体" w:hAnsi="宋体" w:eastAsia="宋体" w:cs="宋体"/>
                <w:b/>
                <w:bCs/>
                <w:color w:val="auto"/>
                <w:sz w:val="18"/>
                <w:szCs w:val="18"/>
                <w:highlight w:val="none"/>
                <w:lang w:val="en-US" w:eastAsia="zh-CN"/>
              </w:rPr>
              <w:t>72块预留</w:t>
            </w:r>
            <w:r>
              <w:rPr>
                <w:rFonts w:hint="eastAsia" w:ascii="宋体" w:hAnsi="宋体" w:eastAsia="宋体" w:cs="宋体"/>
                <w:b/>
                <w:bCs/>
                <w:color w:val="auto"/>
                <w:sz w:val="18"/>
                <w:szCs w:val="18"/>
                <w:highlight w:val="none"/>
              </w:rPr>
              <w:t>光伏组件作为招标人在项目整体质保期满后运维使用，根据招标人的要求送货到指定地点，费用包含在总承包费用</w:t>
            </w:r>
            <w:r>
              <w:rPr>
                <w:rFonts w:hint="eastAsia" w:ascii="宋体" w:hAnsi="宋体" w:eastAsia="宋体" w:cs="宋体"/>
                <w:b/>
                <w:bCs/>
                <w:color w:val="auto"/>
                <w:sz w:val="18"/>
                <w:szCs w:val="18"/>
                <w:highlight w:val="none"/>
                <w:u w:val="none"/>
                <w:lang w:val="en-US" w:eastAsia="zh-CN"/>
              </w:rPr>
              <w:t>（固定每瓦单价）</w:t>
            </w:r>
            <w:r>
              <w:rPr>
                <w:rFonts w:hint="eastAsia" w:ascii="宋体" w:hAnsi="宋体" w:eastAsia="宋体" w:cs="宋体"/>
                <w:b/>
                <w:bCs/>
                <w:color w:val="auto"/>
                <w:sz w:val="18"/>
                <w:szCs w:val="18"/>
                <w:highlight w:val="none"/>
              </w:rPr>
              <w:t>中</w:t>
            </w:r>
            <w:r>
              <w:rPr>
                <w:rFonts w:hint="eastAsia" w:ascii="宋体" w:hAnsi="宋体" w:eastAsia="宋体" w:cs="宋体"/>
                <w:b/>
                <w:bCs/>
                <w:color w:val="auto"/>
                <w:sz w:val="18"/>
                <w:szCs w:val="18"/>
                <w:highlight w:val="none"/>
                <w:u w:val="none"/>
                <w:lang w:val="en-US" w:eastAsia="zh-CN"/>
              </w:rPr>
              <w:t>，不另行计费</w:t>
            </w:r>
            <w:r>
              <w:rPr>
                <w:rFonts w:hint="eastAsia" w:ascii="宋体" w:hAnsi="宋体" w:eastAsia="宋体" w:cs="宋体"/>
                <w:b/>
                <w:bCs/>
                <w:color w:val="auto"/>
                <w:sz w:val="18"/>
                <w:szCs w:val="18"/>
                <w:highlight w:val="none"/>
              </w:rPr>
              <w:t>。</w:t>
            </w:r>
          </w:p>
        </w:tc>
        <w:tc>
          <w:tcPr>
            <w:tcW w:w="322" w:type="pct"/>
            <w:vAlign w:val="center"/>
          </w:tcPr>
          <w:p w14:paraId="4E23304A">
            <w:pPr>
              <w:keepNext/>
              <w:keepLines/>
              <w:spacing w:line="360" w:lineRule="auto"/>
              <w:jc w:val="center"/>
              <w:rPr>
                <w:rFonts w:ascii="宋体" w:hAnsi="宋体" w:eastAsia="宋体" w:cs="宋体"/>
                <w:color w:val="auto"/>
                <w:kern w:val="0"/>
                <w:sz w:val="18"/>
                <w:szCs w:val="18"/>
                <w:highlight w:val="none"/>
              </w:rPr>
            </w:pPr>
          </w:p>
        </w:tc>
        <w:tc>
          <w:tcPr>
            <w:tcW w:w="341" w:type="pct"/>
            <w:vAlign w:val="center"/>
          </w:tcPr>
          <w:p w14:paraId="752428E2">
            <w:pPr>
              <w:keepNext/>
              <w:keepLines/>
              <w:spacing w:line="360" w:lineRule="auto"/>
              <w:jc w:val="center"/>
              <w:rPr>
                <w:rFonts w:ascii="宋体" w:hAnsi="宋体" w:eastAsia="宋体" w:cs="宋体"/>
                <w:color w:val="auto"/>
                <w:kern w:val="0"/>
                <w:sz w:val="18"/>
                <w:szCs w:val="18"/>
                <w:highlight w:val="none"/>
              </w:rPr>
            </w:pPr>
          </w:p>
        </w:tc>
        <w:tc>
          <w:tcPr>
            <w:tcW w:w="353" w:type="pct"/>
            <w:vAlign w:val="center"/>
          </w:tcPr>
          <w:p w14:paraId="55CEA868">
            <w:pPr>
              <w:keepNext/>
              <w:keepLines/>
              <w:spacing w:line="360" w:lineRule="auto"/>
              <w:jc w:val="center"/>
              <w:rPr>
                <w:rFonts w:ascii="宋体" w:hAnsi="宋体" w:eastAsia="宋体" w:cs="宋体"/>
                <w:color w:val="auto"/>
                <w:kern w:val="0"/>
                <w:sz w:val="18"/>
                <w:szCs w:val="18"/>
                <w:highlight w:val="none"/>
              </w:rPr>
            </w:pPr>
          </w:p>
        </w:tc>
      </w:tr>
    </w:tbl>
    <w:p w14:paraId="3CA4D78D">
      <w:pPr>
        <w:spacing w:line="360" w:lineRule="auto"/>
        <w:rPr>
          <w:rFonts w:ascii="宋体" w:hAnsi="宋体" w:eastAsia="宋体" w:cs="宋体"/>
          <w:color w:val="auto"/>
          <w:szCs w:val="21"/>
          <w:highlight w:val="none"/>
        </w:rPr>
      </w:pPr>
    </w:p>
    <w:p w14:paraId="2CA1D04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DF24B4D">
      <w:pPr>
        <w:spacing w:line="360" w:lineRule="auto"/>
        <w:ind w:left="605" w:leftChars="18" w:hanging="567" w:hangingChars="270"/>
        <w:rPr>
          <w:rFonts w:ascii="宋体" w:hAnsi="宋体" w:eastAsia="宋体" w:cs="宋体"/>
          <w:b/>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93C9D9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8A1E5FB">
      <w:pPr>
        <w:spacing w:line="360" w:lineRule="auto"/>
        <w:ind w:left="607" w:leftChars="18" w:hanging="569" w:hangingChars="270"/>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7A6C29BA">
      <w:pPr>
        <w:spacing w:line="360" w:lineRule="auto"/>
        <w:ind w:left="607" w:leftChars="18" w:hanging="569" w:hangingChars="270"/>
        <w:rPr>
          <w:rFonts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凡标有“★”的地方均被视为重要的商务要求或技术性能要求。投标人要特别加以注意，必须对此回答并完全满足这些要求，否则若有一项带“★”的条款未响应或不满足，将按无效投标处理</w:t>
      </w:r>
      <w:r>
        <w:rPr>
          <w:rFonts w:hint="eastAsia" w:ascii="宋体" w:hAnsi="宋体" w:eastAsia="宋体" w:cs="宋体"/>
          <w:b/>
          <w:color w:val="auto"/>
          <w:kern w:val="0"/>
          <w:sz w:val="24"/>
          <w:szCs w:val="21"/>
          <w:highlight w:val="none"/>
          <w:u w:val="single"/>
          <w:lang w:val="zh-CN"/>
        </w:rPr>
        <w:t>。</w:t>
      </w:r>
    </w:p>
    <w:p w14:paraId="15E9F667">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045B8067">
      <w:pPr>
        <w:autoSpaceDE w:val="0"/>
        <w:autoSpaceDN w:val="0"/>
        <w:adjustRightInd w:val="0"/>
        <w:spacing w:line="360" w:lineRule="auto"/>
        <w:ind w:firstLine="3780" w:firstLineChars="1800"/>
        <w:rPr>
          <w:rFonts w:ascii="宋体" w:hAnsi="宋体" w:eastAsia="宋体" w:cs="宋体"/>
          <w:color w:val="auto"/>
          <w:szCs w:val="21"/>
          <w:highlight w:val="none"/>
          <w:lang w:val="zh-CN"/>
        </w:rPr>
      </w:pPr>
    </w:p>
    <w:p w14:paraId="21B83118">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08405755">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732361A">
      <w:pPr>
        <w:autoSpaceDE w:val="0"/>
        <w:autoSpaceDN w:val="0"/>
        <w:adjustRightInd w:val="0"/>
        <w:spacing w:line="360" w:lineRule="auto"/>
        <w:jc w:val="center"/>
        <w:rPr>
          <w:rFonts w:ascii="宋体" w:hAnsi="宋体" w:eastAsia="宋体" w:cs="宋体"/>
          <w:b/>
          <w:bCs/>
          <w:color w:val="auto"/>
          <w:szCs w:val="24"/>
          <w:highlight w:val="none"/>
          <w:lang w:val="zh-CN"/>
        </w:rPr>
      </w:pPr>
    </w:p>
    <w:p w14:paraId="7AC152B9">
      <w:pPr>
        <w:widowControl/>
        <w:autoSpaceDE w:val="0"/>
        <w:autoSpaceDN w:val="0"/>
        <w:adjustRightInd w:val="0"/>
        <w:spacing w:line="360" w:lineRule="auto"/>
        <w:jc w:val="center"/>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15CD499">
      <w:pPr>
        <w:autoSpaceDE w:val="0"/>
        <w:autoSpaceDN w:val="0"/>
        <w:adjustRightInd w:val="0"/>
        <w:ind w:left="15" w:leftChars="-50" w:hanging="120"/>
        <w:jc w:val="left"/>
        <w:rPr>
          <w:rFonts w:ascii="宋体" w:hAnsi="宋体" w:eastAsia="宋体" w:cs="宋体"/>
          <w:color w:val="auto"/>
          <w:kern w:val="0"/>
          <w:szCs w:val="21"/>
          <w:highlight w:val="none"/>
        </w:rPr>
      </w:pPr>
    </w:p>
    <w:p w14:paraId="4703C22E">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1325" w:name="_Toc140596949"/>
      <w:bookmarkStart w:id="1326" w:name="_Toc102860438"/>
      <w:bookmarkStart w:id="1327" w:name="_Toc102860094"/>
      <w:bookmarkStart w:id="1328" w:name="_Toc142508389"/>
      <w:bookmarkStart w:id="1329" w:name="_Toc104991896"/>
      <w:bookmarkStart w:id="1330" w:name="_Toc533708139"/>
    </w:p>
    <w:p w14:paraId="16B09B5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31" w:name="_Toc195714407"/>
      <w:bookmarkStart w:id="1332" w:name="_Toc25329"/>
      <w:bookmarkStart w:id="1333" w:name="_Toc2738"/>
      <w:bookmarkStart w:id="1334" w:name="_Toc19562"/>
      <w:bookmarkStart w:id="1335" w:name="_Toc21914"/>
      <w:bookmarkStart w:id="1336" w:name="_Toc27871"/>
      <w:bookmarkStart w:id="1337" w:name="_Toc23332"/>
      <w:bookmarkStart w:id="1338" w:name="_Toc2023"/>
      <w:r>
        <w:rPr>
          <w:rFonts w:hint="eastAsia" w:ascii="宋体" w:hAnsi="宋体" w:eastAsia="宋体" w:cs="宋体"/>
          <w:b/>
          <w:color w:val="auto"/>
          <w:kern w:val="0"/>
          <w:sz w:val="30"/>
          <w:szCs w:val="30"/>
          <w:highlight w:val="none"/>
        </w:rPr>
        <w:t>二、</w:t>
      </w:r>
      <w:bookmarkEnd w:id="1331"/>
      <w:bookmarkEnd w:id="1332"/>
      <w:bookmarkEnd w:id="1333"/>
      <w:bookmarkEnd w:id="1334"/>
      <w:bookmarkEnd w:id="1335"/>
      <w:r>
        <w:rPr>
          <w:rFonts w:hint="eastAsia" w:ascii="宋体" w:hAnsi="宋体" w:eastAsia="宋体" w:cs="宋体"/>
          <w:b/>
          <w:color w:val="auto"/>
          <w:kern w:val="0"/>
          <w:sz w:val="30"/>
          <w:szCs w:val="30"/>
          <w:highlight w:val="none"/>
        </w:rPr>
        <w:t>供货货物清单表格式</w:t>
      </w:r>
      <w:bookmarkEnd w:id="1336"/>
      <w:bookmarkEnd w:id="1337"/>
      <w:bookmarkEnd w:id="1338"/>
    </w:p>
    <w:p w14:paraId="246BBDCD">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17961E56">
      <w:pPr>
        <w:autoSpaceDE w:val="0"/>
        <w:autoSpaceDN w:val="0"/>
        <w:adjustRightInd w:val="0"/>
        <w:snapToGrid w:val="0"/>
        <w:spacing w:line="360" w:lineRule="auto"/>
        <w:jc w:val="left"/>
        <w:rPr>
          <w:rFonts w:ascii="宋体" w:hAnsi="宋体" w:eastAsia="宋体" w:cs="宋体"/>
          <w:color w:val="auto"/>
          <w:kern w:val="0"/>
          <w:szCs w:val="21"/>
          <w:highlight w:val="none"/>
        </w:rPr>
      </w:pP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346"/>
        <w:gridCol w:w="982"/>
        <w:gridCol w:w="921"/>
        <w:gridCol w:w="1039"/>
        <w:gridCol w:w="980"/>
        <w:gridCol w:w="980"/>
        <w:gridCol w:w="980"/>
        <w:gridCol w:w="980"/>
        <w:gridCol w:w="427"/>
      </w:tblGrid>
      <w:tr w14:paraId="13E7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9279824">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货物明细</w:t>
            </w:r>
          </w:p>
        </w:tc>
      </w:tr>
      <w:tr w14:paraId="50EB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8" w:type="pct"/>
            <w:tcBorders>
              <w:top w:val="single" w:color="auto" w:sz="4" w:space="0"/>
              <w:left w:val="single" w:color="auto" w:sz="4" w:space="0"/>
              <w:bottom w:val="single" w:color="auto" w:sz="4" w:space="0"/>
              <w:right w:val="single" w:color="auto" w:sz="4" w:space="0"/>
            </w:tcBorders>
            <w:vAlign w:val="center"/>
          </w:tcPr>
          <w:p w14:paraId="3974114C">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730" w:type="pct"/>
            <w:tcBorders>
              <w:top w:val="single" w:color="auto" w:sz="4" w:space="0"/>
              <w:left w:val="single" w:color="auto" w:sz="4" w:space="0"/>
              <w:bottom w:val="single" w:color="auto" w:sz="4" w:space="0"/>
              <w:right w:val="single" w:color="auto" w:sz="4" w:space="0"/>
            </w:tcBorders>
            <w:vAlign w:val="center"/>
          </w:tcPr>
          <w:p w14:paraId="4578E45B">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项目名称</w:t>
            </w:r>
          </w:p>
        </w:tc>
        <w:tc>
          <w:tcPr>
            <w:tcW w:w="533" w:type="pct"/>
            <w:tcBorders>
              <w:top w:val="single" w:color="auto" w:sz="4" w:space="0"/>
              <w:left w:val="single" w:color="auto" w:sz="4" w:space="0"/>
              <w:bottom w:val="single" w:color="auto" w:sz="4" w:space="0"/>
              <w:right w:val="single" w:color="auto" w:sz="4" w:space="0"/>
            </w:tcBorders>
            <w:vAlign w:val="center"/>
          </w:tcPr>
          <w:p w14:paraId="283F1169">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品牌</w:t>
            </w:r>
          </w:p>
        </w:tc>
        <w:tc>
          <w:tcPr>
            <w:tcW w:w="500" w:type="pct"/>
            <w:tcBorders>
              <w:top w:val="single" w:color="auto" w:sz="4" w:space="0"/>
              <w:left w:val="single" w:color="auto" w:sz="4" w:space="0"/>
              <w:bottom w:val="single" w:color="auto" w:sz="4" w:space="0"/>
              <w:right w:val="single" w:color="auto" w:sz="4" w:space="0"/>
            </w:tcBorders>
            <w:vAlign w:val="center"/>
          </w:tcPr>
          <w:p w14:paraId="28392C31">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产地</w:t>
            </w:r>
          </w:p>
        </w:tc>
        <w:tc>
          <w:tcPr>
            <w:tcW w:w="564" w:type="pct"/>
            <w:tcBorders>
              <w:top w:val="single" w:color="auto" w:sz="4" w:space="0"/>
              <w:left w:val="single" w:color="auto" w:sz="4" w:space="0"/>
              <w:bottom w:val="single" w:color="auto" w:sz="4" w:space="0"/>
              <w:right w:val="single" w:color="auto" w:sz="4" w:space="0"/>
            </w:tcBorders>
            <w:vAlign w:val="center"/>
          </w:tcPr>
          <w:p w14:paraId="2F4BDE72">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规格、型号</w:t>
            </w:r>
          </w:p>
        </w:tc>
        <w:tc>
          <w:tcPr>
            <w:tcW w:w="532" w:type="pct"/>
            <w:tcBorders>
              <w:top w:val="single" w:color="auto" w:sz="4" w:space="0"/>
              <w:left w:val="single" w:color="auto" w:sz="4" w:space="0"/>
              <w:bottom w:val="single" w:color="auto" w:sz="4" w:space="0"/>
              <w:right w:val="single" w:color="auto" w:sz="4" w:space="0"/>
            </w:tcBorders>
            <w:vAlign w:val="center"/>
          </w:tcPr>
          <w:p w14:paraId="1F1E4DD5">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单位</w:t>
            </w:r>
          </w:p>
        </w:tc>
        <w:tc>
          <w:tcPr>
            <w:tcW w:w="532" w:type="pct"/>
            <w:tcBorders>
              <w:top w:val="single" w:color="auto" w:sz="4" w:space="0"/>
              <w:left w:val="single" w:color="auto" w:sz="4" w:space="0"/>
              <w:bottom w:val="single" w:color="auto" w:sz="4" w:space="0"/>
              <w:right w:val="single" w:color="auto" w:sz="4" w:space="0"/>
            </w:tcBorders>
            <w:vAlign w:val="center"/>
          </w:tcPr>
          <w:p w14:paraId="6DCC597B">
            <w:pPr>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312CDA8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生产厂家</w:t>
            </w:r>
          </w:p>
        </w:tc>
        <w:tc>
          <w:tcPr>
            <w:tcW w:w="532" w:type="pct"/>
            <w:tcBorders>
              <w:top w:val="single" w:color="auto" w:sz="4" w:space="0"/>
              <w:left w:val="single" w:color="auto" w:sz="4" w:space="0"/>
              <w:bottom w:val="single" w:color="auto" w:sz="4" w:space="0"/>
              <w:right w:val="single" w:color="auto" w:sz="4" w:space="0"/>
            </w:tcBorders>
            <w:vAlign w:val="center"/>
          </w:tcPr>
          <w:p w14:paraId="5E745EF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主要技术参数</w:t>
            </w:r>
          </w:p>
        </w:tc>
        <w:tc>
          <w:tcPr>
            <w:tcW w:w="206" w:type="pct"/>
            <w:tcBorders>
              <w:top w:val="single" w:color="auto" w:sz="4" w:space="0"/>
              <w:left w:val="single" w:color="auto" w:sz="4" w:space="0"/>
              <w:bottom w:val="single" w:color="auto" w:sz="4" w:space="0"/>
              <w:right w:val="single" w:color="auto" w:sz="4" w:space="0"/>
            </w:tcBorders>
            <w:vAlign w:val="center"/>
          </w:tcPr>
          <w:p w14:paraId="7933947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tc>
      </w:tr>
      <w:tr w14:paraId="30494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8" w:type="pct"/>
            <w:tcBorders>
              <w:top w:val="single" w:color="auto" w:sz="4" w:space="0"/>
              <w:left w:val="single" w:color="auto" w:sz="4" w:space="0"/>
              <w:bottom w:val="single" w:color="auto" w:sz="4" w:space="0"/>
              <w:right w:val="single" w:color="auto" w:sz="4" w:space="0"/>
            </w:tcBorders>
            <w:vAlign w:val="center"/>
          </w:tcPr>
          <w:p w14:paraId="7E82255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730" w:type="pct"/>
            <w:tcBorders>
              <w:top w:val="single" w:color="auto" w:sz="4" w:space="0"/>
              <w:left w:val="single" w:color="auto" w:sz="4" w:space="0"/>
              <w:bottom w:val="single" w:color="auto" w:sz="4" w:space="0"/>
              <w:right w:val="single" w:color="auto" w:sz="4" w:space="0"/>
            </w:tcBorders>
          </w:tcPr>
          <w:p w14:paraId="3E965F1F">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0041C11E">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724E7ECD">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6ED63AE">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7DC341F">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7267EEDC">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2C4A39C7">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8C325E4">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CFE6B52">
            <w:pPr>
              <w:spacing w:line="400" w:lineRule="exact"/>
              <w:jc w:val="center"/>
              <w:rPr>
                <w:rFonts w:ascii="宋体" w:hAnsi="宋体" w:eastAsia="宋体" w:cs="宋体"/>
                <w:color w:val="auto"/>
                <w:kern w:val="0"/>
                <w:szCs w:val="21"/>
                <w:highlight w:val="none"/>
              </w:rPr>
            </w:pPr>
          </w:p>
        </w:tc>
      </w:tr>
      <w:tr w14:paraId="2628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05683D4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730" w:type="pct"/>
            <w:tcBorders>
              <w:top w:val="single" w:color="auto" w:sz="4" w:space="0"/>
              <w:left w:val="single" w:color="auto" w:sz="4" w:space="0"/>
              <w:bottom w:val="single" w:color="auto" w:sz="4" w:space="0"/>
              <w:right w:val="single" w:color="auto" w:sz="4" w:space="0"/>
            </w:tcBorders>
          </w:tcPr>
          <w:p w14:paraId="4E85A590">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5FAE8219">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5C7B791">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6007424B">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4259596">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624CAFC0">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1FE1F2D9">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2C9FB22">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5082D68A">
            <w:pPr>
              <w:spacing w:line="400" w:lineRule="exact"/>
              <w:jc w:val="center"/>
              <w:rPr>
                <w:rFonts w:ascii="宋体" w:hAnsi="宋体" w:eastAsia="宋体" w:cs="宋体"/>
                <w:color w:val="auto"/>
                <w:kern w:val="0"/>
                <w:szCs w:val="21"/>
                <w:highlight w:val="none"/>
              </w:rPr>
            </w:pPr>
          </w:p>
        </w:tc>
      </w:tr>
      <w:tr w14:paraId="15E3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30B6E1A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730" w:type="pct"/>
            <w:tcBorders>
              <w:top w:val="single" w:color="auto" w:sz="4" w:space="0"/>
              <w:left w:val="single" w:color="auto" w:sz="4" w:space="0"/>
              <w:bottom w:val="single" w:color="auto" w:sz="4" w:space="0"/>
              <w:right w:val="single" w:color="auto" w:sz="4" w:space="0"/>
            </w:tcBorders>
          </w:tcPr>
          <w:p w14:paraId="03E36DB1">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2F72EE22">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0A3ACEBD">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04654222">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D6E1BDB">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641BEF6">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E7C4000">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718DF05F">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76D9BD38">
            <w:pPr>
              <w:spacing w:line="400" w:lineRule="exact"/>
              <w:jc w:val="center"/>
              <w:rPr>
                <w:rFonts w:ascii="宋体" w:hAnsi="宋体" w:eastAsia="宋体" w:cs="宋体"/>
                <w:color w:val="auto"/>
                <w:kern w:val="0"/>
                <w:szCs w:val="21"/>
                <w:highlight w:val="none"/>
              </w:rPr>
            </w:pPr>
          </w:p>
        </w:tc>
      </w:tr>
      <w:tr w14:paraId="527E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52C6683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730" w:type="pct"/>
            <w:tcBorders>
              <w:top w:val="single" w:color="auto" w:sz="4" w:space="0"/>
              <w:left w:val="single" w:color="auto" w:sz="4" w:space="0"/>
              <w:bottom w:val="single" w:color="auto" w:sz="4" w:space="0"/>
              <w:right w:val="single" w:color="auto" w:sz="4" w:space="0"/>
            </w:tcBorders>
          </w:tcPr>
          <w:p w14:paraId="15576ABC">
            <w:pPr>
              <w:autoSpaceDE w:val="0"/>
              <w:autoSpaceDN w:val="0"/>
              <w:adjustRightInd w:val="0"/>
              <w:spacing w:line="400" w:lineRule="exact"/>
              <w:jc w:val="center"/>
              <w:rPr>
                <w:rFonts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76FBD84D">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1AEED7B8">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0B26E23F">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CAC8D04">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5E34EFF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6634C86">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02BEA32C">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481704A">
            <w:pPr>
              <w:spacing w:line="400" w:lineRule="exact"/>
              <w:jc w:val="center"/>
              <w:rPr>
                <w:rFonts w:ascii="宋体" w:hAnsi="宋体" w:eastAsia="宋体" w:cs="宋体"/>
                <w:color w:val="auto"/>
                <w:kern w:val="0"/>
                <w:szCs w:val="21"/>
                <w:highlight w:val="none"/>
              </w:rPr>
            </w:pPr>
          </w:p>
        </w:tc>
      </w:tr>
      <w:tr w14:paraId="717A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338" w:type="pct"/>
            <w:tcBorders>
              <w:top w:val="single" w:color="auto" w:sz="4" w:space="0"/>
              <w:left w:val="single" w:color="auto" w:sz="4" w:space="0"/>
              <w:bottom w:val="single" w:color="auto" w:sz="4" w:space="0"/>
              <w:right w:val="single" w:color="auto" w:sz="4" w:space="0"/>
            </w:tcBorders>
            <w:vAlign w:val="center"/>
          </w:tcPr>
          <w:p w14:paraId="1B13A3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730" w:type="pct"/>
            <w:tcBorders>
              <w:top w:val="single" w:color="auto" w:sz="4" w:space="0"/>
              <w:left w:val="single" w:color="auto" w:sz="4" w:space="0"/>
              <w:bottom w:val="single" w:color="auto" w:sz="4" w:space="0"/>
              <w:right w:val="single" w:color="auto" w:sz="4" w:space="0"/>
            </w:tcBorders>
          </w:tcPr>
          <w:p w14:paraId="7A9F0517">
            <w:pPr>
              <w:autoSpaceDE w:val="0"/>
              <w:autoSpaceDN w:val="0"/>
              <w:adjustRightInd w:val="0"/>
              <w:spacing w:line="400" w:lineRule="exact"/>
              <w:jc w:val="center"/>
              <w:rPr>
                <w:rFonts w:ascii="宋体" w:hAnsi="宋体" w:eastAsia="宋体" w:cs="宋体"/>
                <w:color w:val="auto"/>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140D3B1B">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576C0C6D">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6814BD3A">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45B40BB4">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05272EE6">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E719168">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61869888">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4C2A793D">
            <w:pPr>
              <w:spacing w:line="400" w:lineRule="exact"/>
              <w:jc w:val="center"/>
              <w:rPr>
                <w:rFonts w:ascii="宋体" w:hAnsi="宋体" w:eastAsia="宋体" w:cs="宋体"/>
                <w:color w:val="auto"/>
                <w:kern w:val="0"/>
                <w:szCs w:val="21"/>
                <w:highlight w:val="none"/>
              </w:rPr>
            </w:pPr>
          </w:p>
        </w:tc>
      </w:tr>
      <w:tr w14:paraId="7BF8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8" w:type="pct"/>
            <w:tcBorders>
              <w:top w:val="single" w:color="auto" w:sz="4" w:space="0"/>
              <w:left w:val="single" w:color="auto" w:sz="4" w:space="0"/>
              <w:bottom w:val="single" w:color="auto" w:sz="4" w:space="0"/>
              <w:right w:val="single" w:color="auto" w:sz="4" w:space="0"/>
            </w:tcBorders>
            <w:vAlign w:val="center"/>
          </w:tcPr>
          <w:p w14:paraId="4805C8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730" w:type="pct"/>
            <w:tcBorders>
              <w:top w:val="single" w:color="auto" w:sz="4" w:space="0"/>
              <w:left w:val="single" w:color="auto" w:sz="4" w:space="0"/>
              <w:bottom w:val="single" w:color="auto" w:sz="4" w:space="0"/>
              <w:right w:val="single" w:color="auto" w:sz="4" w:space="0"/>
            </w:tcBorders>
            <w:vAlign w:val="center"/>
          </w:tcPr>
          <w:p w14:paraId="3AA36DEB">
            <w:pPr>
              <w:autoSpaceDE w:val="0"/>
              <w:autoSpaceDN w:val="0"/>
              <w:adjustRightInd w:val="0"/>
              <w:spacing w:line="400" w:lineRule="exact"/>
              <w:jc w:val="center"/>
              <w:rPr>
                <w:rFonts w:ascii="宋体" w:hAnsi="宋体" w:eastAsia="宋体" w:cs="宋体"/>
                <w:color w:val="auto"/>
                <w:kern w:val="0"/>
                <w:szCs w:val="21"/>
                <w:highlight w:val="none"/>
              </w:rPr>
            </w:pPr>
          </w:p>
        </w:tc>
        <w:tc>
          <w:tcPr>
            <w:tcW w:w="533" w:type="pct"/>
            <w:tcBorders>
              <w:top w:val="single" w:color="auto" w:sz="4" w:space="0"/>
              <w:left w:val="single" w:color="auto" w:sz="4" w:space="0"/>
              <w:bottom w:val="single" w:color="auto" w:sz="4" w:space="0"/>
              <w:right w:val="single" w:color="auto" w:sz="4" w:space="0"/>
            </w:tcBorders>
            <w:vAlign w:val="center"/>
          </w:tcPr>
          <w:p w14:paraId="5EC41770">
            <w:pPr>
              <w:spacing w:line="400" w:lineRule="exact"/>
              <w:jc w:val="center"/>
              <w:rPr>
                <w:rFonts w:ascii="宋体" w:hAnsi="宋体" w:eastAsia="宋体" w:cs="宋体"/>
                <w:color w:val="auto"/>
                <w:kern w:val="0"/>
                <w:szCs w:val="21"/>
                <w:highlight w:val="none"/>
              </w:rPr>
            </w:pPr>
          </w:p>
        </w:tc>
        <w:tc>
          <w:tcPr>
            <w:tcW w:w="500" w:type="pct"/>
            <w:tcBorders>
              <w:top w:val="single" w:color="auto" w:sz="4" w:space="0"/>
              <w:left w:val="single" w:color="auto" w:sz="4" w:space="0"/>
              <w:bottom w:val="single" w:color="auto" w:sz="4" w:space="0"/>
              <w:right w:val="single" w:color="auto" w:sz="4" w:space="0"/>
            </w:tcBorders>
            <w:vAlign w:val="center"/>
          </w:tcPr>
          <w:p w14:paraId="44D3E611">
            <w:pPr>
              <w:spacing w:line="400" w:lineRule="exact"/>
              <w:jc w:val="center"/>
              <w:rPr>
                <w:rFonts w:ascii="宋体" w:hAnsi="宋体" w:eastAsia="宋体" w:cs="宋体"/>
                <w:color w:val="auto"/>
                <w:kern w:val="0"/>
                <w:szCs w:val="21"/>
                <w:highlight w:val="none"/>
              </w:rPr>
            </w:pPr>
          </w:p>
        </w:tc>
        <w:tc>
          <w:tcPr>
            <w:tcW w:w="564" w:type="pct"/>
            <w:tcBorders>
              <w:top w:val="single" w:color="auto" w:sz="4" w:space="0"/>
              <w:left w:val="single" w:color="auto" w:sz="4" w:space="0"/>
              <w:bottom w:val="single" w:color="auto" w:sz="4" w:space="0"/>
              <w:right w:val="single" w:color="auto" w:sz="4" w:space="0"/>
            </w:tcBorders>
            <w:vAlign w:val="center"/>
          </w:tcPr>
          <w:p w14:paraId="3F47D1CF">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3FBFE22D">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vAlign w:val="center"/>
          </w:tcPr>
          <w:p w14:paraId="23B6DDE7">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55180163">
            <w:pPr>
              <w:spacing w:line="400" w:lineRule="exact"/>
              <w:jc w:val="center"/>
              <w:rPr>
                <w:rFonts w:ascii="宋体" w:hAnsi="宋体" w:eastAsia="宋体" w:cs="宋体"/>
                <w:color w:val="auto"/>
                <w:kern w:val="0"/>
                <w:szCs w:val="21"/>
                <w:highlight w:val="none"/>
              </w:rPr>
            </w:pPr>
          </w:p>
        </w:tc>
        <w:tc>
          <w:tcPr>
            <w:tcW w:w="532" w:type="pct"/>
            <w:tcBorders>
              <w:top w:val="single" w:color="auto" w:sz="4" w:space="0"/>
              <w:left w:val="single" w:color="auto" w:sz="4" w:space="0"/>
              <w:bottom w:val="single" w:color="auto" w:sz="4" w:space="0"/>
              <w:right w:val="single" w:color="auto" w:sz="4" w:space="0"/>
            </w:tcBorders>
          </w:tcPr>
          <w:p w14:paraId="433D8AC4">
            <w:pPr>
              <w:spacing w:line="400" w:lineRule="exact"/>
              <w:jc w:val="center"/>
              <w:rPr>
                <w:rFonts w:ascii="宋体" w:hAnsi="宋体" w:eastAsia="宋体" w:cs="宋体"/>
                <w:color w:val="auto"/>
                <w:kern w:val="0"/>
                <w:szCs w:val="21"/>
                <w:highlight w:val="none"/>
              </w:rPr>
            </w:pPr>
          </w:p>
        </w:tc>
        <w:tc>
          <w:tcPr>
            <w:tcW w:w="206" w:type="pct"/>
            <w:tcBorders>
              <w:top w:val="single" w:color="auto" w:sz="4" w:space="0"/>
              <w:left w:val="single" w:color="auto" w:sz="4" w:space="0"/>
              <w:bottom w:val="single" w:color="auto" w:sz="4" w:space="0"/>
              <w:right w:val="single" w:color="auto" w:sz="4" w:space="0"/>
            </w:tcBorders>
            <w:vAlign w:val="center"/>
          </w:tcPr>
          <w:p w14:paraId="340117D7">
            <w:pPr>
              <w:spacing w:line="400" w:lineRule="exact"/>
              <w:jc w:val="center"/>
              <w:rPr>
                <w:rFonts w:ascii="宋体" w:hAnsi="宋体" w:eastAsia="宋体" w:cs="宋体"/>
                <w:color w:val="auto"/>
                <w:kern w:val="0"/>
                <w:szCs w:val="21"/>
                <w:highlight w:val="none"/>
              </w:rPr>
            </w:pPr>
          </w:p>
        </w:tc>
      </w:tr>
    </w:tbl>
    <w:p w14:paraId="4C38C930">
      <w:pPr>
        <w:autoSpaceDE w:val="0"/>
        <w:autoSpaceDN w:val="0"/>
        <w:adjustRightInd w:val="0"/>
        <w:snapToGrid w:val="0"/>
        <w:spacing w:line="360" w:lineRule="auto"/>
        <w:ind w:firstLine="210" w:firstLineChars="100"/>
        <w:jc w:val="left"/>
        <w:rPr>
          <w:rFonts w:ascii="宋体" w:hAnsi="宋体" w:eastAsia="宋体" w:cs="宋体"/>
          <w:color w:val="auto"/>
          <w:kern w:val="0"/>
          <w:szCs w:val="21"/>
          <w:highlight w:val="none"/>
        </w:rPr>
      </w:pPr>
    </w:p>
    <w:p w14:paraId="4048159A">
      <w:pPr>
        <w:autoSpaceDE w:val="0"/>
        <w:autoSpaceDN w:val="0"/>
        <w:adjustRightInd w:val="0"/>
        <w:snapToGrid w:val="0"/>
        <w:spacing w:line="360" w:lineRule="auto"/>
        <w:ind w:firstLine="210" w:firstLineChars="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4D7F1E92">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（1）投标人应按用户需求书 附件1项目清单列明所要求的全部货物及其服务的明细清单；</w:t>
      </w:r>
    </w:p>
    <w:p w14:paraId="04F3972D">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zh-CN"/>
        </w:rPr>
        <w:t>货物明细中的</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zh-CN"/>
        </w:rPr>
        <w:t>名称、</w:t>
      </w:r>
      <w:r>
        <w:rPr>
          <w:rFonts w:hint="eastAsia" w:ascii="宋体" w:hAnsi="宋体" w:eastAsia="宋体" w:cs="宋体"/>
          <w:color w:val="auto"/>
          <w:kern w:val="0"/>
          <w:szCs w:val="21"/>
          <w:highlight w:val="none"/>
        </w:rPr>
        <w:t>单位</w:t>
      </w:r>
      <w:r>
        <w:rPr>
          <w:rFonts w:hint="eastAsia" w:ascii="宋体" w:hAnsi="宋体" w:eastAsia="宋体" w:cs="宋体"/>
          <w:color w:val="auto"/>
          <w:kern w:val="0"/>
          <w:szCs w:val="21"/>
          <w:highlight w:val="none"/>
          <w:lang w:val="zh-CN"/>
        </w:rPr>
        <w:t>、数量等，应与用户需求书 附件1项目清单一致，需包含光伏组件、逆变器、电缆、汇流箱、并网柜、计量设备、支架材料、监控设备等主材；</w:t>
      </w:r>
    </w:p>
    <w:p w14:paraId="7A614867">
      <w:pPr>
        <w:autoSpaceDE w:val="0"/>
        <w:autoSpaceDN w:val="0"/>
        <w:adjustRightInd w:val="0"/>
        <w:snapToGrid w:val="0"/>
        <w:spacing w:line="360" w:lineRule="auto"/>
        <w:ind w:left="976" w:leftChars="195" w:hanging="567" w:hangingChars="270"/>
        <w:jc w:val="left"/>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（3）表格可根据实际货物种类自行扩展。</w:t>
      </w:r>
    </w:p>
    <w:p w14:paraId="3178572F">
      <w:pPr>
        <w:autoSpaceDE w:val="0"/>
        <w:autoSpaceDN w:val="0"/>
        <w:adjustRightInd w:val="0"/>
        <w:spacing w:line="360" w:lineRule="auto"/>
        <w:ind w:firstLine="4200" w:firstLineChars="2000"/>
        <w:jc w:val="left"/>
        <w:rPr>
          <w:rFonts w:ascii="宋体" w:hAnsi="宋体" w:eastAsia="宋体" w:cs="宋体"/>
          <w:color w:val="auto"/>
          <w:kern w:val="3"/>
          <w:szCs w:val="21"/>
          <w:highlight w:val="none"/>
        </w:rPr>
      </w:pPr>
    </w:p>
    <w:p w14:paraId="4DF0D5D6">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AE71EFC">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ABE1EC">
      <w:pPr>
        <w:autoSpaceDE w:val="0"/>
        <w:autoSpaceDN w:val="0"/>
        <w:adjustRightInd w:val="0"/>
        <w:spacing w:line="360" w:lineRule="auto"/>
        <w:jc w:val="center"/>
        <w:rPr>
          <w:rFonts w:ascii="宋体" w:hAnsi="宋体" w:eastAsia="宋体" w:cs="宋体"/>
          <w:b/>
          <w:bCs/>
          <w:color w:val="auto"/>
          <w:szCs w:val="24"/>
          <w:highlight w:val="none"/>
          <w:lang w:val="zh-CN"/>
        </w:rPr>
      </w:pPr>
    </w:p>
    <w:p w14:paraId="64AE9ADF">
      <w:pPr>
        <w:widowControl/>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047E8B88">
      <w:pPr>
        <w:jc w:val="left"/>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4BBCFA47">
      <w:pPr>
        <w:tabs>
          <w:tab w:val="left" w:pos="567"/>
        </w:tabs>
        <w:autoSpaceDE w:val="0"/>
        <w:autoSpaceDN w:val="0"/>
        <w:adjustRightInd w:val="0"/>
        <w:spacing w:line="360" w:lineRule="auto"/>
        <w:jc w:val="left"/>
        <w:outlineLvl w:val="2"/>
        <w:rPr>
          <w:rFonts w:ascii="宋体" w:hAnsi="宋体" w:eastAsia="宋体" w:cs="宋体"/>
          <w:b/>
          <w:color w:val="auto"/>
          <w:szCs w:val="21"/>
          <w:highlight w:val="none"/>
        </w:rPr>
      </w:pPr>
      <w:bookmarkStart w:id="1339" w:name="_Toc6458"/>
      <w:bookmarkStart w:id="1340" w:name="_Toc21821"/>
      <w:bookmarkStart w:id="1341" w:name="_Toc18839"/>
      <w:bookmarkStart w:id="1342" w:name="_Toc195714408"/>
      <w:bookmarkStart w:id="1343" w:name="_Toc24563"/>
      <w:bookmarkStart w:id="1344" w:name="_Toc6066"/>
      <w:bookmarkStart w:id="1345" w:name="_Toc29450"/>
      <w:r>
        <w:rPr>
          <w:rFonts w:hint="eastAsia" w:ascii="宋体" w:hAnsi="宋体" w:eastAsia="宋体" w:cs="宋体"/>
          <w:b/>
          <w:color w:val="auto"/>
          <w:kern w:val="0"/>
          <w:sz w:val="30"/>
          <w:szCs w:val="30"/>
          <w:highlight w:val="none"/>
        </w:rPr>
        <w:t>三、光伏发电设施技术证明材料</w:t>
      </w:r>
    </w:p>
    <w:p w14:paraId="3ED8944D">
      <w:pPr>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3.1光伏项目建设使用的太阳能组件须为A级品质，提供其生产企业纳入国家工信部名录证明材料或产品通过TUV国际产品质量认证证书或CQC认证证书；</w:t>
      </w:r>
    </w:p>
    <w:p w14:paraId="6B2B9F49">
      <w:pPr>
        <w:spacing w:line="360" w:lineRule="auto"/>
        <w:jc w:val="left"/>
        <w:rPr>
          <w:rFonts w:ascii="宋体" w:hAnsi="宋体" w:eastAsia="宋体" w:cs="宋体"/>
          <w:b/>
          <w:bCs/>
          <w:color w:val="auto"/>
          <w:szCs w:val="21"/>
          <w:highlight w:val="none"/>
        </w:rPr>
      </w:pPr>
    </w:p>
    <w:p w14:paraId="7F34700C">
      <w:pPr>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3.2光伏组件防护等级不低于IP66，在雨、雾、露水的湿气的环境下能正常工作，耐火等级达到A级不燃。需提供具有相应资质机构出具的检测报告，若检测机构为英文版则需提供中文版检测报告；</w:t>
      </w:r>
    </w:p>
    <w:p w14:paraId="273F7ED2">
      <w:pPr>
        <w:spacing w:line="360" w:lineRule="auto"/>
        <w:rPr>
          <w:rFonts w:ascii="宋体" w:hAnsi="宋体" w:eastAsia="宋体" w:cs="宋体"/>
          <w:b/>
          <w:bCs/>
          <w:color w:val="auto"/>
          <w:szCs w:val="21"/>
          <w:highlight w:val="none"/>
        </w:rPr>
      </w:pPr>
    </w:p>
    <w:p w14:paraId="67228D9D">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3.3所供电池组件需满足抗25mm冰雹的撞击要求，冰雹实验需满足IEC61215相关规定，并提供实验冰球质量、尺寸及试验速度，同时提供组件适应安装的气候条件，需对所供组件的抗冰雹能力加以说明并提供证明文件；</w:t>
      </w:r>
    </w:p>
    <w:p w14:paraId="5D917667">
      <w:pPr>
        <w:spacing w:line="360" w:lineRule="auto"/>
        <w:rPr>
          <w:rFonts w:ascii="宋体" w:hAnsi="宋体" w:eastAsia="宋体" w:cs="宋体"/>
          <w:b/>
          <w:bCs/>
          <w:color w:val="auto"/>
          <w:szCs w:val="21"/>
          <w:highlight w:val="none"/>
        </w:rPr>
      </w:pPr>
    </w:p>
    <w:p w14:paraId="3953B096">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3.4成套配电箱内开关的3C认证证书和出厂检验报告；</w:t>
      </w:r>
    </w:p>
    <w:p w14:paraId="1A5304C6">
      <w:pPr>
        <w:spacing w:line="360" w:lineRule="auto"/>
        <w:rPr>
          <w:rFonts w:ascii="宋体" w:hAnsi="宋体" w:eastAsia="宋体" w:cs="宋体"/>
          <w:b/>
          <w:bCs/>
          <w:color w:val="auto"/>
          <w:szCs w:val="21"/>
          <w:highlight w:val="none"/>
        </w:rPr>
      </w:pPr>
    </w:p>
    <w:p w14:paraId="17DB3FBC">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3.5 并网柜与电气元件的3C认证证书。</w:t>
      </w:r>
    </w:p>
    <w:p w14:paraId="6BF026AD">
      <w:pPr>
        <w:numPr>
          <w:ilvl w:val="255"/>
          <w:numId w:val="0"/>
        </w:numPr>
        <w:spacing w:line="360" w:lineRule="auto"/>
        <w:rPr>
          <w:rFonts w:ascii="宋体" w:hAnsi="宋体" w:eastAsia="宋体" w:cs="宋体"/>
          <w:color w:val="auto"/>
          <w:szCs w:val="21"/>
          <w:highlight w:val="none"/>
        </w:rPr>
      </w:pPr>
    </w:p>
    <w:p w14:paraId="47B57318">
      <w:pPr>
        <w:tabs>
          <w:tab w:val="left" w:pos="567"/>
        </w:tabs>
        <w:autoSpaceDE w:val="0"/>
        <w:autoSpaceDN w:val="0"/>
        <w:adjustRightInd w:val="0"/>
        <w:spacing w:line="360" w:lineRule="auto"/>
        <w:jc w:val="left"/>
        <w:rPr>
          <w:rFonts w:ascii="宋体" w:hAnsi="宋体" w:eastAsia="宋体" w:cs="宋体"/>
          <w:b/>
          <w:bCs/>
          <w:color w:val="auto"/>
          <w:szCs w:val="21"/>
          <w:highlight w:val="none"/>
          <w:u w:val="single"/>
        </w:rPr>
      </w:pPr>
    </w:p>
    <w:p w14:paraId="4D3ECFCF">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四、光伏系统主要设备</w:t>
      </w:r>
      <w:bookmarkEnd w:id="1339"/>
      <w:bookmarkEnd w:id="1340"/>
      <w:bookmarkEnd w:id="1341"/>
      <w:r>
        <w:rPr>
          <w:rFonts w:hint="eastAsia" w:ascii="宋体" w:hAnsi="宋体" w:eastAsia="宋体" w:cs="宋体"/>
          <w:b/>
          <w:color w:val="auto"/>
          <w:kern w:val="0"/>
          <w:sz w:val="30"/>
          <w:szCs w:val="30"/>
          <w:highlight w:val="none"/>
        </w:rPr>
        <w:t>产品性能</w:t>
      </w:r>
    </w:p>
    <w:p w14:paraId="776F51B2">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46" w:name="_Toc12749"/>
      <w:bookmarkStart w:id="1347" w:name="_Toc26365"/>
      <w:bookmarkStart w:id="1348" w:name="_Toc4901"/>
      <w:r>
        <w:rPr>
          <w:rFonts w:hint="eastAsia" w:ascii="宋体" w:hAnsi="宋体" w:eastAsia="宋体" w:cs="宋体"/>
          <w:b/>
          <w:color w:val="auto"/>
          <w:kern w:val="0"/>
          <w:sz w:val="30"/>
          <w:szCs w:val="30"/>
          <w:highlight w:val="none"/>
        </w:rPr>
        <w:t>4.1 所投光伏组件产品综合性能</w:t>
      </w:r>
    </w:p>
    <w:p w14:paraId="482AA775">
      <w:pPr>
        <w:pStyle w:val="56"/>
        <w:ind w:firstLine="420"/>
        <w:rPr>
          <w:rFonts w:hint="default" w:hAnsi="宋体" w:cs="宋体"/>
          <w:color w:val="auto"/>
          <w:kern w:val="2"/>
          <w:sz w:val="21"/>
          <w:szCs w:val="21"/>
          <w:highlight w:val="none"/>
        </w:rPr>
      </w:pPr>
      <w:r>
        <w:rPr>
          <w:rFonts w:hAnsi="宋体" w:cs="宋体"/>
          <w:color w:val="auto"/>
          <w:kern w:val="2"/>
          <w:sz w:val="21"/>
          <w:szCs w:val="21"/>
          <w:highlight w:val="none"/>
          <w:lang w:bidi="ar"/>
        </w:rPr>
        <w:t>说明：需提供具有CMA（或CNAS）检测能力的第三方检测机构出具的投标产品的试验报告等检测报告，或产品认证证书，或投标产品性能说明书，或其他能体现投标产品性能的证明材料。</w:t>
      </w:r>
      <w:bookmarkEnd w:id="1346"/>
      <w:bookmarkEnd w:id="1347"/>
      <w:bookmarkEnd w:id="1348"/>
    </w:p>
    <w:p w14:paraId="4CF1A641">
      <w:pPr>
        <w:numPr>
          <w:ilvl w:val="255"/>
          <w:numId w:val="0"/>
        </w:numPr>
        <w:jc w:val="left"/>
        <w:rPr>
          <w:rFonts w:ascii="宋体" w:hAnsi="宋体" w:eastAsia="宋体" w:cs="宋体"/>
          <w:color w:val="auto"/>
          <w:highlight w:val="none"/>
        </w:rPr>
      </w:pPr>
      <w:r>
        <w:rPr>
          <w:rFonts w:hint="eastAsia" w:ascii="宋体" w:hAnsi="宋体" w:eastAsia="宋体" w:cs="宋体"/>
          <w:color w:val="auto"/>
          <w:highlight w:val="none"/>
        </w:rPr>
        <w:br w:type="page"/>
      </w:r>
    </w:p>
    <w:p w14:paraId="2A554799">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49" w:name="_Toc13760"/>
      <w:bookmarkStart w:id="1350" w:name="_Toc4506"/>
      <w:bookmarkStart w:id="1351" w:name="_Toc22286"/>
      <w:r>
        <w:rPr>
          <w:rFonts w:hint="eastAsia" w:ascii="宋体" w:hAnsi="宋体" w:eastAsia="宋体" w:cs="宋体"/>
          <w:b/>
          <w:color w:val="auto"/>
          <w:kern w:val="0"/>
          <w:sz w:val="30"/>
          <w:szCs w:val="30"/>
          <w:highlight w:val="none"/>
        </w:rPr>
        <w:t>4.2 所投逆变器产品综合性能</w:t>
      </w:r>
    </w:p>
    <w:p w14:paraId="3BA7C14A">
      <w:pPr>
        <w:pStyle w:val="56"/>
        <w:ind w:firstLine="420"/>
        <w:rPr>
          <w:rFonts w:hint="default" w:hAnsi="宋体" w:cs="宋体"/>
          <w:color w:val="auto"/>
          <w:kern w:val="2"/>
          <w:sz w:val="21"/>
          <w:szCs w:val="21"/>
          <w:highlight w:val="none"/>
        </w:rPr>
      </w:pPr>
      <w:r>
        <w:rPr>
          <w:rFonts w:hAnsi="宋体" w:cs="宋体"/>
          <w:color w:val="auto"/>
          <w:kern w:val="2"/>
          <w:sz w:val="21"/>
          <w:szCs w:val="21"/>
          <w:highlight w:val="none"/>
          <w:lang w:bidi="ar"/>
        </w:rPr>
        <w:t>说明：需提供具有CMA（或CNAS）检测能力的第三方检测机构出具的投标产品的试验报告等检测报告，或产品认证证书，或投标产品性能说明书，或其他能体现投标产品性能的证明材料。</w:t>
      </w:r>
    </w:p>
    <w:p w14:paraId="07824333">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4.3 其他产品性能（投标人自行提供书面说明和资料）</w:t>
      </w:r>
    </w:p>
    <w:p w14:paraId="6D3AFB8D">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五、质保时间</w:t>
      </w:r>
      <w:bookmarkEnd w:id="1349"/>
      <w:bookmarkEnd w:id="1350"/>
      <w:bookmarkEnd w:id="1351"/>
    </w:p>
    <w:p w14:paraId="2C3A6003">
      <w:pPr>
        <w:autoSpaceDE w:val="0"/>
        <w:autoSpaceDN w:val="0"/>
        <w:adjustRightInd w:val="0"/>
        <w:spacing w:line="360" w:lineRule="auto"/>
        <w:jc w:val="center"/>
        <w:rPr>
          <w:rFonts w:ascii="宋体" w:hAnsi="宋体" w:eastAsia="宋体" w:cs="宋体"/>
          <w:b/>
          <w:bCs/>
          <w:color w:val="auto"/>
          <w:sz w:val="30"/>
          <w:szCs w:val="30"/>
          <w:highlight w:val="none"/>
          <w:lang w:bidi="ar"/>
        </w:rPr>
      </w:pPr>
      <w:bookmarkStart w:id="1352" w:name="OLE_LINK341"/>
    </w:p>
    <w:bookmarkEnd w:id="1352"/>
    <w:p w14:paraId="5C90AB3C">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质保说明书</w:t>
      </w:r>
    </w:p>
    <w:tbl>
      <w:tblPr>
        <w:tblStyle w:val="4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9"/>
        <w:gridCol w:w="3246"/>
      </w:tblGrid>
      <w:tr w14:paraId="2AEA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vAlign w:val="center"/>
          </w:tcPr>
          <w:p w14:paraId="45AE48C6">
            <w:pPr>
              <w:autoSpaceDE w:val="0"/>
              <w:autoSpaceDN w:val="0"/>
              <w:adjustRightInd w:val="0"/>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vAlign w:val="center"/>
          </w:tcPr>
          <w:p w14:paraId="14230BC8">
            <w:pPr>
              <w:autoSpaceDE w:val="0"/>
              <w:autoSpaceDN w:val="0"/>
              <w:adjustRightInd w:val="0"/>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44D0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jc w:val="center"/>
        </w:trPr>
        <w:tc>
          <w:tcPr>
            <w:tcW w:w="3139" w:type="pct"/>
            <w:tcBorders>
              <w:top w:val="single" w:color="auto" w:sz="4" w:space="0"/>
              <w:left w:val="single" w:color="auto" w:sz="4" w:space="0"/>
              <w:bottom w:val="single" w:color="auto" w:sz="4" w:space="0"/>
              <w:right w:val="single" w:color="auto" w:sz="4" w:space="0"/>
            </w:tcBorders>
            <w:vAlign w:val="center"/>
          </w:tcPr>
          <w:p w14:paraId="6FD03F6C">
            <w:pPr>
              <w:autoSpaceDE w:val="0"/>
              <w:autoSpaceDN w:val="0"/>
              <w:adjustRightInd w:val="0"/>
              <w:spacing w:line="360" w:lineRule="auto"/>
              <w:jc w:val="left"/>
              <w:rPr>
                <w:rFonts w:ascii="宋体" w:hAnsi="宋体" w:eastAsia="宋体" w:cs="宋体"/>
                <w:color w:val="auto"/>
                <w:szCs w:val="21"/>
                <w:highlight w:val="none"/>
                <w:shd w:val="clear" w:color="auto" w:fill="FFFFFF"/>
              </w:rPr>
            </w:pPr>
            <w:r>
              <w:rPr>
                <w:rFonts w:hint="eastAsia" w:ascii="宋体" w:hAnsi="宋体" w:eastAsia="宋体" w:cs="宋体"/>
                <w:color w:val="auto"/>
                <w:kern w:val="0"/>
                <w:szCs w:val="21"/>
                <w:highlight w:val="none"/>
                <w:lang w:bidi="ar"/>
              </w:rPr>
              <w:t>在满足本项目整体最终验收合格之日起二年质保时间的基础上，承诺</w:t>
            </w:r>
            <w:r>
              <w:rPr>
                <w:rFonts w:hint="eastAsia" w:ascii="宋体" w:hAnsi="宋体" w:eastAsia="宋体" w:cs="宋体"/>
                <w:b/>
                <w:bCs/>
                <w:color w:val="auto"/>
                <w:kern w:val="0"/>
                <w:szCs w:val="21"/>
                <w:highlight w:val="none"/>
                <w:lang w:bidi="ar"/>
              </w:rPr>
              <w:t>增加</w:t>
            </w:r>
            <w:r>
              <w:rPr>
                <w:rFonts w:hint="eastAsia" w:ascii="宋体" w:hAnsi="宋体" w:eastAsia="宋体" w:cs="宋体"/>
                <w:color w:val="auto"/>
                <w:kern w:val="0"/>
                <w:szCs w:val="21"/>
                <w:highlight w:val="none"/>
                <w:lang w:bidi="ar"/>
              </w:rPr>
              <w:t>的质保时间为</w:t>
            </w:r>
          </w:p>
        </w:tc>
        <w:tc>
          <w:tcPr>
            <w:tcW w:w="1860" w:type="pct"/>
            <w:tcBorders>
              <w:top w:val="single" w:color="auto" w:sz="4" w:space="0"/>
              <w:left w:val="single" w:color="auto" w:sz="4" w:space="0"/>
              <w:bottom w:val="single" w:color="auto" w:sz="4" w:space="0"/>
              <w:right w:val="single" w:color="auto" w:sz="4" w:space="0"/>
            </w:tcBorders>
            <w:vAlign w:val="center"/>
          </w:tcPr>
          <w:p w14:paraId="4E60592D">
            <w:pPr>
              <w:autoSpaceDE w:val="0"/>
              <w:autoSpaceDN w:val="0"/>
              <w:adjustRightInd w:val="0"/>
              <w:spacing w:line="360" w:lineRule="auto"/>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Cs w:val="21"/>
                <w:highlight w:val="none"/>
                <w:u w:val="single"/>
                <w:lang w:bidi="ar"/>
              </w:rPr>
              <w:t xml:space="preserve">    </w:t>
            </w:r>
            <w:r>
              <w:rPr>
                <w:rFonts w:hint="eastAsia" w:ascii="宋体" w:hAnsi="宋体" w:eastAsia="宋体" w:cs="宋体"/>
                <w:bCs/>
                <w:color w:val="auto"/>
                <w:szCs w:val="21"/>
                <w:highlight w:val="none"/>
                <w:lang w:bidi="ar"/>
              </w:rPr>
              <w:t>年</w:t>
            </w:r>
          </w:p>
        </w:tc>
      </w:tr>
    </w:tbl>
    <w:p w14:paraId="7ADEFC58">
      <w:pPr>
        <w:autoSpaceDE w:val="0"/>
        <w:autoSpaceDN w:val="0"/>
        <w:adjustRightInd w:val="0"/>
        <w:spacing w:line="360" w:lineRule="auto"/>
        <w:jc w:val="left"/>
        <w:rPr>
          <w:rFonts w:ascii="宋体" w:hAnsi="宋体" w:eastAsia="宋体" w:cs="宋体"/>
          <w:color w:val="auto"/>
          <w:szCs w:val="21"/>
          <w:highlight w:val="none"/>
        </w:rPr>
      </w:pPr>
    </w:p>
    <w:p w14:paraId="00BC3F02">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1B8C54D6">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1.本说明书若未填或漏填的，视为投标人按用户需求书响应。</w:t>
      </w:r>
    </w:p>
    <w:p w14:paraId="5CD61B6F">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2.本说明书若与投标文件其他地方表述不一致的，以本承诺表为准。</w:t>
      </w:r>
    </w:p>
    <w:p w14:paraId="20824ABB">
      <w:pPr>
        <w:autoSpaceDE w:val="0"/>
        <w:autoSpaceDN w:val="0"/>
        <w:adjustRightInd w:val="0"/>
        <w:spacing w:line="360" w:lineRule="auto"/>
        <w:ind w:firstLine="4200" w:firstLineChars="2000"/>
        <w:jc w:val="left"/>
        <w:rPr>
          <w:rFonts w:ascii="宋体" w:hAnsi="宋体" w:eastAsia="宋体" w:cs="宋体"/>
          <w:color w:val="auto"/>
          <w:kern w:val="3"/>
          <w:szCs w:val="21"/>
          <w:highlight w:val="none"/>
        </w:rPr>
      </w:pPr>
    </w:p>
    <w:p w14:paraId="1B34E731">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2912862">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25D1C38">
      <w:pPr>
        <w:autoSpaceDE w:val="0"/>
        <w:autoSpaceDN w:val="0"/>
        <w:adjustRightInd w:val="0"/>
        <w:spacing w:line="360" w:lineRule="auto"/>
        <w:jc w:val="center"/>
        <w:rPr>
          <w:rFonts w:ascii="宋体" w:hAnsi="宋体" w:eastAsia="宋体" w:cs="宋体"/>
          <w:b/>
          <w:bCs/>
          <w:color w:val="auto"/>
          <w:szCs w:val="24"/>
          <w:highlight w:val="none"/>
          <w:lang w:val="zh-CN"/>
        </w:rPr>
      </w:pPr>
    </w:p>
    <w:p w14:paraId="18FBDC2A">
      <w:pPr>
        <w:widowControl/>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37863D4A">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70F22153">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53" w:name="_Toc13611"/>
      <w:bookmarkStart w:id="1354" w:name="_Toc29206"/>
      <w:bookmarkStart w:id="1355" w:name="_Toc12601"/>
      <w:bookmarkStart w:id="1356" w:name="_Toc29507"/>
      <w:r>
        <w:rPr>
          <w:rFonts w:hint="eastAsia" w:ascii="宋体" w:hAnsi="宋体" w:eastAsia="宋体" w:cs="宋体"/>
          <w:b/>
          <w:color w:val="auto"/>
          <w:kern w:val="0"/>
          <w:sz w:val="30"/>
          <w:szCs w:val="30"/>
          <w:highlight w:val="none"/>
        </w:rPr>
        <w:t>六、</w:t>
      </w:r>
      <w:bookmarkEnd w:id="1353"/>
      <w:r>
        <w:rPr>
          <w:rFonts w:hint="eastAsia" w:ascii="宋体" w:hAnsi="宋体" w:eastAsia="宋体" w:cs="宋体"/>
          <w:b/>
          <w:color w:val="auto"/>
          <w:kern w:val="0"/>
          <w:sz w:val="30"/>
          <w:szCs w:val="30"/>
          <w:highlight w:val="none"/>
        </w:rPr>
        <w:t>技术服务团队实力（投标人提供证明资料）</w:t>
      </w:r>
      <w:bookmarkEnd w:id="1354"/>
      <w:bookmarkEnd w:id="1355"/>
      <w:bookmarkEnd w:id="1356"/>
    </w:p>
    <w:p w14:paraId="4AE59013">
      <w:pPr>
        <w:spacing w:line="360" w:lineRule="auto"/>
        <w:ind w:firstLine="643"/>
        <w:jc w:val="center"/>
        <w:rPr>
          <w:rFonts w:ascii="宋体" w:hAnsi="宋体" w:eastAsia="宋体" w:cs="宋体"/>
          <w:color w:val="auto"/>
          <w:highlight w:val="none"/>
        </w:rPr>
      </w:pPr>
      <w:r>
        <w:rPr>
          <w:rFonts w:hint="eastAsia" w:ascii="宋体" w:hAnsi="宋体" w:eastAsia="宋体" w:cs="宋体"/>
          <w:b/>
          <w:color w:val="auto"/>
          <w:sz w:val="32"/>
          <w:szCs w:val="32"/>
          <w:highlight w:val="none"/>
        </w:rPr>
        <w:t>拟投入本项目的团队人员清单表</w:t>
      </w: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204"/>
        <w:gridCol w:w="723"/>
        <w:gridCol w:w="828"/>
        <w:gridCol w:w="840"/>
        <w:gridCol w:w="1613"/>
        <w:gridCol w:w="1161"/>
        <w:gridCol w:w="1046"/>
        <w:gridCol w:w="1044"/>
      </w:tblGrid>
      <w:tr w14:paraId="25F1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23A363A">
            <w:pPr>
              <w:pStyle w:val="56"/>
              <w:jc w:val="center"/>
              <w:rPr>
                <w:rFonts w:hint="default" w:hAnsi="宋体" w:cs="宋体"/>
                <w:color w:val="auto"/>
                <w:sz w:val="21"/>
                <w:szCs w:val="21"/>
                <w:highlight w:val="none"/>
              </w:rPr>
            </w:pPr>
            <w:r>
              <w:rPr>
                <w:rFonts w:hAnsi="宋体" w:cs="宋体"/>
                <w:color w:val="auto"/>
                <w:sz w:val="21"/>
                <w:szCs w:val="21"/>
                <w:highlight w:val="none"/>
              </w:rPr>
              <w:t>序号</w:t>
            </w:r>
          </w:p>
        </w:tc>
        <w:tc>
          <w:tcPr>
            <w:tcW w:w="1246" w:type="dxa"/>
            <w:vAlign w:val="center"/>
          </w:tcPr>
          <w:p w14:paraId="344C5EFE">
            <w:pPr>
              <w:pStyle w:val="56"/>
              <w:jc w:val="center"/>
              <w:rPr>
                <w:rFonts w:hint="default" w:hAnsi="宋体" w:cs="宋体"/>
                <w:color w:val="auto"/>
                <w:sz w:val="21"/>
                <w:szCs w:val="21"/>
                <w:highlight w:val="none"/>
              </w:rPr>
            </w:pPr>
            <w:r>
              <w:rPr>
                <w:rFonts w:hAnsi="宋体" w:cs="宋体"/>
                <w:color w:val="auto"/>
                <w:sz w:val="21"/>
                <w:szCs w:val="21"/>
                <w:highlight w:val="none"/>
              </w:rPr>
              <w:t>姓名</w:t>
            </w:r>
          </w:p>
        </w:tc>
        <w:tc>
          <w:tcPr>
            <w:tcW w:w="739" w:type="dxa"/>
            <w:vAlign w:val="center"/>
          </w:tcPr>
          <w:p w14:paraId="4F994D2E">
            <w:pPr>
              <w:pStyle w:val="56"/>
              <w:jc w:val="center"/>
              <w:rPr>
                <w:rFonts w:hint="default" w:hAnsi="宋体" w:cs="宋体"/>
                <w:color w:val="auto"/>
                <w:sz w:val="21"/>
                <w:szCs w:val="21"/>
                <w:highlight w:val="none"/>
              </w:rPr>
            </w:pPr>
            <w:r>
              <w:rPr>
                <w:rFonts w:hAnsi="宋体" w:cs="宋体"/>
                <w:color w:val="auto"/>
                <w:sz w:val="21"/>
                <w:szCs w:val="21"/>
                <w:highlight w:val="none"/>
              </w:rPr>
              <w:t>性别</w:t>
            </w:r>
          </w:p>
        </w:tc>
        <w:tc>
          <w:tcPr>
            <w:tcW w:w="850" w:type="dxa"/>
            <w:vAlign w:val="center"/>
          </w:tcPr>
          <w:p w14:paraId="19B24631">
            <w:pPr>
              <w:pStyle w:val="56"/>
              <w:jc w:val="center"/>
              <w:rPr>
                <w:rFonts w:hint="default" w:hAnsi="宋体" w:cs="宋体"/>
                <w:color w:val="auto"/>
                <w:sz w:val="21"/>
                <w:szCs w:val="21"/>
                <w:highlight w:val="none"/>
              </w:rPr>
            </w:pPr>
            <w:r>
              <w:rPr>
                <w:rFonts w:hAnsi="宋体" w:cs="宋体"/>
                <w:color w:val="auto"/>
                <w:sz w:val="21"/>
                <w:szCs w:val="21"/>
                <w:highlight w:val="none"/>
              </w:rPr>
              <w:t>年龄</w:t>
            </w:r>
          </w:p>
        </w:tc>
        <w:tc>
          <w:tcPr>
            <w:tcW w:w="862" w:type="dxa"/>
            <w:vAlign w:val="center"/>
          </w:tcPr>
          <w:p w14:paraId="4D82BC25">
            <w:pPr>
              <w:pStyle w:val="56"/>
              <w:jc w:val="center"/>
              <w:rPr>
                <w:rFonts w:hint="default" w:hAnsi="宋体" w:cs="宋体"/>
                <w:color w:val="auto"/>
                <w:sz w:val="21"/>
                <w:szCs w:val="21"/>
                <w:highlight w:val="none"/>
              </w:rPr>
            </w:pPr>
            <w:r>
              <w:rPr>
                <w:rFonts w:hAnsi="宋体" w:cs="宋体"/>
                <w:color w:val="auto"/>
                <w:sz w:val="21"/>
                <w:szCs w:val="21"/>
                <w:highlight w:val="none"/>
              </w:rPr>
              <w:t>学历</w:t>
            </w:r>
          </w:p>
        </w:tc>
        <w:tc>
          <w:tcPr>
            <w:tcW w:w="1677" w:type="dxa"/>
            <w:vAlign w:val="center"/>
          </w:tcPr>
          <w:p w14:paraId="039DE4DA">
            <w:pPr>
              <w:pStyle w:val="56"/>
              <w:jc w:val="center"/>
              <w:rPr>
                <w:rFonts w:hint="default" w:hAnsi="宋体" w:cs="宋体"/>
                <w:color w:val="auto"/>
                <w:sz w:val="21"/>
                <w:szCs w:val="21"/>
                <w:highlight w:val="none"/>
              </w:rPr>
            </w:pPr>
            <w:r>
              <w:rPr>
                <w:rFonts w:hAnsi="宋体" w:cs="宋体"/>
                <w:color w:val="auto"/>
                <w:sz w:val="21"/>
                <w:szCs w:val="21"/>
                <w:highlight w:val="none"/>
              </w:rPr>
              <w:t>资格/职称证书</w:t>
            </w:r>
          </w:p>
        </w:tc>
        <w:tc>
          <w:tcPr>
            <w:tcW w:w="1201" w:type="dxa"/>
            <w:vAlign w:val="center"/>
          </w:tcPr>
          <w:p w14:paraId="3E7E6DBE">
            <w:pPr>
              <w:pStyle w:val="56"/>
              <w:jc w:val="center"/>
              <w:rPr>
                <w:rFonts w:hint="default" w:hAnsi="宋体" w:cs="宋体"/>
                <w:color w:val="auto"/>
                <w:sz w:val="21"/>
                <w:szCs w:val="21"/>
                <w:highlight w:val="none"/>
              </w:rPr>
            </w:pPr>
            <w:r>
              <w:rPr>
                <w:rFonts w:hAnsi="宋体" w:cs="宋体"/>
                <w:color w:val="auto"/>
                <w:sz w:val="21"/>
                <w:szCs w:val="21"/>
                <w:highlight w:val="none"/>
              </w:rPr>
              <w:t>拟任职务</w:t>
            </w:r>
          </w:p>
        </w:tc>
        <w:tc>
          <w:tcPr>
            <w:tcW w:w="1080" w:type="dxa"/>
            <w:vAlign w:val="center"/>
          </w:tcPr>
          <w:p w14:paraId="6791FBFA">
            <w:pPr>
              <w:pStyle w:val="56"/>
              <w:jc w:val="center"/>
              <w:rPr>
                <w:rFonts w:hint="default" w:hAnsi="宋体" w:cs="宋体"/>
                <w:color w:val="auto"/>
                <w:sz w:val="21"/>
                <w:szCs w:val="21"/>
                <w:highlight w:val="none"/>
              </w:rPr>
            </w:pPr>
            <w:r>
              <w:rPr>
                <w:rFonts w:hAnsi="宋体" w:cs="宋体"/>
                <w:color w:val="auto"/>
                <w:sz w:val="21"/>
                <w:szCs w:val="21"/>
                <w:highlight w:val="none"/>
              </w:rPr>
              <w:t>从事本行业年限</w:t>
            </w:r>
          </w:p>
        </w:tc>
        <w:tc>
          <w:tcPr>
            <w:tcW w:w="1078" w:type="dxa"/>
            <w:vAlign w:val="center"/>
          </w:tcPr>
          <w:p w14:paraId="4AABDD23">
            <w:pPr>
              <w:pStyle w:val="56"/>
              <w:jc w:val="center"/>
              <w:rPr>
                <w:rFonts w:hint="default" w:hAnsi="宋体" w:cs="宋体"/>
                <w:color w:val="auto"/>
                <w:sz w:val="21"/>
                <w:szCs w:val="21"/>
                <w:highlight w:val="none"/>
              </w:rPr>
            </w:pPr>
            <w:r>
              <w:rPr>
                <w:rFonts w:hAnsi="宋体" w:cs="宋体"/>
                <w:color w:val="auto"/>
                <w:sz w:val="21"/>
                <w:szCs w:val="21"/>
                <w:highlight w:val="none"/>
              </w:rPr>
              <w:t>备注</w:t>
            </w:r>
          </w:p>
        </w:tc>
      </w:tr>
      <w:tr w14:paraId="318E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396DE6BF">
            <w:pPr>
              <w:pStyle w:val="56"/>
              <w:spacing w:line="480" w:lineRule="auto"/>
              <w:ind w:firstLine="420"/>
              <w:rPr>
                <w:rFonts w:hint="default" w:hAnsi="宋体" w:cs="宋体"/>
                <w:color w:val="auto"/>
                <w:sz w:val="21"/>
                <w:szCs w:val="21"/>
                <w:highlight w:val="none"/>
              </w:rPr>
            </w:pPr>
          </w:p>
        </w:tc>
        <w:tc>
          <w:tcPr>
            <w:tcW w:w="1246" w:type="dxa"/>
          </w:tcPr>
          <w:p w14:paraId="24AC0318">
            <w:pPr>
              <w:pStyle w:val="56"/>
              <w:spacing w:line="480" w:lineRule="auto"/>
              <w:ind w:firstLine="420"/>
              <w:rPr>
                <w:rFonts w:hint="default" w:hAnsi="宋体" w:cs="宋体"/>
                <w:color w:val="auto"/>
                <w:sz w:val="21"/>
                <w:szCs w:val="21"/>
                <w:highlight w:val="none"/>
              </w:rPr>
            </w:pPr>
          </w:p>
        </w:tc>
        <w:tc>
          <w:tcPr>
            <w:tcW w:w="739" w:type="dxa"/>
          </w:tcPr>
          <w:p w14:paraId="18E557A2">
            <w:pPr>
              <w:pStyle w:val="56"/>
              <w:spacing w:line="480" w:lineRule="auto"/>
              <w:ind w:firstLine="420"/>
              <w:rPr>
                <w:rFonts w:hint="default" w:hAnsi="宋体" w:cs="宋体"/>
                <w:color w:val="auto"/>
                <w:sz w:val="21"/>
                <w:szCs w:val="21"/>
                <w:highlight w:val="none"/>
              </w:rPr>
            </w:pPr>
          </w:p>
        </w:tc>
        <w:tc>
          <w:tcPr>
            <w:tcW w:w="850" w:type="dxa"/>
          </w:tcPr>
          <w:p w14:paraId="4937D1F3">
            <w:pPr>
              <w:pStyle w:val="56"/>
              <w:spacing w:line="480" w:lineRule="auto"/>
              <w:ind w:firstLine="420"/>
              <w:rPr>
                <w:rFonts w:hint="default" w:hAnsi="宋体" w:cs="宋体"/>
                <w:color w:val="auto"/>
                <w:sz w:val="21"/>
                <w:szCs w:val="21"/>
                <w:highlight w:val="none"/>
              </w:rPr>
            </w:pPr>
          </w:p>
        </w:tc>
        <w:tc>
          <w:tcPr>
            <w:tcW w:w="862" w:type="dxa"/>
          </w:tcPr>
          <w:p w14:paraId="6014464C">
            <w:pPr>
              <w:pStyle w:val="56"/>
              <w:spacing w:line="480" w:lineRule="auto"/>
              <w:ind w:firstLine="420"/>
              <w:rPr>
                <w:rFonts w:hint="default" w:hAnsi="宋体" w:cs="宋体"/>
                <w:color w:val="auto"/>
                <w:sz w:val="21"/>
                <w:szCs w:val="21"/>
                <w:highlight w:val="none"/>
              </w:rPr>
            </w:pPr>
          </w:p>
        </w:tc>
        <w:tc>
          <w:tcPr>
            <w:tcW w:w="1677" w:type="dxa"/>
          </w:tcPr>
          <w:p w14:paraId="08524DF2">
            <w:pPr>
              <w:pStyle w:val="56"/>
              <w:spacing w:line="480" w:lineRule="auto"/>
              <w:ind w:firstLine="420"/>
              <w:rPr>
                <w:rFonts w:hint="default" w:hAnsi="宋体" w:cs="宋体"/>
                <w:color w:val="auto"/>
                <w:sz w:val="21"/>
                <w:szCs w:val="21"/>
                <w:highlight w:val="none"/>
              </w:rPr>
            </w:pPr>
          </w:p>
        </w:tc>
        <w:tc>
          <w:tcPr>
            <w:tcW w:w="1201" w:type="dxa"/>
          </w:tcPr>
          <w:p w14:paraId="3264B6F7">
            <w:pPr>
              <w:pStyle w:val="56"/>
              <w:spacing w:line="480" w:lineRule="auto"/>
              <w:ind w:firstLine="420"/>
              <w:rPr>
                <w:rFonts w:hint="default" w:hAnsi="宋体" w:cs="宋体"/>
                <w:color w:val="auto"/>
                <w:sz w:val="21"/>
                <w:szCs w:val="21"/>
                <w:highlight w:val="none"/>
              </w:rPr>
            </w:pPr>
          </w:p>
        </w:tc>
        <w:tc>
          <w:tcPr>
            <w:tcW w:w="1080" w:type="dxa"/>
          </w:tcPr>
          <w:p w14:paraId="6D86E889">
            <w:pPr>
              <w:pStyle w:val="56"/>
              <w:spacing w:line="480" w:lineRule="auto"/>
              <w:ind w:firstLine="420"/>
              <w:rPr>
                <w:rFonts w:hint="default" w:hAnsi="宋体" w:cs="宋体"/>
                <w:color w:val="auto"/>
                <w:sz w:val="21"/>
                <w:szCs w:val="21"/>
                <w:highlight w:val="none"/>
              </w:rPr>
            </w:pPr>
          </w:p>
        </w:tc>
        <w:tc>
          <w:tcPr>
            <w:tcW w:w="1078" w:type="dxa"/>
          </w:tcPr>
          <w:p w14:paraId="262A89B6">
            <w:pPr>
              <w:pStyle w:val="56"/>
              <w:spacing w:line="480" w:lineRule="auto"/>
              <w:ind w:firstLine="420"/>
              <w:rPr>
                <w:rFonts w:hint="default" w:hAnsi="宋体" w:cs="宋体"/>
                <w:color w:val="auto"/>
                <w:sz w:val="21"/>
                <w:szCs w:val="21"/>
                <w:highlight w:val="none"/>
              </w:rPr>
            </w:pPr>
          </w:p>
        </w:tc>
      </w:tr>
      <w:tr w14:paraId="366E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5C7F18AB">
            <w:pPr>
              <w:pStyle w:val="56"/>
              <w:spacing w:line="480" w:lineRule="auto"/>
              <w:ind w:firstLine="420"/>
              <w:rPr>
                <w:rFonts w:hint="default" w:hAnsi="宋体" w:cs="宋体"/>
                <w:color w:val="auto"/>
                <w:sz w:val="21"/>
                <w:szCs w:val="21"/>
                <w:highlight w:val="none"/>
              </w:rPr>
            </w:pPr>
          </w:p>
        </w:tc>
        <w:tc>
          <w:tcPr>
            <w:tcW w:w="1246" w:type="dxa"/>
          </w:tcPr>
          <w:p w14:paraId="5809425C">
            <w:pPr>
              <w:pStyle w:val="56"/>
              <w:spacing w:line="480" w:lineRule="auto"/>
              <w:ind w:firstLine="420"/>
              <w:rPr>
                <w:rFonts w:hint="default" w:hAnsi="宋体" w:cs="宋体"/>
                <w:color w:val="auto"/>
                <w:sz w:val="21"/>
                <w:szCs w:val="21"/>
                <w:highlight w:val="none"/>
              </w:rPr>
            </w:pPr>
          </w:p>
        </w:tc>
        <w:tc>
          <w:tcPr>
            <w:tcW w:w="739" w:type="dxa"/>
          </w:tcPr>
          <w:p w14:paraId="7816E349">
            <w:pPr>
              <w:pStyle w:val="56"/>
              <w:spacing w:line="480" w:lineRule="auto"/>
              <w:ind w:firstLine="420"/>
              <w:rPr>
                <w:rFonts w:hint="default" w:hAnsi="宋体" w:cs="宋体"/>
                <w:color w:val="auto"/>
                <w:sz w:val="21"/>
                <w:szCs w:val="21"/>
                <w:highlight w:val="none"/>
              </w:rPr>
            </w:pPr>
          </w:p>
        </w:tc>
        <w:tc>
          <w:tcPr>
            <w:tcW w:w="850" w:type="dxa"/>
          </w:tcPr>
          <w:p w14:paraId="7B6DFE42">
            <w:pPr>
              <w:pStyle w:val="56"/>
              <w:spacing w:line="480" w:lineRule="auto"/>
              <w:ind w:firstLine="420"/>
              <w:rPr>
                <w:rFonts w:hint="default" w:hAnsi="宋体" w:cs="宋体"/>
                <w:color w:val="auto"/>
                <w:sz w:val="21"/>
                <w:szCs w:val="21"/>
                <w:highlight w:val="none"/>
              </w:rPr>
            </w:pPr>
          </w:p>
        </w:tc>
        <w:tc>
          <w:tcPr>
            <w:tcW w:w="862" w:type="dxa"/>
          </w:tcPr>
          <w:p w14:paraId="5F6490F4">
            <w:pPr>
              <w:pStyle w:val="56"/>
              <w:spacing w:line="480" w:lineRule="auto"/>
              <w:ind w:firstLine="420"/>
              <w:rPr>
                <w:rFonts w:hint="default" w:hAnsi="宋体" w:cs="宋体"/>
                <w:color w:val="auto"/>
                <w:sz w:val="21"/>
                <w:szCs w:val="21"/>
                <w:highlight w:val="none"/>
              </w:rPr>
            </w:pPr>
          </w:p>
        </w:tc>
        <w:tc>
          <w:tcPr>
            <w:tcW w:w="1677" w:type="dxa"/>
          </w:tcPr>
          <w:p w14:paraId="077066BE">
            <w:pPr>
              <w:pStyle w:val="56"/>
              <w:spacing w:line="480" w:lineRule="auto"/>
              <w:ind w:firstLine="420"/>
              <w:rPr>
                <w:rFonts w:hint="default" w:hAnsi="宋体" w:cs="宋体"/>
                <w:color w:val="auto"/>
                <w:sz w:val="21"/>
                <w:szCs w:val="21"/>
                <w:highlight w:val="none"/>
              </w:rPr>
            </w:pPr>
          </w:p>
        </w:tc>
        <w:tc>
          <w:tcPr>
            <w:tcW w:w="1201" w:type="dxa"/>
          </w:tcPr>
          <w:p w14:paraId="219C3037">
            <w:pPr>
              <w:pStyle w:val="56"/>
              <w:spacing w:line="480" w:lineRule="auto"/>
              <w:ind w:firstLine="420"/>
              <w:rPr>
                <w:rFonts w:hint="default" w:hAnsi="宋体" w:cs="宋体"/>
                <w:color w:val="auto"/>
                <w:sz w:val="21"/>
                <w:szCs w:val="21"/>
                <w:highlight w:val="none"/>
              </w:rPr>
            </w:pPr>
          </w:p>
        </w:tc>
        <w:tc>
          <w:tcPr>
            <w:tcW w:w="1080" w:type="dxa"/>
          </w:tcPr>
          <w:p w14:paraId="58B5ECCA">
            <w:pPr>
              <w:pStyle w:val="56"/>
              <w:spacing w:line="480" w:lineRule="auto"/>
              <w:ind w:firstLine="420"/>
              <w:rPr>
                <w:rFonts w:hint="default" w:hAnsi="宋体" w:cs="宋体"/>
                <w:color w:val="auto"/>
                <w:sz w:val="21"/>
                <w:szCs w:val="21"/>
                <w:highlight w:val="none"/>
              </w:rPr>
            </w:pPr>
          </w:p>
        </w:tc>
        <w:tc>
          <w:tcPr>
            <w:tcW w:w="1078" w:type="dxa"/>
          </w:tcPr>
          <w:p w14:paraId="4D3C77A7">
            <w:pPr>
              <w:pStyle w:val="56"/>
              <w:spacing w:line="480" w:lineRule="auto"/>
              <w:ind w:firstLine="420"/>
              <w:rPr>
                <w:rFonts w:hint="default" w:hAnsi="宋体" w:cs="宋体"/>
                <w:color w:val="auto"/>
                <w:sz w:val="21"/>
                <w:szCs w:val="21"/>
                <w:highlight w:val="none"/>
              </w:rPr>
            </w:pPr>
          </w:p>
        </w:tc>
      </w:tr>
      <w:tr w14:paraId="0ED7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60AD66D0">
            <w:pPr>
              <w:pStyle w:val="56"/>
              <w:spacing w:line="480" w:lineRule="auto"/>
              <w:ind w:firstLine="420"/>
              <w:rPr>
                <w:rFonts w:hint="default" w:hAnsi="宋体" w:cs="宋体"/>
                <w:color w:val="auto"/>
                <w:sz w:val="21"/>
                <w:szCs w:val="21"/>
                <w:highlight w:val="none"/>
              </w:rPr>
            </w:pPr>
          </w:p>
        </w:tc>
        <w:tc>
          <w:tcPr>
            <w:tcW w:w="1246" w:type="dxa"/>
          </w:tcPr>
          <w:p w14:paraId="308B4DF7">
            <w:pPr>
              <w:pStyle w:val="56"/>
              <w:spacing w:line="480" w:lineRule="auto"/>
              <w:ind w:firstLine="420"/>
              <w:rPr>
                <w:rFonts w:hint="default" w:hAnsi="宋体" w:cs="宋体"/>
                <w:color w:val="auto"/>
                <w:sz w:val="21"/>
                <w:szCs w:val="21"/>
                <w:highlight w:val="none"/>
              </w:rPr>
            </w:pPr>
          </w:p>
        </w:tc>
        <w:tc>
          <w:tcPr>
            <w:tcW w:w="739" w:type="dxa"/>
          </w:tcPr>
          <w:p w14:paraId="705ED6C3">
            <w:pPr>
              <w:pStyle w:val="56"/>
              <w:spacing w:line="480" w:lineRule="auto"/>
              <w:ind w:firstLine="420"/>
              <w:rPr>
                <w:rFonts w:hint="default" w:hAnsi="宋体" w:cs="宋体"/>
                <w:color w:val="auto"/>
                <w:sz w:val="21"/>
                <w:szCs w:val="21"/>
                <w:highlight w:val="none"/>
              </w:rPr>
            </w:pPr>
          </w:p>
        </w:tc>
        <w:tc>
          <w:tcPr>
            <w:tcW w:w="850" w:type="dxa"/>
          </w:tcPr>
          <w:p w14:paraId="20327E8B">
            <w:pPr>
              <w:pStyle w:val="56"/>
              <w:spacing w:line="480" w:lineRule="auto"/>
              <w:ind w:firstLine="420"/>
              <w:rPr>
                <w:rFonts w:hint="default" w:hAnsi="宋体" w:cs="宋体"/>
                <w:color w:val="auto"/>
                <w:sz w:val="21"/>
                <w:szCs w:val="21"/>
                <w:highlight w:val="none"/>
              </w:rPr>
            </w:pPr>
          </w:p>
        </w:tc>
        <w:tc>
          <w:tcPr>
            <w:tcW w:w="862" w:type="dxa"/>
          </w:tcPr>
          <w:p w14:paraId="5EF69C52">
            <w:pPr>
              <w:pStyle w:val="56"/>
              <w:spacing w:line="480" w:lineRule="auto"/>
              <w:ind w:firstLine="420"/>
              <w:rPr>
                <w:rFonts w:hint="default" w:hAnsi="宋体" w:cs="宋体"/>
                <w:color w:val="auto"/>
                <w:sz w:val="21"/>
                <w:szCs w:val="21"/>
                <w:highlight w:val="none"/>
              </w:rPr>
            </w:pPr>
          </w:p>
        </w:tc>
        <w:tc>
          <w:tcPr>
            <w:tcW w:w="1677" w:type="dxa"/>
          </w:tcPr>
          <w:p w14:paraId="4AD356E5">
            <w:pPr>
              <w:pStyle w:val="56"/>
              <w:spacing w:line="480" w:lineRule="auto"/>
              <w:ind w:firstLine="420"/>
              <w:rPr>
                <w:rFonts w:hint="default" w:hAnsi="宋体" w:cs="宋体"/>
                <w:color w:val="auto"/>
                <w:sz w:val="21"/>
                <w:szCs w:val="21"/>
                <w:highlight w:val="none"/>
              </w:rPr>
            </w:pPr>
          </w:p>
        </w:tc>
        <w:tc>
          <w:tcPr>
            <w:tcW w:w="1201" w:type="dxa"/>
          </w:tcPr>
          <w:p w14:paraId="7DE1F972">
            <w:pPr>
              <w:pStyle w:val="56"/>
              <w:spacing w:line="480" w:lineRule="auto"/>
              <w:ind w:firstLine="420"/>
              <w:rPr>
                <w:rFonts w:hint="default" w:hAnsi="宋体" w:cs="宋体"/>
                <w:color w:val="auto"/>
                <w:sz w:val="21"/>
                <w:szCs w:val="21"/>
                <w:highlight w:val="none"/>
              </w:rPr>
            </w:pPr>
          </w:p>
        </w:tc>
        <w:tc>
          <w:tcPr>
            <w:tcW w:w="1080" w:type="dxa"/>
          </w:tcPr>
          <w:p w14:paraId="0E5DD5BE">
            <w:pPr>
              <w:pStyle w:val="56"/>
              <w:spacing w:line="480" w:lineRule="auto"/>
              <w:ind w:firstLine="420"/>
              <w:rPr>
                <w:rFonts w:hint="default" w:hAnsi="宋体" w:cs="宋体"/>
                <w:color w:val="auto"/>
                <w:sz w:val="21"/>
                <w:szCs w:val="21"/>
                <w:highlight w:val="none"/>
              </w:rPr>
            </w:pPr>
          </w:p>
        </w:tc>
        <w:tc>
          <w:tcPr>
            <w:tcW w:w="1078" w:type="dxa"/>
          </w:tcPr>
          <w:p w14:paraId="5C23F1CC">
            <w:pPr>
              <w:pStyle w:val="56"/>
              <w:spacing w:line="480" w:lineRule="auto"/>
              <w:ind w:firstLine="420"/>
              <w:rPr>
                <w:rFonts w:hint="default" w:hAnsi="宋体" w:cs="宋体"/>
                <w:color w:val="auto"/>
                <w:sz w:val="21"/>
                <w:szCs w:val="21"/>
                <w:highlight w:val="none"/>
              </w:rPr>
            </w:pPr>
          </w:p>
        </w:tc>
      </w:tr>
      <w:tr w14:paraId="2F41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435A7C51">
            <w:pPr>
              <w:pStyle w:val="56"/>
              <w:spacing w:line="480" w:lineRule="auto"/>
              <w:ind w:firstLine="420"/>
              <w:rPr>
                <w:rFonts w:hint="default" w:hAnsi="宋体" w:cs="宋体"/>
                <w:color w:val="auto"/>
                <w:sz w:val="21"/>
                <w:szCs w:val="21"/>
                <w:highlight w:val="none"/>
              </w:rPr>
            </w:pPr>
          </w:p>
        </w:tc>
        <w:tc>
          <w:tcPr>
            <w:tcW w:w="1246" w:type="dxa"/>
          </w:tcPr>
          <w:p w14:paraId="547681A3">
            <w:pPr>
              <w:pStyle w:val="56"/>
              <w:spacing w:line="480" w:lineRule="auto"/>
              <w:ind w:firstLine="420"/>
              <w:rPr>
                <w:rFonts w:hint="default" w:hAnsi="宋体" w:cs="宋体"/>
                <w:color w:val="auto"/>
                <w:sz w:val="21"/>
                <w:szCs w:val="21"/>
                <w:highlight w:val="none"/>
              </w:rPr>
            </w:pPr>
          </w:p>
        </w:tc>
        <w:tc>
          <w:tcPr>
            <w:tcW w:w="739" w:type="dxa"/>
          </w:tcPr>
          <w:p w14:paraId="13D3B37C">
            <w:pPr>
              <w:pStyle w:val="56"/>
              <w:spacing w:line="480" w:lineRule="auto"/>
              <w:ind w:firstLine="420"/>
              <w:rPr>
                <w:rFonts w:hint="default" w:hAnsi="宋体" w:cs="宋体"/>
                <w:color w:val="auto"/>
                <w:sz w:val="21"/>
                <w:szCs w:val="21"/>
                <w:highlight w:val="none"/>
              </w:rPr>
            </w:pPr>
          </w:p>
        </w:tc>
        <w:tc>
          <w:tcPr>
            <w:tcW w:w="850" w:type="dxa"/>
          </w:tcPr>
          <w:p w14:paraId="632113D0">
            <w:pPr>
              <w:pStyle w:val="56"/>
              <w:spacing w:line="480" w:lineRule="auto"/>
              <w:ind w:firstLine="420"/>
              <w:rPr>
                <w:rFonts w:hint="default" w:hAnsi="宋体" w:cs="宋体"/>
                <w:color w:val="auto"/>
                <w:sz w:val="21"/>
                <w:szCs w:val="21"/>
                <w:highlight w:val="none"/>
              </w:rPr>
            </w:pPr>
          </w:p>
        </w:tc>
        <w:tc>
          <w:tcPr>
            <w:tcW w:w="862" w:type="dxa"/>
          </w:tcPr>
          <w:p w14:paraId="3DAB6B3C">
            <w:pPr>
              <w:pStyle w:val="56"/>
              <w:spacing w:line="480" w:lineRule="auto"/>
              <w:ind w:firstLine="420"/>
              <w:rPr>
                <w:rFonts w:hint="default" w:hAnsi="宋体" w:cs="宋体"/>
                <w:color w:val="auto"/>
                <w:sz w:val="21"/>
                <w:szCs w:val="21"/>
                <w:highlight w:val="none"/>
              </w:rPr>
            </w:pPr>
          </w:p>
        </w:tc>
        <w:tc>
          <w:tcPr>
            <w:tcW w:w="1677" w:type="dxa"/>
          </w:tcPr>
          <w:p w14:paraId="1EB9A034">
            <w:pPr>
              <w:pStyle w:val="56"/>
              <w:spacing w:line="480" w:lineRule="auto"/>
              <w:ind w:firstLine="420"/>
              <w:rPr>
                <w:rFonts w:hint="default" w:hAnsi="宋体" w:cs="宋体"/>
                <w:color w:val="auto"/>
                <w:sz w:val="21"/>
                <w:szCs w:val="21"/>
                <w:highlight w:val="none"/>
              </w:rPr>
            </w:pPr>
          </w:p>
        </w:tc>
        <w:tc>
          <w:tcPr>
            <w:tcW w:w="1201" w:type="dxa"/>
          </w:tcPr>
          <w:p w14:paraId="6833C4C0">
            <w:pPr>
              <w:pStyle w:val="56"/>
              <w:spacing w:line="480" w:lineRule="auto"/>
              <w:ind w:firstLine="420"/>
              <w:rPr>
                <w:rFonts w:hint="default" w:hAnsi="宋体" w:cs="宋体"/>
                <w:color w:val="auto"/>
                <w:sz w:val="21"/>
                <w:szCs w:val="21"/>
                <w:highlight w:val="none"/>
              </w:rPr>
            </w:pPr>
          </w:p>
        </w:tc>
        <w:tc>
          <w:tcPr>
            <w:tcW w:w="1080" w:type="dxa"/>
          </w:tcPr>
          <w:p w14:paraId="4188C3D3">
            <w:pPr>
              <w:pStyle w:val="56"/>
              <w:spacing w:line="480" w:lineRule="auto"/>
              <w:ind w:firstLine="420"/>
              <w:rPr>
                <w:rFonts w:hint="default" w:hAnsi="宋体" w:cs="宋体"/>
                <w:color w:val="auto"/>
                <w:sz w:val="21"/>
                <w:szCs w:val="21"/>
                <w:highlight w:val="none"/>
              </w:rPr>
            </w:pPr>
          </w:p>
        </w:tc>
        <w:tc>
          <w:tcPr>
            <w:tcW w:w="1078" w:type="dxa"/>
          </w:tcPr>
          <w:p w14:paraId="5D6F46E3">
            <w:pPr>
              <w:pStyle w:val="56"/>
              <w:spacing w:line="480" w:lineRule="auto"/>
              <w:ind w:firstLine="420"/>
              <w:rPr>
                <w:rFonts w:hint="default" w:hAnsi="宋体" w:cs="宋体"/>
                <w:color w:val="auto"/>
                <w:sz w:val="21"/>
                <w:szCs w:val="21"/>
                <w:highlight w:val="none"/>
              </w:rPr>
            </w:pPr>
          </w:p>
        </w:tc>
      </w:tr>
      <w:tr w14:paraId="5C13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3F7430E">
            <w:pPr>
              <w:pStyle w:val="56"/>
              <w:spacing w:line="480" w:lineRule="auto"/>
              <w:ind w:firstLine="420"/>
              <w:rPr>
                <w:rFonts w:hint="default" w:hAnsi="宋体" w:cs="宋体"/>
                <w:color w:val="auto"/>
                <w:sz w:val="21"/>
                <w:szCs w:val="21"/>
                <w:highlight w:val="none"/>
              </w:rPr>
            </w:pPr>
          </w:p>
        </w:tc>
        <w:tc>
          <w:tcPr>
            <w:tcW w:w="1246" w:type="dxa"/>
          </w:tcPr>
          <w:p w14:paraId="636B9CF2">
            <w:pPr>
              <w:pStyle w:val="56"/>
              <w:spacing w:line="480" w:lineRule="auto"/>
              <w:ind w:firstLine="420"/>
              <w:rPr>
                <w:rFonts w:hint="default" w:hAnsi="宋体" w:cs="宋体"/>
                <w:color w:val="auto"/>
                <w:sz w:val="21"/>
                <w:szCs w:val="21"/>
                <w:highlight w:val="none"/>
              </w:rPr>
            </w:pPr>
          </w:p>
        </w:tc>
        <w:tc>
          <w:tcPr>
            <w:tcW w:w="739" w:type="dxa"/>
          </w:tcPr>
          <w:p w14:paraId="26A644A5">
            <w:pPr>
              <w:pStyle w:val="56"/>
              <w:spacing w:line="480" w:lineRule="auto"/>
              <w:ind w:firstLine="420"/>
              <w:rPr>
                <w:rFonts w:hint="default" w:hAnsi="宋体" w:cs="宋体"/>
                <w:color w:val="auto"/>
                <w:sz w:val="21"/>
                <w:szCs w:val="21"/>
                <w:highlight w:val="none"/>
              </w:rPr>
            </w:pPr>
          </w:p>
        </w:tc>
        <w:tc>
          <w:tcPr>
            <w:tcW w:w="850" w:type="dxa"/>
          </w:tcPr>
          <w:p w14:paraId="2BFD90E1">
            <w:pPr>
              <w:pStyle w:val="56"/>
              <w:spacing w:line="480" w:lineRule="auto"/>
              <w:ind w:firstLine="420"/>
              <w:rPr>
                <w:rFonts w:hint="default" w:hAnsi="宋体" w:cs="宋体"/>
                <w:color w:val="auto"/>
                <w:sz w:val="21"/>
                <w:szCs w:val="21"/>
                <w:highlight w:val="none"/>
              </w:rPr>
            </w:pPr>
          </w:p>
        </w:tc>
        <w:tc>
          <w:tcPr>
            <w:tcW w:w="862" w:type="dxa"/>
          </w:tcPr>
          <w:p w14:paraId="375B907D">
            <w:pPr>
              <w:pStyle w:val="56"/>
              <w:spacing w:line="480" w:lineRule="auto"/>
              <w:ind w:firstLine="420"/>
              <w:rPr>
                <w:rFonts w:hint="default" w:hAnsi="宋体" w:cs="宋体"/>
                <w:color w:val="auto"/>
                <w:sz w:val="21"/>
                <w:szCs w:val="21"/>
                <w:highlight w:val="none"/>
              </w:rPr>
            </w:pPr>
          </w:p>
        </w:tc>
        <w:tc>
          <w:tcPr>
            <w:tcW w:w="1677" w:type="dxa"/>
          </w:tcPr>
          <w:p w14:paraId="0E171525">
            <w:pPr>
              <w:pStyle w:val="56"/>
              <w:spacing w:line="480" w:lineRule="auto"/>
              <w:ind w:firstLine="420"/>
              <w:rPr>
                <w:rFonts w:hint="default" w:hAnsi="宋体" w:cs="宋体"/>
                <w:color w:val="auto"/>
                <w:sz w:val="21"/>
                <w:szCs w:val="21"/>
                <w:highlight w:val="none"/>
              </w:rPr>
            </w:pPr>
          </w:p>
        </w:tc>
        <w:tc>
          <w:tcPr>
            <w:tcW w:w="1201" w:type="dxa"/>
          </w:tcPr>
          <w:p w14:paraId="6A5EB982">
            <w:pPr>
              <w:pStyle w:val="56"/>
              <w:spacing w:line="480" w:lineRule="auto"/>
              <w:ind w:firstLine="420"/>
              <w:rPr>
                <w:rFonts w:hint="default" w:hAnsi="宋体" w:cs="宋体"/>
                <w:color w:val="auto"/>
                <w:sz w:val="21"/>
                <w:szCs w:val="21"/>
                <w:highlight w:val="none"/>
              </w:rPr>
            </w:pPr>
          </w:p>
        </w:tc>
        <w:tc>
          <w:tcPr>
            <w:tcW w:w="1080" w:type="dxa"/>
          </w:tcPr>
          <w:p w14:paraId="61177492">
            <w:pPr>
              <w:pStyle w:val="56"/>
              <w:spacing w:line="480" w:lineRule="auto"/>
              <w:ind w:firstLine="420"/>
              <w:rPr>
                <w:rFonts w:hint="default" w:hAnsi="宋体" w:cs="宋体"/>
                <w:color w:val="auto"/>
                <w:sz w:val="21"/>
                <w:szCs w:val="21"/>
                <w:highlight w:val="none"/>
              </w:rPr>
            </w:pPr>
          </w:p>
        </w:tc>
        <w:tc>
          <w:tcPr>
            <w:tcW w:w="1078" w:type="dxa"/>
          </w:tcPr>
          <w:p w14:paraId="5CDC7FDC">
            <w:pPr>
              <w:pStyle w:val="56"/>
              <w:spacing w:line="480" w:lineRule="auto"/>
              <w:ind w:firstLine="420"/>
              <w:rPr>
                <w:rFonts w:hint="default" w:hAnsi="宋体" w:cs="宋体"/>
                <w:color w:val="auto"/>
                <w:sz w:val="21"/>
                <w:szCs w:val="21"/>
                <w:highlight w:val="none"/>
              </w:rPr>
            </w:pPr>
          </w:p>
        </w:tc>
      </w:tr>
      <w:tr w14:paraId="582B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7E16147E">
            <w:pPr>
              <w:pStyle w:val="56"/>
              <w:spacing w:line="480" w:lineRule="auto"/>
              <w:ind w:firstLine="420"/>
              <w:rPr>
                <w:rFonts w:hint="default" w:hAnsi="宋体" w:cs="宋体"/>
                <w:color w:val="auto"/>
                <w:sz w:val="21"/>
                <w:szCs w:val="21"/>
                <w:highlight w:val="none"/>
              </w:rPr>
            </w:pPr>
          </w:p>
        </w:tc>
        <w:tc>
          <w:tcPr>
            <w:tcW w:w="1246" w:type="dxa"/>
          </w:tcPr>
          <w:p w14:paraId="029230DE">
            <w:pPr>
              <w:pStyle w:val="56"/>
              <w:spacing w:line="480" w:lineRule="auto"/>
              <w:ind w:firstLine="420"/>
              <w:rPr>
                <w:rFonts w:hint="default" w:hAnsi="宋体" w:cs="宋体"/>
                <w:color w:val="auto"/>
                <w:sz w:val="21"/>
                <w:szCs w:val="21"/>
                <w:highlight w:val="none"/>
              </w:rPr>
            </w:pPr>
          </w:p>
        </w:tc>
        <w:tc>
          <w:tcPr>
            <w:tcW w:w="739" w:type="dxa"/>
          </w:tcPr>
          <w:p w14:paraId="641A4891">
            <w:pPr>
              <w:pStyle w:val="56"/>
              <w:spacing w:line="480" w:lineRule="auto"/>
              <w:ind w:firstLine="420"/>
              <w:rPr>
                <w:rFonts w:hint="default" w:hAnsi="宋体" w:cs="宋体"/>
                <w:color w:val="auto"/>
                <w:sz w:val="21"/>
                <w:szCs w:val="21"/>
                <w:highlight w:val="none"/>
              </w:rPr>
            </w:pPr>
          </w:p>
        </w:tc>
        <w:tc>
          <w:tcPr>
            <w:tcW w:w="850" w:type="dxa"/>
          </w:tcPr>
          <w:p w14:paraId="061D602A">
            <w:pPr>
              <w:pStyle w:val="56"/>
              <w:spacing w:line="480" w:lineRule="auto"/>
              <w:ind w:firstLine="420"/>
              <w:rPr>
                <w:rFonts w:hint="default" w:hAnsi="宋体" w:cs="宋体"/>
                <w:color w:val="auto"/>
                <w:sz w:val="21"/>
                <w:szCs w:val="21"/>
                <w:highlight w:val="none"/>
              </w:rPr>
            </w:pPr>
          </w:p>
        </w:tc>
        <w:tc>
          <w:tcPr>
            <w:tcW w:w="862" w:type="dxa"/>
          </w:tcPr>
          <w:p w14:paraId="7564E69C">
            <w:pPr>
              <w:pStyle w:val="56"/>
              <w:spacing w:line="480" w:lineRule="auto"/>
              <w:ind w:firstLine="420"/>
              <w:rPr>
                <w:rFonts w:hint="default" w:hAnsi="宋体" w:cs="宋体"/>
                <w:color w:val="auto"/>
                <w:sz w:val="21"/>
                <w:szCs w:val="21"/>
                <w:highlight w:val="none"/>
              </w:rPr>
            </w:pPr>
          </w:p>
        </w:tc>
        <w:tc>
          <w:tcPr>
            <w:tcW w:w="1677" w:type="dxa"/>
          </w:tcPr>
          <w:p w14:paraId="6E63C379">
            <w:pPr>
              <w:pStyle w:val="56"/>
              <w:spacing w:line="480" w:lineRule="auto"/>
              <w:ind w:firstLine="420"/>
              <w:rPr>
                <w:rFonts w:hint="default" w:hAnsi="宋体" w:cs="宋体"/>
                <w:color w:val="auto"/>
                <w:sz w:val="21"/>
                <w:szCs w:val="21"/>
                <w:highlight w:val="none"/>
              </w:rPr>
            </w:pPr>
          </w:p>
        </w:tc>
        <w:tc>
          <w:tcPr>
            <w:tcW w:w="1201" w:type="dxa"/>
          </w:tcPr>
          <w:p w14:paraId="3FEBFA29">
            <w:pPr>
              <w:pStyle w:val="56"/>
              <w:spacing w:line="480" w:lineRule="auto"/>
              <w:ind w:firstLine="420"/>
              <w:rPr>
                <w:rFonts w:hint="default" w:hAnsi="宋体" w:cs="宋体"/>
                <w:color w:val="auto"/>
                <w:sz w:val="21"/>
                <w:szCs w:val="21"/>
                <w:highlight w:val="none"/>
              </w:rPr>
            </w:pPr>
          </w:p>
        </w:tc>
        <w:tc>
          <w:tcPr>
            <w:tcW w:w="1080" w:type="dxa"/>
          </w:tcPr>
          <w:p w14:paraId="4324DA8B">
            <w:pPr>
              <w:pStyle w:val="56"/>
              <w:spacing w:line="480" w:lineRule="auto"/>
              <w:ind w:firstLine="420"/>
              <w:rPr>
                <w:rFonts w:hint="default" w:hAnsi="宋体" w:cs="宋体"/>
                <w:color w:val="auto"/>
                <w:sz w:val="21"/>
                <w:szCs w:val="21"/>
                <w:highlight w:val="none"/>
              </w:rPr>
            </w:pPr>
          </w:p>
        </w:tc>
        <w:tc>
          <w:tcPr>
            <w:tcW w:w="1078" w:type="dxa"/>
          </w:tcPr>
          <w:p w14:paraId="2DA97585">
            <w:pPr>
              <w:pStyle w:val="56"/>
              <w:spacing w:line="480" w:lineRule="auto"/>
              <w:ind w:firstLine="420"/>
              <w:rPr>
                <w:rFonts w:hint="default" w:hAnsi="宋体" w:cs="宋体"/>
                <w:color w:val="auto"/>
                <w:sz w:val="21"/>
                <w:szCs w:val="21"/>
                <w:highlight w:val="none"/>
              </w:rPr>
            </w:pPr>
          </w:p>
        </w:tc>
      </w:tr>
      <w:tr w14:paraId="04B5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Pr>
          <w:p w14:paraId="117288E3">
            <w:pPr>
              <w:pStyle w:val="56"/>
              <w:spacing w:line="480" w:lineRule="auto"/>
              <w:ind w:firstLine="420"/>
              <w:rPr>
                <w:rFonts w:hint="default" w:hAnsi="宋体" w:cs="宋体"/>
                <w:color w:val="auto"/>
                <w:sz w:val="21"/>
                <w:szCs w:val="21"/>
                <w:highlight w:val="none"/>
              </w:rPr>
            </w:pPr>
          </w:p>
        </w:tc>
        <w:tc>
          <w:tcPr>
            <w:tcW w:w="1246" w:type="dxa"/>
          </w:tcPr>
          <w:p w14:paraId="37BDB044">
            <w:pPr>
              <w:pStyle w:val="56"/>
              <w:spacing w:line="480" w:lineRule="auto"/>
              <w:ind w:firstLine="420"/>
              <w:rPr>
                <w:rFonts w:hint="default" w:hAnsi="宋体" w:cs="宋体"/>
                <w:color w:val="auto"/>
                <w:sz w:val="21"/>
                <w:szCs w:val="21"/>
                <w:highlight w:val="none"/>
              </w:rPr>
            </w:pPr>
          </w:p>
        </w:tc>
        <w:tc>
          <w:tcPr>
            <w:tcW w:w="739" w:type="dxa"/>
          </w:tcPr>
          <w:p w14:paraId="17B62ABB">
            <w:pPr>
              <w:pStyle w:val="56"/>
              <w:spacing w:line="480" w:lineRule="auto"/>
              <w:ind w:firstLine="420"/>
              <w:rPr>
                <w:rFonts w:hint="default" w:hAnsi="宋体" w:cs="宋体"/>
                <w:color w:val="auto"/>
                <w:sz w:val="21"/>
                <w:szCs w:val="21"/>
                <w:highlight w:val="none"/>
              </w:rPr>
            </w:pPr>
          </w:p>
        </w:tc>
        <w:tc>
          <w:tcPr>
            <w:tcW w:w="850" w:type="dxa"/>
          </w:tcPr>
          <w:p w14:paraId="17B069A7">
            <w:pPr>
              <w:pStyle w:val="56"/>
              <w:spacing w:line="480" w:lineRule="auto"/>
              <w:ind w:firstLine="420"/>
              <w:rPr>
                <w:rFonts w:hint="default" w:hAnsi="宋体" w:cs="宋体"/>
                <w:color w:val="auto"/>
                <w:sz w:val="21"/>
                <w:szCs w:val="21"/>
                <w:highlight w:val="none"/>
              </w:rPr>
            </w:pPr>
          </w:p>
        </w:tc>
        <w:tc>
          <w:tcPr>
            <w:tcW w:w="862" w:type="dxa"/>
          </w:tcPr>
          <w:p w14:paraId="09BE536E">
            <w:pPr>
              <w:pStyle w:val="56"/>
              <w:spacing w:line="480" w:lineRule="auto"/>
              <w:ind w:firstLine="420"/>
              <w:rPr>
                <w:rFonts w:hint="default" w:hAnsi="宋体" w:cs="宋体"/>
                <w:color w:val="auto"/>
                <w:sz w:val="21"/>
                <w:szCs w:val="21"/>
                <w:highlight w:val="none"/>
              </w:rPr>
            </w:pPr>
          </w:p>
        </w:tc>
        <w:tc>
          <w:tcPr>
            <w:tcW w:w="1677" w:type="dxa"/>
          </w:tcPr>
          <w:p w14:paraId="55ED873C">
            <w:pPr>
              <w:pStyle w:val="56"/>
              <w:spacing w:line="480" w:lineRule="auto"/>
              <w:ind w:firstLine="420"/>
              <w:rPr>
                <w:rFonts w:hint="default" w:hAnsi="宋体" w:cs="宋体"/>
                <w:color w:val="auto"/>
                <w:sz w:val="21"/>
                <w:szCs w:val="21"/>
                <w:highlight w:val="none"/>
              </w:rPr>
            </w:pPr>
          </w:p>
        </w:tc>
        <w:tc>
          <w:tcPr>
            <w:tcW w:w="1201" w:type="dxa"/>
          </w:tcPr>
          <w:p w14:paraId="21841509">
            <w:pPr>
              <w:pStyle w:val="56"/>
              <w:spacing w:line="480" w:lineRule="auto"/>
              <w:ind w:firstLine="420"/>
              <w:rPr>
                <w:rFonts w:hint="default" w:hAnsi="宋体" w:cs="宋体"/>
                <w:color w:val="auto"/>
                <w:sz w:val="21"/>
                <w:szCs w:val="21"/>
                <w:highlight w:val="none"/>
              </w:rPr>
            </w:pPr>
          </w:p>
        </w:tc>
        <w:tc>
          <w:tcPr>
            <w:tcW w:w="1080" w:type="dxa"/>
          </w:tcPr>
          <w:p w14:paraId="1051EF86">
            <w:pPr>
              <w:pStyle w:val="56"/>
              <w:spacing w:line="480" w:lineRule="auto"/>
              <w:ind w:firstLine="420"/>
              <w:rPr>
                <w:rFonts w:hint="default" w:hAnsi="宋体" w:cs="宋体"/>
                <w:color w:val="auto"/>
                <w:sz w:val="21"/>
                <w:szCs w:val="21"/>
                <w:highlight w:val="none"/>
              </w:rPr>
            </w:pPr>
          </w:p>
        </w:tc>
        <w:tc>
          <w:tcPr>
            <w:tcW w:w="1078" w:type="dxa"/>
          </w:tcPr>
          <w:p w14:paraId="4002E023">
            <w:pPr>
              <w:pStyle w:val="56"/>
              <w:spacing w:line="480" w:lineRule="auto"/>
              <w:ind w:firstLine="420"/>
              <w:rPr>
                <w:rFonts w:hint="default" w:hAnsi="宋体" w:cs="宋体"/>
                <w:color w:val="auto"/>
                <w:sz w:val="21"/>
                <w:szCs w:val="21"/>
                <w:highlight w:val="none"/>
              </w:rPr>
            </w:pPr>
          </w:p>
        </w:tc>
      </w:tr>
    </w:tbl>
    <w:p w14:paraId="6EF16DB5">
      <w:pPr>
        <w:pStyle w:val="56"/>
        <w:ind w:firstLine="420"/>
        <w:rPr>
          <w:rFonts w:hint="default" w:hAnsi="宋体" w:cs="宋体"/>
          <w:b/>
          <w:bCs w:val="0"/>
          <w:color w:val="auto"/>
          <w:sz w:val="21"/>
          <w:szCs w:val="21"/>
          <w:highlight w:val="none"/>
        </w:rPr>
      </w:pPr>
      <w:r>
        <w:rPr>
          <w:rFonts w:hAnsi="宋体" w:cs="宋体"/>
          <w:b/>
          <w:bCs w:val="0"/>
          <w:color w:val="auto"/>
          <w:sz w:val="21"/>
          <w:szCs w:val="21"/>
          <w:highlight w:val="none"/>
        </w:rPr>
        <w:t>备注：</w:t>
      </w:r>
    </w:p>
    <w:p w14:paraId="1E9DFF33">
      <w:pPr>
        <w:pStyle w:val="56"/>
        <w:ind w:firstLine="420"/>
        <w:rPr>
          <w:rFonts w:hint="default" w:hAnsi="宋体" w:cs="宋体"/>
          <w:b/>
          <w:bCs w:val="0"/>
          <w:color w:val="auto"/>
          <w:sz w:val="21"/>
          <w:szCs w:val="21"/>
          <w:highlight w:val="none"/>
        </w:rPr>
      </w:pPr>
      <w:bookmarkStart w:id="1357" w:name="OLE_LINK351"/>
      <w:r>
        <w:rPr>
          <w:rFonts w:hAnsi="宋体" w:cs="宋体"/>
          <w:b/>
          <w:bCs w:val="0"/>
          <w:color w:val="auto"/>
          <w:sz w:val="21"/>
          <w:szCs w:val="21"/>
          <w:highlight w:val="none"/>
        </w:rPr>
        <w:t>（1）此表格式供参照，投标人可以根据本表格式内容自行划表填写。</w:t>
      </w:r>
    </w:p>
    <w:bookmarkEnd w:id="1357"/>
    <w:p w14:paraId="45601F63">
      <w:pPr>
        <w:pStyle w:val="56"/>
        <w:ind w:firstLine="420"/>
        <w:rPr>
          <w:rFonts w:hint="default" w:hAnsi="宋体" w:cs="宋体"/>
          <w:b/>
          <w:bCs w:val="0"/>
          <w:color w:val="auto"/>
          <w:sz w:val="21"/>
          <w:szCs w:val="21"/>
          <w:highlight w:val="none"/>
        </w:rPr>
      </w:pPr>
      <w:r>
        <w:rPr>
          <w:rFonts w:hAnsi="宋体" w:cs="宋体"/>
          <w:b/>
          <w:bCs w:val="0"/>
          <w:color w:val="auto"/>
          <w:sz w:val="21"/>
          <w:szCs w:val="21"/>
          <w:highlight w:val="none"/>
        </w:rPr>
        <w:t>（2）须附有资格证书[学历证书/职称证/执业/职业资格证]的扫描件加盖投标人公章，并提供由人力资源和社会保障部门（或税务部门）出具的投标人2025年2月至2025年7月为其缴纳的社会保险凭证扫描件加盖投标人公章。</w:t>
      </w:r>
    </w:p>
    <w:p w14:paraId="3147F6DA">
      <w:pPr>
        <w:tabs>
          <w:tab w:val="left" w:pos="567"/>
        </w:tabs>
        <w:autoSpaceDE w:val="0"/>
        <w:autoSpaceDN w:val="0"/>
        <w:adjustRightInd w:val="0"/>
        <w:spacing w:line="360" w:lineRule="auto"/>
        <w:jc w:val="left"/>
        <w:rPr>
          <w:rFonts w:ascii="宋体" w:hAnsi="宋体" w:eastAsia="宋体" w:cs="宋体"/>
          <w:b/>
          <w:color w:val="auto"/>
          <w:kern w:val="0"/>
          <w:szCs w:val="21"/>
          <w:highlight w:val="none"/>
        </w:rPr>
      </w:pPr>
    </w:p>
    <w:p w14:paraId="66E3E392">
      <w:pPr>
        <w:widowControl/>
        <w:numPr>
          <w:ilvl w:val="255"/>
          <w:numId w:val="0"/>
        </w:numPr>
        <w:jc w:val="left"/>
        <w:rPr>
          <w:rFonts w:ascii="宋体" w:hAnsi="宋体" w:eastAsia="宋体" w:cs="宋体"/>
          <w:b/>
          <w:color w:val="auto"/>
          <w:kern w:val="0"/>
          <w:sz w:val="30"/>
          <w:szCs w:val="30"/>
          <w:highlight w:val="none"/>
        </w:rPr>
      </w:pPr>
      <w:bookmarkStart w:id="1358" w:name="_Toc3308"/>
      <w:bookmarkStart w:id="1359" w:name="_Toc14859"/>
      <w:bookmarkStart w:id="1360" w:name="_Toc17536"/>
      <w:r>
        <w:rPr>
          <w:rFonts w:hint="eastAsia" w:ascii="宋体" w:hAnsi="宋体" w:eastAsia="宋体" w:cs="宋体"/>
          <w:b/>
          <w:color w:val="auto"/>
          <w:kern w:val="0"/>
          <w:sz w:val="30"/>
          <w:szCs w:val="30"/>
          <w:highlight w:val="none"/>
        </w:rPr>
        <w:br w:type="page"/>
      </w:r>
    </w:p>
    <w:p w14:paraId="3E3D887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61" w:name="_Toc3012"/>
      <w:r>
        <w:rPr>
          <w:rFonts w:hint="eastAsia" w:ascii="宋体" w:hAnsi="宋体" w:eastAsia="宋体" w:cs="宋体"/>
          <w:b/>
          <w:color w:val="auto"/>
          <w:kern w:val="0"/>
          <w:sz w:val="30"/>
          <w:szCs w:val="30"/>
          <w:highlight w:val="none"/>
        </w:rPr>
        <w:t>七、</w:t>
      </w:r>
      <w:bookmarkEnd w:id="1358"/>
      <w:r>
        <w:rPr>
          <w:rFonts w:hint="eastAsia" w:ascii="宋体" w:hAnsi="宋体" w:eastAsia="宋体" w:cs="宋体"/>
          <w:b/>
          <w:color w:val="auto"/>
          <w:kern w:val="0"/>
          <w:sz w:val="30"/>
          <w:szCs w:val="30"/>
          <w:highlight w:val="none"/>
        </w:rPr>
        <w:t>系统总体设计方案</w:t>
      </w:r>
      <w:bookmarkEnd w:id="1359"/>
      <w:bookmarkEnd w:id="1360"/>
      <w:bookmarkEnd w:id="1361"/>
    </w:p>
    <w:p w14:paraId="4B628E0A">
      <w:pPr>
        <w:pStyle w:val="56"/>
        <w:ind w:firstLine="420"/>
        <w:rPr>
          <w:rFonts w:hint="default" w:hAnsi="宋体" w:cs="宋体"/>
          <w:color w:val="auto"/>
          <w:kern w:val="2"/>
          <w:sz w:val="21"/>
          <w:szCs w:val="21"/>
          <w:highlight w:val="none"/>
        </w:rPr>
      </w:pPr>
      <w:r>
        <w:rPr>
          <w:rFonts w:hAnsi="宋体" w:cs="宋体"/>
          <w:color w:val="auto"/>
          <w:kern w:val="2"/>
          <w:sz w:val="21"/>
          <w:szCs w:val="21"/>
          <w:highlight w:val="none"/>
        </w:rPr>
        <w:t>说明：投标人应根据本项目采购内容和评标工作大纲技术评审细则的要求，自行编制，系统总体设计方案主要包括但不限于以下内容：对本项目重点难点分析、场地分析、整体规划布置、技术措施、设计服务承诺等内容。</w:t>
      </w:r>
    </w:p>
    <w:p w14:paraId="727DD1D8">
      <w:pPr>
        <w:rPr>
          <w:rFonts w:ascii="宋体" w:hAnsi="宋体" w:eastAsia="宋体" w:cs="宋体"/>
          <w:b/>
          <w:color w:val="auto"/>
          <w:kern w:val="0"/>
          <w:sz w:val="30"/>
          <w:szCs w:val="30"/>
          <w:highlight w:val="none"/>
        </w:rPr>
      </w:pPr>
      <w:bookmarkStart w:id="1362" w:name="_Toc20404"/>
      <w:bookmarkStart w:id="1363" w:name="_Toc26071"/>
      <w:bookmarkStart w:id="1364" w:name="_Toc18994"/>
      <w:bookmarkStart w:id="1365" w:name="_Toc8905"/>
      <w:r>
        <w:rPr>
          <w:rFonts w:ascii="宋体" w:hAnsi="宋体" w:eastAsia="宋体" w:cs="宋体"/>
          <w:b/>
          <w:color w:val="auto"/>
          <w:kern w:val="0"/>
          <w:sz w:val="30"/>
          <w:szCs w:val="30"/>
          <w:highlight w:val="none"/>
        </w:rPr>
        <w:br w:type="page"/>
      </w:r>
    </w:p>
    <w:p w14:paraId="5AD36B4A">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八、</w:t>
      </w:r>
      <w:bookmarkEnd w:id="1362"/>
      <w:bookmarkEnd w:id="1363"/>
      <w:bookmarkEnd w:id="1364"/>
      <w:bookmarkStart w:id="1366" w:name="_Toc18621"/>
      <w:bookmarkStart w:id="1367" w:name="_Toc27659"/>
      <w:bookmarkStart w:id="1368" w:name="_Toc2251"/>
      <w:r>
        <w:rPr>
          <w:rFonts w:hint="eastAsia" w:ascii="宋体" w:hAnsi="宋体" w:eastAsia="宋体" w:cs="宋体"/>
          <w:b/>
          <w:color w:val="auto"/>
          <w:kern w:val="0"/>
          <w:sz w:val="30"/>
          <w:szCs w:val="30"/>
          <w:highlight w:val="none"/>
        </w:rPr>
        <w:t>项目实施方案</w:t>
      </w:r>
      <w:bookmarkEnd w:id="1366"/>
      <w:bookmarkEnd w:id="1367"/>
      <w:bookmarkEnd w:id="1368"/>
      <w:bookmarkStart w:id="1369" w:name="OLE_LINK342"/>
    </w:p>
    <w:p w14:paraId="024D4472">
      <w:pPr>
        <w:widowControl/>
        <w:numPr>
          <w:ilvl w:val="255"/>
          <w:numId w:val="0"/>
        </w:numPr>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说明：投标人应根据本项目采购内容和评标工作大纲技术评审细则的要求，自行编制，项目实施方案主要包括但不限于以下内容：项目进度计划、人员机械安排、供货计划、运输方案、安装技术方案、现场总平面布置、并网送电计划、质量保证方案、应急管理方案等内容。</w:t>
      </w:r>
    </w:p>
    <w:p w14:paraId="7D3814C0">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九、安全保证措施</w:t>
      </w:r>
    </w:p>
    <w:p w14:paraId="12E3FCA0">
      <w:pPr>
        <w:widowControl/>
        <w:numPr>
          <w:ilvl w:val="255"/>
          <w:numId w:val="0"/>
        </w:numPr>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说明：投标人应根据本项目采购内容和评标工作大纲技术评审细则的要求，自行编制，项目实施方案主要包括但不限于以下内容：</w:t>
      </w:r>
      <w:r>
        <w:rPr>
          <w:rFonts w:hint="eastAsia" w:ascii="宋体" w:hAnsi="宋体" w:eastAsia="宋体" w:cs="宋体"/>
          <w:color w:val="auto"/>
          <w:szCs w:val="21"/>
          <w:highlight w:val="none"/>
        </w:rPr>
        <w:t>不停产情况下池面上空作业的安全措施、</w:t>
      </w:r>
      <w:r>
        <w:rPr>
          <w:rFonts w:hint="eastAsia" w:ascii="宋体" w:hAnsi="宋体" w:eastAsia="宋体" w:cs="宋体"/>
          <w:bCs/>
          <w:color w:val="auto"/>
          <w:szCs w:val="21"/>
          <w:highlight w:val="none"/>
        </w:rPr>
        <w:t>成品保护措施、用电专项方案、高处作业专项方案、吊装作业专项方案、动火作业专项方案等内容。</w:t>
      </w:r>
    </w:p>
    <w:p w14:paraId="33A99932">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4637088E">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十、技术服务运维方案</w:t>
      </w:r>
    </w:p>
    <w:p w14:paraId="0550FE75">
      <w:pPr>
        <w:widowControl/>
        <w:numPr>
          <w:ilvl w:val="255"/>
          <w:numId w:val="0"/>
        </w:numPr>
        <w:spacing w:line="360" w:lineRule="auto"/>
        <w:ind w:firstLine="420" w:firstLineChars="200"/>
        <w:jc w:val="left"/>
        <w:rPr>
          <w:rFonts w:ascii="宋体" w:hAnsi="宋体" w:eastAsia="宋体" w:cs="宋体"/>
          <w:bCs/>
          <w:color w:val="auto"/>
          <w:szCs w:val="21"/>
          <w:highlight w:val="none"/>
        </w:rPr>
      </w:pPr>
      <w:r>
        <w:rPr>
          <w:rFonts w:hint="eastAsia" w:ascii="宋体" w:hAnsi="宋体" w:eastAsia="宋体" w:cs="宋体"/>
          <w:bCs/>
          <w:color w:val="auto"/>
          <w:szCs w:val="21"/>
          <w:highlight w:val="none"/>
        </w:rPr>
        <w:t>说明：投标人应根据本项目采购内容和评标工作大纲技术评审细则的要求，自行编制，项目实施方案主要包括但不限于以下内容：服务承诺、技术支持、保修期、备品备件、维护保养时间安排(整体检查计划、故障通知响应时间、修复故障时间)等]、应急和安全保障措施、技术培训等内容。</w:t>
      </w:r>
    </w:p>
    <w:p w14:paraId="5445ABBA">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02E2F577">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41C7343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bookmarkEnd w:id="1369"/>
    <w:p w14:paraId="7A250538">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1370" w:name="_Toc19170"/>
      <w:bookmarkStart w:id="1371" w:name="_Toc4101"/>
      <w:bookmarkStart w:id="1372" w:name="_Toc24213"/>
      <w:r>
        <w:rPr>
          <w:rFonts w:hint="eastAsia" w:ascii="宋体" w:hAnsi="宋体" w:eastAsia="宋体" w:cs="宋体"/>
          <w:b/>
          <w:color w:val="auto"/>
          <w:kern w:val="0"/>
          <w:sz w:val="30"/>
          <w:szCs w:val="30"/>
          <w:highlight w:val="none"/>
        </w:rPr>
        <w:t>十一、投标人认为有必要提供的其它材料（不做强制要求）</w:t>
      </w:r>
      <w:bookmarkEnd w:id="1365"/>
      <w:bookmarkEnd w:id="1370"/>
      <w:bookmarkEnd w:id="1371"/>
      <w:bookmarkEnd w:id="1372"/>
    </w:p>
    <w:bookmarkEnd w:id="1342"/>
    <w:bookmarkEnd w:id="1343"/>
    <w:bookmarkEnd w:id="1344"/>
    <w:bookmarkEnd w:id="1345"/>
    <w:p w14:paraId="598E77E7">
      <w:pPr>
        <w:widowControl/>
        <w:autoSpaceDE w:val="0"/>
        <w:autoSpaceDN w:val="0"/>
        <w:adjustRightInd w:val="0"/>
        <w:spacing w:line="360" w:lineRule="auto"/>
        <w:jc w:val="center"/>
        <w:rPr>
          <w:rFonts w:ascii="宋体" w:hAnsi="宋体" w:eastAsia="宋体" w:cs="宋体"/>
          <w:color w:val="auto"/>
          <w:szCs w:val="21"/>
          <w:highlight w:val="none"/>
        </w:rPr>
      </w:pPr>
    </w:p>
    <w:p w14:paraId="1B2089B7">
      <w:pPr>
        <w:pStyle w:val="18"/>
        <w:rPr>
          <w:rFonts w:ascii="宋体" w:hAnsi="宋体" w:eastAsia="宋体" w:cs="宋体"/>
          <w:color w:val="auto"/>
          <w:highlight w:val="none"/>
        </w:rPr>
      </w:pPr>
    </w:p>
    <w:p w14:paraId="2A8C7C45">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p w14:paraId="59D272BA">
      <w:pPr>
        <w:tabs>
          <w:tab w:val="left" w:pos="567"/>
        </w:tabs>
        <w:autoSpaceDE w:val="0"/>
        <w:autoSpaceDN w:val="0"/>
        <w:adjustRightInd w:val="0"/>
        <w:spacing w:line="360" w:lineRule="auto"/>
        <w:jc w:val="left"/>
        <w:rPr>
          <w:rFonts w:ascii="宋体" w:hAnsi="宋体" w:eastAsia="宋体" w:cs="宋体"/>
          <w:b/>
          <w:color w:val="auto"/>
          <w:kern w:val="0"/>
          <w:sz w:val="30"/>
          <w:szCs w:val="30"/>
          <w:highlight w:val="none"/>
        </w:rPr>
      </w:pPr>
    </w:p>
    <w:bookmarkEnd w:id="1325"/>
    <w:bookmarkEnd w:id="1326"/>
    <w:bookmarkEnd w:id="1327"/>
    <w:bookmarkEnd w:id="1328"/>
    <w:bookmarkEnd w:id="1329"/>
    <w:p w14:paraId="6ADD47B9">
      <w:pPr>
        <w:autoSpaceDE w:val="0"/>
        <w:autoSpaceDN w:val="0"/>
        <w:adjustRightInd w:val="0"/>
        <w:jc w:val="left"/>
        <w:rPr>
          <w:rFonts w:ascii="宋体" w:hAnsi="宋体" w:eastAsia="宋体" w:cs="宋体"/>
          <w:color w:val="auto"/>
          <w:kern w:val="0"/>
          <w:sz w:val="24"/>
          <w:szCs w:val="24"/>
          <w:highlight w:val="none"/>
        </w:rPr>
      </w:pPr>
    </w:p>
    <w:p w14:paraId="58EFE01D">
      <w:pPr>
        <w:autoSpaceDE w:val="0"/>
        <w:autoSpaceDN w:val="0"/>
        <w:adjustRightInd w:val="0"/>
        <w:jc w:val="left"/>
        <w:rPr>
          <w:rFonts w:ascii="宋体" w:hAnsi="宋体" w:eastAsia="宋体" w:cs="宋体"/>
          <w:color w:val="auto"/>
          <w:kern w:val="0"/>
          <w:sz w:val="24"/>
          <w:szCs w:val="24"/>
          <w:highlight w:val="none"/>
        </w:rPr>
      </w:pPr>
    </w:p>
    <w:p w14:paraId="0D3FB488">
      <w:pPr>
        <w:autoSpaceDE w:val="0"/>
        <w:autoSpaceDN w:val="0"/>
        <w:adjustRightInd w:val="0"/>
        <w:jc w:val="left"/>
        <w:rPr>
          <w:rFonts w:ascii="宋体" w:hAnsi="宋体" w:eastAsia="宋体" w:cs="宋体"/>
          <w:color w:val="auto"/>
          <w:kern w:val="0"/>
          <w:sz w:val="24"/>
          <w:szCs w:val="24"/>
          <w:highlight w:val="none"/>
        </w:rPr>
      </w:pPr>
    </w:p>
    <w:p w14:paraId="6B0B95C6">
      <w:pPr>
        <w:autoSpaceDE w:val="0"/>
        <w:autoSpaceDN w:val="0"/>
        <w:adjustRightInd w:val="0"/>
        <w:jc w:val="left"/>
        <w:rPr>
          <w:rFonts w:ascii="宋体" w:hAnsi="宋体" w:eastAsia="宋体" w:cs="宋体"/>
          <w:color w:val="auto"/>
          <w:kern w:val="0"/>
          <w:sz w:val="24"/>
          <w:szCs w:val="24"/>
          <w:highlight w:val="none"/>
        </w:rPr>
      </w:pPr>
    </w:p>
    <w:p w14:paraId="4AB8573A">
      <w:pPr>
        <w:jc w:val="left"/>
        <w:rPr>
          <w:rFonts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43D9977">
      <w:pPr>
        <w:jc w:val="center"/>
        <w:outlineLvl w:val="1"/>
        <w:rPr>
          <w:rFonts w:ascii="宋体" w:hAnsi="宋体" w:eastAsia="宋体" w:cs="宋体"/>
          <w:b/>
          <w:color w:val="auto"/>
          <w:kern w:val="0"/>
          <w:sz w:val="32"/>
          <w:szCs w:val="32"/>
          <w:highlight w:val="none"/>
        </w:rPr>
      </w:pPr>
      <w:bookmarkStart w:id="1373" w:name="_Toc28725"/>
      <w:bookmarkStart w:id="1374" w:name="_Toc13980"/>
      <w:bookmarkStart w:id="1375" w:name="_Toc13597"/>
      <w:bookmarkStart w:id="1376" w:name="_Toc1298"/>
      <w:bookmarkStart w:id="1377" w:name="_Toc195714410"/>
      <w:bookmarkStart w:id="1378" w:name="_Toc29896"/>
      <w:bookmarkStart w:id="1379" w:name="_Toc16585"/>
      <w:bookmarkStart w:id="1380" w:name="_Toc18687"/>
      <w:r>
        <w:rPr>
          <w:rFonts w:hint="eastAsia" w:ascii="宋体" w:hAnsi="宋体" w:eastAsia="宋体" w:cs="宋体"/>
          <w:b/>
          <w:color w:val="auto"/>
          <w:kern w:val="0"/>
          <w:sz w:val="32"/>
          <w:szCs w:val="32"/>
          <w:highlight w:val="none"/>
        </w:rPr>
        <w:t>三  投标文件报价信封格式</w:t>
      </w:r>
      <w:bookmarkEnd w:id="1373"/>
      <w:bookmarkEnd w:id="1374"/>
      <w:bookmarkEnd w:id="1375"/>
      <w:bookmarkEnd w:id="1376"/>
      <w:bookmarkEnd w:id="1377"/>
      <w:bookmarkEnd w:id="1378"/>
      <w:bookmarkEnd w:id="1379"/>
      <w:bookmarkEnd w:id="1380"/>
    </w:p>
    <w:p w14:paraId="1EBD7A59">
      <w:pPr>
        <w:jc w:val="center"/>
        <w:rPr>
          <w:rFonts w:ascii="宋体" w:hAnsi="宋体" w:eastAsia="宋体" w:cs="宋体"/>
          <w:b/>
          <w:color w:val="auto"/>
          <w:kern w:val="0"/>
          <w:sz w:val="32"/>
          <w:szCs w:val="32"/>
          <w:highlight w:val="none"/>
        </w:rPr>
      </w:pPr>
    </w:p>
    <w:p w14:paraId="2CAFE3B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1EF834E7">
      <w:pPr>
        <w:autoSpaceDE w:val="0"/>
        <w:autoSpaceDN w:val="0"/>
        <w:adjustRightInd w:val="0"/>
        <w:jc w:val="left"/>
        <w:rPr>
          <w:rFonts w:ascii="宋体" w:hAnsi="宋体" w:eastAsia="宋体" w:cs="宋体"/>
          <w:color w:val="auto"/>
          <w:kern w:val="0"/>
          <w:sz w:val="24"/>
          <w:szCs w:val="24"/>
          <w:highlight w:val="none"/>
        </w:rPr>
      </w:pPr>
    </w:p>
    <w:p w14:paraId="0886BC97">
      <w:pPr>
        <w:autoSpaceDE w:val="0"/>
        <w:autoSpaceDN w:val="0"/>
        <w:adjustRightInd w:val="0"/>
        <w:jc w:val="left"/>
        <w:rPr>
          <w:rFonts w:ascii="宋体" w:hAnsi="宋体" w:eastAsia="宋体" w:cs="宋体"/>
          <w:color w:val="auto"/>
          <w:kern w:val="0"/>
          <w:sz w:val="24"/>
          <w:szCs w:val="24"/>
          <w:highlight w:val="none"/>
        </w:rPr>
      </w:pPr>
    </w:p>
    <w:p w14:paraId="7618AA9B">
      <w:pPr>
        <w:autoSpaceDE w:val="0"/>
        <w:autoSpaceDN w:val="0"/>
        <w:adjustRightInd w:val="0"/>
        <w:jc w:val="left"/>
        <w:rPr>
          <w:rFonts w:ascii="宋体" w:hAnsi="宋体" w:eastAsia="宋体" w:cs="宋体"/>
          <w:color w:val="auto"/>
          <w:kern w:val="0"/>
          <w:sz w:val="24"/>
          <w:szCs w:val="24"/>
          <w:highlight w:val="none"/>
        </w:rPr>
      </w:pPr>
    </w:p>
    <w:p w14:paraId="1E93396C">
      <w:pPr>
        <w:autoSpaceDE w:val="0"/>
        <w:autoSpaceDN w:val="0"/>
        <w:adjustRightInd w:val="0"/>
        <w:jc w:val="left"/>
        <w:rPr>
          <w:rFonts w:ascii="宋体" w:hAnsi="宋体" w:eastAsia="宋体" w:cs="宋体"/>
          <w:color w:val="auto"/>
          <w:kern w:val="0"/>
          <w:sz w:val="24"/>
          <w:szCs w:val="24"/>
          <w:highlight w:val="none"/>
        </w:rPr>
      </w:pPr>
    </w:p>
    <w:p w14:paraId="5CC477FC">
      <w:pPr>
        <w:autoSpaceDE w:val="0"/>
        <w:autoSpaceDN w:val="0"/>
        <w:adjustRightInd w:val="0"/>
        <w:jc w:val="left"/>
        <w:rPr>
          <w:rFonts w:ascii="宋体" w:hAnsi="宋体" w:eastAsia="宋体" w:cs="宋体"/>
          <w:color w:val="auto"/>
          <w:kern w:val="0"/>
          <w:sz w:val="24"/>
          <w:szCs w:val="24"/>
          <w:highlight w:val="none"/>
        </w:rPr>
      </w:pPr>
    </w:p>
    <w:p w14:paraId="00B20682">
      <w:pPr>
        <w:widowControl/>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6320136">
      <w:pPr>
        <w:autoSpaceDE w:val="0"/>
        <w:autoSpaceDN w:val="0"/>
        <w:adjustRightInd w:val="0"/>
        <w:jc w:val="left"/>
        <w:rPr>
          <w:rFonts w:ascii="宋体" w:hAnsi="宋体" w:eastAsia="宋体" w:cs="宋体"/>
          <w:color w:val="auto"/>
          <w:kern w:val="0"/>
          <w:sz w:val="24"/>
          <w:szCs w:val="24"/>
          <w:highlight w:val="none"/>
        </w:rPr>
      </w:pPr>
    </w:p>
    <w:p w14:paraId="1EF27567">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1381" w:name="_Toc17208"/>
      <w:bookmarkStart w:id="1382" w:name="_Toc142508390"/>
      <w:bookmarkStart w:id="1383" w:name="_Toc195714411"/>
      <w:bookmarkStart w:id="1384" w:name="_Toc14977"/>
      <w:bookmarkStart w:id="1385" w:name="_Toc21059"/>
      <w:bookmarkStart w:id="1386" w:name="_Toc9943"/>
      <w:bookmarkStart w:id="1387" w:name="_Toc21901"/>
      <w:bookmarkStart w:id="1388" w:name="_Toc338"/>
      <w:bookmarkStart w:id="1389" w:name="_Toc22601_WPSOffice_Level1"/>
      <w:bookmarkStart w:id="1390" w:name="_Toc521918141"/>
      <w:bookmarkStart w:id="1391" w:name="_Toc522047402"/>
      <w:r>
        <w:rPr>
          <w:rFonts w:hint="eastAsia" w:ascii="宋体" w:hAnsi="宋体" w:eastAsia="宋体" w:cs="宋体"/>
          <w:b/>
          <w:bCs/>
          <w:color w:val="auto"/>
          <w:kern w:val="44"/>
          <w:sz w:val="32"/>
          <w:szCs w:val="32"/>
          <w:highlight w:val="none"/>
          <w:lang w:val="zh-CN"/>
        </w:rPr>
        <w:t>附件一：评标工作大纲</w:t>
      </w:r>
      <w:bookmarkEnd w:id="1381"/>
      <w:bookmarkEnd w:id="1382"/>
      <w:bookmarkEnd w:id="1383"/>
      <w:bookmarkEnd w:id="1384"/>
      <w:bookmarkEnd w:id="1385"/>
      <w:bookmarkEnd w:id="1386"/>
      <w:bookmarkEnd w:id="1387"/>
      <w:bookmarkEnd w:id="1388"/>
    </w:p>
    <w:p w14:paraId="792F212F">
      <w:pPr>
        <w:autoSpaceDE w:val="0"/>
        <w:autoSpaceDN w:val="0"/>
        <w:adjustRightInd w:val="0"/>
        <w:spacing w:line="400" w:lineRule="atLeast"/>
        <w:jc w:val="center"/>
        <w:rPr>
          <w:rFonts w:ascii="宋体" w:hAnsi="宋体" w:eastAsia="宋体" w:cs="宋体"/>
          <w:b/>
          <w:bCs/>
          <w:color w:val="auto"/>
          <w:szCs w:val="21"/>
          <w:highlight w:val="none"/>
        </w:rPr>
      </w:pPr>
    </w:p>
    <w:p w14:paraId="315CE1DC">
      <w:pPr>
        <w:autoSpaceDE w:val="0"/>
        <w:autoSpaceDN w:val="0"/>
        <w:adjustRightInd w:val="0"/>
        <w:spacing w:line="400" w:lineRule="atLeast"/>
        <w:jc w:val="center"/>
        <w:rPr>
          <w:rFonts w:ascii="宋体" w:hAnsi="宋体" w:eastAsia="宋体" w:cs="宋体"/>
          <w:b/>
          <w:bCs/>
          <w:color w:val="auto"/>
          <w:szCs w:val="21"/>
          <w:highlight w:val="none"/>
        </w:rPr>
      </w:pPr>
    </w:p>
    <w:p w14:paraId="426AD244">
      <w:pPr>
        <w:autoSpaceDE w:val="0"/>
        <w:autoSpaceDN w:val="0"/>
        <w:adjustRightInd w:val="0"/>
        <w:spacing w:line="400" w:lineRule="atLeast"/>
        <w:jc w:val="center"/>
        <w:rPr>
          <w:rFonts w:ascii="宋体" w:hAnsi="宋体" w:eastAsia="宋体" w:cs="宋体"/>
          <w:b/>
          <w:bCs/>
          <w:color w:val="auto"/>
          <w:szCs w:val="21"/>
          <w:highlight w:val="none"/>
        </w:rPr>
      </w:pPr>
    </w:p>
    <w:p w14:paraId="0E71659F">
      <w:pPr>
        <w:autoSpaceDE w:val="0"/>
        <w:autoSpaceDN w:val="0"/>
        <w:adjustRightInd w:val="0"/>
        <w:spacing w:line="400" w:lineRule="atLeast"/>
        <w:jc w:val="center"/>
        <w:rPr>
          <w:rFonts w:ascii="宋体" w:hAnsi="宋体" w:eastAsia="宋体" w:cs="宋体"/>
          <w:b/>
          <w:bCs/>
          <w:color w:val="auto"/>
          <w:szCs w:val="21"/>
          <w:highlight w:val="none"/>
        </w:rPr>
      </w:pPr>
    </w:p>
    <w:p w14:paraId="131FFC99">
      <w:pPr>
        <w:autoSpaceDE w:val="0"/>
        <w:autoSpaceDN w:val="0"/>
        <w:adjustRightInd w:val="0"/>
        <w:spacing w:line="360" w:lineRule="auto"/>
        <w:jc w:val="center"/>
        <w:rPr>
          <w:rFonts w:hint="eastAsia" w:ascii="宋体" w:hAnsi="宋体" w:eastAsia="宋体" w:cs="宋体"/>
          <w:b/>
          <w:bCs/>
          <w:color w:val="auto"/>
          <w:sz w:val="44"/>
          <w:szCs w:val="52"/>
          <w:highlight w:val="none"/>
          <w:lang w:eastAsia="zh-CN"/>
        </w:rPr>
      </w:pPr>
      <w:r>
        <w:rPr>
          <w:rFonts w:hint="eastAsia" w:ascii="宋体" w:hAnsi="宋体" w:eastAsia="宋体" w:cs="宋体"/>
          <w:b/>
          <w:bCs/>
          <w:color w:val="auto"/>
          <w:sz w:val="48"/>
          <w:szCs w:val="44"/>
          <w:highlight w:val="none"/>
          <w:lang w:eastAsia="zh-CN"/>
        </w:rPr>
        <w:t>东莞市水务环境投资控股集团分布式光伏发电项目（第一批）净水厂项目</w:t>
      </w:r>
    </w:p>
    <w:p w14:paraId="08311D30">
      <w:pPr>
        <w:autoSpaceDE w:val="0"/>
        <w:autoSpaceDN w:val="0"/>
        <w:adjustRightInd w:val="0"/>
        <w:spacing w:line="360" w:lineRule="auto"/>
        <w:jc w:val="center"/>
        <w:rPr>
          <w:rFonts w:ascii="宋体" w:hAnsi="宋体" w:eastAsia="宋体" w:cs="宋体"/>
          <w:b/>
          <w:bCs/>
          <w:color w:val="auto"/>
          <w:sz w:val="36"/>
          <w:szCs w:val="36"/>
          <w:highlight w:val="none"/>
        </w:rPr>
      </w:pPr>
      <w:bookmarkStart w:id="1392" w:name="_Toc14752_WPSOffice_Level1"/>
      <w:r>
        <w:rPr>
          <w:rFonts w:hint="eastAsia" w:ascii="宋体" w:hAnsi="宋体" w:eastAsia="宋体" w:cs="宋体"/>
          <w:b/>
          <w:bCs/>
          <w:color w:val="auto"/>
          <w:sz w:val="36"/>
          <w:szCs w:val="36"/>
          <w:highlight w:val="none"/>
          <w:lang w:val="zh-CN"/>
        </w:rPr>
        <w:t>（招标编号：SSZSSE12501902）</w:t>
      </w:r>
      <w:bookmarkEnd w:id="1392"/>
    </w:p>
    <w:p w14:paraId="3F95FAA3">
      <w:pPr>
        <w:autoSpaceDE w:val="0"/>
        <w:autoSpaceDN w:val="0"/>
        <w:adjustRightInd w:val="0"/>
        <w:spacing w:line="400" w:lineRule="atLeast"/>
        <w:jc w:val="center"/>
        <w:rPr>
          <w:rFonts w:ascii="宋体" w:hAnsi="宋体" w:eastAsia="宋体" w:cs="宋体"/>
          <w:b/>
          <w:bCs/>
          <w:color w:val="auto"/>
          <w:sz w:val="36"/>
          <w:szCs w:val="36"/>
          <w:highlight w:val="none"/>
        </w:rPr>
      </w:pPr>
    </w:p>
    <w:p w14:paraId="734B7F96">
      <w:pPr>
        <w:autoSpaceDE w:val="0"/>
        <w:autoSpaceDN w:val="0"/>
        <w:adjustRightInd w:val="0"/>
        <w:spacing w:line="400" w:lineRule="atLeast"/>
        <w:jc w:val="center"/>
        <w:rPr>
          <w:rFonts w:ascii="宋体" w:hAnsi="宋体" w:eastAsia="宋体" w:cs="宋体"/>
          <w:b/>
          <w:bCs/>
          <w:color w:val="auto"/>
          <w:sz w:val="36"/>
          <w:szCs w:val="36"/>
          <w:highlight w:val="none"/>
        </w:rPr>
      </w:pPr>
    </w:p>
    <w:p w14:paraId="3D9C6675">
      <w:pPr>
        <w:autoSpaceDE w:val="0"/>
        <w:autoSpaceDN w:val="0"/>
        <w:adjustRightInd w:val="0"/>
        <w:spacing w:line="400" w:lineRule="atLeast"/>
        <w:jc w:val="center"/>
        <w:rPr>
          <w:rFonts w:ascii="宋体" w:hAnsi="宋体" w:eastAsia="宋体" w:cs="宋体"/>
          <w:b/>
          <w:bCs/>
          <w:color w:val="auto"/>
          <w:sz w:val="36"/>
          <w:szCs w:val="36"/>
          <w:highlight w:val="none"/>
        </w:rPr>
      </w:pPr>
    </w:p>
    <w:p w14:paraId="60E3CF4A">
      <w:pPr>
        <w:autoSpaceDE w:val="0"/>
        <w:autoSpaceDN w:val="0"/>
        <w:adjustRightInd w:val="0"/>
        <w:spacing w:line="400" w:lineRule="atLeast"/>
        <w:jc w:val="center"/>
        <w:rPr>
          <w:rFonts w:ascii="宋体" w:hAnsi="宋体" w:eastAsia="宋体" w:cs="宋体"/>
          <w:b/>
          <w:bCs/>
          <w:color w:val="auto"/>
          <w:sz w:val="36"/>
          <w:szCs w:val="36"/>
          <w:highlight w:val="none"/>
        </w:rPr>
      </w:pPr>
    </w:p>
    <w:p w14:paraId="722F47FA">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1393" w:name="_Toc18947_WPSOffice_Level2"/>
      <w:r>
        <w:rPr>
          <w:rFonts w:hint="eastAsia" w:ascii="宋体" w:hAnsi="宋体" w:eastAsia="宋体" w:cs="宋体"/>
          <w:b/>
          <w:bCs/>
          <w:color w:val="auto"/>
          <w:sz w:val="72"/>
          <w:szCs w:val="72"/>
          <w:highlight w:val="none"/>
          <w:lang w:val="zh-CN"/>
        </w:rPr>
        <w:t>评标工作大纲</w:t>
      </w:r>
      <w:bookmarkEnd w:id="1393"/>
    </w:p>
    <w:p w14:paraId="1C64EB96">
      <w:pPr>
        <w:autoSpaceDE w:val="0"/>
        <w:autoSpaceDN w:val="0"/>
        <w:adjustRightInd w:val="0"/>
        <w:spacing w:line="400" w:lineRule="atLeast"/>
        <w:jc w:val="center"/>
        <w:rPr>
          <w:rFonts w:ascii="宋体" w:hAnsi="宋体" w:eastAsia="宋体" w:cs="宋体"/>
          <w:b/>
          <w:bCs/>
          <w:color w:val="auto"/>
          <w:sz w:val="36"/>
          <w:szCs w:val="36"/>
          <w:highlight w:val="none"/>
        </w:rPr>
      </w:pPr>
    </w:p>
    <w:p w14:paraId="557385BF">
      <w:pPr>
        <w:autoSpaceDE w:val="0"/>
        <w:autoSpaceDN w:val="0"/>
        <w:adjustRightInd w:val="0"/>
        <w:spacing w:line="400" w:lineRule="atLeast"/>
        <w:rPr>
          <w:rFonts w:ascii="宋体" w:hAnsi="宋体" w:eastAsia="宋体" w:cs="宋体"/>
          <w:b/>
          <w:bCs/>
          <w:color w:val="auto"/>
          <w:sz w:val="36"/>
          <w:szCs w:val="36"/>
          <w:highlight w:val="none"/>
        </w:rPr>
      </w:pPr>
    </w:p>
    <w:p w14:paraId="4AAAF7A3">
      <w:pPr>
        <w:autoSpaceDE w:val="0"/>
        <w:autoSpaceDN w:val="0"/>
        <w:adjustRightInd w:val="0"/>
        <w:spacing w:line="400" w:lineRule="atLeast"/>
        <w:jc w:val="center"/>
        <w:rPr>
          <w:rFonts w:ascii="宋体" w:hAnsi="宋体" w:eastAsia="宋体" w:cs="宋体"/>
          <w:b/>
          <w:bCs/>
          <w:color w:val="auto"/>
          <w:sz w:val="36"/>
          <w:szCs w:val="36"/>
          <w:highlight w:val="none"/>
        </w:rPr>
      </w:pPr>
    </w:p>
    <w:p w14:paraId="6A265621">
      <w:pPr>
        <w:autoSpaceDE w:val="0"/>
        <w:autoSpaceDN w:val="0"/>
        <w:adjustRightInd w:val="0"/>
        <w:spacing w:line="400" w:lineRule="atLeast"/>
        <w:jc w:val="center"/>
        <w:rPr>
          <w:rFonts w:ascii="宋体" w:hAnsi="宋体" w:eastAsia="宋体" w:cs="宋体"/>
          <w:b/>
          <w:bCs/>
          <w:color w:val="auto"/>
          <w:sz w:val="36"/>
          <w:szCs w:val="36"/>
          <w:highlight w:val="none"/>
        </w:rPr>
      </w:pPr>
    </w:p>
    <w:p w14:paraId="150AB764">
      <w:pPr>
        <w:autoSpaceDE w:val="0"/>
        <w:autoSpaceDN w:val="0"/>
        <w:adjustRightInd w:val="0"/>
        <w:spacing w:line="400" w:lineRule="atLeast"/>
        <w:jc w:val="center"/>
        <w:rPr>
          <w:rFonts w:ascii="宋体" w:hAnsi="宋体" w:eastAsia="宋体" w:cs="宋体"/>
          <w:b/>
          <w:bCs/>
          <w:color w:val="auto"/>
          <w:sz w:val="36"/>
          <w:szCs w:val="36"/>
          <w:highlight w:val="none"/>
        </w:rPr>
      </w:pPr>
    </w:p>
    <w:p w14:paraId="3FF5FBAB">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5AE01851">
      <w:pPr>
        <w:autoSpaceDE w:val="0"/>
        <w:autoSpaceDN w:val="0"/>
        <w:adjustRightInd w:val="0"/>
        <w:spacing w:line="400" w:lineRule="atLeast"/>
        <w:jc w:val="center"/>
        <w:rPr>
          <w:rFonts w:ascii="宋体" w:hAnsi="宋体" w:eastAsia="宋体" w:cs="宋体"/>
          <w:b/>
          <w:bCs/>
          <w:color w:val="auto"/>
          <w:sz w:val="36"/>
          <w:szCs w:val="36"/>
          <w:highlight w:val="none"/>
        </w:rPr>
      </w:pPr>
    </w:p>
    <w:p w14:paraId="7B33DF57">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1394" w:name="_Toc32395_WPSOffice_Level1"/>
      <w:r>
        <w:rPr>
          <w:rFonts w:hint="eastAsia" w:ascii="宋体" w:hAnsi="宋体" w:eastAsia="宋体" w:cs="宋体"/>
          <w:b/>
          <w:bCs/>
          <w:color w:val="auto"/>
          <w:sz w:val="36"/>
          <w:szCs w:val="36"/>
          <w:highlight w:val="none"/>
          <w:lang w:val="zh-CN"/>
        </w:rPr>
        <w:t>目录</w:t>
      </w:r>
      <w:bookmarkEnd w:id="1394"/>
    </w:p>
    <w:p w14:paraId="0CE15F52">
      <w:pPr>
        <w:autoSpaceDE w:val="0"/>
        <w:autoSpaceDN w:val="0"/>
        <w:adjustRightInd w:val="0"/>
        <w:spacing w:line="400" w:lineRule="atLeast"/>
        <w:jc w:val="center"/>
        <w:rPr>
          <w:rFonts w:ascii="宋体" w:hAnsi="宋体" w:eastAsia="宋体" w:cs="宋体"/>
          <w:color w:val="auto"/>
          <w:sz w:val="44"/>
          <w:szCs w:val="44"/>
          <w:highlight w:val="none"/>
        </w:rPr>
      </w:pPr>
    </w:p>
    <w:p w14:paraId="49096544">
      <w:pPr>
        <w:autoSpaceDE w:val="0"/>
        <w:autoSpaceDN w:val="0"/>
        <w:adjustRightInd w:val="0"/>
        <w:spacing w:line="360" w:lineRule="auto"/>
        <w:ind w:left="567" w:hanging="567"/>
        <w:rPr>
          <w:rFonts w:ascii="宋体" w:hAnsi="宋体" w:eastAsia="宋体" w:cs="宋体"/>
          <w:color w:val="auto"/>
          <w:szCs w:val="30"/>
          <w:highlight w:val="none"/>
        </w:rPr>
      </w:pPr>
      <w:bookmarkStart w:id="1395"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1395"/>
    </w:p>
    <w:p w14:paraId="74BF0EC2">
      <w:pPr>
        <w:autoSpaceDE w:val="0"/>
        <w:autoSpaceDN w:val="0"/>
        <w:adjustRightInd w:val="0"/>
        <w:spacing w:line="360" w:lineRule="auto"/>
        <w:ind w:left="567" w:hanging="567"/>
        <w:rPr>
          <w:rFonts w:ascii="宋体" w:hAnsi="宋体" w:eastAsia="宋体" w:cs="宋体"/>
          <w:color w:val="auto"/>
          <w:szCs w:val="30"/>
          <w:highlight w:val="none"/>
        </w:rPr>
      </w:pPr>
      <w:bookmarkStart w:id="1396"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1396"/>
    </w:p>
    <w:p w14:paraId="120EAADC">
      <w:pPr>
        <w:autoSpaceDE w:val="0"/>
        <w:autoSpaceDN w:val="0"/>
        <w:adjustRightInd w:val="0"/>
        <w:spacing w:line="360" w:lineRule="auto"/>
        <w:ind w:left="567" w:hanging="567"/>
        <w:rPr>
          <w:rFonts w:ascii="宋体" w:hAnsi="宋体" w:eastAsia="宋体" w:cs="宋体"/>
          <w:color w:val="auto"/>
          <w:szCs w:val="30"/>
          <w:highlight w:val="none"/>
        </w:rPr>
      </w:pPr>
      <w:bookmarkStart w:id="1397"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1397"/>
    </w:p>
    <w:p w14:paraId="0D3B7367">
      <w:pPr>
        <w:autoSpaceDE w:val="0"/>
        <w:autoSpaceDN w:val="0"/>
        <w:adjustRightInd w:val="0"/>
        <w:spacing w:line="360" w:lineRule="auto"/>
        <w:ind w:left="567" w:hanging="567"/>
        <w:rPr>
          <w:rFonts w:ascii="宋体" w:hAnsi="宋体" w:eastAsia="宋体" w:cs="宋体"/>
          <w:color w:val="auto"/>
          <w:szCs w:val="30"/>
          <w:highlight w:val="none"/>
        </w:rPr>
      </w:pPr>
      <w:bookmarkStart w:id="1398" w:name="_Toc1206_WPSOffice_Level1"/>
      <w:r>
        <w:rPr>
          <w:rFonts w:hint="eastAsia" w:ascii="宋体" w:hAnsi="宋体" w:eastAsia="宋体" w:cs="宋体"/>
          <w:color w:val="auto"/>
          <w:szCs w:val="30"/>
          <w:highlight w:val="none"/>
        </w:rPr>
        <w:t>四、 比较和评价</w:t>
      </w:r>
      <w:bookmarkEnd w:id="1398"/>
    </w:p>
    <w:p w14:paraId="4B9ECE24">
      <w:pPr>
        <w:autoSpaceDE w:val="0"/>
        <w:autoSpaceDN w:val="0"/>
        <w:adjustRightInd w:val="0"/>
        <w:spacing w:line="360" w:lineRule="auto"/>
        <w:ind w:left="567" w:hanging="567"/>
        <w:rPr>
          <w:rFonts w:ascii="宋体" w:hAnsi="宋体" w:eastAsia="宋体" w:cs="宋体"/>
          <w:color w:val="auto"/>
          <w:szCs w:val="30"/>
          <w:highlight w:val="none"/>
        </w:rPr>
      </w:pPr>
      <w:bookmarkStart w:id="1399"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1399"/>
    </w:p>
    <w:p w14:paraId="2AA78F60">
      <w:pPr>
        <w:autoSpaceDE w:val="0"/>
        <w:autoSpaceDN w:val="0"/>
        <w:adjustRightInd w:val="0"/>
        <w:spacing w:line="360" w:lineRule="auto"/>
        <w:ind w:left="567" w:hanging="567"/>
        <w:rPr>
          <w:rFonts w:ascii="宋体" w:hAnsi="宋体" w:eastAsia="宋体" w:cs="宋体"/>
          <w:color w:val="auto"/>
          <w:szCs w:val="30"/>
          <w:highlight w:val="none"/>
        </w:rPr>
      </w:pPr>
      <w:bookmarkStart w:id="1400"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1400"/>
    </w:p>
    <w:p w14:paraId="4212FB9D">
      <w:pPr>
        <w:autoSpaceDE w:val="0"/>
        <w:autoSpaceDN w:val="0"/>
        <w:adjustRightInd w:val="0"/>
        <w:spacing w:line="360" w:lineRule="auto"/>
        <w:ind w:left="567" w:hanging="567"/>
        <w:rPr>
          <w:rFonts w:ascii="宋体" w:hAnsi="宋体" w:eastAsia="宋体" w:cs="宋体"/>
          <w:color w:val="auto"/>
          <w:szCs w:val="30"/>
          <w:highlight w:val="none"/>
        </w:rPr>
      </w:pPr>
      <w:bookmarkStart w:id="1401"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1401"/>
    </w:p>
    <w:p w14:paraId="4C7A65DA">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37FB1B59">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B95C34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E3FF36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402"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1402"/>
    </w:p>
    <w:p w14:paraId="1CB4DD87">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bookmarkStart w:id="1403" w:name="_Toc5291"/>
      <w:bookmarkStart w:id="1404" w:name="_Toc23036"/>
      <w:bookmarkStart w:id="1405" w:name="_Toc5385"/>
      <w:r>
        <w:rPr>
          <w:rFonts w:hint="eastAsia" w:ascii="宋体" w:hAnsi="宋体" w:eastAsia="宋体" w:cs="宋体"/>
          <w:b/>
          <w:bCs/>
          <w:color w:val="auto"/>
          <w:szCs w:val="24"/>
          <w:highlight w:val="none"/>
          <w:lang w:val="zh-CN"/>
        </w:rPr>
        <w:t>1、一般规定</w:t>
      </w:r>
      <w:bookmarkEnd w:id="1403"/>
      <w:bookmarkEnd w:id="1404"/>
      <w:bookmarkEnd w:id="1405"/>
    </w:p>
    <w:p w14:paraId="4578C509">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东莞市水务环境投资控股集团分布式光伏发电项目（第一批）净水厂项目</w:t>
      </w:r>
      <w:r>
        <w:rPr>
          <w:rFonts w:hint="eastAsia" w:ascii="宋体" w:hAnsi="宋体" w:eastAsia="宋体" w:cs="宋体"/>
          <w:color w:val="auto"/>
          <w:szCs w:val="21"/>
          <w:highlight w:val="none"/>
          <w:lang w:val="zh-CN"/>
        </w:rPr>
        <w:t>(招标编号：SSZSSE12501902</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5830AE10">
      <w:pPr>
        <w:autoSpaceDE w:val="0"/>
        <w:autoSpaceDN w:val="0"/>
        <w:adjustRightInd w:val="0"/>
        <w:spacing w:line="360" w:lineRule="auto"/>
        <w:ind w:left="567" w:hanging="567"/>
        <w:rPr>
          <w:rFonts w:ascii="宋体" w:hAnsi="宋体" w:eastAsia="宋体" w:cs="宋体"/>
          <w:color w:val="auto"/>
          <w:szCs w:val="24"/>
          <w:highlight w:val="none"/>
          <w:lang w:val="zh-CN"/>
        </w:rPr>
      </w:pPr>
      <w:bookmarkStart w:id="1406" w:name="_Toc6878"/>
      <w:bookmarkStart w:id="1407" w:name="_Toc3452"/>
      <w:bookmarkStart w:id="1408" w:name="_Toc13177"/>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bookmarkEnd w:id="1406"/>
      <w:bookmarkEnd w:id="1407"/>
      <w:bookmarkEnd w:id="1408"/>
    </w:p>
    <w:p w14:paraId="7CF3C7A9">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(广州宏达工程顾问集团有限公司）组</w:t>
      </w:r>
      <w:r>
        <w:rPr>
          <w:rFonts w:hint="eastAsia" w:ascii="宋体" w:hAnsi="宋体" w:eastAsia="宋体" w:cs="宋体"/>
          <w:color w:val="auto"/>
          <w:szCs w:val="24"/>
          <w:highlight w:val="none"/>
          <w:lang w:val="zh-CN"/>
        </w:rPr>
        <w:t>织评标工作，全过程接受招标人及相关部门的监督、管理和指导。</w:t>
      </w:r>
      <w:bookmarkStart w:id="1523" w:name="_GoBack"/>
      <w:bookmarkEnd w:id="1523"/>
    </w:p>
    <w:p w14:paraId="195858D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37E25757">
      <w:pPr>
        <w:numPr>
          <w:ilvl w:val="1"/>
          <w:numId w:val="13"/>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39C5081B">
      <w:pPr>
        <w:autoSpaceDE w:val="0"/>
        <w:autoSpaceDN w:val="0"/>
        <w:adjustRightInd w:val="0"/>
        <w:spacing w:line="360" w:lineRule="auto"/>
        <w:rPr>
          <w:rFonts w:ascii="宋体" w:hAnsi="宋体" w:eastAsia="宋体" w:cs="宋体"/>
          <w:color w:val="auto"/>
          <w:sz w:val="24"/>
          <w:szCs w:val="24"/>
          <w:highlight w:val="none"/>
          <w:lang w:val="zh-CN"/>
        </w:rPr>
      </w:pPr>
    </w:p>
    <w:p w14:paraId="53FE8DD8">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bookmarkStart w:id="1409" w:name="_Toc1394"/>
      <w:bookmarkStart w:id="1410" w:name="_Toc862"/>
      <w:bookmarkStart w:id="1411" w:name="_Toc12059"/>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bookmarkEnd w:id="1409"/>
      <w:bookmarkEnd w:id="1410"/>
      <w:bookmarkEnd w:id="1411"/>
    </w:p>
    <w:p w14:paraId="67286B5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rPr>
        <w:t>7人以上（含7人）单数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920D01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C34651A">
      <w:pPr>
        <w:autoSpaceDE w:val="0"/>
        <w:autoSpaceDN w:val="0"/>
        <w:adjustRightInd w:val="0"/>
        <w:spacing w:line="360" w:lineRule="auto"/>
        <w:ind w:left="600" w:hanging="600"/>
        <w:rPr>
          <w:rFonts w:ascii="宋体" w:hAnsi="宋体" w:eastAsia="宋体" w:cs="宋体"/>
          <w:color w:val="auto"/>
          <w:szCs w:val="24"/>
          <w:highlight w:val="none"/>
          <w:lang w:val="zh-CN"/>
        </w:rPr>
      </w:pPr>
      <w:bookmarkStart w:id="1412" w:name="_Toc6541"/>
      <w:bookmarkStart w:id="1413" w:name="_Toc23113"/>
      <w:bookmarkStart w:id="1414" w:name="_Toc703"/>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bookmarkEnd w:id="1412"/>
      <w:bookmarkEnd w:id="1413"/>
      <w:bookmarkEnd w:id="1414"/>
    </w:p>
    <w:p w14:paraId="0705F58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402DF92">
      <w:pPr>
        <w:autoSpaceDE w:val="0"/>
        <w:autoSpaceDN w:val="0"/>
        <w:adjustRightInd w:val="0"/>
        <w:spacing w:line="360" w:lineRule="auto"/>
        <w:rPr>
          <w:rFonts w:ascii="宋体" w:hAnsi="宋体" w:eastAsia="宋体" w:cs="宋体"/>
          <w:color w:val="auto"/>
          <w:sz w:val="24"/>
          <w:szCs w:val="24"/>
          <w:highlight w:val="none"/>
          <w:lang w:val="zh-CN"/>
        </w:rPr>
      </w:pPr>
    </w:p>
    <w:p w14:paraId="20290286">
      <w:pPr>
        <w:autoSpaceDE w:val="0"/>
        <w:autoSpaceDN w:val="0"/>
        <w:adjustRightInd w:val="0"/>
        <w:spacing w:line="360" w:lineRule="auto"/>
        <w:rPr>
          <w:rFonts w:ascii="宋体" w:hAnsi="宋体" w:eastAsia="宋体" w:cs="宋体"/>
          <w:color w:val="auto"/>
          <w:sz w:val="24"/>
          <w:szCs w:val="24"/>
          <w:highlight w:val="none"/>
          <w:lang w:val="zh-CN"/>
        </w:rPr>
      </w:pPr>
      <w:bookmarkStart w:id="1415" w:name="_Toc16283"/>
      <w:bookmarkStart w:id="1416" w:name="_Toc21970"/>
      <w:bookmarkStart w:id="1417" w:name="_Toc17106"/>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bookmarkEnd w:id="1415"/>
      <w:bookmarkEnd w:id="1416"/>
      <w:bookmarkEnd w:id="1417"/>
    </w:p>
    <w:p w14:paraId="39924F2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18526C3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00BBCDD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1D895C5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2AA7D01">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6A287575">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bookmarkStart w:id="1418" w:name="_Toc25858"/>
      <w:bookmarkStart w:id="1419" w:name="_Toc10211"/>
      <w:bookmarkStart w:id="1420" w:name="_Toc9325"/>
      <w:r>
        <w:rPr>
          <w:rFonts w:hint="eastAsia" w:ascii="宋体" w:hAnsi="宋体" w:eastAsia="宋体" w:cs="宋体"/>
          <w:b/>
          <w:bCs/>
          <w:color w:val="auto"/>
          <w:szCs w:val="21"/>
          <w:highlight w:val="none"/>
          <w:lang w:val="zh-CN"/>
        </w:rPr>
        <w:t>4、评标委员会义务</w:t>
      </w:r>
      <w:bookmarkEnd w:id="1418"/>
      <w:bookmarkEnd w:id="1419"/>
      <w:bookmarkEnd w:id="1420"/>
    </w:p>
    <w:p w14:paraId="21E14CAE">
      <w:pPr>
        <w:autoSpaceDE w:val="0"/>
        <w:autoSpaceDN w:val="0"/>
        <w:adjustRightInd w:val="0"/>
        <w:spacing w:line="360" w:lineRule="auto"/>
        <w:jc w:val="left"/>
        <w:rPr>
          <w:rFonts w:ascii="宋体" w:hAnsi="宋体" w:eastAsia="宋体" w:cs="宋体"/>
          <w:color w:val="auto"/>
          <w:kern w:val="0"/>
          <w:szCs w:val="24"/>
          <w:highlight w:val="none"/>
          <w:lang w:val="zh-CN"/>
        </w:rPr>
      </w:pPr>
      <w:bookmarkStart w:id="1421" w:name="_Toc2987"/>
      <w:bookmarkStart w:id="1422" w:name="_Toc10499"/>
      <w:bookmarkStart w:id="1423" w:name="_Toc12812"/>
      <w:r>
        <w:rPr>
          <w:rFonts w:hint="eastAsia" w:ascii="宋体" w:hAnsi="宋体" w:eastAsia="宋体" w:cs="宋体"/>
          <w:color w:val="auto"/>
          <w:kern w:val="0"/>
          <w:szCs w:val="24"/>
          <w:highlight w:val="none"/>
          <w:lang w:val="zh-CN"/>
        </w:rPr>
        <w:t>4.1  遵纪守法，客观、公正、廉洁地履行职责；</w:t>
      </w:r>
      <w:bookmarkEnd w:id="1421"/>
      <w:bookmarkEnd w:id="1422"/>
      <w:bookmarkEnd w:id="1423"/>
    </w:p>
    <w:p w14:paraId="0A30735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B08BA3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38142C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5C709F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DD5F6F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23F133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7C62A7EA">
      <w:pPr>
        <w:tabs>
          <w:tab w:val="left" w:pos="1547"/>
        </w:tabs>
        <w:autoSpaceDE w:val="0"/>
        <w:autoSpaceDN w:val="0"/>
        <w:adjustRightInd w:val="0"/>
        <w:spacing w:line="360" w:lineRule="auto"/>
        <w:rPr>
          <w:rFonts w:ascii="宋体" w:hAnsi="宋体" w:eastAsia="宋体" w:cs="宋体"/>
          <w:b/>
          <w:color w:val="auto"/>
          <w:szCs w:val="24"/>
          <w:highlight w:val="none"/>
          <w:lang w:val="zh-CN"/>
        </w:rPr>
      </w:pPr>
      <w:bookmarkStart w:id="1424" w:name="_Toc22709"/>
      <w:bookmarkStart w:id="1425" w:name="_Toc29727"/>
      <w:bookmarkStart w:id="1426" w:name="_Toc18270"/>
      <w:r>
        <w:rPr>
          <w:rFonts w:hint="eastAsia" w:ascii="宋体" w:hAnsi="宋体" w:eastAsia="宋体" w:cs="宋体"/>
          <w:b/>
          <w:bCs/>
          <w:color w:val="auto"/>
          <w:szCs w:val="21"/>
          <w:highlight w:val="none"/>
          <w:lang w:val="zh-CN"/>
        </w:rPr>
        <w:t>5、评审程序</w:t>
      </w:r>
      <w:bookmarkEnd w:id="1424"/>
      <w:bookmarkEnd w:id="1425"/>
      <w:bookmarkEnd w:id="1426"/>
    </w:p>
    <w:p w14:paraId="6F6EB850">
      <w:pPr>
        <w:autoSpaceDE w:val="0"/>
        <w:autoSpaceDN w:val="0"/>
        <w:adjustRightInd w:val="0"/>
        <w:spacing w:line="360" w:lineRule="auto"/>
        <w:ind w:left="567" w:hanging="567"/>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0079FB58">
      <w:pPr>
        <w:autoSpaceDE w:val="0"/>
        <w:autoSpaceDN w:val="0"/>
        <w:adjustRightInd w:val="0"/>
        <w:spacing w:line="360" w:lineRule="auto"/>
        <w:ind w:left="567" w:hanging="567"/>
        <w:rPr>
          <w:rFonts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1217DFD">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0F0ED24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02899EAC">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552B9E40">
      <w:pPr>
        <w:autoSpaceDE w:val="0"/>
        <w:autoSpaceDN w:val="0"/>
        <w:adjustRightInd w:val="0"/>
        <w:spacing w:line="360" w:lineRule="auto"/>
        <w:ind w:left="567" w:hanging="567"/>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2F08EE90">
      <w:pPr>
        <w:autoSpaceDE w:val="0"/>
        <w:autoSpaceDN w:val="0"/>
        <w:adjustRightInd w:val="0"/>
        <w:spacing w:line="360" w:lineRule="auto"/>
        <w:ind w:left="567" w:hanging="567"/>
        <w:rPr>
          <w:rFonts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3D19DDA2">
      <w:pPr>
        <w:autoSpaceDE w:val="0"/>
        <w:autoSpaceDN w:val="0"/>
        <w:adjustRightInd w:val="0"/>
        <w:spacing w:line="360" w:lineRule="auto"/>
        <w:ind w:left="525" w:hanging="525" w:hangingChars="250"/>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75D748B6">
      <w:pPr>
        <w:autoSpaceDE w:val="0"/>
        <w:autoSpaceDN w:val="0"/>
        <w:adjustRightInd w:val="0"/>
        <w:spacing w:line="360" w:lineRule="auto"/>
        <w:ind w:left="525" w:hanging="525" w:hangingChars="250"/>
        <w:jc w:val="left"/>
        <w:rPr>
          <w:rFonts w:ascii="宋体" w:hAnsi="宋体" w:eastAsia="宋体" w:cs="宋体"/>
          <w:color w:val="auto"/>
          <w:szCs w:val="24"/>
          <w:highlight w:val="none"/>
          <w:lang w:val="zh-CN"/>
        </w:rPr>
      </w:pPr>
    </w:p>
    <w:p w14:paraId="3AE16BB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1427" w:name="_Toc18693"/>
      <w:bookmarkStart w:id="1428" w:name="_Toc19435_WPSOffice_Level1"/>
      <w:bookmarkStart w:id="1429" w:name="_Toc13699"/>
      <w:bookmarkStart w:id="1430" w:name="_Toc13687"/>
      <w:r>
        <w:rPr>
          <w:rFonts w:hint="eastAsia" w:ascii="宋体" w:hAnsi="宋体" w:eastAsia="宋体" w:cs="宋体"/>
          <w:b/>
          <w:bCs/>
          <w:color w:val="auto"/>
          <w:sz w:val="28"/>
          <w:szCs w:val="28"/>
          <w:highlight w:val="none"/>
          <w:lang w:val="zh-CN"/>
        </w:rPr>
        <w:t>二、投标文件的初审</w:t>
      </w:r>
      <w:bookmarkEnd w:id="1427"/>
      <w:bookmarkEnd w:id="1428"/>
      <w:bookmarkEnd w:id="1429"/>
      <w:bookmarkEnd w:id="1430"/>
    </w:p>
    <w:p w14:paraId="098DA607">
      <w:pPr>
        <w:autoSpaceDE w:val="0"/>
        <w:autoSpaceDN w:val="0"/>
        <w:adjustRightInd w:val="0"/>
        <w:spacing w:line="360" w:lineRule="auto"/>
        <w:rPr>
          <w:rFonts w:ascii="宋体" w:hAnsi="宋体" w:eastAsia="宋体" w:cs="宋体"/>
          <w:b/>
          <w:color w:val="auto"/>
          <w:szCs w:val="24"/>
          <w:highlight w:val="none"/>
          <w:lang w:val="zh-CN"/>
        </w:rPr>
      </w:pPr>
      <w:bookmarkStart w:id="1431" w:name="_Toc12032"/>
      <w:bookmarkStart w:id="1432" w:name="_Toc13943"/>
      <w:bookmarkStart w:id="1433" w:name="_Toc660"/>
      <w:r>
        <w:rPr>
          <w:rFonts w:hint="eastAsia" w:ascii="宋体" w:hAnsi="宋体" w:eastAsia="宋体" w:cs="宋体"/>
          <w:b/>
          <w:color w:val="auto"/>
          <w:szCs w:val="24"/>
          <w:highlight w:val="none"/>
          <w:lang w:val="zh-CN"/>
        </w:rPr>
        <w:t>6、投标文件的初审分为资格性检查和符合性检查。</w:t>
      </w:r>
      <w:bookmarkEnd w:id="1431"/>
      <w:bookmarkEnd w:id="1432"/>
      <w:bookmarkEnd w:id="1433"/>
    </w:p>
    <w:p w14:paraId="67DB548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23CAA87">
      <w:pPr>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09362015">
      <w:pPr>
        <w:spacing w:line="360" w:lineRule="auto"/>
        <w:ind w:firstLine="527" w:firstLineChars="25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8750EFA">
      <w:pPr>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593ED6C9">
      <w:pPr>
        <w:spacing w:line="360" w:lineRule="auto"/>
        <w:ind w:firstLine="42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对是否符合实质性响应招标文件有争议的投标文件,评标委员会成员将以记名方式表决,根据少数服从多数的原则，获多数表决通过的投标人才有资格进入下一阶段的评审,否则将被认定为无效投标文件。</w:t>
      </w:r>
    </w:p>
    <w:p w14:paraId="69C61490">
      <w:pPr>
        <w:pStyle w:val="18"/>
        <w:rPr>
          <w:rFonts w:ascii="宋体" w:hAnsi="宋体" w:eastAsia="宋体" w:cs="宋体"/>
          <w:b/>
          <w:snapToGrid/>
          <w:color w:val="auto"/>
          <w:kern w:val="2"/>
          <w:szCs w:val="21"/>
          <w:highlight w:val="none"/>
          <w:lang w:val="zh-CN"/>
        </w:rPr>
      </w:pPr>
      <w:bookmarkStart w:id="1434" w:name="_Toc23632"/>
      <w:bookmarkStart w:id="1435" w:name="_Toc4195"/>
      <w:bookmarkStart w:id="1436" w:name="_Toc16552"/>
      <w:r>
        <w:rPr>
          <w:rFonts w:hint="eastAsia" w:ascii="宋体" w:hAnsi="宋体" w:eastAsia="宋体" w:cs="宋体"/>
          <w:b/>
          <w:snapToGrid/>
          <w:color w:val="auto"/>
          <w:kern w:val="2"/>
          <w:szCs w:val="21"/>
          <w:highlight w:val="none"/>
          <w:lang w:val="zh-CN"/>
        </w:rPr>
        <w:t>7、投标文件出现下列情况之一的，被认定为无效投标:</w:t>
      </w:r>
      <w:bookmarkEnd w:id="1434"/>
      <w:bookmarkEnd w:id="1435"/>
      <w:bookmarkEnd w:id="1436"/>
    </w:p>
    <w:p w14:paraId="6E85493F">
      <w:pPr>
        <w:autoSpaceDE w:val="0"/>
        <w:autoSpaceDN w:val="0"/>
        <w:adjustRightInd w:val="0"/>
        <w:spacing w:line="360" w:lineRule="auto"/>
        <w:rPr>
          <w:rFonts w:ascii="宋体" w:hAnsi="宋体" w:eastAsia="宋体" w:cs="宋体"/>
          <w:b/>
          <w:color w:val="auto"/>
          <w:szCs w:val="21"/>
          <w:highlight w:val="none"/>
          <w:lang w:val="zh-CN"/>
        </w:rPr>
      </w:pPr>
      <w:bookmarkStart w:id="1437" w:name="_Toc28240"/>
      <w:bookmarkStart w:id="1438" w:name="_Toc18396"/>
      <w:bookmarkStart w:id="1439" w:name="_Toc28537"/>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上传的投标文件损坏或无法读取的；</w:t>
      </w:r>
      <w:bookmarkEnd w:id="1437"/>
      <w:bookmarkEnd w:id="1438"/>
      <w:bookmarkEnd w:id="1439"/>
    </w:p>
    <w:p w14:paraId="3490A3F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7F723C6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588537BA">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7.4 投标文件未使用企业数字证书签名的；</w:t>
      </w:r>
    </w:p>
    <w:p w14:paraId="3E6B224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14:paraId="3C61032D">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07E4B083">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投标文件附有招标人不能接受的条件的；</w:t>
      </w:r>
    </w:p>
    <w:p w14:paraId="62E371A2">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的要求；</w:t>
      </w:r>
    </w:p>
    <w:p w14:paraId="1AA7683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 xml:space="preserve"> 投标人未按招标文件要求交纳投标保证金的；</w:t>
      </w:r>
    </w:p>
    <w:p w14:paraId="5949E860">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10</w:t>
      </w:r>
      <w:r>
        <w:rPr>
          <w:rFonts w:hint="eastAsia" w:ascii="宋体" w:hAnsi="宋体" w:eastAsia="宋体" w:cs="宋体"/>
          <w:b/>
          <w:color w:val="auto"/>
          <w:szCs w:val="21"/>
          <w:highlight w:val="none"/>
          <w:lang w:val="zh-CN"/>
        </w:rPr>
        <w:t xml:space="preserve"> 投标文件报价信封中填报的投标报价高于本项目投标最高限价的；</w:t>
      </w:r>
    </w:p>
    <w:p w14:paraId="20FC74C9">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5625369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199DACB8">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25AD5DC1">
      <w:pPr>
        <w:autoSpaceDE w:val="0"/>
        <w:autoSpaceDN w:val="0"/>
        <w:adjustRightInd w:val="0"/>
        <w:spacing w:line="360" w:lineRule="auto"/>
        <w:rPr>
          <w:rFonts w:ascii="宋体" w:hAnsi="宋体" w:eastAsia="宋体" w:cs="宋体"/>
          <w:b/>
          <w:color w:val="auto"/>
          <w:szCs w:val="21"/>
          <w:highlight w:val="none"/>
          <w:lang w:val="zh-CN"/>
        </w:rPr>
      </w:pPr>
      <w:bookmarkStart w:id="1440" w:name="_Toc16919"/>
      <w:bookmarkStart w:id="1441" w:name="_Toc872"/>
      <w:bookmarkStart w:id="1442" w:name="_Toc6376"/>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zh-CN"/>
        </w:rPr>
        <w:t xml:space="preserve"> 投标有效期限不符合要求；</w:t>
      </w:r>
      <w:bookmarkEnd w:id="1440"/>
      <w:bookmarkEnd w:id="1441"/>
      <w:bookmarkEnd w:id="1442"/>
    </w:p>
    <w:p w14:paraId="1516756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0714F83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6D87F4F0">
      <w:pPr>
        <w:autoSpaceDE w:val="0"/>
        <w:autoSpaceDN w:val="0"/>
        <w:adjustRightInd w:val="0"/>
        <w:spacing w:line="360" w:lineRule="auto"/>
        <w:rPr>
          <w:rFonts w:ascii="宋体" w:hAnsi="宋体" w:eastAsia="宋体" w:cs="宋体"/>
          <w:b/>
          <w:color w:val="auto"/>
          <w:szCs w:val="21"/>
          <w:highlight w:val="none"/>
          <w:lang w:val="zh-CN"/>
        </w:rPr>
      </w:pPr>
      <w:bookmarkStart w:id="1443" w:name="_Toc10437"/>
      <w:bookmarkStart w:id="1444" w:name="_Toc5966"/>
      <w:bookmarkStart w:id="1445" w:name="_Toc24635"/>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未填写或虚假填写《用户需求偏离表》的；</w:t>
      </w:r>
      <w:bookmarkEnd w:id="1443"/>
      <w:bookmarkEnd w:id="1444"/>
      <w:bookmarkEnd w:id="1445"/>
    </w:p>
    <w:p w14:paraId="707270DB">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zh-CN"/>
        </w:rPr>
        <w:t xml:space="preserve"> 未响应招标文件提出的实质性要求和条件（标注★的条款）；</w:t>
      </w:r>
    </w:p>
    <w:p w14:paraId="6C60658C">
      <w:pPr>
        <w:autoSpaceDE w:val="0"/>
        <w:autoSpaceDN w:val="0"/>
        <w:adjustRightInd w:val="0"/>
        <w:spacing w:line="360" w:lineRule="auto"/>
        <w:ind w:left="316" w:hanging="316" w:hangingChars="1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723586A1">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17B63692">
      <w:pPr>
        <w:spacing w:line="360" w:lineRule="auto"/>
        <w:ind w:left="480"/>
        <w:rPr>
          <w:rFonts w:ascii="宋体" w:hAnsi="宋体" w:eastAsia="宋体" w:cs="宋体"/>
          <w:b/>
          <w:color w:val="auto"/>
          <w:kern w:val="0"/>
          <w:szCs w:val="21"/>
          <w:highlight w:val="none"/>
        </w:rPr>
      </w:pPr>
    </w:p>
    <w:p w14:paraId="3480CB0C">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1446" w:name="_Toc20369"/>
      <w:bookmarkStart w:id="1447" w:name="_Toc4109_WPSOffice_Level1"/>
      <w:bookmarkStart w:id="1448" w:name="_Toc30958"/>
      <w:bookmarkStart w:id="1449" w:name="_Toc6756"/>
      <w:r>
        <w:rPr>
          <w:rFonts w:hint="eastAsia" w:ascii="宋体" w:hAnsi="宋体" w:eastAsia="宋体" w:cs="宋体"/>
          <w:b/>
          <w:bCs/>
          <w:color w:val="auto"/>
          <w:sz w:val="28"/>
          <w:szCs w:val="28"/>
          <w:highlight w:val="none"/>
          <w:lang w:val="zh-CN"/>
        </w:rPr>
        <w:t>三、澄清有关问题</w:t>
      </w:r>
      <w:bookmarkEnd w:id="1446"/>
      <w:bookmarkEnd w:id="1447"/>
      <w:bookmarkEnd w:id="1448"/>
      <w:bookmarkEnd w:id="1449"/>
    </w:p>
    <w:p w14:paraId="4AE9F67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74938A1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322849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390411B5">
      <w:pPr>
        <w:autoSpaceDE w:val="0"/>
        <w:autoSpaceDN w:val="0"/>
        <w:adjustRightInd w:val="0"/>
        <w:spacing w:line="360" w:lineRule="auto"/>
        <w:ind w:left="529" w:right="18" w:hanging="529" w:hangingChars="252"/>
        <w:rPr>
          <w:rFonts w:ascii="宋体" w:hAnsi="宋体" w:eastAsia="宋体" w:cs="宋体"/>
          <w:color w:val="auto"/>
          <w:highlight w:val="none"/>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F1A3391">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F1F3425">
      <w:pPr>
        <w:spacing w:line="360" w:lineRule="auto"/>
        <w:ind w:left="567" w:hanging="567" w:hangingChars="27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r>
        <w:rPr>
          <w:rFonts w:hint="eastAsia" w:ascii="宋体" w:hAnsi="宋体" w:eastAsia="宋体" w:cs="宋体"/>
          <w:color w:val="auto"/>
          <w:szCs w:val="21"/>
          <w:highlight w:val="none"/>
          <w:lang w:val="zh-CN"/>
        </w:rPr>
        <w:t>当以数字表示的报价系数与以文字表示的报价系数不一致时，以文字表示的报价系数为准。</w:t>
      </w:r>
      <w:r>
        <w:rPr>
          <w:rFonts w:hint="eastAsia" w:ascii="宋体" w:hAnsi="宋体" w:eastAsia="宋体" w:cs="宋体"/>
          <w:color w:val="auto"/>
          <w:kern w:val="0"/>
          <w:szCs w:val="21"/>
          <w:highlight w:val="none"/>
          <w:lang w:val="zh-CN"/>
        </w:rPr>
        <w:t>按前述修正原则进行修正至唯一值后的报价表经双方确认后，作为合同文件的组成部分。</w:t>
      </w:r>
    </w:p>
    <w:p w14:paraId="237690F7">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FBB253B">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EE9E325">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1450" w:name="_Toc8518_WPSOffice_Level1"/>
    </w:p>
    <w:p w14:paraId="67DD409A">
      <w:pPr>
        <w:autoSpaceDE w:val="0"/>
        <w:autoSpaceDN w:val="0"/>
        <w:adjustRightInd w:val="0"/>
        <w:spacing w:line="360" w:lineRule="auto"/>
        <w:jc w:val="center"/>
        <w:rPr>
          <w:rFonts w:ascii="宋体" w:hAnsi="宋体" w:eastAsia="宋体" w:cs="宋体"/>
          <w:b/>
          <w:bCs/>
          <w:color w:val="auto"/>
          <w:sz w:val="28"/>
          <w:szCs w:val="28"/>
          <w:highlight w:val="none"/>
        </w:rPr>
      </w:pPr>
      <w:bookmarkStart w:id="1451" w:name="_Toc15654"/>
      <w:bookmarkStart w:id="1452" w:name="_Toc5008"/>
      <w:bookmarkStart w:id="1453" w:name="_Toc2850"/>
      <w:r>
        <w:rPr>
          <w:rFonts w:hint="eastAsia" w:ascii="宋体" w:hAnsi="宋体" w:eastAsia="宋体" w:cs="宋体"/>
          <w:b/>
          <w:bCs/>
          <w:color w:val="auto"/>
          <w:sz w:val="28"/>
          <w:szCs w:val="28"/>
          <w:highlight w:val="none"/>
          <w:lang w:val="zh-CN"/>
        </w:rPr>
        <w:t>四、比较和评价</w:t>
      </w:r>
      <w:bookmarkEnd w:id="1450"/>
      <w:bookmarkEnd w:id="1451"/>
      <w:bookmarkEnd w:id="1452"/>
      <w:bookmarkEnd w:id="1453"/>
    </w:p>
    <w:p w14:paraId="686ACB6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等内容进行打分。</w:t>
      </w:r>
    </w:p>
    <w:p w14:paraId="01DEA1A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0619125">
      <w:pPr>
        <w:tabs>
          <w:tab w:val="left" w:pos="1701"/>
        </w:tabs>
        <w:autoSpaceDE w:val="0"/>
        <w:autoSpaceDN w:val="0"/>
        <w:adjustRightInd w:val="0"/>
        <w:spacing w:line="360" w:lineRule="auto"/>
        <w:rPr>
          <w:rFonts w:ascii="宋体" w:hAnsi="宋体" w:eastAsia="宋体" w:cs="宋体"/>
          <w:b/>
          <w:color w:val="auto"/>
          <w:szCs w:val="24"/>
          <w:highlight w:val="none"/>
          <w:lang w:val="zh-CN"/>
        </w:rPr>
      </w:pPr>
      <w:bookmarkStart w:id="1454" w:name="_Toc1113"/>
      <w:bookmarkStart w:id="1455" w:name="_Toc11201"/>
      <w:bookmarkStart w:id="1456" w:name="_Toc12818"/>
      <w:r>
        <w:rPr>
          <w:rFonts w:hint="eastAsia" w:ascii="宋体" w:hAnsi="宋体" w:eastAsia="宋体" w:cs="宋体"/>
          <w:b/>
          <w:color w:val="auto"/>
          <w:szCs w:val="24"/>
          <w:highlight w:val="none"/>
          <w:lang w:val="zh-CN"/>
        </w:rPr>
        <w:t>11、评委打分办法</w:t>
      </w:r>
      <w:bookmarkEnd w:id="1454"/>
      <w:bookmarkEnd w:id="1455"/>
      <w:bookmarkEnd w:id="1456"/>
    </w:p>
    <w:p w14:paraId="6183B2C6">
      <w:pPr>
        <w:autoSpaceDE w:val="0"/>
        <w:autoSpaceDN w:val="0"/>
        <w:adjustRightInd w:val="0"/>
        <w:spacing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41F9190">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62D8A200">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121CDE3E">
      <w:pPr>
        <w:autoSpaceDE w:val="0"/>
        <w:autoSpaceDN w:val="0"/>
        <w:adjustRightInd w:val="0"/>
        <w:spacing w:line="360" w:lineRule="auto"/>
        <w:ind w:left="565" w:leftChars="-1" w:hanging="567" w:hangingChars="2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（1）评标委员会首先对商务标进行评审，按评标标准打分后，取所有评委评分的平均值得出该投标人的商务评分；</w:t>
      </w:r>
    </w:p>
    <w:p w14:paraId="209B3D9D">
      <w:pPr>
        <w:autoSpaceDE w:val="0"/>
        <w:autoSpaceDN w:val="0"/>
        <w:adjustRightInd w:val="0"/>
        <w:spacing w:line="360" w:lineRule="auto"/>
        <w:ind w:left="565" w:leftChars="-1" w:hanging="567" w:hangingChars="270"/>
        <w:rPr>
          <w:rFonts w:ascii="宋体" w:hAnsi="宋体" w:eastAsia="宋体" w:cs="宋体"/>
          <w:color w:val="auto"/>
          <w:szCs w:val="21"/>
          <w:highlight w:val="none"/>
        </w:rPr>
      </w:pPr>
      <w:r>
        <w:rPr>
          <w:rFonts w:hint="eastAsia" w:ascii="宋体" w:hAnsi="宋体" w:eastAsia="宋体" w:cs="宋体"/>
          <w:color w:val="auto"/>
          <w:kern w:val="0"/>
          <w:szCs w:val="21"/>
          <w:highlight w:val="none"/>
        </w:rPr>
        <w:t>（2）然后评标委员会对技术标进行评审，按评标标准打分后，</w:t>
      </w:r>
      <w:r>
        <w:rPr>
          <w:rFonts w:hint="eastAsia" w:ascii="宋体" w:hAnsi="宋体" w:eastAsia="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14:paraId="7F76C118">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kern w:val="0"/>
          <w:szCs w:val="21"/>
          <w:highlight w:val="none"/>
        </w:rPr>
        <w:t>（3）最后评标委员会对报价进行评审，按评标标准计算得出该投标人的报价评分。</w:t>
      </w:r>
    </w:p>
    <w:p w14:paraId="557D3820">
      <w:pPr>
        <w:tabs>
          <w:tab w:val="left" w:pos="600"/>
        </w:tabs>
        <w:autoSpaceDE w:val="0"/>
        <w:autoSpaceDN w:val="0"/>
        <w:adjustRightInd w:val="0"/>
        <w:spacing w:line="360" w:lineRule="auto"/>
        <w:rPr>
          <w:rFonts w:ascii="宋体" w:hAnsi="宋体" w:eastAsia="宋体" w:cs="宋体"/>
          <w:color w:val="auto"/>
          <w:szCs w:val="24"/>
          <w:highlight w:val="none"/>
          <w:lang w:val="zh-CN"/>
        </w:rPr>
      </w:pPr>
      <w:bookmarkStart w:id="1457" w:name="_Toc10259"/>
      <w:bookmarkStart w:id="1458" w:name="_Toc12165"/>
      <w:bookmarkStart w:id="1459" w:name="_Toc18960"/>
      <w:r>
        <w:rPr>
          <w:rFonts w:hint="eastAsia" w:ascii="宋体" w:hAnsi="宋体" w:eastAsia="宋体" w:cs="宋体"/>
          <w:color w:val="auto"/>
          <w:szCs w:val="24"/>
          <w:highlight w:val="none"/>
          <w:lang w:val="zh-CN"/>
        </w:rPr>
        <w:t>11.4 评标委员会打分采取记名形式。</w:t>
      </w:r>
      <w:bookmarkEnd w:id="1457"/>
      <w:bookmarkEnd w:id="1458"/>
      <w:bookmarkEnd w:id="1459"/>
    </w:p>
    <w:p w14:paraId="639989CE">
      <w:pPr>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62C5CB47">
      <w:pPr>
        <w:autoSpaceDE w:val="0"/>
        <w:autoSpaceDN w:val="0"/>
        <w:adjustRightInd w:val="0"/>
        <w:spacing w:line="360" w:lineRule="auto"/>
        <w:ind w:left="426" w:hanging="426"/>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5E151CE7">
      <w:pPr>
        <w:tabs>
          <w:tab w:val="left" w:pos="600"/>
        </w:tabs>
        <w:autoSpaceDE w:val="0"/>
        <w:autoSpaceDN w:val="0"/>
        <w:adjustRightInd w:val="0"/>
        <w:spacing w:line="360" w:lineRule="auto"/>
        <w:rPr>
          <w:rFonts w:ascii="宋体" w:hAnsi="宋体" w:eastAsia="宋体" w:cs="宋体"/>
          <w:color w:val="auto"/>
          <w:szCs w:val="24"/>
          <w:highlight w:val="none"/>
          <w:lang w:val="zh-CN"/>
        </w:rPr>
      </w:pPr>
      <w:bookmarkStart w:id="1460" w:name="_Toc20505"/>
      <w:bookmarkStart w:id="1461" w:name="_Toc32700"/>
      <w:bookmarkStart w:id="1462" w:name="_Toc27079"/>
      <w:r>
        <w:rPr>
          <w:rFonts w:hint="eastAsia" w:ascii="宋体" w:hAnsi="宋体" w:eastAsia="宋体" w:cs="宋体"/>
          <w:color w:val="auto"/>
          <w:szCs w:val="24"/>
          <w:highlight w:val="none"/>
          <w:lang w:val="zh-CN"/>
        </w:rPr>
        <w:t>11.7 评分程序</w:t>
      </w:r>
      <w:bookmarkEnd w:id="1460"/>
      <w:bookmarkEnd w:id="1461"/>
      <w:bookmarkEnd w:id="1462"/>
    </w:p>
    <w:p w14:paraId="3EBB5A92">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2FF4679C">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4BC76972">
      <w:pPr>
        <w:tabs>
          <w:tab w:val="left" w:pos="1134"/>
        </w:tabs>
        <w:autoSpaceDE w:val="0"/>
        <w:autoSpaceDN w:val="0"/>
        <w:adjustRightInd w:val="0"/>
        <w:spacing w:line="360" w:lineRule="auto"/>
        <w:ind w:left="565" w:leftChars="-1" w:hanging="567" w:hangingChars="27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350F53FE">
      <w:pPr>
        <w:autoSpaceDE w:val="0"/>
        <w:autoSpaceDN w:val="0"/>
        <w:adjustRightInd w:val="0"/>
        <w:spacing w:line="360" w:lineRule="auto"/>
        <w:rPr>
          <w:rFonts w:ascii="宋体" w:hAnsi="宋体" w:eastAsia="宋体" w:cs="宋体"/>
          <w:color w:val="auto"/>
          <w:szCs w:val="24"/>
          <w:highlight w:val="none"/>
          <w:lang w:val="zh-CN"/>
        </w:rPr>
      </w:pPr>
    </w:p>
    <w:p w14:paraId="2C5E3172">
      <w:pPr>
        <w:tabs>
          <w:tab w:val="left" w:pos="1701"/>
        </w:tabs>
        <w:autoSpaceDE w:val="0"/>
        <w:autoSpaceDN w:val="0"/>
        <w:adjustRightInd w:val="0"/>
        <w:spacing w:line="360" w:lineRule="auto"/>
        <w:outlineLvl w:val="1"/>
        <w:rPr>
          <w:rFonts w:ascii="宋体" w:hAnsi="宋体" w:eastAsia="宋体" w:cs="宋体"/>
          <w:b/>
          <w:color w:val="auto"/>
          <w:szCs w:val="24"/>
          <w:highlight w:val="none"/>
          <w:lang w:val="zh-CN"/>
        </w:rPr>
      </w:pPr>
      <w:bookmarkStart w:id="1463" w:name="_Toc26946"/>
      <w:bookmarkStart w:id="1464" w:name="_Toc32264"/>
      <w:bookmarkStart w:id="1465" w:name="_Toc24024"/>
      <w:r>
        <w:rPr>
          <w:rFonts w:hint="eastAsia" w:ascii="宋体" w:hAnsi="宋体" w:eastAsia="宋体" w:cs="宋体"/>
          <w:b/>
          <w:color w:val="auto"/>
          <w:szCs w:val="24"/>
          <w:highlight w:val="none"/>
          <w:lang w:val="zh-CN"/>
        </w:rPr>
        <w:t>12、评分因素及分值</w:t>
      </w:r>
      <w:bookmarkEnd w:id="1463"/>
      <w:bookmarkEnd w:id="1464"/>
      <w:bookmarkEnd w:id="1465"/>
    </w:p>
    <w:tbl>
      <w:tblPr>
        <w:tblStyle w:val="4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638"/>
        <w:gridCol w:w="4618"/>
      </w:tblGrid>
      <w:tr w14:paraId="43D29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43303D0E">
            <w:pPr>
              <w:spacing w:line="400" w:lineRule="exact"/>
              <w:jc w:val="center"/>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B251AF2">
            <w:pPr>
              <w:spacing w:line="400" w:lineRule="exact"/>
              <w:jc w:val="center"/>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分值</w:t>
            </w:r>
          </w:p>
        </w:tc>
      </w:tr>
      <w:tr w14:paraId="4A93A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78A4817">
            <w:pPr>
              <w:spacing w:line="400" w:lineRule="exact"/>
              <w:jc w:val="center"/>
              <w:rPr>
                <w:rFonts w:ascii="宋体" w:hAnsi="宋体" w:eastAsia="宋体" w:cs="宋体"/>
                <w:bCs/>
                <w:color w:val="auto"/>
                <w:kern w:val="0"/>
                <w:szCs w:val="21"/>
                <w:highlight w:val="none"/>
                <w:lang w:val="zh-CN"/>
              </w:rPr>
            </w:pPr>
            <w:bookmarkStart w:id="1466" w:name="OLE_LINK243" w:colFirst="1" w:colLast="1"/>
            <w:r>
              <w:rPr>
                <w:rFonts w:hint="eastAsia" w:ascii="宋体" w:hAnsi="宋体" w:eastAsia="宋体" w:cs="宋体"/>
                <w:bCs/>
                <w:color w:val="auto"/>
                <w:kern w:val="0"/>
                <w:szCs w:val="21"/>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273D766">
            <w:pPr>
              <w:autoSpaceDE w:val="0"/>
              <w:autoSpaceDN w:val="0"/>
              <w:adjustRightInd w:val="0"/>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c>
      </w:tr>
      <w:tr w14:paraId="70CD5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0B95442">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0EED71DB">
            <w:pPr>
              <w:autoSpaceDE w:val="0"/>
              <w:autoSpaceDN w:val="0"/>
              <w:adjustRightInd w:val="0"/>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rPr>
              <w:t>40</w:t>
            </w:r>
            <w:r>
              <w:rPr>
                <w:rFonts w:hint="eastAsia" w:ascii="宋体" w:hAnsi="宋体" w:eastAsia="宋体" w:cs="宋体"/>
                <w:b/>
                <w:color w:val="auto"/>
                <w:szCs w:val="21"/>
                <w:highlight w:val="none"/>
                <w:lang w:val="zh-CN"/>
              </w:rPr>
              <w:t>分</w:t>
            </w:r>
          </w:p>
        </w:tc>
      </w:tr>
      <w:tr w14:paraId="5D35F8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6D1F91B1">
            <w:pPr>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19DE07DE">
            <w:pPr>
              <w:autoSpaceDE w:val="0"/>
              <w:autoSpaceDN w:val="0"/>
              <w:adjustRightInd w:val="0"/>
              <w:spacing w:line="400" w:lineRule="exact"/>
              <w:jc w:val="center"/>
              <w:rPr>
                <w:rFonts w:ascii="宋体" w:hAnsi="宋体" w:eastAsia="宋体" w:cs="宋体"/>
                <w:bCs/>
                <w:color w:val="auto"/>
                <w:kern w:val="0"/>
                <w:szCs w:val="21"/>
                <w:highlight w:val="none"/>
                <w:lang w:val="zh-CN"/>
              </w:rPr>
            </w:pPr>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分</w:t>
            </w:r>
          </w:p>
        </w:tc>
      </w:tr>
      <w:bookmarkEnd w:id="1466"/>
    </w:tbl>
    <w:p w14:paraId="36857571">
      <w:pPr>
        <w:tabs>
          <w:tab w:val="left" w:pos="585"/>
        </w:tabs>
        <w:autoSpaceDE w:val="0"/>
        <w:autoSpaceDN w:val="0"/>
        <w:adjustRightInd w:val="0"/>
        <w:spacing w:line="360" w:lineRule="auto"/>
        <w:rPr>
          <w:rFonts w:ascii="宋体" w:hAnsi="宋体" w:eastAsia="宋体" w:cs="宋体"/>
          <w:b/>
          <w:color w:val="auto"/>
          <w:szCs w:val="21"/>
          <w:highlight w:val="none"/>
          <w:lang w:bidi="ar"/>
        </w:rPr>
      </w:pPr>
    </w:p>
    <w:p w14:paraId="2F5E4218">
      <w:pPr>
        <w:tabs>
          <w:tab w:val="left" w:pos="585"/>
        </w:tabs>
        <w:autoSpaceDE w:val="0"/>
        <w:autoSpaceDN w:val="0"/>
        <w:adjustRightInd w:val="0"/>
        <w:spacing w:line="360" w:lineRule="auto"/>
        <w:rPr>
          <w:rFonts w:ascii="宋体" w:hAnsi="宋体" w:eastAsia="宋体" w:cs="宋体"/>
          <w:b/>
          <w:color w:val="auto"/>
          <w:szCs w:val="21"/>
          <w:highlight w:val="none"/>
          <w:lang w:bidi="ar"/>
        </w:rPr>
      </w:pPr>
    </w:p>
    <w:p w14:paraId="1F0B74D1">
      <w:pPr>
        <w:tabs>
          <w:tab w:val="left" w:pos="585"/>
        </w:tabs>
        <w:autoSpaceDE w:val="0"/>
        <w:autoSpaceDN w:val="0"/>
        <w:adjustRightInd w:val="0"/>
        <w:spacing w:line="360" w:lineRule="auto"/>
        <w:rPr>
          <w:rFonts w:ascii="宋体" w:hAnsi="宋体" w:eastAsia="宋体" w:cs="宋体"/>
          <w:b/>
          <w:color w:val="auto"/>
          <w:szCs w:val="21"/>
          <w:highlight w:val="none"/>
          <w:lang w:bidi="ar"/>
        </w:rPr>
      </w:pPr>
    </w:p>
    <w:p w14:paraId="5E9FE9DD">
      <w:pPr>
        <w:tabs>
          <w:tab w:val="left" w:pos="585"/>
        </w:tabs>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（1）商务：</w:t>
      </w:r>
      <w:r>
        <w:rPr>
          <w:rFonts w:hint="eastAsia" w:ascii="宋体" w:hAnsi="宋体" w:eastAsia="宋体" w:cs="宋体"/>
          <w:b/>
          <w:color w:val="auto"/>
          <w:szCs w:val="21"/>
          <w:highlight w:val="none"/>
        </w:rPr>
        <w:t>总分30分</w:t>
      </w:r>
    </w:p>
    <w:tbl>
      <w:tblPr>
        <w:tblStyle w:val="4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1011"/>
        <w:gridCol w:w="6836"/>
        <w:gridCol w:w="809"/>
      </w:tblGrid>
      <w:tr w14:paraId="6A65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324" w:type="pct"/>
            <w:tcBorders>
              <w:top w:val="single" w:color="auto" w:sz="4" w:space="0"/>
              <w:left w:val="single" w:color="auto" w:sz="4" w:space="0"/>
              <w:bottom w:val="single" w:color="auto" w:sz="4" w:space="0"/>
              <w:right w:val="single" w:color="auto" w:sz="4" w:space="0"/>
            </w:tcBorders>
            <w:vAlign w:val="bottom"/>
          </w:tcPr>
          <w:p w14:paraId="46B2833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8E806A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2D299570">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86A5123">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3F1E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24" w:type="pct"/>
            <w:tcBorders>
              <w:top w:val="single" w:color="auto" w:sz="4" w:space="0"/>
              <w:left w:val="single" w:color="auto" w:sz="4" w:space="0"/>
              <w:bottom w:val="single" w:color="auto" w:sz="4" w:space="0"/>
              <w:right w:val="single" w:color="auto" w:sz="4" w:space="0"/>
            </w:tcBorders>
            <w:vAlign w:val="center"/>
          </w:tcPr>
          <w:p w14:paraId="0870CB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6DB5727">
            <w:pPr>
              <w:autoSpaceDE w:val="0"/>
              <w:autoSpaceDN w:val="0"/>
              <w:spacing w:line="400" w:lineRule="exact"/>
              <w:jc w:val="center"/>
              <w:rPr>
                <w:rFonts w:ascii="宋体" w:hAnsi="宋体" w:eastAsia="宋体" w:cs="宋体"/>
                <w:bCs/>
                <w:color w:val="auto"/>
                <w:kern w:val="0"/>
                <w:sz w:val="24"/>
                <w:szCs w:val="21"/>
                <w:highlight w:val="none"/>
              </w:rPr>
            </w:pPr>
            <w:r>
              <w:rPr>
                <w:rFonts w:hint="eastAsia" w:ascii="宋体" w:hAnsi="宋体" w:eastAsia="宋体" w:cs="宋体"/>
                <w:bCs/>
                <w:color w:val="auto"/>
                <w:kern w:val="0"/>
                <w:szCs w:val="21"/>
                <w:highlight w:val="none"/>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41A0A56A">
            <w:pPr>
              <w:autoSpaceDE w:val="0"/>
              <w:autoSpaceDN w:val="0"/>
              <w:spacing w:line="400" w:lineRule="exact"/>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投标人202</w:t>
            </w:r>
            <w:r>
              <w:rPr>
                <w:rFonts w:hint="eastAsia" w:ascii="宋体" w:hAnsi="宋体" w:eastAsia="宋体" w:cs="宋体"/>
                <w:bCs/>
                <w:color w:val="auto"/>
                <w:kern w:val="0"/>
                <w:szCs w:val="21"/>
                <w:highlight w:val="none"/>
              </w:rPr>
              <w:t>2</w:t>
            </w:r>
            <w:r>
              <w:rPr>
                <w:rFonts w:hint="eastAsia" w:ascii="宋体" w:hAnsi="宋体" w:eastAsia="宋体" w:cs="宋体"/>
                <w:bCs/>
                <w:color w:val="auto"/>
                <w:kern w:val="0"/>
                <w:szCs w:val="21"/>
                <w:highlight w:val="none"/>
                <w:lang w:val="zh-CN"/>
              </w:rPr>
              <w:t>年-202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val="zh-CN"/>
              </w:rPr>
              <w:t>年三个年度，每具有1个年度盈利的得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分，满分</w:t>
            </w: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zh-CN"/>
              </w:rPr>
              <w:t>分。</w:t>
            </w:r>
          </w:p>
          <w:p w14:paraId="66609013">
            <w:pPr>
              <w:autoSpaceDE w:val="0"/>
              <w:autoSpaceDN w:val="0"/>
              <w:spacing w:line="400" w:lineRule="exact"/>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zh-CN"/>
              </w:rPr>
              <w:t>备注：</w:t>
            </w:r>
            <w:r>
              <w:rPr>
                <w:rFonts w:hint="eastAsia" w:ascii="宋体" w:hAnsi="宋体" w:eastAsia="宋体" w:cs="宋体"/>
                <w:b/>
                <w:color w:val="auto"/>
                <w:kern w:val="0"/>
                <w:szCs w:val="21"/>
                <w:highlight w:val="none"/>
              </w:rPr>
              <w:t>①</w:t>
            </w:r>
            <w:r>
              <w:rPr>
                <w:rFonts w:hint="eastAsia" w:ascii="宋体" w:hAnsi="宋体" w:eastAsia="宋体" w:cs="宋体"/>
                <w:b/>
                <w:color w:val="auto"/>
                <w:kern w:val="0"/>
                <w:szCs w:val="21"/>
                <w:highlight w:val="none"/>
                <w:lang w:val="zh-CN"/>
              </w:rPr>
              <w:t>盈利指净利润为正数（非零、非负数），投标人应提供202</w:t>
            </w:r>
            <w:r>
              <w:rPr>
                <w:rFonts w:hint="eastAsia" w:ascii="宋体" w:hAnsi="宋体" w:eastAsia="宋体" w:cs="宋体"/>
                <w:b/>
                <w:color w:val="auto"/>
                <w:kern w:val="0"/>
                <w:szCs w:val="21"/>
                <w:highlight w:val="none"/>
              </w:rPr>
              <w:t>2</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rPr>
              <w:t>3</w:t>
            </w:r>
            <w:r>
              <w:rPr>
                <w:rFonts w:hint="eastAsia" w:ascii="宋体" w:hAnsi="宋体" w:eastAsia="宋体" w:cs="宋体"/>
                <w:b/>
                <w:color w:val="auto"/>
                <w:kern w:val="0"/>
                <w:szCs w:val="21"/>
                <w:highlight w:val="none"/>
                <w:lang w:val="zh-CN"/>
              </w:rPr>
              <w:t>年、202</w:t>
            </w:r>
            <w:r>
              <w:rPr>
                <w:rFonts w:hint="eastAsia" w:ascii="宋体" w:hAnsi="宋体" w:eastAsia="宋体" w:cs="宋体"/>
                <w:b/>
                <w:color w:val="auto"/>
                <w:kern w:val="0"/>
                <w:szCs w:val="21"/>
                <w:highlight w:val="none"/>
              </w:rPr>
              <w:t>4</w:t>
            </w:r>
            <w:r>
              <w:rPr>
                <w:rFonts w:hint="eastAsia" w:ascii="宋体" w:hAnsi="宋体" w:eastAsia="宋体" w:cs="宋体"/>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bookmarkStart w:id="1467" w:name="OLE_LINK206"/>
            <w:r>
              <w:rPr>
                <w:rFonts w:hint="eastAsia" w:ascii="宋体" w:hAnsi="宋体" w:eastAsia="宋体" w:cs="宋体"/>
                <w:b/>
                <w:color w:val="auto"/>
                <w:kern w:val="0"/>
                <w:szCs w:val="21"/>
                <w:highlight w:val="none"/>
              </w:rPr>
              <w:t>②若为联合体投标的，</w:t>
            </w:r>
            <w:bookmarkStart w:id="1468" w:name="OLE_LINK230"/>
            <w:bookmarkStart w:id="1469" w:name="OLE_LINK256"/>
            <w:r>
              <w:rPr>
                <w:rFonts w:hint="eastAsia" w:ascii="宋体" w:hAnsi="宋体" w:eastAsia="宋体" w:cs="宋体"/>
                <w:b/>
                <w:color w:val="auto"/>
                <w:kern w:val="0"/>
                <w:szCs w:val="21"/>
                <w:highlight w:val="none"/>
              </w:rPr>
              <w:t>以联合体牵头单位提供的财务报表为准</w:t>
            </w:r>
            <w:bookmarkEnd w:id="1468"/>
            <w:r>
              <w:rPr>
                <w:rFonts w:hint="eastAsia" w:ascii="宋体" w:hAnsi="宋体" w:eastAsia="宋体" w:cs="宋体"/>
                <w:b/>
                <w:color w:val="auto"/>
                <w:kern w:val="0"/>
                <w:szCs w:val="21"/>
                <w:highlight w:val="none"/>
              </w:rPr>
              <w:t>。</w:t>
            </w:r>
            <w:bookmarkEnd w:id="1467"/>
            <w:bookmarkEnd w:id="1469"/>
          </w:p>
        </w:tc>
        <w:tc>
          <w:tcPr>
            <w:tcW w:w="437" w:type="pct"/>
            <w:tcBorders>
              <w:top w:val="single" w:color="auto" w:sz="4" w:space="0"/>
              <w:left w:val="single" w:color="auto" w:sz="4" w:space="0"/>
              <w:bottom w:val="single" w:color="auto" w:sz="4" w:space="0"/>
              <w:right w:val="single" w:color="auto" w:sz="4" w:space="0"/>
            </w:tcBorders>
            <w:vAlign w:val="center"/>
          </w:tcPr>
          <w:p w14:paraId="12DB3869">
            <w:pPr>
              <w:spacing w:line="360" w:lineRule="auto"/>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3分</w:t>
            </w:r>
          </w:p>
        </w:tc>
      </w:tr>
      <w:tr w14:paraId="2AE22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24" w:type="pct"/>
            <w:tcBorders>
              <w:top w:val="single" w:color="auto" w:sz="4" w:space="0"/>
              <w:left w:val="single" w:color="auto" w:sz="4" w:space="0"/>
              <w:bottom w:val="single" w:color="auto" w:sz="4" w:space="0"/>
              <w:right w:val="single" w:color="auto" w:sz="4" w:space="0"/>
            </w:tcBorders>
            <w:vAlign w:val="center"/>
          </w:tcPr>
          <w:p w14:paraId="546F8D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46" w:type="pct"/>
            <w:tcBorders>
              <w:top w:val="single" w:color="auto" w:sz="4" w:space="0"/>
              <w:left w:val="single" w:color="auto" w:sz="4" w:space="0"/>
              <w:bottom w:val="single" w:color="auto" w:sz="4" w:space="0"/>
              <w:right w:val="single" w:color="auto" w:sz="4" w:space="0"/>
            </w:tcBorders>
            <w:vAlign w:val="center"/>
          </w:tcPr>
          <w:p w14:paraId="3528F40D">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标准化程度</w:t>
            </w:r>
          </w:p>
        </w:tc>
        <w:tc>
          <w:tcPr>
            <w:tcW w:w="3692" w:type="pct"/>
            <w:tcBorders>
              <w:top w:val="single" w:color="auto" w:sz="4" w:space="0"/>
              <w:left w:val="single" w:color="auto" w:sz="4" w:space="0"/>
              <w:bottom w:val="single" w:color="auto" w:sz="4" w:space="0"/>
              <w:right w:val="single" w:color="auto" w:sz="4" w:space="0"/>
            </w:tcBorders>
            <w:vAlign w:val="center"/>
          </w:tcPr>
          <w:p w14:paraId="16C58E9B">
            <w:pPr>
              <w:autoSpaceDE w:val="0"/>
              <w:autoSpaceDN w:val="0"/>
              <w:adjustRightInd w:val="0"/>
              <w:snapToGrid w:val="0"/>
              <w:spacing w:line="400" w:lineRule="exact"/>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（1）投标人具有有效期内的ISO9001质量管理体系认证证书，</w:t>
            </w:r>
            <w:r>
              <w:rPr>
                <w:rFonts w:hint="eastAsia" w:ascii="宋体" w:hAnsi="宋体" w:eastAsia="宋体" w:cs="宋体"/>
                <w:bCs/>
                <w:color w:val="auto"/>
                <w:kern w:val="0"/>
                <w:szCs w:val="21"/>
                <w:highlight w:val="none"/>
                <w:lang w:val="zh-CN"/>
              </w:rPr>
              <w:t>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w:t>
            </w:r>
          </w:p>
          <w:p w14:paraId="4E8C67BC">
            <w:pPr>
              <w:autoSpaceDE w:val="0"/>
              <w:autoSpaceDN w:val="0"/>
              <w:adjustRightInd w:val="0"/>
              <w:snapToGrid w:val="0"/>
              <w:spacing w:line="400" w:lineRule="exact"/>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（2）投标人具有有效期内的ISO14001环境管理体系认证证书，</w:t>
            </w:r>
            <w:r>
              <w:rPr>
                <w:rFonts w:hint="eastAsia" w:ascii="宋体" w:hAnsi="宋体" w:eastAsia="宋体" w:cs="宋体"/>
                <w:bCs/>
                <w:color w:val="auto"/>
                <w:kern w:val="0"/>
                <w:szCs w:val="21"/>
                <w:highlight w:val="none"/>
                <w:lang w:val="zh-CN"/>
              </w:rPr>
              <w:t>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w:t>
            </w:r>
          </w:p>
          <w:p w14:paraId="73216505">
            <w:pPr>
              <w:autoSpaceDE w:val="0"/>
              <w:autoSpaceDN w:val="0"/>
              <w:adjustRightInd w:val="0"/>
              <w:snapToGrid w:val="0"/>
              <w:spacing w:line="400" w:lineRule="exact"/>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rPr>
              <w:t>（3）投标人具有有效期内的OHSAS18001（或GB/T45001-2020，或ISO45001）职业健康安全管理体系认证证书，</w:t>
            </w:r>
            <w:r>
              <w:rPr>
                <w:rFonts w:hint="eastAsia" w:ascii="宋体" w:hAnsi="宋体" w:eastAsia="宋体" w:cs="宋体"/>
                <w:bCs/>
                <w:color w:val="auto"/>
                <w:kern w:val="0"/>
                <w:szCs w:val="21"/>
                <w:highlight w:val="none"/>
                <w:lang w:val="zh-CN"/>
              </w:rPr>
              <w:t>得</w:t>
            </w:r>
            <w:r>
              <w:rPr>
                <w:rFonts w:hint="eastAsia" w:ascii="宋体" w:hAnsi="宋体" w:eastAsia="宋体" w:cs="宋体"/>
                <w:bCs/>
                <w:color w:val="auto"/>
                <w:kern w:val="0"/>
                <w:szCs w:val="21"/>
                <w:highlight w:val="none"/>
              </w:rPr>
              <w:t>1</w:t>
            </w:r>
            <w:r>
              <w:rPr>
                <w:rFonts w:hint="eastAsia" w:ascii="宋体" w:hAnsi="宋体" w:eastAsia="宋体" w:cs="宋体"/>
                <w:bCs/>
                <w:color w:val="auto"/>
                <w:kern w:val="0"/>
                <w:szCs w:val="21"/>
                <w:highlight w:val="none"/>
                <w:lang w:val="zh-CN"/>
              </w:rPr>
              <w:t>分。</w:t>
            </w:r>
          </w:p>
          <w:p w14:paraId="5887C029">
            <w:pPr>
              <w:autoSpaceDE w:val="0"/>
              <w:autoSpaceDN w:val="0"/>
              <w:adjustRightInd w:val="0"/>
              <w:snapToGrid w:val="0"/>
              <w:spacing w:line="400" w:lineRule="exact"/>
              <w:jc w:val="left"/>
              <w:rPr>
                <w:rFonts w:ascii="宋体" w:hAnsi="宋体" w:eastAsia="宋体" w:cs="宋体"/>
                <w:b/>
                <w:color w:val="auto"/>
                <w:kern w:val="0"/>
                <w:sz w:val="24"/>
                <w:szCs w:val="24"/>
                <w:highlight w:val="none"/>
              </w:rPr>
            </w:pPr>
            <w:bookmarkStart w:id="1470" w:name="OLE_LINK365"/>
            <w:r>
              <w:rPr>
                <w:rFonts w:hint="eastAsia" w:ascii="宋体" w:hAnsi="宋体" w:eastAsia="宋体" w:cs="宋体"/>
                <w:b/>
                <w:color w:val="auto"/>
                <w:kern w:val="0"/>
                <w:szCs w:val="21"/>
                <w:highlight w:val="none"/>
              </w:rPr>
              <w:t>备注：①投标人应提供上述有效证书复印件及能显示证书有效状态的全国认证认可信息公共服务平台（http://cx.cnca.cn/)查询结果凭证{凭证界面需显示有“全国认证认可信息公共服务平台”或“认证证书（需显示网址cx.cnca.cn）”}，否则不得分。</w:t>
            </w:r>
            <w:bookmarkEnd w:id="1470"/>
            <w:r>
              <w:rPr>
                <w:rFonts w:hint="eastAsia" w:ascii="宋体" w:hAnsi="宋体" w:eastAsia="宋体" w:cs="宋体"/>
                <w:b/>
                <w:color w:val="auto"/>
                <w:kern w:val="0"/>
                <w:szCs w:val="21"/>
                <w:highlight w:val="none"/>
              </w:rPr>
              <w:t>②若为联合体投标的，</w:t>
            </w:r>
            <w:bookmarkStart w:id="1471" w:name="OLE_LINK370"/>
            <w:r>
              <w:rPr>
                <w:rFonts w:hint="eastAsia" w:ascii="宋体" w:hAnsi="宋体" w:eastAsia="宋体" w:cs="宋体"/>
                <w:b/>
                <w:color w:val="auto"/>
                <w:kern w:val="0"/>
                <w:szCs w:val="21"/>
                <w:highlight w:val="none"/>
              </w:rPr>
              <w:t>以联合体牵头单位提供的认证证书为准</w:t>
            </w:r>
            <w:bookmarkEnd w:id="1471"/>
            <w:r>
              <w:rPr>
                <w:rFonts w:hint="eastAsia" w:ascii="宋体" w:hAnsi="宋体" w:eastAsia="宋体" w:cs="宋体"/>
                <w:b/>
                <w:color w:val="auto"/>
                <w:kern w:val="0"/>
                <w:szCs w:val="21"/>
                <w:highlight w:val="none"/>
              </w:rPr>
              <w:t>。</w:t>
            </w:r>
          </w:p>
        </w:tc>
        <w:tc>
          <w:tcPr>
            <w:tcW w:w="437" w:type="pct"/>
            <w:tcBorders>
              <w:top w:val="single" w:color="auto" w:sz="4" w:space="0"/>
              <w:left w:val="single" w:color="auto" w:sz="4" w:space="0"/>
              <w:bottom w:val="single" w:color="auto" w:sz="4" w:space="0"/>
              <w:right w:val="single" w:color="auto" w:sz="4" w:space="0"/>
            </w:tcBorders>
            <w:vAlign w:val="center"/>
          </w:tcPr>
          <w:p w14:paraId="4773F10C">
            <w:pPr>
              <w:spacing w:line="360" w:lineRule="auto"/>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3分</w:t>
            </w:r>
          </w:p>
        </w:tc>
      </w:tr>
      <w:tr w14:paraId="6BB8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trPr>
        <w:tc>
          <w:tcPr>
            <w:tcW w:w="324" w:type="pct"/>
            <w:tcBorders>
              <w:top w:val="single" w:color="auto" w:sz="4" w:space="0"/>
              <w:left w:val="single" w:color="auto" w:sz="4" w:space="0"/>
              <w:bottom w:val="single" w:color="auto" w:sz="4" w:space="0"/>
              <w:right w:val="single" w:color="auto" w:sz="4" w:space="0"/>
            </w:tcBorders>
            <w:vAlign w:val="center"/>
          </w:tcPr>
          <w:p w14:paraId="1941619F">
            <w:pPr>
              <w:autoSpaceDE w:val="0"/>
              <w:autoSpaceDN w:val="0"/>
              <w:adjustRightInd w:val="0"/>
              <w:spacing w:line="400" w:lineRule="exact"/>
              <w:jc w:val="center"/>
              <w:rPr>
                <w:rFonts w:ascii="宋体" w:hAnsi="宋体" w:eastAsia="宋体" w:cs="宋体"/>
                <w:color w:val="auto"/>
                <w:kern w:val="0"/>
                <w:szCs w:val="21"/>
                <w:highlight w:val="none"/>
              </w:rPr>
            </w:pPr>
            <w:bookmarkStart w:id="1472" w:name="_Hlk104987354"/>
            <w:r>
              <w:rPr>
                <w:rFonts w:hint="eastAsia" w:ascii="宋体" w:hAnsi="宋体" w:eastAsia="宋体" w:cs="宋体"/>
                <w:color w:val="auto"/>
                <w:kern w:val="0"/>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14:paraId="2624E148">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3F51305A">
            <w:pPr>
              <w:spacing w:line="360" w:lineRule="auto"/>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rPr>
              <w:t>投标人2022年1月1日以来（合同签订日期为2022年1月1日或以后）完成的</w:t>
            </w:r>
            <w:bookmarkStart w:id="1473" w:name="OLE_LINK162"/>
            <w:bookmarkStart w:id="1474" w:name="OLE_LINK26"/>
            <w:r>
              <w:rPr>
                <w:rFonts w:hint="eastAsia" w:ascii="宋体" w:hAnsi="宋体" w:eastAsia="宋体" w:cs="宋体"/>
                <w:bCs/>
                <w:color w:val="auto"/>
                <w:kern w:val="0"/>
                <w:szCs w:val="21"/>
                <w:highlight w:val="none"/>
              </w:rPr>
              <w:t>分布式光伏发电</w:t>
            </w:r>
            <w:bookmarkEnd w:id="1473"/>
            <w:r>
              <w:rPr>
                <w:rFonts w:hint="eastAsia" w:ascii="宋体" w:hAnsi="宋体" w:eastAsia="宋体" w:cs="宋体"/>
                <w:bCs/>
                <w:color w:val="auto"/>
                <w:kern w:val="0"/>
                <w:szCs w:val="21"/>
                <w:highlight w:val="none"/>
              </w:rPr>
              <w:t>的</w:t>
            </w:r>
            <w:bookmarkEnd w:id="1474"/>
            <w:r>
              <w:rPr>
                <w:rFonts w:hint="eastAsia" w:ascii="宋体" w:hAnsi="宋体" w:eastAsia="宋体" w:cs="宋体"/>
                <w:bCs/>
                <w:color w:val="auto"/>
                <w:kern w:val="0"/>
                <w:szCs w:val="21"/>
                <w:highlight w:val="none"/>
              </w:rPr>
              <w:t>业绩，按下列情况评分：</w:t>
            </w:r>
          </w:p>
          <w:p w14:paraId="7B7DFC7D">
            <w:pPr>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（1）单项合同总装机容量≥</w:t>
            </w:r>
            <w:r>
              <w:rPr>
                <w:rFonts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rPr>
              <w:t>MW（或</w:t>
            </w:r>
            <w:r>
              <w:rPr>
                <w:rFonts w:ascii="宋体" w:hAnsi="宋体" w:eastAsia="宋体" w:cs="Times New Roman"/>
                <w:bCs/>
                <w:color w:val="auto"/>
                <w:kern w:val="0"/>
                <w:szCs w:val="21"/>
                <w:highlight w:val="none"/>
              </w:rPr>
              <w:t>6</w:t>
            </w:r>
            <w:r>
              <w:rPr>
                <w:rFonts w:hint="eastAsia" w:ascii="宋体" w:hAnsi="宋体" w:eastAsia="宋体" w:cs="Times New Roman"/>
                <w:bCs/>
                <w:color w:val="auto"/>
                <w:kern w:val="0"/>
                <w:szCs w:val="21"/>
                <w:highlight w:val="none"/>
              </w:rPr>
              <w:t>MWp）的前述业绩，每项得3分。</w:t>
            </w:r>
          </w:p>
          <w:p w14:paraId="2646B33B">
            <w:pPr>
              <w:spacing w:line="360" w:lineRule="auto"/>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（2）单项合同总装机容量≥</w:t>
            </w:r>
            <w:r>
              <w:rPr>
                <w:rFonts w:ascii="宋体" w:hAnsi="宋体" w:eastAsia="宋体" w:cs="Times New Roman"/>
                <w:bCs/>
                <w:color w:val="auto"/>
                <w:kern w:val="0"/>
                <w:szCs w:val="21"/>
                <w:highlight w:val="none"/>
              </w:rPr>
              <w:t>3</w:t>
            </w:r>
            <w:r>
              <w:rPr>
                <w:rFonts w:hint="eastAsia" w:ascii="宋体" w:hAnsi="宋体" w:eastAsia="宋体" w:cs="Times New Roman"/>
                <w:bCs/>
                <w:color w:val="auto"/>
                <w:kern w:val="0"/>
                <w:szCs w:val="21"/>
                <w:highlight w:val="none"/>
              </w:rPr>
              <w:t>MW（或</w:t>
            </w:r>
            <w:r>
              <w:rPr>
                <w:rFonts w:ascii="宋体" w:hAnsi="宋体" w:eastAsia="宋体" w:cs="Times New Roman"/>
                <w:bCs/>
                <w:color w:val="auto"/>
                <w:kern w:val="0"/>
                <w:szCs w:val="21"/>
                <w:highlight w:val="none"/>
              </w:rPr>
              <w:t>3</w:t>
            </w:r>
            <w:r>
              <w:rPr>
                <w:rFonts w:hint="eastAsia" w:ascii="宋体" w:hAnsi="宋体" w:eastAsia="宋体" w:cs="Times New Roman"/>
                <w:bCs/>
                <w:color w:val="auto"/>
                <w:kern w:val="0"/>
                <w:szCs w:val="21"/>
                <w:highlight w:val="none"/>
              </w:rPr>
              <w:t>MWp）的前述业绩（但已在其他类型业绩评分中获得了得分的业绩除外），每项得2分。</w:t>
            </w:r>
          </w:p>
          <w:p w14:paraId="7370A62A">
            <w:pPr>
              <w:spacing w:line="360" w:lineRule="auto"/>
              <w:rPr>
                <w:rFonts w:ascii="宋体" w:hAnsi="宋体" w:eastAsia="宋体" w:cs="宋体"/>
                <w:bCs/>
                <w:color w:val="auto"/>
                <w:kern w:val="0"/>
                <w:szCs w:val="21"/>
                <w:highlight w:val="none"/>
              </w:rPr>
            </w:pPr>
            <w:r>
              <w:rPr>
                <w:rFonts w:hint="eastAsia" w:ascii="宋体" w:hAnsi="宋体" w:eastAsia="宋体" w:cs="Times New Roman"/>
                <w:bCs/>
                <w:color w:val="auto"/>
                <w:kern w:val="0"/>
                <w:szCs w:val="21"/>
                <w:highlight w:val="none"/>
              </w:rPr>
              <w:t>（3）单项合同总装机容量≥</w:t>
            </w:r>
            <w:r>
              <w:rPr>
                <w:rFonts w:ascii="宋体" w:hAnsi="宋体" w:eastAsia="宋体" w:cs="Times New Roman"/>
                <w:bCs/>
                <w:color w:val="auto"/>
                <w:kern w:val="0"/>
                <w:szCs w:val="21"/>
                <w:highlight w:val="none"/>
              </w:rPr>
              <w:t>1</w:t>
            </w:r>
            <w:r>
              <w:rPr>
                <w:rFonts w:hint="eastAsia" w:ascii="宋体" w:hAnsi="宋体" w:eastAsia="宋体" w:cs="Times New Roman"/>
                <w:bCs/>
                <w:color w:val="auto"/>
                <w:kern w:val="0"/>
                <w:szCs w:val="21"/>
                <w:highlight w:val="none"/>
              </w:rPr>
              <w:t>MW（或</w:t>
            </w:r>
            <w:r>
              <w:rPr>
                <w:rFonts w:ascii="宋体" w:hAnsi="宋体" w:eastAsia="宋体" w:cs="Times New Roman"/>
                <w:bCs/>
                <w:color w:val="auto"/>
                <w:kern w:val="0"/>
                <w:szCs w:val="21"/>
                <w:highlight w:val="none"/>
              </w:rPr>
              <w:t>1</w:t>
            </w:r>
            <w:r>
              <w:rPr>
                <w:rFonts w:hint="eastAsia" w:ascii="宋体" w:hAnsi="宋体" w:eastAsia="宋体" w:cs="Times New Roman"/>
                <w:bCs/>
                <w:color w:val="auto"/>
                <w:kern w:val="0"/>
                <w:szCs w:val="21"/>
                <w:highlight w:val="none"/>
              </w:rPr>
              <w:t>MWp）的前述业绩（但已在其他类型业绩评分中获得了得分的业绩除外），每项得1分，本子项最高得6分。</w:t>
            </w:r>
          </w:p>
          <w:p w14:paraId="0455E62A">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备注：</w:t>
            </w:r>
          </w:p>
          <w:p w14:paraId="39A19613">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①业绩须同时附合同原件扫描件、并网验收证明原件扫描件，和合同下对应任意1份已供货或实施的发票扫描件（发票销售方应为投标人/联合体的牵头单位，非合同能源管理模式下以电费回收成本的项目的发票购买方应为合同买方，合同能源管理模式下以电费回收成本的项目的发票购买方可为合同买方或为能源使用方），否则不得分；</w:t>
            </w:r>
          </w:p>
          <w:p w14:paraId="656F7253">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②单项合同总装机容量以并网验收证明上标明的装机容量为准，单项合同内多份并网验收证明的，以累计量作为评分依据；当业绩证明材料内装机容量单位非MW、MWp时，评审时按对应单位换算后打分，即1000kW=1MW,1000kWp=1MWp；</w:t>
            </w:r>
          </w:p>
          <w:p w14:paraId="7C680A86">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③分布式光伏发电项目业绩合同范围/合同服务内容仅为设计、接入方案编制、维修维护类服务的，该类项目业绩不得分；业绩合同必须包含反映合同名称、签约双方信息、合同标的/合同范围/合同服务内容、加盖合同各方印章的落款等信息的关键页，并网验收证明必须有项目属地电力管理部门（如供电局、供电公司、供电管理/服务中心、电网公司、供电所等）的印章，否则该类业绩不得分；</w:t>
            </w:r>
          </w:p>
          <w:p w14:paraId="2E7A39E1">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④若合同和并网验收证明无法反映评分条件[1.合同签订日期为2022年1月1日或以后；2.合同标的必须为分布式光伏发电的业绩（若合同文本和并网验收证明反映的光伏发电类别不一致时，以并网验收证明上反映的光伏发电类别为准）；3.单项合同装机容量；4.合同范围/合同服务内容。]，还需提供合同甲方出具的书面补充说明文件原件扫描件作为辅助证明（补充说明文件原件扫描件能显示合同甲方公章）；</w:t>
            </w:r>
          </w:p>
          <w:p w14:paraId="2E90838B">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⑤框架协议下未签订单项合同的，该框架协议整体视为一份单项合同；</w:t>
            </w:r>
          </w:p>
          <w:p w14:paraId="470191E3">
            <w:pPr>
              <w:spacing w:line="360" w:lineRule="auto"/>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⑥若为联合体投标的，以联合体牵头单位提供的业绩为准，非牵头单位的业绩不予认可；</w:t>
            </w:r>
          </w:p>
          <w:p w14:paraId="6071624D">
            <w:pPr>
              <w:spacing w:line="360" w:lineRule="auto"/>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shd w:val="clear" w:color="auto" w:fill="FFFFFF"/>
              </w:rPr>
              <w:t>⑦</w:t>
            </w:r>
            <w:r>
              <w:rPr>
                <w:rFonts w:hint="eastAsia" w:ascii="宋体" w:hAnsi="宋体" w:eastAsia="宋体" w:cs="宋体"/>
                <w:b/>
                <w:color w:val="auto"/>
                <w:kern w:val="0"/>
                <w:szCs w:val="21"/>
                <w:highlight w:val="none"/>
              </w:rPr>
              <w:t>未按上述要求提供证明材料的业绩，或所附材料无法证明填报项目符合本项评分要求的业绩，在评标时将不予考虑。</w:t>
            </w:r>
          </w:p>
        </w:tc>
        <w:tc>
          <w:tcPr>
            <w:tcW w:w="437" w:type="pct"/>
            <w:tcBorders>
              <w:top w:val="single" w:color="auto" w:sz="4" w:space="0"/>
              <w:left w:val="single" w:color="auto" w:sz="4" w:space="0"/>
              <w:bottom w:val="single" w:color="auto" w:sz="4" w:space="0"/>
              <w:right w:val="single" w:color="auto" w:sz="4" w:space="0"/>
            </w:tcBorders>
            <w:vAlign w:val="center"/>
          </w:tcPr>
          <w:p w14:paraId="61A6E3DB">
            <w:pPr>
              <w:autoSpaceDE w:val="0"/>
              <w:autoSpaceDN w:val="0"/>
              <w:adjustRightInd w:val="0"/>
              <w:spacing w:line="400" w:lineRule="exact"/>
              <w:jc w:val="center"/>
              <w:rPr>
                <w:rFonts w:ascii="宋体" w:hAnsi="宋体" w:eastAsia="宋体" w:cs="宋体"/>
                <w:color w:val="auto"/>
                <w:szCs w:val="24"/>
                <w:highlight w:val="none"/>
              </w:rPr>
            </w:pPr>
            <w:r>
              <w:rPr>
                <w:rFonts w:ascii="宋体" w:hAnsi="宋体" w:eastAsia="宋体" w:cs="宋体"/>
                <w:bCs/>
                <w:color w:val="auto"/>
                <w:kern w:val="0"/>
                <w:szCs w:val="21"/>
                <w:highlight w:val="none"/>
              </w:rPr>
              <w:t>24</w:t>
            </w:r>
            <w:r>
              <w:rPr>
                <w:rFonts w:hint="eastAsia" w:ascii="宋体" w:hAnsi="宋体" w:eastAsia="宋体" w:cs="宋体"/>
                <w:bCs/>
                <w:color w:val="auto"/>
                <w:kern w:val="0"/>
                <w:szCs w:val="21"/>
                <w:highlight w:val="none"/>
              </w:rPr>
              <w:t>分</w:t>
            </w:r>
          </w:p>
        </w:tc>
      </w:tr>
      <w:bookmarkEnd w:id="1472"/>
    </w:tbl>
    <w:p w14:paraId="4AB957C4">
      <w:pPr>
        <w:autoSpaceDE w:val="0"/>
        <w:autoSpaceDN w:val="0"/>
        <w:adjustRightInd w:val="0"/>
        <w:ind w:right="-26" w:firstLine="480"/>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bidi="ar"/>
        </w:rPr>
        <w:t xml:space="preserve"> </w:t>
      </w:r>
    </w:p>
    <w:p w14:paraId="5116F607">
      <w:pPr>
        <w:tabs>
          <w:tab w:val="left" w:pos="585"/>
        </w:tabs>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（2）技术：总分40分</w:t>
      </w:r>
    </w:p>
    <w:tbl>
      <w:tblPr>
        <w:tblStyle w:val="46"/>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155"/>
        <w:gridCol w:w="6623"/>
        <w:gridCol w:w="854"/>
      </w:tblGrid>
      <w:tr w14:paraId="4D952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25D50ADB">
            <w:pPr>
              <w:autoSpaceDE w:val="0"/>
              <w:autoSpaceDN w:val="0"/>
              <w:adjustRightInd w:val="0"/>
              <w:spacing w:line="400" w:lineRule="exact"/>
              <w:jc w:val="center"/>
              <w:rPr>
                <w:rFonts w:ascii="宋体" w:hAnsi="宋体" w:eastAsia="宋体" w:cs="宋体"/>
                <w:b/>
                <w:color w:val="auto"/>
                <w:kern w:val="0"/>
                <w:szCs w:val="21"/>
                <w:highlight w:val="none"/>
              </w:rPr>
            </w:pPr>
            <w:bookmarkStart w:id="1475" w:name="_Hlk104987779"/>
            <w:r>
              <w:rPr>
                <w:rFonts w:hint="eastAsia" w:ascii="宋体" w:hAnsi="宋体" w:eastAsia="宋体" w:cs="宋体"/>
                <w:b/>
                <w:color w:val="auto"/>
                <w:kern w:val="0"/>
                <w:szCs w:val="21"/>
                <w:highlight w:val="none"/>
              </w:rPr>
              <w:t>序号</w:t>
            </w:r>
          </w:p>
        </w:tc>
        <w:tc>
          <w:tcPr>
            <w:tcW w:w="625" w:type="pct"/>
            <w:tcBorders>
              <w:top w:val="single" w:color="auto" w:sz="4" w:space="0"/>
              <w:left w:val="single" w:color="auto" w:sz="4" w:space="0"/>
              <w:bottom w:val="single" w:color="auto" w:sz="4" w:space="0"/>
              <w:right w:val="single" w:color="auto" w:sz="4" w:space="0"/>
            </w:tcBorders>
            <w:vAlign w:val="center"/>
          </w:tcPr>
          <w:p w14:paraId="1B0A6306">
            <w:pPr>
              <w:autoSpaceDE w:val="0"/>
              <w:autoSpaceDN w:val="0"/>
              <w:adjustRightInd w:val="0"/>
              <w:spacing w:line="40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3584" w:type="pct"/>
            <w:tcBorders>
              <w:top w:val="single" w:color="auto" w:sz="4" w:space="0"/>
              <w:left w:val="single" w:color="auto" w:sz="4" w:space="0"/>
              <w:bottom w:val="single" w:color="auto" w:sz="4" w:space="0"/>
              <w:right w:val="single" w:color="auto" w:sz="4" w:space="0"/>
            </w:tcBorders>
            <w:vAlign w:val="center"/>
          </w:tcPr>
          <w:p w14:paraId="153F98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62" w:type="pct"/>
            <w:tcBorders>
              <w:top w:val="single" w:color="auto" w:sz="4" w:space="0"/>
              <w:left w:val="single" w:color="auto" w:sz="4" w:space="0"/>
              <w:bottom w:val="single" w:color="auto" w:sz="4" w:space="0"/>
              <w:right w:val="single" w:color="auto" w:sz="4" w:space="0"/>
            </w:tcBorders>
            <w:vAlign w:val="center"/>
          </w:tcPr>
          <w:p w14:paraId="05A6CDB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957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5B0C5AB3">
            <w:pPr>
              <w:autoSpaceDE w:val="0"/>
              <w:autoSpaceDN w:val="0"/>
              <w:adjustRightInd w:val="0"/>
              <w:spacing w:line="400" w:lineRule="exact"/>
              <w:jc w:val="center"/>
              <w:rPr>
                <w:rFonts w:ascii="宋体" w:hAnsi="宋体" w:eastAsia="宋体" w:cs="宋体"/>
                <w:b/>
                <w:color w:val="auto"/>
                <w:kern w:val="0"/>
                <w:szCs w:val="21"/>
                <w:highlight w:val="none"/>
              </w:rPr>
            </w:pPr>
            <w:bookmarkStart w:id="1476" w:name="OLE_LINK191" w:colFirst="0" w:colLast="0"/>
            <w:bookmarkStart w:id="1477" w:name="OLE_LINK190" w:colFirst="1" w:colLast="1"/>
            <w:r>
              <w:rPr>
                <w:rFonts w:hint="eastAsia" w:ascii="宋体" w:hAnsi="宋体" w:eastAsia="宋体" w:cs="宋体"/>
                <w:bCs/>
                <w:color w:val="auto"/>
                <w:kern w:val="0"/>
                <w:szCs w:val="21"/>
                <w:highlight w:val="none"/>
              </w:rPr>
              <w:t>1</w:t>
            </w:r>
          </w:p>
        </w:tc>
        <w:tc>
          <w:tcPr>
            <w:tcW w:w="625" w:type="pct"/>
            <w:tcBorders>
              <w:top w:val="single" w:color="auto" w:sz="4" w:space="0"/>
              <w:left w:val="single" w:color="auto" w:sz="4" w:space="0"/>
              <w:bottom w:val="single" w:color="auto" w:sz="4" w:space="0"/>
              <w:right w:val="single" w:color="auto" w:sz="4" w:space="0"/>
            </w:tcBorders>
            <w:vAlign w:val="center"/>
          </w:tcPr>
          <w:p w14:paraId="76C9C2F1">
            <w:pPr>
              <w:autoSpaceDE w:val="0"/>
              <w:autoSpaceDN w:val="0"/>
              <w:adjustRightInd w:val="0"/>
              <w:spacing w:line="400" w:lineRule="exact"/>
              <w:jc w:val="center"/>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用户需求响应程度</w:t>
            </w:r>
          </w:p>
        </w:tc>
        <w:tc>
          <w:tcPr>
            <w:tcW w:w="3584" w:type="pct"/>
            <w:tcBorders>
              <w:top w:val="single" w:color="auto" w:sz="4" w:space="0"/>
              <w:left w:val="single" w:color="auto" w:sz="4" w:space="0"/>
              <w:bottom w:val="single" w:color="auto" w:sz="4" w:space="0"/>
              <w:right w:val="single" w:color="auto" w:sz="4" w:space="0"/>
            </w:tcBorders>
            <w:vAlign w:val="center"/>
          </w:tcPr>
          <w:p w14:paraId="6CA42457">
            <w:pPr>
              <w:autoSpaceDE w:val="0"/>
              <w:autoSpaceDN w:val="0"/>
              <w:adjustRightInd w:val="0"/>
              <w:spacing w:line="40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根据用户需求偏离表的偏离情况进行评审计分，完全</w:t>
            </w:r>
            <w:r>
              <w:rPr>
                <w:rFonts w:hint="eastAsia" w:ascii="宋体" w:hAnsi="宋体" w:eastAsia="宋体" w:cs="宋体"/>
                <w:color w:val="auto"/>
                <w:kern w:val="0"/>
                <w:szCs w:val="21"/>
                <w:highlight w:val="none"/>
              </w:rPr>
              <w:t>实质性</w:t>
            </w:r>
            <w:r>
              <w:rPr>
                <w:rFonts w:hint="eastAsia" w:ascii="宋体" w:hAnsi="宋体" w:eastAsia="宋体" w:cs="宋体"/>
                <w:color w:val="auto"/>
                <w:szCs w:val="21"/>
                <w:highlight w:val="none"/>
                <w:lang w:bidi="ar"/>
              </w:rPr>
              <w:t>满足用户需求的要求得满分；每一处负偏离（设备/货物的每一个技术参数，设备/货物每一项功能，每一项商务要求，均视为一处），扣2分；同时参照其投标文件中技术资料的内容进行对比，每发现一处投标人填写为无偏离或正偏离，但评标委员会评审认定其为负偏离的，每处扣6分；本项最低分为0分。</w:t>
            </w:r>
          </w:p>
        </w:tc>
        <w:tc>
          <w:tcPr>
            <w:tcW w:w="462" w:type="pct"/>
            <w:tcBorders>
              <w:top w:val="single" w:color="auto" w:sz="4" w:space="0"/>
              <w:left w:val="single" w:color="auto" w:sz="4" w:space="0"/>
              <w:bottom w:val="single" w:color="auto" w:sz="4" w:space="0"/>
              <w:right w:val="single" w:color="auto" w:sz="4" w:space="0"/>
            </w:tcBorders>
            <w:vAlign w:val="center"/>
          </w:tcPr>
          <w:p w14:paraId="5E6F5C1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12分</w:t>
            </w:r>
          </w:p>
        </w:tc>
      </w:tr>
      <w:tr w14:paraId="6380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11AD1C0">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p>
        </w:tc>
        <w:tc>
          <w:tcPr>
            <w:tcW w:w="625" w:type="pct"/>
            <w:tcBorders>
              <w:top w:val="single" w:color="auto" w:sz="4" w:space="0"/>
              <w:left w:val="single" w:color="auto" w:sz="4" w:space="0"/>
              <w:bottom w:val="single" w:color="auto" w:sz="4" w:space="0"/>
              <w:right w:val="single" w:color="auto" w:sz="4" w:space="0"/>
            </w:tcBorders>
            <w:vAlign w:val="center"/>
          </w:tcPr>
          <w:p w14:paraId="26684508">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所投光伏组件产品综合</w:t>
            </w:r>
            <w:r>
              <w:rPr>
                <w:rFonts w:hint="eastAsia" w:ascii="宋体" w:hAnsi="宋体" w:eastAsia="宋体" w:cs="宋体"/>
                <w:color w:val="auto"/>
                <w:szCs w:val="21"/>
                <w:highlight w:val="none"/>
                <w:lang w:val="zh-CN" w:bidi="ar"/>
              </w:rPr>
              <w:t>性能</w:t>
            </w:r>
          </w:p>
        </w:tc>
        <w:tc>
          <w:tcPr>
            <w:tcW w:w="3584" w:type="pct"/>
            <w:tcBorders>
              <w:top w:val="single" w:color="auto" w:sz="4" w:space="0"/>
              <w:left w:val="single" w:color="auto" w:sz="4" w:space="0"/>
              <w:bottom w:val="single" w:color="auto" w:sz="4" w:space="0"/>
              <w:right w:val="single" w:color="auto" w:sz="4" w:space="0"/>
            </w:tcBorders>
            <w:vAlign w:val="center"/>
          </w:tcPr>
          <w:p w14:paraId="7085CBB0">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根据各投标人所投光伏组件的光电转换效率、功率衰减率、冰雹试验结果、安全防护等级等技术参数，对所投光伏组件的综合性能进行评审：</w:t>
            </w:r>
          </w:p>
          <w:p w14:paraId="47DED2B0">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：产品技术参数符合行业标准，能够完全满足或优于采购需求，性能</w:t>
            </w:r>
            <w:r>
              <w:rPr>
                <w:rFonts w:hint="eastAsia" w:ascii="宋体" w:hAnsi="宋体" w:eastAsia="宋体" w:cs="宋体"/>
                <w:color w:val="auto"/>
                <w:szCs w:val="21"/>
                <w:highlight w:val="none"/>
              </w:rPr>
              <w:t>卓越</w:t>
            </w:r>
            <w:r>
              <w:rPr>
                <w:rFonts w:hint="eastAsia" w:ascii="宋体" w:hAnsi="宋体" w:eastAsia="宋体" w:cs="宋体"/>
                <w:color w:val="auto"/>
                <w:szCs w:val="21"/>
                <w:highlight w:val="none"/>
                <w:lang w:bidi="ar"/>
              </w:rPr>
              <w:t>、结构设计合理性强、稳定可靠，得[</w:t>
            </w:r>
            <w:bookmarkStart w:id="1478" w:name="OLE_LINK517"/>
            <w:r>
              <w:rPr>
                <w:rFonts w:ascii="宋体" w:hAnsi="宋体" w:eastAsia="宋体" w:cs="宋体"/>
                <w:color w:val="auto"/>
                <w:szCs w:val="21"/>
                <w:highlight w:val="none"/>
                <w:lang w:bidi="ar"/>
              </w:rPr>
              <w:t>6-</w:t>
            </w:r>
            <w:bookmarkEnd w:id="1478"/>
            <w:r>
              <w:rPr>
                <w:rFonts w:hint="eastAsia" w:ascii="宋体" w:hAnsi="宋体" w:eastAsia="宋体" w:cs="宋体"/>
                <w:color w:val="auto"/>
                <w:szCs w:val="21"/>
                <w:highlight w:val="none"/>
                <w:lang w:bidi="ar"/>
              </w:rPr>
              <w:t>5.4]分；</w:t>
            </w:r>
          </w:p>
          <w:p w14:paraId="635AAECF">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技术参数符合行业标准，能够满足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性能良好、结构设计较合理、稳定可靠，得（5.4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4.2]分；</w:t>
            </w:r>
          </w:p>
          <w:p w14:paraId="7B33DD30">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技术参数符合行业标准，基本能满足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性能一般、结构设计基本合理、较稳定可靠，得（4.2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3]分；</w:t>
            </w:r>
          </w:p>
          <w:p w14:paraId="1F57EEAB">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技术参数不能满足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性能不佳、结构设计合理性差、不稳定可靠，得（3</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794DAF17">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p>
          <w:p w14:paraId="10973665">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投标产品的性能参数，以具有CMA（或CNAS）检测能力的第三方检测机构出具的投标产品的试验报告等检测报告数据，或产品认证证书，或投标产品性能说明书，或其他能体现投标产品性能的证明材料作为评审依据，未提供的则本项不得分。</w:t>
            </w:r>
          </w:p>
        </w:tc>
        <w:tc>
          <w:tcPr>
            <w:tcW w:w="462" w:type="pct"/>
            <w:tcBorders>
              <w:top w:val="single" w:color="auto" w:sz="4" w:space="0"/>
              <w:left w:val="single" w:color="auto" w:sz="4" w:space="0"/>
              <w:bottom w:val="single" w:color="auto" w:sz="4" w:space="0"/>
              <w:right w:val="single" w:color="auto" w:sz="4" w:space="0"/>
            </w:tcBorders>
            <w:vAlign w:val="center"/>
          </w:tcPr>
          <w:p w14:paraId="5A342F38">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6分</w:t>
            </w:r>
          </w:p>
        </w:tc>
      </w:tr>
      <w:tr w14:paraId="35508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02776F45">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p>
        </w:tc>
        <w:tc>
          <w:tcPr>
            <w:tcW w:w="625" w:type="pct"/>
            <w:tcBorders>
              <w:top w:val="single" w:color="auto" w:sz="4" w:space="0"/>
              <w:left w:val="single" w:color="auto" w:sz="4" w:space="0"/>
              <w:bottom w:val="single" w:color="auto" w:sz="4" w:space="0"/>
              <w:right w:val="single" w:color="auto" w:sz="4" w:space="0"/>
            </w:tcBorders>
            <w:vAlign w:val="center"/>
          </w:tcPr>
          <w:p w14:paraId="7856CB5B">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所投</w:t>
            </w:r>
            <w:r>
              <w:rPr>
                <w:rFonts w:hint="eastAsia" w:ascii="宋体" w:hAnsi="宋体" w:eastAsia="宋体" w:cs="宋体"/>
                <w:color w:val="auto"/>
                <w:szCs w:val="21"/>
                <w:highlight w:val="none"/>
                <w:lang w:val="zh-CN" w:bidi="ar"/>
              </w:rPr>
              <w:t>逆变器</w:t>
            </w:r>
            <w:r>
              <w:rPr>
                <w:rFonts w:hint="eastAsia" w:ascii="宋体" w:hAnsi="宋体" w:eastAsia="宋体" w:cs="宋体"/>
                <w:color w:val="auto"/>
                <w:szCs w:val="21"/>
                <w:highlight w:val="none"/>
                <w:lang w:bidi="ar"/>
              </w:rPr>
              <w:t>产品综合</w:t>
            </w:r>
            <w:r>
              <w:rPr>
                <w:rFonts w:hint="eastAsia" w:ascii="宋体" w:hAnsi="宋体" w:eastAsia="宋体" w:cs="宋体"/>
                <w:color w:val="auto"/>
                <w:szCs w:val="21"/>
                <w:highlight w:val="none"/>
                <w:lang w:val="zh-CN" w:bidi="ar"/>
              </w:rPr>
              <w:t>性能</w:t>
            </w:r>
          </w:p>
        </w:tc>
        <w:tc>
          <w:tcPr>
            <w:tcW w:w="3584" w:type="pct"/>
            <w:tcBorders>
              <w:top w:val="single" w:color="auto" w:sz="4" w:space="0"/>
              <w:left w:val="single" w:color="auto" w:sz="4" w:space="0"/>
              <w:bottom w:val="single" w:color="auto" w:sz="4" w:space="0"/>
              <w:right w:val="single" w:color="auto" w:sz="4" w:space="0"/>
            </w:tcBorders>
            <w:vAlign w:val="center"/>
          </w:tcPr>
          <w:p w14:paraId="03D28297">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根据各投标人所投逆变器产品的中国效率、最大逆变效率、电流总谐波畸变率、防护等级等技术参数，对所投逆变器产品的综合性能进行评审：</w:t>
            </w:r>
          </w:p>
          <w:p w14:paraId="5B43AC9B">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：产品技术参数符合行业标准，能够完全满足或优于采购需求，性能</w:t>
            </w:r>
            <w:r>
              <w:rPr>
                <w:rFonts w:hint="eastAsia" w:ascii="宋体" w:hAnsi="宋体" w:eastAsia="宋体" w:cs="宋体"/>
                <w:color w:val="auto"/>
                <w:szCs w:val="21"/>
                <w:highlight w:val="none"/>
              </w:rPr>
              <w:t>卓越</w:t>
            </w:r>
            <w:r>
              <w:rPr>
                <w:rFonts w:hint="eastAsia" w:ascii="宋体" w:hAnsi="宋体" w:eastAsia="宋体" w:cs="宋体"/>
                <w:color w:val="auto"/>
                <w:szCs w:val="21"/>
                <w:highlight w:val="none"/>
                <w:lang w:bidi="ar"/>
              </w:rPr>
              <w:t>、结构设计合理性强、稳定可靠，得[2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2B8A6D3B">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技术参数符合行业标准，能够满足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性能良好、结构设计较合理、稳定可靠，得（1.8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2BE5C708">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技术参数符合行业标准，基本能满足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性能一般、结构设计基本合理、较稳定可靠，得（1.4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6D796D76">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：产品</w:t>
            </w:r>
            <w:r>
              <w:rPr>
                <w:rFonts w:hint="eastAsia" w:ascii="宋体" w:hAnsi="宋体" w:eastAsia="宋体" w:cs="宋体"/>
                <w:color w:val="auto"/>
                <w:szCs w:val="21"/>
                <w:highlight w:val="none"/>
              </w:rPr>
              <w:t>技术参数不能满足</w:t>
            </w:r>
            <w:r>
              <w:rPr>
                <w:rFonts w:hint="eastAsia" w:ascii="宋体" w:hAnsi="宋体" w:eastAsia="宋体" w:cs="宋体"/>
                <w:color w:val="auto"/>
                <w:szCs w:val="21"/>
                <w:highlight w:val="none"/>
                <w:lang w:bidi="ar"/>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lang w:bidi="ar"/>
              </w:rPr>
              <w:t>性能不佳、结构设计合理性差、不稳定可靠，得（1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0338696A">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w:t>
            </w:r>
          </w:p>
          <w:p w14:paraId="2531B568">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①投标产品的性能参数，以具有CMA（或CNAS）检测能力的第三方检测机构出具的投标产品的试验报告等检测报告数据，或产品认证证书，或投标产品性能说明书，或其他能体现投标产品性能的证明材料作为评审依据，未提供的则本项不得分。</w:t>
            </w:r>
          </w:p>
          <w:p w14:paraId="267560EE">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②当本次投标逆变器包含多个数值时，以所有型号中最低的值作为评审依据；不论所投产品为单一型号还是多个型号，均取全部投标型号中的最低值作为评审参数</w:t>
            </w:r>
            <w:r>
              <w:rPr>
                <w:rFonts w:hint="eastAsia" w:ascii="宋体" w:hAnsi="宋体" w:eastAsia="宋体" w:cs="宋体"/>
                <w:color w:val="auto"/>
                <w:szCs w:val="21"/>
                <w:highlight w:val="none"/>
                <w:lang w:bidi="ar"/>
              </w:rPr>
              <w:t>。</w:t>
            </w:r>
          </w:p>
        </w:tc>
        <w:tc>
          <w:tcPr>
            <w:tcW w:w="462" w:type="pct"/>
            <w:tcBorders>
              <w:top w:val="single" w:color="auto" w:sz="4" w:space="0"/>
              <w:left w:val="single" w:color="auto" w:sz="4" w:space="0"/>
              <w:bottom w:val="single" w:color="auto" w:sz="4" w:space="0"/>
              <w:right w:val="single" w:color="auto" w:sz="4" w:space="0"/>
            </w:tcBorders>
            <w:vAlign w:val="center"/>
          </w:tcPr>
          <w:p w14:paraId="62A0BB0D">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2分</w:t>
            </w:r>
          </w:p>
        </w:tc>
      </w:tr>
      <w:tr w14:paraId="27E1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336FC17C">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w:t>
            </w:r>
          </w:p>
        </w:tc>
        <w:tc>
          <w:tcPr>
            <w:tcW w:w="625" w:type="pct"/>
            <w:tcBorders>
              <w:top w:val="single" w:color="auto" w:sz="4" w:space="0"/>
              <w:left w:val="single" w:color="auto" w:sz="4" w:space="0"/>
              <w:bottom w:val="single" w:color="auto" w:sz="4" w:space="0"/>
              <w:right w:val="single" w:color="auto" w:sz="4" w:space="0"/>
            </w:tcBorders>
            <w:vAlign w:val="center"/>
          </w:tcPr>
          <w:p w14:paraId="0403F8B2">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质保时间</w:t>
            </w:r>
          </w:p>
        </w:tc>
        <w:tc>
          <w:tcPr>
            <w:tcW w:w="3584" w:type="pct"/>
            <w:tcBorders>
              <w:top w:val="single" w:color="auto" w:sz="4" w:space="0"/>
              <w:left w:val="single" w:color="auto" w:sz="4" w:space="0"/>
              <w:bottom w:val="single" w:color="auto" w:sz="4" w:space="0"/>
              <w:right w:val="single" w:color="auto" w:sz="4" w:space="0"/>
            </w:tcBorders>
            <w:vAlign w:val="center"/>
          </w:tcPr>
          <w:p w14:paraId="352A313B">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根据各投标人对本项目整体质保时间进行评审：在满足本项目整体最终验收合格之日起二年质保时间的基础上，每增加1年得1分，本项最高得2分。</w:t>
            </w:r>
          </w:p>
          <w:p w14:paraId="750D2BC8">
            <w:pPr>
              <w:autoSpaceDE w:val="0"/>
              <w:autoSpaceDN w:val="0"/>
              <w:adjustRightInd w:val="0"/>
              <w:spacing w:line="40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备注：须提供质保说明书加盖投标人公章。</w:t>
            </w:r>
          </w:p>
        </w:tc>
        <w:tc>
          <w:tcPr>
            <w:tcW w:w="462" w:type="pct"/>
            <w:tcBorders>
              <w:top w:val="single" w:color="auto" w:sz="4" w:space="0"/>
              <w:left w:val="single" w:color="auto" w:sz="4" w:space="0"/>
              <w:bottom w:val="single" w:color="auto" w:sz="4" w:space="0"/>
              <w:right w:val="single" w:color="auto" w:sz="4" w:space="0"/>
            </w:tcBorders>
            <w:vAlign w:val="center"/>
          </w:tcPr>
          <w:p w14:paraId="6705240D">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2分</w:t>
            </w:r>
          </w:p>
        </w:tc>
      </w:tr>
      <w:tr w14:paraId="292B0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4F750D76">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w:t>
            </w:r>
          </w:p>
        </w:tc>
        <w:tc>
          <w:tcPr>
            <w:tcW w:w="625" w:type="pct"/>
            <w:tcBorders>
              <w:top w:val="single" w:color="auto" w:sz="4" w:space="0"/>
              <w:left w:val="single" w:color="auto" w:sz="4" w:space="0"/>
              <w:bottom w:val="single" w:color="auto" w:sz="4" w:space="0"/>
              <w:right w:val="single" w:color="auto" w:sz="4" w:space="0"/>
            </w:tcBorders>
            <w:vAlign w:val="center"/>
          </w:tcPr>
          <w:p w14:paraId="2ACF69E9">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项目负责人</w:t>
            </w:r>
          </w:p>
        </w:tc>
        <w:tc>
          <w:tcPr>
            <w:tcW w:w="3584" w:type="pct"/>
            <w:tcBorders>
              <w:top w:val="single" w:color="auto" w:sz="4" w:space="0"/>
              <w:left w:val="single" w:color="auto" w:sz="4" w:space="0"/>
              <w:bottom w:val="single" w:color="auto" w:sz="4" w:space="0"/>
              <w:right w:val="single" w:color="auto" w:sz="4" w:space="0"/>
            </w:tcBorders>
            <w:vAlign w:val="center"/>
          </w:tcPr>
          <w:p w14:paraId="0AAEE7AF">
            <w:pPr>
              <w:autoSpaceDE w:val="0"/>
              <w:autoSpaceDN w:val="0"/>
              <w:adjustRightInd w:val="0"/>
              <w:spacing w:line="400" w:lineRule="exact"/>
              <w:jc w:val="left"/>
              <w:rPr>
                <w:rFonts w:ascii="宋体" w:hAnsi="宋体" w:eastAsia="宋体" w:cs="宋体"/>
                <w:b/>
                <w:bCs/>
                <w:color w:val="auto"/>
                <w:szCs w:val="21"/>
                <w:highlight w:val="none"/>
                <w:lang w:bidi="ar"/>
              </w:rPr>
            </w:pPr>
            <w:bookmarkStart w:id="1479" w:name="OLE_LINK199"/>
            <w:r>
              <w:rPr>
                <w:rFonts w:hint="eastAsia" w:ascii="宋体" w:hAnsi="宋体" w:eastAsia="宋体" w:cs="宋体"/>
                <w:b/>
                <w:bCs/>
                <w:color w:val="auto"/>
                <w:szCs w:val="21"/>
                <w:highlight w:val="none"/>
                <w:lang w:bidi="ar"/>
              </w:rPr>
              <w:t>根据各投标人拟投</w:t>
            </w:r>
            <w:bookmarkStart w:id="1480" w:name="OLE_LINK213"/>
            <w:r>
              <w:rPr>
                <w:rFonts w:hint="eastAsia" w:ascii="宋体" w:hAnsi="宋体" w:eastAsia="宋体" w:cs="宋体"/>
                <w:b/>
                <w:bCs/>
                <w:color w:val="auto"/>
                <w:szCs w:val="21"/>
                <w:highlight w:val="none"/>
                <w:lang w:bidi="ar"/>
              </w:rPr>
              <w:t>入本项目</w:t>
            </w:r>
            <w:bookmarkEnd w:id="1480"/>
            <w:r>
              <w:rPr>
                <w:rFonts w:hint="eastAsia" w:ascii="宋体" w:hAnsi="宋体" w:eastAsia="宋体" w:cs="宋体"/>
                <w:b/>
                <w:bCs/>
                <w:color w:val="auto"/>
                <w:szCs w:val="21"/>
                <w:highlight w:val="none"/>
                <w:lang w:bidi="ar"/>
              </w:rPr>
              <w:t>的</w:t>
            </w:r>
            <w:bookmarkEnd w:id="1479"/>
            <w:r>
              <w:rPr>
                <w:rFonts w:hint="eastAsia" w:ascii="宋体" w:hAnsi="宋体" w:eastAsia="宋体" w:cs="宋体"/>
                <w:b/>
                <w:bCs/>
                <w:color w:val="auto"/>
                <w:szCs w:val="21"/>
                <w:highlight w:val="none"/>
                <w:lang w:bidi="ar"/>
              </w:rPr>
              <w:t>项目负责人</w:t>
            </w:r>
            <w:bookmarkStart w:id="1481" w:name="OLE_LINK209"/>
            <w:r>
              <w:rPr>
                <w:rFonts w:hint="eastAsia" w:ascii="宋体" w:hAnsi="宋体" w:eastAsia="宋体" w:cs="宋体"/>
                <w:b/>
                <w:bCs/>
                <w:color w:val="auto"/>
                <w:szCs w:val="21"/>
                <w:highlight w:val="none"/>
                <w:lang w:bidi="ar"/>
              </w:rPr>
              <w:t>（仅一人）</w:t>
            </w:r>
            <w:bookmarkEnd w:id="1481"/>
            <w:bookmarkStart w:id="1482" w:name="OLE_LINK200"/>
            <w:r>
              <w:rPr>
                <w:rFonts w:hint="eastAsia" w:ascii="宋体" w:hAnsi="宋体" w:eastAsia="宋体" w:cs="宋体"/>
                <w:b/>
                <w:bCs/>
                <w:color w:val="auto"/>
                <w:szCs w:val="21"/>
                <w:highlight w:val="none"/>
                <w:lang w:bidi="ar"/>
              </w:rPr>
              <w:t>进行评审</w:t>
            </w:r>
            <w:bookmarkEnd w:id="1482"/>
            <w:r>
              <w:rPr>
                <w:rFonts w:hint="eastAsia" w:ascii="宋体" w:hAnsi="宋体" w:eastAsia="宋体" w:cs="宋体"/>
                <w:b/>
                <w:bCs/>
                <w:color w:val="auto"/>
                <w:szCs w:val="21"/>
                <w:highlight w:val="none"/>
                <w:lang w:bidi="ar"/>
              </w:rPr>
              <w:t>：</w:t>
            </w:r>
          </w:p>
          <w:p w14:paraId="1F4A698A">
            <w:pPr>
              <w:autoSpaceDE w:val="0"/>
              <w:autoSpaceDN w:val="0"/>
              <w:adjustRightInd w:val="0"/>
              <w:spacing w:line="400" w:lineRule="exact"/>
              <w:jc w:val="left"/>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bidi="ar"/>
              </w:rPr>
              <w:t>具备电气工程（或机电工程）专业中级工程师职称，得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r>
              <w:rPr>
                <w:rFonts w:hint="eastAsia" w:ascii="宋体" w:hAnsi="宋体" w:eastAsia="宋体" w:cs="宋体"/>
                <w:color w:val="auto"/>
                <w:szCs w:val="21"/>
                <w:highlight w:val="none"/>
                <w:lang w:val="en-US" w:eastAsia="zh-CN" w:bidi="ar"/>
              </w:rPr>
              <w:t>具备电气工程（或机电工程）专业副高级（或以上）工程师职称，得2分。</w:t>
            </w:r>
          </w:p>
          <w:p w14:paraId="5F723BEA">
            <w:pPr>
              <w:autoSpaceDE w:val="0"/>
              <w:autoSpaceDN w:val="0"/>
              <w:adjustRightInd w:val="0"/>
              <w:spacing w:line="400" w:lineRule="exact"/>
              <w:jc w:val="left"/>
              <w:rPr>
                <w:rFonts w:ascii="宋体" w:hAnsi="宋体" w:eastAsia="宋体" w:cs="宋体"/>
                <w:color w:val="auto"/>
                <w:szCs w:val="21"/>
                <w:highlight w:val="none"/>
                <w:lang w:bidi="ar"/>
              </w:rPr>
            </w:pPr>
            <w:r>
              <w:rPr>
                <w:rFonts w:hint="eastAsia" w:ascii="宋体" w:hAnsi="宋体" w:eastAsia="宋体" w:cs="宋体"/>
                <w:b w:val="0"/>
                <w:bCs/>
                <w:color w:val="auto"/>
                <w:szCs w:val="21"/>
                <w:highlight w:val="none"/>
                <w:lang w:val="en-US" w:eastAsia="zh-CN" w:bidi="ar"/>
              </w:rPr>
              <w:t>本项最高得2分。</w:t>
            </w:r>
          </w:p>
          <w:p w14:paraId="46502805">
            <w:pPr>
              <w:autoSpaceDE w:val="0"/>
              <w:autoSpaceDN w:val="0"/>
              <w:adjustRightInd w:val="0"/>
              <w:spacing w:line="40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备注：①若为联合体投标的，</w:t>
            </w:r>
            <w:r>
              <w:rPr>
                <w:rFonts w:hint="eastAsia" w:ascii="宋体" w:hAnsi="宋体" w:eastAsia="宋体" w:cs="宋体"/>
                <w:b/>
                <w:color w:val="auto"/>
                <w:kern w:val="0"/>
                <w:szCs w:val="21"/>
                <w:highlight w:val="none"/>
              </w:rPr>
              <w:t>以联合体牵头单位提供的人员为准，联合体成员单位提供的人员不予认可</w:t>
            </w:r>
            <w:r>
              <w:rPr>
                <w:rFonts w:hint="eastAsia" w:ascii="宋体" w:hAnsi="宋体" w:eastAsia="宋体" w:cs="宋体"/>
                <w:b/>
                <w:bCs/>
                <w:color w:val="auto"/>
                <w:szCs w:val="21"/>
                <w:highlight w:val="none"/>
                <w:lang w:bidi="ar"/>
              </w:rPr>
              <w:t>；②须提供</w:t>
            </w:r>
            <w:r>
              <w:rPr>
                <w:rFonts w:hint="eastAsia" w:ascii="宋体" w:hAnsi="宋体" w:eastAsia="宋体" w:cs="宋体"/>
                <w:b/>
                <w:bCs/>
                <w:color w:val="auto"/>
                <w:szCs w:val="21"/>
                <w:highlight w:val="none"/>
                <w:lang w:val="en-US" w:eastAsia="zh-CN" w:bidi="ar"/>
              </w:rPr>
              <w:t>上述职称</w:t>
            </w:r>
            <w:r>
              <w:rPr>
                <w:rFonts w:hint="eastAsia" w:ascii="宋体" w:hAnsi="宋体" w:eastAsia="宋体" w:cs="宋体"/>
                <w:b/>
                <w:bCs/>
                <w:color w:val="auto"/>
                <w:szCs w:val="21"/>
                <w:highlight w:val="none"/>
                <w:lang w:bidi="ar"/>
              </w:rPr>
              <w:t>证书扫描件加盖投标人公章，并提供</w:t>
            </w:r>
            <w:bookmarkStart w:id="1483" w:name="OLE_LINK286"/>
            <w:r>
              <w:rPr>
                <w:rFonts w:hint="eastAsia" w:ascii="宋体" w:hAnsi="宋体" w:eastAsia="宋体" w:cs="宋体"/>
                <w:b/>
                <w:bCs/>
                <w:color w:val="auto"/>
                <w:szCs w:val="21"/>
                <w:highlight w:val="none"/>
                <w:lang w:bidi="ar"/>
              </w:rPr>
              <w:t>由人力资源和社会保障部门（或税务部门）出具的</w:t>
            </w:r>
            <w:bookmarkEnd w:id="1483"/>
            <w:r>
              <w:rPr>
                <w:rFonts w:hint="eastAsia" w:ascii="宋体" w:hAnsi="宋体" w:eastAsia="宋体" w:cs="宋体"/>
                <w:b/>
                <w:bCs/>
                <w:color w:val="auto"/>
                <w:szCs w:val="21"/>
                <w:highlight w:val="none"/>
                <w:lang w:bidi="ar"/>
              </w:rPr>
              <w:t>投标人2025年2月至2025年7月为其缴纳的</w:t>
            </w:r>
            <w:bookmarkStart w:id="1484" w:name="OLE_LINK197"/>
            <w:r>
              <w:rPr>
                <w:rFonts w:hint="eastAsia" w:ascii="宋体" w:hAnsi="宋体" w:eastAsia="宋体" w:cs="宋体"/>
                <w:b/>
                <w:bCs/>
                <w:color w:val="auto"/>
                <w:szCs w:val="21"/>
                <w:highlight w:val="none"/>
                <w:lang w:bidi="ar"/>
              </w:rPr>
              <w:t>社会保险凭证</w:t>
            </w:r>
            <w:bookmarkEnd w:id="1484"/>
            <w:r>
              <w:rPr>
                <w:rFonts w:hint="eastAsia" w:ascii="宋体" w:hAnsi="宋体" w:eastAsia="宋体" w:cs="宋体"/>
                <w:b/>
                <w:bCs/>
                <w:color w:val="auto"/>
                <w:szCs w:val="21"/>
                <w:highlight w:val="none"/>
                <w:lang w:bidi="ar"/>
              </w:rPr>
              <w:t>扫描件加盖投标人公章。</w:t>
            </w:r>
          </w:p>
        </w:tc>
        <w:tc>
          <w:tcPr>
            <w:tcW w:w="462" w:type="pct"/>
            <w:tcBorders>
              <w:top w:val="single" w:color="auto" w:sz="4" w:space="0"/>
              <w:left w:val="single" w:color="auto" w:sz="4" w:space="0"/>
              <w:bottom w:val="single" w:color="auto" w:sz="4" w:space="0"/>
              <w:right w:val="single" w:color="auto" w:sz="4" w:space="0"/>
            </w:tcBorders>
            <w:vAlign w:val="center"/>
          </w:tcPr>
          <w:p w14:paraId="0D39E98F">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分</w:t>
            </w:r>
          </w:p>
        </w:tc>
      </w:tr>
      <w:tr w14:paraId="6F00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29390863">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w:t>
            </w:r>
          </w:p>
        </w:tc>
        <w:tc>
          <w:tcPr>
            <w:tcW w:w="625" w:type="pct"/>
            <w:tcBorders>
              <w:top w:val="single" w:color="auto" w:sz="4" w:space="0"/>
              <w:left w:val="single" w:color="auto" w:sz="4" w:space="0"/>
              <w:bottom w:val="single" w:color="auto" w:sz="4" w:space="0"/>
              <w:right w:val="single" w:color="auto" w:sz="4" w:space="0"/>
            </w:tcBorders>
            <w:vAlign w:val="center"/>
          </w:tcPr>
          <w:p w14:paraId="6D1DD4CE">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技术服务</w:t>
            </w:r>
            <w:r>
              <w:rPr>
                <w:rFonts w:hint="eastAsia" w:ascii="宋体" w:hAnsi="宋体" w:eastAsia="宋体" w:cs="宋体"/>
                <w:color w:val="auto"/>
                <w:szCs w:val="21"/>
                <w:highlight w:val="none"/>
                <w:lang w:bidi="ar"/>
              </w:rPr>
              <w:t>团队人员（除项目负责人外）</w:t>
            </w:r>
          </w:p>
        </w:tc>
        <w:tc>
          <w:tcPr>
            <w:tcW w:w="3584" w:type="pct"/>
            <w:tcBorders>
              <w:top w:val="single" w:color="auto" w:sz="4" w:space="0"/>
              <w:left w:val="single" w:color="auto" w:sz="4" w:space="0"/>
              <w:bottom w:val="single" w:color="auto" w:sz="4" w:space="0"/>
              <w:right w:val="single" w:color="auto" w:sz="4" w:space="0"/>
            </w:tcBorders>
            <w:vAlign w:val="center"/>
          </w:tcPr>
          <w:p w14:paraId="4E0F4FB3">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根据各投标人拟投入本项目的团队人员（除项目负责人外）进行评审：</w:t>
            </w:r>
          </w:p>
          <w:p w14:paraId="0E34233F">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①具备工程类专业中级（或以上）工程师职称，每提供一人得1分，本</w:t>
            </w:r>
            <w:bookmarkStart w:id="1485" w:name="OLE_LINK207"/>
            <w:r>
              <w:rPr>
                <w:rFonts w:hint="eastAsia" w:ascii="宋体" w:hAnsi="宋体" w:eastAsia="宋体" w:cs="宋体"/>
                <w:color w:val="auto"/>
                <w:szCs w:val="21"/>
                <w:highlight w:val="none"/>
                <w:lang w:bidi="ar"/>
              </w:rPr>
              <w:t>子</w:t>
            </w:r>
            <w:bookmarkEnd w:id="1485"/>
            <w:r>
              <w:rPr>
                <w:rFonts w:hint="eastAsia" w:ascii="宋体" w:hAnsi="宋体" w:eastAsia="宋体" w:cs="宋体"/>
                <w:color w:val="auto"/>
                <w:szCs w:val="21"/>
                <w:highlight w:val="none"/>
                <w:lang w:bidi="ar"/>
              </w:rPr>
              <w:t>项最高得分2分；</w:t>
            </w:r>
          </w:p>
          <w:p w14:paraId="5A6EAB40">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②具备在有效期内的《特种作业操作证》(作业类别为电工作业，操作项目为高压电工作业或低压电工作业)，每提供一人得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分，本子项最高得2分；</w:t>
            </w:r>
          </w:p>
          <w:p w14:paraId="5E4A88BB">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③具备在有效期内的《特种作业操作证》(作业类别为高处作业，操作项目为高处安装、维护、拆除作业)，每提供一人得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bookmarkStart w:id="1486" w:name="OLE_LINK210"/>
            <w:r>
              <w:rPr>
                <w:rFonts w:hint="eastAsia" w:ascii="宋体" w:hAnsi="宋体" w:eastAsia="宋体" w:cs="宋体"/>
                <w:color w:val="auto"/>
                <w:szCs w:val="21"/>
                <w:highlight w:val="none"/>
                <w:lang w:bidi="ar"/>
              </w:rPr>
              <w:t>本子项</w:t>
            </w:r>
            <w:bookmarkEnd w:id="1486"/>
            <w:r>
              <w:rPr>
                <w:rFonts w:hint="eastAsia" w:ascii="宋体" w:hAnsi="宋体" w:eastAsia="宋体" w:cs="宋体"/>
                <w:color w:val="auto"/>
                <w:szCs w:val="21"/>
                <w:highlight w:val="none"/>
                <w:lang w:bidi="ar"/>
              </w:rPr>
              <w:t>最高得2分；</w:t>
            </w:r>
          </w:p>
          <w:p w14:paraId="0252F2C0">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④具备在有效期内的《特种作业操作证》(作业类别为焊接与热切割作业，操作项目为熔化焊接与热切割作业)，每提供人得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分，本子项最高得2分；</w:t>
            </w:r>
          </w:p>
          <w:p w14:paraId="2878DCB7">
            <w:pPr>
              <w:spacing w:line="360" w:lineRule="exact"/>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本项最高得8分。</w:t>
            </w:r>
          </w:p>
          <w:p w14:paraId="1C63E6A4">
            <w:pPr>
              <w:autoSpaceDE w:val="0"/>
              <w:autoSpaceDN w:val="0"/>
              <w:adjustRightInd w:val="0"/>
              <w:spacing w:line="400" w:lineRule="exact"/>
              <w:jc w:val="left"/>
              <w:rPr>
                <w:rFonts w:ascii="宋体" w:hAnsi="宋体" w:eastAsia="宋体" w:cs="宋体"/>
                <w:color w:val="auto"/>
                <w:szCs w:val="21"/>
                <w:highlight w:val="none"/>
                <w:lang w:bidi="ar"/>
              </w:rPr>
            </w:pPr>
            <w:bookmarkStart w:id="1487" w:name="OLE_LINK202"/>
            <w:r>
              <w:rPr>
                <w:rFonts w:hint="eastAsia" w:ascii="宋体" w:hAnsi="宋体" w:eastAsia="宋体" w:cs="宋体"/>
                <w:b/>
                <w:bCs/>
                <w:color w:val="auto"/>
                <w:szCs w:val="21"/>
                <w:highlight w:val="none"/>
                <w:lang w:bidi="ar"/>
              </w:rPr>
              <w:t>备注：①若为联合体投标的，联合体任意一方提供的人员满足要求均予以认可；②以上人员不得重复得分，若同一人员同时具有上述证书的，按最高分值计算一次得分，不重复计分；③须提供有效的相关证书</w:t>
            </w:r>
            <w:bookmarkStart w:id="1488" w:name="OLE_LINK352"/>
            <w:r>
              <w:rPr>
                <w:rFonts w:hint="eastAsia" w:ascii="宋体" w:hAnsi="宋体" w:eastAsia="宋体" w:cs="宋体"/>
                <w:b/>
                <w:bCs/>
                <w:color w:val="auto"/>
                <w:szCs w:val="21"/>
                <w:highlight w:val="none"/>
                <w:lang w:bidi="ar"/>
              </w:rPr>
              <w:t>扫描件加盖投标人公章，并提供由人力资源和社会保障部门（或税务部门）出具的投标人</w:t>
            </w:r>
            <w:bookmarkStart w:id="1489" w:name="OLE_LINK211"/>
            <w:r>
              <w:rPr>
                <w:rFonts w:hint="eastAsia" w:ascii="宋体" w:hAnsi="宋体" w:eastAsia="宋体" w:cs="宋体"/>
                <w:b/>
                <w:bCs/>
                <w:color w:val="auto"/>
                <w:szCs w:val="21"/>
                <w:highlight w:val="none"/>
                <w:lang w:bidi="ar"/>
              </w:rPr>
              <w:t>2025年2月至2025年7月</w:t>
            </w:r>
            <w:bookmarkEnd w:id="1489"/>
            <w:r>
              <w:rPr>
                <w:rFonts w:hint="eastAsia" w:ascii="宋体" w:hAnsi="宋体" w:eastAsia="宋体" w:cs="宋体"/>
                <w:b/>
                <w:bCs/>
                <w:color w:val="auto"/>
                <w:szCs w:val="21"/>
                <w:highlight w:val="none"/>
                <w:lang w:bidi="ar"/>
              </w:rPr>
              <w:t>为其缴纳的社会保险凭证扫描件加盖投标人公章</w:t>
            </w:r>
            <w:bookmarkEnd w:id="1488"/>
            <w:r>
              <w:rPr>
                <w:rFonts w:hint="eastAsia" w:ascii="宋体" w:hAnsi="宋体" w:eastAsia="宋体" w:cs="宋体"/>
                <w:b/>
                <w:bCs/>
                <w:color w:val="auto"/>
                <w:szCs w:val="21"/>
                <w:highlight w:val="none"/>
                <w:lang w:bidi="ar"/>
              </w:rPr>
              <w:t>。</w:t>
            </w:r>
            <w:bookmarkEnd w:id="1487"/>
          </w:p>
        </w:tc>
        <w:tc>
          <w:tcPr>
            <w:tcW w:w="462" w:type="pct"/>
            <w:tcBorders>
              <w:top w:val="single" w:color="auto" w:sz="4" w:space="0"/>
              <w:left w:val="single" w:color="auto" w:sz="4" w:space="0"/>
              <w:bottom w:val="single" w:color="auto" w:sz="4" w:space="0"/>
              <w:right w:val="single" w:color="auto" w:sz="4" w:space="0"/>
            </w:tcBorders>
            <w:vAlign w:val="center"/>
          </w:tcPr>
          <w:p w14:paraId="07B3AE2A">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8分</w:t>
            </w:r>
          </w:p>
        </w:tc>
      </w:tr>
      <w:tr w14:paraId="42ED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top w:val="single" w:color="auto" w:sz="4" w:space="0"/>
              <w:left w:val="single" w:color="auto" w:sz="4" w:space="0"/>
              <w:bottom w:val="single" w:color="auto" w:sz="4" w:space="0"/>
              <w:right w:val="single" w:color="auto" w:sz="4" w:space="0"/>
            </w:tcBorders>
            <w:vAlign w:val="center"/>
          </w:tcPr>
          <w:p w14:paraId="19AE3FEF">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w:t>
            </w:r>
          </w:p>
        </w:tc>
        <w:tc>
          <w:tcPr>
            <w:tcW w:w="625" w:type="pct"/>
            <w:tcBorders>
              <w:top w:val="single" w:color="auto" w:sz="4" w:space="0"/>
              <w:left w:val="single" w:color="auto" w:sz="4" w:space="0"/>
              <w:bottom w:val="single" w:color="auto" w:sz="4" w:space="0"/>
              <w:right w:val="single" w:color="auto" w:sz="4" w:space="0"/>
            </w:tcBorders>
            <w:vAlign w:val="center"/>
          </w:tcPr>
          <w:p w14:paraId="1DBA542E">
            <w:pPr>
              <w:autoSpaceDE w:val="0"/>
              <w:autoSpaceDN w:val="0"/>
              <w:adjustRightInd w:val="0"/>
              <w:spacing w:line="400" w:lineRule="exact"/>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系统总体设计方案</w:t>
            </w:r>
          </w:p>
        </w:tc>
        <w:tc>
          <w:tcPr>
            <w:tcW w:w="3584" w:type="pct"/>
            <w:tcBorders>
              <w:top w:val="single" w:color="auto" w:sz="4" w:space="0"/>
              <w:left w:val="single" w:color="auto" w:sz="4" w:space="0"/>
              <w:bottom w:val="single" w:color="auto" w:sz="4" w:space="0"/>
              <w:right w:val="single" w:color="auto" w:sz="4" w:space="0"/>
            </w:tcBorders>
            <w:vAlign w:val="center"/>
          </w:tcPr>
          <w:p w14:paraId="600E0926">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根据各投标人针对本项目提供的系统总体设计方案，包括但不限于对本项目重点难点分析、场地分析、整体规划布置、技术措施、设计服务承诺等进行评审：</w:t>
            </w:r>
            <w:r>
              <w:rPr>
                <w:rFonts w:hint="eastAsia" w:ascii="宋体" w:hAnsi="宋体" w:eastAsia="宋体" w:cs="宋体"/>
                <w:color w:val="auto"/>
                <w:szCs w:val="21"/>
                <w:highlight w:val="none"/>
                <w:lang w:bidi="ar"/>
              </w:rPr>
              <w:t xml:space="preserve"> </w:t>
            </w:r>
          </w:p>
          <w:p w14:paraId="300AF00E">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精准把握项目需求，充分考虑光照条件、土地（可安装空间）资源、电网接入等关键因素，设计方案高度契合项目目标，光伏阵列布局科学，逆变器选型合理，电气系统设计高效，并网方案优化完善，采用高效组件、智能运维等先进技术，系统效率、发电量预测等关键指标计算严谨，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65B9E243">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w:t>
            </w:r>
            <w:bookmarkStart w:id="1490" w:name="OLE_LINK189"/>
            <w:r>
              <w:rPr>
                <w:rFonts w:hint="eastAsia" w:ascii="宋体" w:hAnsi="宋体" w:eastAsia="宋体" w:cs="宋体"/>
                <w:color w:val="auto"/>
                <w:szCs w:val="21"/>
                <w:highlight w:val="none"/>
                <w:lang w:bidi="ar"/>
              </w:rPr>
              <w:t>基本符合项目需求，但部分细节考虑不够深入，光伏阵列、逆变器及电气系统设计合理，但部分环节可进一步优化，采用常规设计方案，发电量计算基本准确，但未充分体现效率提升措施，</w:t>
            </w:r>
            <w:bookmarkEnd w:id="1490"/>
            <w:r>
              <w:rPr>
                <w:rFonts w:hint="eastAsia" w:ascii="宋体" w:hAnsi="宋体" w:eastAsia="宋体" w:cs="宋体"/>
                <w:color w:val="auto"/>
                <w:szCs w:val="21"/>
                <w:highlight w:val="none"/>
                <w:lang w:bidi="ar"/>
              </w:rPr>
              <w:t>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63F61E83">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w:t>
            </w:r>
            <w:bookmarkStart w:id="1491" w:name="OLE_LINK192"/>
            <w:r>
              <w:rPr>
                <w:rFonts w:hint="eastAsia" w:ascii="宋体" w:hAnsi="宋体" w:eastAsia="宋体" w:cs="宋体"/>
                <w:color w:val="auto"/>
                <w:szCs w:val="21"/>
                <w:highlight w:val="none"/>
                <w:lang w:bidi="ar"/>
              </w:rPr>
              <w:t>仅满足基本发电需求，对土地（可安装空间）利用率、长期运维等考虑不足，光伏阵列布局和电气设计基本可行，但存在局部不合理，设计方案常规，发电量预测较粗略，未充分考虑组件衰减、系统损耗等因素，</w:t>
            </w:r>
            <w:bookmarkEnd w:id="1491"/>
            <w:r>
              <w:rPr>
                <w:rFonts w:hint="eastAsia" w:ascii="宋体" w:hAnsi="宋体" w:eastAsia="宋体" w:cs="宋体"/>
                <w:color w:val="auto"/>
                <w:szCs w:val="21"/>
                <w:highlight w:val="none"/>
                <w:lang w:bidi="ar"/>
              </w:rPr>
              <w:t>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1ACE8862">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：脱离实际需求，未考虑当地辐照数据、土地（可安装空间）限制或电网要求，阵列排布、电气设计或设备选型存在严重缺陷，影响系统效率或安全性，设计方案落后，关键指标未合理测算，得（1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78265005">
            <w:pPr>
              <w:autoSpaceDE w:val="0"/>
              <w:autoSpaceDN w:val="0"/>
              <w:adjustRightInd w:val="0"/>
              <w:spacing w:line="40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备注：未提供对应方案不得分。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2F82E668">
            <w:pPr>
              <w:autoSpaceDE w:val="0"/>
              <w:autoSpaceDN w:val="0"/>
              <w:adjustRightInd w:val="0"/>
              <w:spacing w:line="400" w:lineRule="exact"/>
              <w:jc w:val="center"/>
              <w:rPr>
                <w:rFonts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2分</w:t>
            </w:r>
          </w:p>
        </w:tc>
      </w:tr>
      <w:tr w14:paraId="26C50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left w:val="single" w:color="auto" w:sz="4" w:space="0"/>
              <w:bottom w:val="single" w:color="auto" w:sz="4" w:space="0"/>
              <w:right w:val="single" w:color="auto" w:sz="4" w:space="0"/>
            </w:tcBorders>
            <w:vAlign w:val="center"/>
          </w:tcPr>
          <w:p w14:paraId="0798BEF1">
            <w:pPr>
              <w:autoSpaceDE w:val="0"/>
              <w:autoSpaceDN w:val="0"/>
              <w:adjustRightInd w:val="0"/>
              <w:spacing w:line="400" w:lineRule="exact"/>
              <w:jc w:val="center"/>
              <w:rPr>
                <w:rFonts w:ascii="宋体" w:hAnsi="宋体" w:eastAsia="宋体" w:cs="宋体"/>
                <w:color w:val="auto"/>
                <w:kern w:val="0"/>
                <w:szCs w:val="21"/>
                <w:highlight w:val="none"/>
              </w:rPr>
            </w:pPr>
            <w:bookmarkStart w:id="1492" w:name="OLE_LINK524" w:colFirst="0" w:colLast="0"/>
            <w:bookmarkStart w:id="1493" w:name="OLE_LINK410" w:colFirst="2" w:colLast="4"/>
            <w:bookmarkStart w:id="1494" w:name="OLE_LINK203" w:colFirst="1" w:colLast="1"/>
            <w:bookmarkStart w:id="1495" w:name="OLE_LINK204" w:colFirst="2" w:colLast="2"/>
            <w:r>
              <w:rPr>
                <w:rFonts w:hint="eastAsia" w:ascii="宋体" w:hAnsi="宋体" w:eastAsia="宋体" w:cs="宋体"/>
                <w:color w:val="auto"/>
                <w:kern w:val="0"/>
                <w:szCs w:val="21"/>
                <w:highlight w:val="none"/>
              </w:rPr>
              <w:t>8</w:t>
            </w:r>
          </w:p>
        </w:tc>
        <w:tc>
          <w:tcPr>
            <w:tcW w:w="625" w:type="pct"/>
            <w:tcBorders>
              <w:left w:val="single" w:color="auto" w:sz="4" w:space="0"/>
              <w:bottom w:val="single" w:color="auto" w:sz="4" w:space="0"/>
              <w:right w:val="single" w:color="auto" w:sz="4" w:space="0"/>
            </w:tcBorders>
            <w:vAlign w:val="center"/>
          </w:tcPr>
          <w:p w14:paraId="2D03583B">
            <w:pPr>
              <w:spacing w:line="360" w:lineRule="exact"/>
              <w:jc w:val="center"/>
              <w:rPr>
                <w:rFonts w:ascii="宋体" w:hAnsi="宋体" w:eastAsia="宋体" w:cs="宋体"/>
                <w:color w:val="auto"/>
                <w:szCs w:val="21"/>
                <w:highlight w:val="none"/>
                <w:lang w:val="zh-CN" w:bidi="ar"/>
              </w:rPr>
            </w:pPr>
            <w:bookmarkStart w:id="1496" w:name="OLE_LINK183"/>
            <w:r>
              <w:rPr>
                <w:rFonts w:hint="eastAsia" w:ascii="宋体" w:hAnsi="宋体" w:eastAsia="宋体" w:cs="宋体"/>
                <w:color w:val="auto"/>
                <w:szCs w:val="21"/>
                <w:highlight w:val="none"/>
                <w:lang w:bidi="ar"/>
              </w:rPr>
              <w:t>项目实施方案</w:t>
            </w:r>
            <w:bookmarkEnd w:id="1496"/>
          </w:p>
        </w:tc>
        <w:tc>
          <w:tcPr>
            <w:tcW w:w="3584" w:type="pct"/>
            <w:tcBorders>
              <w:top w:val="single" w:color="auto" w:sz="4" w:space="0"/>
              <w:left w:val="single" w:color="auto" w:sz="4" w:space="0"/>
              <w:bottom w:val="single" w:color="auto" w:sz="4" w:space="0"/>
              <w:right w:val="single" w:color="auto" w:sz="4" w:space="0"/>
            </w:tcBorders>
            <w:vAlign w:val="center"/>
          </w:tcPr>
          <w:p w14:paraId="531254EA">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根据各投标人提供的项目实施方案，包括但不限于项目进度计划、人员机械安排、供货计划、运输方案、安装技术方案、现场总平面布置、并网送电计划、质量保证方案、应急管理方案进行评审：</w:t>
            </w:r>
          </w:p>
          <w:p w14:paraId="4CF2531E">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涵盖项目全周期实施方案，包括进度、人员、设备、运输、安装、并网等各环节，无关键内容缺失，进度计划合理（含关键路径分析），资源配置优化，技术方案先进，质量与安全管理体系完善，充分结合本项目特点（如地形、气候、电网条件等），制定专项应对措施，实施步骤明确，责任分工清晰，应急预案完备，各环节衔接顺畅，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673A046F">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主要实施方案完整，但部分辅助环节描述不够详细，进度安排基本合理，资源配置和技术方案可行，但部分环节可优化，考虑了项目基本特点，但特殊工况应对措施不足，实施流程总体可行，但部分节点需进一步细化，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6194DCA0">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：缺少部分重要内容，进度计划较粗放，资源配置存在不合理，仅满足通用性要求，未体现本项目特殊需求，基础实施路径可行，但关键环节存在实施风险，得（1.4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63F13BAF">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：严重缺失核心内容，进度安排矛盾，资源配置错误，完全脱离项目实际需求，方案难以落地，缺乏基本实施保障，得（1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2C0CB806">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备注：未提供对应方案不得分。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452DE44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w:t>
            </w:r>
          </w:p>
        </w:tc>
      </w:tr>
      <w:tr w14:paraId="13F7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left w:val="single" w:color="auto" w:sz="4" w:space="0"/>
              <w:bottom w:val="single" w:color="auto" w:sz="4" w:space="0"/>
              <w:right w:val="single" w:color="auto" w:sz="4" w:space="0"/>
            </w:tcBorders>
            <w:vAlign w:val="center"/>
          </w:tcPr>
          <w:p w14:paraId="2BD1868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625" w:type="pct"/>
            <w:tcBorders>
              <w:left w:val="single" w:color="auto" w:sz="4" w:space="0"/>
              <w:bottom w:val="single" w:color="auto" w:sz="4" w:space="0"/>
              <w:right w:val="single" w:color="auto" w:sz="4" w:space="0"/>
            </w:tcBorders>
            <w:vAlign w:val="center"/>
          </w:tcPr>
          <w:p w14:paraId="631B92B5">
            <w:pPr>
              <w:spacing w:line="360" w:lineRule="exact"/>
              <w:jc w:val="center"/>
              <w:rPr>
                <w:rFonts w:ascii="宋体" w:hAnsi="宋体" w:eastAsia="宋体" w:cs="宋体"/>
                <w:color w:val="auto"/>
                <w:szCs w:val="21"/>
                <w:highlight w:val="none"/>
                <w:lang w:val="zh-CN" w:bidi="ar"/>
              </w:rPr>
            </w:pPr>
            <w:r>
              <w:rPr>
                <w:rFonts w:hint="eastAsia" w:ascii="宋体" w:hAnsi="宋体" w:eastAsia="宋体" w:cs="宋体"/>
                <w:color w:val="auto"/>
                <w:szCs w:val="21"/>
                <w:highlight w:val="none"/>
                <w:lang w:bidi="ar"/>
              </w:rPr>
              <w:t>安全保证措施</w:t>
            </w:r>
          </w:p>
        </w:tc>
        <w:tc>
          <w:tcPr>
            <w:tcW w:w="3584" w:type="pct"/>
            <w:tcBorders>
              <w:top w:val="single" w:color="auto" w:sz="4" w:space="0"/>
              <w:left w:val="single" w:color="auto" w:sz="4" w:space="0"/>
              <w:bottom w:val="single" w:color="auto" w:sz="4" w:space="0"/>
              <w:right w:val="single" w:color="auto" w:sz="4" w:space="0"/>
            </w:tcBorders>
            <w:vAlign w:val="center"/>
          </w:tcPr>
          <w:p w14:paraId="42EC94F6">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根据各投标人提供的安全保证措施，包括但不限于不停产池面上空作业的安全措施、成品保护措施、用电</w:t>
            </w:r>
            <w:bookmarkStart w:id="1497" w:name="OLE_LINK216"/>
            <w:r>
              <w:rPr>
                <w:rFonts w:hint="eastAsia" w:ascii="宋体" w:hAnsi="宋体" w:eastAsia="宋体" w:cs="宋体"/>
                <w:b/>
                <w:bCs/>
                <w:color w:val="auto"/>
                <w:szCs w:val="21"/>
                <w:highlight w:val="none"/>
                <w:lang w:bidi="ar"/>
              </w:rPr>
              <w:t>专项方案</w:t>
            </w:r>
            <w:bookmarkEnd w:id="1497"/>
            <w:r>
              <w:rPr>
                <w:rFonts w:hint="eastAsia" w:ascii="宋体" w:hAnsi="宋体" w:eastAsia="宋体" w:cs="宋体"/>
                <w:b/>
                <w:bCs/>
                <w:color w:val="auto"/>
                <w:szCs w:val="21"/>
                <w:highlight w:val="none"/>
                <w:lang w:bidi="ar"/>
              </w:rPr>
              <w:t>、高处作业专项方案、吊装作业专项方案、动火作业专项方案进行评审：</w:t>
            </w:r>
          </w:p>
          <w:p w14:paraId="7A8A5682">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完整涵盖不停产情况下作业的安全措施、成品保护措施、用电安全、高处作业、吊装作业、动火作业等全部关键环节，紧密结合本项目特点制定专项安全方案，采用先进的安全管理方法，防护措施设置合理，安全技术交底明确，应急预案完善，资源配置充足，可操作性强，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4CA29EE2">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w:t>
            </w:r>
            <w:bookmarkStart w:id="1498" w:name="OLE_LINK220"/>
            <w:r>
              <w:rPr>
                <w:rFonts w:hint="eastAsia" w:ascii="宋体" w:hAnsi="宋体" w:eastAsia="宋体" w:cs="宋体"/>
                <w:color w:val="auto"/>
                <w:szCs w:val="21"/>
                <w:highlight w:val="none"/>
                <w:lang w:bidi="ar"/>
              </w:rPr>
              <w:t>覆盖主要安全环节，但部分细节描述不够详尽，考虑了项目基本特点，采用常规安全管理措施，防护方案基本合理，安全措施总体可行，得</w:t>
            </w:r>
            <w:bookmarkEnd w:id="1498"/>
            <w:r>
              <w:rPr>
                <w:rFonts w:hint="eastAsia" w:ascii="宋体" w:hAnsi="宋体" w:eastAsia="宋体" w:cs="宋体"/>
                <w:color w:val="auto"/>
                <w:szCs w:val="21"/>
                <w:highlight w:val="none"/>
                <w:lang w:bidi="ar"/>
              </w:rPr>
              <w:t>（1.8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480F7F8F">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：缺少部分重要内容，仅满足通用安全要求，但对特殊工况（如台风天气作业）应对不足，安全措施设置基本合理，但存在缺陷，基础安全方案可行，但关键环节存在安全隐患，得（1.4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75995ACE">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：严重缺失核心内容，完全脱离项目实际需求，安全措施设置不合理，方案难以实施，缺乏基本安全保障，得（1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6E0817A5">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备注：未提供对应措施及方案不得分。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669340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w:t>
            </w:r>
          </w:p>
        </w:tc>
      </w:tr>
      <w:tr w14:paraId="0D7A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7" w:type="pct"/>
            <w:tcBorders>
              <w:left w:val="single" w:color="auto" w:sz="4" w:space="0"/>
              <w:bottom w:val="single" w:color="auto" w:sz="4" w:space="0"/>
              <w:right w:val="single" w:color="auto" w:sz="4" w:space="0"/>
            </w:tcBorders>
            <w:vAlign w:val="center"/>
          </w:tcPr>
          <w:p w14:paraId="24E52A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625" w:type="pct"/>
            <w:tcBorders>
              <w:left w:val="single" w:color="auto" w:sz="4" w:space="0"/>
              <w:bottom w:val="single" w:color="auto" w:sz="4" w:space="0"/>
              <w:right w:val="single" w:color="auto" w:sz="4" w:space="0"/>
            </w:tcBorders>
            <w:vAlign w:val="center"/>
          </w:tcPr>
          <w:p w14:paraId="0CEBB63E">
            <w:pPr>
              <w:spacing w:line="360" w:lineRule="exact"/>
              <w:jc w:val="center"/>
              <w:rPr>
                <w:rFonts w:ascii="宋体" w:hAnsi="宋体" w:eastAsia="宋体" w:cs="宋体"/>
                <w:color w:val="auto"/>
                <w:szCs w:val="21"/>
                <w:highlight w:val="none"/>
                <w:lang w:val="zh-CN" w:bidi="ar"/>
              </w:rPr>
            </w:pPr>
            <w:r>
              <w:rPr>
                <w:rFonts w:hint="eastAsia" w:ascii="宋体" w:hAnsi="宋体" w:eastAsia="宋体" w:cs="宋体"/>
                <w:color w:val="auto"/>
                <w:szCs w:val="21"/>
                <w:highlight w:val="none"/>
                <w:lang w:bidi="ar"/>
              </w:rPr>
              <w:t>技术服务运维方案</w:t>
            </w:r>
          </w:p>
        </w:tc>
        <w:tc>
          <w:tcPr>
            <w:tcW w:w="3584" w:type="pct"/>
            <w:tcBorders>
              <w:top w:val="single" w:color="auto" w:sz="4" w:space="0"/>
              <w:left w:val="single" w:color="auto" w:sz="4" w:space="0"/>
              <w:bottom w:val="single" w:color="auto" w:sz="4" w:space="0"/>
              <w:right w:val="single" w:color="auto" w:sz="4" w:space="0"/>
            </w:tcBorders>
            <w:vAlign w:val="center"/>
          </w:tcPr>
          <w:p w14:paraId="4A0513DB">
            <w:pPr>
              <w:spacing w:line="360" w:lineRule="exact"/>
              <w:jc w:val="left"/>
              <w:rPr>
                <w:rFonts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bidi="ar"/>
              </w:rPr>
              <w:t xml:space="preserve">根据各投标人提供的技术服务运维方案，包括但不限于运维服务团队、运维服务[包括但不限于服务承诺、技术支持、保修期、备品备件、维护保养时间安排(整体检查计划、故障通知响应时间、修复故障时间)等]、应急和安全保障措施、技术培训进行评审： </w:t>
            </w:r>
          </w:p>
          <w:p w14:paraId="469732EB">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Cs w:val="21"/>
                <w:highlight w:val="none"/>
                <w:lang w:bidi="ar"/>
              </w:rPr>
              <w:t>：建立全生命周期运维体系，涵盖日常巡检、预防性维护、故障处理、性能优化等全流程，配备专业运维团队，提供7×24小时技术支持，明确各岗位职责，制定量化服务标准，备件储备充足，针对各类故障（如光伏组件破损、逆变器故障等）制定分级应急预案，得[2</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1.8]分；</w:t>
            </w:r>
          </w:p>
          <w:p w14:paraId="0C7C2C7E">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Cs w:val="21"/>
                <w:highlight w:val="none"/>
                <w:lang w:bidi="ar"/>
              </w:rPr>
              <w:t>：覆盖主要运维环节，但智能化应用或深度维护方案有所欠缺，配置基本运维力量，但专业技术资质或应急支援能力待加强，提供基础服务承诺，但关键备件需临时调配，制定主要故障应急预案，但预案完整性待提升，得（1.8</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1.4]分；</w:t>
            </w:r>
          </w:p>
          <w:p w14:paraId="5185C213">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color w:val="auto"/>
                <w:szCs w:val="21"/>
                <w:highlight w:val="none"/>
                <w:lang w:bidi="ar"/>
              </w:rPr>
              <w:t>：仅包含基础巡检和故障处理，缺乏系统性维护计划，运维人员配置勉强达标，响应时间较长，无明确备件保障方案，仅有简单应急流程，未建立分级响应机制，得（1.4</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1]分；</w:t>
            </w:r>
          </w:p>
          <w:p w14:paraId="7387E089">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差</w:t>
            </w:r>
            <w:r>
              <w:rPr>
                <w:rFonts w:hint="eastAsia" w:ascii="宋体" w:hAnsi="宋体" w:eastAsia="宋体" w:cs="宋体"/>
                <w:color w:val="auto"/>
                <w:szCs w:val="21"/>
                <w:highlight w:val="none"/>
                <w:lang w:bidi="ar"/>
              </w:rPr>
              <w:t>：严重缺失核心内容，运维力量明显不足，无明确服务承诺，备件供应无保障，无有效应急预案，安全隐患突出，得（1</w:t>
            </w:r>
            <w:r>
              <w:rPr>
                <w:rFonts w:ascii="宋体" w:hAnsi="宋体" w:eastAsia="宋体" w:cs="宋体"/>
                <w:color w:val="auto"/>
                <w:szCs w:val="21"/>
                <w:highlight w:val="none"/>
                <w:lang w:bidi="ar"/>
              </w:rPr>
              <w:t>-</w:t>
            </w:r>
            <w:r>
              <w:rPr>
                <w:rFonts w:hint="eastAsia" w:ascii="宋体" w:hAnsi="宋体" w:eastAsia="宋体" w:cs="宋体"/>
                <w:color w:val="auto"/>
                <w:szCs w:val="21"/>
                <w:highlight w:val="none"/>
                <w:lang w:bidi="ar"/>
              </w:rPr>
              <w:t>0]分；</w:t>
            </w:r>
          </w:p>
          <w:p w14:paraId="0B5897D2">
            <w:pPr>
              <w:spacing w:line="360" w:lineRule="exact"/>
              <w:jc w:val="left"/>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备注：未提供对应方案不得分。</w:t>
            </w:r>
          </w:p>
        </w:tc>
        <w:tc>
          <w:tcPr>
            <w:tcW w:w="462" w:type="pct"/>
            <w:tcBorders>
              <w:top w:val="single" w:color="auto" w:sz="4" w:space="0"/>
              <w:left w:val="single" w:color="auto" w:sz="4" w:space="0"/>
              <w:bottom w:val="single" w:color="auto" w:sz="4" w:space="0"/>
              <w:right w:val="single" w:color="auto" w:sz="4" w:space="0"/>
            </w:tcBorders>
            <w:vAlign w:val="center"/>
          </w:tcPr>
          <w:p w14:paraId="2920B82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2分</w:t>
            </w:r>
          </w:p>
        </w:tc>
      </w:tr>
      <w:bookmarkEnd w:id="1475"/>
      <w:bookmarkEnd w:id="1476"/>
      <w:bookmarkEnd w:id="1477"/>
      <w:bookmarkEnd w:id="1492"/>
      <w:bookmarkEnd w:id="1493"/>
      <w:bookmarkEnd w:id="1494"/>
      <w:bookmarkEnd w:id="1495"/>
    </w:tbl>
    <w:p w14:paraId="579D9BB4">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AAC2524">
      <w:pPr>
        <w:autoSpaceDE w:val="0"/>
        <w:autoSpaceDN w:val="0"/>
        <w:adjustRightInd w:val="0"/>
        <w:spacing w:line="360" w:lineRule="auto"/>
        <w:ind w:left="420" w:leftChars="20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①分数出现小数点，保留小数点后2位，从小数点后第3位四舍五入。</w:t>
      </w:r>
    </w:p>
    <w:p w14:paraId="1BCE142E">
      <w:pPr>
        <w:autoSpaceDE w:val="0"/>
        <w:autoSpaceDN w:val="0"/>
        <w:adjustRightInd w:val="0"/>
        <w:spacing w:line="360" w:lineRule="auto"/>
        <w:ind w:left="420" w:leftChars="200"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②上述“评分项目”中按“优、良、中、差”区间评审的，若低于该项满分分值60%时，评标专家需详细填写该项低分的充分理由，例如：该项目内容存在违反国家有关标准和规范或与项目实际不符等原则性问题。</w:t>
      </w:r>
    </w:p>
    <w:p w14:paraId="753B7203">
      <w:pPr>
        <w:autoSpaceDE w:val="0"/>
        <w:autoSpaceDN w:val="0"/>
        <w:adjustRightInd w:val="0"/>
        <w:spacing w:line="360" w:lineRule="auto"/>
        <w:ind w:left="420" w:leftChars="200" w:firstLine="422" w:firstLineChars="200"/>
        <w:rPr>
          <w:rFonts w:ascii="宋体" w:hAnsi="宋体" w:eastAsia="宋体" w:cs="宋体"/>
          <w:b/>
          <w:bCs/>
          <w:color w:val="auto"/>
          <w:kern w:val="0"/>
          <w:szCs w:val="21"/>
          <w:highlight w:val="none"/>
        </w:rPr>
      </w:pPr>
      <w:r>
        <w:rPr>
          <w:rFonts w:hint="eastAsia" w:ascii="宋体" w:hAnsi="宋体" w:eastAsia="宋体" w:cs="宋体"/>
          <w:b/>
          <w:bCs/>
          <w:color w:val="auto"/>
          <w:szCs w:val="21"/>
          <w:highlight w:val="none"/>
          <w:lang w:bidi="ar"/>
        </w:rPr>
        <w:t>③</w:t>
      </w:r>
      <w:r>
        <w:rPr>
          <w:rFonts w:hint="eastAsia" w:ascii="宋体" w:hAnsi="宋体" w:eastAsia="宋体" w:cs="宋体"/>
          <w:b/>
          <w:bCs/>
          <w:color w:val="auto"/>
          <w:kern w:val="0"/>
          <w:szCs w:val="21"/>
          <w:highlight w:val="none"/>
          <w:lang w:bidi="ar"/>
        </w:rPr>
        <w:t>对于各评标委员会成员存在客观分打分不一致时,根据少数服从多数的原则，以记名方式表决确定该项的评分。</w:t>
      </w:r>
    </w:p>
    <w:p w14:paraId="1DCD0F01">
      <w:pPr>
        <w:tabs>
          <w:tab w:val="left" w:pos="1701"/>
        </w:tabs>
        <w:autoSpaceDE w:val="0"/>
        <w:autoSpaceDN w:val="0"/>
        <w:adjustRightInd w:val="0"/>
        <w:spacing w:line="360" w:lineRule="auto"/>
        <w:rPr>
          <w:rFonts w:ascii="宋体" w:hAnsi="宋体" w:eastAsia="宋体" w:cs="宋体"/>
          <w:b/>
          <w:color w:val="auto"/>
          <w:szCs w:val="24"/>
          <w:highlight w:val="none"/>
          <w:lang w:val="zh-CN"/>
        </w:rPr>
      </w:pPr>
      <w:bookmarkStart w:id="1499" w:name="_Toc19726"/>
      <w:r>
        <w:rPr>
          <w:rFonts w:hint="eastAsia" w:ascii="宋体" w:hAnsi="宋体" w:eastAsia="宋体" w:cs="宋体"/>
          <w:b/>
          <w:color w:val="auto"/>
          <w:szCs w:val="24"/>
          <w:highlight w:val="none"/>
          <w:lang w:val="zh-CN"/>
        </w:rPr>
        <w:t>（3）价格评分方法</w:t>
      </w:r>
    </w:p>
    <w:p w14:paraId="78AD846D">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31ADB96">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7C007FF">
      <w:pPr>
        <w:autoSpaceDE w:val="0"/>
        <w:autoSpaceDN w:val="0"/>
        <w:adjustRightInd w:val="0"/>
        <w:spacing w:line="360" w:lineRule="auto"/>
        <w:ind w:left="420" w:leftChars="200" w:firstLine="420" w:firstLineChars="200"/>
        <w:rPr>
          <w:rFonts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bookmarkStart w:id="1500" w:name="OLE_LINK354"/>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bookmarkEnd w:id="1500"/>
    </w:p>
    <w:p w14:paraId="3F27AD6D">
      <w:pPr>
        <w:spacing w:line="360" w:lineRule="auto"/>
        <w:ind w:left="480" w:firstLine="211" w:firstLineChars="100"/>
        <w:rPr>
          <w:rFonts w:ascii="宋体" w:hAnsi="宋体" w:eastAsia="宋体" w:cs="宋体"/>
          <w:b/>
          <w:color w:val="auto"/>
          <w:kern w:val="0"/>
          <w:szCs w:val="21"/>
          <w:highlight w:val="none"/>
          <w:lang w:val="zh-CN"/>
        </w:rPr>
      </w:pPr>
      <w:bookmarkStart w:id="1501" w:name="OLE_LINK353"/>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1058E47">
      <w:pPr>
        <w:spacing w:line="360" w:lineRule="auto"/>
        <w:ind w:left="480" w:firstLine="211" w:firstLineChars="1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rPr>
        <w:t>30</w:t>
      </w:r>
      <w:r>
        <w:rPr>
          <w:rFonts w:hint="eastAsia" w:ascii="宋体" w:hAnsi="宋体" w:eastAsia="宋体" w:cs="宋体"/>
          <w:b/>
          <w:bCs/>
          <w:color w:val="auto"/>
          <w:kern w:val="0"/>
          <w:szCs w:val="21"/>
          <w:highlight w:val="none"/>
          <w:lang w:val="zh-CN"/>
        </w:rPr>
        <w:t>分</w:t>
      </w:r>
    </w:p>
    <w:p w14:paraId="7B8FE57D">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A、根据有效投标人的投标报价（总价），最低价作为基准价（Y）。投标人报价（X）等于基准价的得满分30分，其他投标人的价格得分统一按照下列公式计算：</w:t>
      </w:r>
    </w:p>
    <w:p w14:paraId="0D30163A">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价格得分=(基准价／投标报价)×30</w:t>
      </w:r>
    </w:p>
    <w:p w14:paraId="4212F2FA">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bookmarkEnd w:id="1501"/>
    <w:p w14:paraId="585F67F4">
      <w:pPr>
        <w:tabs>
          <w:tab w:val="left" w:pos="585"/>
        </w:tabs>
        <w:autoSpaceDE w:val="0"/>
        <w:autoSpaceDN w:val="0"/>
        <w:adjustRightInd w:val="0"/>
        <w:spacing w:line="400" w:lineRule="exact"/>
        <w:rPr>
          <w:rFonts w:ascii="宋体" w:hAnsi="宋体" w:eastAsia="宋体" w:cs="宋体"/>
          <w:b/>
          <w:color w:val="auto"/>
          <w:szCs w:val="21"/>
          <w:highlight w:val="none"/>
        </w:rPr>
      </w:pPr>
      <w:bookmarkStart w:id="1502" w:name="_Toc31583"/>
      <w:bookmarkStart w:id="1503" w:name="_Toc7660"/>
      <w:bookmarkStart w:id="1504" w:name="_Toc19303"/>
      <w:r>
        <w:rPr>
          <w:rFonts w:hint="eastAsia" w:ascii="宋体" w:hAnsi="宋体" w:eastAsia="宋体" w:cs="宋体"/>
          <w:b/>
          <w:color w:val="auto"/>
          <w:szCs w:val="21"/>
          <w:highlight w:val="none"/>
          <w:lang w:bidi="ar"/>
        </w:rPr>
        <w:t>（4）综合得分</w:t>
      </w:r>
      <w:bookmarkEnd w:id="1499"/>
      <w:bookmarkEnd w:id="1502"/>
      <w:bookmarkEnd w:id="1503"/>
      <w:bookmarkEnd w:id="1504"/>
    </w:p>
    <w:p w14:paraId="337ABBBE">
      <w:pPr>
        <w:spacing w:line="400" w:lineRule="exact"/>
        <w:ind w:firstLine="848" w:firstLineChars="40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评标总得分=F1＋F2＋……+Fn</w:t>
      </w:r>
    </w:p>
    <w:p w14:paraId="6DA4F229">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F1、F2、……Fn分别为各项评分因素的得分。</w:t>
      </w:r>
    </w:p>
    <w:p w14:paraId="22258860">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6C4B93F3">
      <w:pPr>
        <w:autoSpaceDE w:val="0"/>
        <w:autoSpaceDN w:val="0"/>
        <w:adjustRightInd w:val="0"/>
        <w:spacing w:line="360" w:lineRule="auto"/>
        <w:jc w:val="center"/>
        <w:rPr>
          <w:rFonts w:ascii="宋体" w:hAnsi="宋体" w:eastAsia="宋体" w:cs="宋体"/>
          <w:b/>
          <w:bCs/>
          <w:color w:val="auto"/>
          <w:sz w:val="28"/>
          <w:szCs w:val="28"/>
          <w:highlight w:val="none"/>
        </w:rPr>
      </w:pPr>
      <w:bookmarkStart w:id="1505" w:name="_Toc16944"/>
      <w:bookmarkStart w:id="1506" w:name="_Toc14946"/>
      <w:bookmarkStart w:id="1507" w:name="_Toc19978"/>
      <w:bookmarkStart w:id="1508" w:name="_Toc518_WPSOffice_Level1"/>
      <w:r>
        <w:rPr>
          <w:rFonts w:hint="eastAsia" w:ascii="宋体" w:hAnsi="宋体" w:eastAsia="宋体" w:cs="宋体"/>
          <w:b/>
          <w:bCs/>
          <w:color w:val="auto"/>
          <w:sz w:val="28"/>
          <w:szCs w:val="28"/>
          <w:highlight w:val="none"/>
          <w:lang w:val="zh-CN"/>
        </w:rPr>
        <w:t>五、推荐中标人</w:t>
      </w:r>
      <w:bookmarkEnd w:id="1505"/>
      <w:bookmarkEnd w:id="1506"/>
      <w:bookmarkEnd w:id="1507"/>
      <w:bookmarkEnd w:id="1508"/>
    </w:p>
    <w:p w14:paraId="316B3F57">
      <w:pPr>
        <w:autoSpaceDE w:val="0"/>
        <w:autoSpaceDN w:val="0"/>
        <w:adjustRightInd w:val="0"/>
        <w:spacing w:line="360" w:lineRule="auto"/>
        <w:ind w:left="420" w:hanging="420" w:hanging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kern w:val="0"/>
          <w:szCs w:val="21"/>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C802E8E">
      <w:pPr>
        <w:autoSpaceDE w:val="0"/>
        <w:autoSpaceDN w:val="0"/>
        <w:adjustRightInd w:val="0"/>
        <w:spacing w:line="360" w:lineRule="auto"/>
        <w:ind w:left="420" w:leftChars="200"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rPr>
        <w:t>如果有两个或以上的投标人的最后综合得分相同，则在最后综合得分相同的投标人中按投标报价由低到高顺序排出次序，报价低的排前，报价高的排后。如果出现投标人的最后综合得分及投标报价均相同时，则按技术标的评标得分高低排出次序，得分高的排前，得分低的排后。如果出现投标人的最后综合得分、投标报价及技术标得分均相同时，由评标委员会进行投票（各评委须分别书面说明各自投票该投标人排名在先的理由），得票多的排名在先。当第一轮投票结果为投标人得票数相同时，再次进行投票，如此类推，直到能确定排序次序为止</w:t>
      </w:r>
      <w:r>
        <w:rPr>
          <w:rFonts w:hint="eastAsia" w:ascii="宋体" w:hAnsi="宋体" w:eastAsia="宋体" w:cs="宋体"/>
          <w:color w:val="auto"/>
          <w:kern w:val="0"/>
          <w:szCs w:val="21"/>
          <w:highlight w:val="none"/>
        </w:rPr>
        <w:t>。</w:t>
      </w:r>
    </w:p>
    <w:p w14:paraId="52A78E1C">
      <w:pPr>
        <w:autoSpaceDE w:val="0"/>
        <w:autoSpaceDN w:val="0"/>
        <w:adjustRightInd w:val="0"/>
        <w:spacing w:line="360" w:lineRule="auto"/>
        <w:ind w:left="420" w:leftChars="200" w:firstLine="422" w:firstLineChars="200"/>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u w:val="single"/>
          <w:lang w:val="zh-CN"/>
        </w:rPr>
        <w:t>投标人</w:t>
      </w:r>
      <w:r>
        <w:rPr>
          <w:rFonts w:hint="eastAsia" w:ascii="宋体" w:hAnsi="宋体" w:eastAsia="宋体" w:cs="宋体"/>
          <w:b/>
          <w:bCs/>
          <w:color w:val="auto"/>
          <w:highlight w:val="none"/>
          <w:u w:val="single"/>
        </w:rPr>
        <w:t>（或联合体投标时的任一成员）</w:t>
      </w:r>
      <w:r>
        <w:rPr>
          <w:rFonts w:hint="eastAsia" w:ascii="宋体" w:hAnsi="宋体" w:eastAsia="宋体" w:cs="宋体"/>
          <w:b/>
          <w:bCs/>
          <w:color w:val="auto"/>
          <w:kern w:val="0"/>
          <w:szCs w:val="21"/>
          <w:highlight w:val="none"/>
          <w:u w:val="single"/>
          <w:lang w:val="zh-CN"/>
        </w:rPr>
        <w:t>可参加东莞市水务环境投资控股集团分布式光伏发电项目（第一批）供水厂项目和东莞市水务环境投资控股集团分布式光伏发电项目（第一批）净水厂项目的投标，但仅可承</w:t>
      </w:r>
      <w:r>
        <w:rPr>
          <w:rFonts w:hint="eastAsia" w:ascii="宋体" w:hAnsi="宋体" w:eastAsia="宋体" w:cs="宋体"/>
          <w:b/>
          <w:color w:val="auto"/>
          <w:szCs w:val="21"/>
          <w:highlight w:val="none"/>
          <w:u w:val="single"/>
        </w:rPr>
        <w:t>接</w:t>
      </w:r>
      <w:r>
        <w:rPr>
          <w:rFonts w:hint="eastAsia" w:ascii="宋体" w:hAnsi="宋体" w:eastAsia="宋体" w:cs="宋体"/>
          <w:b/>
          <w:bCs/>
          <w:color w:val="auto"/>
          <w:kern w:val="0"/>
          <w:szCs w:val="21"/>
          <w:highlight w:val="none"/>
          <w:u w:val="single"/>
          <w:lang w:val="zh-CN"/>
        </w:rPr>
        <w:t>其中一个光伏发电项目。若投标人</w:t>
      </w:r>
      <w:r>
        <w:rPr>
          <w:rFonts w:hint="eastAsia" w:ascii="宋体" w:hAnsi="宋体" w:eastAsia="宋体" w:cs="宋体"/>
          <w:b/>
          <w:bCs/>
          <w:color w:val="auto"/>
          <w:highlight w:val="none"/>
          <w:u w:val="single"/>
        </w:rPr>
        <w:t>（或联合体投标时的任一成员）</w:t>
      </w:r>
      <w:r>
        <w:rPr>
          <w:rFonts w:hint="eastAsia" w:ascii="宋体" w:hAnsi="宋体" w:eastAsia="宋体" w:cs="宋体"/>
          <w:b/>
          <w:bCs/>
          <w:color w:val="auto"/>
          <w:kern w:val="0"/>
          <w:szCs w:val="21"/>
          <w:highlight w:val="none"/>
          <w:u w:val="single"/>
          <w:lang w:val="zh-CN"/>
        </w:rPr>
        <w:t>已在前述任意一个项目的评审中被推荐为第一中标候选人，则在另一个项目的评审时，该投标人</w:t>
      </w:r>
      <w:r>
        <w:rPr>
          <w:rFonts w:hint="eastAsia" w:ascii="宋体" w:hAnsi="宋体" w:eastAsia="宋体" w:cs="宋体"/>
          <w:b/>
          <w:bCs/>
          <w:color w:val="auto"/>
          <w:highlight w:val="none"/>
          <w:u w:val="single"/>
        </w:rPr>
        <w:t>（或联合体投标时的任一成员，以及有该成员组成的新联合体）</w:t>
      </w:r>
      <w:r>
        <w:rPr>
          <w:rFonts w:hint="eastAsia" w:ascii="宋体" w:hAnsi="宋体" w:eastAsia="宋体" w:cs="宋体"/>
          <w:b/>
          <w:bCs/>
          <w:color w:val="auto"/>
          <w:kern w:val="0"/>
          <w:szCs w:val="21"/>
          <w:highlight w:val="none"/>
          <w:u w:val="single"/>
          <w:lang w:val="zh-CN"/>
        </w:rPr>
        <w:t>不可被推荐为中标候选人，由其他得分次高的投标人替代</w:t>
      </w:r>
      <w:r>
        <w:rPr>
          <w:rFonts w:hint="eastAsia" w:ascii="宋体" w:hAnsi="宋体" w:eastAsia="宋体" w:cs="宋体"/>
          <w:b/>
          <w:bCs/>
          <w:color w:val="auto"/>
          <w:kern w:val="0"/>
          <w:szCs w:val="21"/>
          <w:highlight w:val="none"/>
          <w:lang w:val="zh-CN"/>
        </w:rPr>
        <w:t>。</w:t>
      </w:r>
    </w:p>
    <w:p w14:paraId="73D33C6C">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1509" w:name="_Toc19230"/>
      <w:bookmarkStart w:id="1510" w:name="_Toc17614"/>
      <w:bookmarkStart w:id="1511" w:name="_Toc22724_WPSOffice_Level1"/>
      <w:bookmarkStart w:id="1512" w:name="_Toc19185"/>
      <w:r>
        <w:rPr>
          <w:rFonts w:hint="eastAsia" w:ascii="宋体" w:hAnsi="宋体" w:eastAsia="宋体" w:cs="宋体"/>
          <w:b/>
          <w:bCs/>
          <w:color w:val="auto"/>
          <w:sz w:val="28"/>
          <w:szCs w:val="28"/>
          <w:highlight w:val="none"/>
          <w:lang w:val="zh-CN"/>
        </w:rPr>
        <w:t>六、编写评标报告</w:t>
      </w:r>
      <w:bookmarkEnd w:id="1509"/>
      <w:bookmarkEnd w:id="1510"/>
      <w:bookmarkEnd w:id="1511"/>
      <w:bookmarkEnd w:id="1512"/>
    </w:p>
    <w:p w14:paraId="0F2A9A71">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4D7C0C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55572B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19A373C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BC5CC6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15F148E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5E35BC6C">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3413E8B4">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6BB32B0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1513" w:name="_Toc23773_WPSOffice_Level1"/>
      <w:bookmarkStart w:id="1514" w:name="_Toc1466"/>
      <w:bookmarkStart w:id="1515" w:name="_Toc10324"/>
      <w:bookmarkStart w:id="1516" w:name="_Toc12805"/>
      <w:r>
        <w:rPr>
          <w:rFonts w:hint="eastAsia" w:ascii="宋体" w:hAnsi="宋体" w:eastAsia="宋体" w:cs="宋体"/>
          <w:b/>
          <w:bCs/>
          <w:color w:val="auto"/>
          <w:sz w:val="28"/>
          <w:szCs w:val="28"/>
          <w:highlight w:val="none"/>
          <w:lang w:val="zh-CN"/>
        </w:rPr>
        <w:t>七、注意事项</w:t>
      </w:r>
      <w:bookmarkEnd w:id="1513"/>
      <w:bookmarkEnd w:id="1514"/>
      <w:bookmarkEnd w:id="1515"/>
      <w:bookmarkEnd w:id="1516"/>
    </w:p>
    <w:p w14:paraId="53E27F35">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7DB8E65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7EA09C39">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bookmarkStart w:id="1517" w:name="_Toc4014"/>
      <w:bookmarkStart w:id="1518" w:name="_Toc20567"/>
      <w:bookmarkStart w:id="1519" w:name="_Toc8689"/>
      <w:r>
        <w:rPr>
          <w:rFonts w:hint="eastAsia" w:ascii="宋体" w:hAnsi="宋体" w:eastAsia="宋体" w:cs="宋体"/>
          <w:color w:val="auto"/>
          <w:szCs w:val="24"/>
          <w:highlight w:val="none"/>
          <w:lang w:val="zh-CN"/>
        </w:rPr>
        <w:t>（2）评审人员及工作人员不得在公共场合谈论有关评审内容；</w:t>
      </w:r>
      <w:bookmarkEnd w:id="1517"/>
      <w:bookmarkEnd w:id="1518"/>
      <w:bookmarkEnd w:id="1519"/>
    </w:p>
    <w:p w14:paraId="3D2B02D1">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1D4A8D1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9A0051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bookmarkStart w:id="1520" w:name="_Toc12863"/>
      <w:bookmarkStart w:id="1521" w:name="_Toc4422"/>
      <w:bookmarkStart w:id="1522" w:name="_Toc26251"/>
      <w:r>
        <w:rPr>
          <w:rFonts w:hint="eastAsia" w:ascii="宋体" w:hAnsi="宋体" w:eastAsia="宋体" w:cs="宋体"/>
          <w:color w:val="auto"/>
          <w:szCs w:val="24"/>
          <w:highlight w:val="none"/>
          <w:lang w:val="zh-CN"/>
        </w:rPr>
        <w:t>（5）任何评审人员和工作人员不得对外公布评审的一切内容。</w:t>
      </w:r>
      <w:bookmarkEnd w:id="1330"/>
      <w:bookmarkEnd w:id="1389"/>
      <w:bookmarkEnd w:id="1390"/>
      <w:bookmarkEnd w:id="1391"/>
      <w:bookmarkEnd w:id="1520"/>
      <w:bookmarkEnd w:id="1521"/>
      <w:bookmarkEnd w:id="1522"/>
    </w:p>
    <w:sectPr>
      <w:pgSz w:w="12240" w:h="15840"/>
      <w:pgMar w:top="1191" w:right="1737" w:bottom="1191" w:left="1463"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E203D">
    <w:pPr>
      <w:pStyle w:val="2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A7D51">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4A7D51">
                    <w:pPr>
                      <w:pStyle w:val="2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19FD4">
    <w:pPr>
      <w:pStyle w:val="2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8E5F81">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A8E5F81">
                    <w:pPr>
                      <w:pStyle w:val="26"/>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B457A">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CD55">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B85C2">
                          <w:pPr>
                            <w:pStyle w:val="26"/>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772B85C2">
                    <w:pPr>
                      <w:pStyle w:val="26"/>
                    </w:pPr>
                    <w:r>
                      <w:t xml:space="preserve">第 </w:t>
                    </w:r>
                    <w:r>
                      <w:fldChar w:fldCharType="begin"/>
                    </w:r>
                    <w:r>
                      <w:instrText xml:space="preserve"> PAGE  \* MERGEFORMAT </w:instrText>
                    </w:r>
                    <w:r>
                      <w:fldChar w:fldCharType="separate"/>
                    </w:r>
                    <w:r>
                      <w:t>88</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B5E63">
    <w:pPr>
      <w:pStyle w:val="26"/>
      <w:jc w:val="center"/>
    </w:pPr>
    <w:r>
      <w:rPr>
        <w:rFonts w:hint="eastAsia"/>
      </w:rPr>
      <w:t>第</w:t>
    </w:r>
    <w:r>
      <w:rPr>
        <w:bCs/>
      </w:rPr>
      <w:fldChar w:fldCharType="begin"/>
    </w:r>
    <w:r>
      <w:rPr>
        <w:bCs/>
      </w:rPr>
      <w:instrText xml:space="preserve">PAGE</w:instrText>
    </w:r>
    <w:r>
      <w:rPr>
        <w:bCs/>
      </w:rPr>
      <w:fldChar w:fldCharType="separate"/>
    </w:r>
    <w:r>
      <w:rPr>
        <w:bCs/>
      </w:rPr>
      <w:t>175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152</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5198E">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D535E">
                          <w:pPr>
                            <w:pStyle w:val="26"/>
                          </w:pPr>
                          <w:r>
                            <w:t xml:space="preserve">第 </w:t>
                          </w:r>
                          <w:r>
                            <w:fldChar w:fldCharType="begin"/>
                          </w:r>
                          <w:r>
                            <w:instrText xml:space="preserve"> PAGE  \* MERGEFORMAT </w:instrText>
                          </w:r>
                          <w:r>
                            <w:fldChar w:fldCharType="separate"/>
                          </w:r>
                          <w:r>
                            <w:t>152</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C8D535E">
                    <w:pPr>
                      <w:pStyle w:val="26"/>
                    </w:pPr>
                    <w:r>
                      <w:t xml:space="preserve">第 </w:t>
                    </w:r>
                    <w:r>
                      <w:fldChar w:fldCharType="begin"/>
                    </w:r>
                    <w:r>
                      <w:instrText xml:space="preserve"> PAGE  \* MERGEFORMAT </w:instrText>
                    </w:r>
                    <w:r>
                      <w:fldChar w:fldCharType="separate"/>
                    </w:r>
                    <w:r>
                      <w:t>152</w:t>
                    </w:r>
                    <w:r>
                      <w:fldChar w:fldCharType="end"/>
                    </w:r>
                    <w:r>
                      <w:t xml:space="preserve"> 页 共 </w:t>
                    </w:r>
                    <w:r>
                      <w:fldChar w:fldCharType="begin"/>
                    </w:r>
                    <w:r>
                      <w:instrText xml:space="preserve"> NUMPAGES  \* MERGEFORMAT </w:instrText>
                    </w:r>
                    <w:r>
                      <w:fldChar w:fldCharType="separate"/>
                    </w:r>
                    <w:r>
                      <w:t>152</w:t>
                    </w:r>
                    <w:r>
                      <w:fldChar w:fldCharType="end"/>
                    </w:r>
                    <w:r>
                      <w:t xml:space="preserve"> 页</w:t>
                    </w:r>
                  </w:p>
                </w:txbxContent>
              </v:textbox>
            </v:shape>
          </w:pict>
        </mc:Fallback>
      </mc:AlternateContent>
    </w:r>
  </w:p>
  <w:p w14:paraId="581213E2">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8224A">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C5FD6"/>
    <w:multiLevelType w:val="multilevel"/>
    <w:tmpl w:val="859C5FD6"/>
    <w:lvl w:ilvl="0" w:tentative="0">
      <w:start w:val="7"/>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72B505D"/>
    <w:multiLevelType w:val="singleLevel"/>
    <w:tmpl w:val="D72B505D"/>
    <w:lvl w:ilvl="0" w:tentative="0">
      <w:start w:val="1"/>
      <w:numFmt w:val="decimal"/>
      <w:suff w:val="nothing"/>
      <w:lvlText w:val="%1、"/>
      <w:lvlJc w:val="left"/>
    </w:lvl>
  </w:abstractNum>
  <w:abstractNum w:abstractNumId="2">
    <w:nsid w:val="D8E70B59"/>
    <w:multiLevelType w:val="multilevel"/>
    <w:tmpl w:val="D8E70B59"/>
    <w:lvl w:ilvl="0" w:tentative="0">
      <w:start w:val="3"/>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ED6FE27F"/>
    <w:multiLevelType w:val="multilevel"/>
    <w:tmpl w:val="ED6FE27F"/>
    <w:lvl w:ilvl="0" w:tentative="0">
      <w:start w:val="2"/>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1B5B56C"/>
    <w:multiLevelType w:val="multilevel"/>
    <w:tmpl w:val="01B5B56C"/>
    <w:lvl w:ilvl="0" w:tentative="0">
      <w:start w:val="6"/>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6">
    <w:nsid w:val="3C01546A"/>
    <w:multiLevelType w:val="singleLevel"/>
    <w:tmpl w:val="3C01546A"/>
    <w:lvl w:ilvl="0" w:tentative="0">
      <w:start w:val="1"/>
      <w:numFmt w:val="decimal"/>
      <w:suff w:val="nothing"/>
      <w:lvlText w:val="（%1）"/>
      <w:lvlJc w:val="left"/>
      <w:pPr>
        <w:ind w:left="0" w:firstLine="420"/>
      </w:pPr>
      <w:rPr>
        <w:rFonts w:hint="default"/>
      </w:rPr>
    </w:lvl>
  </w:abstractNum>
  <w:abstractNum w:abstractNumId="7">
    <w:nsid w:val="442A3BA7"/>
    <w:multiLevelType w:val="multilevel"/>
    <w:tmpl w:val="442A3BA7"/>
    <w:lvl w:ilvl="0" w:tentative="0">
      <w:start w:val="1"/>
      <w:numFmt w:val="decimal"/>
      <w:lvlText w:val="%1"/>
      <w:lvlJc w:val="left"/>
      <w:pPr>
        <w:ind w:left="360" w:hanging="360"/>
      </w:pPr>
      <w:rPr>
        <w:rFonts w:hint="default" w:ascii="宋体" w:hAnsi="宋体" w:eastAsia="宋体"/>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CEAF5C7"/>
    <w:multiLevelType w:val="multilevel"/>
    <w:tmpl w:val="4CEAF5C7"/>
    <w:lvl w:ilvl="0" w:tentative="0">
      <w:start w:val="8"/>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5B9470EB"/>
    <w:multiLevelType w:val="singleLevel"/>
    <w:tmpl w:val="5B9470EB"/>
    <w:lvl w:ilvl="0" w:tentative="0">
      <w:start w:val="1"/>
      <w:numFmt w:val="decimal"/>
      <w:suff w:val="nothing"/>
      <w:lvlText w:val="%1、"/>
      <w:lvlJc w:val="left"/>
    </w:lvl>
  </w:abstractNum>
  <w:abstractNum w:abstractNumId="10">
    <w:nsid w:val="63F2709B"/>
    <w:multiLevelType w:val="multilevel"/>
    <w:tmpl w:val="63F2709B"/>
    <w:lvl w:ilvl="0" w:tentative="0">
      <w:start w:val="5"/>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1">
    <w:nsid w:val="6CC490B3"/>
    <w:multiLevelType w:val="singleLevel"/>
    <w:tmpl w:val="6CC490B3"/>
    <w:lvl w:ilvl="0" w:tentative="0">
      <w:start w:val="1"/>
      <w:numFmt w:val="decimal"/>
      <w:suff w:val="nothing"/>
      <w:lvlText w:val="%1、"/>
      <w:lvlJc w:val="left"/>
    </w:lvl>
  </w:abstractNum>
  <w:abstractNum w:abstractNumId="12">
    <w:nsid w:val="7157E1DE"/>
    <w:multiLevelType w:val="multilevel"/>
    <w:tmpl w:val="7157E1DE"/>
    <w:lvl w:ilvl="0" w:tentative="0">
      <w:start w:val="4"/>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7"/>
  </w:num>
  <w:num w:numId="2">
    <w:abstractNumId w:val="3"/>
  </w:num>
  <w:num w:numId="3">
    <w:abstractNumId w:val="2"/>
  </w:num>
  <w:num w:numId="4">
    <w:abstractNumId w:val="12"/>
  </w:num>
  <w:num w:numId="5">
    <w:abstractNumId w:val="10"/>
  </w:num>
  <w:num w:numId="6">
    <w:abstractNumId w:val="4"/>
  </w:num>
  <w:num w:numId="7">
    <w:abstractNumId w:val="0"/>
  </w:num>
  <w:num w:numId="8">
    <w:abstractNumId w:val="8"/>
  </w:num>
  <w:num w:numId="9">
    <w:abstractNumId w:val="6"/>
  </w:num>
  <w:num w:numId="10">
    <w:abstractNumId w:val="9"/>
  </w:num>
  <w:num w:numId="11">
    <w:abstractNumId w:val="1"/>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EwNDkxMmViMjVmYjIzNGNkYTQ0YWQ0MzA3YWYzZWMifQ=="/>
  </w:docVars>
  <w:rsids>
    <w:rsidRoot w:val="00172A27"/>
    <w:rsid w:val="000011AE"/>
    <w:rsid w:val="00004430"/>
    <w:rsid w:val="00006AEC"/>
    <w:rsid w:val="00015A2E"/>
    <w:rsid w:val="00017907"/>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1FF9"/>
    <w:rsid w:val="000C5D06"/>
    <w:rsid w:val="000C6A11"/>
    <w:rsid w:val="000D0B5D"/>
    <w:rsid w:val="000D5537"/>
    <w:rsid w:val="000D64DB"/>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36940"/>
    <w:rsid w:val="001450A8"/>
    <w:rsid w:val="001523C0"/>
    <w:rsid w:val="00152F07"/>
    <w:rsid w:val="0015711A"/>
    <w:rsid w:val="001644BA"/>
    <w:rsid w:val="001647C7"/>
    <w:rsid w:val="00165203"/>
    <w:rsid w:val="00166309"/>
    <w:rsid w:val="00170004"/>
    <w:rsid w:val="00172A27"/>
    <w:rsid w:val="00174AE6"/>
    <w:rsid w:val="001758D3"/>
    <w:rsid w:val="0017627F"/>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27F0"/>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2B1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6B09"/>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957"/>
    <w:rsid w:val="00405E84"/>
    <w:rsid w:val="0040607F"/>
    <w:rsid w:val="00417860"/>
    <w:rsid w:val="00420A7A"/>
    <w:rsid w:val="004235AF"/>
    <w:rsid w:val="0042558D"/>
    <w:rsid w:val="00427A89"/>
    <w:rsid w:val="0043107A"/>
    <w:rsid w:val="00432C43"/>
    <w:rsid w:val="004359C6"/>
    <w:rsid w:val="004360FC"/>
    <w:rsid w:val="004378C7"/>
    <w:rsid w:val="00437B9C"/>
    <w:rsid w:val="00437CD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C4F0F"/>
    <w:rsid w:val="004E0360"/>
    <w:rsid w:val="004E4ADE"/>
    <w:rsid w:val="004E5028"/>
    <w:rsid w:val="004E5F4E"/>
    <w:rsid w:val="004F2802"/>
    <w:rsid w:val="00500B9E"/>
    <w:rsid w:val="00503499"/>
    <w:rsid w:val="00506501"/>
    <w:rsid w:val="00507BC4"/>
    <w:rsid w:val="00513DB6"/>
    <w:rsid w:val="00516313"/>
    <w:rsid w:val="00524E92"/>
    <w:rsid w:val="00531E28"/>
    <w:rsid w:val="005344B1"/>
    <w:rsid w:val="005423E7"/>
    <w:rsid w:val="0055574E"/>
    <w:rsid w:val="005572B4"/>
    <w:rsid w:val="005574FC"/>
    <w:rsid w:val="0056010A"/>
    <w:rsid w:val="00563302"/>
    <w:rsid w:val="00571307"/>
    <w:rsid w:val="005743EA"/>
    <w:rsid w:val="00576F2E"/>
    <w:rsid w:val="00581210"/>
    <w:rsid w:val="00581FC3"/>
    <w:rsid w:val="005832B2"/>
    <w:rsid w:val="00585193"/>
    <w:rsid w:val="005851F1"/>
    <w:rsid w:val="005910B4"/>
    <w:rsid w:val="00596A23"/>
    <w:rsid w:val="005B735D"/>
    <w:rsid w:val="005C3DC9"/>
    <w:rsid w:val="005C4A71"/>
    <w:rsid w:val="005C6F40"/>
    <w:rsid w:val="005D4119"/>
    <w:rsid w:val="005D4603"/>
    <w:rsid w:val="005D66C2"/>
    <w:rsid w:val="005E2AC9"/>
    <w:rsid w:val="005E4D67"/>
    <w:rsid w:val="005F3D7C"/>
    <w:rsid w:val="00602D7E"/>
    <w:rsid w:val="00603BD0"/>
    <w:rsid w:val="00604142"/>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65BAD"/>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0F2D"/>
    <w:rsid w:val="007C4664"/>
    <w:rsid w:val="007D408A"/>
    <w:rsid w:val="007D4A5A"/>
    <w:rsid w:val="007D6B20"/>
    <w:rsid w:val="007E0673"/>
    <w:rsid w:val="007E32FC"/>
    <w:rsid w:val="007F01A2"/>
    <w:rsid w:val="007F0378"/>
    <w:rsid w:val="007F2ABC"/>
    <w:rsid w:val="007F7FEC"/>
    <w:rsid w:val="0081027D"/>
    <w:rsid w:val="00817B3D"/>
    <w:rsid w:val="00822299"/>
    <w:rsid w:val="008246D4"/>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2AE"/>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8F3C9A"/>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63B"/>
    <w:rsid w:val="00A10A7B"/>
    <w:rsid w:val="00A15F6A"/>
    <w:rsid w:val="00A311C2"/>
    <w:rsid w:val="00A3130A"/>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36164"/>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82C"/>
    <w:rsid w:val="00C96DDA"/>
    <w:rsid w:val="00CA7F1F"/>
    <w:rsid w:val="00CB5D3E"/>
    <w:rsid w:val="00CC3EAF"/>
    <w:rsid w:val="00CC4C46"/>
    <w:rsid w:val="00CC6AAB"/>
    <w:rsid w:val="00CC77FF"/>
    <w:rsid w:val="00CC7CF5"/>
    <w:rsid w:val="00CE3C5A"/>
    <w:rsid w:val="00CE59C6"/>
    <w:rsid w:val="00CE7586"/>
    <w:rsid w:val="00CF557A"/>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85CF7"/>
    <w:rsid w:val="00E905E8"/>
    <w:rsid w:val="00E93F56"/>
    <w:rsid w:val="00E952D9"/>
    <w:rsid w:val="00E96773"/>
    <w:rsid w:val="00E97CB9"/>
    <w:rsid w:val="00EB27E9"/>
    <w:rsid w:val="00EB37C9"/>
    <w:rsid w:val="00EB7E60"/>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11B7"/>
    <w:rsid w:val="00F723F9"/>
    <w:rsid w:val="00F82315"/>
    <w:rsid w:val="00F83D3C"/>
    <w:rsid w:val="00F840D6"/>
    <w:rsid w:val="00F8691C"/>
    <w:rsid w:val="00F900BE"/>
    <w:rsid w:val="00F93CE3"/>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5462D"/>
    <w:rsid w:val="01103915"/>
    <w:rsid w:val="01115B19"/>
    <w:rsid w:val="011D2710"/>
    <w:rsid w:val="012224F8"/>
    <w:rsid w:val="012375FA"/>
    <w:rsid w:val="012A0FCF"/>
    <w:rsid w:val="014B42AC"/>
    <w:rsid w:val="014D28C9"/>
    <w:rsid w:val="015059EE"/>
    <w:rsid w:val="015130DB"/>
    <w:rsid w:val="01710365"/>
    <w:rsid w:val="01722D3B"/>
    <w:rsid w:val="01872B2E"/>
    <w:rsid w:val="01874D15"/>
    <w:rsid w:val="01970CE9"/>
    <w:rsid w:val="01BD616A"/>
    <w:rsid w:val="01D63A04"/>
    <w:rsid w:val="02022B86"/>
    <w:rsid w:val="020B6834"/>
    <w:rsid w:val="02373207"/>
    <w:rsid w:val="027A76EE"/>
    <w:rsid w:val="029702A0"/>
    <w:rsid w:val="02975DA2"/>
    <w:rsid w:val="029E162E"/>
    <w:rsid w:val="02AD5A20"/>
    <w:rsid w:val="02C646E1"/>
    <w:rsid w:val="02CE17E8"/>
    <w:rsid w:val="02D20623"/>
    <w:rsid w:val="02D34569"/>
    <w:rsid w:val="02F70D3E"/>
    <w:rsid w:val="030B27C9"/>
    <w:rsid w:val="03211F11"/>
    <w:rsid w:val="03217B69"/>
    <w:rsid w:val="0334789D"/>
    <w:rsid w:val="035622D5"/>
    <w:rsid w:val="036208AE"/>
    <w:rsid w:val="03724869"/>
    <w:rsid w:val="03842CD6"/>
    <w:rsid w:val="03C84489"/>
    <w:rsid w:val="03E0798B"/>
    <w:rsid w:val="03EA2651"/>
    <w:rsid w:val="03EC461B"/>
    <w:rsid w:val="04051F7A"/>
    <w:rsid w:val="04131648"/>
    <w:rsid w:val="04274CAC"/>
    <w:rsid w:val="0435036D"/>
    <w:rsid w:val="04403A48"/>
    <w:rsid w:val="044E498E"/>
    <w:rsid w:val="04554F55"/>
    <w:rsid w:val="0455554A"/>
    <w:rsid w:val="04785EAF"/>
    <w:rsid w:val="04863463"/>
    <w:rsid w:val="04A73E84"/>
    <w:rsid w:val="04B65BD9"/>
    <w:rsid w:val="04D055E9"/>
    <w:rsid w:val="04DC1281"/>
    <w:rsid w:val="04DF1A8A"/>
    <w:rsid w:val="051D626B"/>
    <w:rsid w:val="05225564"/>
    <w:rsid w:val="05282AA4"/>
    <w:rsid w:val="052851DF"/>
    <w:rsid w:val="053F69CD"/>
    <w:rsid w:val="054F4E62"/>
    <w:rsid w:val="056903FC"/>
    <w:rsid w:val="056D0012"/>
    <w:rsid w:val="057A17B3"/>
    <w:rsid w:val="058F7720"/>
    <w:rsid w:val="0592587A"/>
    <w:rsid w:val="05935C94"/>
    <w:rsid w:val="05940D53"/>
    <w:rsid w:val="05B64EE1"/>
    <w:rsid w:val="062005AC"/>
    <w:rsid w:val="06277B8D"/>
    <w:rsid w:val="062C5DC4"/>
    <w:rsid w:val="062F4AF4"/>
    <w:rsid w:val="065055F6"/>
    <w:rsid w:val="065B15E4"/>
    <w:rsid w:val="068428E9"/>
    <w:rsid w:val="06874187"/>
    <w:rsid w:val="06875753"/>
    <w:rsid w:val="069F4F54"/>
    <w:rsid w:val="06A0349B"/>
    <w:rsid w:val="06A75D00"/>
    <w:rsid w:val="06AE2959"/>
    <w:rsid w:val="06B0774A"/>
    <w:rsid w:val="06D05CDA"/>
    <w:rsid w:val="06E710CA"/>
    <w:rsid w:val="07047ECE"/>
    <w:rsid w:val="070659F4"/>
    <w:rsid w:val="070D455F"/>
    <w:rsid w:val="071426B7"/>
    <w:rsid w:val="071C5217"/>
    <w:rsid w:val="0721282E"/>
    <w:rsid w:val="072639A0"/>
    <w:rsid w:val="07293490"/>
    <w:rsid w:val="07380910"/>
    <w:rsid w:val="073F5974"/>
    <w:rsid w:val="07442078"/>
    <w:rsid w:val="07462FD2"/>
    <w:rsid w:val="07A31495"/>
    <w:rsid w:val="07B37D72"/>
    <w:rsid w:val="07B40FAC"/>
    <w:rsid w:val="07B70A9C"/>
    <w:rsid w:val="07CD6512"/>
    <w:rsid w:val="07DD0853"/>
    <w:rsid w:val="07DD6F06"/>
    <w:rsid w:val="07E13D6B"/>
    <w:rsid w:val="07E37E3E"/>
    <w:rsid w:val="07F2313E"/>
    <w:rsid w:val="080A2794"/>
    <w:rsid w:val="080C703A"/>
    <w:rsid w:val="0848795D"/>
    <w:rsid w:val="0854278F"/>
    <w:rsid w:val="08607386"/>
    <w:rsid w:val="08612B75"/>
    <w:rsid w:val="08752024"/>
    <w:rsid w:val="08797942"/>
    <w:rsid w:val="087D1CE6"/>
    <w:rsid w:val="088B3C51"/>
    <w:rsid w:val="08996728"/>
    <w:rsid w:val="08A605FD"/>
    <w:rsid w:val="08AB7738"/>
    <w:rsid w:val="08AF05F8"/>
    <w:rsid w:val="08DA0EE6"/>
    <w:rsid w:val="08E00F81"/>
    <w:rsid w:val="08E87A5E"/>
    <w:rsid w:val="08F33D56"/>
    <w:rsid w:val="092C7268"/>
    <w:rsid w:val="092E20F4"/>
    <w:rsid w:val="093A4324"/>
    <w:rsid w:val="09403496"/>
    <w:rsid w:val="09420839"/>
    <w:rsid w:val="0946657C"/>
    <w:rsid w:val="094E3682"/>
    <w:rsid w:val="09664528"/>
    <w:rsid w:val="096D2A05"/>
    <w:rsid w:val="098C5461"/>
    <w:rsid w:val="09970113"/>
    <w:rsid w:val="09BD08D7"/>
    <w:rsid w:val="09C37BCC"/>
    <w:rsid w:val="09DE0562"/>
    <w:rsid w:val="09F47C4B"/>
    <w:rsid w:val="09FE6E56"/>
    <w:rsid w:val="0A097F22"/>
    <w:rsid w:val="0A0D22B5"/>
    <w:rsid w:val="0A171CC6"/>
    <w:rsid w:val="0A391C3C"/>
    <w:rsid w:val="0A397E8E"/>
    <w:rsid w:val="0A3E36F7"/>
    <w:rsid w:val="0A4A6AD9"/>
    <w:rsid w:val="0A51342A"/>
    <w:rsid w:val="0A5D3B7D"/>
    <w:rsid w:val="0A8B68D1"/>
    <w:rsid w:val="0A911A78"/>
    <w:rsid w:val="0AB55CF1"/>
    <w:rsid w:val="0AEE0402"/>
    <w:rsid w:val="0AF54A38"/>
    <w:rsid w:val="0AF85654"/>
    <w:rsid w:val="0AFF69E2"/>
    <w:rsid w:val="0B0C2138"/>
    <w:rsid w:val="0B100BEF"/>
    <w:rsid w:val="0B154F56"/>
    <w:rsid w:val="0B2A4BB4"/>
    <w:rsid w:val="0B3C2236"/>
    <w:rsid w:val="0B564F45"/>
    <w:rsid w:val="0B5C2086"/>
    <w:rsid w:val="0B656AA9"/>
    <w:rsid w:val="0B705096"/>
    <w:rsid w:val="0B714EEE"/>
    <w:rsid w:val="0BBE42F6"/>
    <w:rsid w:val="0BC16A9F"/>
    <w:rsid w:val="0BCD4CBF"/>
    <w:rsid w:val="0BFA7A81"/>
    <w:rsid w:val="0C2A7A8F"/>
    <w:rsid w:val="0C3952B8"/>
    <w:rsid w:val="0C3F46FB"/>
    <w:rsid w:val="0C590374"/>
    <w:rsid w:val="0C5C4C86"/>
    <w:rsid w:val="0C6D51C7"/>
    <w:rsid w:val="0C8E144B"/>
    <w:rsid w:val="0C925189"/>
    <w:rsid w:val="0CB75678"/>
    <w:rsid w:val="0CCE0066"/>
    <w:rsid w:val="0CD67C16"/>
    <w:rsid w:val="0CDA54FD"/>
    <w:rsid w:val="0CEA0AED"/>
    <w:rsid w:val="0CF167FE"/>
    <w:rsid w:val="0D0522AA"/>
    <w:rsid w:val="0D074274"/>
    <w:rsid w:val="0D0D77CD"/>
    <w:rsid w:val="0D1913E8"/>
    <w:rsid w:val="0D1E3491"/>
    <w:rsid w:val="0D1F336B"/>
    <w:rsid w:val="0D3961FB"/>
    <w:rsid w:val="0D482DB6"/>
    <w:rsid w:val="0D5455A3"/>
    <w:rsid w:val="0D5F19BA"/>
    <w:rsid w:val="0D621E90"/>
    <w:rsid w:val="0D662E37"/>
    <w:rsid w:val="0D816308"/>
    <w:rsid w:val="0D9A3CE3"/>
    <w:rsid w:val="0D9D1BAE"/>
    <w:rsid w:val="0DBC6E0C"/>
    <w:rsid w:val="0DC34EBD"/>
    <w:rsid w:val="0DCB6F7B"/>
    <w:rsid w:val="0DD20E9B"/>
    <w:rsid w:val="0DD423A8"/>
    <w:rsid w:val="0DF748F5"/>
    <w:rsid w:val="0E39220B"/>
    <w:rsid w:val="0E685654"/>
    <w:rsid w:val="0E774FF5"/>
    <w:rsid w:val="0E9537F3"/>
    <w:rsid w:val="0EA70987"/>
    <w:rsid w:val="0EB126E9"/>
    <w:rsid w:val="0EC408C4"/>
    <w:rsid w:val="0ED02786"/>
    <w:rsid w:val="0ED71A24"/>
    <w:rsid w:val="0ED828FD"/>
    <w:rsid w:val="0EF56A7A"/>
    <w:rsid w:val="0EF645A0"/>
    <w:rsid w:val="0F037F40"/>
    <w:rsid w:val="0F161C69"/>
    <w:rsid w:val="0F195C3D"/>
    <w:rsid w:val="0F241091"/>
    <w:rsid w:val="0F2561EC"/>
    <w:rsid w:val="0F370844"/>
    <w:rsid w:val="0F482829"/>
    <w:rsid w:val="0F4B669A"/>
    <w:rsid w:val="0F4E1CE6"/>
    <w:rsid w:val="0F602F0B"/>
    <w:rsid w:val="0F697A75"/>
    <w:rsid w:val="0F6E2388"/>
    <w:rsid w:val="0F875660"/>
    <w:rsid w:val="0F8D6756"/>
    <w:rsid w:val="0F9230D3"/>
    <w:rsid w:val="0FA77648"/>
    <w:rsid w:val="0FAB0EE6"/>
    <w:rsid w:val="0FAC356D"/>
    <w:rsid w:val="0FC63F72"/>
    <w:rsid w:val="0FC91CB4"/>
    <w:rsid w:val="0FCC70AF"/>
    <w:rsid w:val="0FE102BB"/>
    <w:rsid w:val="1017657C"/>
    <w:rsid w:val="101C3B92"/>
    <w:rsid w:val="10230FB4"/>
    <w:rsid w:val="10354C54"/>
    <w:rsid w:val="103B628C"/>
    <w:rsid w:val="103D33B1"/>
    <w:rsid w:val="10433815"/>
    <w:rsid w:val="104D3E92"/>
    <w:rsid w:val="105575BF"/>
    <w:rsid w:val="10615BA6"/>
    <w:rsid w:val="106B2BF6"/>
    <w:rsid w:val="108C58F8"/>
    <w:rsid w:val="10AD1C02"/>
    <w:rsid w:val="10AF73ED"/>
    <w:rsid w:val="10B72B6A"/>
    <w:rsid w:val="10BC03C7"/>
    <w:rsid w:val="10CD1330"/>
    <w:rsid w:val="10CD7582"/>
    <w:rsid w:val="10D23DAC"/>
    <w:rsid w:val="10D25E46"/>
    <w:rsid w:val="10FD2541"/>
    <w:rsid w:val="11094EF4"/>
    <w:rsid w:val="110E3117"/>
    <w:rsid w:val="112635E0"/>
    <w:rsid w:val="11320B66"/>
    <w:rsid w:val="11461B10"/>
    <w:rsid w:val="11551A52"/>
    <w:rsid w:val="11574FD2"/>
    <w:rsid w:val="11842296"/>
    <w:rsid w:val="11851182"/>
    <w:rsid w:val="118B7221"/>
    <w:rsid w:val="118D5137"/>
    <w:rsid w:val="11CF7AC1"/>
    <w:rsid w:val="11E0431F"/>
    <w:rsid w:val="11E20E0C"/>
    <w:rsid w:val="11FB2FCF"/>
    <w:rsid w:val="120314AE"/>
    <w:rsid w:val="12045226"/>
    <w:rsid w:val="1208099D"/>
    <w:rsid w:val="1246139A"/>
    <w:rsid w:val="12837EF9"/>
    <w:rsid w:val="129640D0"/>
    <w:rsid w:val="12990027"/>
    <w:rsid w:val="12A14823"/>
    <w:rsid w:val="12B44EAB"/>
    <w:rsid w:val="12B46E52"/>
    <w:rsid w:val="12BB0D06"/>
    <w:rsid w:val="12C02EFB"/>
    <w:rsid w:val="12C22B33"/>
    <w:rsid w:val="12C50511"/>
    <w:rsid w:val="12D616CB"/>
    <w:rsid w:val="12E32EDE"/>
    <w:rsid w:val="12F9465F"/>
    <w:rsid w:val="12FE1C75"/>
    <w:rsid w:val="130F4A87"/>
    <w:rsid w:val="131E6243"/>
    <w:rsid w:val="131F316F"/>
    <w:rsid w:val="13255454"/>
    <w:rsid w:val="13323776"/>
    <w:rsid w:val="134055F9"/>
    <w:rsid w:val="1359436E"/>
    <w:rsid w:val="13737F6D"/>
    <w:rsid w:val="13741F37"/>
    <w:rsid w:val="137F082C"/>
    <w:rsid w:val="1399374C"/>
    <w:rsid w:val="13A90240"/>
    <w:rsid w:val="13B60216"/>
    <w:rsid w:val="13BB1EC9"/>
    <w:rsid w:val="13D44784"/>
    <w:rsid w:val="13DC7D34"/>
    <w:rsid w:val="13EE7251"/>
    <w:rsid w:val="14193629"/>
    <w:rsid w:val="141C0B09"/>
    <w:rsid w:val="14237C67"/>
    <w:rsid w:val="143C0BC9"/>
    <w:rsid w:val="144933C4"/>
    <w:rsid w:val="14747DD8"/>
    <w:rsid w:val="148B52EC"/>
    <w:rsid w:val="148D32B1"/>
    <w:rsid w:val="1491525B"/>
    <w:rsid w:val="14964ACF"/>
    <w:rsid w:val="14B60A59"/>
    <w:rsid w:val="14E46C49"/>
    <w:rsid w:val="14F275B8"/>
    <w:rsid w:val="14FC1E68"/>
    <w:rsid w:val="150F3DBE"/>
    <w:rsid w:val="15105045"/>
    <w:rsid w:val="151B7310"/>
    <w:rsid w:val="15282FD9"/>
    <w:rsid w:val="15294DBB"/>
    <w:rsid w:val="152B20F2"/>
    <w:rsid w:val="153732D2"/>
    <w:rsid w:val="1542409B"/>
    <w:rsid w:val="15820CF9"/>
    <w:rsid w:val="15836793"/>
    <w:rsid w:val="158A77F0"/>
    <w:rsid w:val="15916DD0"/>
    <w:rsid w:val="15966551"/>
    <w:rsid w:val="15A13C38"/>
    <w:rsid w:val="15AF2969"/>
    <w:rsid w:val="15B97FCA"/>
    <w:rsid w:val="15C00183"/>
    <w:rsid w:val="15C2088D"/>
    <w:rsid w:val="15D942D4"/>
    <w:rsid w:val="15E909BB"/>
    <w:rsid w:val="16047038"/>
    <w:rsid w:val="16047251"/>
    <w:rsid w:val="16161084"/>
    <w:rsid w:val="161E3E86"/>
    <w:rsid w:val="16225C7A"/>
    <w:rsid w:val="162E65C0"/>
    <w:rsid w:val="163D0D06"/>
    <w:rsid w:val="163D1C9C"/>
    <w:rsid w:val="164B3423"/>
    <w:rsid w:val="16527416"/>
    <w:rsid w:val="16530BCE"/>
    <w:rsid w:val="16614AD9"/>
    <w:rsid w:val="16687017"/>
    <w:rsid w:val="1695644C"/>
    <w:rsid w:val="16A835F4"/>
    <w:rsid w:val="16AB58B1"/>
    <w:rsid w:val="16AD19E8"/>
    <w:rsid w:val="16B60189"/>
    <w:rsid w:val="16BF171B"/>
    <w:rsid w:val="16C115CB"/>
    <w:rsid w:val="16C805D0"/>
    <w:rsid w:val="16CB6312"/>
    <w:rsid w:val="16CF5E02"/>
    <w:rsid w:val="16D607F5"/>
    <w:rsid w:val="16E6367E"/>
    <w:rsid w:val="16F271C0"/>
    <w:rsid w:val="17045380"/>
    <w:rsid w:val="1706559C"/>
    <w:rsid w:val="171A2056"/>
    <w:rsid w:val="17321A57"/>
    <w:rsid w:val="173E6AE4"/>
    <w:rsid w:val="174A48BA"/>
    <w:rsid w:val="176C0D57"/>
    <w:rsid w:val="177E4989"/>
    <w:rsid w:val="17A27073"/>
    <w:rsid w:val="17B8095E"/>
    <w:rsid w:val="17BD5C5B"/>
    <w:rsid w:val="17BE2025"/>
    <w:rsid w:val="17C05342"/>
    <w:rsid w:val="17C4006F"/>
    <w:rsid w:val="17D32949"/>
    <w:rsid w:val="17DF2075"/>
    <w:rsid w:val="17E01765"/>
    <w:rsid w:val="17F93AF7"/>
    <w:rsid w:val="181C3FB0"/>
    <w:rsid w:val="182745FA"/>
    <w:rsid w:val="18450EF1"/>
    <w:rsid w:val="18475E6C"/>
    <w:rsid w:val="18910E95"/>
    <w:rsid w:val="18A1707D"/>
    <w:rsid w:val="18A961DF"/>
    <w:rsid w:val="18AB1F57"/>
    <w:rsid w:val="18B0756E"/>
    <w:rsid w:val="18BE4F06"/>
    <w:rsid w:val="18C474BD"/>
    <w:rsid w:val="18C64FE3"/>
    <w:rsid w:val="18E216F1"/>
    <w:rsid w:val="18FB54DF"/>
    <w:rsid w:val="19293D73"/>
    <w:rsid w:val="192A37C4"/>
    <w:rsid w:val="193544CD"/>
    <w:rsid w:val="193957B5"/>
    <w:rsid w:val="19501DB6"/>
    <w:rsid w:val="19605520"/>
    <w:rsid w:val="19643BF1"/>
    <w:rsid w:val="196C2483"/>
    <w:rsid w:val="19A5109C"/>
    <w:rsid w:val="19A76BC3"/>
    <w:rsid w:val="19B117EF"/>
    <w:rsid w:val="19B66E06"/>
    <w:rsid w:val="19C810D2"/>
    <w:rsid w:val="19D76D7C"/>
    <w:rsid w:val="1A010EDF"/>
    <w:rsid w:val="1A3B1C2A"/>
    <w:rsid w:val="1A424B3D"/>
    <w:rsid w:val="1A52682B"/>
    <w:rsid w:val="1A5B6086"/>
    <w:rsid w:val="1A6920CA"/>
    <w:rsid w:val="1AA650CC"/>
    <w:rsid w:val="1AC27A2C"/>
    <w:rsid w:val="1AC63078"/>
    <w:rsid w:val="1ACE6851"/>
    <w:rsid w:val="1AD559B1"/>
    <w:rsid w:val="1ADD7A62"/>
    <w:rsid w:val="1AE300CE"/>
    <w:rsid w:val="1AE34571"/>
    <w:rsid w:val="1AF46169"/>
    <w:rsid w:val="1B0940FF"/>
    <w:rsid w:val="1B3E70B3"/>
    <w:rsid w:val="1B5A13DD"/>
    <w:rsid w:val="1B61112C"/>
    <w:rsid w:val="1B66485B"/>
    <w:rsid w:val="1B667448"/>
    <w:rsid w:val="1B6D1746"/>
    <w:rsid w:val="1B7303F3"/>
    <w:rsid w:val="1B747AF5"/>
    <w:rsid w:val="1B754588"/>
    <w:rsid w:val="1B7C7BDB"/>
    <w:rsid w:val="1B8A22F8"/>
    <w:rsid w:val="1B8D2C3F"/>
    <w:rsid w:val="1B9E5DA3"/>
    <w:rsid w:val="1BA50EE0"/>
    <w:rsid w:val="1BB76E65"/>
    <w:rsid w:val="1BB84D32"/>
    <w:rsid w:val="1BC27D0F"/>
    <w:rsid w:val="1BEA7AFB"/>
    <w:rsid w:val="1BEE10DD"/>
    <w:rsid w:val="1BF26033"/>
    <w:rsid w:val="1C0D49BD"/>
    <w:rsid w:val="1C0F0A4F"/>
    <w:rsid w:val="1C171F30"/>
    <w:rsid w:val="1C1B5646"/>
    <w:rsid w:val="1C2756DA"/>
    <w:rsid w:val="1C314E69"/>
    <w:rsid w:val="1C3B7A96"/>
    <w:rsid w:val="1C427076"/>
    <w:rsid w:val="1C450915"/>
    <w:rsid w:val="1C4526C3"/>
    <w:rsid w:val="1C56042C"/>
    <w:rsid w:val="1C5B1292"/>
    <w:rsid w:val="1C5B3C94"/>
    <w:rsid w:val="1C5D507D"/>
    <w:rsid w:val="1C5F3695"/>
    <w:rsid w:val="1C6C7C4F"/>
    <w:rsid w:val="1C7A0F4E"/>
    <w:rsid w:val="1C7C1ACE"/>
    <w:rsid w:val="1CBA2D9A"/>
    <w:rsid w:val="1CCC6940"/>
    <w:rsid w:val="1CDD0B4D"/>
    <w:rsid w:val="1CE011DA"/>
    <w:rsid w:val="1CED5B5F"/>
    <w:rsid w:val="1CF3227E"/>
    <w:rsid w:val="1CF814E3"/>
    <w:rsid w:val="1D16347D"/>
    <w:rsid w:val="1D207426"/>
    <w:rsid w:val="1D4A4B12"/>
    <w:rsid w:val="1D5801D4"/>
    <w:rsid w:val="1D631052"/>
    <w:rsid w:val="1D6372A4"/>
    <w:rsid w:val="1D85248B"/>
    <w:rsid w:val="1DAF4298"/>
    <w:rsid w:val="1DB62E2E"/>
    <w:rsid w:val="1DBA2C3C"/>
    <w:rsid w:val="1DE303E5"/>
    <w:rsid w:val="1DE63870"/>
    <w:rsid w:val="1DEA3522"/>
    <w:rsid w:val="1DF61399"/>
    <w:rsid w:val="1E0D0FBE"/>
    <w:rsid w:val="1E1332F5"/>
    <w:rsid w:val="1E193146"/>
    <w:rsid w:val="1E2F20DF"/>
    <w:rsid w:val="1E4946EC"/>
    <w:rsid w:val="1E5729ED"/>
    <w:rsid w:val="1E5B7F7C"/>
    <w:rsid w:val="1E7219FD"/>
    <w:rsid w:val="1E731769"/>
    <w:rsid w:val="1E753AFD"/>
    <w:rsid w:val="1E9760CA"/>
    <w:rsid w:val="1EA01E32"/>
    <w:rsid w:val="1EB27864"/>
    <w:rsid w:val="1ED55963"/>
    <w:rsid w:val="1EF04B68"/>
    <w:rsid w:val="1F30765A"/>
    <w:rsid w:val="1F3A4035"/>
    <w:rsid w:val="1F551115"/>
    <w:rsid w:val="1F576995"/>
    <w:rsid w:val="1F5C3FAB"/>
    <w:rsid w:val="1F6D1F48"/>
    <w:rsid w:val="1F6F787D"/>
    <w:rsid w:val="1F871844"/>
    <w:rsid w:val="1F90634B"/>
    <w:rsid w:val="1FA30D6D"/>
    <w:rsid w:val="1FEA5A5B"/>
    <w:rsid w:val="1FFD6179"/>
    <w:rsid w:val="200D5E79"/>
    <w:rsid w:val="20141E2D"/>
    <w:rsid w:val="20191E9C"/>
    <w:rsid w:val="20337402"/>
    <w:rsid w:val="2035390D"/>
    <w:rsid w:val="20592BE1"/>
    <w:rsid w:val="205A1E08"/>
    <w:rsid w:val="206B1AB6"/>
    <w:rsid w:val="207A1985"/>
    <w:rsid w:val="209314D4"/>
    <w:rsid w:val="209452FF"/>
    <w:rsid w:val="20A41B57"/>
    <w:rsid w:val="20A756FA"/>
    <w:rsid w:val="20B75F78"/>
    <w:rsid w:val="20C37CF5"/>
    <w:rsid w:val="21025026"/>
    <w:rsid w:val="2125070E"/>
    <w:rsid w:val="21286D75"/>
    <w:rsid w:val="212B00D9"/>
    <w:rsid w:val="212D6B7C"/>
    <w:rsid w:val="214971C4"/>
    <w:rsid w:val="216E39A4"/>
    <w:rsid w:val="2191002B"/>
    <w:rsid w:val="21A734D8"/>
    <w:rsid w:val="21F42BC1"/>
    <w:rsid w:val="21F479D3"/>
    <w:rsid w:val="22055633"/>
    <w:rsid w:val="22082022"/>
    <w:rsid w:val="22162B37"/>
    <w:rsid w:val="222907BE"/>
    <w:rsid w:val="223B07F0"/>
    <w:rsid w:val="223E0DB0"/>
    <w:rsid w:val="22564243"/>
    <w:rsid w:val="22602008"/>
    <w:rsid w:val="227036B8"/>
    <w:rsid w:val="22741DF3"/>
    <w:rsid w:val="22A7592E"/>
    <w:rsid w:val="22AD273C"/>
    <w:rsid w:val="22B92A36"/>
    <w:rsid w:val="22C24A6D"/>
    <w:rsid w:val="22C62CF4"/>
    <w:rsid w:val="22E05479"/>
    <w:rsid w:val="22FA4207"/>
    <w:rsid w:val="22FB3ADB"/>
    <w:rsid w:val="22FF0D14"/>
    <w:rsid w:val="2304536E"/>
    <w:rsid w:val="23353491"/>
    <w:rsid w:val="234B3597"/>
    <w:rsid w:val="234C136E"/>
    <w:rsid w:val="234C277D"/>
    <w:rsid w:val="237572DD"/>
    <w:rsid w:val="23863CED"/>
    <w:rsid w:val="238C6E29"/>
    <w:rsid w:val="23A06120"/>
    <w:rsid w:val="23AC3ABD"/>
    <w:rsid w:val="23CE7442"/>
    <w:rsid w:val="23D1648D"/>
    <w:rsid w:val="23FE14D4"/>
    <w:rsid w:val="24390D5F"/>
    <w:rsid w:val="244311F5"/>
    <w:rsid w:val="24492495"/>
    <w:rsid w:val="24560EF4"/>
    <w:rsid w:val="245636BF"/>
    <w:rsid w:val="246B437F"/>
    <w:rsid w:val="24741D97"/>
    <w:rsid w:val="248875F1"/>
    <w:rsid w:val="248D5FC1"/>
    <w:rsid w:val="24AA6654"/>
    <w:rsid w:val="24C06D8A"/>
    <w:rsid w:val="24CE741A"/>
    <w:rsid w:val="25070D37"/>
    <w:rsid w:val="250A3135"/>
    <w:rsid w:val="25127EC9"/>
    <w:rsid w:val="25594873"/>
    <w:rsid w:val="255F0F4C"/>
    <w:rsid w:val="25616AB8"/>
    <w:rsid w:val="256E6B5A"/>
    <w:rsid w:val="25873916"/>
    <w:rsid w:val="25941224"/>
    <w:rsid w:val="25955DAF"/>
    <w:rsid w:val="25A95A70"/>
    <w:rsid w:val="25C968C9"/>
    <w:rsid w:val="25FC2044"/>
    <w:rsid w:val="262E764D"/>
    <w:rsid w:val="26431A21"/>
    <w:rsid w:val="265577FD"/>
    <w:rsid w:val="265C2AE3"/>
    <w:rsid w:val="26660420"/>
    <w:rsid w:val="2666525D"/>
    <w:rsid w:val="266F6D64"/>
    <w:rsid w:val="2676247B"/>
    <w:rsid w:val="267937B6"/>
    <w:rsid w:val="26AC014D"/>
    <w:rsid w:val="26AD27CC"/>
    <w:rsid w:val="26BE72FA"/>
    <w:rsid w:val="26D44D6F"/>
    <w:rsid w:val="26F54D5E"/>
    <w:rsid w:val="270311B0"/>
    <w:rsid w:val="270A22BB"/>
    <w:rsid w:val="27167136"/>
    <w:rsid w:val="27223D2C"/>
    <w:rsid w:val="272730F1"/>
    <w:rsid w:val="278E3170"/>
    <w:rsid w:val="27A46F86"/>
    <w:rsid w:val="27B16E5E"/>
    <w:rsid w:val="27D33279"/>
    <w:rsid w:val="27D74B17"/>
    <w:rsid w:val="27D86AE1"/>
    <w:rsid w:val="27E40FE2"/>
    <w:rsid w:val="28093668"/>
    <w:rsid w:val="284B0D66"/>
    <w:rsid w:val="284E28FF"/>
    <w:rsid w:val="285257C6"/>
    <w:rsid w:val="28560664"/>
    <w:rsid w:val="285D1532"/>
    <w:rsid w:val="286C22B8"/>
    <w:rsid w:val="286D408E"/>
    <w:rsid w:val="286E02B3"/>
    <w:rsid w:val="28814A83"/>
    <w:rsid w:val="289018A6"/>
    <w:rsid w:val="28921B83"/>
    <w:rsid w:val="28993B45"/>
    <w:rsid w:val="28AC24C6"/>
    <w:rsid w:val="28CD7B64"/>
    <w:rsid w:val="28D663FC"/>
    <w:rsid w:val="28DA73F5"/>
    <w:rsid w:val="29013C26"/>
    <w:rsid w:val="291429E5"/>
    <w:rsid w:val="29315A30"/>
    <w:rsid w:val="293D6BFB"/>
    <w:rsid w:val="29471828"/>
    <w:rsid w:val="29586DF0"/>
    <w:rsid w:val="296202D9"/>
    <w:rsid w:val="297B3849"/>
    <w:rsid w:val="298001BF"/>
    <w:rsid w:val="2986224F"/>
    <w:rsid w:val="29AE6B2F"/>
    <w:rsid w:val="29B92FC4"/>
    <w:rsid w:val="29BD1AEA"/>
    <w:rsid w:val="29CC61D1"/>
    <w:rsid w:val="29D03D19"/>
    <w:rsid w:val="29E67293"/>
    <w:rsid w:val="29F870BA"/>
    <w:rsid w:val="29FA6504"/>
    <w:rsid w:val="2A042B1B"/>
    <w:rsid w:val="2A092F82"/>
    <w:rsid w:val="2A1738F0"/>
    <w:rsid w:val="2A1D6A2D"/>
    <w:rsid w:val="2A1F27A5"/>
    <w:rsid w:val="2A213E13"/>
    <w:rsid w:val="2A3D2C2B"/>
    <w:rsid w:val="2A4276AF"/>
    <w:rsid w:val="2A503E30"/>
    <w:rsid w:val="2A585AD1"/>
    <w:rsid w:val="2A7B69A9"/>
    <w:rsid w:val="2A8D5961"/>
    <w:rsid w:val="2A947DE8"/>
    <w:rsid w:val="2A9E4307"/>
    <w:rsid w:val="2AEA2DB3"/>
    <w:rsid w:val="2B075B92"/>
    <w:rsid w:val="2B163BA8"/>
    <w:rsid w:val="2B1760A1"/>
    <w:rsid w:val="2B2168FA"/>
    <w:rsid w:val="2B382728"/>
    <w:rsid w:val="2B3A651D"/>
    <w:rsid w:val="2B450433"/>
    <w:rsid w:val="2B4900C1"/>
    <w:rsid w:val="2B585F6F"/>
    <w:rsid w:val="2B5E4C51"/>
    <w:rsid w:val="2B7129F4"/>
    <w:rsid w:val="2B856C2C"/>
    <w:rsid w:val="2BB511B5"/>
    <w:rsid w:val="2BB70F0A"/>
    <w:rsid w:val="2BBD2276"/>
    <w:rsid w:val="2BC17139"/>
    <w:rsid w:val="2BE47802"/>
    <w:rsid w:val="2BFE33E2"/>
    <w:rsid w:val="2C2A71DF"/>
    <w:rsid w:val="2C3E6177"/>
    <w:rsid w:val="2C437642"/>
    <w:rsid w:val="2C4955AF"/>
    <w:rsid w:val="2C7E2617"/>
    <w:rsid w:val="2C892158"/>
    <w:rsid w:val="2C97233F"/>
    <w:rsid w:val="2CA23B9D"/>
    <w:rsid w:val="2CA86A82"/>
    <w:rsid w:val="2CAF6062"/>
    <w:rsid w:val="2CD45AC9"/>
    <w:rsid w:val="2CFC2BFE"/>
    <w:rsid w:val="2D0A773C"/>
    <w:rsid w:val="2D0F08AF"/>
    <w:rsid w:val="2D1C74DF"/>
    <w:rsid w:val="2D2A56E9"/>
    <w:rsid w:val="2D3A552B"/>
    <w:rsid w:val="2D4F50B7"/>
    <w:rsid w:val="2D7E57F5"/>
    <w:rsid w:val="2D81695F"/>
    <w:rsid w:val="2D89631C"/>
    <w:rsid w:val="2DB149E8"/>
    <w:rsid w:val="2DDB1DA3"/>
    <w:rsid w:val="2DF46565"/>
    <w:rsid w:val="2DFD4A36"/>
    <w:rsid w:val="2E2C723F"/>
    <w:rsid w:val="2E2F6C9B"/>
    <w:rsid w:val="2E312AA7"/>
    <w:rsid w:val="2E381733"/>
    <w:rsid w:val="2E591B15"/>
    <w:rsid w:val="2E5A3DAC"/>
    <w:rsid w:val="2E625356"/>
    <w:rsid w:val="2E6331BE"/>
    <w:rsid w:val="2E6764C9"/>
    <w:rsid w:val="2EA67690"/>
    <w:rsid w:val="2EBD59CF"/>
    <w:rsid w:val="2EDA071F"/>
    <w:rsid w:val="2EDA4EED"/>
    <w:rsid w:val="2EE20A9E"/>
    <w:rsid w:val="2EFA13EE"/>
    <w:rsid w:val="2EFE2E54"/>
    <w:rsid w:val="2F071B18"/>
    <w:rsid w:val="2F097580"/>
    <w:rsid w:val="2F27528F"/>
    <w:rsid w:val="2F5A49A3"/>
    <w:rsid w:val="2F646705"/>
    <w:rsid w:val="2F7858EF"/>
    <w:rsid w:val="2F7964B4"/>
    <w:rsid w:val="2F950300"/>
    <w:rsid w:val="2FBB4D1E"/>
    <w:rsid w:val="2FC2465B"/>
    <w:rsid w:val="30085A89"/>
    <w:rsid w:val="301164E2"/>
    <w:rsid w:val="30252044"/>
    <w:rsid w:val="3029612C"/>
    <w:rsid w:val="302F41F6"/>
    <w:rsid w:val="3038274A"/>
    <w:rsid w:val="304A4E99"/>
    <w:rsid w:val="305667F5"/>
    <w:rsid w:val="30A0531A"/>
    <w:rsid w:val="30AB47A7"/>
    <w:rsid w:val="30B71989"/>
    <w:rsid w:val="30B755D1"/>
    <w:rsid w:val="30BF083E"/>
    <w:rsid w:val="30C220DC"/>
    <w:rsid w:val="30D36097"/>
    <w:rsid w:val="30FB5744"/>
    <w:rsid w:val="30FD40AA"/>
    <w:rsid w:val="30FD4EC2"/>
    <w:rsid w:val="310426F5"/>
    <w:rsid w:val="31046251"/>
    <w:rsid w:val="31126BC0"/>
    <w:rsid w:val="31153E87"/>
    <w:rsid w:val="31267AAE"/>
    <w:rsid w:val="313407C3"/>
    <w:rsid w:val="31444881"/>
    <w:rsid w:val="3148438F"/>
    <w:rsid w:val="314D028A"/>
    <w:rsid w:val="31570A76"/>
    <w:rsid w:val="315F3B56"/>
    <w:rsid w:val="316B60EC"/>
    <w:rsid w:val="31A35D8D"/>
    <w:rsid w:val="31AD68E8"/>
    <w:rsid w:val="31CA749A"/>
    <w:rsid w:val="31E367AE"/>
    <w:rsid w:val="31E676C8"/>
    <w:rsid w:val="31E755E9"/>
    <w:rsid w:val="31ED3189"/>
    <w:rsid w:val="3202189B"/>
    <w:rsid w:val="320A66A5"/>
    <w:rsid w:val="32142156"/>
    <w:rsid w:val="321F1023"/>
    <w:rsid w:val="322B6D17"/>
    <w:rsid w:val="322F554F"/>
    <w:rsid w:val="323A4620"/>
    <w:rsid w:val="32444DE4"/>
    <w:rsid w:val="3244724D"/>
    <w:rsid w:val="3251196A"/>
    <w:rsid w:val="32541F02"/>
    <w:rsid w:val="325F5E35"/>
    <w:rsid w:val="32990C1B"/>
    <w:rsid w:val="32C91500"/>
    <w:rsid w:val="32D27B67"/>
    <w:rsid w:val="32D560F7"/>
    <w:rsid w:val="33301130"/>
    <w:rsid w:val="33485A44"/>
    <w:rsid w:val="334C1F0A"/>
    <w:rsid w:val="336851BD"/>
    <w:rsid w:val="33727DEA"/>
    <w:rsid w:val="339935C8"/>
    <w:rsid w:val="33B915C6"/>
    <w:rsid w:val="33C15452"/>
    <w:rsid w:val="33FC76B3"/>
    <w:rsid w:val="34237336"/>
    <w:rsid w:val="34266DEB"/>
    <w:rsid w:val="34565015"/>
    <w:rsid w:val="347831DE"/>
    <w:rsid w:val="34831B82"/>
    <w:rsid w:val="34853F76"/>
    <w:rsid w:val="3491604D"/>
    <w:rsid w:val="349C44BC"/>
    <w:rsid w:val="34A46A8E"/>
    <w:rsid w:val="34A57D4B"/>
    <w:rsid w:val="34AC627E"/>
    <w:rsid w:val="34C46423"/>
    <w:rsid w:val="34DE113B"/>
    <w:rsid w:val="34E55781"/>
    <w:rsid w:val="34E95E89"/>
    <w:rsid w:val="34F14D3E"/>
    <w:rsid w:val="34F605A6"/>
    <w:rsid w:val="350607E9"/>
    <w:rsid w:val="35075681"/>
    <w:rsid w:val="352460F7"/>
    <w:rsid w:val="352805DA"/>
    <w:rsid w:val="35496928"/>
    <w:rsid w:val="354C30B8"/>
    <w:rsid w:val="355530AA"/>
    <w:rsid w:val="355D42FC"/>
    <w:rsid w:val="355E7835"/>
    <w:rsid w:val="35646712"/>
    <w:rsid w:val="359A7184"/>
    <w:rsid w:val="35A149B6"/>
    <w:rsid w:val="35A40002"/>
    <w:rsid w:val="35B30245"/>
    <w:rsid w:val="35D13A3C"/>
    <w:rsid w:val="35D2691D"/>
    <w:rsid w:val="35D501BC"/>
    <w:rsid w:val="35F5085E"/>
    <w:rsid w:val="360016DD"/>
    <w:rsid w:val="36055A20"/>
    <w:rsid w:val="361000EE"/>
    <w:rsid w:val="3623361D"/>
    <w:rsid w:val="362D1DA6"/>
    <w:rsid w:val="362D74EB"/>
    <w:rsid w:val="363024ED"/>
    <w:rsid w:val="364631D7"/>
    <w:rsid w:val="36723E5B"/>
    <w:rsid w:val="36794C6B"/>
    <w:rsid w:val="367D0F7F"/>
    <w:rsid w:val="367F3A2E"/>
    <w:rsid w:val="36814F8A"/>
    <w:rsid w:val="3688292B"/>
    <w:rsid w:val="36890EF7"/>
    <w:rsid w:val="368928C2"/>
    <w:rsid w:val="36BE4437"/>
    <w:rsid w:val="36BF4619"/>
    <w:rsid w:val="36C3584F"/>
    <w:rsid w:val="36C86BF9"/>
    <w:rsid w:val="36DB257F"/>
    <w:rsid w:val="36E03CD3"/>
    <w:rsid w:val="36E0506A"/>
    <w:rsid w:val="36E55870"/>
    <w:rsid w:val="36F34D9D"/>
    <w:rsid w:val="36FA3F13"/>
    <w:rsid w:val="370944C7"/>
    <w:rsid w:val="371F2036"/>
    <w:rsid w:val="37240AF6"/>
    <w:rsid w:val="374D1701"/>
    <w:rsid w:val="375B6DF0"/>
    <w:rsid w:val="3760434E"/>
    <w:rsid w:val="37623CD1"/>
    <w:rsid w:val="37677539"/>
    <w:rsid w:val="37751C56"/>
    <w:rsid w:val="37850378"/>
    <w:rsid w:val="37A261F6"/>
    <w:rsid w:val="37A97B52"/>
    <w:rsid w:val="37B07EDB"/>
    <w:rsid w:val="37CE30E0"/>
    <w:rsid w:val="37D51F88"/>
    <w:rsid w:val="37DA6457"/>
    <w:rsid w:val="3803406C"/>
    <w:rsid w:val="38065969"/>
    <w:rsid w:val="380A05F1"/>
    <w:rsid w:val="380E11B5"/>
    <w:rsid w:val="38131527"/>
    <w:rsid w:val="381812CA"/>
    <w:rsid w:val="381F3F5A"/>
    <w:rsid w:val="38224438"/>
    <w:rsid w:val="384C6E5B"/>
    <w:rsid w:val="385009BF"/>
    <w:rsid w:val="385578DD"/>
    <w:rsid w:val="38635F53"/>
    <w:rsid w:val="38685317"/>
    <w:rsid w:val="38763C7D"/>
    <w:rsid w:val="387A727B"/>
    <w:rsid w:val="389E4A58"/>
    <w:rsid w:val="38CA6DC7"/>
    <w:rsid w:val="38E01351"/>
    <w:rsid w:val="38F00B77"/>
    <w:rsid w:val="38FD10FD"/>
    <w:rsid w:val="39094D4C"/>
    <w:rsid w:val="390B0C5E"/>
    <w:rsid w:val="392845DC"/>
    <w:rsid w:val="3935183B"/>
    <w:rsid w:val="39363667"/>
    <w:rsid w:val="39477622"/>
    <w:rsid w:val="39684950"/>
    <w:rsid w:val="397877DC"/>
    <w:rsid w:val="397D016A"/>
    <w:rsid w:val="39A34800"/>
    <w:rsid w:val="39A700C1"/>
    <w:rsid w:val="39B27192"/>
    <w:rsid w:val="39B57C6A"/>
    <w:rsid w:val="39D4535A"/>
    <w:rsid w:val="39DF350D"/>
    <w:rsid w:val="39DF4443"/>
    <w:rsid w:val="3A025137"/>
    <w:rsid w:val="3A0A0D7C"/>
    <w:rsid w:val="3A0D3672"/>
    <w:rsid w:val="3A1A0893"/>
    <w:rsid w:val="3A233BEC"/>
    <w:rsid w:val="3A296D28"/>
    <w:rsid w:val="3A2F02C2"/>
    <w:rsid w:val="3A424747"/>
    <w:rsid w:val="3A663052"/>
    <w:rsid w:val="3A8A55B7"/>
    <w:rsid w:val="3A940645"/>
    <w:rsid w:val="3A993EAE"/>
    <w:rsid w:val="3A9A3BB8"/>
    <w:rsid w:val="3AA7586D"/>
    <w:rsid w:val="3AA77E3B"/>
    <w:rsid w:val="3AB03A41"/>
    <w:rsid w:val="3AB807D8"/>
    <w:rsid w:val="3AC86541"/>
    <w:rsid w:val="3AEC222F"/>
    <w:rsid w:val="3AED5FA8"/>
    <w:rsid w:val="3AFB06C4"/>
    <w:rsid w:val="3B170A8B"/>
    <w:rsid w:val="3B1F29B6"/>
    <w:rsid w:val="3B21295E"/>
    <w:rsid w:val="3B21356E"/>
    <w:rsid w:val="3B26412F"/>
    <w:rsid w:val="3B29771E"/>
    <w:rsid w:val="3B443718"/>
    <w:rsid w:val="3B514D07"/>
    <w:rsid w:val="3B546F86"/>
    <w:rsid w:val="3B66707F"/>
    <w:rsid w:val="3B675D5A"/>
    <w:rsid w:val="3B6E70E8"/>
    <w:rsid w:val="3B8C30C5"/>
    <w:rsid w:val="3B9D7195"/>
    <w:rsid w:val="3BA71F2B"/>
    <w:rsid w:val="3BBA0580"/>
    <w:rsid w:val="3BC82C9D"/>
    <w:rsid w:val="3BD86C58"/>
    <w:rsid w:val="3BE5633B"/>
    <w:rsid w:val="3C234450"/>
    <w:rsid w:val="3C35566D"/>
    <w:rsid w:val="3C3E4D0D"/>
    <w:rsid w:val="3C4C52AA"/>
    <w:rsid w:val="3C534C5F"/>
    <w:rsid w:val="3C5A766D"/>
    <w:rsid w:val="3C633344"/>
    <w:rsid w:val="3C850B8E"/>
    <w:rsid w:val="3C8666B4"/>
    <w:rsid w:val="3C9C5660"/>
    <w:rsid w:val="3CB054DF"/>
    <w:rsid w:val="3CB66F99"/>
    <w:rsid w:val="3CC32C7B"/>
    <w:rsid w:val="3CE13509"/>
    <w:rsid w:val="3CE80633"/>
    <w:rsid w:val="3CF4186F"/>
    <w:rsid w:val="3D060D95"/>
    <w:rsid w:val="3D070B02"/>
    <w:rsid w:val="3D0A4BEF"/>
    <w:rsid w:val="3D246484"/>
    <w:rsid w:val="3D284769"/>
    <w:rsid w:val="3D351CC5"/>
    <w:rsid w:val="3D604F23"/>
    <w:rsid w:val="3D830197"/>
    <w:rsid w:val="3D9E13E7"/>
    <w:rsid w:val="3DBA6D6D"/>
    <w:rsid w:val="3DE87025"/>
    <w:rsid w:val="3E1B3350"/>
    <w:rsid w:val="3E375EB7"/>
    <w:rsid w:val="3E40308D"/>
    <w:rsid w:val="3E4E3201"/>
    <w:rsid w:val="3E521C7E"/>
    <w:rsid w:val="3E6440D8"/>
    <w:rsid w:val="3E6842C3"/>
    <w:rsid w:val="3E6C3B87"/>
    <w:rsid w:val="3E70009E"/>
    <w:rsid w:val="3E925A00"/>
    <w:rsid w:val="3E9B4320"/>
    <w:rsid w:val="3EAD7D52"/>
    <w:rsid w:val="3EBA2645"/>
    <w:rsid w:val="3EC23235"/>
    <w:rsid w:val="3EDA6843"/>
    <w:rsid w:val="3EE002FD"/>
    <w:rsid w:val="3EE576C2"/>
    <w:rsid w:val="3EF83BC6"/>
    <w:rsid w:val="3F0A65FB"/>
    <w:rsid w:val="3F19380F"/>
    <w:rsid w:val="3F367F1D"/>
    <w:rsid w:val="3F42102A"/>
    <w:rsid w:val="3F44707B"/>
    <w:rsid w:val="3F466A04"/>
    <w:rsid w:val="3F583226"/>
    <w:rsid w:val="3F5B255F"/>
    <w:rsid w:val="3F6F020C"/>
    <w:rsid w:val="3F6F1E30"/>
    <w:rsid w:val="3F811C79"/>
    <w:rsid w:val="3F8213B4"/>
    <w:rsid w:val="3FB72902"/>
    <w:rsid w:val="3FBD07BB"/>
    <w:rsid w:val="3FBF1963"/>
    <w:rsid w:val="3FC73481"/>
    <w:rsid w:val="3FCD6D20"/>
    <w:rsid w:val="3FD140EA"/>
    <w:rsid w:val="3FE2338C"/>
    <w:rsid w:val="3FEA0D08"/>
    <w:rsid w:val="40041DC9"/>
    <w:rsid w:val="402204A1"/>
    <w:rsid w:val="40295CD4"/>
    <w:rsid w:val="402A7AD7"/>
    <w:rsid w:val="402E6E46"/>
    <w:rsid w:val="40385F17"/>
    <w:rsid w:val="404843AC"/>
    <w:rsid w:val="404B17A6"/>
    <w:rsid w:val="404C06D0"/>
    <w:rsid w:val="40550877"/>
    <w:rsid w:val="407B298D"/>
    <w:rsid w:val="407D392A"/>
    <w:rsid w:val="408E5B37"/>
    <w:rsid w:val="40B07FE2"/>
    <w:rsid w:val="40C33A32"/>
    <w:rsid w:val="40D85DC6"/>
    <w:rsid w:val="40DC5A18"/>
    <w:rsid w:val="40EB41E2"/>
    <w:rsid w:val="4107163F"/>
    <w:rsid w:val="41287EB0"/>
    <w:rsid w:val="4130523C"/>
    <w:rsid w:val="41410D52"/>
    <w:rsid w:val="415305A0"/>
    <w:rsid w:val="415D0B63"/>
    <w:rsid w:val="417B430D"/>
    <w:rsid w:val="4183060E"/>
    <w:rsid w:val="41863429"/>
    <w:rsid w:val="419C01AC"/>
    <w:rsid w:val="41B63F37"/>
    <w:rsid w:val="41CA0DF1"/>
    <w:rsid w:val="41D41C6F"/>
    <w:rsid w:val="41E466BF"/>
    <w:rsid w:val="41F4275B"/>
    <w:rsid w:val="41F83BB0"/>
    <w:rsid w:val="42083B1B"/>
    <w:rsid w:val="42135E48"/>
    <w:rsid w:val="4219676F"/>
    <w:rsid w:val="422F6C35"/>
    <w:rsid w:val="424B0015"/>
    <w:rsid w:val="424B1F31"/>
    <w:rsid w:val="424F13FD"/>
    <w:rsid w:val="426C2E0F"/>
    <w:rsid w:val="427E1C03"/>
    <w:rsid w:val="428503E1"/>
    <w:rsid w:val="42883D00"/>
    <w:rsid w:val="42905120"/>
    <w:rsid w:val="42A31D6D"/>
    <w:rsid w:val="42A63FA8"/>
    <w:rsid w:val="42AE0712"/>
    <w:rsid w:val="42BC0B52"/>
    <w:rsid w:val="42D40179"/>
    <w:rsid w:val="42DF6B1E"/>
    <w:rsid w:val="42E17F30"/>
    <w:rsid w:val="42E6560B"/>
    <w:rsid w:val="431B7F62"/>
    <w:rsid w:val="431C1370"/>
    <w:rsid w:val="43466114"/>
    <w:rsid w:val="43B50E83"/>
    <w:rsid w:val="43C81AF8"/>
    <w:rsid w:val="43C90DD9"/>
    <w:rsid w:val="43E91A02"/>
    <w:rsid w:val="43E92C79"/>
    <w:rsid w:val="43EA39CC"/>
    <w:rsid w:val="43FF1225"/>
    <w:rsid w:val="440C56F0"/>
    <w:rsid w:val="44110F59"/>
    <w:rsid w:val="444956C4"/>
    <w:rsid w:val="444B0684"/>
    <w:rsid w:val="447A6AFE"/>
    <w:rsid w:val="4482063F"/>
    <w:rsid w:val="448D4A83"/>
    <w:rsid w:val="449A4DBA"/>
    <w:rsid w:val="44A27BED"/>
    <w:rsid w:val="44A82F18"/>
    <w:rsid w:val="44B54C41"/>
    <w:rsid w:val="44C45FCB"/>
    <w:rsid w:val="44C77AAC"/>
    <w:rsid w:val="45010B60"/>
    <w:rsid w:val="451B66C7"/>
    <w:rsid w:val="45336CAD"/>
    <w:rsid w:val="456A3625"/>
    <w:rsid w:val="456C22D6"/>
    <w:rsid w:val="459D251C"/>
    <w:rsid w:val="45A81449"/>
    <w:rsid w:val="45AB2395"/>
    <w:rsid w:val="45B147A1"/>
    <w:rsid w:val="45BD1D0A"/>
    <w:rsid w:val="45DA7613"/>
    <w:rsid w:val="45EC0586"/>
    <w:rsid w:val="45F75F2C"/>
    <w:rsid w:val="460320FD"/>
    <w:rsid w:val="461B495A"/>
    <w:rsid w:val="462705C0"/>
    <w:rsid w:val="462753A7"/>
    <w:rsid w:val="462C5106"/>
    <w:rsid w:val="4687710A"/>
    <w:rsid w:val="46902609"/>
    <w:rsid w:val="46925971"/>
    <w:rsid w:val="46A63BDA"/>
    <w:rsid w:val="46B435BF"/>
    <w:rsid w:val="46CA0388"/>
    <w:rsid w:val="46E22723"/>
    <w:rsid w:val="46EE732F"/>
    <w:rsid w:val="46F661E4"/>
    <w:rsid w:val="472B0583"/>
    <w:rsid w:val="474965C8"/>
    <w:rsid w:val="475573AE"/>
    <w:rsid w:val="475612F0"/>
    <w:rsid w:val="47655843"/>
    <w:rsid w:val="476F0470"/>
    <w:rsid w:val="478101A3"/>
    <w:rsid w:val="47B656EC"/>
    <w:rsid w:val="47BE6D02"/>
    <w:rsid w:val="47C167F2"/>
    <w:rsid w:val="47D13163"/>
    <w:rsid w:val="48096DEF"/>
    <w:rsid w:val="482A4397"/>
    <w:rsid w:val="483671E0"/>
    <w:rsid w:val="487A4E7B"/>
    <w:rsid w:val="48AB4846"/>
    <w:rsid w:val="48C742DC"/>
    <w:rsid w:val="48E21116"/>
    <w:rsid w:val="48EC035B"/>
    <w:rsid w:val="490715C7"/>
    <w:rsid w:val="49172B6D"/>
    <w:rsid w:val="491A4CCA"/>
    <w:rsid w:val="492B6185"/>
    <w:rsid w:val="492E0DFE"/>
    <w:rsid w:val="49313AF9"/>
    <w:rsid w:val="4931445C"/>
    <w:rsid w:val="4933371F"/>
    <w:rsid w:val="493354CD"/>
    <w:rsid w:val="494F6F18"/>
    <w:rsid w:val="49514A8C"/>
    <w:rsid w:val="49900B72"/>
    <w:rsid w:val="49A11F60"/>
    <w:rsid w:val="49C64593"/>
    <w:rsid w:val="49D131AD"/>
    <w:rsid w:val="49E3752F"/>
    <w:rsid w:val="49ED1B20"/>
    <w:rsid w:val="49F15899"/>
    <w:rsid w:val="49F904C5"/>
    <w:rsid w:val="4A010F2E"/>
    <w:rsid w:val="4A070C69"/>
    <w:rsid w:val="4A070E34"/>
    <w:rsid w:val="4A1A5044"/>
    <w:rsid w:val="4A1F290D"/>
    <w:rsid w:val="4A224AAB"/>
    <w:rsid w:val="4A3E05CE"/>
    <w:rsid w:val="4A4143F0"/>
    <w:rsid w:val="4A49663C"/>
    <w:rsid w:val="4A564413"/>
    <w:rsid w:val="4A6242BC"/>
    <w:rsid w:val="4A6E6B4C"/>
    <w:rsid w:val="4A746C3D"/>
    <w:rsid w:val="4A977611"/>
    <w:rsid w:val="4A9F72BE"/>
    <w:rsid w:val="4AC578F8"/>
    <w:rsid w:val="4ACF1226"/>
    <w:rsid w:val="4AE922E8"/>
    <w:rsid w:val="4B0B4954"/>
    <w:rsid w:val="4B1E3B2B"/>
    <w:rsid w:val="4B3762FD"/>
    <w:rsid w:val="4B3E33A3"/>
    <w:rsid w:val="4B4E2A92"/>
    <w:rsid w:val="4B641F01"/>
    <w:rsid w:val="4B66647D"/>
    <w:rsid w:val="4B6934EB"/>
    <w:rsid w:val="4B83098E"/>
    <w:rsid w:val="4B8D5369"/>
    <w:rsid w:val="4B920BD1"/>
    <w:rsid w:val="4B9366F7"/>
    <w:rsid w:val="4BB01057"/>
    <w:rsid w:val="4BBB3648"/>
    <w:rsid w:val="4BBE35AB"/>
    <w:rsid w:val="4BC8467F"/>
    <w:rsid w:val="4BDB53AB"/>
    <w:rsid w:val="4BE17463"/>
    <w:rsid w:val="4BE42812"/>
    <w:rsid w:val="4C0513A3"/>
    <w:rsid w:val="4C0D2006"/>
    <w:rsid w:val="4C2D3F8D"/>
    <w:rsid w:val="4C3D1DB0"/>
    <w:rsid w:val="4C4B5102"/>
    <w:rsid w:val="4C7402D7"/>
    <w:rsid w:val="4C8D3147"/>
    <w:rsid w:val="4C9D62BC"/>
    <w:rsid w:val="4CCE2A6C"/>
    <w:rsid w:val="4CCF375F"/>
    <w:rsid w:val="4CDD69E7"/>
    <w:rsid w:val="4CE54D31"/>
    <w:rsid w:val="4CFB049C"/>
    <w:rsid w:val="4CFE53E3"/>
    <w:rsid w:val="4D001B6A"/>
    <w:rsid w:val="4D0244BA"/>
    <w:rsid w:val="4D06388C"/>
    <w:rsid w:val="4D1203EE"/>
    <w:rsid w:val="4D267823"/>
    <w:rsid w:val="4D332584"/>
    <w:rsid w:val="4D447CA9"/>
    <w:rsid w:val="4D587BF8"/>
    <w:rsid w:val="4D605A13"/>
    <w:rsid w:val="4D706CF0"/>
    <w:rsid w:val="4D823625"/>
    <w:rsid w:val="4D9D6E87"/>
    <w:rsid w:val="4DA44BEC"/>
    <w:rsid w:val="4DB43081"/>
    <w:rsid w:val="4DBB7F53"/>
    <w:rsid w:val="4DC27D1D"/>
    <w:rsid w:val="4DF36B3A"/>
    <w:rsid w:val="4DFD4457"/>
    <w:rsid w:val="4DFF0074"/>
    <w:rsid w:val="4E1378BD"/>
    <w:rsid w:val="4E1F24C4"/>
    <w:rsid w:val="4E217FEA"/>
    <w:rsid w:val="4E26606D"/>
    <w:rsid w:val="4E6468FC"/>
    <w:rsid w:val="4E6B5986"/>
    <w:rsid w:val="4E74636C"/>
    <w:rsid w:val="4E7D41AC"/>
    <w:rsid w:val="4E8924B7"/>
    <w:rsid w:val="4EA01857"/>
    <w:rsid w:val="4ECC11BA"/>
    <w:rsid w:val="4ED82D9F"/>
    <w:rsid w:val="4EE06A9C"/>
    <w:rsid w:val="4F0A4599"/>
    <w:rsid w:val="4F0E056F"/>
    <w:rsid w:val="4F10078B"/>
    <w:rsid w:val="4F177B13"/>
    <w:rsid w:val="4F1B4F8F"/>
    <w:rsid w:val="4F3C03F9"/>
    <w:rsid w:val="4F581B68"/>
    <w:rsid w:val="4F5F72FE"/>
    <w:rsid w:val="4F881248"/>
    <w:rsid w:val="4F9662AF"/>
    <w:rsid w:val="4F9F1B0F"/>
    <w:rsid w:val="4FA233AD"/>
    <w:rsid w:val="4FA56173"/>
    <w:rsid w:val="4FAC487A"/>
    <w:rsid w:val="4FCB2904"/>
    <w:rsid w:val="4FD35314"/>
    <w:rsid w:val="4FE17411"/>
    <w:rsid w:val="4FE63648"/>
    <w:rsid w:val="4FF00044"/>
    <w:rsid w:val="4FF954B0"/>
    <w:rsid w:val="500D043B"/>
    <w:rsid w:val="50100316"/>
    <w:rsid w:val="501036E9"/>
    <w:rsid w:val="503B1837"/>
    <w:rsid w:val="503B1D58"/>
    <w:rsid w:val="504F7091"/>
    <w:rsid w:val="505E7C6E"/>
    <w:rsid w:val="507B48E7"/>
    <w:rsid w:val="50C730CB"/>
    <w:rsid w:val="50DC2C87"/>
    <w:rsid w:val="5105515C"/>
    <w:rsid w:val="512A47D7"/>
    <w:rsid w:val="51477D68"/>
    <w:rsid w:val="514C7451"/>
    <w:rsid w:val="515D7E0E"/>
    <w:rsid w:val="51964EBE"/>
    <w:rsid w:val="51A60F32"/>
    <w:rsid w:val="51AE2032"/>
    <w:rsid w:val="51B64EEE"/>
    <w:rsid w:val="51C07B1A"/>
    <w:rsid w:val="51D1067B"/>
    <w:rsid w:val="51D265D1"/>
    <w:rsid w:val="51DD7ACF"/>
    <w:rsid w:val="51E33768"/>
    <w:rsid w:val="51FA74D0"/>
    <w:rsid w:val="520E4B0A"/>
    <w:rsid w:val="5219190D"/>
    <w:rsid w:val="52302EF2"/>
    <w:rsid w:val="525C1421"/>
    <w:rsid w:val="526D37B4"/>
    <w:rsid w:val="52706F89"/>
    <w:rsid w:val="52733D14"/>
    <w:rsid w:val="528B5F99"/>
    <w:rsid w:val="52997135"/>
    <w:rsid w:val="52D90E94"/>
    <w:rsid w:val="52F368EA"/>
    <w:rsid w:val="530A48A5"/>
    <w:rsid w:val="530E1E69"/>
    <w:rsid w:val="5314221C"/>
    <w:rsid w:val="531A10F3"/>
    <w:rsid w:val="532B485B"/>
    <w:rsid w:val="533F3B89"/>
    <w:rsid w:val="53624CAE"/>
    <w:rsid w:val="5372356F"/>
    <w:rsid w:val="538F59F6"/>
    <w:rsid w:val="539D6365"/>
    <w:rsid w:val="53A7107A"/>
    <w:rsid w:val="53B92582"/>
    <w:rsid w:val="53CE7CE3"/>
    <w:rsid w:val="53DF5D8C"/>
    <w:rsid w:val="54106B37"/>
    <w:rsid w:val="54196C13"/>
    <w:rsid w:val="542C6808"/>
    <w:rsid w:val="54615848"/>
    <w:rsid w:val="546926EB"/>
    <w:rsid w:val="54770964"/>
    <w:rsid w:val="547C41CC"/>
    <w:rsid w:val="5490291E"/>
    <w:rsid w:val="54945034"/>
    <w:rsid w:val="54BD29C9"/>
    <w:rsid w:val="54D47C10"/>
    <w:rsid w:val="54E5699F"/>
    <w:rsid w:val="54F06565"/>
    <w:rsid w:val="550D751A"/>
    <w:rsid w:val="552A3C28"/>
    <w:rsid w:val="55461CD0"/>
    <w:rsid w:val="55562C6F"/>
    <w:rsid w:val="55656CD1"/>
    <w:rsid w:val="55805F3E"/>
    <w:rsid w:val="5596730D"/>
    <w:rsid w:val="559A0800"/>
    <w:rsid w:val="55A559A5"/>
    <w:rsid w:val="55B67B46"/>
    <w:rsid w:val="55B856D8"/>
    <w:rsid w:val="55BD2CEE"/>
    <w:rsid w:val="55EF09CE"/>
    <w:rsid w:val="56163164"/>
    <w:rsid w:val="562C4293"/>
    <w:rsid w:val="563D798B"/>
    <w:rsid w:val="5661367A"/>
    <w:rsid w:val="5667544F"/>
    <w:rsid w:val="56693587"/>
    <w:rsid w:val="567012E7"/>
    <w:rsid w:val="567E25C8"/>
    <w:rsid w:val="567E3C5D"/>
    <w:rsid w:val="56876E58"/>
    <w:rsid w:val="56B37004"/>
    <w:rsid w:val="56B91ADC"/>
    <w:rsid w:val="56C65BD3"/>
    <w:rsid w:val="56C836F9"/>
    <w:rsid w:val="56E6127C"/>
    <w:rsid w:val="56F269C8"/>
    <w:rsid w:val="56F72230"/>
    <w:rsid w:val="57000FE4"/>
    <w:rsid w:val="571B04AD"/>
    <w:rsid w:val="571C1C97"/>
    <w:rsid w:val="572C012C"/>
    <w:rsid w:val="57392849"/>
    <w:rsid w:val="576A47B0"/>
    <w:rsid w:val="576E2B19"/>
    <w:rsid w:val="57712738"/>
    <w:rsid w:val="578E3178"/>
    <w:rsid w:val="579217C2"/>
    <w:rsid w:val="579B34A4"/>
    <w:rsid w:val="57AF2B0B"/>
    <w:rsid w:val="57B8376D"/>
    <w:rsid w:val="57C739B1"/>
    <w:rsid w:val="57D67B69"/>
    <w:rsid w:val="57F75816"/>
    <w:rsid w:val="580659AE"/>
    <w:rsid w:val="582818A8"/>
    <w:rsid w:val="5836719B"/>
    <w:rsid w:val="58690EEA"/>
    <w:rsid w:val="586D09FC"/>
    <w:rsid w:val="587635A8"/>
    <w:rsid w:val="58906498"/>
    <w:rsid w:val="58944F60"/>
    <w:rsid w:val="589477E8"/>
    <w:rsid w:val="589C308F"/>
    <w:rsid w:val="58A36F2D"/>
    <w:rsid w:val="58A42951"/>
    <w:rsid w:val="58BC0970"/>
    <w:rsid w:val="58FF0BEA"/>
    <w:rsid w:val="592B73FA"/>
    <w:rsid w:val="59367EC7"/>
    <w:rsid w:val="59396B30"/>
    <w:rsid w:val="59633BAD"/>
    <w:rsid w:val="59914276"/>
    <w:rsid w:val="59CC52AE"/>
    <w:rsid w:val="59F42A57"/>
    <w:rsid w:val="59FB128F"/>
    <w:rsid w:val="5A0B7CD0"/>
    <w:rsid w:val="5A137381"/>
    <w:rsid w:val="5A146C55"/>
    <w:rsid w:val="5A160C1F"/>
    <w:rsid w:val="5A266FC0"/>
    <w:rsid w:val="5A455D9B"/>
    <w:rsid w:val="5A4661C9"/>
    <w:rsid w:val="5A517EA9"/>
    <w:rsid w:val="5A5F25C6"/>
    <w:rsid w:val="5A7F0572"/>
    <w:rsid w:val="5A8E6A07"/>
    <w:rsid w:val="5AA02792"/>
    <w:rsid w:val="5AA63D51"/>
    <w:rsid w:val="5AA72721"/>
    <w:rsid w:val="5AB91E1C"/>
    <w:rsid w:val="5ABD684B"/>
    <w:rsid w:val="5AE60011"/>
    <w:rsid w:val="5B00588A"/>
    <w:rsid w:val="5B1E422F"/>
    <w:rsid w:val="5B37709F"/>
    <w:rsid w:val="5B4E737A"/>
    <w:rsid w:val="5B57329D"/>
    <w:rsid w:val="5B6F05E7"/>
    <w:rsid w:val="5BA109BC"/>
    <w:rsid w:val="5BB0235D"/>
    <w:rsid w:val="5BD112A2"/>
    <w:rsid w:val="5BE12FA3"/>
    <w:rsid w:val="5BE37C7D"/>
    <w:rsid w:val="5BF46D3E"/>
    <w:rsid w:val="5BFE5D5C"/>
    <w:rsid w:val="5C021642"/>
    <w:rsid w:val="5C07081F"/>
    <w:rsid w:val="5C142F3C"/>
    <w:rsid w:val="5C4952DC"/>
    <w:rsid w:val="5C4D6613"/>
    <w:rsid w:val="5C5869C6"/>
    <w:rsid w:val="5C7560D1"/>
    <w:rsid w:val="5C8C58F3"/>
    <w:rsid w:val="5C917C8F"/>
    <w:rsid w:val="5C936557"/>
    <w:rsid w:val="5C961BA3"/>
    <w:rsid w:val="5CA97B29"/>
    <w:rsid w:val="5CB12E81"/>
    <w:rsid w:val="5CD03307"/>
    <w:rsid w:val="5CD65032"/>
    <w:rsid w:val="5CE4114B"/>
    <w:rsid w:val="5CFD63D8"/>
    <w:rsid w:val="5D123920"/>
    <w:rsid w:val="5D4B5084"/>
    <w:rsid w:val="5D52369F"/>
    <w:rsid w:val="5D594773"/>
    <w:rsid w:val="5D656145"/>
    <w:rsid w:val="5D6A0E6B"/>
    <w:rsid w:val="5D7E0FB5"/>
    <w:rsid w:val="5D8866EC"/>
    <w:rsid w:val="5D8B3BCC"/>
    <w:rsid w:val="5D967CCA"/>
    <w:rsid w:val="5D9B2DBB"/>
    <w:rsid w:val="5D9B33D3"/>
    <w:rsid w:val="5D9F631C"/>
    <w:rsid w:val="5DA455F8"/>
    <w:rsid w:val="5DAD3649"/>
    <w:rsid w:val="5DAE1741"/>
    <w:rsid w:val="5DAF116F"/>
    <w:rsid w:val="5DD706C5"/>
    <w:rsid w:val="5DF41CCC"/>
    <w:rsid w:val="5DF82DA6"/>
    <w:rsid w:val="5E027CB9"/>
    <w:rsid w:val="5E36363E"/>
    <w:rsid w:val="5E3E0B9A"/>
    <w:rsid w:val="5E766130"/>
    <w:rsid w:val="5E7879AF"/>
    <w:rsid w:val="5E7F4FE5"/>
    <w:rsid w:val="5EA61D2A"/>
    <w:rsid w:val="5EB149B2"/>
    <w:rsid w:val="5EB629D1"/>
    <w:rsid w:val="5EBF421E"/>
    <w:rsid w:val="5EE17A4E"/>
    <w:rsid w:val="5EE44E48"/>
    <w:rsid w:val="5F296CFF"/>
    <w:rsid w:val="5F5F0BA2"/>
    <w:rsid w:val="5F932D18"/>
    <w:rsid w:val="5F9C3975"/>
    <w:rsid w:val="5FA75E4E"/>
    <w:rsid w:val="5FE73417"/>
    <w:rsid w:val="5FF46C74"/>
    <w:rsid w:val="5FF612D7"/>
    <w:rsid w:val="5FFD2F34"/>
    <w:rsid w:val="60011A2A"/>
    <w:rsid w:val="60053354"/>
    <w:rsid w:val="6005776C"/>
    <w:rsid w:val="600A6B30"/>
    <w:rsid w:val="600E5712"/>
    <w:rsid w:val="600F2399"/>
    <w:rsid w:val="60177E49"/>
    <w:rsid w:val="60206354"/>
    <w:rsid w:val="603363B5"/>
    <w:rsid w:val="603B4AC8"/>
    <w:rsid w:val="60557B42"/>
    <w:rsid w:val="605B6755"/>
    <w:rsid w:val="6084125B"/>
    <w:rsid w:val="608F64D8"/>
    <w:rsid w:val="60905708"/>
    <w:rsid w:val="60974DF7"/>
    <w:rsid w:val="609A6F80"/>
    <w:rsid w:val="609D5E6D"/>
    <w:rsid w:val="609F3CFC"/>
    <w:rsid w:val="60B07765"/>
    <w:rsid w:val="60B371C8"/>
    <w:rsid w:val="60C31F53"/>
    <w:rsid w:val="60E07EDA"/>
    <w:rsid w:val="60F8107F"/>
    <w:rsid w:val="612C0D28"/>
    <w:rsid w:val="613100ED"/>
    <w:rsid w:val="61483DB4"/>
    <w:rsid w:val="6183303E"/>
    <w:rsid w:val="61891CD7"/>
    <w:rsid w:val="618E78FE"/>
    <w:rsid w:val="61A92846"/>
    <w:rsid w:val="61AB4343"/>
    <w:rsid w:val="61B76844"/>
    <w:rsid w:val="61D90AF5"/>
    <w:rsid w:val="61E823CE"/>
    <w:rsid w:val="621A4CCD"/>
    <w:rsid w:val="62297FF7"/>
    <w:rsid w:val="626562A0"/>
    <w:rsid w:val="626A1B08"/>
    <w:rsid w:val="62716746"/>
    <w:rsid w:val="62761B04"/>
    <w:rsid w:val="627F5422"/>
    <w:rsid w:val="62837F66"/>
    <w:rsid w:val="62881996"/>
    <w:rsid w:val="628A03FC"/>
    <w:rsid w:val="628D6B15"/>
    <w:rsid w:val="62922E0D"/>
    <w:rsid w:val="62B13874"/>
    <w:rsid w:val="62B77369"/>
    <w:rsid w:val="62C57A58"/>
    <w:rsid w:val="62CF7BBD"/>
    <w:rsid w:val="62D943E0"/>
    <w:rsid w:val="62F647CF"/>
    <w:rsid w:val="63090C71"/>
    <w:rsid w:val="632717A7"/>
    <w:rsid w:val="63424833"/>
    <w:rsid w:val="63593E39"/>
    <w:rsid w:val="635A1B7D"/>
    <w:rsid w:val="63641ACC"/>
    <w:rsid w:val="63672753"/>
    <w:rsid w:val="636E73D6"/>
    <w:rsid w:val="6372336A"/>
    <w:rsid w:val="637706CF"/>
    <w:rsid w:val="637C5F97"/>
    <w:rsid w:val="638C3D00"/>
    <w:rsid w:val="638E0D2F"/>
    <w:rsid w:val="639B3C1A"/>
    <w:rsid w:val="63A16BF8"/>
    <w:rsid w:val="63A728E8"/>
    <w:rsid w:val="63AD0583"/>
    <w:rsid w:val="63D63F7C"/>
    <w:rsid w:val="63EA23E4"/>
    <w:rsid w:val="640209C4"/>
    <w:rsid w:val="6408257F"/>
    <w:rsid w:val="64524F4A"/>
    <w:rsid w:val="64632CB3"/>
    <w:rsid w:val="64682077"/>
    <w:rsid w:val="64786EB7"/>
    <w:rsid w:val="64A010A4"/>
    <w:rsid w:val="64B41760"/>
    <w:rsid w:val="64CC6DC6"/>
    <w:rsid w:val="64D651F4"/>
    <w:rsid w:val="650A312E"/>
    <w:rsid w:val="650C334B"/>
    <w:rsid w:val="65297A59"/>
    <w:rsid w:val="652C12F7"/>
    <w:rsid w:val="653B5B23"/>
    <w:rsid w:val="654D23C7"/>
    <w:rsid w:val="656C331A"/>
    <w:rsid w:val="657F58CB"/>
    <w:rsid w:val="65940840"/>
    <w:rsid w:val="65962C14"/>
    <w:rsid w:val="659C513F"/>
    <w:rsid w:val="65A215B9"/>
    <w:rsid w:val="65AF2B5F"/>
    <w:rsid w:val="65B141D8"/>
    <w:rsid w:val="65B5753E"/>
    <w:rsid w:val="65D95CF7"/>
    <w:rsid w:val="65E62E7A"/>
    <w:rsid w:val="661A3845"/>
    <w:rsid w:val="66317885"/>
    <w:rsid w:val="66432D9C"/>
    <w:rsid w:val="6651045E"/>
    <w:rsid w:val="66581B5A"/>
    <w:rsid w:val="665E3732"/>
    <w:rsid w:val="66602206"/>
    <w:rsid w:val="66684A71"/>
    <w:rsid w:val="66827F9D"/>
    <w:rsid w:val="66925960"/>
    <w:rsid w:val="6692787F"/>
    <w:rsid w:val="66BE29DC"/>
    <w:rsid w:val="66C72023"/>
    <w:rsid w:val="66EC7F6C"/>
    <w:rsid w:val="66F2338B"/>
    <w:rsid w:val="67000C8D"/>
    <w:rsid w:val="670F0739"/>
    <w:rsid w:val="67191D4F"/>
    <w:rsid w:val="67402739"/>
    <w:rsid w:val="67BB5990"/>
    <w:rsid w:val="67BC2052"/>
    <w:rsid w:val="67CC0761"/>
    <w:rsid w:val="67DA7730"/>
    <w:rsid w:val="67E91721"/>
    <w:rsid w:val="67F105D6"/>
    <w:rsid w:val="680E73DA"/>
    <w:rsid w:val="68131929"/>
    <w:rsid w:val="681A3036"/>
    <w:rsid w:val="68294213"/>
    <w:rsid w:val="68434F6E"/>
    <w:rsid w:val="685E6FFF"/>
    <w:rsid w:val="689F1E59"/>
    <w:rsid w:val="68B50EF2"/>
    <w:rsid w:val="68BC318F"/>
    <w:rsid w:val="68C1269E"/>
    <w:rsid w:val="68DB72BC"/>
    <w:rsid w:val="68F13272"/>
    <w:rsid w:val="69012A9A"/>
    <w:rsid w:val="690A5DF3"/>
    <w:rsid w:val="690F6F65"/>
    <w:rsid w:val="691E27F7"/>
    <w:rsid w:val="69513A22"/>
    <w:rsid w:val="6954706E"/>
    <w:rsid w:val="69683870"/>
    <w:rsid w:val="699110D7"/>
    <w:rsid w:val="69966E23"/>
    <w:rsid w:val="69A51678"/>
    <w:rsid w:val="69C631FE"/>
    <w:rsid w:val="69EC5DE8"/>
    <w:rsid w:val="69F452BC"/>
    <w:rsid w:val="69F85BB3"/>
    <w:rsid w:val="69FE067A"/>
    <w:rsid w:val="6A1C7FE3"/>
    <w:rsid w:val="6A210462"/>
    <w:rsid w:val="6A241D9D"/>
    <w:rsid w:val="6A264AC4"/>
    <w:rsid w:val="6A5E2055"/>
    <w:rsid w:val="6A6656CA"/>
    <w:rsid w:val="6A7259FE"/>
    <w:rsid w:val="6A8832BB"/>
    <w:rsid w:val="6A941E18"/>
    <w:rsid w:val="6A942593"/>
    <w:rsid w:val="6A9A6D03"/>
    <w:rsid w:val="6AAD178D"/>
    <w:rsid w:val="6AAE28D6"/>
    <w:rsid w:val="6AB73874"/>
    <w:rsid w:val="6AD23B02"/>
    <w:rsid w:val="6B036F9E"/>
    <w:rsid w:val="6B07083C"/>
    <w:rsid w:val="6B0D5727"/>
    <w:rsid w:val="6B1E7934"/>
    <w:rsid w:val="6B2506DA"/>
    <w:rsid w:val="6B4006E1"/>
    <w:rsid w:val="6B4E4875"/>
    <w:rsid w:val="6B4F76E8"/>
    <w:rsid w:val="6B533A81"/>
    <w:rsid w:val="6B60764E"/>
    <w:rsid w:val="6B7439F8"/>
    <w:rsid w:val="6B797260"/>
    <w:rsid w:val="6B7F02D9"/>
    <w:rsid w:val="6B863082"/>
    <w:rsid w:val="6BA14108"/>
    <w:rsid w:val="6BA9132D"/>
    <w:rsid w:val="6BD77E7F"/>
    <w:rsid w:val="6BEF307E"/>
    <w:rsid w:val="6BFF7765"/>
    <w:rsid w:val="6C031B05"/>
    <w:rsid w:val="6C0B610A"/>
    <w:rsid w:val="6C12075B"/>
    <w:rsid w:val="6C1568CB"/>
    <w:rsid w:val="6C33653A"/>
    <w:rsid w:val="6C353187"/>
    <w:rsid w:val="6C3D64DF"/>
    <w:rsid w:val="6C543D02"/>
    <w:rsid w:val="6C567ACE"/>
    <w:rsid w:val="6C5F620F"/>
    <w:rsid w:val="6C762F3B"/>
    <w:rsid w:val="6C7F7E49"/>
    <w:rsid w:val="6CBA4774"/>
    <w:rsid w:val="6CC649E7"/>
    <w:rsid w:val="6CE96FD8"/>
    <w:rsid w:val="6CF04AB8"/>
    <w:rsid w:val="6CF22E26"/>
    <w:rsid w:val="6D045452"/>
    <w:rsid w:val="6D27431E"/>
    <w:rsid w:val="6D390A55"/>
    <w:rsid w:val="6D593B65"/>
    <w:rsid w:val="6D68758C"/>
    <w:rsid w:val="6D714693"/>
    <w:rsid w:val="6D9B26DD"/>
    <w:rsid w:val="6DA76E11"/>
    <w:rsid w:val="6DB85010"/>
    <w:rsid w:val="6DBD3434"/>
    <w:rsid w:val="6DC2298A"/>
    <w:rsid w:val="6DC722FA"/>
    <w:rsid w:val="6DCB7A19"/>
    <w:rsid w:val="6DDA5CDD"/>
    <w:rsid w:val="6DDE7080"/>
    <w:rsid w:val="6DEF55B7"/>
    <w:rsid w:val="6DF57333"/>
    <w:rsid w:val="6E36739E"/>
    <w:rsid w:val="6E3A0F28"/>
    <w:rsid w:val="6E4C7CFD"/>
    <w:rsid w:val="6E533D98"/>
    <w:rsid w:val="6E595A09"/>
    <w:rsid w:val="6E5D0773"/>
    <w:rsid w:val="6E661C4B"/>
    <w:rsid w:val="6E661D1D"/>
    <w:rsid w:val="6E671166"/>
    <w:rsid w:val="6E7206C2"/>
    <w:rsid w:val="6E735ACE"/>
    <w:rsid w:val="6E737F96"/>
    <w:rsid w:val="6E8421A4"/>
    <w:rsid w:val="6E880160"/>
    <w:rsid w:val="6EA34522"/>
    <w:rsid w:val="6EAB7D8A"/>
    <w:rsid w:val="6EB55190"/>
    <w:rsid w:val="6EB570F1"/>
    <w:rsid w:val="6EB74327"/>
    <w:rsid w:val="6EB83BFB"/>
    <w:rsid w:val="6EC35962"/>
    <w:rsid w:val="6ED547AD"/>
    <w:rsid w:val="6EED534E"/>
    <w:rsid w:val="6EF02839"/>
    <w:rsid w:val="6EF54E4F"/>
    <w:rsid w:val="6F2362C6"/>
    <w:rsid w:val="6F4F27B2"/>
    <w:rsid w:val="6F5F71DE"/>
    <w:rsid w:val="6F752D2D"/>
    <w:rsid w:val="6F77163A"/>
    <w:rsid w:val="6F9F1350"/>
    <w:rsid w:val="6FC032FC"/>
    <w:rsid w:val="6FC37F56"/>
    <w:rsid w:val="6FC4095F"/>
    <w:rsid w:val="6FEC6FCE"/>
    <w:rsid w:val="6FFB1112"/>
    <w:rsid w:val="6FFD4727"/>
    <w:rsid w:val="70014F35"/>
    <w:rsid w:val="7016507D"/>
    <w:rsid w:val="701D48A4"/>
    <w:rsid w:val="70436E4A"/>
    <w:rsid w:val="704C4CCD"/>
    <w:rsid w:val="70553DF8"/>
    <w:rsid w:val="7056191E"/>
    <w:rsid w:val="70634214"/>
    <w:rsid w:val="70691651"/>
    <w:rsid w:val="707D1C40"/>
    <w:rsid w:val="7086127D"/>
    <w:rsid w:val="70C943AC"/>
    <w:rsid w:val="70CA7ABA"/>
    <w:rsid w:val="70CD1CC2"/>
    <w:rsid w:val="70D3508E"/>
    <w:rsid w:val="70E37655"/>
    <w:rsid w:val="70F45895"/>
    <w:rsid w:val="711D41EA"/>
    <w:rsid w:val="713B2DF3"/>
    <w:rsid w:val="7140159C"/>
    <w:rsid w:val="71456464"/>
    <w:rsid w:val="717958C4"/>
    <w:rsid w:val="71BE08CE"/>
    <w:rsid w:val="71C0203C"/>
    <w:rsid w:val="71C31235"/>
    <w:rsid w:val="71C60065"/>
    <w:rsid w:val="71DE7E1D"/>
    <w:rsid w:val="71E91A3A"/>
    <w:rsid w:val="71EF23D9"/>
    <w:rsid w:val="721E646B"/>
    <w:rsid w:val="722872EA"/>
    <w:rsid w:val="724A45D8"/>
    <w:rsid w:val="725F2166"/>
    <w:rsid w:val="72603664"/>
    <w:rsid w:val="72734A09"/>
    <w:rsid w:val="728313C6"/>
    <w:rsid w:val="72871FD2"/>
    <w:rsid w:val="72AA0928"/>
    <w:rsid w:val="72BE604A"/>
    <w:rsid w:val="72E476B5"/>
    <w:rsid w:val="732B0E40"/>
    <w:rsid w:val="732B52E4"/>
    <w:rsid w:val="732B7092"/>
    <w:rsid w:val="73597B32"/>
    <w:rsid w:val="7362231C"/>
    <w:rsid w:val="737A6252"/>
    <w:rsid w:val="73A409FB"/>
    <w:rsid w:val="73A66718"/>
    <w:rsid w:val="73A86934"/>
    <w:rsid w:val="73B452D9"/>
    <w:rsid w:val="73B726D3"/>
    <w:rsid w:val="73D239B1"/>
    <w:rsid w:val="73E07E7C"/>
    <w:rsid w:val="73F04040"/>
    <w:rsid w:val="7417659F"/>
    <w:rsid w:val="74177616"/>
    <w:rsid w:val="742F670E"/>
    <w:rsid w:val="743401C8"/>
    <w:rsid w:val="743628EE"/>
    <w:rsid w:val="7441037B"/>
    <w:rsid w:val="744228E5"/>
    <w:rsid w:val="745028BB"/>
    <w:rsid w:val="74696205"/>
    <w:rsid w:val="746A5D06"/>
    <w:rsid w:val="74730CF0"/>
    <w:rsid w:val="7476672A"/>
    <w:rsid w:val="748051BB"/>
    <w:rsid w:val="74825555"/>
    <w:rsid w:val="74890514"/>
    <w:rsid w:val="74E63EFB"/>
    <w:rsid w:val="74E95458"/>
    <w:rsid w:val="750453A7"/>
    <w:rsid w:val="750648B2"/>
    <w:rsid w:val="75181898"/>
    <w:rsid w:val="751D3132"/>
    <w:rsid w:val="754461E9"/>
    <w:rsid w:val="755F3023"/>
    <w:rsid w:val="757E138A"/>
    <w:rsid w:val="759C06B7"/>
    <w:rsid w:val="75B6546C"/>
    <w:rsid w:val="75CF1E94"/>
    <w:rsid w:val="75E002B5"/>
    <w:rsid w:val="75F221B0"/>
    <w:rsid w:val="76070349"/>
    <w:rsid w:val="76422F21"/>
    <w:rsid w:val="764A0D7B"/>
    <w:rsid w:val="764E578E"/>
    <w:rsid w:val="765471DB"/>
    <w:rsid w:val="76684159"/>
    <w:rsid w:val="766975F4"/>
    <w:rsid w:val="766B5D21"/>
    <w:rsid w:val="76724BEE"/>
    <w:rsid w:val="76724FD8"/>
    <w:rsid w:val="7678238A"/>
    <w:rsid w:val="767F5D82"/>
    <w:rsid w:val="76AE7BE8"/>
    <w:rsid w:val="76B03FC1"/>
    <w:rsid w:val="76B146A9"/>
    <w:rsid w:val="76B37127"/>
    <w:rsid w:val="76B54895"/>
    <w:rsid w:val="76BD07B0"/>
    <w:rsid w:val="76D14890"/>
    <w:rsid w:val="76DA096B"/>
    <w:rsid w:val="76E47C83"/>
    <w:rsid w:val="76EC4369"/>
    <w:rsid w:val="76F27A7F"/>
    <w:rsid w:val="77126131"/>
    <w:rsid w:val="771F0CBB"/>
    <w:rsid w:val="77281627"/>
    <w:rsid w:val="773C1CB6"/>
    <w:rsid w:val="775748F9"/>
    <w:rsid w:val="77585F7B"/>
    <w:rsid w:val="776112D4"/>
    <w:rsid w:val="778154D2"/>
    <w:rsid w:val="77961C48"/>
    <w:rsid w:val="77A2369A"/>
    <w:rsid w:val="77A411C1"/>
    <w:rsid w:val="77A94A29"/>
    <w:rsid w:val="77BD2282"/>
    <w:rsid w:val="77CB2BF1"/>
    <w:rsid w:val="77D63978"/>
    <w:rsid w:val="77EF5926"/>
    <w:rsid w:val="77FB6742"/>
    <w:rsid w:val="782D0F2A"/>
    <w:rsid w:val="782F2653"/>
    <w:rsid w:val="78397BC1"/>
    <w:rsid w:val="783B7DD5"/>
    <w:rsid w:val="78423F48"/>
    <w:rsid w:val="7851759A"/>
    <w:rsid w:val="78520C1D"/>
    <w:rsid w:val="786C7F30"/>
    <w:rsid w:val="788F5620"/>
    <w:rsid w:val="78930E2C"/>
    <w:rsid w:val="78AB64A5"/>
    <w:rsid w:val="78C22246"/>
    <w:rsid w:val="78D36201"/>
    <w:rsid w:val="78E3020E"/>
    <w:rsid w:val="78E53565"/>
    <w:rsid w:val="78EF290F"/>
    <w:rsid w:val="78FD1E3E"/>
    <w:rsid w:val="790D22C6"/>
    <w:rsid w:val="79517126"/>
    <w:rsid w:val="795D3D1D"/>
    <w:rsid w:val="796C6890"/>
    <w:rsid w:val="79704E38"/>
    <w:rsid w:val="798437A8"/>
    <w:rsid w:val="79A63C5D"/>
    <w:rsid w:val="79A74F98"/>
    <w:rsid w:val="79D94D0C"/>
    <w:rsid w:val="79F24465"/>
    <w:rsid w:val="79F44E2E"/>
    <w:rsid w:val="79F71A7C"/>
    <w:rsid w:val="79FE1940"/>
    <w:rsid w:val="7A087E4F"/>
    <w:rsid w:val="7A1D28A6"/>
    <w:rsid w:val="7A230AC3"/>
    <w:rsid w:val="7A287E87"/>
    <w:rsid w:val="7A2F68BA"/>
    <w:rsid w:val="7A4822D7"/>
    <w:rsid w:val="7A4831E2"/>
    <w:rsid w:val="7A583B2A"/>
    <w:rsid w:val="7A5E1AFB"/>
    <w:rsid w:val="7A652E89"/>
    <w:rsid w:val="7A666C01"/>
    <w:rsid w:val="7A6D7F90"/>
    <w:rsid w:val="7AAF0708"/>
    <w:rsid w:val="7AB83901"/>
    <w:rsid w:val="7AC14CFB"/>
    <w:rsid w:val="7AC676A0"/>
    <w:rsid w:val="7ACC115A"/>
    <w:rsid w:val="7ACF5E3E"/>
    <w:rsid w:val="7ADD216B"/>
    <w:rsid w:val="7ADD5115"/>
    <w:rsid w:val="7AE40AEA"/>
    <w:rsid w:val="7AEC35AA"/>
    <w:rsid w:val="7AEE7323"/>
    <w:rsid w:val="7AF00894"/>
    <w:rsid w:val="7AF15870"/>
    <w:rsid w:val="7B046B46"/>
    <w:rsid w:val="7B0C77A9"/>
    <w:rsid w:val="7B705F89"/>
    <w:rsid w:val="7B714626"/>
    <w:rsid w:val="7B76497D"/>
    <w:rsid w:val="7B7A0BB6"/>
    <w:rsid w:val="7B8F3F36"/>
    <w:rsid w:val="7B96103C"/>
    <w:rsid w:val="7BA46B52"/>
    <w:rsid w:val="7BAA7BC9"/>
    <w:rsid w:val="7BBA49A3"/>
    <w:rsid w:val="7BC2430B"/>
    <w:rsid w:val="7BD008BB"/>
    <w:rsid w:val="7BDC53CD"/>
    <w:rsid w:val="7BFA1AE8"/>
    <w:rsid w:val="7C093CE8"/>
    <w:rsid w:val="7C2B1EB0"/>
    <w:rsid w:val="7C2F1C26"/>
    <w:rsid w:val="7C3A1E14"/>
    <w:rsid w:val="7C466D2D"/>
    <w:rsid w:val="7C69271F"/>
    <w:rsid w:val="7C773348"/>
    <w:rsid w:val="7C7F6AF7"/>
    <w:rsid w:val="7C9931A2"/>
    <w:rsid w:val="7CAE4C51"/>
    <w:rsid w:val="7CAF2AE1"/>
    <w:rsid w:val="7CD10CAA"/>
    <w:rsid w:val="7CDA62A8"/>
    <w:rsid w:val="7CE7709B"/>
    <w:rsid w:val="7CF05083"/>
    <w:rsid w:val="7D052D9F"/>
    <w:rsid w:val="7D11554A"/>
    <w:rsid w:val="7D1961AD"/>
    <w:rsid w:val="7D4E0F4E"/>
    <w:rsid w:val="7D567401"/>
    <w:rsid w:val="7D580A83"/>
    <w:rsid w:val="7D5E1E12"/>
    <w:rsid w:val="7D630A43"/>
    <w:rsid w:val="7D6457E7"/>
    <w:rsid w:val="7D8201F6"/>
    <w:rsid w:val="7D8B1D9A"/>
    <w:rsid w:val="7D8D2964"/>
    <w:rsid w:val="7D951CD7"/>
    <w:rsid w:val="7D990506"/>
    <w:rsid w:val="7E0048C7"/>
    <w:rsid w:val="7E1664EC"/>
    <w:rsid w:val="7E3808B5"/>
    <w:rsid w:val="7E413C0D"/>
    <w:rsid w:val="7E4C0643"/>
    <w:rsid w:val="7E4D4360"/>
    <w:rsid w:val="7E7A0ECD"/>
    <w:rsid w:val="7E8906AF"/>
    <w:rsid w:val="7EA146AC"/>
    <w:rsid w:val="7EB968A4"/>
    <w:rsid w:val="7EB97339"/>
    <w:rsid w:val="7EC1023D"/>
    <w:rsid w:val="7EF36664"/>
    <w:rsid w:val="7EFB200E"/>
    <w:rsid w:val="7F030EC3"/>
    <w:rsid w:val="7F032C71"/>
    <w:rsid w:val="7F052E8D"/>
    <w:rsid w:val="7F1B5BE6"/>
    <w:rsid w:val="7F315A30"/>
    <w:rsid w:val="7F3379FA"/>
    <w:rsid w:val="7F370B6C"/>
    <w:rsid w:val="7F4E65E2"/>
    <w:rsid w:val="7F5F6799"/>
    <w:rsid w:val="7F62593A"/>
    <w:rsid w:val="7F6C4CBA"/>
    <w:rsid w:val="7F6E0A32"/>
    <w:rsid w:val="7F7E4B5A"/>
    <w:rsid w:val="7F82348A"/>
    <w:rsid w:val="7F946A12"/>
    <w:rsid w:val="7F965CAA"/>
    <w:rsid w:val="7FA25D00"/>
    <w:rsid w:val="7FAC4D7B"/>
    <w:rsid w:val="7FBD5515"/>
    <w:rsid w:val="7FCA00A4"/>
    <w:rsid w:val="7FDF3591"/>
    <w:rsid w:val="7FEA3B24"/>
    <w:rsid w:val="7FEE56CF"/>
    <w:rsid w:val="7FF54CAF"/>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1"/>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59"/>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55"/>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61"/>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43"/>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53"/>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64"/>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65"/>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66"/>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Times New Roman" w:hAnsi="Times New Roman"/>
      <w:b/>
    </w:rPr>
  </w:style>
  <w:style w:type="paragraph" w:customStyle="1" w:styleId="9">
    <w:name w:val="模板正文"/>
    <w:basedOn w:val="1"/>
    <w:link w:val="105"/>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toc 7"/>
    <w:basedOn w:val="1"/>
    <w:next w:val="1"/>
    <w:autoRedefine/>
    <w:unhideWhenUsed/>
    <w:qFormat/>
    <w:uiPriority w:val="39"/>
    <w:pPr>
      <w:ind w:left="2520" w:leftChars="1200"/>
    </w:pPr>
  </w:style>
  <w:style w:type="paragraph" w:styleId="14">
    <w:name w:val="Normal Indent"/>
    <w:basedOn w:val="1"/>
    <w:next w:val="15"/>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customStyle="1" w:styleId="15">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6">
    <w:name w:val="caption"/>
    <w:basedOn w:val="1"/>
    <w:next w:val="1"/>
    <w:link w:val="94"/>
    <w:autoRedefine/>
    <w:qFormat/>
    <w:uiPriority w:val="0"/>
    <w:pPr>
      <w:autoSpaceDE w:val="0"/>
      <w:autoSpaceDN w:val="0"/>
      <w:adjustRightInd w:val="0"/>
      <w:spacing w:before="152" w:after="160"/>
      <w:jc w:val="left"/>
    </w:pPr>
    <w:rPr>
      <w:rFonts w:ascii="Arial" w:hAnsi="Arial" w:eastAsia="黑体" w:cs="Arial"/>
    </w:rPr>
  </w:style>
  <w:style w:type="paragraph" w:styleId="17">
    <w:name w:val="Document Map"/>
    <w:basedOn w:val="1"/>
    <w:link w:val="127"/>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8">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9">
    <w:name w:val="annotation text"/>
    <w:basedOn w:val="1"/>
    <w:link w:val="174"/>
    <w:autoRedefine/>
    <w:unhideWhenUsed/>
    <w:qFormat/>
    <w:uiPriority w:val="99"/>
    <w:pPr>
      <w:jc w:val="left"/>
    </w:pPr>
    <w:rPr>
      <w:rFonts w:hint="eastAsia" w:ascii="等线" w:hAnsi="等线" w:eastAsia="等线" w:cs="Times New Roman"/>
    </w:rPr>
  </w:style>
  <w:style w:type="paragraph" w:styleId="20">
    <w:name w:val="Body Text 3"/>
    <w:basedOn w:val="1"/>
    <w:link w:val="167"/>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w:basedOn w:val="1"/>
    <w:next w:val="1"/>
    <w:link w:val="129"/>
    <w:autoRedefine/>
    <w:qFormat/>
    <w:uiPriority w:val="99"/>
    <w:pPr>
      <w:autoSpaceDE w:val="0"/>
      <w:autoSpaceDN w:val="0"/>
      <w:adjustRightInd w:val="0"/>
      <w:ind w:right="-26"/>
      <w:jc w:val="center"/>
    </w:pPr>
    <w:rPr>
      <w:rFonts w:ascii="宋体" w:eastAsia="宋体"/>
      <w:b/>
      <w:bCs/>
      <w:sz w:val="84"/>
      <w:szCs w:val="84"/>
      <w:lang w:val="zh-CN"/>
    </w:rPr>
  </w:style>
  <w:style w:type="paragraph" w:styleId="22">
    <w:name w:val="Body Text Indent"/>
    <w:basedOn w:val="1"/>
    <w:link w:val="103"/>
    <w:autoRedefine/>
    <w:qFormat/>
    <w:uiPriority w:val="0"/>
    <w:pPr>
      <w:ind w:left="567" w:leftChars="270"/>
    </w:pPr>
    <w:rPr>
      <w:rFonts w:ascii="Times New Roman" w:hAnsi="Times New Roman" w:eastAsia="宋体" w:cs="Times New Roman"/>
      <w:szCs w:val="20"/>
    </w:rPr>
  </w:style>
  <w:style w:type="paragraph" w:styleId="23">
    <w:name w:val="toc 5"/>
    <w:basedOn w:val="1"/>
    <w:next w:val="1"/>
    <w:autoRedefine/>
    <w:unhideWhenUsed/>
    <w:qFormat/>
    <w:uiPriority w:val="39"/>
    <w:pPr>
      <w:ind w:left="1680" w:leftChars="800"/>
    </w:pPr>
  </w:style>
  <w:style w:type="paragraph" w:styleId="24">
    <w:name w:val="toc 3"/>
    <w:basedOn w:val="1"/>
    <w:next w:val="1"/>
    <w:autoRedefine/>
    <w:unhideWhenUsed/>
    <w:qFormat/>
    <w:uiPriority w:val="39"/>
    <w:pPr>
      <w:tabs>
        <w:tab w:val="right" w:leader="dot" w:pos="10144"/>
      </w:tabs>
      <w:ind w:left="840" w:leftChars="400"/>
    </w:pPr>
  </w:style>
  <w:style w:type="paragraph" w:styleId="25">
    <w:name w:val="Plain Text"/>
    <w:basedOn w:val="1"/>
    <w:next w:val="26"/>
    <w:link w:val="111"/>
    <w:autoRedefine/>
    <w:qFormat/>
    <w:uiPriority w:val="0"/>
    <w:rPr>
      <w:rFonts w:ascii="宋体" w:hAnsi="Courier New" w:eastAsia="宋体"/>
    </w:rPr>
  </w:style>
  <w:style w:type="paragraph" w:styleId="26">
    <w:name w:val="footer"/>
    <w:basedOn w:val="1"/>
    <w:link w:val="213"/>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toc 8"/>
    <w:basedOn w:val="1"/>
    <w:next w:val="1"/>
    <w:autoRedefine/>
    <w:unhideWhenUsed/>
    <w:qFormat/>
    <w:uiPriority w:val="39"/>
    <w:pPr>
      <w:ind w:left="2940" w:leftChars="1400"/>
    </w:pPr>
  </w:style>
  <w:style w:type="paragraph" w:styleId="28">
    <w:name w:val="Date"/>
    <w:basedOn w:val="1"/>
    <w:next w:val="1"/>
    <w:link w:val="119"/>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9">
    <w:name w:val="Body Text Indent 2"/>
    <w:basedOn w:val="1"/>
    <w:link w:val="112"/>
    <w:autoRedefine/>
    <w:qFormat/>
    <w:uiPriority w:val="0"/>
    <w:pPr>
      <w:tabs>
        <w:tab w:val="left" w:pos="8640"/>
      </w:tabs>
      <w:ind w:left="1260"/>
    </w:pPr>
    <w:rPr>
      <w:rFonts w:ascii="宋体" w:hAnsi="Times New Roman" w:eastAsia="宋体" w:cs="Times New Roman"/>
      <w:szCs w:val="20"/>
    </w:rPr>
  </w:style>
  <w:style w:type="paragraph" w:styleId="30">
    <w:name w:val="Balloon Text"/>
    <w:basedOn w:val="1"/>
    <w:link w:val="85"/>
    <w:autoRedefine/>
    <w:qFormat/>
    <w:uiPriority w:val="0"/>
    <w:rPr>
      <w:rFonts w:ascii="Times New Roman" w:hAnsi="Times New Roman" w:eastAsia="宋体" w:cs="Times New Roman"/>
      <w:sz w:val="18"/>
      <w:szCs w:val="18"/>
    </w:rPr>
  </w:style>
  <w:style w:type="paragraph" w:styleId="31">
    <w:name w:val="header"/>
    <w:basedOn w:val="1"/>
    <w:link w:val="131"/>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2">
    <w:name w:val="toc 1"/>
    <w:basedOn w:val="1"/>
    <w:next w:val="1"/>
    <w:autoRedefine/>
    <w:unhideWhenUsed/>
    <w:qFormat/>
    <w:uiPriority w:val="39"/>
  </w:style>
  <w:style w:type="paragraph" w:styleId="33">
    <w:name w:val="toc 4"/>
    <w:basedOn w:val="1"/>
    <w:next w:val="1"/>
    <w:autoRedefine/>
    <w:unhideWhenUsed/>
    <w:qFormat/>
    <w:uiPriority w:val="39"/>
    <w:pPr>
      <w:ind w:left="1260" w:leftChars="600"/>
    </w:pPr>
  </w:style>
  <w:style w:type="paragraph" w:styleId="34">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5">
    <w:name w:val="toc 6"/>
    <w:basedOn w:val="1"/>
    <w:next w:val="1"/>
    <w:autoRedefine/>
    <w:unhideWhenUsed/>
    <w:qFormat/>
    <w:uiPriority w:val="39"/>
    <w:pPr>
      <w:ind w:left="2100" w:leftChars="1000"/>
    </w:pPr>
  </w:style>
  <w:style w:type="paragraph" w:styleId="36">
    <w:name w:val="Body Text Indent 3"/>
    <w:basedOn w:val="1"/>
    <w:link w:val="165"/>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7">
    <w:name w:val="toc 2"/>
    <w:basedOn w:val="1"/>
    <w:next w:val="1"/>
    <w:autoRedefine/>
    <w:unhideWhenUsed/>
    <w:qFormat/>
    <w:uiPriority w:val="39"/>
    <w:pPr>
      <w:ind w:left="420" w:leftChars="200"/>
    </w:pPr>
  </w:style>
  <w:style w:type="paragraph" w:styleId="38">
    <w:name w:val="toc 9"/>
    <w:basedOn w:val="1"/>
    <w:next w:val="1"/>
    <w:autoRedefine/>
    <w:unhideWhenUsed/>
    <w:qFormat/>
    <w:uiPriority w:val="39"/>
    <w:pPr>
      <w:ind w:left="3360" w:leftChars="1600"/>
    </w:pPr>
  </w:style>
  <w:style w:type="paragraph" w:styleId="39">
    <w:name w:val="Body Text 2"/>
    <w:basedOn w:val="1"/>
    <w:link w:val="154"/>
    <w:autoRedefine/>
    <w:qFormat/>
    <w:uiPriority w:val="0"/>
    <w:pPr>
      <w:tabs>
        <w:tab w:val="left" w:pos="0"/>
      </w:tabs>
      <w:spacing w:line="400" w:lineRule="atLeast"/>
    </w:pPr>
    <w:rPr>
      <w:rFonts w:ascii="Arial" w:hAnsi="Arial" w:eastAsia="宋体" w:cs="Times New Roman"/>
      <w:color w:val="000000"/>
      <w:szCs w:val="24"/>
    </w:rPr>
  </w:style>
  <w:style w:type="paragraph" w:styleId="40">
    <w:name w:val="HTML Preformatted"/>
    <w:basedOn w:val="1"/>
    <w:link w:val="9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41">
    <w:name w:val="Normal (Web)"/>
    <w:basedOn w:val="1"/>
    <w:link w:val="104"/>
    <w:autoRedefine/>
    <w:qFormat/>
    <w:uiPriority w:val="0"/>
    <w:pPr>
      <w:widowControl/>
      <w:spacing w:before="100" w:beforeAutospacing="1" w:after="100" w:afterAutospacing="1"/>
      <w:jc w:val="left"/>
    </w:pPr>
    <w:rPr>
      <w:rFonts w:ascii="宋体" w:hAnsi="宋体"/>
      <w:sz w:val="15"/>
      <w:szCs w:val="15"/>
    </w:rPr>
  </w:style>
  <w:style w:type="paragraph" w:styleId="42">
    <w:name w:val="Title"/>
    <w:basedOn w:val="1"/>
    <w:next w:val="1"/>
    <w:link w:val="69"/>
    <w:autoRedefine/>
    <w:qFormat/>
    <w:uiPriority w:val="10"/>
    <w:pPr>
      <w:spacing w:before="120" w:after="60" w:line="300" w:lineRule="auto"/>
      <w:jc w:val="left"/>
      <w:outlineLvl w:val="0"/>
    </w:pPr>
    <w:rPr>
      <w:rFonts w:ascii="等线 Light" w:hAnsi="等线 Light" w:eastAsia="仿宋"/>
      <w:b/>
      <w:bCs/>
      <w:sz w:val="28"/>
      <w:szCs w:val="32"/>
    </w:rPr>
  </w:style>
  <w:style w:type="paragraph" w:styleId="43">
    <w:name w:val="annotation subject"/>
    <w:basedOn w:val="19"/>
    <w:next w:val="19"/>
    <w:link w:val="121"/>
    <w:autoRedefine/>
    <w:qFormat/>
    <w:uiPriority w:val="99"/>
    <w:pPr>
      <w:autoSpaceDE w:val="0"/>
      <w:autoSpaceDN w:val="0"/>
      <w:adjustRightInd w:val="0"/>
    </w:pPr>
    <w:rPr>
      <w:rFonts w:ascii="宋体" w:hAnsi="Times New Roman" w:eastAsia="宋体"/>
      <w:b/>
      <w:bCs/>
      <w:kern w:val="0"/>
      <w:sz w:val="24"/>
      <w:szCs w:val="24"/>
    </w:rPr>
  </w:style>
  <w:style w:type="paragraph" w:styleId="44">
    <w:name w:val="Body Text First Indent"/>
    <w:basedOn w:val="21"/>
    <w:link w:val="211"/>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5">
    <w:name w:val="Body Text First Indent 2"/>
    <w:autoRedefine/>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7">
    <w:name w:val="Table Grid"/>
    <w:basedOn w:val="4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unhideWhenUsed/>
    <w:qFormat/>
    <w:uiPriority w:val="99"/>
    <w:rPr>
      <w:color w:val="954F72"/>
      <w:u w:val="single"/>
    </w:rPr>
  </w:style>
  <w:style w:type="character" w:styleId="52">
    <w:name w:val="Emphasis"/>
    <w:autoRedefine/>
    <w:qFormat/>
    <w:uiPriority w:val="0"/>
    <w:rPr>
      <w:i/>
      <w:iCs/>
    </w:rPr>
  </w:style>
  <w:style w:type="character" w:styleId="53">
    <w:name w:val="Hyperlink"/>
    <w:autoRedefine/>
    <w:qFormat/>
    <w:uiPriority w:val="99"/>
    <w:rPr>
      <w:rFonts w:hint="default" w:ascii="Arial" w:hAnsi="Arial" w:cs="Arial"/>
      <w:color w:val="000000"/>
      <w:sz w:val="20"/>
      <w:szCs w:val="20"/>
      <w:u w:val="none"/>
    </w:rPr>
  </w:style>
  <w:style w:type="character" w:styleId="54">
    <w:name w:val="HTML Code"/>
    <w:basedOn w:val="48"/>
    <w:autoRedefine/>
    <w:semiHidden/>
    <w:unhideWhenUsed/>
    <w:qFormat/>
    <w:uiPriority w:val="99"/>
    <w:rPr>
      <w:rFonts w:ascii="Courier New" w:hAnsi="Courier New"/>
      <w:sz w:val="20"/>
    </w:rPr>
  </w:style>
  <w:style w:type="character" w:styleId="55">
    <w:name w:val="annotation reference"/>
    <w:basedOn w:val="48"/>
    <w:autoRedefine/>
    <w:qFormat/>
    <w:uiPriority w:val="99"/>
    <w:rPr>
      <w:sz w:val="21"/>
      <w:szCs w:val="21"/>
    </w:rPr>
  </w:style>
  <w:style w:type="paragraph" w:customStyle="1" w:styleId="56">
    <w:name w:val="文档正文"/>
    <w:basedOn w:val="1"/>
    <w:autoRedefine/>
    <w:qFormat/>
    <w:uiPriority w:val="0"/>
    <w:pPr>
      <w:autoSpaceDE w:val="0"/>
      <w:autoSpaceDN w:val="0"/>
      <w:adjustRightInd w:val="0"/>
      <w:spacing w:line="360" w:lineRule="auto"/>
      <w:jc w:val="left"/>
    </w:pPr>
    <w:rPr>
      <w:rFonts w:hint="eastAsia" w:ascii="宋体" w:hAnsi="Times New Roman" w:eastAsia="宋体" w:cs="Times New Roman"/>
      <w:bCs/>
      <w:kern w:val="0"/>
      <w:sz w:val="24"/>
      <w:szCs w:val="24"/>
    </w:rPr>
  </w:style>
  <w:style w:type="paragraph" w:customStyle="1" w:styleId="57">
    <w:name w:val="首行缩进"/>
    <w:basedOn w:val="1"/>
    <w:autoRedefine/>
    <w:qFormat/>
    <w:uiPriority w:val="0"/>
    <w:pPr>
      <w:ind w:firstLine="480" w:firstLineChars="200"/>
    </w:pPr>
    <w:rPr>
      <w:lang w:val="zh-CN"/>
    </w:rPr>
  </w:style>
  <w:style w:type="character" w:customStyle="1" w:styleId="58">
    <w:name w:val="标题 1 字符"/>
    <w:basedOn w:val="48"/>
    <w:autoRedefine/>
    <w:qFormat/>
    <w:uiPriority w:val="0"/>
    <w:rPr>
      <w:b/>
      <w:bCs/>
      <w:kern w:val="44"/>
      <w:sz w:val="44"/>
      <w:szCs w:val="44"/>
    </w:rPr>
  </w:style>
  <w:style w:type="character" w:customStyle="1" w:styleId="59">
    <w:name w:val="标题 2 字符"/>
    <w:basedOn w:val="48"/>
    <w:link w:val="4"/>
    <w:autoRedefine/>
    <w:qFormat/>
    <w:uiPriority w:val="0"/>
    <w:rPr>
      <w:rFonts w:ascii="宋体" w:hAnsi="Calibri" w:eastAsia="宋体" w:cs="Times New Roman"/>
      <w:kern w:val="0"/>
      <w:sz w:val="24"/>
      <w:szCs w:val="24"/>
    </w:rPr>
  </w:style>
  <w:style w:type="character" w:customStyle="1" w:styleId="60">
    <w:name w:val="标题 3 字符"/>
    <w:basedOn w:val="48"/>
    <w:autoRedefine/>
    <w:qFormat/>
    <w:uiPriority w:val="0"/>
    <w:rPr>
      <w:b/>
      <w:bCs/>
      <w:sz w:val="32"/>
      <w:szCs w:val="32"/>
    </w:rPr>
  </w:style>
  <w:style w:type="character" w:customStyle="1" w:styleId="61">
    <w:name w:val="标题 4 字符"/>
    <w:basedOn w:val="48"/>
    <w:link w:val="6"/>
    <w:autoRedefine/>
    <w:qFormat/>
    <w:uiPriority w:val="9"/>
    <w:rPr>
      <w:rFonts w:ascii="Arial" w:hAnsi="Arial" w:eastAsia="黑体" w:cs="Times New Roman"/>
      <w:b/>
      <w:bCs/>
      <w:kern w:val="0"/>
      <w:sz w:val="28"/>
      <w:szCs w:val="28"/>
    </w:rPr>
  </w:style>
  <w:style w:type="character" w:customStyle="1" w:styleId="62">
    <w:name w:val="标题 5 字符"/>
    <w:basedOn w:val="48"/>
    <w:autoRedefine/>
    <w:qFormat/>
    <w:uiPriority w:val="9"/>
    <w:rPr>
      <w:b/>
      <w:bCs/>
      <w:sz w:val="28"/>
      <w:szCs w:val="28"/>
    </w:rPr>
  </w:style>
  <w:style w:type="character" w:customStyle="1" w:styleId="63">
    <w:name w:val="标题 6 字符"/>
    <w:basedOn w:val="48"/>
    <w:autoRedefine/>
    <w:qFormat/>
    <w:uiPriority w:val="0"/>
    <w:rPr>
      <w:rFonts w:asciiTheme="majorHAnsi" w:hAnsiTheme="majorHAnsi" w:eastAsiaTheme="majorEastAsia" w:cstheme="majorBidi"/>
      <w:b/>
      <w:bCs/>
      <w:sz w:val="24"/>
      <w:szCs w:val="24"/>
    </w:rPr>
  </w:style>
  <w:style w:type="character" w:customStyle="1" w:styleId="64">
    <w:name w:val="标题 7 字符"/>
    <w:basedOn w:val="48"/>
    <w:link w:val="10"/>
    <w:autoRedefine/>
    <w:qFormat/>
    <w:uiPriority w:val="9"/>
    <w:rPr>
      <w:rFonts w:ascii="Times New Roman" w:hAnsi="Calibri" w:eastAsia="黑体" w:cs="Times New Roman"/>
      <w:b/>
      <w:bCs/>
      <w:kern w:val="0"/>
      <w:sz w:val="28"/>
      <w:szCs w:val="24"/>
    </w:rPr>
  </w:style>
  <w:style w:type="character" w:customStyle="1" w:styleId="65">
    <w:name w:val="标题 8 字符"/>
    <w:basedOn w:val="48"/>
    <w:link w:val="11"/>
    <w:autoRedefine/>
    <w:qFormat/>
    <w:uiPriority w:val="9"/>
    <w:rPr>
      <w:rFonts w:ascii="Times New Roman" w:hAnsi="Calibri" w:eastAsia="黑体" w:cs="Times New Roman"/>
      <w:b/>
      <w:kern w:val="0"/>
      <w:sz w:val="28"/>
      <w:szCs w:val="24"/>
    </w:rPr>
  </w:style>
  <w:style w:type="character" w:customStyle="1" w:styleId="66">
    <w:name w:val="标题 9 字符"/>
    <w:basedOn w:val="48"/>
    <w:link w:val="12"/>
    <w:autoRedefine/>
    <w:qFormat/>
    <w:uiPriority w:val="9"/>
    <w:rPr>
      <w:rFonts w:ascii="Times New Roman" w:hAnsi="Calibri" w:eastAsia="黑体" w:cs="Times New Roman"/>
      <w:b/>
      <w:kern w:val="0"/>
      <w:sz w:val="28"/>
      <w:szCs w:val="24"/>
    </w:rPr>
  </w:style>
  <w:style w:type="character" w:customStyle="1" w:styleId="67">
    <w:name w:val="正文文本缩进 字符"/>
    <w:autoRedefine/>
    <w:qFormat/>
    <w:uiPriority w:val="0"/>
    <w:rPr>
      <w:rFonts w:ascii="Times New Roman" w:hAnsi="Times New Roman" w:eastAsia="宋体" w:cs="Times New Roman"/>
      <w:szCs w:val="20"/>
    </w:rPr>
  </w:style>
  <w:style w:type="character" w:customStyle="1" w:styleId="68">
    <w:name w:val="普通(网站) Char"/>
    <w:autoRedefine/>
    <w:qFormat/>
    <w:locked/>
    <w:uiPriority w:val="0"/>
    <w:rPr>
      <w:rFonts w:ascii="宋体" w:hAnsi="宋体"/>
      <w:sz w:val="15"/>
      <w:szCs w:val="15"/>
    </w:rPr>
  </w:style>
  <w:style w:type="character" w:customStyle="1" w:styleId="69">
    <w:name w:val="标题 字符1"/>
    <w:link w:val="42"/>
    <w:autoRedefine/>
    <w:qFormat/>
    <w:uiPriority w:val="10"/>
    <w:rPr>
      <w:rFonts w:ascii="等线 Light" w:hAnsi="等线 Light" w:eastAsia="仿宋"/>
      <w:b/>
      <w:bCs/>
      <w:sz w:val="28"/>
      <w:szCs w:val="32"/>
    </w:rPr>
  </w:style>
  <w:style w:type="character" w:customStyle="1" w:styleId="70">
    <w:name w:val="日期 Char"/>
    <w:autoRedefine/>
    <w:semiHidden/>
    <w:qFormat/>
    <w:uiPriority w:val="99"/>
    <w:rPr>
      <w:kern w:val="2"/>
      <w:sz w:val="21"/>
    </w:rPr>
  </w:style>
  <w:style w:type="character" w:customStyle="1" w:styleId="71">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72">
    <w:name w:val="批注文字 Char"/>
    <w:autoRedefine/>
    <w:semiHidden/>
    <w:qFormat/>
    <w:uiPriority w:val="99"/>
    <w:rPr>
      <w:kern w:val="2"/>
      <w:sz w:val="21"/>
    </w:rPr>
  </w:style>
  <w:style w:type="character" w:customStyle="1" w:styleId="73">
    <w:name w:val="正文缩进2格 Char"/>
    <w:link w:val="74"/>
    <w:autoRedefine/>
    <w:qFormat/>
    <w:uiPriority w:val="0"/>
    <w:rPr>
      <w:rFonts w:ascii="仿宋_GB2312" w:hAnsi="宋体" w:eastAsia="仿宋_GB2312"/>
      <w:sz w:val="31"/>
      <w:szCs w:val="28"/>
    </w:rPr>
  </w:style>
  <w:style w:type="paragraph" w:customStyle="1" w:styleId="74">
    <w:name w:val="正文缩进2格"/>
    <w:basedOn w:val="1"/>
    <w:link w:val="73"/>
    <w:autoRedefine/>
    <w:qFormat/>
    <w:uiPriority w:val="0"/>
    <w:pPr>
      <w:spacing w:line="600" w:lineRule="exact"/>
      <w:ind w:firstLine="639" w:firstLineChars="206"/>
    </w:pPr>
    <w:rPr>
      <w:rFonts w:ascii="仿宋_GB2312" w:hAnsi="宋体" w:eastAsia="仿宋_GB2312"/>
      <w:sz w:val="31"/>
      <w:szCs w:val="28"/>
    </w:rPr>
  </w:style>
  <w:style w:type="character" w:customStyle="1" w:styleId="75">
    <w:name w:val="批注文字 字符"/>
    <w:autoRedefine/>
    <w:semiHidden/>
    <w:qFormat/>
    <w:uiPriority w:val="99"/>
    <w:rPr>
      <w:rFonts w:ascii="Times New Roman" w:hAnsi="Times New Roman"/>
      <w:kern w:val="2"/>
      <w:sz w:val="24"/>
      <w:szCs w:val="24"/>
    </w:rPr>
  </w:style>
  <w:style w:type="character" w:customStyle="1" w:styleId="76">
    <w:name w:val="正文文本缩进 Char"/>
    <w:autoRedefine/>
    <w:qFormat/>
    <w:uiPriority w:val="0"/>
    <w:rPr>
      <w:rFonts w:ascii="Times New Roman" w:hAnsi="Times New Roman" w:eastAsia="宋体" w:cs="Times New Roman"/>
      <w:szCs w:val="20"/>
      <w:lang w:val="en-US" w:eastAsia="zh-CN"/>
    </w:rPr>
  </w:style>
  <w:style w:type="character" w:customStyle="1" w:styleId="77">
    <w:name w:val="批注框文本 字符1"/>
    <w:autoRedefine/>
    <w:semiHidden/>
    <w:qFormat/>
    <w:uiPriority w:val="99"/>
    <w:rPr>
      <w:rFonts w:ascii="宋体" w:hAnsi="Calibri" w:eastAsia="宋体" w:cs="Times New Roman"/>
      <w:kern w:val="0"/>
      <w:sz w:val="18"/>
      <w:szCs w:val="18"/>
    </w:rPr>
  </w:style>
  <w:style w:type="character" w:customStyle="1" w:styleId="78">
    <w:name w:val="List Paragraph Char"/>
    <w:link w:val="79"/>
    <w:autoRedefine/>
    <w:qFormat/>
    <w:uiPriority w:val="34"/>
    <w:rPr>
      <w:rFonts w:ascii="Calibri" w:hAnsi="Calibri"/>
    </w:rPr>
  </w:style>
  <w:style w:type="paragraph" w:customStyle="1" w:styleId="79">
    <w:name w:val="列出段落1"/>
    <w:basedOn w:val="1"/>
    <w:link w:val="78"/>
    <w:autoRedefine/>
    <w:qFormat/>
    <w:uiPriority w:val="34"/>
    <w:pPr>
      <w:ind w:firstLine="420" w:firstLineChars="200"/>
    </w:pPr>
    <w:rPr>
      <w:rFonts w:ascii="Calibri" w:hAnsi="Calibri"/>
    </w:rPr>
  </w:style>
  <w:style w:type="character" w:customStyle="1" w:styleId="80">
    <w:name w:val="标书正文 字符"/>
    <w:link w:val="81"/>
    <w:autoRedefine/>
    <w:qFormat/>
    <w:uiPriority w:val="0"/>
    <w:rPr>
      <w:rFonts w:ascii="Calibri" w:hAnsi="Calibri" w:eastAsia="仿宋"/>
      <w:sz w:val="24"/>
      <w:szCs w:val="21"/>
    </w:rPr>
  </w:style>
  <w:style w:type="paragraph" w:customStyle="1" w:styleId="81">
    <w:name w:val="标书正文"/>
    <w:basedOn w:val="1"/>
    <w:link w:val="80"/>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82">
    <w:name w:val="正文文本 字符"/>
    <w:autoRedefine/>
    <w:semiHidden/>
    <w:qFormat/>
    <w:uiPriority w:val="99"/>
    <w:rPr>
      <w:rFonts w:ascii="Times New Roman" w:hAnsi="Times New Roman"/>
      <w:kern w:val="2"/>
      <w:sz w:val="24"/>
      <w:szCs w:val="24"/>
    </w:rPr>
  </w:style>
  <w:style w:type="character" w:customStyle="1" w:styleId="83">
    <w:name w:val="页脚 Char"/>
    <w:autoRedefine/>
    <w:qFormat/>
    <w:uiPriority w:val="0"/>
    <w:rPr>
      <w:kern w:val="2"/>
      <w:sz w:val="18"/>
      <w:szCs w:val="18"/>
    </w:rPr>
  </w:style>
  <w:style w:type="character" w:customStyle="1" w:styleId="84">
    <w:name w:val="neir1"/>
    <w:autoRedefine/>
    <w:qFormat/>
    <w:uiPriority w:val="0"/>
    <w:rPr>
      <w:rFonts w:hint="default" w:ascii="ˎ̥" w:hAnsi="ˎ̥"/>
      <w:color w:val="333333"/>
      <w:sz w:val="21"/>
      <w:szCs w:val="21"/>
      <w:u w:val="none"/>
    </w:rPr>
  </w:style>
  <w:style w:type="character" w:customStyle="1" w:styleId="85">
    <w:name w:val="批注框文本 字符"/>
    <w:link w:val="30"/>
    <w:autoRedefine/>
    <w:qFormat/>
    <w:uiPriority w:val="0"/>
    <w:rPr>
      <w:rFonts w:ascii="Times New Roman" w:hAnsi="Times New Roman" w:eastAsia="宋体" w:cs="Times New Roman"/>
      <w:sz w:val="18"/>
      <w:szCs w:val="18"/>
    </w:rPr>
  </w:style>
  <w:style w:type="character" w:customStyle="1" w:styleId="86">
    <w:name w:val="正文文本 3 字符1"/>
    <w:autoRedefine/>
    <w:semiHidden/>
    <w:qFormat/>
    <w:uiPriority w:val="99"/>
    <w:rPr>
      <w:rFonts w:ascii="宋体" w:hAnsi="Calibri" w:eastAsia="宋体" w:cs="Times New Roman"/>
      <w:kern w:val="0"/>
      <w:sz w:val="16"/>
      <w:szCs w:val="16"/>
    </w:rPr>
  </w:style>
  <w:style w:type="character" w:customStyle="1" w:styleId="87">
    <w:name w:val="正文文本 字符3"/>
    <w:autoRedefine/>
    <w:semiHidden/>
    <w:qFormat/>
    <w:uiPriority w:val="99"/>
    <w:rPr>
      <w:rFonts w:ascii="宋体" w:hAnsi="Calibri" w:eastAsia="宋体" w:cs="Times New Roman"/>
      <w:kern w:val="0"/>
      <w:sz w:val="24"/>
      <w:szCs w:val="24"/>
    </w:rPr>
  </w:style>
  <w:style w:type="character" w:customStyle="1" w:styleId="88">
    <w:name w:val="日期 字符1"/>
    <w:autoRedefine/>
    <w:semiHidden/>
    <w:qFormat/>
    <w:uiPriority w:val="99"/>
    <w:rPr>
      <w:rFonts w:ascii="宋体" w:hAnsi="Calibri" w:eastAsia="宋体" w:cs="Times New Roman"/>
      <w:kern w:val="0"/>
      <w:sz w:val="24"/>
      <w:szCs w:val="24"/>
    </w:rPr>
  </w:style>
  <w:style w:type="character" w:customStyle="1" w:styleId="89">
    <w:name w:val="页脚 Char2"/>
    <w:autoRedefine/>
    <w:qFormat/>
    <w:uiPriority w:val="99"/>
    <w:rPr>
      <w:rFonts w:ascii="宋体" w:eastAsia="宋体"/>
      <w:sz w:val="18"/>
      <w:szCs w:val="18"/>
    </w:rPr>
  </w:style>
  <w:style w:type="character" w:customStyle="1" w:styleId="90">
    <w:name w:val="吉奥正文 Char"/>
    <w:link w:val="91"/>
    <w:autoRedefine/>
    <w:qFormat/>
    <w:locked/>
    <w:uiPriority w:val="0"/>
    <w:rPr>
      <w:rFonts w:eastAsia="仿宋_GB2312"/>
      <w:sz w:val="28"/>
    </w:rPr>
  </w:style>
  <w:style w:type="paragraph" w:customStyle="1" w:styleId="91">
    <w:name w:val="吉奥正文"/>
    <w:basedOn w:val="1"/>
    <w:link w:val="90"/>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92">
    <w:name w:val="页脚 Char1"/>
    <w:autoRedefine/>
    <w:qFormat/>
    <w:uiPriority w:val="99"/>
    <w:rPr>
      <w:rFonts w:ascii="宋体" w:hAnsi="Times New Roman" w:eastAsia="宋体" w:cs="Times New Roman"/>
      <w:kern w:val="0"/>
      <w:sz w:val="18"/>
      <w:szCs w:val="18"/>
    </w:rPr>
  </w:style>
  <w:style w:type="character" w:customStyle="1" w:styleId="93">
    <w:name w:val="标题 字符"/>
    <w:autoRedefine/>
    <w:qFormat/>
    <w:uiPriority w:val="10"/>
    <w:rPr>
      <w:rFonts w:ascii="Cambria" w:hAnsi="Cambria" w:eastAsia="宋体" w:cs="Times New Roman"/>
      <w:b/>
      <w:bCs/>
      <w:kern w:val="0"/>
      <w:sz w:val="32"/>
      <w:szCs w:val="32"/>
      <w:lang w:val="en-US" w:eastAsia="zh-CN"/>
    </w:rPr>
  </w:style>
  <w:style w:type="character" w:customStyle="1" w:styleId="94">
    <w:name w:val="题注 字符1"/>
    <w:link w:val="16"/>
    <w:autoRedefine/>
    <w:qFormat/>
    <w:uiPriority w:val="0"/>
    <w:rPr>
      <w:rFonts w:ascii="Arial" w:hAnsi="Arial" w:eastAsia="黑体" w:cs="Arial"/>
    </w:rPr>
  </w:style>
  <w:style w:type="character" w:customStyle="1" w:styleId="95">
    <w:name w:val="批注文字 字符2"/>
    <w:autoRedefine/>
    <w:qFormat/>
    <w:uiPriority w:val="99"/>
    <w:rPr>
      <w:rFonts w:ascii="宋体" w:hAnsi="Times New Roman" w:eastAsia="宋体" w:cs="Times New Roman"/>
      <w:kern w:val="0"/>
      <w:sz w:val="24"/>
      <w:szCs w:val="24"/>
    </w:rPr>
  </w:style>
  <w:style w:type="character" w:customStyle="1" w:styleId="96">
    <w:name w:val="批注主题 字符1"/>
    <w:autoRedefine/>
    <w:semiHidden/>
    <w:qFormat/>
    <w:uiPriority w:val="99"/>
    <w:rPr>
      <w:rFonts w:ascii="宋体" w:hAnsi="Calibri" w:eastAsia="宋体" w:cs="Times New Roman"/>
      <w:b/>
      <w:bCs/>
      <w:kern w:val="0"/>
      <w:sz w:val="24"/>
      <w:szCs w:val="24"/>
    </w:rPr>
  </w:style>
  <w:style w:type="character" w:customStyle="1" w:styleId="97">
    <w:name w:val="HTML 预设格式 字符"/>
    <w:link w:val="40"/>
    <w:autoRedefine/>
    <w:qFormat/>
    <w:uiPriority w:val="99"/>
    <w:rPr>
      <w:rFonts w:ascii="Arial" w:hAnsi="Arial" w:eastAsia="宋体" w:cs="Arial"/>
      <w:szCs w:val="21"/>
    </w:rPr>
  </w:style>
  <w:style w:type="character" w:customStyle="1" w:styleId="98">
    <w:name w:val="标题 3.1 Char"/>
    <w:link w:val="99"/>
    <w:autoRedefine/>
    <w:qFormat/>
    <w:uiPriority w:val="0"/>
    <w:rPr>
      <w:rFonts w:ascii="宋体" w:hAnsi="宋体"/>
      <w:b/>
      <w:bCs/>
      <w:sz w:val="32"/>
      <w:szCs w:val="32"/>
    </w:rPr>
  </w:style>
  <w:style w:type="paragraph" w:customStyle="1" w:styleId="99">
    <w:name w:val="标题 3.1"/>
    <w:basedOn w:val="5"/>
    <w:link w:val="98"/>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100">
    <w:name w:val="HTML 预设格式 Char1"/>
    <w:autoRedefine/>
    <w:semiHidden/>
    <w:qFormat/>
    <w:uiPriority w:val="99"/>
    <w:rPr>
      <w:rFonts w:ascii="Courier New" w:hAnsi="Courier New" w:eastAsia="宋体" w:cs="Courier New"/>
      <w:kern w:val="0"/>
      <w:sz w:val="20"/>
      <w:szCs w:val="20"/>
    </w:rPr>
  </w:style>
  <w:style w:type="character" w:customStyle="1" w:styleId="101">
    <w:name w:val="批注文字 字符1"/>
    <w:autoRedefine/>
    <w:qFormat/>
    <w:uiPriority w:val="0"/>
    <w:rPr>
      <w:rFonts w:eastAsia="宋体"/>
      <w:kern w:val="2"/>
      <w:sz w:val="24"/>
      <w:szCs w:val="24"/>
      <w:lang w:val="en-US" w:eastAsia="zh-CN" w:bidi="ar-SA"/>
    </w:rPr>
  </w:style>
  <w:style w:type="character" w:customStyle="1" w:styleId="102">
    <w:name w:val="正文文本缩进 字符2"/>
    <w:autoRedefine/>
    <w:semiHidden/>
    <w:qFormat/>
    <w:uiPriority w:val="99"/>
    <w:rPr>
      <w:rFonts w:ascii="宋体" w:hAnsi="Calibri" w:eastAsia="宋体" w:cs="Times New Roman"/>
      <w:kern w:val="0"/>
      <w:sz w:val="24"/>
      <w:szCs w:val="24"/>
    </w:rPr>
  </w:style>
  <w:style w:type="character" w:customStyle="1" w:styleId="103">
    <w:name w:val="正文文本缩进 字符1"/>
    <w:link w:val="22"/>
    <w:autoRedefine/>
    <w:qFormat/>
    <w:uiPriority w:val="0"/>
    <w:rPr>
      <w:rFonts w:ascii="Times New Roman" w:hAnsi="Times New Roman" w:eastAsia="宋体" w:cs="Times New Roman"/>
      <w:szCs w:val="20"/>
    </w:rPr>
  </w:style>
  <w:style w:type="character" w:customStyle="1" w:styleId="104">
    <w:name w:val="普通(网站) 字符2"/>
    <w:link w:val="41"/>
    <w:autoRedefine/>
    <w:qFormat/>
    <w:locked/>
    <w:uiPriority w:val="0"/>
    <w:rPr>
      <w:rFonts w:ascii="宋体" w:hAnsi="宋体"/>
      <w:sz w:val="15"/>
      <w:szCs w:val="15"/>
    </w:rPr>
  </w:style>
  <w:style w:type="character" w:customStyle="1" w:styleId="105">
    <w:name w:val="模板正文 Char"/>
    <w:link w:val="9"/>
    <w:autoRedefine/>
    <w:qFormat/>
    <w:uiPriority w:val="0"/>
    <w:rPr>
      <w:rFonts w:ascii="宋体" w:eastAsia="仿宋"/>
      <w:sz w:val="24"/>
      <w:szCs w:val="21"/>
    </w:rPr>
  </w:style>
  <w:style w:type="character" w:customStyle="1" w:styleId="106">
    <w:name w:val="批注主题 Char"/>
    <w:autoRedefine/>
    <w:semiHidden/>
    <w:qFormat/>
    <w:uiPriority w:val="99"/>
    <w:rPr>
      <w:b/>
      <w:bCs/>
      <w:kern w:val="2"/>
      <w:sz w:val="21"/>
    </w:rPr>
  </w:style>
  <w:style w:type="character" w:customStyle="1" w:styleId="107">
    <w:name w:val="正文文本 Char1"/>
    <w:autoRedefine/>
    <w:qFormat/>
    <w:uiPriority w:val="0"/>
    <w:rPr>
      <w:rFonts w:ascii="宋体" w:hAnsi="Times New Roman" w:eastAsia="宋体" w:cs="Times New Roman"/>
      <w:kern w:val="0"/>
      <w:sz w:val="24"/>
      <w:szCs w:val="24"/>
    </w:rPr>
  </w:style>
  <w:style w:type="character" w:customStyle="1" w:styleId="108">
    <w:name w:val="正文文本 字符1"/>
    <w:autoRedefine/>
    <w:qFormat/>
    <w:uiPriority w:val="99"/>
    <w:rPr>
      <w:rFonts w:ascii="宋体" w:eastAsia="宋体"/>
      <w:b/>
      <w:bCs/>
      <w:sz w:val="84"/>
      <w:szCs w:val="84"/>
      <w:lang w:val="zh-CN"/>
    </w:rPr>
  </w:style>
  <w:style w:type="character" w:customStyle="1" w:styleId="109">
    <w:name w:val="标题 1 Char"/>
    <w:autoRedefine/>
    <w:qFormat/>
    <w:uiPriority w:val="9"/>
    <w:rPr>
      <w:rFonts w:ascii="宋体" w:hAnsi="Times New Roman" w:eastAsia="宋体" w:cs="Times New Roman"/>
      <w:kern w:val="0"/>
      <w:sz w:val="24"/>
      <w:szCs w:val="24"/>
    </w:rPr>
  </w:style>
  <w:style w:type="character" w:customStyle="1" w:styleId="110">
    <w:name w:val="正文文本 Char2"/>
    <w:autoRedefine/>
    <w:qFormat/>
    <w:uiPriority w:val="99"/>
    <w:rPr>
      <w:rFonts w:ascii="宋体" w:eastAsia="宋体"/>
      <w:b/>
      <w:bCs/>
      <w:sz w:val="84"/>
      <w:szCs w:val="84"/>
      <w:lang w:val="zh-CN"/>
    </w:rPr>
  </w:style>
  <w:style w:type="character" w:customStyle="1" w:styleId="111">
    <w:name w:val="纯文本 字符2"/>
    <w:link w:val="25"/>
    <w:autoRedefine/>
    <w:qFormat/>
    <w:uiPriority w:val="0"/>
    <w:rPr>
      <w:rFonts w:ascii="宋体" w:hAnsi="Courier New" w:eastAsia="宋体"/>
    </w:rPr>
  </w:style>
  <w:style w:type="character" w:customStyle="1" w:styleId="112">
    <w:name w:val="正文文本缩进 2 字符"/>
    <w:link w:val="29"/>
    <w:autoRedefine/>
    <w:qFormat/>
    <w:uiPriority w:val="0"/>
    <w:rPr>
      <w:rFonts w:ascii="宋体" w:hAnsi="Times New Roman" w:eastAsia="宋体" w:cs="Times New Roman"/>
      <w:szCs w:val="20"/>
    </w:rPr>
  </w:style>
  <w:style w:type="character" w:customStyle="1" w:styleId="113">
    <w:name w:val="HTML Markup"/>
    <w:autoRedefine/>
    <w:qFormat/>
    <w:uiPriority w:val="0"/>
    <w:rPr>
      <w:vanish/>
      <w:color w:val="FF0000"/>
    </w:rPr>
  </w:style>
  <w:style w:type="character" w:customStyle="1" w:styleId="114">
    <w:name w:val="页眉 Char1"/>
    <w:autoRedefine/>
    <w:qFormat/>
    <w:uiPriority w:val="0"/>
    <w:rPr>
      <w:rFonts w:ascii="宋体" w:hAnsi="Times New Roman" w:eastAsia="宋体" w:cs="Times New Roman"/>
      <w:kern w:val="0"/>
      <w:sz w:val="18"/>
      <w:szCs w:val="18"/>
    </w:rPr>
  </w:style>
  <w:style w:type="character" w:customStyle="1" w:styleId="115">
    <w:name w:val="font11"/>
    <w:autoRedefine/>
    <w:qFormat/>
    <w:uiPriority w:val="0"/>
    <w:rPr>
      <w:rFonts w:hint="eastAsia" w:ascii="宋体" w:hAnsi="宋体" w:eastAsia="宋体" w:cs="宋体"/>
      <w:color w:val="FF0000"/>
      <w:sz w:val="22"/>
      <w:szCs w:val="22"/>
      <w:u w:val="none"/>
    </w:rPr>
  </w:style>
  <w:style w:type="character" w:customStyle="1" w:styleId="116">
    <w:name w:val="style61"/>
    <w:autoRedefine/>
    <w:qFormat/>
    <w:uiPriority w:val="0"/>
    <w:rPr>
      <w:b/>
      <w:bCs/>
    </w:rPr>
  </w:style>
  <w:style w:type="character" w:customStyle="1" w:styleId="117">
    <w:name w:val="表头文字 Char"/>
    <w:link w:val="118"/>
    <w:autoRedefine/>
    <w:qFormat/>
    <w:uiPriority w:val="0"/>
    <w:rPr>
      <w:rFonts w:eastAsia="仿宋_GB2312"/>
      <w:b/>
      <w:sz w:val="28"/>
      <w:szCs w:val="21"/>
    </w:rPr>
  </w:style>
  <w:style w:type="paragraph" w:customStyle="1" w:styleId="118">
    <w:name w:val="表头文字"/>
    <w:basedOn w:val="1"/>
    <w:link w:val="117"/>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9">
    <w:name w:val="日期 字符"/>
    <w:link w:val="28"/>
    <w:autoRedefine/>
    <w:qFormat/>
    <w:uiPriority w:val="99"/>
    <w:rPr>
      <w:rFonts w:ascii="宋体" w:hAnsi="Times New Roman" w:eastAsia="宋体" w:cs="Times New Roman"/>
      <w:b/>
      <w:bCs/>
      <w:szCs w:val="21"/>
      <w:lang w:val="zh-CN"/>
    </w:rPr>
  </w:style>
  <w:style w:type="character" w:customStyle="1" w:styleId="120">
    <w:name w:val="纯文本 Char1"/>
    <w:autoRedefine/>
    <w:qFormat/>
    <w:uiPriority w:val="0"/>
    <w:rPr>
      <w:rFonts w:ascii="宋体" w:hAnsi="Courier New" w:eastAsia="宋体" w:cs="Courier New"/>
      <w:kern w:val="0"/>
      <w:szCs w:val="21"/>
    </w:rPr>
  </w:style>
  <w:style w:type="character" w:customStyle="1" w:styleId="121">
    <w:name w:val="批注主题 字符"/>
    <w:link w:val="43"/>
    <w:autoRedefine/>
    <w:qFormat/>
    <w:uiPriority w:val="99"/>
    <w:rPr>
      <w:rFonts w:ascii="宋体" w:hAnsi="Times New Roman" w:eastAsia="宋体" w:cs="Times New Roman"/>
      <w:b/>
      <w:bCs/>
      <w:kern w:val="0"/>
      <w:sz w:val="24"/>
      <w:szCs w:val="24"/>
    </w:rPr>
  </w:style>
  <w:style w:type="character" w:customStyle="1" w:styleId="122">
    <w:name w:val="纯文本 字符"/>
    <w:autoRedefine/>
    <w:qFormat/>
    <w:uiPriority w:val="99"/>
    <w:rPr>
      <w:rFonts w:ascii="宋体" w:hAnsi="Courier New" w:eastAsia="宋体" w:cs="Times New Roman"/>
      <w:szCs w:val="20"/>
      <w:lang w:val="en-US" w:eastAsia="zh-CN"/>
    </w:rPr>
  </w:style>
  <w:style w:type="character" w:customStyle="1" w:styleId="123">
    <w:name w:val="font71"/>
    <w:autoRedefine/>
    <w:qFormat/>
    <w:uiPriority w:val="0"/>
    <w:rPr>
      <w:rFonts w:hint="eastAsia" w:ascii="宋体" w:hAnsi="宋体" w:eastAsia="宋体" w:cs="宋体"/>
      <w:color w:val="FF0000"/>
      <w:sz w:val="18"/>
      <w:szCs w:val="18"/>
      <w:u w:val="none"/>
    </w:rPr>
  </w:style>
  <w:style w:type="character" w:customStyle="1" w:styleId="124">
    <w:name w:val="font21"/>
    <w:basedOn w:val="48"/>
    <w:autoRedefine/>
    <w:qFormat/>
    <w:uiPriority w:val="0"/>
    <w:rPr>
      <w:rFonts w:hint="eastAsia" w:ascii="宋体" w:hAnsi="宋体" w:eastAsia="宋体" w:cs="宋体"/>
      <w:b/>
      <w:color w:val="000000"/>
      <w:sz w:val="21"/>
      <w:szCs w:val="21"/>
      <w:u w:val="none"/>
    </w:rPr>
  </w:style>
  <w:style w:type="character" w:customStyle="1" w:styleId="125">
    <w:name w:val="纯文本 字符3"/>
    <w:autoRedefine/>
    <w:semiHidden/>
    <w:qFormat/>
    <w:uiPriority w:val="99"/>
    <w:rPr>
      <w:rFonts w:ascii="等线" w:hAnsi="Courier New" w:cs="Courier New"/>
      <w:kern w:val="0"/>
      <w:sz w:val="24"/>
      <w:szCs w:val="24"/>
    </w:rPr>
  </w:style>
  <w:style w:type="character" w:customStyle="1" w:styleId="126">
    <w:name w:val="font31"/>
    <w:autoRedefine/>
    <w:qFormat/>
    <w:uiPriority w:val="0"/>
    <w:rPr>
      <w:rFonts w:hint="eastAsia" w:ascii="宋体" w:hAnsi="宋体" w:eastAsia="宋体" w:cs="宋体"/>
      <w:color w:val="000000"/>
      <w:sz w:val="18"/>
      <w:szCs w:val="18"/>
      <w:u w:val="none"/>
    </w:rPr>
  </w:style>
  <w:style w:type="character" w:customStyle="1" w:styleId="127">
    <w:name w:val="文档结构图 字符"/>
    <w:link w:val="17"/>
    <w:autoRedefine/>
    <w:semiHidden/>
    <w:qFormat/>
    <w:uiPriority w:val="99"/>
    <w:rPr>
      <w:rFonts w:ascii="宋体" w:hAnsi="Times New Roman" w:eastAsia="宋体" w:cs="Times New Roman"/>
      <w:kern w:val="0"/>
      <w:sz w:val="24"/>
      <w:szCs w:val="24"/>
      <w:shd w:val="clear" w:color="auto" w:fill="000080"/>
    </w:rPr>
  </w:style>
  <w:style w:type="character" w:customStyle="1" w:styleId="128">
    <w:name w:val="普通(网站) 字符1"/>
    <w:autoRedefine/>
    <w:qFormat/>
    <w:locked/>
    <w:uiPriority w:val="0"/>
    <w:rPr>
      <w:rFonts w:ascii="宋体" w:hAnsi="宋体"/>
      <w:sz w:val="15"/>
      <w:szCs w:val="15"/>
    </w:rPr>
  </w:style>
  <w:style w:type="character" w:customStyle="1" w:styleId="129">
    <w:name w:val="正文文本 字符2"/>
    <w:link w:val="21"/>
    <w:autoRedefine/>
    <w:qFormat/>
    <w:uiPriority w:val="99"/>
    <w:rPr>
      <w:rFonts w:ascii="宋体" w:eastAsia="宋体"/>
      <w:b/>
      <w:bCs/>
      <w:sz w:val="84"/>
      <w:szCs w:val="84"/>
      <w:lang w:val="zh-CN"/>
    </w:rPr>
  </w:style>
  <w:style w:type="character" w:customStyle="1" w:styleId="130">
    <w:name w:val="标题 5 Char"/>
    <w:autoRedefine/>
    <w:semiHidden/>
    <w:qFormat/>
    <w:uiPriority w:val="9"/>
    <w:rPr>
      <w:b/>
      <w:bCs/>
      <w:kern w:val="2"/>
      <w:sz w:val="28"/>
      <w:szCs w:val="28"/>
    </w:rPr>
  </w:style>
  <w:style w:type="character" w:customStyle="1" w:styleId="131">
    <w:name w:val="页眉 字符"/>
    <w:link w:val="31"/>
    <w:autoRedefine/>
    <w:qFormat/>
    <w:uiPriority w:val="99"/>
    <w:rPr>
      <w:rFonts w:ascii="宋体" w:eastAsia="宋体"/>
      <w:sz w:val="18"/>
      <w:szCs w:val="18"/>
    </w:rPr>
  </w:style>
  <w:style w:type="character" w:customStyle="1" w:styleId="132">
    <w:name w:val="表格文字 Char"/>
    <w:link w:val="133"/>
    <w:autoRedefine/>
    <w:qFormat/>
    <w:uiPriority w:val="0"/>
    <w:rPr>
      <w:rFonts w:eastAsia="仿宋_GB2312"/>
      <w:sz w:val="28"/>
      <w:szCs w:val="24"/>
    </w:rPr>
  </w:style>
  <w:style w:type="paragraph" w:customStyle="1" w:styleId="133">
    <w:name w:val="表格文字"/>
    <w:basedOn w:val="1"/>
    <w:link w:val="132"/>
    <w:autoRedefine/>
    <w:qFormat/>
    <w:uiPriority w:val="0"/>
    <w:rPr>
      <w:rFonts w:eastAsia="仿宋_GB2312"/>
      <w:sz w:val="28"/>
      <w:szCs w:val="24"/>
    </w:rPr>
  </w:style>
  <w:style w:type="character" w:customStyle="1" w:styleId="134">
    <w:name w:val="标题 字符2"/>
    <w:autoRedefine/>
    <w:qFormat/>
    <w:uiPriority w:val="10"/>
    <w:rPr>
      <w:rFonts w:ascii="等线 Light" w:hAnsi="等线 Light" w:eastAsia="等线 Light" w:cs="Times New Roman"/>
      <w:b/>
      <w:bCs/>
      <w:kern w:val="0"/>
      <w:sz w:val="32"/>
      <w:szCs w:val="32"/>
    </w:rPr>
  </w:style>
  <w:style w:type="character" w:customStyle="1" w:styleId="135">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6">
    <w:name w:val="小 Char"/>
    <w:autoRedefine/>
    <w:qFormat/>
    <w:uiPriority w:val="0"/>
    <w:rPr>
      <w:rFonts w:ascii="宋体" w:hAnsi="Courier New" w:eastAsia="宋体"/>
      <w:kern w:val="2"/>
      <w:sz w:val="21"/>
      <w:lang w:val="en-US" w:eastAsia="zh-CN" w:bidi="ar-SA"/>
    </w:rPr>
  </w:style>
  <w:style w:type="character" w:customStyle="1" w:styleId="137">
    <w:name w:val="themebody1"/>
    <w:autoRedefine/>
    <w:qFormat/>
    <w:uiPriority w:val="0"/>
    <w:rPr>
      <w:color w:val="FFFFFF"/>
    </w:rPr>
  </w:style>
  <w:style w:type="character" w:customStyle="1" w:styleId="138">
    <w:name w:val="页脚 字符1"/>
    <w:autoRedefine/>
    <w:semiHidden/>
    <w:qFormat/>
    <w:uiPriority w:val="99"/>
    <w:rPr>
      <w:rFonts w:ascii="宋体" w:hAnsi="Calibri" w:eastAsia="宋体" w:cs="Times New Roman"/>
      <w:kern w:val="0"/>
      <w:sz w:val="18"/>
      <w:szCs w:val="18"/>
    </w:rPr>
  </w:style>
  <w:style w:type="character" w:customStyle="1" w:styleId="139">
    <w:name w:val="列出段落 字符"/>
    <w:link w:val="140"/>
    <w:autoRedefine/>
    <w:qFormat/>
    <w:uiPriority w:val="34"/>
    <w:rPr>
      <w:kern w:val="2"/>
      <w:sz w:val="21"/>
      <w:szCs w:val="22"/>
    </w:rPr>
  </w:style>
  <w:style w:type="paragraph" w:styleId="140">
    <w:name w:val="List Paragraph"/>
    <w:basedOn w:val="1"/>
    <w:link w:val="139"/>
    <w:autoRedefine/>
    <w:qFormat/>
    <w:uiPriority w:val="34"/>
    <w:pPr>
      <w:ind w:firstLine="420" w:firstLineChars="200"/>
    </w:pPr>
  </w:style>
  <w:style w:type="character" w:customStyle="1" w:styleId="141">
    <w:name w:val="正文文本 Char"/>
    <w:autoRedefine/>
    <w:qFormat/>
    <w:uiPriority w:val="99"/>
    <w:rPr>
      <w:rFonts w:ascii="宋体" w:eastAsia="宋体"/>
      <w:b/>
      <w:bCs/>
      <w:sz w:val="84"/>
      <w:szCs w:val="84"/>
      <w:lang w:val="zh-CN"/>
    </w:rPr>
  </w:style>
  <w:style w:type="character" w:customStyle="1" w:styleId="142">
    <w:name w:val="页眉 字符1"/>
    <w:autoRedefine/>
    <w:semiHidden/>
    <w:qFormat/>
    <w:uiPriority w:val="99"/>
    <w:rPr>
      <w:rFonts w:ascii="宋体" w:hAnsi="Calibri" w:eastAsia="宋体" w:cs="Times New Roman"/>
      <w:kern w:val="0"/>
      <w:sz w:val="18"/>
      <w:szCs w:val="18"/>
    </w:rPr>
  </w:style>
  <w:style w:type="character" w:customStyle="1" w:styleId="143">
    <w:name w:val="标题 5 字符1"/>
    <w:link w:val="7"/>
    <w:autoRedefine/>
    <w:qFormat/>
    <w:uiPriority w:val="9"/>
    <w:rPr>
      <w:rFonts w:ascii="宋体" w:hAnsi="Calibri" w:eastAsia="宋体" w:cs="Times New Roman"/>
      <w:b/>
      <w:bCs/>
      <w:kern w:val="0"/>
      <w:sz w:val="28"/>
      <w:szCs w:val="28"/>
    </w:rPr>
  </w:style>
  <w:style w:type="character" w:customStyle="1" w:styleId="144">
    <w:name w:val="keyfeatures1"/>
    <w:autoRedefine/>
    <w:qFormat/>
    <w:uiPriority w:val="0"/>
    <w:rPr>
      <w:rFonts w:hint="default" w:ascii="Arial" w:hAnsi="Arial" w:cs="Arial"/>
      <w:color w:val="003366"/>
      <w:sz w:val="17"/>
      <w:szCs w:val="17"/>
      <w:u w:val="none"/>
    </w:rPr>
  </w:style>
  <w:style w:type="character" w:customStyle="1" w:styleId="145">
    <w:name w:val="题注 字符"/>
    <w:autoRedefine/>
    <w:qFormat/>
    <w:uiPriority w:val="0"/>
    <w:rPr>
      <w:rFonts w:ascii="宋体" w:hAnsi="宋体" w:eastAsia="黑体" w:cs="Times New Roman"/>
      <w:b/>
      <w:szCs w:val="21"/>
    </w:rPr>
  </w:style>
  <w:style w:type="character" w:customStyle="1" w:styleId="146">
    <w:name w:val="标题 4 Char"/>
    <w:autoRedefine/>
    <w:qFormat/>
    <w:uiPriority w:val="0"/>
    <w:rPr>
      <w:rFonts w:ascii="宋体" w:hAnsi="宋体" w:eastAsia="宋体"/>
      <w:b/>
      <w:kern w:val="2"/>
      <w:sz w:val="21"/>
      <w:szCs w:val="24"/>
      <w:lang w:val="en-US" w:eastAsia="zh-CN" w:bidi="ar-SA"/>
    </w:rPr>
  </w:style>
  <w:style w:type="character" w:customStyle="1" w:styleId="147">
    <w:name w:val="批注文字 字符3"/>
    <w:autoRedefine/>
    <w:semiHidden/>
    <w:qFormat/>
    <w:uiPriority w:val="99"/>
    <w:rPr>
      <w:rFonts w:ascii="宋体" w:hAnsi="Calibri" w:eastAsia="宋体" w:cs="Times New Roman"/>
      <w:kern w:val="0"/>
      <w:sz w:val="24"/>
      <w:szCs w:val="24"/>
    </w:rPr>
  </w:style>
  <w:style w:type="character" w:customStyle="1" w:styleId="148">
    <w:name w:val="纯文本 字符1"/>
    <w:autoRedefine/>
    <w:qFormat/>
    <w:uiPriority w:val="0"/>
    <w:rPr>
      <w:rFonts w:ascii="宋体" w:hAnsi="Courier New" w:eastAsia="宋体"/>
      <w:kern w:val="2"/>
      <w:sz w:val="21"/>
      <w:szCs w:val="24"/>
      <w:lang w:val="en-US" w:eastAsia="zh-CN" w:bidi="ar-SA"/>
    </w:rPr>
  </w:style>
  <w:style w:type="character" w:customStyle="1" w:styleId="149">
    <w:name w:val="列出段落 Char1"/>
    <w:autoRedefine/>
    <w:qFormat/>
    <w:uiPriority w:val="34"/>
    <w:rPr>
      <w:rFonts w:ascii="宋体"/>
      <w:sz w:val="24"/>
      <w:szCs w:val="24"/>
    </w:rPr>
  </w:style>
  <w:style w:type="character" w:customStyle="1" w:styleId="150">
    <w:name w:val="彩色列表 - 着色 1 字符"/>
    <w:link w:val="151"/>
    <w:autoRedefine/>
    <w:qFormat/>
    <w:uiPriority w:val="0"/>
    <w:rPr>
      <w:rFonts w:ascii="Calibri" w:hAnsi="Calibri"/>
    </w:rPr>
  </w:style>
  <w:style w:type="paragraph" w:customStyle="1" w:styleId="151">
    <w:name w:val="彩色列表 - 着色 11"/>
    <w:basedOn w:val="1"/>
    <w:link w:val="150"/>
    <w:autoRedefine/>
    <w:qFormat/>
    <w:uiPriority w:val="0"/>
    <w:pPr>
      <w:ind w:firstLine="420" w:firstLineChars="200"/>
    </w:pPr>
    <w:rPr>
      <w:rFonts w:ascii="Calibri" w:hAnsi="Calibri"/>
    </w:rPr>
  </w:style>
  <w:style w:type="character" w:customStyle="1" w:styleId="152">
    <w:name w:val="纯文本 Char"/>
    <w:autoRedefine/>
    <w:qFormat/>
    <w:uiPriority w:val="0"/>
    <w:rPr>
      <w:rFonts w:ascii="宋体" w:hAnsi="Courier New" w:eastAsia="宋体" w:cs="Times New Roman"/>
      <w:szCs w:val="20"/>
    </w:rPr>
  </w:style>
  <w:style w:type="character" w:customStyle="1" w:styleId="153">
    <w:name w:val="标题 6 字符1"/>
    <w:link w:val="8"/>
    <w:autoRedefine/>
    <w:qFormat/>
    <w:uiPriority w:val="9"/>
    <w:rPr>
      <w:rFonts w:ascii="Times New Roman" w:hAnsi="Calibri" w:eastAsia="黑体" w:cs="Times New Roman"/>
      <w:b/>
      <w:bCs/>
      <w:kern w:val="0"/>
      <w:sz w:val="28"/>
      <w:szCs w:val="24"/>
    </w:rPr>
  </w:style>
  <w:style w:type="character" w:customStyle="1" w:styleId="154">
    <w:name w:val="正文文本 2 字符"/>
    <w:link w:val="39"/>
    <w:autoRedefine/>
    <w:qFormat/>
    <w:uiPriority w:val="0"/>
    <w:rPr>
      <w:rFonts w:ascii="Arial" w:hAnsi="Arial" w:eastAsia="宋体" w:cs="Times New Roman"/>
      <w:color w:val="000000"/>
      <w:szCs w:val="24"/>
    </w:rPr>
  </w:style>
  <w:style w:type="character" w:customStyle="1" w:styleId="155">
    <w:name w:val="标题 3 字符1"/>
    <w:link w:val="5"/>
    <w:autoRedefine/>
    <w:qFormat/>
    <w:uiPriority w:val="0"/>
    <w:rPr>
      <w:rFonts w:ascii="宋体" w:hAnsi="Calibri" w:eastAsia="宋体" w:cs="Times New Roman"/>
      <w:kern w:val="0"/>
      <w:sz w:val="24"/>
      <w:szCs w:val="24"/>
    </w:rPr>
  </w:style>
  <w:style w:type="character" w:customStyle="1" w:styleId="156">
    <w:name w:val="正文文本缩进 2 字符1"/>
    <w:autoRedefine/>
    <w:semiHidden/>
    <w:qFormat/>
    <w:uiPriority w:val="99"/>
    <w:rPr>
      <w:rFonts w:ascii="宋体" w:hAnsi="Calibri" w:eastAsia="宋体" w:cs="Times New Roman"/>
      <w:kern w:val="0"/>
      <w:sz w:val="24"/>
      <w:szCs w:val="24"/>
    </w:rPr>
  </w:style>
  <w:style w:type="character" w:customStyle="1" w:styleId="157">
    <w:name w:val="正文文本缩进 3 字符1"/>
    <w:autoRedefine/>
    <w:semiHidden/>
    <w:qFormat/>
    <w:uiPriority w:val="99"/>
    <w:rPr>
      <w:rFonts w:ascii="宋体" w:hAnsi="Calibri" w:eastAsia="宋体" w:cs="Times New Roman"/>
      <w:kern w:val="0"/>
      <w:sz w:val="16"/>
      <w:szCs w:val="16"/>
    </w:rPr>
  </w:style>
  <w:style w:type="character" w:customStyle="1" w:styleId="158">
    <w:name w:val="正文文本 2 字符1"/>
    <w:autoRedefine/>
    <w:semiHidden/>
    <w:qFormat/>
    <w:uiPriority w:val="99"/>
    <w:rPr>
      <w:rFonts w:ascii="宋体" w:hAnsi="Calibri" w:eastAsia="宋体" w:cs="Times New Roman"/>
      <w:kern w:val="0"/>
      <w:sz w:val="24"/>
      <w:szCs w:val="24"/>
    </w:rPr>
  </w:style>
  <w:style w:type="character" w:customStyle="1" w:styleId="159">
    <w:name w:val="eschoolnr"/>
    <w:autoRedefine/>
    <w:qFormat/>
    <w:uiPriority w:val="0"/>
    <w:rPr>
      <w:sz w:val="23"/>
      <w:szCs w:val="23"/>
    </w:rPr>
  </w:style>
  <w:style w:type="character" w:customStyle="1" w:styleId="160">
    <w:name w:val="访问过的超链接1"/>
    <w:autoRedefine/>
    <w:qFormat/>
    <w:uiPriority w:val="0"/>
    <w:rPr>
      <w:rFonts w:ascii="Arial" w:hAnsi="Arial" w:cs="Arial"/>
      <w:color w:val="000000"/>
      <w:sz w:val="20"/>
      <w:szCs w:val="20"/>
      <w:u w:val="none"/>
    </w:rPr>
  </w:style>
  <w:style w:type="character" w:customStyle="1" w:styleId="161">
    <w:name w:val="标题 1 字符1"/>
    <w:link w:val="3"/>
    <w:autoRedefine/>
    <w:qFormat/>
    <w:uiPriority w:val="0"/>
    <w:rPr>
      <w:rFonts w:ascii="宋体" w:hAnsi="Calibri" w:eastAsia="宋体" w:cs="Times New Roman"/>
      <w:kern w:val="0"/>
      <w:sz w:val="24"/>
      <w:szCs w:val="24"/>
    </w:rPr>
  </w:style>
  <w:style w:type="character" w:customStyle="1" w:styleId="162">
    <w:name w:val="批注文字 Char1"/>
    <w:autoRedefine/>
    <w:qFormat/>
    <w:uiPriority w:val="0"/>
    <w:rPr>
      <w:kern w:val="2"/>
      <w:sz w:val="21"/>
      <w:szCs w:val="24"/>
    </w:rPr>
  </w:style>
  <w:style w:type="character" w:customStyle="1" w:styleId="163">
    <w:name w:val="批注框文本 Char"/>
    <w:autoRedefine/>
    <w:semiHidden/>
    <w:qFormat/>
    <w:uiPriority w:val="99"/>
    <w:rPr>
      <w:kern w:val="2"/>
      <w:sz w:val="18"/>
      <w:szCs w:val="18"/>
    </w:rPr>
  </w:style>
  <w:style w:type="character" w:customStyle="1" w:styleId="164">
    <w:name w:val="DAS正文 Char"/>
    <w:autoRedefine/>
    <w:qFormat/>
    <w:uiPriority w:val="0"/>
    <w:rPr>
      <w:rFonts w:ascii="Verdana" w:hAnsi="Verdana" w:eastAsia="宋体"/>
      <w:kern w:val="2"/>
      <w:sz w:val="21"/>
      <w:szCs w:val="21"/>
      <w:lang w:val="en-US" w:eastAsia="zh-CN" w:bidi="ar-SA"/>
    </w:rPr>
  </w:style>
  <w:style w:type="character" w:customStyle="1" w:styleId="165">
    <w:name w:val="正文文本缩进 3 字符"/>
    <w:link w:val="36"/>
    <w:autoRedefine/>
    <w:qFormat/>
    <w:uiPriority w:val="0"/>
    <w:rPr>
      <w:rFonts w:ascii="宋体" w:hAnsi="Times New Roman" w:eastAsia="宋体" w:cs="Times New Roman"/>
      <w:kern w:val="0"/>
      <w:sz w:val="24"/>
      <w:szCs w:val="24"/>
    </w:rPr>
  </w:style>
  <w:style w:type="character" w:customStyle="1" w:styleId="166">
    <w:name w:val="页眉 Char"/>
    <w:autoRedefine/>
    <w:qFormat/>
    <w:uiPriority w:val="99"/>
    <w:rPr>
      <w:kern w:val="2"/>
      <w:sz w:val="18"/>
      <w:szCs w:val="18"/>
    </w:rPr>
  </w:style>
  <w:style w:type="character" w:customStyle="1" w:styleId="167">
    <w:name w:val="正文文本 3 字符"/>
    <w:link w:val="20"/>
    <w:autoRedefine/>
    <w:qFormat/>
    <w:uiPriority w:val="0"/>
    <w:rPr>
      <w:rFonts w:ascii="宋体" w:hAnsi="Times New Roman" w:eastAsia="宋体" w:cs="Times New Roman"/>
      <w:b/>
      <w:bCs/>
      <w:color w:val="3366FF"/>
      <w:sz w:val="52"/>
      <w:szCs w:val="52"/>
      <w:lang w:val="zh-CN"/>
    </w:rPr>
  </w:style>
  <w:style w:type="character" w:customStyle="1" w:styleId="168">
    <w:name w:val="HTML 预设格式 字符1"/>
    <w:autoRedefine/>
    <w:semiHidden/>
    <w:qFormat/>
    <w:uiPriority w:val="99"/>
    <w:rPr>
      <w:rFonts w:ascii="Courier New" w:hAnsi="Courier New" w:eastAsia="宋体" w:cs="Courier New"/>
      <w:kern w:val="0"/>
      <w:sz w:val="20"/>
      <w:szCs w:val="20"/>
    </w:rPr>
  </w:style>
  <w:style w:type="character" w:customStyle="1" w:styleId="169">
    <w:name w:val="彩色列表 - 强调文字颜色 1 Char"/>
    <w:link w:val="170"/>
    <w:autoRedefine/>
    <w:qFormat/>
    <w:uiPriority w:val="0"/>
    <w:rPr>
      <w:rFonts w:ascii="宋体"/>
      <w:sz w:val="24"/>
      <w:szCs w:val="24"/>
    </w:rPr>
  </w:style>
  <w:style w:type="paragraph" w:customStyle="1" w:styleId="170">
    <w:name w:val="彩色列表 - 强调文字颜色 11"/>
    <w:basedOn w:val="1"/>
    <w:link w:val="169"/>
    <w:autoRedefine/>
    <w:qFormat/>
    <w:uiPriority w:val="0"/>
    <w:pPr>
      <w:autoSpaceDE w:val="0"/>
      <w:autoSpaceDN w:val="0"/>
      <w:adjustRightInd w:val="0"/>
      <w:ind w:firstLine="420" w:firstLineChars="200"/>
      <w:jc w:val="left"/>
    </w:pPr>
    <w:rPr>
      <w:rFonts w:ascii="宋体"/>
      <w:sz w:val="24"/>
      <w:szCs w:val="24"/>
    </w:rPr>
  </w:style>
  <w:style w:type="character" w:customStyle="1" w:styleId="171">
    <w:name w:val="普通(网站) 字符"/>
    <w:autoRedefine/>
    <w:qFormat/>
    <w:locked/>
    <w:uiPriority w:val="99"/>
    <w:rPr>
      <w:rFonts w:ascii="宋体" w:hAnsi="宋体" w:eastAsia="宋体" w:cs="Times New Roman"/>
      <w:kern w:val="0"/>
      <w:sz w:val="15"/>
      <w:szCs w:val="15"/>
      <w:lang w:val="en-US" w:eastAsia="zh-CN"/>
    </w:rPr>
  </w:style>
  <w:style w:type="paragraph" w:customStyle="1" w:styleId="172">
    <w:name w:val="_Style 123"/>
    <w:basedOn w:val="1"/>
    <w:next w:val="140"/>
    <w:autoRedefine/>
    <w:qFormat/>
    <w:uiPriority w:val="34"/>
    <w:pPr>
      <w:spacing w:line="360" w:lineRule="auto"/>
      <w:ind w:firstLine="420" w:firstLineChars="200"/>
    </w:pPr>
    <w:rPr>
      <w:rFonts w:ascii="Calibri" w:hAnsi="Calibri" w:eastAsia="宋体" w:cs="Times New Roman"/>
    </w:rPr>
  </w:style>
  <w:style w:type="character" w:customStyle="1" w:styleId="173">
    <w:name w:val="纯文本 字符4"/>
    <w:basedOn w:val="48"/>
    <w:autoRedefine/>
    <w:semiHidden/>
    <w:qFormat/>
    <w:uiPriority w:val="99"/>
    <w:rPr>
      <w:rFonts w:hAnsi="Courier New" w:cs="Courier New" w:asciiTheme="minorEastAsia"/>
    </w:rPr>
  </w:style>
  <w:style w:type="character" w:customStyle="1" w:styleId="174">
    <w:name w:val="批注文字 字符4"/>
    <w:basedOn w:val="48"/>
    <w:link w:val="19"/>
    <w:autoRedefine/>
    <w:semiHidden/>
    <w:qFormat/>
    <w:uiPriority w:val="99"/>
  </w:style>
  <w:style w:type="character" w:customStyle="1" w:styleId="175">
    <w:name w:val="批注主题 字符2"/>
    <w:basedOn w:val="174"/>
    <w:autoRedefine/>
    <w:semiHidden/>
    <w:qFormat/>
    <w:uiPriority w:val="99"/>
    <w:rPr>
      <w:b/>
      <w:bCs/>
    </w:rPr>
  </w:style>
  <w:style w:type="character" w:customStyle="1" w:styleId="176">
    <w:name w:val="标题 字符3"/>
    <w:basedOn w:val="48"/>
    <w:autoRedefine/>
    <w:qFormat/>
    <w:uiPriority w:val="10"/>
    <w:rPr>
      <w:rFonts w:asciiTheme="majorHAnsi" w:hAnsiTheme="majorHAnsi" w:eastAsiaTheme="majorEastAsia" w:cstheme="majorBidi"/>
      <w:b/>
      <w:bCs/>
      <w:sz w:val="32"/>
      <w:szCs w:val="32"/>
    </w:rPr>
  </w:style>
  <w:style w:type="character" w:customStyle="1" w:styleId="177">
    <w:name w:val="正文文本缩进 字符3"/>
    <w:basedOn w:val="48"/>
    <w:autoRedefine/>
    <w:semiHidden/>
    <w:qFormat/>
    <w:uiPriority w:val="99"/>
  </w:style>
  <w:style w:type="character" w:customStyle="1" w:styleId="178">
    <w:name w:val="正文文本 字符4"/>
    <w:basedOn w:val="48"/>
    <w:autoRedefine/>
    <w:semiHidden/>
    <w:qFormat/>
    <w:uiPriority w:val="99"/>
  </w:style>
  <w:style w:type="character" w:customStyle="1" w:styleId="179">
    <w:name w:val="正文文本缩进 3 字符2"/>
    <w:basedOn w:val="48"/>
    <w:autoRedefine/>
    <w:semiHidden/>
    <w:qFormat/>
    <w:uiPriority w:val="99"/>
    <w:rPr>
      <w:sz w:val="16"/>
      <w:szCs w:val="16"/>
    </w:rPr>
  </w:style>
  <w:style w:type="character" w:customStyle="1" w:styleId="180">
    <w:name w:val="页眉 字符2"/>
    <w:basedOn w:val="48"/>
    <w:autoRedefine/>
    <w:semiHidden/>
    <w:qFormat/>
    <w:uiPriority w:val="99"/>
    <w:rPr>
      <w:sz w:val="18"/>
      <w:szCs w:val="18"/>
    </w:rPr>
  </w:style>
  <w:style w:type="character" w:customStyle="1" w:styleId="181">
    <w:name w:val="批注框文本 字符2"/>
    <w:basedOn w:val="48"/>
    <w:autoRedefine/>
    <w:semiHidden/>
    <w:qFormat/>
    <w:uiPriority w:val="99"/>
    <w:rPr>
      <w:sz w:val="18"/>
      <w:szCs w:val="18"/>
    </w:rPr>
  </w:style>
  <w:style w:type="character" w:customStyle="1" w:styleId="182">
    <w:name w:val="HTML 预设格式 字符2"/>
    <w:basedOn w:val="48"/>
    <w:autoRedefine/>
    <w:semiHidden/>
    <w:qFormat/>
    <w:uiPriority w:val="99"/>
    <w:rPr>
      <w:rFonts w:ascii="Courier New" w:hAnsi="Courier New" w:cs="Courier New"/>
      <w:sz w:val="20"/>
      <w:szCs w:val="20"/>
    </w:rPr>
  </w:style>
  <w:style w:type="character" w:customStyle="1" w:styleId="183">
    <w:name w:val="页脚 字符2"/>
    <w:basedOn w:val="48"/>
    <w:autoRedefine/>
    <w:semiHidden/>
    <w:qFormat/>
    <w:uiPriority w:val="99"/>
    <w:rPr>
      <w:sz w:val="18"/>
      <w:szCs w:val="18"/>
    </w:rPr>
  </w:style>
  <w:style w:type="character" w:customStyle="1" w:styleId="184">
    <w:name w:val="正文文本缩进 2 字符2"/>
    <w:basedOn w:val="48"/>
    <w:autoRedefine/>
    <w:semiHidden/>
    <w:qFormat/>
    <w:uiPriority w:val="99"/>
  </w:style>
  <w:style w:type="character" w:customStyle="1" w:styleId="185">
    <w:name w:val="正文文本 3 字符2"/>
    <w:basedOn w:val="48"/>
    <w:autoRedefine/>
    <w:semiHidden/>
    <w:qFormat/>
    <w:uiPriority w:val="99"/>
    <w:rPr>
      <w:sz w:val="16"/>
      <w:szCs w:val="16"/>
    </w:rPr>
  </w:style>
  <w:style w:type="character" w:customStyle="1" w:styleId="186">
    <w:name w:val="正文文本 2 字符2"/>
    <w:basedOn w:val="48"/>
    <w:autoRedefine/>
    <w:semiHidden/>
    <w:qFormat/>
    <w:uiPriority w:val="99"/>
  </w:style>
  <w:style w:type="paragraph" w:customStyle="1" w:styleId="18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8">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9">
    <w:name w:val="文档结构图 字符2"/>
    <w:basedOn w:val="48"/>
    <w:autoRedefine/>
    <w:semiHidden/>
    <w:qFormat/>
    <w:uiPriority w:val="99"/>
    <w:rPr>
      <w:rFonts w:ascii="Microsoft YaHei UI" w:eastAsia="Microsoft YaHei UI"/>
      <w:sz w:val="18"/>
      <w:szCs w:val="18"/>
    </w:rPr>
  </w:style>
  <w:style w:type="character" w:customStyle="1" w:styleId="190">
    <w:name w:val="日期 字符2"/>
    <w:basedOn w:val="48"/>
    <w:autoRedefine/>
    <w:semiHidden/>
    <w:qFormat/>
    <w:uiPriority w:val="99"/>
  </w:style>
  <w:style w:type="paragraph" w:customStyle="1" w:styleId="191">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92">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93">
    <w:name w:val="修订1"/>
    <w:autoRedefine/>
    <w:semiHidden/>
    <w:qFormat/>
    <w:uiPriority w:val="99"/>
    <w:rPr>
      <w:rFonts w:ascii="宋体" w:hAnsi="Calibri" w:eastAsia="宋体" w:cs="Times New Roman"/>
      <w:sz w:val="24"/>
      <w:szCs w:val="24"/>
      <w:lang w:val="en-US" w:eastAsia="zh-CN" w:bidi="ar-SA"/>
    </w:rPr>
  </w:style>
  <w:style w:type="paragraph" w:customStyle="1" w:styleId="194">
    <w:name w:val="图/图注"/>
    <w:basedOn w:val="9"/>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6">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7">
    <w:name w:val="p0"/>
    <w:basedOn w:val="1"/>
    <w:autoRedefine/>
    <w:qFormat/>
    <w:uiPriority w:val="0"/>
    <w:pPr>
      <w:widowControl/>
    </w:pPr>
    <w:rPr>
      <w:rFonts w:ascii="Times New Roman" w:hAnsi="Calibri" w:eastAsia="宋体" w:cs="Times New Roman"/>
      <w:kern w:val="0"/>
      <w:szCs w:val="20"/>
    </w:rPr>
  </w:style>
  <w:style w:type="paragraph" w:customStyle="1" w:styleId="198">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200">
    <w:name w:val="网格表 32"/>
    <w:basedOn w:val="3"/>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1">
    <w:name w:val="WPSOffice手动目录 1"/>
    <w:autoRedefine/>
    <w:qFormat/>
    <w:uiPriority w:val="0"/>
    <w:rPr>
      <w:rFonts w:ascii="Calibri" w:hAnsi="Calibri" w:eastAsia="宋体" w:cs="Times New Roman"/>
      <w:lang w:val="en-US" w:eastAsia="zh-CN" w:bidi="ar-SA"/>
    </w:rPr>
  </w:style>
  <w:style w:type="paragraph" w:customStyle="1" w:styleId="202">
    <w:name w:val="_Style 69"/>
    <w:basedOn w:val="1"/>
    <w:next w:val="140"/>
    <w:autoRedefine/>
    <w:qFormat/>
    <w:uiPriority w:val="34"/>
    <w:pPr>
      <w:spacing w:line="360" w:lineRule="auto"/>
      <w:ind w:firstLine="420" w:firstLineChars="200"/>
    </w:pPr>
    <w:rPr>
      <w:rFonts w:ascii="Calibri" w:hAnsi="Calibri" w:eastAsia="宋体" w:cs="Times New Roman"/>
    </w:rPr>
  </w:style>
  <w:style w:type="paragraph" w:customStyle="1" w:styleId="203">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4">
    <w:name w:val="保留正文"/>
    <w:basedOn w:val="21"/>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5">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6">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7">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8">
    <w:name w:val="表格文字居中"/>
    <w:basedOn w:val="133"/>
    <w:autoRedefine/>
    <w:qFormat/>
    <w:uiPriority w:val="0"/>
    <w:pPr>
      <w:jc w:val="center"/>
    </w:pPr>
    <w:rPr>
      <w:rFonts w:cs="宋体"/>
      <w:szCs w:val="20"/>
    </w:rPr>
  </w:style>
  <w:style w:type="paragraph" w:customStyle="1" w:styleId="209">
    <w:name w:val="正文缩进4格"/>
    <w:basedOn w:val="74"/>
    <w:autoRedefine/>
    <w:qFormat/>
    <w:uiPriority w:val="0"/>
    <w:pPr>
      <w:spacing w:line="360" w:lineRule="auto"/>
      <w:ind w:left="964" w:leftChars="314" w:hanging="210" w:hangingChars="100"/>
    </w:pPr>
    <w:rPr>
      <w:rFonts w:ascii="宋体" w:eastAsia="宋体"/>
      <w:sz w:val="21"/>
      <w:szCs w:val="21"/>
      <w:lang w:val="zh-CN"/>
    </w:rPr>
  </w:style>
  <w:style w:type="paragraph" w:customStyle="1" w:styleId="210">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11">
    <w:name w:val="正文首行缩进 字符"/>
    <w:basedOn w:val="129"/>
    <w:link w:val="44"/>
    <w:autoRedefine/>
    <w:semiHidden/>
    <w:qFormat/>
    <w:uiPriority w:val="99"/>
    <w:rPr>
      <w:rFonts w:ascii="宋体" w:eastAsia="宋体"/>
      <w:b w:val="0"/>
      <w:bCs w:val="0"/>
      <w:sz w:val="84"/>
      <w:szCs w:val="84"/>
      <w:lang w:val="zh-CN"/>
    </w:rPr>
  </w:style>
  <w:style w:type="paragraph" w:customStyle="1" w:styleId="212">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3">
    <w:name w:val="页脚 字符"/>
    <w:basedOn w:val="48"/>
    <w:link w:val="26"/>
    <w:autoRedefine/>
    <w:qFormat/>
    <w:uiPriority w:val="0"/>
    <w:rPr>
      <w:kern w:val="2"/>
      <w:sz w:val="18"/>
    </w:rPr>
  </w:style>
  <w:style w:type="paragraph" w:customStyle="1" w:styleId="214">
    <w:name w:val="Table Text"/>
    <w:basedOn w:val="1"/>
    <w:link w:val="215"/>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5">
    <w:name w:val="Table Text Char1"/>
    <w:basedOn w:val="48"/>
    <w:link w:val="214"/>
    <w:autoRedefine/>
    <w:qFormat/>
    <w:uiPriority w:val="0"/>
    <w:rPr>
      <w:rFonts w:hint="default" w:ascii="Arial" w:hAnsi="Arial" w:cs="Arial"/>
      <w:snapToGrid/>
      <w:sz w:val="21"/>
      <w:szCs w:val="21"/>
    </w:rPr>
  </w:style>
  <w:style w:type="table" w:customStyle="1" w:styleId="216">
    <w:name w:val="Table Normal"/>
    <w:basedOn w:val="46"/>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7">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8">
    <w:name w:val="列出段落2"/>
    <w:basedOn w:val="1"/>
    <w:autoRedefine/>
    <w:qFormat/>
    <w:uiPriority w:val="99"/>
    <w:pPr>
      <w:ind w:firstLine="420" w:firstLineChars="200"/>
    </w:pPr>
  </w:style>
  <w:style w:type="character" w:customStyle="1" w:styleId="219">
    <w:name w:val="10"/>
    <w:basedOn w:val="48"/>
    <w:autoRedefine/>
    <w:qFormat/>
    <w:uiPriority w:val="0"/>
    <w:rPr>
      <w:rFonts w:hint="default" w:ascii="Times New Roman" w:hAnsi="Times New Roman" w:cs="Times New Roman"/>
    </w:rPr>
  </w:style>
  <w:style w:type="character" w:customStyle="1" w:styleId="220">
    <w:name w:val="15"/>
    <w:basedOn w:val="48"/>
    <w:autoRedefine/>
    <w:qFormat/>
    <w:uiPriority w:val="0"/>
    <w:rPr>
      <w:rFonts w:hint="default" w:ascii="Times New Roman" w:hAnsi="Times New Roman" w:cs="Times New Roman"/>
    </w:rPr>
  </w:style>
  <w:style w:type="paragraph" w:customStyle="1" w:styleId="221">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154</Pages>
  <Words>28837</Words>
  <Characters>30787</Characters>
  <Lines>850</Lines>
  <Paragraphs>239</Paragraphs>
  <TotalTime>0</TotalTime>
  <ScaleCrop>false</ScaleCrop>
  <LinksUpToDate>false</LinksUpToDate>
  <CharactersWithSpaces>31409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2025-09-05T08:59:00Z</dcterms:created>
  <dc:creator>HS</dc:creator>
  <cp:lastModifiedBy>123</cp:lastModifiedBy>
  <cp:lastPrinted>2025-09-05T09:31:00Z</cp:lastPrinted>
  <dcterms:modified xsi:type="dcterms:W3CDTF">2025-09-29T12:15:42Z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2A030D074569450B93F62B9276C86338_13</vt:lpwstr>
  </property>
  <property fmtid="{D5CDD505-2E9C-101B-9397-08002B2CF9AE}" pid="4" name="KSOTemplateDocerSaveRecord">
    <vt:lpwstr>eyJoZGlkIjoiYzhiNGQ3OTEzYjE3OTMxMWUyYmUxMjVkY2I3YjVmOTQifQ==</vt:lpwstr>
  </property>
</Properties>
</file>