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360" w:lineRule="auto"/>
        <w:jc w:val="center"/>
        <w:rPr>
          <w:rFonts w:hAnsi="宋体" w:cs="宋体"/>
          <w:b/>
          <w:bCs/>
          <w:kern w:val="2"/>
          <w:sz w:val="32"/>
          <w:szCs w:val="32"/>
          <w:highlight w:val="none"/>
        </w:rPr>
      </w:pPr>
      <w:bookmarkStart w:id="0" w:name="_Toc29476691"/>
      <w:r>
        <w:rPr>
          <w:rFonts w:hint="eastAsia" w:hAnsi="宋体" w:cs="宋体"/>
          <w:b/>
          <w:bCs/>
          <w:sz w:val="32"/>
          <w:szCs w:val="32"/>
          <w:highlight w:val="none"/>
        </w:rPr>
        <w:t xml:space="preserve"> 用户需求</w:t>
      </w:r>
      <w:bookmarkEnd w:id="0"/>
    </w:p>
    <w:p>
      <w:pPr>
        <w:spacing w:after="120"/>
        <w:rPr>
          <w:rFonts w:hAnsi="宋体" w:cs="宋体"/>
          <w:highlight w:val="none"/>
        </w:rPr>
      </w:pPr>
    </w:p>
    <w:p>
      <w:pPr>
        <w:autoSpaceDE/>
        <w:autoSpaceDN/>
        <w:adjustRightInd/>
        <w:spacing w:line="360" w:lineRule="auto"/>
        <w:jc w:val="both"/>
        <w:rPr>
          <w:rFonts w:ascii="Times New Roman" w:hAnsiTheme="minorHAnsi" w:eastAsiaTheme="minorEastAsia" w:cstheme="minorBidi"/>
          <w:b/>
          <w:color w:val="000000"/>
          <w:kern w:val="2"/>
          <w:sz w:val="21"/>
          <w:szCs w:val="21"/>
          <w:highlight w:val="none"/>
        </w:rPr>
      </w:pPr>
      <w:bookmarkStart w:id="1" w:name="_Toc146625403"/>
      <w:r>
        <w:rPr>
          <w:rFonts w:hint="eastAsia" w:ascii="Times New Roman" w:hAnsiTheme="minorHAnsi" w:eastAsiaTheme="minorEastAsia" w:cstheme="minorBidi"/>
          <w:b/>
          <w:color w:val="000000"/>
          <w:kern w:val="2"/>
          <w:sz w:val="21"/>
          <w:szCs w:val="21"/>
          <w:highlight w:val="none"/>
        </w:rPr>
        <w:t>一</w:t>
      </w:r>
      <w:r>
        <w:rPr>
          <w:rFonts w:ascii="Times New Roman" w:hAnsiTheme="minorHAnsi" w:eastAsiaTheme="minorEastAsia" w:cstheme="minorBidi"/>
          <w:b/>
          <w:color w:val="000000"/>
          <w:kern w:val="2"/>
          <w:sz w:val="21"/>
          <w:szCs w:val="21"/>
          <w:highlight w:val="none"/>
        </w:rPr>
        <w:t>、</w:t>
      </w:r>
      <w:r>
        <w:rPr>
          <w:rFonts w:hint="eastAsia" w:ascii="Times New Roman" w:hAnsiTheme="minorHAnsi" w:eastAsiaTheme="minorEastAsia" w:cstheme="minorBidi"/>
          <w:b/>
          <w:color w:val="000000"/>
          <w:kern w:val="2"/>
          <w:sz w:val="21"/>
          <w:szCs w:val="21"/>
          <w:highlight w:val="none"/>
        </w:rPr>
        <w:t>总体</w:t>
      </w:r>
      <w:r>
        <w:rPr>
          <w:rFonts w:ascii="Times New Roman" w:hAnsiTheme="minorHAnsi" w:eastAsiaTheme="minorEastAsia" w:cstheme="minorBidi"/>
          <w:b/>
          <w:color w:val="000000"/>
          <w:kern w:val="2"/>
          <w:sz w:val="21"/>
          <w:szCs w:val="21"/>
          <w:highlight w:val="none"/>
        </w:rPr>
        <w:t>要求</w:t>
      </w:r>
    </w:p>
    <w:p>
      <w:pPr>
        <w:autoSpaceDE/>
        <w:autoSpaceDN/>
        <w:adjustRightInd/>
        <w:spacing w:line="360" w:lineRule="auto"/>
        <w:ind w:firstLine="420" w:firstLineChars="200"/>
        <w:jc w:val="both"/>
        <w:rPr>
          <w:rFonts w:hint="eastAsia" w:hAnsi="宋体" w:eastAsia="宋体" w:cs="宋体"/>
          <w:color w:val="000000"/>
          <w:kern w:val="2"/>
          <w:sz w:val="21"/>
          <w:szCs w:val="21"/>
          <w:highlight w:val="none"/>
          <w:lang w:val="en-US" w:eastAsia="zh-CN"/>
        </w:rPr>
      </w:pPr>
      <w:r>
        <w:rPr>
          <w:rFonts w:hint="eastAsia" w:hAnsi="宋体" w:cs="宋体"/>
          <w:color w:val="000000"/>
          <w:kern w:val="2"/>
          <w:sz w:val="21"/>
          <w:szCs w:val="21"/>
          <w:highlight w:val="none"/>
        </w:rPr>
        <w:t>供应商所</w:t>
      </w:r>
      <w:bookmarkStart w:id="2" w:name="OLE_LINK4"/>
      <w:r>
        <w:rPr>
          <w:rFonts w:hint="eastAsia" w:hAnsi="宋体" w:cs="宋体"/>
          <w:color w:val="000000"/>
          <w:kern w:val="2"/>
          <w:sz w:val="21"/>
          <w:szCs w:val="21"/>
          <w:highlight w:val="none"/>
        </w:rPr>
        <w:t>供</w:t>
      </w:r>
      <w:bookmarkEnd w:id="2"/>
      <w:r>
        <w:rPr>
          <w:rFonts w:hint="eastAsia" w:hAnsi="宋体" w:cs="宋体"/>
          <w:color w:val="000000"/>
          <w:kern w:val="2"/>
          <w:sz w:val="21"/>
          <w:szCs w:val="21"/>
          <w:highlight w:val="none"/>
        </w:rPr>
        <w:t>小苏打必须适用于市政污泥焚烧烟气净化系统，用于脱除烟气中的</w:t>
      </w:r>
      <w:r>
        <w:rPr>
          <w:rFonts w:hint="eastAsia" w:hAnsi="宋体" w:cs="宋体"/>
          <w:sz w:val="21"/>
          <w:szCs w:val="21"/>
          <w:highlight w:val="none"/>
        </w:rPr>
        <w:t>SO</w:t>
      </w:r>
      <w:r>
        <w:rPr>
          <w:rFonts w:hint="eastAsia" w:hAnsi="宋体" w:cs="宋体"/>
          <w:sz w:val="21"/>
          <w:szCs w:val="21"/>
          <w:highlight w:val="none"/>
          <w:vertAlign w:val="subscript"/>
        </w:rPr>
        <w:t>2</w:t>
      </w:r>
      <w:r>
        <w:rPr>
          <w:rFonts w:hint="eastAsia" w:hAnsi="宋体" w:cs="宋体"/>
          <w:color w:val="000000"/>
          <w:kern w:val="2"/>
          <w:sz w:val="21"/>
          <w:szCs w:val="21"/>
          <w:highlight w:val="none"/>
        </w:rPr>
        <w:t>、</w:t>
      </w:r>
      <w:r>
        <w:rPr>
          <w:rFonts w:hint="eastAsia" w:hAnsi="宋体" w:cs="宋体"/>
          <w:sz w:val="21"/>
          <w:szCs w:val="21"/>
          <w:highlight w:val="none"/>
        </w:rPr>
        <w:t>HCl、HF等酸性物质。小苏打经研磨机研磨后投加至干法脱酸塔。</w:t>
      </w:r>
      <w:r>
        <w:rPr>
          <w:rFonts w:hint="eastAsia" w:hAnsi="宋体" w:cs="宋体"/>
          <w:sz w:val="21"/>
          <w:szCs w:val="21"/>
          <w:highlight w:val="none"/>
          <w:lang w:val="en-US" w:eastAsia="zh-CN"/>
        </w:rPr>
        <w:t>本项目的</w:t>
      </w:r>
      <w:r>
        <w:rPr>
          <w:rFonts w:hint="eastAsia" w:hAnsi="宋体" w:cs="宋体"/>
          <w:kern w:val="2"/>
          <w:sz w:val="21"/>
          <w:highlight w:val="none"/>
        </w:rPr>
        <w:t>小苏打料仓进料管管径为DN100，料仓高度约为19米，容积250m³，共2个料仓</w:t>
      </w:r>
      <w:r>
        <w:rPr>
          <w:rFonts w:hint="eastAsia" w:hAnsi="宋体" w:cs="宋体"/>
          <w:kern w:val="2"/>
          <w:sz w:val="21"/>
          <w:highlight w:val="none"/>
          <w:lang w:eastAsia="zh-CN"/>
        </w:rPr>
        <w:t>。</w:t>
      </w:r>
    </w:p>
    <w:p>
      <w:pPr>
        <w:autoSpaceDE/>
        <w:autoSpaceDN/>
        <w:adjustRightInd/>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本次采购所需生产药剂：白色结晶粉末小苏打。具体供货量根据实际运营需求，并结合采购人使用成交单位提供的药剂样品所做的小试、中试及实际使用后的情况选用。</w:t>
      </w:r>
    </w:p>
    <w:p>
      <w:pPr>
        <w:autoSpaceDE/>
        <w:autoSpaceDN/>
        <w:adjustRightInd/>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供货期：供货期从中标通知书发出之日至2026年12月31日，具体供货起始日期以采购人书面通知为准，供货单位收到采购人通知后必须无条件按照采购人的要求开始供货。</w:t>
      </w:r>
    </w:p>
    <w:p>
      <w:pPr>
        <w:autoSpaceDE/>
        <w:autoSpaceDN/>
        <w:adjustRightInd/>
        <w:spacing w:line="360" w:lineRule="auto"/>
        <w:jc w:val="both"/>
        <w:rPr>
          <w:rFonts w:hAnsi="宋体" w:cs="宋体"/>
          <w:b/>
          <w:color w:val="000000"/>
          <w:kern w:val="2"/>
          <w:sz w:val="21"/>
          <w:szCs w:val="21"/>
          <w:highlight w:val="none"/>
        </w:rPr>
      </w:pPr>
      <w:r>
        <w:rPr>
          <w:rFonts w:hint="eastAsia" w:hAnsi="宋体" w:cs="宋体"/>
          <w:b/>
          <w:color w:val="000000"/>
          <w:kern w:val="2"/>
          <w:sz w:val="21"/>
          <w:szCs w:val="21"/>
          <w:highlight w:val="none"/>
        </w:rPr>
        <w:t>二、药剂要求</w:t>
      </w:r>
    </w:p>
    <w:p>
      <w:pPr>
        <w:spacing w:line="360" w:lineRule="auto"/>
        <w:ind w:firstLine="480"/>
        <w:jc w:val="both"/>
        <w:rPr>
          <w:rFonts w:hint="eastAsia" w:ascii="宋体" w:hAnsi="宋体" w:eastAsia="宋体" w:cs="宋体"/>
          <w:kern w:val="2"/>
          <w:sz w:val="21"/>
          <w:highlight w:val="none"/>
        </w:rPr>
      </w:pPr>
      <w:r>
        <w:rPr>
          <w:rFonts w:hint="eastAsia" w:ascii="宋体" w:hAnsi="宋体" w:eastAsia="宋体" w:cs="宋体"/>
          <w:kern w:val="2"/>
          <w:sz w:val="21"/>
          <w:highlight w:val="none"/>
        </w:rPr>
        <w:t>1、产品名称：小苏打</w:t>
      </w:r>
    </w:p>
    <w:p>
      <w:pPr>
        <w:spacing w:line="360" w:lineRule="auto"/>
        <w:ind w:firstLine="480"/>
        <w:jc w:val="both"/>
        <w:rPr>
          <w:rFonts w:hint="eastAsia" w:ascii="宋体" w:hAnsi="宋体" w:eastAsia="宋体" w:cs="宋体"/>
          <w:kern w:val="2"/>
          <w:sz w:val="21"/>
          <w:highlight w:val="none"/>
        </w:rPr>
      </w:pPr>
      <w:r>
        <w:rPr>
          <w:rFonts w:hint="eastAsia" w:ascii="宋体" w:hAnsi="宋体" w:eastAsia="宋体" w:cs="宋体"/>
          <w:kern w:val="2"/>
          <w:sz w:val="21"/>
          <w:highlight w:val="none"/>
        </w:rPr>
        <w:t>2、分子式：NaHCO</w:t>
      </w:r>
      <w:r>
        <w:rPr>
          <w:rFonts w:hint="eastAsia" w:ascii="宋体" w:hAnsi="宋体" w:eastAsia="宋体" w:cs="宋体"/>
          <w:kern w:val="2"/>
          <w:sz w:val="21"/>
          <w:highlight w:val="none"/>
          <w:vertAlign w:val="subscript"/>
        </w:rPr>
        <w:t>3</w:t>
      </w:r>
    </w:p>
    <w:p>
      <w:pPr>
        <w:spacing w:line="360" w:lineRule="auto"/>
        <w:ind w:firstLine="480"/>
        <w:jc w:val="both"/>
        <w:rPr>
          <w:rFonts w:hint="eastAsia" w:ascii="宋体" w:hAnsi="宋体" w:eastAsia="宋体" w:cs="宋体"/>
          <w:kern w:val="2"/>
          <w:sz w:val="21"/>
          <w:highlight w:val="none"/>
        </w:rPr>
      </w:pPr>
      <w:r>
        <w:rPr>
          <w:rFonts w:hint="eastAsia" w:ascii="宋体" w:hAnsi="宋体" w:eastAsia="宋体" w:cs="宋体"/>
          <w:kern w:val="2"/>
          <w:sz w:val="21"/>
          <w:highlight w:val="none"/>
        </w:rPr>
        <w:t>3、</w:t>
      </w:r>
      <w:r>
        <w:rPr>
          <w:rFonts w:hint="eastAsia" w:ascii="宋体" w:hAnsi="宋体" w:eastAsia="宋体" w:cs="宋体"/>
          <w:b/>
          <w:bCs/>
          <w:kern w:val="2"/>
          <w:sz w:val="21"/>
          <w:highlight w:val="none"/>
        </w:rPr>
        <w:t>采购数量：年度预估用量</w:t>
      </w:r>
      <w:r>
        <w:rPr>
          <w:rFonts w:hint="eastAsia" w:ascii="宋体" w:hAnsi="宋体" w:eastAsia="宋体" w:cs="宋体"/>
          <w:i w:val="0"/>
          <w:iCs w:val="0"/>
          <w:color w:val="000000"/>
          <w:kern w:val="2"/>
          <w:sz w:val="21"/>
          <w:szCs w:val="21"/>
          <w:highlight w:val="none"/>
          <w:u w:val="none"/>
          <w:lang w:val="en-US" w:eastAsia="zh-CN" w:bidi="ar"/>
        </w:rPr>
        <w:t>12161</w:t>
      </w:r>
      <w:r>
        <w:rPr>
          <w:rFonts w:hint="eastAsia" w:ascii="宋体" w:hAnsi="宋体" w:eastAsia="宋体" w:cs="宋体"/>
          <w:b/>
          <w:bCs/>
          <w:kern w:val="2"/>
          <w:sz w:val="21"/>
          <w:highlight w:val="none"/>
        </w:rPr>
        <w:t>吨</w:t>
      </w:r>
      <w:r>
        <w:rPr>
          <w:rFonts w:hint="eastAsia" w:ascii="宋体" w:hAnsi="宋体" w:eastAsia="宋体" w:cs="宋体"/>
          <w:kern w:val="2"/>
          <w:sz w:val="21"/>
          <w:highlight w:val="none"/>
        </w:rPr>
        <w:t>。</w:t>
      </w:r>
    </w:p>
    <w:p>
      <w:pPr>
        <w:spacing w:line="360" w:lineRule="auto"/>
        <w:ind w:firstLine="480"/>
        <w:jc w:val="both"/>
        <w:rPr>
          <w:rFonts w:hint="eastAsia" w:ascii="宋体" w:hAnsi="宋体" w:eastAsia="宋体" w:cs="宋体"/>
          <w:kern w:val="2"/>
          <w:sz w:val="21"/>
          <w:highlight w:val="none"/>
        </w:rPr>
      </w:pPr>
      <w:r>
        <w:rPr>
          <w:rFonts w:hint="eastAsia" w:ascii="宋体" w:hAnsi="宋体" w:eastAsia="宋体" w:cs="宋体"/>
          <w:kern w:val="2"/>
          <w:sz w:val="21"/>
          <w:highlight w:val="none"/>
        </w:rPr>
        <w:t>4、主要技术指标</w:t>
      </w:r>
    </w:p>
    <w:p>
      <w:pPr>
        <w:pStyle w:val="34"/>
        <w:numPr>
          <w:ilvl w:val="0"/>
          <w:numId w:val="1"/>
        </w:numPr>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产品必须符合GB1886.2《食品添加剂 碳酸氢钠》最新标准</w:t>
      </w:r>
      <w:r>
        <w:rPr>
          <w:rFonts w:hint="eastAsia" w:ascii="宋体" w:hAnsi="宋体" w:eastAsia="宋体" w:cs="宋体"/>
          <w:kern w:val="2"/>
          <w:sz w:val="21"/>
          <w:highlight w:val="none"/>
          <w:lang w:eastAsia="zh-CN"/>
        </w:rPr>
        <w:t>，</w:t>
      </w:r>
      <w:r>
        <w:rPr>
          <w:rFonts w:hint="eastAsia" w:ascii="宋体" w:hAnsi="宋体" w:eastAsia="宋体" w:cs="宋体"/>
          <w:kern w:val="2"/>
          <w:sz w:val="21"/>
          <w:highlight w:val="none"/>
          <w:lang w:val="en-US" w:eastAsia="zh-CN"/>
        </w:rPr>
        <w:t>并采用前述</w:t>
      </w:r>
      <w:r>
        <w:rPr>
          <w:rFonts w:hint="eastAsia" w:ascii="宋体" w:hAnsi="宋体" w:eastAsia="宋体" w:cs="宋体"/>
          <w:kern w:val="2"/>
          <w:sz w:val="21"/>
          <w:highlight w:val="none"/>
        </w:rPr>
        <w:t>标准</w:t>
      </w:r>
      <w:r>
        <w:rPr>
          <w:rFonts w:hint="eastAsia" w:ascii="宋体" w:hAnsi="宋体" w:eastAsia="宋体" w:cs="宋体"/>
          <w:kern w:val="2"/>
          <w:sz w:val="21"/>
          <w:highlight w:val="none"/>
          <w:lang w:val="en-US" w:eastAsia="zh-CN"/>
        </w:rPr>
        <w:t>的</w:t>
      </w:r>
      <w:r>
        <w:rPr>
          <w:rFonts w:hint="eastAsia" w:ascii="宋体" w:hAnsi="宋体" w:eastAsia="宋体" w:cs="宋体"/>
          <w:kern w:val="2"/>
          <w:sz w:val="21"/>
          <w:highlight w:val="none"/>
        </w:rPr>
        <w:t>相关试验、检验方法</w:t>
      </w:r>
      <w:r>
        <w:rPr>
          <w:rFonts w:hint="eastAsia" w:ascii="宋体" w:hAnsi="宋体" w:eastAsia="宋体" w:cs="宋体"/>
          <w:kern w:val="2"/>
          <w:sz w:val="21"/>
          <w:highlight w:val="none"/>
          <w:lang w:val="en-US" w:eastAsia="zh-CN"/>
        </w:rPr>
        <w:t>进行试验及检验</w:t>
      </w:r>
      <w:r>
        <w:rPr>
          <w:rFonts w:hint="eastAsia" w:ascii="宋体" w:hAnsi="宋体" w:eastAsia="宋体" w:cs="宋体"/>
          <w:kern w:val="2"/>
          <w:sz w:val="21"/>
          <w:highlight w:val="none"/>
        </w:rPr>
        <w:t>。其中</w:t>
      </w:r>
      <w:r>
        <w:rPr>
          <w:rFonts w:hint="eastAsia" w:ascii="宋体" w:hAnsi="宋体" w:eastAsia="宋体" w:cs="宋体"/>
          <w:kern w:val="2"/>
          <w:sz w:val="21"/>
          <w:highlight w:val="none"/>
          <w:lang w:eastAsia="zh-CN"/>
        </w:rPr>
        <w:t>，</w:t>
      </w:r>
      <w:r>
        <w:rPr>
          <w:rFonts w:hint="eastAsia" w:ascii="宋体" w:hAnsi="宋体" w:eastAsia="宋体" w:cs="宋体"/>
          <w:kern w:val="2"/>
          <w:sz w:val="21"/>
          <w:highlight w:val="none"/>
        </w:rPr>
        <w:t xml:space="preserve">主要技术指标要求如下表：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61" w:type="pct"/>
            <w:shd w:val="clear" w:color="auto" w:fill="F1F1F1" w:themeFill="background1" w:themeFillShade="F2"/>
          </w:tcPr>
          <w:p>
            <w:pPr>
              <w:autoSpaceDE/>
              <w:autoSpaceDN/>
              <w:adjustRightInd/>
              <w:spacing w:line="360" w:lineRule="auto"/>
              <w:ind w:firstLine="422" w:firstLineChars="200"/>
              <w:jc w:val="both"/>
              <w:rPr>
                <w:rFonts w:hint="eastAsia" w:ascii="宋体" w:hAnsi="宋体" w:eastAsia="宋体" w:cs="宋体"/>
                <w:b/>
                <w:bCs/>
                <w:kern w:val="2"/>
                <w:sz w:val="21"/>
                <w:highlight w:val="none"/>
              </w:rPr>
            </w:pPr>
            <w:r>
              <w:rPr>
                <w:rFonts w:hint="eastAsia" w:ascii="宋体" w:hAnsi="宋体" w:eastAsia="宋体" w:cs="宋体"/>
                <w:b/>
                <w:bCs/>
                <w:kern w:val="2"/>
                <w:sz w:val="21"/>
                <w:highlight w:val="none"/>
              </w:rPr>
              <w:t>指标项目</w:t>
            </w:r>
          </w:p>
        </w:tc>
        <w:tc>
          <w:tcPr>
            <w:tcW w:w="2538" w:type="pct"/>
            <w:shd w:val="clear" w:color="auto" w:fill="F1F1F1" w:themeFill="background1" w:themeFillShade="F2"/>
          </w:tcPr>
          <w:p>
            <w:pPr>
              <w:autoSpaceDE/>
              <w:autoSpaceDN/>
              <w:adjustRightInd/>
              <w:spacing w:line="360" w:lineRule="auto"/>
              <w:ind w:firstLine="422" w:firstLineChars="200"/>
              <w:jc w:val="both"/>
              <w:rPr>
                <w:rFonts w:hint="eastAsia" w:ascii="宋体" w:hAnsi="宋体" w:eastAsia="宋体" w:cs="宋体"/>
                <w:b/>
                <w:bCs/>
                <w:kern w:val="2"/>
                <w:sz w:val="21"/>
                <w:highlight w:val="none"/>
              </w:rPr>
            </w:pPr>
            <w:r>
              <w:rPr>
                <w:rFonts w:hint="eastAsia" w:ascii="宋体" w:hAnsi="宋体" w:eastAsia="宋体" w:cs="宋体"/>
                <w:b/>
                <w:bCs/>
                <w:kern w:val="2"/>
                <w:sz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总碱量（以 NaHCO₃计）w/%</w:t>
            </w:r>
          </w:p>
        </w:tc>
        <w:tc>
          <w:tcPr>
            <w:tcW w:w="2538"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99.0~100.5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干燥减量 w/%</w:t>
            </w:r>
          </w:p>
        </w:tc>
        <w:tc>
          <w:tcPr>
            <w:tcW w:w="2538"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pH（10 g/L 水溶液）</w:t>
            </w:r>
          </w:p>
        </w:tc>
        <w:tc>
          <w:tcPr>
            <w:tcW w:w="2538"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氯化物（以Cl计）w/%</w:t>
            </w:r>
          </w:p>
        </w:tc>
        <w:tc>
          <w:tcPr>
            <w:tcW w:w="2538"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砷（As）mg/kg</w:t>
            </w:r>
          </w:p>
        </w:tc>
        <w:tc>
          <w:tcPr>
            <w:tcW w:w="2538"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重金属（以Pb计）mg/kg</w:t>
            </w:r>
          </w:p>
        </w:tc>
        <w:tc>
          <w:tcPr>
            <w:tcW w:w="2538" w:type="pct"/>
          </w:tcPr>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≤5.0</w:t>
            </w:r>
          </w:p>
        </w:tc>
      </w:tr>
    </w:tbl>
    <w:p>
      <w:pPr>
        <w:autoSpaceDE/>
        <w:autoSpaceDN/>
        <w:adjustRightInd/>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备注</w:t>
      </w:r>
      <w:r>
        <w:rPr>
          <w:rFonts w:hint="eastAsia" w:ascii="宋体" w:hAnsi="宋体" w:eastAsia="宋体" w:cs="宋体"/>
          <w:kern w:val="2"/>
          <w:sz w:val="21"/>
          <w:highlight w:val="none"/>
          <w:lang w:eastAsia="zh-CN"/>
        </w:rPr>
        <w:t>：</w:t>
      </w:r>
      <w:r>
        <w:rPr>
          <w:rFonts w:hint="eastAsia" w:ascii="宋体" w:hAnsi="宋体" w:eastAsia="宋体" w:cs="宋体"/>
          <w:kern w:val="2"/>
          <w:sz w:val="21"/>
          <w:highlight w:val="none"/>
        </w:rPr>
        <w:t>供货单位在供货时，需注明所供小苏打型号规格、NaHCO3的质量分数等技术指标</w:t>
      </w:r>
      <w:r>
        <w:rPr>
          <w:rFonts w:hint="eastAsia" w:ascii="宋体" w:hAnsi="宋体" w:eastAsia="宋体" w:cs="宋体"/>
          <w:kern w:val="2"/>
          <w:sz w:val="21"/>
          <w:highlight w:val="none"/>
          <w:lang w:eastAsia="zh-CN"/>
        </w:rPr>
        <w:t>；</w:t>
      </w:r>
      <w:r>
        <w:rPr>
          <w:rFonts w:hint="eastAsia" w:ascii="宋体" w:hAnsi="宋体" w:eastAsia="宋体" w:cs="宋体"/>
          <w:kern w:val="2"/>
          <w:sz w:val="21"/>
          <w:highlight w:val="none"/>
          <w:lang w:val="en-US" w:eastAsia="zh-CN"/>
        </w:rPr>
        <w:t>上</w:t>
      </w:r>
      <w:r>
        <w:rPr>
          <w:rFonts w:hint="eastAsia" w:ascii="宋体" w:hAnsi="宋体" w:eastAsia="宋体" w:cs="宋体"/>
          <w:kern w:val="2"/>
          <w:sz w:val="21"/>
          <w:highlight w:val="none"/>
        </w:rPr>
        <w:t>述</w:t>
      </w:r>
      <w:r>
        <w:rPr>
          <w:rFonts w:hint="eastAsia" w:ascii="宋体" w:hAnsi="宋体" w:eastAsia="宋体" w:cs="宋体"/>
          <w:kern w:val="2"/>
          <w:sz w:val="21"/>
          <w:highlight w:val="none"/>
          <w:lang w:val="en-US" w:eastAsia="zh-CN"/>
        </w:rPr>
        <w:t>表格</w:t>
      </w:r>
      <w:r>
        <w:rPr>
          <w:rFonts w:hint="eastAsia" w:ascii="宋体" w:hAnsi="宋体" w:eastAsia="宋体" w:cs="宋体"/>
          <w:kern w:val="2"/>
          <w:sz w:val="21"/>
          <w:highlight w:val="none"/>
        </w:rPr>
        <w:t>未包含全部技术指标，详见GB1886.2《食品添加剂 碳酸氢钠》最新标准。</w:t>
      </w:r>
    </w:p>
    <w:p>
      <w:pPr>
        <w:pStyle w:val="34"/>
        <w:numPr>
          <w:ilvl w:val="0"/>
          <w:numId w:val="1"/>
        </w:numPr>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研磨之前</w:t>
      </w:r>
      <w:r>
        <w:rPr>
          <w:rFonts w:hint="eastAsia" w:ascii="宋体" w:hAnsi="宋体" w:eastAsia="宋体" w:cs="宋体"/>
          <w:kern w:val="2"/>
          <w:sz w:val="21"/>
          <w:highlight w:val="none"/>
          <w:lang w:val="en-US" w:eastAsia="zh-CN"/>
        </w:rPr>
        <w:t>的</w:t>
      </w:r>
      <w:r>
        <w:rPr>
          <w:rFonts w:hint="eastAsia" w:ascii="宋体" w:hAnsi="宋体" w:eastAsia="宋体" w:cs="宋体"/>
          <w:kern w:val="2"/>
          <w:sz w:val="21"/>
          <w:highlight w:val="none"/>
        </w:rPr>
        <w:t>粒径</w:t>
      </w:r>
      <w:r>
        <w:rPr>
          <w:rFonts w:hint="eastAsia" w:ascii="宋体" w:hAnsi="宋体" w:eastAsia="宋体" w:cs="宋体"/>
          <w:kern w:val="2"/>
          <w:sz w:val="21"/>
          <w:highlight w:val="none"/>
          <w:lang w:val="en-US" w:eastAsia="zh-CN"/>
        </w:rPr>
        <w:t>要求在</w:t>
      </w:r>
      <w:r>
        <w:rPr>
          <w:rFonts w:hint="eastAsia" w:ascii="宋体" w:hAnsi="宋体" w:eastAsia="宋体" w:cs="宋体"/>
          <w:kern w:val="2"/>
          <w:sz w:val="21"/>
          <w:highlight w:val="none"/>
        </w:rPr>
        <w:t>50~120目</w:t>
      </w:r>
      <w:r>
        <w:rPr>
          <w:rFonts w:hint="eastAsia" w:ascii="宋体" w:hAnsi="宋体" w:eastAsia="宋体" w:cs="宋体"/>
          <w:kern w:val="2"/>
          <w:sz w:val="21"/>
          <w:highlight w:val="none"/>
          <w:lang w:eastAsia="zh-CN"/>
        </w:rPr>
        <w:t>。</w:t>
      </w:r>
    </w:p>
    <w:p>
      <w:pPr>
        <w:pStyle w:val="34"/>
        <w:numPr>
          <w:ilvl w:val="0"/>
          <w:numId w:val="1"/>
        </w:numPr>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性状：白色结晶粉末，无臭、味咸，常温干燥环境性质稳定，易吸潮。</w:t>
      </w:r>
      <w:r>
        <w:rPr>
          <w:rFonts w:hint="eastAsia" w:ascii="宋体" w:hAnsi="宋体" w:eastAsia="宋体" w:cs="宋体"/>
          <w:b/>
          <w:bCs/>
          <w:kern w:val="2"/>
          <w:sz w:val="21"/>
          <w:highlight w:val="none"/>
        </w:rPr>
        <w:t>无肉眼可见机械杂质，无结块。</w:t>
      </w:r>
    </w:p>
    <w:p>
      <w:pPr>
        <w:pStyle w:val="34"/>
        <w:numPr>
          <w:ilvl w:val="0"/>
          <w:numId w:val="1"/>
        </w:numPr>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供货期间，如有发布最新的行业标准或国家标准，采购人有权根据项目实际情况及有关行业标准或国家标准对合同的主要技术指标进行变更调整，供货单位应无条件接受。</w:t>
      </w:r>
    </w:p>
    <w:p>
      <w:pPr>
        <w:pStyle w:val="34"/>
        <w:numPr>
          <w:ilvl w:val="0"/>
          <w:numId w:val="1"/>
        </w:numPr>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供货单位所供产品的真实质量，必须满足本用户需求书的所有技术指标。</w:t>
      </w:r>
    </w:p>
    <w:p>
      <w:pPr>
        <w:pStyle w:val="34"/>
        <w:numPr>
          <w:ilvl w:val="0"/>
          <w:numId w:val="1"/>
        </w:numPr>
        <w:spacing w:line="360" w:lineRule="auto"/>
        <w:ind w:firstLine="420" w:firstLineChars="2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供货单位须根据采购人的情况，提供满足厂区正常生产运营的产品。</w:t>
      </w:r>
    </w:p>
    <w:p>
      <w:pPr>
        <w:pStyle w:val="34"/>
        <w:numPr>
          <w:ilvl w:val="0"/>
          <w:numId w:val="1"/>
        </w:numPr>
        <w:spacing w:line="360" w:lineRule="auto"/>
        <w:ind w:firstLine="422" w:firstLineChars="200"/>
        <w:jc w:val="both"/>
        <w:rPr>
          <w:rFonts w:hint="eastAsia" w:ascii="宋体" w:hAnsi="宋体" w:eastAsia="宋体" w:cs="宋体"/>
          <w:b/>
          <w:bCs/>
          <w:kern w:val="2"/>
          <w:sz w:val="21"/>
          <w:highlight w:val="none"/>
        </w:rPr>
      </w:pPr>
      <w:r>
        <w:rPr>
          <w:rFonts w:hint="eastAsia" w:ascii="宋体" w:hAnsi="宋体" w:eastAsia="宋体" w:cs="宋体"/>
          <w:b/>
          <w:bCs/>
          <w:kern w:val="2"/>
          <w:sz w:val="21"/>
          <w:highlight w:val="none"/>
        </w:rPr>
        <w:t>供货</w:t>
      </w:r>
      <w:r>
        <w:rPr>
          <w:rFonts w:hint="eastAsia" w:ascii="宋体" w:hAnsi="宋体" w:eastAsia="宋体" w:cs="宋体"/>
          <w:kern w:val="2"/>
          <w:sz w:val="21"/>
          <w:highlight w:val="none"/>
        </w:rPr>
        <w:t>单位</w:t>
      </w:r>
      <w:r>
        <w:rPr>
          <w:rFonts w:hint="eastAsia" w:ascii="宋体" w:hAnsi="宋体" w:eastAsia="宋体" w:cs="宋体"/>
          <w:b/>
          <w:bCs/>
          <w:kern w:val="2"/>
          <w:sz w:val="21"/>
          <w:highlight w:val="none"/>
        </w:rPr>
        <w:t>投标时应提供产品用于烟气干法脱酸相关业绩清单。</w:t>
      </w:r>
    </w:p>
    <w:p>
      <w:pPr>
        <w:autoSpaceDE/>
        <w:autoSpaceDN/>
        <w:adjustRightInd/>
        <w:spacing w:line="360" w:lineRule="auto"/>
        <w:jc w:val="both"/>
        <w:rPr>
          <w:rFonts w:hAnsi="宋体" w:cs="宋体"/>
          <w:b/>
          <w:color w:val="000000"/>
          <w:kern w:val="2"/>
          <w:sz w:val="21"/>
          <w:szCs w:val="21"/>
          <w:highlight w:val="none"/>
        </w:rPr>
      </w:pPr>
      <w:r>
        <w:rPr>
          <w:rFonts w:hint="eastAsia" w:hAnsi="宋体" w:cs="宋体"/>
          <w:b/>
          <w:color w:val="000000"/>
          <w:kern w:val="2"/>
          <w:sz w:val="21"/>
          <w:szCs w:val="21"/>
          <w:highlight w:val="none"/>
        </w:rPr>
        <w:t>三、交货要求</w:t>
      </w:r>
    </w:p>
    <w:p>
      <w:pPr>
        <w:autoSpaceDE/>
        <w:autoSpaceDN/>
        <w:adjustRightInd/>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1、交货地点：东莞市污泥集中处理处置项目现场（广东省东莞市沙田镇立沙中路76号）。</w:t>
      </w:r>
    </w:p>
    <w:p>
      <w:p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2、产品</w:t>
      </w:r>
      <w:r>
        <w:rPr>
          <w:rFonts w:hint="eastAsia" w:hAnsi="宋体" w:cs="宋体"/>
          <w:kern w:val="2"/>
          <w:sz w:val="21"/>
          <w:highlight w:val="none"/>
          <w:lang w:val="en-US" w:eastAsia="zh-CN"/>
        </w:rPr>
        <w:t>包装：</w:t>
      </w:r>
      <w:r>
        <w:rPr>
          <w:rFonts w:hint="eastAsia" w:hAnsi="宋体" w:cs="宋体"/>
          <w:kern w:val="2"/>
          <w:sz w:val="21"/>
          <w:highlight w:val="none"/>
        </w:rPr>
        <w:t>小苏打无需包装，采用槽罐车运输，装卸至小苏打储仓。</w:t>
      </w:r>
    </w:p>
    <w:p>
      <w:pPr>
        <w:numPr>
          <w:ilvl w:val="0"/>
          <w:numId w:val="2"/>
        </w:num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产品运输、装卸</w:t>
      </w:r>
      <w:r>
        <w:rPr>
          <w:rFonts w:hint="eastAsia" w:hAnsi="宋体" w:cs="宋体"/>
          <w:kern w:val="2"/>
          <w:sz w:val="21"/>
          <w:highlight w:val="none"/>
          <w:lang w:val="en-US" w:eastAsia="zh-CN"/>
        </w:rPr>
        <w:t>的要求：</w:t>
      </w:r>
      <w:r>
        <w:rPr>
          <w:rFonts w:hint="eastAsia" w:hAnsi="宋体" w:cs="宋体"/>
          <w:kern w:val="2"/>
          <w:sz w:val="21"/>
          <w:highlight w:val="none"/>
        </w:rPr>
        <w:t>采用罐装小苏打，需专用槽罐车密闭装运，装运容器应防潮。应使用专用罐车运输，运输、贮存过程中不得与其他货物混装（放），防止混入其他有毒或有害的物质，并自备卸货设备。</w:t>
      </w:r>
    </w:p>
    <w:p>
      <w:pPr>
        <w:numPr>
          <w:ilvl w:val="0"/>
          <w:numId w:val="2"/>
        </w:numPr>
        <w:autoSpaceDE/>
        <w:autoSpaceDN/>
        <w:adjustRightInd/>
        <w:spacing w:line="360" w:lineRule="auto"/>
        <w:ind w:left="0" w:leftChars="0" w:firstLine="420" w:firstLineChars="200"/>
        <w:jc w:val="both"/>
        <w:rPr>
          <w:rFonts w:hint="eastAsia" w:hAnsi="宋体" w:cs="宋体"/>
          <w:kern w:val="2"/>
          <w:sz w:val="21"/>
          <w:highlight w:val="none"/>
        </w:rPr>
      </w:pPr>
      <w:r>
        <w:rPr>
          <w:rFonts w:hint="eastAsia" w:hAnsi="宋体" w:cs="宋体"/>
          <w:kern w:val="2"/>
          <w:sz w:val="21"/>
          <w:highlight w:val="none"/>
          <w:lang w:val="en-US" w:eastAsia="zh-CN"/>
        </w:rPr>
        <w:t>应急供货的要求：采购人由于特殊情况需要用使用吨包运输、装卸的时，</w:t>
      </w:r>
      <w:r>
        <w:rPr>
          <w:rFonts w:hint="eastAsia" w:ascii="宋体" w:hAnsi="宋体" w:eastAsia="宋体" w:cs="宋体"/>
          <w:kern w:val="2"/>
          <w:sz w:val="21"/>
          <w:highlight w:val="none"/>
          <w:lang w:val="en-US" w:eastAsia="zh-CN"/>
        </w:rPr>
        <w:t>供货单位</w:t>
      </w:r>
      <w:r>
        <w:rPr>
          <w:rFonts w:hint="eastAsia" w:hAnsi="宋体" w:cs="宋体"/>
          <w:kern w:val="2"/>
          <w:sz w:val="21"/>
          <w:highlight w:val="none"/>
          <w:lang w:val="en-US" w:eastAsia="zh-CN"/>
        </w:rPr>
        <w:t>应根据采购人需求无条件配合供应吨袋小苏打，并负责将吨袋小苏打卸料至采购人料仓；吨袋小苏打的供应费用（包括运输、装卸至料仓等全过程费用）按合同单价执行</w:t>
      </w:r>
      <w:r>
        <w:rPr>
          <w:rFonts w:hint="eastAsia" w:hAnsi="宋体" w:cs="宋体"/>
          <w:kern w:val="2"/>
          <w:sz w:val="21"/>
          <w:highlight w:val="none"/>
          <w:lang w:eastAsia="zh-CN"/>
        </w:rPr>
        <w:t>，</w:t>
      </w:r>
      <w:r>
        <w:rPr>
          <w:rFonts w:hint="eastAsia" w:hAnsi="宋体" w:cs="宋体"/>
          <w:kern w:val="2"/>
          <w:sz w:val="21"/>
          <w:highlight w:val="none"/>
          <w:lang w:val="en-US" w:eastAsia="zh-CN"/>
        </w:rPr>
        <w:t>供货单位</w:t>
      </w:r>
      <w:r>
        <w:rPr>
          <w:rFonts w:hint="eastAsia" w:hAnsi="宋体" w:cs="宋体"/>
          <w:kern w:val="2"/>
          <w:sz w:val="21"/>
          <w:highlight w:val="none"/>
        </w:rPr>
        <w:t>不得以此为由调整价格。</w:t>
      </w:r>
      <w:r>
        <w:rPr>
          <w:rFonts w:hint="eastAsia" w:hAnsi="宋体" w:cs="宋体"/>
          <w:kern w:val="2"/>
          <w:sz w:val="21"/>
          <w:highlight w:val="none"/>
          <w:lang w:val="en-US" w:eastAsia="zh-CN"/>
        </w:rPr>
        <w:t>供应商提供的</w:t>
      </w:r>
      <w:r>
        <w:rPr>
          <w:rFonts w:hint="eastAsia" w:hAnsi="宋体" w:cs="宋体"/>
          <w:kern w:val="2"/>
          <w:sz w:val="21"/>
          <w:highlight w:val="none"/>
        </w:rPr>
        <w:t>吨包</w:t>
      </w:r>
      <w:r>
        <w:rPr>
          <w:rFonts w:hint="eastAsia" w:hAnsi="宋体" w:cs="宋体"/>
          <w:kern w:val="2"/>
          <w:sz w:val="21"/>
          <w:highlight w:val="none"/>
          <w:lang w:val="en-US" w:eastAsia="zh-CN"/>
        </w:rPr>
        <w:t>应</w:t>
      </w:r>
      <w:r>
        <w:rPr>
          <w:rFonts w:hint="eastAsia" w:hAnsi="宋体" w:cs="宋体"/>
          <w:kern w:val="2"/>
          <w:sz w:val="21"/>
          <w:highlight w:val="none"/>
        </w:rPr>
        <w:t>适用于电动葫芦吊装，</w:t>
      </w:r>
      <w:r>
        <w:rPr>
          <w:rFonts w:hint="eastAsia" w:hAnsi="宋体" w:cs="宋体"/>
          <w:kern w:val="2"/>
          <w:sz w:val="21"/>
          <w:highlight w:val="none"/>
          <w:lang w:val="en-US" w:eastAsia="zh-CN"/>
        </w:rPr>
        <w:t>本项目的小苏打</w:t>
      </w:r>
      <w:r>
        <w:rPr>
          <w:rFonts w:hint="eastAsia" w:hAnsi="宋体" w:cs="宋体"/>
          <w:kern w:val="2"/>
          <w:sz w:val="21"/>
          <w:highlight w:val="none"/>
        </w:rPr>
        <w:t>接料口</w:t>
      </w:r>
      <w:r>
        <w:rPr>
          <w:rFonts w:hint="eastAsia" w:hAnsi="宋体" w:cs="宋体"/>
          <w:kern w:val="2"/>
          <w:sz w:val="21"/>
          <w:highlight w:val="none"/>
          <w:lang w:val="en-US" w:eastAsia="zh-CN"/>
        </w:rPr>
        <w:t>已</w:t>
      </w:r>
      <w:r>
        <w:rPr>
          <w:rFonts w:hint="eastAsia" w:hAnsi="宋体" w:cs="宋体"/>
          <w:kern w:val="2"/>
          <w:sz w:val="21"/>
          <w:highlight w:val="none"/>
        </w:rPr>
        <w:t>配有破袋刀</w:t>
      </w:r>
      <w:r>
        <w:rPr>
          <w:rFonts w:hint="eastAsia" w:hAnsi="宋体" w:cs="宋体"/>
          <w:kern w:val="2"/>
          <w:sz w:val="21"/>
          <w:highlight w:val="none"/>
        </w:rPr>
        <w:t>，见下图；不同包装规格的具体数量以采购人的通知为准。</w:t>
      </w:r>
    </w:p>
    <w:p>
      <w:pPr>
        <w:autoSpaceDE/>
        <w:autoSpaceDN/>
        <w:adjustRightInd/>
        <w:spacing w:line="360" w:lineRule="auto"/>
        <w:jc w:val="both"/>
        <w:rPr>
          <w:rFonts w:hAnsi="宋体" w:cs="宋体"/>
          <w:kern w:val="2"/>
          <w:sz w:val="21"/>
          <w:highlight w:val="none"/>
        </w:rPr>
      </w:pPr>
      <w:r>
        <w:rPr>
          <w:rFonts w:hint="eastAsia" w:hAnsi="宋体" w:cs="宋体"/>
          <w:highlight w:val="none"/>
        </w:rPr>
        <w:drawing>
          <wp:anchor distT="0" distB="0" distL="0" distR="0" simplePos="0" relativeHeight="251660288" behindDoc="0" locked="0" layoutInCell="1" allowOverlap="1">
            <wp:simplePos x="0" y="0"/>
            <wp:positionH relativeFrom="column">
              <wp:posOffset>1098550</wp:posOffset>
            </wp:positionH>
            <wp:positionV relativeFrom="paragraph">
              <wp:posOffset>47625</wp:posOffset>
            </wp:positionV>
            <wp:extent cx="3086735" cy="2143760"/>
            <wp:effectExtent l="0" t="0" r="12065" b="2540"/>
            <wp:wrapSquare wrapText="bothSides"/>
            <wp:docPr id="710282885" name="Picture 1" descr="A drawing of a cylin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82885" name="Picture 1" descr="A drawing of a cylinder&#10;&#10;AI-generated content may be incorrect."/>
                    <pic:cNvPicPr>
                      <a:picLocks noChangeAspect="1"/>
                    </pic:cNvPicPr>
                  </pic:nvPicPr>
                  <pic:blipFill>
                    <a:blip r:embed="rId7"/>
                    <a:stretch>
                      <a:fillRect/>
                    </a:stretch>
                  </pic:blipFill>
                  <pic:spPr>
                    <a:xfrm>
                      <a:off x="0" y="0"/>
                      <a:ext cx="3097943" cy="2151951"/>
                    </a:xfrm>
                    <a:prstGeom prst="rect">
                      <a:avLst/>
                    </a:prstGeom>
                  </pic:spPr>
                </pic:pic>
              </a:graphicData>
            </a:graphic>
          </wp:anchor>
        </w:drawing>
      </w:r>
    </w:p>
    <w:p>
      <w:pPr>
        <w:autoSpaceDE/>
        <w:autoSpaceDN/>
        <w:adjustRightInd/>
        <w:spacing w:line="360" w:lineRule="auto"/>
        <w:jc w:val="both"/>
        <w:rPr>
          <w:rFonts w:hAnsi="宋体" w:cs="宋体"/>
          <w:kern w:val="2"/>
          <w:sz w:val="21"/>
          <w:highlight w:val="none"/>
        </w:rPr>
      </w:pPr>
    </w:p>
    <w:p>
      <w:pPr>
        <w:autoSpaceDE/>
        <w:autoSpaceDN/>
        <w:adjustRightInd/>
        <w:spacing w:line="360" w:lineRule="auto"/>
        <w:jc w:val="both"/>
        <w:rPr>
          <w:rFonts w:hAnsi="宋体" w:cs="宋体"/>
          <w:kern w:val="2"/>
          <w:sz w:val="21"/>
          <w:highlight w:val="none"/>
        </w:rPr>
      </w:pPr>
      <w:bookmarkStart w:id="3" w:name="_GoBack"/>
      <w:bookmarkEnd w:id="3"/>
    </w:p>
    <w:p>
      <w:pPr>
        <w:autoSpaceDE/>
        <w:autoSpaceDN/>
        <w:adjustRightInd/>
        <w:spacing w:line="360" w:lineRule="auto"/>
        <w:ind w:firstLine="420" w:firstLineChars="200"/>
        <w:jc w:val="both"/>
        <w:rPr>
          <w:rFonts w:hAnsi="宋体" w:cs="宋体"/>
          <w:kern w:val="2"/>
          <w:sz w:val="21"/>
          <w:highlight w:val="none"/>
        </w:rPr>
      </w:pPr>
    </w:p>
    <w:p>
      <w:pPr>
        <w:autoSpaceDE/>
        <w:autoSpaceDN/>
        <w:adjustRightInd/>
        <w:spacing w:line="360" w:lineRule="auto"/>
        <w:ind w:firstLine="420" w:firstLineChars="200"/>
        <w:jc w:val="both"/>
        <w:rPr>
          <w:rFonts w:hAnsi="宋体" w:cs="宋体"/>
          <w:kern w:val="2"/>
          <w:sz w:val="21"/>
          <w:highlight w:val="none"/>
        </w:rPr>
      </w:pPr>
    </w:p>
    <w:p>
      <w:pPr>
        <w:autoSpaceDE/>
        <w:autoSpaceDN/>
        <w:adjustRightInd/>
        <w:spacing w:line="360" w:lineRule="auto"/>
        <w:ind w:firstLine="420" w:firstLineChars="200"/>
        <w:jc w:val="both"/>
        <w:rPr>
          <w:rFonts w:hAnsi="宋体" w:cs="宋体"/>
          <w:kern w:val="2"/>
          <w:sz w:val="21"/>
          <w:highlight w:val="none"/>
        </w:rPr>
      </w:pPr>
    </w:p>
    <w:p>
      <w:pPr>
        <w:autoSpaceDE/>
        <w:autoSpaceDN/>
        <w:adjustRightInd/>
        <w:spacing w:line="360" w:lineRule="auto"/>
        <w:ind w:firstLine="420" w:firstLineChars="200"/>
        <w:jc w:val="both"/>
        <w:rPr>
          <w:rFonts w:hAnsi="宋体" w:cs="宋体"/>
          <w:kern w:val="2"/>
          <w:sz w:val="21"/>
          <w:highlight w:val="none"/>
        </w:rPr>
      </w:pPr>
    </w:p>
    <w:p>
      <w:pPr>
        <w:autoSpaceDE/>
        <w:autoSpaceDN/>
        <w:adjustRightInd/>
        <w:spacing w:line="360" w:lineRule="auto"/>
        <w:ind w:firstLine="420" w:firstLineChars="200"/>
        <w:jc w:val="center"/>
        <w:rPr>
          <w:rFonts w:hint="eastAsia" w:hAnsi="宋体" w:cs="宋体"/>
          <w:kern w:val="2"/>
          <w:sz w:val="21"/>
          <w:highlight w:val="none"/>
        </w:rPr>
      </w:pPr>
    </w:p>
    <w:p>
      <w:pPr>
        <w:autoSpaceDE/>
        <w:autoSpaceDN/>
        <w:adjustRightInd/>
        <w:spacing w:line="360" w:lineRule="auto"/>
        <w:ind w:firstLine="420" w:firstLineChars="200"/>
        <w:jc w:val="center"/>
        <w:rPr>
          <w:rFonts w:hAnsi="宋体" w:cs="宋体"/>
          <w:kern w:val="2"/>
          <w:sz w:val="21"/>
          <w:highlight w:val="none"/>
        </w:rPr>
      </w:pPr>
      <w:r>
        <w:rPr>
          <w:rFonts w:hint="eastAsia" w:hAnsi="宋体" w:cs="宋体"/>
          <w:kern w:val="2"/>
          <w:sz w:val="21"/>
          <w:highlight w:val="none"/>
        </w:rPr>
        <w:t>图：小苏打吨包接料斗</w:t>
      </w:r>
    </w:p>
    <w:p>
      <w:pPr>
        <w:numPr>
          <w:ilvl w:val="0"/>
          <w:numId w:val="2"/>
        </w:num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交货时间：</w:t>
      </w:r>
    </w:p>
    <w:p>
      <w:pPr>
        <w:autoSpaceDE/>
        <w:autoSpaceDN/>
        <w:adjustRightInd/>
        <w:spacing w:line="360" w:lineRule="auto"/>
        <w:ind w:firstLine="420"/>
        <w:jc w:val="both"/>
        <w:rPr>
          <w:rFonts w:hAnsi="宋体" w:cs="宋体"/>
          <w:color w:val="000000"/>
          <w:kern w:val="2"/>
          <w:sz w:val="21"/>
          <w:szCs w:val="21"/>
          <w:highlight w:val="none"/>
        </w:rPr>
      </w:pPr>
      <w:r>
        <w:rPr>
          <w:rFonts w:hint="eastAsia" w:hAnsi="宋体" w:cs="宋体"/>
          <w:color w:val="000000"/>
          <w:kern w:val="2"/>
          <w:sz w:val="21"/>
          <w:szCs w:val="21"/>
          <w:highlight w:val="none"/>
        </w:rPr>
        <w:t>日常供货（</w:t>
      </w:r>
      <w:r>
        <w:rPr>
          <w:rFonts w:hint="eastAsia" w:hAnsi="宋体" w:cs="宋体"/>
          <w:kern w:val="2"/>
          <w:sz w:val="21"/>
          <w:highlight w:val="none"/>
        </w:rPr>
        <w:t>非加急供货)为接到供货通知24小时内，加急供货为接到供货通知4小时内，具体交货时间以采购人供货通知为准。采购人无需因加急供货而额外支付任何费用。</w:t>
      </w:r>
    </w:p>
    <w:p>
      <w:pPr>
        <w:numPr>
          <w:ilvl w:val="0"/>
          <w:numId w:val="2"/>
        </w:num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供货单位自行负责将生产药剂运送至采购人指定位置（生产药剂储存罐），</w:t>
      </w:r>
      <w:r>
        <w:rPr>
          <w:rFonts w:hint="eastAsia" w:hAnsi="宋体" w:cs="宋体"/>
          <w:b/>
          <w:bCs/>
          <w:color w:val="auto"/>
          <w:kern w:val="2"/>
          <w:sz w:val="21"/>
          <w:highlight w:val="none"/>
        </w:rPr>
        <w:t>未经采购人书面同意，供货单位不得私自将本合同项下的货物运输义务委托第三方个人或企业。</w:t>
      </w:r>
      <w:r>
        <w:rPr>
          <w:rFonts w:hint="eastAsia" w:hAnsi="宋体" w:cs="宋体"/>
          <w:kern w:val="2"/>
          <w:sz w:val="21"/>
          <w:highlight w:val="none"/>
        </w:rPr>
        <w:t>供货单位承担相应的运输、装卸、二次搬运等费用，运输人员应配备足够防护器具。如在运输及装卸过程中，生产药剂发生泄漏，应由供货单位负责清理收集，避免造成人员伤害或环境污染。</w:t>
      </w:r>
    </w:p>
    <w:p>
      <w:pPr>
        <w:numPr>
          <w:ilvl w:val="0"/>
          <w:numId w:val="2"/>
        </w:num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每次送货到交货地方和卸货离开后，须经过污泥项目厂内的电子地磅进行称重，实际供货数量以污泥项目电子地磅出具的称重单为准</w:t>
      </w:r>
    </w:p>
    <w:p>
      <w:pPr>
        <w:numPr>
          <w:ilvl w:val="0"/>
          <w:numId w:val="2"/>
        </w:num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每次送货，供货单位须随货提供生产厂家出具的具有生产厂家、产品名称、规格型号、出厂批号、NaHCO3含量、执行标准等主要信息的产品质量检验报告（如出厂检验报告、质量检验报告等）、供货单据等资料，供货单位提供的检验报告只作为采购人参考。</w:t>
      </w:r>
    </w:p>
    <w:p>
      <w:pPr>
        <w:numPr>
          <w:ilvl w:val="0"/>
          <w:numId w:val="2"/>
        </w:num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供货期间，在收到采购人供货通知前，供货单位无需为合同履行做准备工作。</w:t>
      </w:r>
    </w:p>
    <w:p>
      <w:pPr>
        <w:numPr>
          <w:ilvl w:val="0"/>
          <w:numId w:val="2"/>
        </w:num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生产药剂的运送及输送方式应符合国家或行业规范标准。</w:t>
      </w:r>
    </w:p>
    <w:p>
      <w:pPr>
        <w:numPr>
          <w:ilvl w:val="0"/>
          <w:numId w:val="2"/>
        </w:num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生产药剂的贮存装置、贮存条件、保质期等信息，供货单位应以书面形式详细告知采购人。</w:t>
      </w:r>
    </w:p>
    <w:p>
      <w:pPr>
        <w:numPr>
          <w:ilvl w:val="0"/>
          <w:numId w:val="2"/>
        </w:numPr>
        <w:autoSpaceDE/>
        <w:autoSpaceDN/>
        <w:adjustRightInd/>
        <w:spacing w:line="360" w:lineRule="auto"/>
        <w:ind w:firstLine="420" w:firstLineChars="200"/>
        <w:jc w:val="both"/>
        <w:rPr>
          <w:rFonts w:hAnsi="宋体" w:cs="宋体"/>
          <w:kern w:val="2"/>
          <w:sz w:val="21"/>
          <w:highlight w:val="none"/>
        </w:rPr>
      </w:pPr>
      <w:r>
        <w:rPr>
          <w:rFonts w:hint="eastAsia" w:hAnsi="宋体" w:cs="宋体"/>
          <w:kern w:val="2"/>
          <w:sz w:val="21"/>
          <w:highlight w:val="none"/>
        </w:rPr>
        <w:t>小苏打产品的标志、包装要求必须符合前述标准要求。</w:t>
      </w:r>
    </w:p>
    <w:p>
      <w:pPr>
        <w:autoSpaceDE/>
        <w:autoSpaceDN/>
        <w:adjustRightInd/>
        <w:spacing w:line="360" w:lineRule="auto"/>
        <w:jc w:val="both"/>
        <w:rPr>
          <w:rFonts w:hAnsi="宋体" w:cs="宋体"/>
          <w:b/>
          <w:color w:val="000000"/>
          <w:kern w:val="2"/>
          <w:sz w:val="21"/>
          <w:szCs w:val="21"/>
          <w:highlight w:val="none"/>
        </w:rPr>
      </w:pPr>
      <w:r>
        <w:rPr>
          <w:rFonts w:hint="eastAsia" w:hAnsi="宋体" w:cs="宋体"/>
          <w:b/>
          <w:color w:val="000000"/>
          <w:kern w:val="2"/>
          <w:sz w:val="21"/>
          <w:szCs w:val="21"/>
          <w:highlight w:val="none"/>
        </w:rPr>
        <w:t>四、验收要求</w:t>
      </w:r>
    </w:p>
    <w:p>
      <w:pPr>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1、验收分为货到交货地点的初步验收和货物检验合格后的最终验收。</w:t>
      </w:r>
    </w:p>
    <w:p>
      <w:pPr>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（1）初步验收：</w:t>
      </w:r>
    </w:p>
    <w:p>
      <w:pPr>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1）货物运抵交货地点，采购人、供货单位共同验货。采购人按照本项目合同及用户需求书，对货物的数量、品种、随车产品质量检验报告</w:t>
      </w:r>
      <w:r>
        <w:rPr>
          <w:rFonts w:hint="eastAsia" w:hAnsi="宋体" w:cs="宋体"/>
          <w:sz w:val="21"/>
          <w:szCs w:val="21"/>
          <w:highlight w:val="none"/>
        </w:rPr>
        <w:t>（包含本需求书表1的全部技术指标）</w:t>
      </w:r>
      <w:r>
        <w:rPr>
          <w:rFonts w:hint="eastAsia" w:hAnsi="宋体" w:cs="宋体"/>
          <w:color w:val="000000"/>
          <w:kern w:val="2"/>
          <w:sz w:val="21"/>
          <w:szCs w:val="21"/>
          <w:highlight w:val="none"/>
        </w:rPr>
        <w:t>、产品合格证、供货单据等进行核对。</w:t>
      </w:r>
    </w:p>
    <w:p>
      <w:pPr>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2）初步验收合格后，双方进行相关签收手续。</w:t>
      </w:r>
    </w:p>
    <w:p>
      <w:pPr>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（2）最终验收</w:t>
      </w:r>
    </w:p>
    <w:p>
      <w:pPr>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1）采购人对每次供货货物检验，检验指标由采购人在根据需要表1中选择，货物批按需检验指标由采购人根据采购人关于药剂的管理制度及要求适时调整。采购人对每次供货货物检验，每次货到现场时可由双方共同取样，供货货物合格判定以采购人实验室检验结果为准</w:t>
      </w:r>
      <w:r>
        <w:rPr>
          <w:rFonts w:hint="eastAsia" w:hAnsi="宋体" w:cs="宋体"/>
          <w:color w:val="000000"/>
          <w:kern w:val="2"/>
          <w:sz w:val="21"/>
          <w:szCs w:val="21"/>
          <w:highlight w:val="none"/>
          <w:lang w:eastAsia="zh-CN"/>
        </w:rPr>
        <w:t>。</w:t>
      </w:r>
      <w:r>
        <w:rPr>
          <w:rFonts w:hint="eastAsia" w:hAnsi="宋体" w:cs="宋体"/>
          <w:color w:val="000000"/>
          <w:kern w:val="2"/>
          <w:sz w:val="21"/>
          <w:szCs w:val="21"/>
          <w:highlight w:val="none"/>
        </w:rPr>
        <w:t>若供应商对采购人的检测结果有异议，在保证采购人正常生产的前提下，由采购人委托的有检测产品CMA认证资质的单位对货物进行检测，该次的供货货物质量判定以采购人委托的具有CMA认证资质的第三方检测机构的检验结果为准。</w:t>
      </w:r>
    </w:p>
    <w:p>
      <w:pPr>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2)供货期间，如有发布最新的行业标准或国家标准，货物检验方法按发布的最新行业标准或国家标准执行。</w:t>
      </w:r>
    </w:p>
    <w:p>
      <w:pPr>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2、货物按上述程序验收后，采购人向供货单位出具书面的验收报告，供货单位需对验收报告盖章确认。验收报告作为对货物供货数量及主要技术指标验收的证明，不代表对货物使用效果的认可。</w:t>
      </w:r>
    </w:p>
    <w:p>
      <w:pPr>
        <w:spacing w:line="360" w:lineRule="auto"/>
        <w:ind w:firstLine="420" w:firstLineChars="200"/>
        <w:jc w:val="both"/>
        <w:rPr>
          <w:rFonts w:hAnsi="宋体" w:cs="宋体"/>
          <w:color w:val="000000"/>
          <w:kern w:val="2"/>
          <w:sz w:val="21"/>
          <w:szCs w:val="21"/>
          <w:highlight w:val="none"/>
        </w:rPr>
      </w:pPr>
      <w:r>
        <w:rPr>
          <w:rFonts w:hint="eastAsia" w:hAnsi="宋体" w:cs="宋体"/>
          <w:color w:val="000000"/>
          <w:kern w:val="2"/>
          <w:sz w:val="21"/>
          <w:szCs w:val="21"/>
          <w:highlight w:val="none"/>
        </w:rPr>
        <w:t>3、采购人根据本条规定对货物所做出的验收，仅作为起算付款及质保期之用，不视为双方对于货物质量的最终认可，供货单位仍应在质保期内对产品质量承担保证责任。</w:t>
      </w:r>
    </w:p>
    <w:p>
      <w:pPr>
        <w:spacing w:line="360" w:lineRule="auto"/>
        <w:ind w:firstLine="420" w:firstLineChars="200"/>
        <w:jc w:val="both"/>
        <w:rPr>
          <w:rFonts w:hAnsi="宋体" w:cs="宋体"/>
          <w:b/>
          <w:bCs/>
          <w:kern w:val="2"/>
          <w:sz w:val="21"/>
          <w:szCs w:val="21"/>
          <w:highlight w:val="none"/>
        </w:rPr>
      </w:pPr>
      <w:r>
        <w:rPr>
          <w:rFonts w:hint="eastAsia" w:hAnsi="宋体" w:cs="宋体"/>
          <w:color w:val="000000"/>
          <w:kern w:val="2"/>
          <w:sz w:val="21"/>
          <w:szCs w:val="21"/>
          <w:highlight w:val="none"/>
        </w:rPr>
        <w:t>4、货物在经最终验收合格前，其损耗、毁损、灭失等风险及责任由供货单位承担，如因发生前述情形，导致供货单位所提供的货物不能通过采购人验收的，供货单位应按采购人要求无条件予以退换货，给采购人造成损失的供货单位须承担全部的赔偿责任。</w:t>
      </w:r>
    </w:p>
    <w:bookmarkEnd w:id="1"/>
    <w:p>
      <w:pPr>
        <w:spacing w:line="360" w:lineRule="auto"/>
        <w:ind w:firstLine="422" w:firstLineChars="200"/>
        <w:rPr>
          <w:rFonts w:hAnsi="宋体" w:cs="宋体"/>
          <w:bCs/>
          <w:kern w:val="2"/>
          <w:sz w:val="21"/>
          <w:szCs w:val="21"/>
          <w:highlight w:val="none"/>
        </w:rPr>
      </w:pPr>
      <w:r>
        <w:rPr>
          <w:rFonts w:hint="eastAsia" w:hAnsi="宋体" w:cs="宋体"/>
          <w:b/>
          <w:kern w:val="2"/>
          <w:sz w:val="21"/>
          <w:szCs w:val="21"/>
          <w:highlight w:val="none"/>
        </w:rPr>
        <w:t>五、售后要求</w:t>
      </w:r>
    </w:p>
    <w:p>
      <w:pPr>
        <w:spacing w:line="360" w:lineRule="auto"/>
        <w:ind w:firstLine="420" w:firstLineChars="200"/>
        <w:rPr>
          <w:rFonts w:hAnsi="宋体" w:cs="宋体"/>
          <w:bCs/>
          <w:kern w:val="2"/>
          <w:sz w:val="21"/>
          <w:szCs w:val="21"/>
          <w:highlight w:val="none"/>
        </w:rPr>
      </w:pPr>
      <w:r>
        <w:rPr>
          <w:rFonts w:hint="eastAsia" w:hAnsi="宋体" w:cs="宋体"/>
          <w:bCs/>
          <w:kern w:val="2"/>
          <w:sz w:val="21"/>
          <w:szCs w:val="21"/>
          <w:highlight w:val="none"/>
          <w:lang w:val="en-US" w:eastAsia="zh-CN"/>
        </w:rPr>
        <w:t>1</w:t>
      </w:r>
      <w:r>
        <w:rPr>
          <w:rFonts w:hint="eastAsia" w:hAnsi="宋体" w:cs="宋体"/>
          <w:bCs/>
          <w:kern w:val="2"/>
          <w:sz w:val="21"/>
          <w:szCs w:val="21"/>
          <w:highlight w:val="none"/>
        </w:rPr>
        <w:t>、供货单位应具有相应的技术人员，具备供货及售前售后的服务能力。</w:t>
      </w:r>
    </w:p>
    <w:p>
      <w:pPr>
        <w:spacing w:line="360" w:lineRule="auto"/>
        <w:ind w:firstLine="420" w:firstLineChars="200"/>
        <w:rPr>
          <w:rFonts w:hAnsi="宋体" w:cs="宋体"/>
          <w:bCs/>
          <w:kern w:val="2"/>
          <w:sz w:val="21"/>
          <w:szCs w:val="21"/>
          <w:highlight w:val="none"/>
        </w:rPr>
      </w:pPr>
      <w:r>
        <w:rPr>
          <w:rFonts w:hint="eastAsia" w:hAnsi="宋体" w:cs="宋体"/>
          <w:bCs/>
          <w:kern w:val="2"/>
          <w:sz w:val="21"/>
          <w:szCs w:val="21"/>
          <w:highlight w:val="none"/>
          <w:lang w:val="en-US" w:eastAsia="zh-CN"/>
        </w:rPr>
        <w:t>2</w:t>
      </w:r>
      <w:r>
        <w:rPr>
          <w:rFonts w:hint="eastAsia" w:hAnsi="宋体" w:cs="宋体"/>
          <w:bCs/>
          <w:kern w:val="2"/>
          <w:sz w:val="21"/>
          <w:szCs w:val="21"/>
          <w:highlight w:val="none"/>
        </w:rPr>
        <w:t>、供货单位在接到质量问题通知后24小时内自费派工程师到达现场对问题进行处理。</w:t>
      </w:r>
    </w:p>
    <w:p>
      <w:pPr>
        <w:spacing w:line="360" w:lineRule="auto"/>
        <w:ind w:firstLine="420" w:firstLineChars="200"/>
        <w:rPr>
          <w:rFonts w:hAnsi="宋体" w:cs="宋体"/>
          <w:bCs/>
          <w:kern w:val="2"/>
          <w:sz w:val="21"/>
          <w:szCs w:val="21"/>
          <w:highlight w:val="none"/>
        </w:rPr>
      </w:pPr>
      <w:r>
        <w:rPr>
          <w:rFonts w:hint="eastAsia" w:hAnsi="宋体" w:cs="宋体"/>
          <w:bCs/>
          <w:kern w:val="2"/>
          <w:sz w:val="21"/>
          <w:szCs w:val="21"/>
          <w:highlight w:val="none"/>
          <w:lang w:val="en-US" w:eastAsia="zh-CN"/>
        </w:rPr>
        <w:t>3</w:t>
      </w:r>
      <w:r>
        <w:rPr>
          <w:rFonts w:hint="eastAsia" w:hAnsi="宋体" w:cs="宋体"/>
          <w:bCs/>
          <w:kern w:val="2"/>
          <w:sz w:val="21"/>
          <w:szCs w:val="21"/>
          <w:highlight w:val="none"/>
        </w:rPr>
        <w:t>、在交货或合同履行过程中，若因所交货物（包括但不限于品种、型号、规格、质量）不符合采购人要求、或货物使用过程中出现质量问题，导致供货单位提供的生产药剂不能通过采购人验收的，采购人可拒绝收货或要求供货单位承担退换货责任。原则上供货单位应该在不影响采购人正常生产的情况下，自采购人通知后24小时内无条件予以退换货，采购人不承担因验收造成的货物损耗及运输等一切费用且不对货物承担保管责任，因此产生的费用及风险由供货单位承担。</w:t>
      </w:r>
    </w:p>
    <w:p>
      <w:pPr>
        <w:spacing w:line="360" w:lineRule="auto"/>
        <w:ind w:firstLine="420" w:firstLineChars="200"/>
        <w:rPr>
          <w:rFonts w:hAnsi="宋体" w:cs="宋体"/>
          <w:bCs/>
          <w:kern w:val="2"/>
          <w:sz w:val="21"/>
          <w:szCs w:val="21"/>
          <w:highlight w:val="none"/>
        </w:rPr>
      </w:pPr>
      <w:r>
        <w:rPr>
          <w:rFonts w:hint="eastAsia" w:hAnsi="宋体" w:cs="宋体"/>
          <w:bCs/>
          <w:kern w:val="2"/>
          <w:sz w:val="21"/>
          <w:szCs w:val="21"/>
          <w:highlight w:val="none"/>
          <w:lang w:val="en-US" w:eastAsia="zh-CN"/>
        </w:rPr>
        <w:t>4</w:t>
      </w:r>
      <w:r>
        <w:rPr>
          <w:rFonts w:hint="eastAsia" w:hAnsi="宋体" w:cs="宋体"/>
          <w:bCs/>
          <w:kern w:val="2"/>
          <w:sz w:val="21"/>
          <w:szCs w:val="21"/>
          <w:highlight w:val="none"/>
        </w:rPr>
        <w:t>、自采购人通知货物检验不合格或货物使用过程中出现质量问题而要求供货单位按照前述条款进行退换货后24小时内供货单位未将不合格货物运离采购人仓库，采购人可自行或委托第三方对不合格货物进行处置，供货单位须承担采购人处置该次不合格货物所需的全部费用，以及给采购人造成的一切损失。</w:t>
      </w:r>
    </w:p>
    <w:p>
      <w:pPr>
        <w:spacing w:line="360" w:lineRule="auto"/>
        <w:ind w:firstLine="420" w:firstLineChars="200"/>
        <w:rPr>
          <w:rFonts w:hAnsi="宋体" w:cs="宋体"/>
          <w:b/>
          <w:color w:val="auto"/>
          <w:kern w:val="2"/>
          <w:sz w:val="21"/>
          <w:szCs w:val="21"/>
          <w:highlight w:val="none"/>
        </w:rPr>
      </w:pPr>
      <w:r>
        <w:rPr>
          <w:rFonts w:hint="eastAsia" w:hAnsi="宋体" w:cs="宋体"/>
          <w:bCs/>
          <w:kern w:val="2"/>
          <w:sz w:val="21"/>
          <w:szCs w:val="21"/>
          <w:highlight w:val="none"/>
          <w:lang w:val="en-US" w:eastAsia="zh-CN"/>
        </w:rPr>
        <w:t>5</w:t>
      </w:r>
      <w:r>
        <w:rPr>
          <w:rFonts w:hint="eastAsia" w:hAnsi="宋体" w:cs="宋体"/>
          <w:bCs/>
          <w:kern w:val="2"/>
          <w:sz w:val="21"/>
          <w:szCs w:val="21"/>
          <w:highlight w:val="none"/>
        </w:rPr>
        <w:t>、自采购人通知供货单位货物检验不合格或货物使用过程中出现质量问题后，采购人有权要求供货单位按照加急供货的规定，将等量的合格货物送交采购人，否则按加急供货的违约规</w:t>
      </w:r>
      <w:r>
        <w:rPr>
          <w:rFonts w:hint="eastAsia" w:hAnsi="宋体" w:cs="宋体"/>
          <w:bCs/>
          <w:color w:val="auto"/>
          <w:kern w:val="2"/>
          <w:sz w:val="21"/>
          <w:szCs w:val="21"/>
          <w:highlight w:val="none"/>
        </w:rPr>
        <w:t>定进行处理。</w:t>
      </w:r>
    </w:p>
    <w:p>
      <w:pPr>
        <w:spacing w:line="360" w:lineRule="auto"/>
        <w:ind w:firstLine="422" w:firstLineChars="200"/>
        <w:rPr>
          <w:rFonts w:hAnsi="宋体" w:cs="宋体"/>
          <w:b/>
          <w:color w:val="auto"/>
          <w:kern w:val="2"/>
          <w:sz w:val="21"/>
          <w:szCs w:val="21"/>
          <w:highlight w:val="none"/>
        </w:rPr>
      </w:pPr>
      <w:r>
        <w:rPr>
          <w:rFonts w:hint="eastAsia" w:hAnsi="宋体" w:cs="宋体"/>
          <w:b/>
          <w:color w:val="auto"/>
          <w:kern w:val="2"/>
          <w:sz w:val="21"/>
          <w:szCs w:val="21"/>
          <w:highlight w:val="none"/>
        </w:rPr>
        <w:t>六、付款方式</w:t>
      </w:r>
    </w:p>
    <w:p>
      <w:pPr>
        <w:spacing w:line="360" w:lineRule="auto"/>
        <w:ind w:firstLine="420" w:firstLineChars="200"/>
        <w:rPr>
          <w:rFonts w:hAnsi="宋体" w:cs="宋体"/>
          <w:bCs/>
          <w:color w:val="auto"/>
          <w:kern w:val="2"/>
          <w:sz w:val="21"/>
          <w:szCs w:val="21"/>
          <w:highlight w:val="none"/>
        </w:rPr>
      </w:pPr>
      <w:r>
        <w:rPr>
          <w:rFonts w:hint="eastAsia" w:hAnsi="宋体" w:cs="宋体"/>
          <w:bCs/>
          <w:color w:val="auto"/>
          <w:kern w:val="2"/>
          <w:sz w:val="21"/>
          <w:szCs w:val="21"/>
          <w:highlight w:val="none"/>
        </w:rPr>
        <w:t>1、货物的款项按月支付，每月中旬办理支付上月实际供货量的 100%货款。</w:t>
      </w:r>
    </w:p>
    <w:p>
      <w:pPr>
        <w:spacing w:line="360" w:lineRule="auto"/>
        <w:ind w:firstLine="420" w:firstLineChars="200"/>
        <w:rPr>
          <w:rFonts w:hAnsi="宋体" w:cs="宋体"/>
          <w:b/>
          <w:color w:val="auto"/>
          <w:kern w:val="2"/>
          <w:sz w:val="21"/>
          <w:szCs w:val="21"/>
          <w:highlight w:val="none"/>
        </w:rPr>
      </w:pPr>
      <w:r>
        <w:rPr>
          <w:rFonts w:hint="eastAsia" w:hAnsi="宋体" w:cs="宋体"/>
          <w:bCs/>
          <w:color w:val="auto"/>
          <w:kern w:val="2"/>
          <w:sz w:val="21"/>
          <w:szCs w:val="21"/>
          <w:highlight w:val="none"/>
        </w:rPr>
        <w:t>2、每次付款前，投标人需提交请款报告和增值税专用发票，招标人在收到请款报告和增值税专用发票后</w:t>
      </w:r>
      <w:r>
        <w:rPr>
          <w:rFonts w:hint="eastAsia" w:hAnsi="宋体" w:cs="宋体"/>
          <w:bCs/>
          <w:color w:val="auto"/>
          <w:kern w:val="2"/>
          <w:sz w:val="21"/>
          <w:szCs w:val="21"/>
          <w:highlight w:val="none"/>
          <w:lang w:val="en-US" w:eastAsia="zh-CN"/>
        </w:rPr>
        <w:t>20</w:t>
      </w:r>
      <w:r>
        <w:rPr>
          <w:rFonts w:hint="eastAsia" w:hAnsi="宋体" w:cs="宋体"/>
          <w:bCs/>
          <w:color w:val="auto"/>
          <w:kern w:val="2"/>
          <w:sz w:val="21"/>
          <w:szCs w:val="21"/>
          <w:highlight w:val="none"/>
        </w:rPr>
        <w:t>个工作日内支付货款。</w:t>
      </w:r>
    </w:p>
    <w:p>
      <w:pPr>
        <w:spacing w:line="360" w:lineRule="auto"/>
        <w:ind w:firstLine="422" w:firstLineChars="200"/>
        <w:rPr>
          <w:rFonts w:hAnsi="宋体" w:cs="宋体"/>
          <w:b/>
          <w:sz w:val="21"/>
          <w:szCs w:val="21"/>
          <w:highlight w:val="none"/>
        </w:rPr>
      </w:pPr>
      <w:r>
        <w:rPr>
          <w:rFonts w:hint="eastAsia" w:hAnsi="宋体" w:cs="宋体"/>
          <w:b/>
          <w:kern w:val="2"/>
          <w:sz w:val="21"/>
          <w:szCs w:val="21"/>
          <w:highlight w:val="none"/>
        </w:rPr>
        <w:t>七、其他要求</w:t>
      </w:r>
    </w:p>
    <w:p>
      <w:pPr>
        <w:spacing w:line="360" w:lineRule="auto"/>
        <w:ind w:firstLine="420" w:firstLineChars="200"/>
        <w:rPr>
          <w:rFonts w:hint="eastAsia" w:ascii="宋体" w:hAnsi="宋体" w:eastAsia="宋体" w:cs="宋体"/>
          <w:b w:val="0"/>
          <w:bCs/>
          <w:kern w:val="2"/>
          <w:sz w:val="21"/>
          <w:szCs w:val="21"/>
          <w:lang w:val="en-US" w:eastAsia="zh-CN"/>
        </w:rPr>
      </w:pPr>
      <w:r>
        <w:rPr>
          <w:rFonts w:hint="eastAsia" w:ascii="宋体" w:hAnsi="宋体" w:eastAsia="宋体" w:cs="宋体"/>
          <w:b w:val="0"/>
          <w:bCs/>
          <w:kern w:val="2"/>
          <w:sz w:val="21"/>
          <w:szCs w:val="21"/>
          <w:lang w:val="en-US" w:eastAsia="zh-CN"/>
        </w:rPr>
        <w:t>1、本项目采用</w:t>
      </w:r>
      <w:r>
        <w:rPr>
          <w:rFonts w:hint="eastAsia" w:hAnsi="宋体" w:cs="宋体"/>
          <w:b w:val="0"/>
          <w:bCs/>
          <w:kern w:val="2"/>
          <w:sz w:val="21"/>
          <w:szCs w:val="21"/>
          <w:lang w:val="en-US" w:eastAsia="zh-CN"/>
        </w:rPr>
        <w:t>不</w:t>
      </w:r>
      <w:r>
        <w:rPr>
          <w:rFonts w:hint="eastAsia" w:ascii="宋体" w:hAnsi="宋体" w:eastAsia="宋体" w:cs="宋体"/>
          <w:b w:val="0"/>
          <w:bCs/>
          <w:kern w:val="2"/>
          <w:sz w:val="21"/>
          <w:szCs w:val="21"/>
          <w:lang w:val="en-US" w:eastAsia="zh-CN"/>
        </w:rPr>
        <w:t>含税综合单价进行报价。</w:t>
      </w:r>
    </w:p>
    <w:p>
      <w:pPr>
        <w:spacing w:line="360" w:lineRule="auto"/>
        <w:ind w:firstLine="420" w:firstLineChars="200"/>
        <w:rPr>
          <w:rFonts w:hAnsi="宋体" w:cs="宋体"/>
          <w:bCs/>
          <w:color w:val="FF0000"/>
          <w:kern w:val="2"/>
          <w:sz w:val="21"/>
          <w:szCs w:val="21"/>
          <w:highlight w:val="none"/>
        </w:rPr>
      </w:pPr>
    </w:p>
    <w:sectPr>
      <w:footerReference r:id="rId5" w:type="first"/>
      <w:footerReference r:id="rId3" w:type="default"/>
      <w:footerReference r:id="rId4"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661670" cy="345440"/>
              <wp:effectExtent l="0" t="0" r="5080" b="0"/>
              <wp:wrapNone/>
              <wp:docPr id="1060258340" name="Text Box 3" descr="General"/>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3" o:spid="_x0000_s1026" o:spt="202" alt="General" type="#_x0000_t202" style="position:absolute;left:0pt;height:27.2pt;width:52.1pt;mso-position-horizontal:left;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dgoz0wAAAAQBAAAPAAAAAAAAAAEAIAAAACIAAABkcnMvZG93bnJldi54bWxQSwEC&#10;FAAUAAAACACHTuJAKzRctDICAABsBAAADgAAAAAAAAABACAAAAAiAQAAZHJzL2Uyb0RvYy54bWxQ&#10;SwUGAAAAAAYABgBZAQAAxgUAAAAA&#10;">
              <v:fill on="f" focussize="0,0"/>
              <v:stroke on="f"/>
              <v:imagedata o:title=""/>
              <o:lock v:ext="edit" aspectratio="f"/>
              <v:textbox inset="20pt,0mm,0mm,15pt" style="mso-fit-shape-to-text:t;">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661670" cy="345440"/>
              <wp:effectExtent l="0" t="0" r="5080" b="0"/>
              <wp:wrapNone/>
              <wp:docPr id="1990087194" name="Text Box 2" descr="General"/>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2" o:spid="_x0000_s1026" o:spt="202" alt="General" type="#_x0000_t202" style="position:absolute;left:0pt;height:27.2pt;width:52.1pt;mso-position-horizontal:lef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adgoz0wAAAAQBAAAPAAAAAAAAAAEAIAAAACIAAABkcnMvZG93bnJldi54bWxQ&#10;SwECFAAUAAAACACHTuJAsaMnpDUCAABsBAAADgAAAAAAAAABACAAAAAiAQAAZHJzL2Uyb0RvYy54&#10;bWxQSwUGAAAAAAYABgBZAQAAyQUAAAAA&#10;">
              <v:fill on="f" focussize="0,0"/>
              <v:stroke on="f"/>
              <v:imagedata o:title=""/>
              <o:lock v:ext="edit" aspectratio="f"/>
              <v:textbox inset="20pt,0mm,0mm,15pt" style="mso-fit-shape-to-text:t;">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661670" cy="345440"/>
              <wp:effectExtent l="0" t="0" r="5080" b="0"/>
              <wp:wrapNone/>
              <wp:docPr id="1047332305" name="Text Box 1" descr="General"/>
              <wp:cNvGraphicFramePr/>
              <a:graphic xmlns:a="http://schemas.openxmlformats.org/drawingml/2006/main">
                <a:graphicData uri="http://schemas.microsoft.com/office/word/2010/wordprocessingShape">
                  <wps:wsp>
                    <wps:cNvSpPr txBox="1"/>
                    <wps:spPr>
                      <a:xfrm>
                        <a:off x="0" y="0"/>
                        <a:ext cx="661670" cy="345440"/>
                      </a:xfrm>
                      <a:prstGeom prst="rect">
                        <a:avLst/>
                      </a:prstGeom>
                      <a:noFill/>
                      <a:ln>
                        <a:noFill/>
                      </a:ln>
                    </wps:spPr>
                    <wps:txbx>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1" o:spid="_x0000_s1026" o:spt="202" alt="General" type="#_x0000_t202" style="position:absolute;left:0pt;height:27.2pt;width:52.1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p2CjPTAAAABAEAAA8AAAAAAAAAAQAgAAAAIgAAAGRycy9kb3ducmV2LnhtbFBL&#10;AQIUABQAAAAIAIdO4kBRfNRWNAIAAGwEAAAOAAAAAAAAAAEAIAAAACIBAABkcnMvZTJvRG9jLnht&#10;bFBLBQYAAAAABgAGAFkBAADIBQAAAAA=&#10;">
              <v:fill on="f" focussize="0,0"/>
              <v:stroke on="f"/>
              <v:imagedata o:title=""/>
              <o:lock v:ext="edit" aspectratio="f"/>
              <v:textbox inset="20pt,0mm,0mm,15pt" style="mso-fit-shape-to-text:t;">
                <w:txbxContent>
                  <w:p>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2E0F6"/>
    <w:multiLevelType w:val="singleLevel"/>
    <w:tmpl w:val="99E2E0F6"/>
    <w:lvl w:ilvl="0" w:tentative="0">
      <w:start w:val="3"/>
      <w:numFmt w:val="decimal"/>
      <w:suff w:val="nothing"/>
      <w:lvlText w:val="%1、"/>
      <w:lvlJc w:val="left"/>
    </w:lvl>
  </w:abstractNum>
  <w:abstractNum w:abstractNumId="1">
    <w:nsid w:val="2E4C91A8"/>
    <w:multiLevelType w:val="singleLevel"/>
    <w:tmpl w:val="2E4C91A8"/>
    <w:lvl w:ilvl="0" w:tentative="0">
      <w:start w:val="1"/>
      <w:numFmt w:val="decimal"/>
      <w:suff w:val="space"/>
      <w:lvlText w:val="(%1)"/>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mZDVkNmQ1ODhjY2NiYzEwYTIyZDVlMzIyZjUwYTUifQ=="/>
  </w:docVars>
  <w:rsids>
    <w:rsidRoot w:val="00172A27"/>
    <w:rsid w:val="00084EBA"/>
    <w:rsid w:val="00172A27"/>
    <w:rsid w:val="002113E3"/>
    <w:rsid w:val="002422C0"/>
    <w:rsid w:val="00296851"/>
    <w:rsid w:val="002A4255"/>
    <w:rsid w:val="002A6FE2"/>
    <w:rsid w:val="00322F8F"/>
    <w:rsid w:val="0033745D"/>
    <w:rsid w:val="00391EDA"/>
    <w:rsid w:val="003926EB"/>
    <w:rsid w:val="005B616B"/>
    <w:rsid w:val="005D21EC"/>
    <w:rsid w:val="005D74B5"/>
    <w:rsid w:val="006C4898"/>
    <w:rsid w:val="006F5E4B"/>
    <w:rsid w:val="00730C9C"/>
    <w:rsid w:val="007A052D"/>
    <w:rsid w:val="007A192E"/>
    <w:rsid w:val="008202B9"/>
    <w:rsid w:val="00854B7E"/>
    <w:rsid w:val="008B0621"/>
    <w:rsid w:val="008E3DA9"/>
    <w:rsid w:val="00913105"/>
    <w:rsid w:val="00940CCC"/>
    <w:rsid w:val="00966C4A"/>
    <w:rsid w:val="00980B7A"/>
    <w:rsid w:val="00985CB7"/>
    <w:rsid w:val="00990487"/>
    <w:rsid w:val="00A34D27"/>
    <w:rsid w:val="00A7268A"/>
    <w:rsid w:val="00AF72C8"/>
    <w:rsid w:val="00B30E1E"/>
    <w:rsid w:val="00B35268"/>
    <w:rsid w:val="00B7093B"/>
    <w:rsid w:val="00B92C83"/>
    <w:rsid w:val="00C16C1A"/>
    <w:rsid w:val="00C236EB"/>
    <w:rsid w:val="00C61B43"/>
    <w:rsid w:val="00C6664B"/>
    <w:rsid w:val="00C70A77"/>
    <w:rsid w:val="00D462F2"/>
    <w:rsid w:val="00D62761"/>
    <w:rsid w:val="00DE499B"/>
    <w:rsid w:val="00E362CA"/>
    <w:rsid w:val="00E870CB"/>
    <w:rsid w:val="00F21BD3"/>
    <w:rsid w:val="00F90282"/>
    <w:rsid w:val="00FC0C8F"/>
    <w:rsid w:val="022D7245"/>
    <w:rsid w:val="040C75CD"/>
    <w:rsid w:val="04E7565C"/>
    <w:rsid w:val="0506170D"/>
    <w:rsid w:val="055A55AC"/>
    <w:rsid w:val="061D0ABC"/>
    <w:rsid w:val="07D64274"/>
    <w:rsid w:val="088E7E98"/>
    <w:rsid w:val="08901A19"/>
    <w:rsid w:val="097053A7"/>
    <w:rsid w:val="09866978"/>
    <w:rsid w:val="0B985693"/>
    <w:rsid w:val="0D2546FA"/>
    <w:rsid w:val="0D92163A"/>
    <w:rsid w:val="0EA73BB6"/>
    <w:rsid w:val="0F3D21CF"/>
    <w:rsid w:val="126D0D7E"/>
    <w:rsid w:val="130E130F"/>
    <w:rsid w:val="14F0527E"/>
    <w:rsid w:val="1A350962"/>
    <w:rsid w:val="1AD35795"/>
    <w:rsid w:val="1B826AF7"/>
    <w:rsid w:val="1F1F3A88"/>
    <w:rsid w:val="1F271230"/>
    <w:rsid w:val="1F5A6485"/>
    <w:rsid w:val="1F721A21"/>
    <w:rsid w:val="20542ED4"/>
    <w:rsid w:val="233139A1"/>
    <w:rsid w:val="240D7F6A"/>
    <w:rsid w:val="244514B2"/>
    <w:rsid w:val="24833D88"/>
    <w:rsid w:val="25CB0DCC"/>
    <w:rsid w:val="264E03C6"/>
    <w:rsid w:val="27B801ED"/>
    <w:rsid w:val="285E4D43"/>
    <w:rsid w:val="290A2CCA"/>
    <w:rsid w:val="293F6969"/>
    <w:rsid w:val="295F594B"/>
    <w:rsid w:val="296D4FD9"/>
    <w:rsid w:val="2B141BDE"/>
    <w:rsid w:val="2C611D30"/>
    <w:rsid w:val="2D412A32"/>
    <w:rsid w:val="30071D11"/>
    <w:rsid w:val="31551114"/>
    <w:rsid w:val="372238D5"/>
    <w:rsid w:val="377F4883"/>
    <w:rsid w:val="37CE2167"/>
    <w:rsid w:val="38FE5C7B"/>
    <w:rsid w:val="39D23390"/>
    <w:rsid w:val="3A30198F"/>
    <w:rsid w:val="3C66015E"/>
    <w:rsid w:val="3F7C2FC6"/>
    <w:rsid w:val="4194717D"/>
    <w:rsid w:val="424566C9"/>
    <w:rsid w:val="447819F5"/>
    <w:rsid w:val="44BF2B1E"/>
    <w:rsid w:val="45647B1E"/>
    <w:rsid w:val="464253F9"/>
    <w:rsid w:val="48862E5B"/>
    <w:rsid w:val="49BA78A3"/>
    <w:rsid w:val="4A9F5E3B"/>
    <w:rsid w:val="4C8E75EA"/>
    <w:rsid w:val="4E3D2FB9"/>
    <w:rsid w:val="4F8E16AF"/>
    <w:rsid w:val="551268DF"/>
    <w:rsid w:val="55B915A0"/>
    <w:rsid w:val="575431DF"/>
    <w:rsid w:val="57737EC4"/>
    <w:rsid w:val="57E62B94"/>
    <w:rsid w:val="59575208"/>
    <w:rsid w:val="5A2055FA"/>
    <w:rsid w:val="5CCE758F"/>
    <w:rsid w:val="5D2842DE"/>
    <w:rsid w:val="5E0A5EAD"/>
    <w:rsid w:val="61443276"/>
    <w:rsid w:val="62B66AFB"/>
    <w:rsid w:val="6359003F"/>
    <w:rsid w:val="65C71020"/>
    <w:rsid w:val="664D7777"/>
    <w:rsid w:val="666A5E6E"/>
    <w:rsid w:val="66A762C2"/>
    <w:rsid w:val="677A1223"/>
    <w:rsid w:val="68217557"/>
    <w:rsid w:val="68442DFB"/>
    <w:rsid w:val="68C2096E"/>
    <w:rsid w:val="68F833D8"/>
    <w:rsid w:val="69B01D77"/>
    <w:rsid w:val="6A646982"/>
    <w:rsid w:val="6E6018FD"/>
    <w:rsid w:val="70025A76"/>
    <w:rsid w:val="702C75A2"/>
    <w:rsid w:val="70652780"/>
    <w:rsid w:val="70F15F16"/>
    <w:rsid w:val="71655B6B"/>
    <w:rsid w:val="743F1493"/>
    <w:rsid w:val="776C0560"/>
    <w:rsid w:val="782642CC"/>
    <w:rsid w:val="785250C1"/>
    <w:rsid w:val="79065900"/>
    <w:rsid w:val="790E7239"/>
    <w:rsid w:val="7A7E738E"/>
    <w:rsid w:val="7B007056"/>
    <w:rsid w:val="7CBA306D"/>
    <w:rsid w:val="7D8B70AB"/>
    <w:rsid w:val="7DCE6F97"/>
    <w:rsid w:val="7DF509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4">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5"/>
    <w:semiHidden/>
    <w:unhideWhenUsed/>
    <w:qFormat/>
    <w:uiPriority w:val="9"/>
    <w:pPr>
      <w:keepNext/>
      <w:keepLines/>
      <w:spacing w:before="80" w:after="40"/>
      <w:outlineLvl w:val="4"/>
    </w:pPr>
    <w:rPr>
      <w:rFonts w:cstheme="majorBidi"/>
      <w:color w:val="104862" w:themeColor="accent1" w:themeShade="BF"/>
    </w:rPr>
  </w:style>
  <w:style w:type="paragraph" w:styleId="9">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3">
    <w:name w:val="annotation text"/>
    <w:basedOn w:val="1"/>
    <w:link w:val="41"/>
    <w:unhideWhenUsed/>
    <w:qFormat/>
    <w:uiPriority w:val="99"/>
  </w:style>
  <w:style w:type="paragraph" w:styleId="14">
    <w:name w:val="footer"/>
    <w:basedOn w:val="1"/>
    <w:link w:val="40"/>
    <w:unhideWhenUsed/>
    <w:qFormat/>
    <w:uiPriority w:val="99"/>
    <w:pPr>
      <w:tabs>
        <w:tab w:val="center" w:pos="4153"/>
        <w:tab w:val="right" w:pos="8306"/>
      </w:tabs>
      <w:snapToGrid w:val="0"/>
    </w:pPr>
    <w:rPr>
      <w:sz w:val="18"/>
      <w:szCs w:val="18"/>
    </w:rPr>
  </w:style>
  <w:style w:type="paragraph" w:styleId="15">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annotation subject"/>
    <w:basedOn w:val="13"/>
    <w:next w:val="13"/>
    <w:link w:val="42"/>
    <w:semiHidden/>
    <w:unhideWhenUsed/>
    <w:qFormat/>
    <w:uiPriority w:val="99"/>
    <w:rPr>
      <w:b/>
      <w:bCs/>
    </w:rPr>
  </w:style>
  <w:style w:type="table" w:styleId="18">
    <w:name w:val="Table Grid"/>
    <w:basedOn w:val="1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21"/>
      <w:szCs w:val="21"/>
    </w:rPr>
  </w:style>
  <w:style w:type="character" w:customStyle="1" w:styleId="21">
    <w:name w:val="Heading 1 Char"/>
    <w:basedOn w:val="19"/>
    <w:link w:val="4"/>
    <w:qFormat/>
    <w:uiPriority w:val="9"/>
    <w:rPr>
      <w:rFonts w:asciiTheme="majorHAnsi" w:hAnsiTheme="majorHAnsi" w:eastAsiaTheme="majorEastAsia" w:cstheme="majorBidi"/>
      <w:color w:val="104862" w:themeColor="accent1" w:themeShade="BF"/>
      <w:sz w:val="48"/>
      <w:szCs w:val="48"/>
    </w:rPr>
  </w:style>
  <w:style w:type="character" w:customStyle="1" w:styleId="22">
    <w:name w:val="Heading 2 Char"/>
    <w:basedOn w:val="19"/>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Heading 3 Char"/>
    <w:basedOn w:val="19"/>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Heading 4 Char"/>
    <w:basedOn w:val="19"/>
    <w:link w:val="7"/>
    <w:semiHidden/>
    <w:qFormat/>
    <w:uiPriority w:val="9"/>
    <w:rPr>
      <w:rFonts w:cstheme="majorBidi"/>
      <w:color w:val="104862" w:themeColor="accent1" w:themeShade="BF"/>
      <w:sz w:val="28"/>
      <w:szCs w:val="28"/>
    </w:rPr>
  </w:style>
  <w:style w:type="character" w:customStyle="1" w:styleId="25">
    <w:name w:val="Heading 5 Char"/>
    <w:basedOn w:val="19"/>
    <w:link w:val="8"/>
    <w:semiHidden/>
    <w:qFormat/>
    <w:uiPriority w:val="9"/>
    <w:rPr>
      <w:rFonts w:cstheme="majorBidi"/>
      <w:color w:val="104862" w:themeColor="accent1" w:themeShade="BF"/>
      <w:sz w:val="24"/>
      <w:szCs w:val="24"/>
    </w:rPr>
  </w:style>
  <w:style w:type="character" w:customStyle="1" w:styleId="26">
    <w:name w:val="Heading 6 Char"/>
    <w:basedOn w:val="19"/>
    <w:link w:val="9"/>
    <w:semiHidden/>
    <w:qFormat/>
    <w:uiPriority w:val="9"/>
    <w:rPr>
      <w:rFonts w:cstheme="majorBidi"/>
      <w:b/>
      <w:bCs/>
      <w:color w:val="104862" w:themeColor="accent1" w:themeShade="BF"/>
    </w:rPr>
  </w:style>
  <w:style w:type="character" w:customStyle="1" w:styleId="27">
    <w:name w:val="Heading 7 Char"/>
    <w:basedOn w:val="19"/>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Heading 8 Char"/>
    <w:basedOn w:val="19"/>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Heading 9 Char"/>
    <w:basedOn w:val="19"/>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Title Char"/>
    <w:basedOn w:val="19"/>
    <w:link w:val="3"/>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1"/>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Intense Quote Char"/>
    <w:basedOn w:val="19"/>
    <w:link w:val="36"/>
    <w:qFormat/>
    <w:uiPriority w:val="30"/>
    <w:rPr>
      <w:i/>
      <w:iCs/>
      <w:color w:val="104862" w:themeColor="accent1" w:themeShade="BF"/>
    </w:rPr>
  </w:style>
  <w:style w:type="character" w:customStyle="1" w:styleId="38">
    <w:name w:val="Intense Reference1"/>
    <w:basedOn w:val="19"/>
    <w:qFormat/>
    <w:uiPriority w:val="32"/>
    <w:rPr>
      <w:b/>
      <w:bCs/>
      <w:smallCaps/>
      <w:color w:val="104862" w:themeColor="accent1" w:themeShade="BF"/>
      <w:spacing w:val="5"/>
    </w:rPr>
  </w:style>
  <w:style w:type="paragraph" w:customStyle="1" w:styleId="39">
    <w:name w:val="首行缩进"/>
    <w:basedOn w:val="1"/>
    <w:qFormat/>
    <w:uiPriority w:val="0"/>
    <w:pPr>
      <w:ind w:firstLine="480" w:firstLineChars="200"/>
    </w:pPr>
    <w:rPr>
      <w:lang w:val="zh-CN"/>
    </w:rPr>
  </w:style>
  <w:style w:type="character" w:customStyle="1" w:styleId="40">
    <w:name w:val="Footer Char"/>
    <w:basedOn w:val="19"/>
    <w:link w:val="14"/>
    <w:qFormat/>
    <w:uiPriority w:val="99"/>
    <w:rPr>
      <w:rFonts w:ascii="宋体" w:hAnsi="Times New Roman" w:eastAsia="宋体" w:cs="Times New Roman"/>
      <w:kern w:val="0"/>
      <w:sz w:val="18"/>
      <w:szCs w:val="18"/>
    </w:rPr>
  </w:style>
  <w:style w:type="character" w:customStyle="1" w:styleId="41">
    <w:name w:val="Comment Text Char"/>
    <w:basedOn w:val="19"/>
    <w:link w:val="13"/>
    <w:qFormat/>
    <w:uiPriority w:val="99"/>
    <w:rPr>
      <w:rFonts w:ascii="宋体" w:hAnsi="Times New Roman" w:eastAsia="宋体" w:cs="Times New Roman"/>
      <w:sz w:val="24"/>
      <w:szCs w:val="24"/>
    </w:rPr>
  </w:style>
  <w:style w:type="character" w:customStyle="1" w:styleId="42">
    <w:name w:val="Comment Subject Char"/>
    <w:basedOn w:val="41"/>
    <w:link w:val="16"/>
    <w:semiHidden/>
    <w:qFormat/>
    <w:uiPriority w:val="99"/>
    <w:rPr>
      <w:rFonts w:ascii="宋体" w:hAnsi="Times New Roman" w:eastAsia="宋体"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2959</Words>
  <Characters>3076</Characters>
  <Lines>25</Lines>
  <Paragraphs>7</Paragraphs>
  <TotalTime>0</TotalTime>
  <ScaleCrop>false</ScaleCrop>
  <LinksUpToDate>false</LinksUpToDate>
  <CharactersWithSpaces>3085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2025-06-11T09:08:00Z</dcterms:created>
  <dc:creator>Liu, Zengping</dc:creator>
  <cp:lastModifiedBy>余亚萍</cp:lastModifiedBy>
  <dcterms:modified xsi:type="dcterms:W3CDTF">2025-09-26T07:17:19Z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3e6d05d1,769e521a,3f324224</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KSOProductBuildVer">
    <vt:lpwstr>2052-12.1.0.16910</vt:lpwstr>
  </property>
  <property fmtid="{D5CDD505-2E9C-101B-9397-08002B2CF9AE}" pid="6" name="ICV">
    <vt:lpwstr>A54A2D16C3E94275808A475CDE25D38A_12</vt:lpwstr>
  </property>
  <property fmtid="{D5CDD505-2E9C-101B-9397-08002B2CF9AE}" pid="7" name="KSOTemplateDocerSaveRecord">
    <vt:lpwstr>eyJoZGlkIjoiMjM4YmI1ZGMxYWU2MzJlZDdiNzQ1ZGVkNzhlNjgwZGEiLCJ1c2VySWQiOiIxNDc3OTk4NzA2In0=</vt:lpwstr>
  </property>
</Properties>
</file>