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7E08">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kern w:val="44"/>
          <w:sz w:val="32"/>
          <w:szCs w:val="32"/>
          <w:highlight w:val="none"/>
          <w:lang w:val="zh-CN"/>
        </w:rPr>
      </w:pPr>
      <w:r>
        <w:rPr>
          <w:rFonts w:hint="eastAsia" w:ascii="宋体" w:hAnsi="宋体" w:eastAsia="宋体" w:cs="宋体"/>
          <w:b/>
          <w:bCs/>
          <w:kern w:val="44"/>
          <w:sz w:val="32"/>
          <w:szCs w:val="32"/>
          <w:highlight w:val="none"/>
          <w:lang w:val="zh-CN"/>
        </w:rPr>
        <w:t>用户需求书</w:t>
      </w:r>
    </w:p>
    <w:p w14:paraId="1C3E5158">
      <w:pPr>
        <w:pStyle w:val="7"/>
        <w:keepNext w:val="0"/>
        <w:keepLines w:val="0"/>
        <w:kinsoku/>
        <w:wordWrap/>
        <w:overflowPunct/>
        <w:topLinePunct w:val="0"/>
        <w:bidi w:val="0"/>
        <w:snapToGrid/>
        <w:spacing w:line="360" w:lineRule="auto"/>
        <w:ind w:left="422" w:firstLine="0" w:firstLineChars="0"/>
        <w:rPr>
          <w:rFonts w:hint="eastAsia" w:ascii="宋体" w:hAnsi="宋体" w:eastAsia="宋体" w:cs="宋体"/>
          <w:b/>
          <w:color w:val="auto"/>
          <w:sz w:val="21"/>
          <w:szCs w:val="21"/>
        </w:rPr>
      </w:pPr>
      <w:bookmarkStart w:id="0" w:name="_Toc7082"/>
      <w:bookmarkEnd w:id="0"/>
      <w:bookmarkStart w:id="1" w:name="_Toc12510"/>
      <w:bookmarkEnd w:id="1"/>
      <w:bookmarkStart w:id="2" w:name="_Toc4179"/>
      <w:bookmarkEnd w:id="2"/>
      <w:bookmarkStart w:id="3" w:name="_Toc18798"/>
      <w:bookmarkEnd w:id="3"/>
      <w:r>
        <w:rPr>
          <w:rFonts w:hint="eastAsia" w:ascii="宋体" w:hAnsi="宋体" w:eastAsia="宋体" w:cs="宋体"/>
          <w:b/>
          <w:color w:val="auto"/>
          <w:sz w:val="21"/>
          <w:szCs w:val="21"/>
        </w:rPr>
        <w:t>一、项目概况</w:t>
      </w:r>
    </w:p>
    <w:p w14:paraId="38CA7742">
      <w:pPr>
        <w:keepNext w:val="0"/>
        <w:keepLines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bookmarkStart w:id="4" w:name="OLE_LINK2"/>
      <w:r>
        <w:rPr>
          <w:rFonts w:hint="eastAsia" w:ascii="宋体" w:hAnsi="宋体" w:eastAsia="宋体" w:cs="宋体"/>
          <w:color w:val="auto"/>
          <w:sz w:val="21"/>
          <w:szCs w:val="21"/>
        </w:rPr>
        <w:t>东莞市水务</w:t>
      </w:r>
      <w:r>
        <w:rPr>
          <w:rFonts w:hint="eastAsia" w:ascii="宋体" w:hAnsi="宋体" w:eastAsia="宋体" w:cs="宋体"/>
          <w:color w:val="auto"/>
          <w:sz w:val="21"/>
          <w:szCs w:val="21"/>
          <w:lang w:val="en-US" w:eastAsia="zh-CN"/>
        </w:rPr>
        <w:t>环境投资控股</w:t>
      </w:r>
      <w:r>
        <w:rPr>
          <w:rFonts w:hint="eastAsia" w:ascii="宋体" w:hAnsi="宋体" w:eastAsia="宋体" w:cs="宋体"/>
          <w:color w:val="auto"/>
          <w:sz w:val="21"/>
          <w:szCs w:val="21"/>
        </w:rPr>
        <w:t>集团管网有限公司</w:t>
      </w:r>
      <w:bookmarkEnd w:id="4"/>
      <w:r>
        <w:rPr>
          <w:rFonts w:hint="eastAsia" w:ascii="宋体" w:hAnsi="宋体" w:eastAsia="宋体" w:cs="宋体"/>
          <w:color w:val="auto"/>
          <w:sz w:val="21"/>
          <w:szCs w:val="21"/>
        </w:rPr>
        <w:t>是东莞市水务环境投资控股集团有限公司的二级子公司，承接全市排水管网板块业务，包括建设、维护、维修、整改工作，协助行政主管部门开展排水接驳、水环境执法及市政府部署的涉水项目等工作。目前招标人已运维的污水</w:t>
      </w:r>
      <w:r>
        <w:rPr>
          <w:rFonts w:hint="eastAsia" w:ascii="宋体" w:hAnsi="宋体" w:eastAsia="宋体" w:cs="宋体"/>
          <w:color w:val="auto"/>
          <w:sz w:val="21"/>
          <w:szCs w:val="21"/>
          <w:lang w:val="en-US" w:eastAsia="zh-CN"/>
        </w:rPr>
        <w:t>及雨水</w:t>
      </w:r>
      <w:r>
        <w:rPr>
          <w:rFonts w:hint="eastAsia" w:ascii="宋体" w:hAnsi="宋体" w:eastAsia="宋体" w:cs="宋体"/>
          <w:color w:val="auto"/>
          <w:sz w:val="21"/>
          <w:szCs w:val="21"/>
        </w:rPr>
        <w:t>管网达</w:t>
      </w:r>
      <w:r>
        <w:rPr>
          <w:rFonts w:hint="eastAsia" w:ascii="宋体" w:hAnsi="宋体" w:eastAsia="宋体" w:cs="宋体"/>
          <w:color w:val="auto"/>
          <w:sz w:val="21"/>
          <w:szCs w:val="21"/>
          <w:lang w:val="en-US" w:eastAsia="zh-CN"/>
        </w:rPr>
        <w:t>10598.13</w:t>
      </w:r>
      <w:r>
        <w:rPr>
          <w:rFonts w:hint="eastAsia" w:ascii="宋体" w:hAnsi="宋体" w:eastAsia="宋体" w:cs="宋体"/>
          <w:color w:val="auto"/>
          <w:sz w:val="21"/>
          <w:szCs w:val="21"/>
        </w:rPr>
        <w:t>公里，污水提升泵站及雨水排涝设施共计</w:t>
      </w:r>
      <w:r>
        <w:rPr>
          <w:rFonts w:hint="eastAsia" w:ascii="宋体" w:hAnsi="宋体" w:eastAsia="宋体" w:cs="宋体"/>
          <w:color w:val="auto"/>
          <w:sz w:val="21"/>
          <w:szCs w:val="21"/>
          <w:lang w:val="en-US" w:eastAsia="zh-CN"/>
        </w:rPr>
        <w:t>298</w:t>
      </w:r>
      <w:r>
        <w:rPr>
          <w:rFonts w:hint="eastAsia" w:ascii="宋体" w:hAnsi="宋体" w:eastAsia="宋体" w:cs="宋体"/>
          <w:color w:val="auto"/>
          <w:sz w:val="21"/>
          <w:szCs w:val="21"/>
        </w:rPr>
        <w:t>座，预计至202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年底，接收运维管网超过11000公里，运营污水提升泵站超300座。随着公司发展，各辖区管网及泵站机电设备、设施拆卸、维修、技改、重置等机电设备维修工作量不断增大，需由专业机电维修公司承接部分技术服务工作。</w:t>
      </w:r>
      <w:r>
        <w:rPr>
          <w:rFonts w:hint="eastAsia" w:ascii="宋体" w:hAnsi="宋体" w:eastAsia="宋体" w:cs="宋体"/>
          <w:color w:val="auto"/>
          <w:sz w:val="21"/>
          <w:szCs w:val="21"/>
        </w:rPr>
        <w:cr/>
      </w:r>
      <w:r>
        <w:rPr>
          <w:rFonts w:hint="eastAsia" w:ascii="宋体" w:hAnsi="宋体" w:eastAsia="宋体" w:cs="宋体"/>
          <w:color w:val="auto"/>
          <w:sz w:val="21"/>
          <w:szCs w:val="21"/>
        </w:rPr>
        <w:t xml:space="preserve">    招标人对全市污水雨水管网及泵站运营分6个片区进行管理（详见表1），本次招标人以公开招标方式，将6个片区划分3个</w:t>
      </w:r>
      <w:r>
        <w:rPr>
          <w:rFonts w:hint="eastAsia" w:ascii="宋体" w:hAnsi="宋体" w:eastAsia="宋体" w:cs="宋体"/>
          <w:color w:val="auto"/>
          <w:sz w:val="21"/>
          <w:szCs w:val="21"/>
          <w:lang w:eastAsia="zh-CN"/>
        </w:rPr>
        <w:t>标段</w:t>
      </w:r>
      <w:r>
        <w:rPr>
          <w:rFonts w:hint="eastAsia" w:ascii="宋体" w:hAnsi="宋体" w:eastAsia="宋体" w:cs="宋体"/>
          <w:color w:val="auto"/>
          <w:sz w:val="21"/>
          <w:szCs w:val="21"/>
        </w:rPr>
        <w:t>分别选取1家机电设备维修服务单位，在服务期限内，按招标人委派的规则直接承接对应</w:t>
      </w:r>
      <w:r>
        <w:rPr>
          <w:rFonts w:hint="eastAsia" w:ascii="宋体" w:hAnsi="宋体" w:eastAsia="宋体" w:cs="宋体"/>
          <w:color w:val="auto"/>
          <w:sz w:val="21"/>
          <w:szCs w:val="21"/>
          <w:lang w:eastAsia="zh-CN"/>
        </w:rPr>
        <w:t>标段</w:t>
      </w:r>
      <w:r>
        <w:rPr>
          <w:rFonts w:hint="eastAsia" w:ascii="宋体" w:hAnsi="宋体" w:eastAsia="宋体" w:cs="宋体"/>
          <w:color w:val="auto"/>
          <w:sz w:val="21"/>
          <w:szCs w:val="21"/>
        </w:rPr>
        <w:t>内的机电设备维修服务项目。</w:t>
      </w:r>
    </w:p>
    <w:p w14:paraId="5AFBD407">
      <w:pPr>
        <w:keepNext w:val="0"/>
        <w:keepLines w:val="0"/>
        <w:kinsoku/>
        <w:wordWrap/>
        <w:overflowPunct/>
        <w:topLinePunct w:val="0"/>
        <w:bidi w:val="0"/>
        <w:snapToGrid/>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表1 全市排水管网及泵站运营管理片区划分表</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377"/>
        <w:gridCol w:w="4563"/>
        <w:gridCol w:w="1706"/>
      </w:tblGrid>
      <w:tr w14:paraId="2D3E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4EF40CE5">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标段号</w:t>
            </w:r>
          </w:p>
        </w:tc>
        <w:tc>
          <w:tcPr>
            <w:tcW w:w="808" w:type="pct"/>
            <w:tcBorders>
              <w:top w:val="single" w:color="auto" w:sz="4" w:space="0"/>
              <w:left w:val="single" w:color="auto" w:sz="4" w:space="0"/>
              <w:bottom w:val="single" w:color="auto" w:sz="4" w:space="0"/>
              <w:right w:val="single" w:color="auto" w:sz="4" w:space="0"/>
            </w:tcBorders>
            <w:vAlign w:val="center"/>
          </w:tcPr>
          <w:p w14:paraId="2F85D3E2">
            <w:pPr>
              <w:pStyle w:val="7"/>
              <w:keepNext w:val="0"/>
              <w:keepLines w:val="0"/>
              <w:suppressLineNumbers w:val="0"/>
              <w:kinsoku/>
              <w:wordWrap/>
              <w:overflowPunct/>
              <w:topLinePunct w:val="0"/>
              <w:bidi w:val="0"/>
              <w:snapToGrid/>
              <w:spacing w:before="0" w:beforeAutospacing="0" w:after="0" w:afterAutospacing="0" w:line="360" w:lineRule="auto"/>
              <w:ind w:left="0" w:right="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片区名称</w:t>
            </w:r>
          </w:p>
        </w:tc>
        <w:tc>
          <w:tcPr>
            <w:tcW w:w="2677" w:type="pct"/>
            <w:tcBorders>
              <w:top w:val="single" w:color="auto" w:sz="4" w:space="0"/>
              <w:left w:val="single" w:color="auto" w:sz="4" w:space="0"/>
              <w:bottom w:val="single" w:color="auto" w:sz="4" w:space="0"/>
              <w:right w:val="single" w:color="auto" w:sz="4" w:space="0"/>
            </w:tcBorders>
            <w:vAlign w:val="center"/>
          </w:tcPr>
          <w:p w14:paraId="363FB85F">
            <w:pPr>
              <w:pStyle w:val="7"/>
              <w:keepNext w:val="0"/>
              <w:keepLines w:val="0"/>
              <w:suppressLineNumbers w:val="0"/>
              <w:kinsoku/>
              <w:wordWrap/>
              <w:overflowPunct/>
              <w:topLinePunct w:val="0"/>
              <w:bidi w:val="0"/>
              <w:snapToGrid/>
              <w:spacing w:before="0" w:beforeAutospacing="0" w:after="0" w:afterAutospacing="0" w:line="360" w:lineRule="auto"/>
              <w:ind w:left="0" w:right="0" w:firstLine="422"/>
              <w:rPr>
                <w:rFonts w:hint="eastAsia" w:ascii="宋体" w:hAnsi="宋体" w:eastAsia="宋体" w:cs="宋体"/>
                <w:b/>
                <w:color w:val="auto"/>
                <w:sz w:val="21"/>
                <w:szCs w:val="21"/>
              </w:rPr>
            </w:pPr>
            <w:r>
              <w:rPr>
                <w:rFonts w:hint="eastAsia" w:ascii="宋体" w:hAnsi="宋体" w:eastAsia="宋体" w:cs="宋体"/>
                <w:b/>
                <w:color w:val="auto"/>
                <w:sz w:val="21"/>
                <w:szCs w:val="21"/>
              </w:rPr>
              <w:t>片区（园区、街道办）分属镇街</w:t>
            </w:r>
          </w:p>
        </w:tc>
        <w:tc>
          <w:tcPr>
            <w:tcW w:w="1000" w:type="pct"/>
            <w:tcBorders>
              <w:top w:val="single" w:color="auto" w:sz="4" w:space="0"/>
              <w:left w:val="single" w:color="auto" w:sz="4" w:space="0"/>
              <w:bottom w:val="single" w:color="auto" w:sz="4" w:space="0"/>
              <w:right w:val="single" w:color="auto" w:sz="4" w:space="0"/>
            </w:tcBorders>
            <w:vAlign w:val="center"/>
          </w:tcPr>
          <w:p w14:paraId="70B18810">
            <w:pPr>
              <w:pStyle w:val="7"/>
              <w:keepNext w:val="0"/>
              <w:keepLines w:val="0"/>
              <w:suppressLineNumbers w:val="0"/>
              <w:kinsoku/>
              <w:wordWrap/>
              <w:overflowPunct/>
              <w:topLinePunct w:val="0"/>
              <w:bidi w:val="0"/>
              <w:snapToGrid/>
              <w:spacing w:before="0" w:beforeAutospacing="0" w:after="0" w:afterAutospacing="0" w:line="360" w:lineRule="auto"/>
              <w:ind w:left="0" w:right="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招标人办公驻点</w:t>
            </w:r>
          </w:p>
        </w:tc>
      </w:tr>
      <w:tr w14:paraId="3F59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 w:type="pct"/>
            <w:vMerge w:val="restart"/>
            <w:tcBorders>
              <w:top w:val="single" w:color="auto" w:sz="4" w:space="0"/>
              <w:left w:val="single" w:color="auto" w:sz="4" w:space="0"/>
              <w:right w:val="single" w:color="auto" w:sz="4" w:space="0"/>
            </w:tcBorders>
            <w:vAlign w:val="center"/>
          </w:tcPr>
          <w:p w14:paraId="1B8E626E">
            <w:pPr>
              <w:pStyle w:val="7"/>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34"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一</w:t>
            </w:r>
          </w:p>
        </w:tc>
        <w:tc>
          <w:tcPr>
            <w:tcW w:w="808" w:type="pct"/>
            <w:tcBorders>
              <w:top w:val="single" w:color="auto" w:sz="4" w:space="0"/>
              <w:left w:val="single" w:color="auto" w:sz="4" w:space="0"/>
              <w:bottom w:val="single" w:color="auto" w:sz="4" w:space="0"/>
              <w:right w:val="single" w:color="auto" w:sz="4" w:space="0"/>
            </w:tcBorders>
            <w:vAlign w:val="center"/>
          </w:tcPr>
          <w:p w14:paraId="67C7F23A">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第一片区</w:t>
            </w:r>
          </w:p>
        </w:tc>
        <w:tc>
          <w:tcPr>
            <w:tcW w:w="2677" w:type="pct"/>
            <w:tcBorders>
              <w:top w:val="single" w:color="auto" w:sz="4" w:space="0"/>
              <w:left w:val="single" w:color="auto" w:sz="4" w:space="0"/>
              <w:bottom w:val="single" w:color="auto" w:sz="4" w:space="0"/>
              <w:right w:val="single" w:color="auto" w:sz="4" w:space="0"/>
            </w:tcBorders>
            <w:vAlign w:val="center"/>
          </w:tcPr>
          <w:p w14:paraId="53C244CB">
            <w:pPr>
              <w:keepNext w:val="0"/>
              <w:keepLines w:val="0"/>
              <w:suppressLineNumbers w:val="0"/>
              <w:kinsoku/>
              <w:wordWrap/>
              <w:overflowPunct/>
              <w:topLinePunct w:val="0"/>
              <w:bidi w:val="0"/>
              <w:snapToGrid/>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东城、南城、莞城、万江、石龙、石碣、高埗</w:t>
            </w:r>
          </w:p>
        </w:tc>
        <w:tc>
          <w:tcPr>
            <w:tcW w:w="1000" w:type="pct"/>
            <w:tcBorders>
              <w:top w:val="single" w:color="auto" w:sz="4" w:space="0"/>
              <w:left w:val="single" w:color="auto" w:sz="4" w:space="0"/>
              <w:bottom w:val="single" w:color="auto" w:sz="4" w:space="0"/>
              <w:right w:val="single" w:color="auto" w:sz="4" w:space="0"/>
            </w:tcBorders>
            <w:vAlign w:val="center"/>
          </w:tcPr>
          <w:p w14:paraId="31313217">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东城</w:t>
            </w:r>
          </w:p>
        </w:tc>
      </w:tr>
      <w:tr w14:paraId="6947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 w:type="pct"/>
            <w:vMerge w:val="continue"/>
            <w:tcBorders>
              <w:left w:val="single" w:color="auto" w:sz="4" w:space="0"/>
              <w:bottom w:val="single" w:color="auto" w:sz="4" w:space="0"/>
              <w:right w:val="single" w:color="auto" w:sz="4" w:space="0"/>
            </w:tcBorders>
            <w:vAlign w:val="center"/>
          </w:tcPr>
          <w:p w14:paraId="664E6E9E">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p>
        </w:tc>
        <w:tc>
          <w:tcPr>
            <w:tcW w:w="808" w:type="pct"/>
            <w:tcBorders>
              <w:top w:val="single" w:color="auto" w:sz="4" w:space="0"/>
              <w:left w:val="single" w:color="auto" w:sz="4" w:space="0"/>
              <w:bottom w:val="single" w:color="auto" w:sz="4" w:space="0"/>
              <w:right w:val="single" w:color="auto" w:sz="4" w:space="0"/>
            </w:tcBorders>
            <w:vAlign w:val="center"/>
          </w:tcPr>
          <w:p w14:paraId="3E8E66D2">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第二片区</w:t>
            </w:r>
          </w:p>
        </w:tc>
        <w:tc>
          <w:tcPr>
            <w:tcW w:w="2677" w:type="pct"/>
            <w:tcBorders>
              <w:top w:val="single" w:color="auto" w:sz="4" w:space="0"/>
              <w:left w:val="single" w:color="auto" w:sz="4" w:space="0"/>
              <w:bottom w:val="single" w:color="auto" w:sz="4" w:space="0"/>
              <w:right w:val="single" w:color="auto" w:sz="4" w:space="0"/>
            </w:tcBorders>
            <w:vAlign w:val="center"/>
          </w:tcPr>
          <w:p w14:paraId="3DF6F40D">
            <w:pPr>
              <w:pStyle w:val="7"/>
              <w:keepNext w:val="0"/>
              <w:keepLines w:val="0"/>
              <w:suppressLineNumbers w:val="0"/>
              <w:kinsoku/>
              <w:wordWrap/>
              <w:overflowPunct/>
              <w:topLinePunct w:val="0"/>
              <w:bidi w:val="0"/>
              <w:snapToGrid/>
              <w:spacing w:before="0" w:beforeAutospacing="0" w:after="0" w:afterAutospacing="0" w:line="360" w:lineRule="auto"/>
              <w:ind w:left="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松山湖（生态园）、大岭山、大朗、寮步、茶山、石排</w:t>
            </w:r>
          </w:p>
        </w:tc>
        <w:tc>
          <w:tcPr>
            <w:tcW w:w="1000" w:type="pct"/>
            <w:tcBorders>
              <w:top w:val="single" w:color="auto" w:sz="4" w:space="0"/>
              <w:left w:val="single" w:color="auto" w:sz="4" w:space="0"/>
              <w:bottom w:val="single" w:color="auto" w:sz="4" w:space="0"/>
              <w:right w:val="single" w:color="auto" w:sz="4" w:space="0"/>
            </w:tcBorders>
            <w:vAlign w:val="center"/>
          </w:tcPr>
          <w:p w14:paraId="5EA65799">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寮步</w:t>
            </w:r>
          </w:p>
        </w:tc>
      </w:tr>
      <w:tr w14:paraId="4772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 w:type="pct"/>
            <w:vMerge w:val="restart"/>
            <w:tcBorders>
              <w:top w:val="single" w:color="auto" w:sz="4" w:space="0"/>
              <w:left w:val="single" w:color="auto" w:sz="4" w:space="0"/>
              <w:right w:val="single" w:color="auto" w:sz="4" w:space="0"/>
            </w:tcBorders>
            <w:vAlign w:val="center"/>
          </w:tcPr>
          <w:p w14:paraId="437250E1">
            <w:pPr>
              <w:pStyle w:val="7"/>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34"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二</w:t>
            </w:r>
          </w:p>
        </w:tc>
        <w:tc>
          <w:tcPr>
            <w:tcW w:w="808" w:type="pct"/>
            <w:tcBorders>
              <w:top w:val="single" w:color="auto" w:sz="4" w:space="0"/>
              <w:left w:val="single" w:color="auto" w:sz="4" w:space="0"/>
              <w:bottom w:val="single" w:color="auto" w:sz="4" w:space="0"/>
              <w:right w:val="single" w:color="auto" w:sz="4" w:space="0"/>
            </w:tcBorders>
            <w:vAlign w:val="center"/>
          </w:tcPr>
          <w:p w14:paraId="365F7043">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第三片区</w:t>
            </w:r>
          </w:p>
        </w:tc>
        <w:tc>
          <w:tcPr>
            <w:tcW w:w="2677" w:type="pct"/>
            <w:tcBorders>
              <w:top w:val="single" w:color="auto" w:sz="4" w:space="0"/>
              <w:left w:val="single" w:color="auto" w:sz="4" w:space="0"/>
              <w:bottom w:val="single" w:color="auto" w:sz="4" w:space="0"/>
              <w:right w:val="single" w:color="auto" w:sz="4" w:space="0"/>
            </w:tcBorders>
            <w:vAlign w:val="center"/>
          </w:tcPr>
          <w:p w14:paraId="17015DC0">
            <w:pPr>
              <w:keepNext w:val="0"/>
              <w:keepLines w:val="0"/>
              <w:suppressLineNumbers w:val="0"/>
              <w:kinsoku/>
              <w:wordWrap/>
              <w:overflowPunct/>
              <w:topLinePunct w:val="0"/>
              <w:bidi w:val="0"/>
              <w:snapToGrid/>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滨海湾、虎门、长安、厚街、沙田（虎门港）</w:t>
            </w:r>
          </w:p>
        </w:tc>
        <w:tc>
          <w:tcPr>
            <w:tcW w:w="1000" w:type="pct"/>
            <w:tcBorders>
              <w:top w:val="single" w:color="auto" w:sz="4" w:space="0"/>
              <w:left w:val="single" w:color="auto" w:sz="4" w:space="0"/>
              <w:bottom w:val="single" w:color="auto" w:sz="4" w:space="0"/>
              <w:right w:val="single" w:color="auto" w:sz="4" w:space="0"/>
            </w:tcBorders>
            <w:vAlign w:val="center"/>
          </w:tcPr>
          <w:p w14:paraId="5932F72A">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沙田</w:t>
            </w:r>
          </w:p>
        </w:tc>
      </w:tr>
      <w:tr w14:paraId="0955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 w:type="pct"/>
            <w:vMerge w:val="continue"/>
            <w:tcBorders>
              <w:left w:val="single" w:color="auto" w:sz="4" w:space="0"/>
              <w:bottom w:val="single" w:color="auto" w:sz="4" w:space="0"/>
              <w:right w:val="single" w:color="auto" w:sz="4" w:space="0"/>
            </w:tcBorders>
            <w:vAlign w:val="center"/>
          </w:tcPr>
          <w:p w14:paraId="63647D35">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p>
        </w:tc>
        <w:tc>
          <w:tcPr>
            <w:tcW w:w="808" w:type="pct"/>
            <w:tcBorders>
              <w:top w:val="single" w:color="auto" w:sz="4" w:space="0"/>
              <w:left w:val="single" w:color="auto" w:sz="4" w:space="0"/>
              <w:bottom w:val="single" w:color="auto" w:sz="4" w:space="0"/>
              <w:right w:val="single" w:color="auto" w:sz="4" w:space="0"/>
            </w:tcBorders>
            <w:vAlign w:val="center"/>
          </w:tcPr>
          <w:p w14:paraId="15AF7656">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第四片区</w:t>
            </w:r>
          </w:p>
        </w:tc>
        <w:tc>
          <w:tcPr>
            <w:tcW w:w="2677" w:type="pct"/>
            <w:tcBorders>
              <w:top w:val="single" w:color="auto" w:sz="4" w:space="0"/>
              <w:left w:val="single" w:color="auto" w:sz="4" w:space="0"/>
              <w:bottom w:val="single" w:color="auto" w:sz="4" w:space="0"/>
              <w:right w:val="single" w:color="auto" w:sz="4" w:space="0"/>
            </w:tcBorders>
            <w:vAlign w:val="center"/>
          </w:tcPr>
          <w:p w14:paraId="0CE350DB">
            <w:pPr>
              <w:keepNext w:val="0"/>
              <w:keepLines w:val="0"/>
              <w:suppressLineNumbers w:val="0"/>
              <w:kinsoku/>
              <w:wordWrap/>
              <w:overflowPunct/>
              <w:topLinePunct w:val="0"/>
              <w:bidi w:val="0"/>
              <w:snapToGrid/>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麻涌、中堂、望牛墩、道滘、洪梅</w:t>
            </w:r>
          </w:p>
        </w:tc>
        <w:tc>
          <w:tcPr>
            <w:tcW w:w="1000" w:type="pct"/>
            <w:tcBorders>
              <w:top w:val="single" w:color="auto" w:sz="4" w:space="0"/>
              <w:left w:val="single" w:color="auto" w:sz="4" w:space="0"/>
              <w:bottom w:val="single" w:color="auto" w:sz="4" w:space="0"/>
              <w:right w:val="single" w:color="auto" w:sz="4" w:space="0"/>
            </w:tcBorders>
            <w:vAlign w:val="center"/>
          </w:tcPr>
          <w:p w14:paraId="1A3801A3">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道滘</w:t>
            </w:r>
          </w:p>
        </w:tc>
      </w:tr>
      <w:tr w14:paraId="6518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 w:type="pct"/>
            <w:vMerge w:val="restart"/>
            <w:tcBorders>
              <w:top w:val="single" w:color="auto" w:sz="4" w:space="0"/>
              <w:left w:val="single" w:color="auto" w:sz="4" w:space="0"/>
              <w:right w:val="single" w:color="auto" w:sz="4" w:space="0"/>
            </w:tcBorders>
            <w:vAlign w:val="center"/>
          </w:tcPr>
          <w:p w14:paraId="703D871A">
            <w:pPr>
              <w:pStyle w:val="7"/>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34"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三</w:t>
            </w:r>
          </w:p>
        </w:tc>
        <w:tc>
          <w:tcPr>
            <w:tcW w:w="808" w:type="pct"/>
            <w:tcBorders>
              <w:top w:val="single" w:color="auto" w:sz="4" w:space="0"/>
              <w:left w:val="single" w:color="auto" w:sz="4" w:space="0"/>
              <w:bottom w:val="single" w:color="auto" w:sz="4" w:space="0"/>
              <w:right w:val="single" w:color="auto" w:sz="4" w:space="0"/>
            </w:tcBorders>
            <w:vAlign w:val="center"/>
          </w:tcPr>
          <w:p w14:paraId="0FDB3242">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第五片区</w:t>
            </w:r>
          </w:p>
        </w:tc>
        <w:tc>
          <w:tcPr>
            <w:tcW w:w="2677" w:type="pct"/>
            <w:tcBorders>
              <w:top w:val="single" w:color="auto" w:sz="4" w:space="0"/>
              <w:left w:val="single" w:color="auto" w:sz="4" w:space="0"/>
              <w:bottom w:val="single" w:color="auto" w:sz="4" w:space="0"/>
              <w:right w:val="single" w:color="auto" w:sz="4" w:space="0"/>
            </w:tcBorders>
            <w:vAlign w:val="center"/>
          </w:tcPr>
          <w:p w14:paraId="49D200B5">
            <w:pPr>
              <w:pStyle w:val="7"/>
              <w:keepNext w:val="0"/>
              <w:keepLines w:val="0"/>
              <w:suppressLineNumbers w:val="0"/>
              <w:kinsoku/>
              <w:wordWrap/>
              <w:overflowPunct/>
              <w:topLinePunct w:val="0"/>
              <w:bidi w:val="0"/>
              <w:snapToGrid/>
              <w:spacing w:before="0" w:beforeAutospacing="0" w:after="0" w:afterAutospacing="0" w:line="360" w:lineRule="auto"/>
              <w:ind w:left="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常平、桥头、企石、横沥、东坑、黄江</w:t>
            </w:r>
          </w:p>
        </w:tc>
        <w:tc>
          <w:tcPr>
            <w:tcW w:w="1000" w:type="pct"/>
            <w:tcBorders>
              <w:top w:val="single" w:color="auto" w:sz="4" w:space="0"/>
              <w:left w:val="single" w:color="auto" w:sz="4" w:space="0"/>
              <w:bottom w:val="single" w:color="auto" w:sz="4" w:space="0"/>
              <w:right w:val="single" w:color="auto" w:sz="4" w:space="0"/>
            </w:tcBorders>
            <w:vAlign w:val="center"/>
          </w:tcPr>
          <w:p w14:paraId="188D8442">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横沥</w:t>
            </w:r>
          </w:p>
        </w:tc>
      </w:tr>
      <w:tr w14:paraId="7688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 w:type="pct"/>
            <w:vMerge w:val="continue"/>
            <w:tcBorders>
              <w:left w:val="single" w:color="auto" w:sz="4" w:space="0"/>
              <w:bottom w:val="single" w:color="auto" w:sz="4" w:space="0"/>
              <w:right w:val="single" w:color="auto" w:sz="4" w:space="0"/>
            </w:tcBorders>
            <w:vAlign w:val="center"/>
          </w:tcPr>
          <w:p w14:paraId="293725B6">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p>
        </w:tc>
        <w:tc>
          <w:tcPr>
            <w:tcW w:w="808" w:type="pct"/>
            <w:tcBorders>
              <w:top w:val="single" w:color="auto" w:sz="4" w:space="0"/>
              <w:left w:val="single" w:color="auto" w:sz="4" w:space="0"/>
              <w:bottom w:val="single" w:color="auto" w:sz="4" w:space="0"/>
              <w:right w:val="single" w:color="auto" w:sz="4" w:space="0"/>
            </w:tcBorders>
            <w:vAlign w:val="center"/>
          </w:tcPr>
          <w:p w14:paraId="24442E3A">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第六片区</w:t>
            </w:r>
          </w:p>
        </w:tc>
        <w:tc>
          <w:tcPr>
            <w:tcW w:w="2677" w:type="pct"/>
            <w:tcBorders>
              <w:top w:val="single" w:color="auto" w:sz="4" w:space="0"/>
              <w:left w:val="single" w:color="auto" w:sz="4" w:space="0"/>
              <w:bottom w:val="single" w:color="auto" w:sz="4" w:space="0"/>
              <w:right w:val="single" w:color="auto" w:sz="4" w:space="0"/>
            </w:tcBorders>
            <w:vAlign w:val="center"/>
          </w:tcPr>
          <w:p w14:paraId="10D9E543">
            <w:pPr>
              <w:keepNext w:val="0"/>
              <w:keepLines w:val="0"/>
              <w:suppressLineNumbers w:val="0"/>
              <w:kinsoku/>
              <w:wordWrap/>
              <w:overflowPunct/>
              <w:topLinePunct w:val="0"/>
              <w:bidi w:val="0"/>
              <w:snapToGrid/>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谢岗、樟木头、塘厦、清溪、凤岗</w:t>
            </w:r>
          </w:p>
        </w:tc>
        <w:tc>
          <w:tcPr>
            <w:tcW w:w="1000" w:type="pct"/>
            <w:tcBorders>
              <w:top w:val="single" w:color="auto" w:sz="4" w:space="0"/>
              <w:left w:val="single" w:color="auto" w:sz="4" w:space="0"/>
              <w:bottom w:val="single" w:color="auto" w:sz="4" w:space="0"/>
              <w:right w:val="single" w:color="auto" w:sz="4" w:space="0"/>
            </w:tcBorders>
            <w:vAlign w:val="center"/>
          </w:tcPr>
          <w:p w14:paraId="13AB59A9">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塘厦</w:t>
            </w:r>
          </w:p>
        </w:tc>
      </w:tr>
    </w:tbl>
    <w:p w14:paraId="745C5FE0">
      <w:pPr>
        <w:keepNext w:val="0"/>
        <w:keepLines w:val="0"/>
        <w:kinsoku/>
        <w:wordWrap/>
        <w:overflowPunct/>
        <w:topLinePunct w:val="0"/>
        <w:bidi w:val="0"/>
        <w:snapToGrid/>
        <w:spacing w:line="360" w:lineRule="auto"/>
        <w:ind w:firstLine="420" w:firstLineChars="200"/>
        <w:rPr>
          <w:rFonts w:hint="eastAsia" w:ascii="宋体" w:hAnsi="宋体" w:eastAsia="宋体" w:cs="宋体"/>
          <w:color w:val="auto"/>
          <w:kern w:val="44"/>
          <w:sz w:val="21"/>
          <w:szCs w:val="21"/>
        </w:rPr>
      </w:pPr>
      <w:r>
        <w:rPr>
          <w:rFonts w:hint="eastAsia" w:ascii="宋体" w:hAnsi="宋体" w:eastAsia="宋体" w:cs="宋体"/>
          <w:color w:val="auto"/>
          <w:kern w:val="44"/>
          <w:sz w:val="21"/>
          <w:szCs w:val="21"/>
        </w:rPr>
        <w:t>注：上述3个</w:t>
      </w:r>
      <w:r>
        <w:rPr>
          <w:rFonts w:hint="eastAsia" w:ascii="宋体" w:hAnsi="宋体" w:eastAsia="宋体" w:cs="宋体"/>
          <w:color w:val="auto"/>
          <w:kern w:val="44"/>
          <w:sz w:val="21"/>
          <w:szCs w:val="21"/>
          <w:lang w:eastAsia="zh-CN"/>
        </w:rPr>
        <w:t>标段</w:t>
      </w:r>
      <w:r>
        <w:rPr>
          <w:rFonts w:hint="eastAsia" w:ascii="宋体" w:hAnsi="宋体" w:eastAsia="宋体" w:cs="宋体"/>
          <w:color w:val="auto"/>
          <w:kern w:val="44"/>
          <w:sz w:val="21"/>
          <w:szCs w:val="21"/>
        </w:rPr>
        <w:t>范围不作为招标人最终服务范围及机电设备维修服务项目承接数量的保证，招标人有权根据自身经营情况及实际维修工程量进行优化调整（含增加服务范围外及减少服务范围内的机电设备维修服务），最终服务费用按实际发生工程量结算。在服务期内中标人不得因服务范围调整、实际机电设备维修服务项目数量及服务费用的增减而要求招标人提供任何形式的补偿或赔偿，或只按招标人暂定的机电设备维修服务项目费用提供相应的维修服务。</w:t>
      </w:r>
    </w:p>
    <w:p w14:paraId="31C47238">
      <w:pPr>
        <w:pStyle w:val="7"/>
        <w:spacing w:line="360" w:lineRule="auto"/>
        <w:ind w:left="422" w:firstLine="0" w:firstLineChars="0"/>
        <w:rPr>
          <w:rFonts w:hint="eastAsia" w:ascii="宋体" w:hAnsi="宋体" w:eastAsia="宋体" w:cs="宋体"/>
          <w:b/>
          <w:color w:val="auto"/>
          <w:sz w:val="21"/>
          <w:szCs w:val="21"/>
        </w:rPr>
      </w:pPr>
    </w:p>
    <w:p w14:paraId="72F5D94B">
      <w:pPr>
        <w:pStyle w:val="7"/>
        <w:spacing w:line="360" w:lineRule="auto"/>
        <w:ind w:left="422"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二、采购服务范围及采购方式</w:t>
      </w:r>
    </w:p>
    <w:p w14:paraId="1B9168E5">
      <w:pPr>
        <w:pStyle w:val="7"/>
        <w:spacing w:line="360" w:lineRule="auto"/>
        <w:ind w:left="422" w:firstLine="0" w:firstLineChars="0"/>
        <w:rPr>
          <w:rFonts w:hint="eastAsia" w:ascii="宋体" w:hAnsi="宋体" w:eastAsia="宋体" w:cs="宋体"/>
          <w:b/>
          <w:color w:val="auto"/>
          <w:sz w:val="21"/>
          <w:szCs w:val="21"/>
        </w:rPr>
      </w:pPr>
      <w:r>
        <w:rPr>
          <w:rFonts w:hint="eastAsia" w:ascii="宋体" w:hAnsi="宋体" w:eastAsia="宋体" w:cs="宋体"/>
          <w:b/>
          <w:bCs w:val="0"/>
          <w:color w:val="auto"/>
          <w:szCs w:val="21"/>
        </w:rPr>
        <w:t>（一）</w:t>
      </w:r>
      <w:r>
        <w:rPr>
          <w:rFonts w:hint="eastAsia" w:ascii="宋体" w:hAnsi="宋体" w:eastAsia="宋体" w:cs="宋体"/>
          <w:b/>
          <w:color w:val="auto"/>
          <w:sz w:val="21"/>
          <w:szCs w:val="21"/>
        </w:rPr>
        <w:t>采购</w:t>
      </w:r>
      <w:r>
        <w:rPr>
          <w:rFonts w:hint="eastAsia" w:ascii="宋体" w:hAnsi="宋体" w:eastAsia="宋体" w:cs="宋体"/>
          <w:b/>
          <w:bCs w:val="0"/>
          <w:color w:val="auto"/>
          <w:szCs w:val="21"/>
        </w:rPr>
        <w:t>服务范围</w:t>
      </w:r>
    </w:p>
    <w:p w14:paraId="79801FC9">
      <w:pPr>
        <w:keepNext w:val="0"/>
        <w:keepLines w:val="0"/>
        <w:kinsoku/>
        <w:wordWrap/>
        <w:overflowPunct/>
        <w:topLinePunct w:val="0"/>
        <w:bidi w:val="0"/>
        <w:snapToGrid/>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1.服务范围：</w:t>
      </w:r>
      <w:r>
        <w:rPr>
          <w:rFonts w:hint="eastAsia" w:ascii="宋体" w:hAnsi="宋体" w:eastAsia="宋体" w:cs="宋体"/>
          <w:color w:val="auto"/>
          <w:sz w:val="21"/>
          <w:szCs w:val="21"/>
        </w:rPr>
        <w:t>单项项目承接限额为估算（或预算）200万元（不含）以下的机电设备维修项目，主要是包括以机电设备的维修、技术改造、重置、应急抢修、设备拆卸、零配件加工及修复等技术服务项目（</w:t>
      </w:r>
      <w:r>
        <w:rPr>
          <w:rFonts w:hint="eastAsia" w:ascii="宋体" w:hAnsi="宋体" w:eastAsia="宋体" w:cs="宋体"/>
          <w:b/>
          <w:bCs/>
          <w:color w:val="auto"/>
          <w:sz w:val="21"/>
          <w:szCs w:val="21"/>
        </w:rPr>
        <w:t>指机电设备专业维修为主的设备设施委外技术服务，也包括雨棚及停车棚、围栏等设施维修，不包括全土建专业的或以土建专业为主的设施委外技术服务</w:t>
      </w:r>
      <w:r>
        <w:rPr>
          <w:rFonts w:hint="eastAsia" w:ascii="宋体" w:hAnsi="宋体" w:eastAsia="宋体" w:cs="宋体"/>
          <w:color w:val="auto"/>
          <w:sz w:val="21"/>
          <w:szCs w:val="21"/>
        </w:rPr>
        <w:t>），对于上述工作而引发的开挖、井室修复及改造管道接合以及水下封堵作业等工作也在本采购服务范围内。</w:t>
      </w:r>
    </w:p>
    <w:p w14:paraId="0FDA6222">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2.招标人</w:t>
      </w:r>
      <w:r>
        <w:rPr>
          <w:rFonts w:hint="eastAsia" w:ascii="宋体" w:hAnsi="宋体" w:eastAsia="宋体" w:cs="宋体"/>
          <w:color w:val="auto"/>
          <w:sz w:val="21"/>
          <w:szCs w:val="21"/>
        </w:rPr>
        <w:t>的</w:t>
      </w:r>
      <w:r>
        <w:rPr>
          <w:rFonts w:hint="eastAsia" w:ascii="宋体" w:hAnsi="宋体" w:eastAsia="宋体" w:cs="宋体"/>
          <w:bCs/>
          <w:color w:val="auto"/>
          <w:sz w:val="21"/>
          <w:szCs w:val="21"/>
        </w:rPr>
        <w:t>机电设备维修服务项目由招标人自主实施维修、重置、技改以及物资采购，只对招标人维修力量不足、工器具、车辆、场地等条件不具备或是紧急维修项目才发包给投标人，投标人不能要求招标人将辖下机电项目里的设备设施维护、维修、采购技术服务等业务发包给投标人实施，实际发包项目以招标人通知为准。</w:t>
      </w:r>
      <w:r>
        <w:rPr>
          <w:rFonts w:hint="eastAsia" w:ascii="宋体" w:hAnsi="宋体" w:eastAsia="宋体" w:cs="宋体"/>
          <w:color w:val="auto"/>
          <w:sz w:val="21"/>
          <w:szCs w:val="21"/>
        </w:rPr>
        <w:t>在合同服务期内中标人不得因实际机电设备维修项目数量及服务费用的增减而要求招标人提供任何形式的补偿或赔偿，或只按招标人暂定的维修项目费用提供相应的</w:t>
      </w:r>
      <w:r>
        <w:rPr>
          <w:rFonts w:hint="eastAsia" w:ascii="宋体" w:hAnsi="宋体" w:eastAsia="宋体" w:cs="宋体"/>
          <w:bCs/>
          <w:color w:val="auto"/>
          <w:sz w:val="21"/>
          <w:szCs w:val="21"/>
        </w:rPr>
        <w:t>机电设备</w:t>
      </w:r>
      <w:r>
        <w:rPr>
          <w:rFonts w:hint="eastAsia" w:ascii="宋体" w:hAnsi="宋体" w:eastAsia="宋体" w:cs="宋体"/>
          <w:color w:val="auto"/>
          <w:sz w:val="21"/>
          <w:szCs w:val="21"/>
        </w:rPr>
        <w:t>维修服务。</w:t>
      </w:r>
    </w:p>
    <w:p w14:paraId="3946E21B">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涉及到成套设备或专业化技术要求较高的设备设施维修项目，如投标人不具备该项技术服务能力（如特种车辆）或行业准入资格，或由政府主管部门要求统一由第三方运营服务的项目，招标人有权另行委托专业的技术服务单位进行专项服务，投标人不得有异议。</w:t>
      </w:r>
    </w:p>
    <w:p w14:paraId="02F7760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4.依法和依招标人相关制度规定需单独进行招标采购的单项项目不在本次采购服务范围内。</w:t>
      </w:r>
    </w:p>
    <w:p w14:paraId="725B31DD">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5.涉及起重设备、压力容器、高压配电设备等需特种设备作业资质的设备设施技术服务暂不在本次采购服务范围内，如中标人具备《承装（修、试）电力设施许可证》及自有电力抢修队伍，可以根据实际需要委派高压配电抢修任务；起重设备的维修招标人另外委外具备相应资质的起重机维修保养单位实施。</w:t>
      </w:r>
    </w:p>
    <w:p w14:paraId="7A97240E">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color w:val="auto"/>
          <w:sz w:val="21"/>
          <w:szCs w:val="21"/>
        </w:rPr>
        <w:t>6.在服务期内，招标人有权根据实际需求将东莞市内其它的机电设备维修项目委托给中标人实施，中标人应充分考虑因此可能增减的各项费用，中标人不得因项目的调整而提出异议及要求招标人提供任何形式的补偿（赔偿）或调整中标服务综合单价。</w:t>
      </w:r>
    </w:p>
    <w:p w14:paraId="763547A7">
      <w:pPr>
        <w:keepNext w:val="0"/>
        <w:keepLines w:val="0"/>
        <w:numPr>
          <w:ilvl w:val="255"/>
          <w:numId w:val="0"/>
        </w:numPr>
        <w:tabs>
          <w:tab w:val="left" w:pos="360"/>
          <w:tab w:val="left" w:pos="1418"/>
          <w:tab w:val="left" w:pos="4725"/>
        </w:tabs>
        <w:kinsoku/>
        <w:wordWrap/>
        <w:overflowPunct/>
        <w:topLinePunct w:val="0"/>
        <w:bidi w:val="0"/>
        <w:snapToGrid/>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7.在服务期内，中标人不得因不可抗力、国家建设需要、其他客观原因及实际维修服务范围减少等而向招标人提出补偿。招标人除按实际服务发生的工程量和合同的约定支付费用外，不支付其它任何服务费用及补偿。</w:t>
      </w:r>
    </w:p>
    <w:p w14:paraId="1F0F585A">
      <w:pPr>
        <w:pStyle w:val="7"/>
        <w:keepNext w:val="0"/>
        <w:keepLines w:val="0"/>
        <w:numPr>
          <w:ilvl w:val="255"/>
          <w:numId w:val="0"/>
        </w:numPr>
        <w:kinsoku/>
        <w:wordWrap/>
        <w:overflowPunct/>
        <w:topLinePunct w:val="0"/>
        <w:bidi w:val="0"/>
        <w:snapToGrid/>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8.本项目存在分布散（分布于东莞市多个镇街、园区）、工程量大小不一、投资规模不一等特点，投标人投标前需充分考虑这些因素并以此配置相应设备设施，不能以上述项目特征为由拒绝接单。同时，取得本采购服务资格并不意味着中标</w:t>
      </w:r>
      <w:r>
        <w:rPr>
          <w:rFonts w:hint="eastAsia" w:ascii="宋体" w:hAnsi="宋体" w:eastAsia="宋体" w:cs="宋体"/>
          <w:color w:val="auto"/>
          <w:sz w:val="21"/>
          <w:szCs w:val="21"/>
          <w:lang w:eastAsia="zh-CN"/>
        </w:rPr>
        <w:t>标段</w:t>
      </w:r>
      <w:r>
        <w:rPr>
          <w:rFonts w:hint="eastAsia" w:ascii="宋体" w:hAnsi="宋体" w:eastAsia="宋体" w:cs="宋体"/>
          <w:color w:val="auto"/>
          <w:sz w:val="21"/>
          <w:szCs w:val="21"/>
        </w:rPr>
        <w:t>内所有服务项目的委派，招标人无法预计也无法保证中标人所能获得的具体服务项目数量和具体的金额，具体实施项目由招标人根据维修需求进行委派。</w:t>
      </w:r>
    </w:p>
    <w:p w14:paraId="664F189B">
      <w:pPr>
        <w:pStyle w:val="7"/>
        <w:keepNext w:val="0"/>
        <w:keepLines w:val="0"/>
        <w:kinsoku/>
        <w:wordWrap/>
        <w:overflowPunct/>
        <w:topLinePunct w:val="0"/>
        <w:bidi w:val="0"/>
        <w:snapToGri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9.本项目中标后不代表片区内所有业务必须委托中标人实施，根据相关法律、法规、行业主管部门、招标人（含其分公司、项目公司、子公司）相关制度规定，或招标人认为需单独进行采购的服务项目，招标人有权通过招投标确立或委托其他单位实施，中标人不得因此提出异议及提出费用补偿需求。</w:t>
      </w:r>
    </w:p>
    <w:p w14:paraId="4B17304F">
      <w:pPr>
        <w:pStyle w:val="7"/>
        <w:keepNext w:val="0"/>
        <w:keepLines w:val="0"/>
        <w:kinsoku/>
        <w:wordWrap/>
        <w:overflowPunct/>
        <w:topLinePunct w:val="0"/>
        <w:bidi w:val="0"/>
        <w:snapToGrid/>
        <w:spacing w:line="360" w:lineRule="auto"/>
        <w:ind w:left="48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（二）发包方式</w:t>
      </w:r>
    </w:p>
    <w:p w14:paraId="185BCC1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1.按以下方式确定单项项目服务单位：在协议资格期内，对于采购服务范围内的项目，招标人完成立项程序后，向服务单位通过以</w:t>
      </w:r>
      <w:r>
        <w:rPr>
          <w:rFonts w:hint="eastAsia" w:ascii="宋体" w:hAnsi="宋体" w:eastAsia="宋体" w:cs="宋体"/>
          <w:b/>
          <w:bCs/>
          <w:color w:val="auto"/>
          <w:sz w:val="21"/>
          <w:szCs w:val="21"/>
        </w:rPr>
        <w:t>【项目承接确认协议书】</w:t>
      </w:r>
      <w:r>
        <w:rPr>
          <w:rFonts w:hint="eastAsia" w:ascii="宋体" w:hAnsi="宋体" w:eastAsia="宋体" w:cs="宋体"/>
          <w:bCs/>
          <w:color w:val="auto"/>
          <w:sz w:val="21"/>
          <w:szCs w:val="21"/>
        </w:rPr>
        <w:t>的形式直接委托实施，双方签订</w:t>
      </w:r>
      <w:r>
        <w:rPr>
          <w:rFonts w:hint="eastAsia" w:ascii="宋体" w:hAnsi="宋体" w:eastAsia="宋体" w:cs="宋体"/>
          <w:b/>
          <w:bCs/>
          <w:color w:val="auto"/>
          <w:sz w:val="21"/>
          <w:szCs w:val="21"/>
        </w:rPr>
        <w:t>【项目承接确认协议书】</w:t>
      </w:r>
      <w:r>
        <w:rPr>
          <w:rFonts w:hint="eastAsia" w:ascii="宋体" w:hAnsi="宋体" w:eastAsia="宋体" w:cs="宋体"/>
          <w:bCs/>
          <w:color w:val="auto"/>
          <w:sz w:val="21"/>
          <w:szCs w:val="21"/>
        </w:rPr>
        <w:t>，并根据项目的实际完成情况按实结算或按项目承接确认协议书的要求结算。</w:t>
      </w:r>
    </w:p>
    <w:p w14:paraId="2DFE94C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2.招标人通过向服务单位发出</w:t>
      </w:r>
      <w:r>
        <w:rPr>
          <w:rFonts w:hint="eastAsia" w:ascii="宋体" w:hAnsi="宋体" w:eastAsia="宋体" w:cs="宋体"/>
          <w:b/>
          <w:bCs/>
          <w:color w:val="auto"/>
          <w:sz w:val="21"/>
          <w:szCs w:val="21"/>
        </w:rPr>
        <w:t>【项目承接确认协议书】</w:t>
      </w:r>
      <w:r>
        <w:rPr>
          <w:rFonts w:hint="eastAsia" w:ascii="宋体" w:hAnsi="宋体" w:eastAsia="宋体" w:cs="宋体"/>
          <w:bCs/>
          <w:color w:val="auto"/>
          <w:sz w:val="21"/>
          <w:szCs w:val="21"/>
        </w:rPr>
        <w:t>的形式启动开展工作。但如果已经委派给投标人的项目，因投标人自身原因造成进度滞后，招标人发送整改通知书后达到约定整改期限仍未完成整改的，或者达到约定工期后仍未完工的，招标人有权另外委托第三方单位承接该项服务，且招标人有权暂停投标人继续承接招标人的业务，直至该投标人采取积极措施消除其已承接的服务项目滞后的状况，投标人已完工部分按实结算，招标人有权依据合同条款对投标人提出索赔。</w:t>
      </w:r>
    </w:p>
    <w:p w14:paraId="727C1D08">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3.投标人在接到任务通知后2个小时内需予以电话或信息响应，并于次日（包括节假日）上午12：00前正式实际性的开展所需的技术服务工作，并于接到</w:t>
      </w:r>
      <w:r>
        <w:rPr>
          <w:rFonts w:hint="eastAsia" w:ascii="宋体" w:hAnsi="宋体" w:eastAsia="宋体" w:cs="宋体"/>
          <w:b/>
          <w:bCs/>
          <w:color w:val="auto"/>
          <w:sz w:val="21"/>
          <w:szCs w:val="21"/>
        </w:rPr>
        <w:t>【项目承接确认协议书】</w:t>
      </w:r>
      <w:r>
        <w:rPr>
          <w:rFonts w:hint="eastAsia" w:ascii="宋体" w:hAnsi="宋体" w:eastAsia="宋体" w:cs="宋体"/>
          <w:bCs/>
          <w:color w:val="auto"/>
          <w:sz w:val="21"/>
          <w:szCs w:val="21"/>
        </w:rPr>
        <w:t>后的3个自然日内提交技术服务方案和招标人要求的安全资料给招标人审核。对于特别紧急的技术服务项目，投标人在接到通知后3个小时内需实际性的开展所需的技术服务工作。</w:t>
      </w:r>
    </w:p>
    <w:p w14:paraId="6E0B8F4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4.有任何一单不按响应时间提供服务的，或以非正当理由（如在工程量双方确认无误的情况下，以价格低拒绝接单的或无相关施工经验拒绝接单的及同时施工点数量未饱和的情况，以人手不足为理由拒绝接单等行为均视为非正当理由）拒绝委派任务的，对招标人的经济利益、企业形象造成影响的，招标人有权终止服务合同，并没收履约保证金。</w:t>
      </w:r>
    </w:p>
    <w:p w14:paraId="1C79B12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5.投标人在服务期限内，在履行本招标文件约定的义务过程中出现违反国家法律法规、主管部门规章制度、擅自提高价格或提供伪劣服务内容、服务质量低劣造成招标人损失等情况的，招标人有权视不同情况分别给予警告、扣除履约担保或取消项目资格等处罚。</w:t>
      </w:r>
    </w:p>
    <w:p w14:paraId="114A6278">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6.投标人必须清楚理解：投标人所承接的具体服务项目均为派单方式直接委托确定，招标人无法预计也无法保证投标人所能获得的具体单项服务项目数量和具体的金额。</w:t>
      </w:r>
    </w:p>
    <w:p w14:paraId="6084317D">
      <w:pPr>
        <w:keepNext w:val="0"/>
        <w:keepLines w:val="0"/>
        <w:numPr>
          <w:ilvl w:val="0"/>
          <w:numId w:val="1"/>
        </w:numPr>
        <w:kinsoku/>
        <w:wordWrap/>
        <w:overflowPunct/>
        <w:topLinePunct w:val="0"/>
        <w:bidi w:val="0"/>
        <w:snapToGrid/>
        <w:spacing w:line="360" w:lineRule="auto"/>
        <w:ind w:firstLine="422"/>
        <w:rPr>
          <w:rFonts w:hint="eastAsia" w:ascii="宋体" w:hAnsi="宋体" w:eastAsia="宋体" w:cs="宋体"/>
          <w:b/>
          <w:bCs/>
          <w:color w:val="auto"/>
          <w:kern w:val="44"/>
          <w:sz w:val="21"/>
          <w:szCs w:val="21"/>
        </w:rPr>
      </w:pPr>
      <w:r>
        <w:rPr>
          <w:rFonts w:hint="eastAsia" w:ascii="宋体" w:hAnsi="宋体" w:eastAsia="宋体" w:cs="宋体"/>
          <w:b/>
          <w:bCs/>
          <w:color w:val="auto"/>
          <w:kern w:val="44"/>
          <w:sz w:val="21"/>
          <w:szCs w:val="21"/>
        </w:rPr>
        <w:t>服务期</w:t>
      </w:r>
    </w:p>
    <w:p w14:paraId="6AD2A8DC">
      <w:pPr>
        <w:keepNext w:val="0"/>
        <w:keepLines w:val="0"/>
        <w:kinsoku/>
        <w:wordWrap/>
        <w:overflowPunct/>
        <w:topLinePunct w:val="0"/>
        <w:bidi w:val="0"/>
        <w:snapToGrid/>
        <w:spacing w:line="360" w:lineRule="auto"/>
        <w:ind w:firstLine="420" w:firstLineChars="200"/>
        <w:rPr>
          <w:rFonts w:hint="eastAsia" w:ascii="宋体" w:hAnsi="宋体" w:eastAsia="宋体" w:cs="宋体"/>
          <w:color w:val="auto"/>
          <w:kern w:val="44"/>
          <w:sz w:val="21"/>
          <w:szCs w:val="21"/>
        </w:rPr>
      </w:pPr>
      <w:r>
        <w:rPr>
          <w:rFonts w:hint="eastAsia" w:ascii="宋体" w:hAnsi="宋体" w:eastAsia="宋体" w:cs="宋体"/>
          <w:color w:val="auto"/>
          <w:kern w:val="44"/>
          <w:sz w:val="21"/>
          <w:szCs w:val="21"/>
          <w:lang w:val="en-US" w:eastAsia="zh-CN"/>
        </w:rPr>
        <w:t>服务期暂定为2年</w:t>
      </w:r>
      <w:r>
        <w:rPr>
          <w:rFonts w:hint="eastAsia" w:ascii="宋体" w:hAnsi="宋体" w:eastAsia="宋体" w:cs="宋体"/>
          <w:color w:val="auto"/>
          <w:kern w:val="44"/>
          <w:sz w:val="21"/>
          <w:szCs w:val="21"/>
        </w:rPr>
        <w:t>。</w:t>
      </w:r>
    </w:p>
    <w:p w14:paraId="5937BCDE">
      <w:pPr>
        <w:keepNext w:val="0"/>
        <w:keepLines w:val="0"/>
        <w:kinsoku/>
        <w:wordWrap/>
        <w:overflowPunct/>
        <w:topLinePunct w:val="0"/>
        <w:bidi w:val="0"/>
        <w:snapToGrid/>
        <w:spacing w:line="360" w:lineRule="auto"/>
        <w:ind w:left="420" w:leftChars="200"/>
        <w:rPr>
          <w:rFonts w:hint="eastAsia" w:ascii="宋体" w:hAnsi="宋体" w:eastAsia="宋体" w:cs="宋体"/>
          <w:b/>
          <w:bCs/>
          <w:color w:val="auto"/>
          <w:kern w:val="44"/>
          <w:sz w:val="21"/>
          <w:szCs w:val="21"/>
        </w:rPr>
      </w:pPr>
      <w:r>
        <w:rPr>
          <w:rFonts w:hint="eastAsia" w:ascii="宋体" w:hAnsi="宋体" w:eastAsia="宋体" w:cs="宋体"/>
          <w:b/>
          <w:bCs/>
          <w:color w:val="auto"/>
          <w:kern w:val="44"/>
          <w:sz w:val="21"/>
          <w:szCs w:val="21"/>
        </w:rPr>
        <w:t>（四）投标报价方式</w:t>
      </w:r>
    </w:p>
    <w:p w14:paraId="4F15271C">
      <w:pPr>
        <w:keepNext w:val="0"/>
        <w:keepLines w:val="0"/>
        <w:kinsoku/>
        <w:wordWrap/>
        <w:overflowPunct/>
        <w:topLinePunct w:val="0"/>
        <w:bidi w:val="0"/>
        <w:snapToGrid/>
        <w:spacing w:line="360" w:lineRule="auto"/>
        <w:ind w:firstLine="420" w:firstLineChars="200"/>
        <w:contextualSpacing/>
        <w:rPr>
          <w:rFonts w:hint="eastAsia" w:ascii="宋体" w:hAnsi="宋体" w:eastAsia="宋体" w:cs="宋体"/>
          <w:bCs/>
          <w:color w:val="auto"/>
          <w:sz w:val="21"/>
          <w:szCs w:val="21"/>
        </w:rPr>
      </w:pPr>
      <w:r>
        <w:rPr>
          <w:rFonts w:hint="eastAsia" w:ascii="宋体" w:hAnsi="宋体" w:eastAsia="宋体" w:cs="宋体"/>
          <w:bCs/>
          <w:color w:val="auto"/>
          <w:sz w:val="21"/>
          <w:szCs w:val="21"/>
        </w:rPr>
        <w:t>1.投标人按固定5%下浮率进行报价。</w:t>
      </w:r>
    </w:p>
    <w:p w14:paraId="6F6FADD0">
      <w:pPr>
        <w:keepNext w:val="0"/>
        <w:keepLines w:val="0"/>
        <w:kinsoku/>
        <w:wordWrap/>
        <w:overflowPunct/>
        <w:topLinePunct w:val="0"/>
        <w:bidi w:val="0"/>
        <w:snapToGrid/>
        <w:spacing w:line="360" w:lineRule="auto"/>
        <w:ind w:firstLine="422" w:firstLineChars="200"/>
        <w:contextualSpacing/>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 xml:space="preserve"> 本次机电设备维修服务内容子项综合单价最高限价具体见附件，在服务期内发生维修服务内容子项以内的服务项目综合单价参考《机电设备维修服务项目常用清单库》（以下简称“机电清单库”）的清单综合单价，按固定下浮率5%进行计算。投标人根据招标人提供的“机电清单库”内容子项综合单价按固定下浮率5%作为服务内容子项对应中标综合单价。机电清单库在使用过程中，广东省或东莞市相关行业主管部门如有新的定额、计价规范及标准颁布，招标人有权按最新的相关规定修改机电清单库，且有权根据项目实际需要增补清单项。</w:t>
      </w:r>
    </w:p>
    <w:p w14:paraId="612A5EDA">
      <w:pPr>
        <w:pStyle w:val="7"/>
        <w:keepNext w:val="0"/>
        <w:keepLines w:val="0"/>
        <w:kinsoku/>
        <w:wordWrap/>
        <w:overflowPunct/>
        <w:topLinePunct w:val="0"/>
        <w:bidi w:val="0"/>
        <w:snapToGrid/>
        <w:spacing w:line="360" w:lineRule="auto"/>
        <w:ind w:left="422" w:firstLine="0" w:firstLineChars="0"/>
        <w:rPr>
          <w:rFonts w:hint="eastAsia" w:ascii="宋体" w:hAnsi="宋体" w:eastAsia="宋体" w:cs="宋体"/>
          <w:b/>
          <w:color w:val="auto"/>
          <w:sz w:val="21"/>
          <w:szCs w:val="21"/>
        </w:rPr>
      </w:pPr>
    </w:p>
    <w:p w14:paraId="6D4217F8">
      <w:pPr>
        <w:pStyle w:val="7"/>
        <w:keepNext w:val="0"/>
        <w:keepLines w:val="0"/>
        <w:kinsoku/>
        <w:wordWrap/>
        <w:overflowPunct/>
        <w:topLinePunct w:val="0"/>
        <w:bidi w:val="0"/>
        <w:snapToGrid/>
        <w:spacing w:line="360" w:lineRule="auto"/>
        <w:ind w:left="422"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三、技术要求</w:t>
      </w:r>
    </w:p>
    <w:p w14:paraId="039DE4A6">
      <w:pPr>
        <w:pStyle w:val="7"/>
        <w:keepNext w:val="0"/>
        <w:keepLines w:val="0"/>
        <w:kinsoku/>
        <w:wordWrap/>
        <w:overflowPunct/>
        <w:topLinePunct w:val="0"/>
        <w:bidi w:val="0"/>
        <w:snapToGrid/>
        <w:spacing w:line="360" w:lineRule="auto"/>
        <w:ind w:left="48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（一）技术服务方案审核</w:t>
      </w:r>
    </w:p>
    <w:p w14:paraId="7F434F54">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1.投标人提供的详细技术服务方案，需包括设备材料及工器具详细内容、工期计划、人员配置、安全文明措施等。</w:t>
      </w:r>
    </w:p>
    <w:p w14:paraId="054365C5">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2.投标人以经监理单位（如有）、招标人审核后的技术服务方案实施，招标人、监理单位（如有）以技术服务方案为基础对技术服务进行验收，如无监理单位，则技术方案由招标人审核后实施。</w:t>
      </w:r>
    </w:p>
    <w:p w14:paraId="300C35E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3.对于普通设备吊运（不属于危险性较大的分部分项工程范围的）、拆卸等非实际工程性技术服务无需上报技术服务方案。</w:t>
      </w:r>
    </w:p>
    <w:p w14:paraId="76849CFF">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4.对于采用非常规起重设备、方法，且单件起吊重量在10kN（1吨）及以上的起重吊装工程，应纳入危险性较大的分部分项工程范围的管理，按规定编制专项施工方案并经审批后方能实施。</w:t>
      </w:r>
    </w:p>
    <w:p w14:paraId="344589E1">
      <w:pPr>
        <w:pStyle w:val="7"/>
        <w:keepNext w:val="0"/>
        <w:keepLines w:val="0"/>
        <w:kinsoku/>
        <w:wordWrap/>
        <w:overflowPunct/>
        <w:topLinePunct w:val="0"/>
        <w:bidi w:val="0"/>
        <w:snapToGrid/>
        <w:spacing w:line="360" w:lineRule="auto"/>
        <w:ind w:left="48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（二）物资供货要求</w:t>
      </w:r>
    </w:p>
    <w:p w14:paraId="310ED629">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招标人对于设备、仪表、零配件、备品备件等有品牌型号要求的，投标人需按要求供货，未经招标人同意不得更改。招标人对品牌型号、规格尺寸无要求的，投标人承接项目后，需将选型后的设备、仪表、零配件、备品备件等的品牌型号、规格尺寸等参数上报招标人审核确认后方可执行采购。</w:t>
      </w:r>
    </w:p>
    <w:p w14:paraId="11090C4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2.零配件质量要求</w:t>
      </w:r>
    </w:p>
    <w:p w14:paraId="4AEBC73C">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（1）所有设备、仪表、零配件、备品备件、材料、附件等应具备该类产品的功能要求，无瑕疵和缺陷，质量为合格产品，同时有明确的生产厂商或制造厂商。</w:t>
      </w:r>
    </w:p>
    <w:p w14:paraId="4C595D66">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（2）所有设备、仪表、零配件、备品备件、材料、附件等必须是全新的，所有设备和材料运输到达施工场地时的包装必须是原厂完整的，由招标人签收后方可拆包安装。</w:t>
      </w:r>
    </w:p>
    <w:p w14:paraId="21BAB00C">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（3）工程施工所用材料及配件均为按国家规格条例生产的合格正规产品、符合设计规范要求。所有备品备件须满足国家及行业环保和质量标准。</w:t>
      </w:r>
    </w:p>
    <w:p w14:paraId="5D6515FA">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（4）设备必须有质量检验合格证、装箱单、产品安装使用说明书、出厂检测报告、检验报告（或测试性能、测试报告）及招标人要求的其他合格证明文件等相关资料。</w:t>
      </w:r>
    </w:p>
    <w:p w14:paraId="00A3DA8C">
      <w:pPr>
        <w:pStyle w:val="7"/>
        <w:keepNext w:val="0"/>
        <w:keepLines w:val="0"/>
        <w:kinsoku/>
        <w:wordWrap/>
        <w:overflowPunct/>
        <w:topLinePunct w:val="0"/>
        <w:bidi w:val="0"/>
        <w:snapToGrid/>
        <w:spacing w:line="360" w:lineRule="auto"/>
        <w:ind w:left="48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（三）设备维修施工要求</w:t>
      </w:r>
    </w:p>
    <w:p w14:paraId="78F58167">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1.投标人开展设备设施的维修、技术改造等相关作业前，实施方案须经招标人审核同意后方可实施。实施过程中，未经招标人书面同意，投标人不得擅自扩大实施范围。</w:t>
      </w:r>
    </w:p>
    <w:p w14:paraId="29DAF581">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2.投标人进行施工作业时，需尽可能的保证泵站其他设备设施的正常运作，而不至于泵站停产或减产，或采取临时措施，确保管网不能因设备维修而导致溢流，除非是泵站需要全部堵水及停水进行施工作业。</w:t>
      </w:r>
    </w:p>
    <w:p w14:paraId="42BD5647">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施工现场用水、用电在有条件的情况下由招标人提供水、电接入点，投标人自行接入，投标人需做好用水、用电安全防护措施并无条件接受招标人监督，用水、用电费用由招标人承担。如施工现场采购人无法提供水、电接入点，施工用水、用电由投标人自行合法合规解决并承担相关费用。</w:t>
      </w:r>
    </w:p>
    <w:p w14:paraId="2810E996">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4.实施方案中如涉及各种特殊工种作业的，投标人须提前报送相关特种作业人员资料给招标人备查，需实行持证上岗、专人专证的管理制度。</w:t>
      </w:r>
    </w:p>
    <w:p w14:paraId="64CEF452">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5.施工作业过程中，如对泵站及其他设备设施造成损毁的，由投标人负责按实赔偿或负责恢复损坏设备设施原状。</w:t>
      </w:r>
    </w:p>
    <w:p w14:paraId="3E9878DE">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6.单项项目实施中，招标人有权根据现场实际需要增加单项项目清单上的内容，新增清单内容产生的费用由招标人承担，服务单位不得以任何理由停止单项项目的工作，否则招标人视不同情况分别对投标人采取警告、扣除履约保证金、取消服务资格等措施。</w:t>
      </w:r>
    </w:p>
    <w:p w14:paraId="0D844724">
      <w:pPr>
        <w:pStyle w:val="7"/>
        <w:keepNext w:val="0"/>
        <w:keepLines w:val="0"/>
        <w:kinsoku/>
        <w:wordWrap/>
        <w:overflowPunct/>
        <w:topLinePunct w:val="0"/>
        <w:bidi w:val="0"/>
        <w:snapToGrid/>
        <w:spacing w:line="360" w:lineRule="auto"/>
        <w:ind w:left="48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（四）关于停水作业的要求</w:t>
      </w:r>
    </w:p>
    <w:p w14:paraId="30443F07">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1.涉及粗格栅机、闸门、提升泵、拍门等水下设备设施维修、重置作业，一般需要堵水、停水、抽水等施工措施，如无特殊说明的则由投标人负责实施。</w:t>
      </w:r>
    </w:p>
    <w:p w14:paraId="099D5D2E">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在提升泵站堵水、抽水、停水等作业前，应上报详细的作业实施方案，包括停水措施、停水时长、导排措施等，并征得招标人同意。如有必要，由招标人征得市生态环境局或属地镇街相关主管部门的批准同意后方可实施。</w:t>
      </w:r>
    </w:p>
    <w:p w14:paraId="7F7D728C">
      <w:pPr>
        <w:pStyle w:val="7"/>
        <w:keepNext w:val="0"/>
        <w:keepLines w:val="0"/>
        <w:kinsoku/>
        <w:wordWrap/>
        <w:overflowPunct/>
        <w:topLinePunct w:val="0"/>
        <w:bidi w:val="0"/>
        <w:snapToGrid/>
        <w:spacing w:line="360" w:lineRule="auto"/>
        <w:ind w:left="48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（五）安全生产管理</w:t>
      </w:r>
    </w:p>
    <w:p w14:paraId="3261520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1.投标人需做好施工作业的安全文明施工作业管理，遵守招标人各项安全生产的规章管理制度。对施工作业过程中造成的一切安全责任事故，由投标人负责。</w:t>
      </w:r>
    </w:p>
    <w:p w14:paraId="7450C0E4">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2.投标人的技术服务需遵守招标人的安全生产管理制度，服从并需签署招标人制定的相关安全协议，服从污水处理运营项目或提升泵站属地管理机构的管理要求。</w:t>
      </w:r>
    </w:p>
    <w:p w14:paraId="1F5FF095">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投标人在具体实施的项目中需开展有限空间作业的，应按照招标人相关要求通过招标人审批，在接到招标人允许作业回执后，投标人根据具体项目实施方案落实通风及气体检测等安全防护措施，才能进行作业。投标人若未得到招标人审批同意，自行开展有限空间等安全生产作业的，视作违约处理，招标人有权要求投标人承担按具体委派单项项目预算价（不含投标人销项税）的20%或与履约担保等额的违约金（以两者较高的金额作为该次违约金金额）。</w:t>
      </w:r>
    </w:p>
    <w:p w14:paraId="15F8EF0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4.投标人建立覆盖全业务范围的安全生产与职业健康配套制度、岗位安全操作规程，且有针对性和可操作性，并在施工过程中严格执行。</w:t>
      </w:r>
    </w:p>
    <w:p w14:paraId="3355F8A5">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5.投标人必须落实全员安全生产责任制，通过明确各级人员安全生产责任，层层签订安全生产责任书，落实安全生产责任，同时按“一岗双责、失职追责”原则建立并完善全员安全生产责任制。</w:t>
      </w:r>
    </w:p>
    <w:p w14:paraId="514F08A2">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6.投标人每个施工项目现场必须配齐1名</w:t>
      </w:r>
      <w:r>
        <w:rPr>
          <w:rFonts w:hint="eastAsia" w:ascii="宋体" w:hAnsi="宋体" w:eastAsia="宋体" w:cs="宋体"/>
          <w:bCs/>
          <w:color w:val="auto"/>
          <w:sz w:val="21"/>
          <w:szCs w:val="21"/>
          <w:lang w:val="en-US" w:eastAsia="zh-CN"/>
        </w:rPr>
        <w:t>现场负责</w:t>
      </w:r>
      <w:r>
        <w:rPr>
          <w:rFonts w:hint="eastAsia" w:ascii="宋体" w:hAnsi="宋体" w:eastAsia="宋体" w:cs="宋体"/>
          <w:bCs/>
          <w:color w:val="auto"/>
          <w:sz w:val="21"/>
          <w:szCs w:val="21"/>
        </w:rPr>
        <w:t>人，现场专职安全</w:t>
      </w:r>
      <w:r>
        <w:rPr>
          <w:rFonts w:hint="eastAsia" w:ascii="宋体" w:hAnsi="宋体" w:eastAsia="宋体" w:cs="宋体"/>
          <w:bCs/>
          <w:color w:val="auto"/>
          <w:sz w:val="21"/>
          <w:szCs w:val="21"/>
          <w:lang w:val="en-US" w:eastAsia="zh-CN"/>
        </w:rPr>
        <w:t>员</w:t>
      </w:r>
      <w:r>
        <w:rPr>
          <w:rFonts w:hint="eastAsia" w:ascii="宋体" w:hAnsi="宋体" w:eastAsia="宋体" w:cs="宋体"/>
          <w:bCs/>
          <w:color w:val="auto"/>
          <w:sz w:val="21"/>
          <w:szCs w:val="21"/>
        </w:rPr>
        <w:t>（即监护人）视项目现场危险级别进行委派，主要</w:t>
      </w:r>
      <w:r>
        <w:rPr>
          <w:rFonts w:hint="eastAsia" w:ascii="宋体" w:hAnsi="宋体" w:eastAsia="宋体" w:cs="宋体"/>
          <w:bCs/>
          <w:color w:val="auto"/>
          <w:sz w:val="21"/>
          <w:szCs w:val="21"/>
          <w:lang w:val="en-US" w:eastAsia="zh-CN"/>
        </w:rPr>
        <w:t>现场负责人</w:t>
      </w:r>
      <w:r>
        <w:rPr>
          <w:rFonts w:hint="eastAsia" w:ascii="宋体" w:hAnsi="宋体" w:eastAsia="宋体" w:cs="宋体"/>
          <w:bCs/>
          <w:color w:val="auto"/>
          <w:sz w:val="21"/>
          <w:szCs w:val="21"/>
        </w:rPr>
        <w:t>及</w:t>
      </w:r>
      <w:r>
        <w:rPr>
          <w:rFonts w:hint="eastAsia" w:ascii="宋体" w:hAnsi="宋体" w:eastAsia="宋体" w:cs="宋体"/>
          <w:bCs/>
          <w:color w:val="auto"/>
          <w:sz w:val="21"/>
          <w:szCs w:val="21"/>
          <w:lang w:val="en-US" w:eastAsia="zh-CN"/>
        </w:rPr>
        <w:t>现场</w:t>
      </w:r>
      <w:r>
        <w:rPr>
          <w:rFonts w:hint="eastAsia" w:ascii="宋体" w:hAnsi="宋体" w:eastAsia="宋体" w:cs="宋体"/>
          <w:bCs/>
          <w:color w:val="auto"/>
          <w:sz w:val="21"/>
          <w:szCs w:val="21"/>
        </w:rPr>
        <w:t>专职安全员必须取得经省安协安全机构/市安协安全机构进行有限空间作业培训考核合格，同时持有管网公司内部培训考核下发的准入证；从事本项目的特种作业人员必须持有应急管理局或住建厅下发的特种作业人员上岗证，严禁无证上岗。</w:t>
      </w:r>
    </w:p>
    <w:p w14:paraId="0B86D5B9">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7.投标人施工项目全体员工必须经三级安全教育培训并考核合格，培训内容及培训学时必须符合法律法规及行业要求，同时每年组织不少于8学时的全员安全再教育培训，施工项目现场必须有一份完整存档的三级安全教育培训档案。</w:t>
      </w:r>
    </w:p>
    <w:p w14:paraId="6FA1C768">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8.投标人应根据施工现场存在的主要安全风险，制定符合施工项目实际的专项应急预案、现场处置方案，专项应急预案每年进行一次演练，现场处置方案每半年进行一次演练。</w:t>
      </w:r>
    </w:p>
    <w:p w14:paraId="231B1CBE">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9.施工项目每天作业前，施工项目现场负责人、现场专职安全</w:t>
      </w:r>
      <w:r>
        <w:rPr>
          <w:rFonts w:hint="eastAsia" w:ascii="宋体" w:hAnsi="宋体" w:eastAsia="宋体" w:cs="宋体"/>
          <w:bCs/>
          <w:color w:val="auto"/>
          <w:sz w:val="21"/>
          <w:szCs w:val="21"/>
          <w:lang w:val="en-US" w:eastAsia="zh-CN"/>
        </w:rPr>
        <w:t>员</w:t>
      </w:r>
      <w:r>
        <w:rPr>
          <w:rFonts w:hint="eastAsia" w:ascii="宋体" w:hAnsi="宋体" w:eastAsia="宋体" w:cs="宋体"/>
          <w:bCs/>
          <w:color w:val="auto"/>
          <w:sz w:val="21"/>
          <w:szCs w:val="21"/>
        </w:rPr>
        <w:t>要对参与本次施工项目的员工进行安全交底，安全交底内容必须将本次本班作业可能存在的安全风险、风险管控措施、施工过程中的注意事项向本班作业人员进行告知，并做好纸面留痕工作。</w:t>
      </w:r>
    </w:p>
    <w:p w14:paraId="624B8F0F">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10.投标人必须为员工配置齐全安全防护用品、应急救援装备，具体配置标准不低于管网公司有限空间作业安全防护设备设施清单中的最低配置要求，每个施工项目施工时，参照标准也按</w:t>
      </w:r>
      <w:r>
        <w:rPr>
          <w:rFonts w:hint="eastAsia" w:ascii="宋体" w:hAnsi="宋体" w:eastAsia="宋体" w:cs="宋体"/>
          <w:bCs/>
          <w:color w:val="auto"/>
          <w:sz w:val="21"/>
          <w:szCs w:val="21"/>
          <w:lang w:val="en-US" w:eastAsia="zh-CN"/>
        </w:rPr>
        <w:t>管网</w:t>
      </w:r>
      <w:r>
        <w:rPr>
          <w:rFonts w:hint="eastAsia" w:ascii="宋体" w:hAnsi="宋体" w:eastAsia="宋体" w:cs="宋体"/>
          <w:bCs/>
          <w:color w:val="auto"/>
          <w:sz w:val="21"/>
          <w:szCs w:val="21"/>
        </w:rPr>
        <w:t>公司最低配置要求进行配置，同时泵站临边作业现场必须设置安全防护设施，有限空间作业现场</w:t>
      </w:r>
      <w:r>
        <w:rPr>
          <w:rFonts w:hint="eastAsia" w:ascii="宋体" w:hAnsi="宋体" w:eastAsia="宋体" w:cs="宋体"/>
          <w:bCs/>
          <w:color w:val="auto"/>
          <w:sz w:val="21"/>
          <w:szCs w:val="21"/>
          <w:lang w:val="en-US" w:eastAsia="zh-CN"/>
        </w:rPr>
        <w:t>需</w:t>
      </w:r>
      <w:r>
        <w:rPr>
          <w:rFonts w:hint="eastAsia" w:ascii="宋体" w:hAnsi="宋体" w:eastAsia="宋体" w:cs="宋体"/>
          <w:bCs/>
          <w:color w:val="auto"/>
          <w:sz w:val="21"/>
          <w:szCs w:val="21"/>
        </w:rPr>
        <w:t>配置隔绝式呼吸器。</w:t>
      </w:r>
    </w:p>
    <w:p w14:paraId="2F42D67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11.投标人必须为施工项目全体员工购买工伤保险或团体意外险，有条件的施工单位针对重点人群购买安责险。</w:t>
      </w:r>
    </w:p>
    <w:p w14:paraId="4C644A2E">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12.投标人针对业务范围内生产活动，必须开展风险辨识工作，针对风险辨识结果，现在制定风险管控措施，同时</w:t>
      </w:r>
      <w:r>
        <w:rPr>
          <w:rFonts w:hint="eastAsia" w:ascii="宋体" w:hAnsi="宋体" w:eastAsia="宋体" w:cs="宋体"/>
          <w:bCs/>
          <w:color w:val="auto"/>
          <w:sz w:val="21"/>
          <w:szCs w:val="21"/>
          <w:lang w:val="en-US" w:eastAsia="zh-CN"/>
        </w:rPr>
        <w:t>现场</w:t>
      </w:r>
      <w:r>
        <w:rPr>
          <w:rFonts w:hint="eastAsia" w:ascii="宋体" w:hAnsi="宋体" w:eastAsia="宋体" w:cs="宋体"/>
          <w:bCs/>
          <w:color w:val="auto"/>
          <w:sz w:val="21"/>
          <w:szCs w:val="21"/>
        </w:rPr>
        <w:t>负责人、</w:t>
      </w:r>
      <w:r>
        <w:rPr>
          <w:rFonts w:hint="eastAsia" w:ascii="宋体" w:hAnsi="宋体" w:eastAsia="宋体" w:cs="宋体"/>
          <w:bCs/>
          <w:color w:val="auto"/>
          <w:sz w:val="21"/>
          <w:szCs w:val="21"/>
          <w:lang w:val="en-US" w:eastAsia="zh-CN"/>
        </w:rPr>
        <w:t>现场专职</w:t>
      </w:r>
      <w:r>
        <w:rPr>
          <w:rFonts w:hint="eastAsia" w:ascii="宋体" w:hAnsi="宋体" w:eastAsia="宋体" w:cs="宋体"/>
          <w:bCs/>
          <w:color w:val="auto"/>
          <w:sz w:val="21"/>
          <w:szCs w:val="21"/>
        </w:rPr>
        <w:t>安全员要监督落实。</w:t>
      </w:r>
    </w:p>
    <w:p w14:paraId="6AA5831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13.投标人在作业前一天落实危险作业审批报备工作，必须经管网公司审批合格、分公司业务旁站人员检查确认无误后方可进行施工作业；</w:t>
      </w:r>
    </w:p>
    <w:p w14:paraId="322E5946">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14.针对有限空间作业现场，必须加强通风及监测工作，现场必须配置不低于2台强制送风设备，一台在靠近施工作业处进行送风，一台远离作业处进行抽风，确保进行有效空气置换，同时加强作业前及作业中通风及气体监测工作，确保监测合格方可作业。</w:t>
      </w:r>
    </w:p>
    <w:p w14:paraId="114B0B9A">
      <w:pPr>
        <w:pStyle w:val="7"/>
        <w:keepNext w:val="0"/>
        <w:keepLines w:val="0"/>
        <w:kinsoku/>
        <w:wordWrap/>
        <w:overflowPunct/>
        <w:topLinePunct w:val="0"/>
        <w:bidi w:val="0"/>
        <w:snapToGrid/>
        <w:spacing w:line="360" w:lineRule="auto"/>
        <w:ind w:left="48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（六）人员及其它配置要求</w:t>
      </w:r>
    </w:p>
    <w:p w14:paraId="1850C978">
      <w:pPr>
        <w:pStyle w:val="7"/>
        <w:keepNext w:val="0"/>
        <w:keepLines w:val="0"/>
        <w:numPr>
          <w:ilvl w:val="255"/>
          <w:numId w:val="0"/>
        </w:numPr>
        <w:kinsoku/>
        <w:wordWrap/>
        <w:overflowPunct/>
        <w:topLinePunct w:val="0"/>
        <w:bidi w:val="0"/>
        <w:snapToGrid/>
        <w:spacing w:line="360" w:lineRule="auto"/>
        <w:ind w:firstLine="422"/>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1. </w:t>
      </w:r>
      <w:r>
        <w:rPr>
          <w:rFonts w:hint="eastAsia" w:ascii="宋体" w:hAnsi="宋体" w:eastAsia="宋体" w:cs="宋体"/>
          <w:b/>
          <w:bCs/>
          <w:color w:val="auto"/>
          <w:sz w:val="21"/>
          <w:szCs w:val="21"/>
          <w:lang w:val="en-US" w:eastAsia="zh-CN"/>
        </w:rPr>
        <w:t>各标段</w:t>
      </w:r>
      <w:r>
        <w:rPr>
          <w:rFonts w:hint="eastAsia" w:ascii="宋体" w:hAnsi="宋体" w:eastAsia="宋体" w:cs="宋体"/>
          <w:b/>
          <w:bCs/>
          <w:color w:val="auto"/>
          <w:sz w:val="21"/>
          <w:szCs w:val="21"/>
        </w:rPr>
        <w:t>具体人员配置数量及要求详见表1。</w:t>
      </w:r>
    </w:p>
    <w:p w14:paraId="50268C5D">
      <w:pPr>
        <w:keepNext w:val="0"/>
        <w:keepLines w:val="0"/>
        <w:kinsoku/>
        <w:wordWrap/>
        <w:overflowPunct/>
        <w:topLinePunct w:val="0"/>
        <w:bidi w:val="0"/>
        <w:snapToGrid/>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表1  </w:t>
      </w:r>
      <w:r>
        <w:rPr>
          <w:rFonts w:hint="eastAsia" w:ascii="宋体" w:hAnsi="宋体" w:eastAsia="宋体" w:cs="宋体"/>
          <w:b/>
          <w:color w:val="auto"/>
          <w:sz w:val="21"/>
          <w:szCs w:val="21"/>
          <w:lang w:eastAsia="zh-CN"/>
        </w:rPr>
        <w:t>标段</w:t>
      </w:r>
      <w:r>
        <w:rPr>
          <w:rFonts w:hint="eastAsia" w:ascii="宋体" w:hAnsi="宋体" w:eastAsia="宋体" w:cs="宋体"/>
          <w:b/>
          <w:color w:val="auto"/>
          <w:sz w:val="21"/>
          <w:szCs w:val="21"/>
        </w:rPr>
        <w:t>人员配置表</w:t>
      </w:r>
    </w:p>
    <w:tbl>
      <w:tblPr>
        <w:tblStyle w:val="5"/>
        <w:tblW w:w="5023" w:type="pct"/>
        <w:jc w:val="center"/>
        <w:tblLayout w:type="autofit"/>
        <w:tblCellMar>
          <w:top w:w="0" w:type="dxa"/>
          <w:left w:w="0" w:type="dxa"/>
          <w:bottom w:w="0" w:type="dxa"/>
          <w:right w:w="0" w:type="dxa"/>
        </w:tblCellMar>
      </w:tblPr>
      <w:tblGrid>
        <w:gridCol w:w="553"/>
        <w:gridCol w:w="1127"/>
        <w:gridCol w:w="724"/>
        <w:gridCol w:w="3134"/>
        <w:gridCol w:w="2816"/>
      </w:tblGrid>
      <w:tr w14:paraId="5EF472F9">
        <w:tblPrEx>
          <w:tblCellMar>
            <w:top w:w="0" w:type="dxa"/>
            <w:left w:w="0" w:type="dxa"/>
            <w:bottom w:w="0" w:type="dxa"/>
            <w:right w:w="0" w:type="dxa"/>
          </w:tblCellMar>
        </w:tblPrEx>
        <w:trPr>
          <w:trHeight w:val="272"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02AE857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674" w:type="pct"/>
            <w:tcBorders>
              <w:top w:val="single" w:color="000000" w:sz="4" w:space="0"/>
              <w:left w:val="nil"/>
              <w:bottom w:val="single" w:color="000000" w:sz="4" w:space="0"/>
              <w:right w:val="single" w:color="000000" w:sz="4" w:space="0"/>
            </w:tcBorders>
            <w:vAlign w:val="center"/>
          </w:tcPr>
          <w:p w14:paraId="641C72BD">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岗位</w:t>
            </w:r>
          </w:p>
        </w:tc>
        <w:tc>
          <w:tcPr>
            <w:tcW w:w="433" w:type="pct"/>
            <w:tcBorders>
              <w:top w:val="single" w:color="000000" w:sz="4" w:space="0"/>
              <w:left w:val="nil"/>
              <w:bottom w:val="single" w:color="000000" w:sz="4" w:space="0"/>
              <w:right w:val="single" w:color="000000" w:sz="4" w:space="0"/>
            </w:tcBorders>
            <w:vAlign w:val="center"/>
          </w:tcPr>
          <w:p w14:paraId="02CF818C">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人数（人）</w:t>
            </w:r>
          </w:p>
        </w:tc>
        <w:tc>
          <w:tcPr>
            <w:tcW w:w="1874" w:type="pct"/>
            <w:tcBorders>
              <w:top w:val="single" w:color="000000" w:sz="4" w:space="0"/>
              <w:left w:val="nil"/>
              <w:bottom w:val="single" w:color="000000" w:sz="4" w:space="0"/>
              <w:right w:val="single" w:color="000000" w:sz="4" w:space="0"/>
            </w:tcBorders>
            <w:vAlign w:val="center"/>
          </w:tcPr>
          <w:p w14:paraId="493032A6">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人员配置要求</w:t>
            </w:r>
          </w:p>
        </w:tc>
        <w:tc>
          <w:tcPr>
            <w:tcW w:w="1684" w:type="pct"/>
            <w:tcBorders>
              <w:top w:val="single" w:color="000000" w:sz="4" w:space="0"/>
              <w:left w:val="nil"/>
              <w:bottom w:val="single" w:color="000000" w:sz="4" w:space="0"/>
              <w:right w:val="single" w:color="000000" w:sz="4" w:space="0"/>
            </w:tcBorders>
            <w:vAlign w:val="center"/>
          </w:tcPr>
          <w:p w14:paraId="758E42CB">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22854A59">
        <w:tblPrEx>
          <w:tblCellMar>
            <w:top w:w="0" w:type="dxa"/>
            <w:left w:w="0" w:type="dxa"/>
            <w:bottom w:w="0" w:type="dxa"/>
            <w:right w:w="0" w:type="dxa"/>
          </w:tblCellMar>
        </w:tblPrEx>
        <w:trPr>
          <w:trHeight w:val="771"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6EBFDFC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b/>
                <w:color w:val="auto"/>
                <w:kern w:val="0"/>
                <w:sz w:val="21"/>
                <w:szCs w:val="21"/>
              </w:rPr>
              <w:t>1</w:t>
            </w:r>
          </w:p>
        </w:tc>
        <w:tc>
          <w:tcPr>
            <w:tcW w:w="674" w:type="pct"/>
            <w:tcBorders>
              <w:top w:val="single" w:color="000000" w:sz="4" w:space="0"/>
              <w:left w:val="nil"/>
              <w:bottom w:val="single" w:color="000000" w:sz="4" w:space="0"/>
              <w:right w:val="single" w:color="000000" w:sz="4" w:space="0"/>
            </w:tcBorders>
            <w:vAlign w:val="center"/>
          </w:tcPr>
          <w:p w14:paraId="018BA63D">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项目负责人</w:t>
            </w:r>
          </w:p>
        </w:tc>
        <w:tc>
          <w:tcPr>
            <w:tcW w:w="433" w:type="pct"/>
            <w:tcBorders>
              <w:top w:val="single" w:color="000000" w:sz="4" w:space="0"/>
              <w:left w:val="nil"/>
              <w:bottom w:val="single" w:color="000000" w:sz="4" w:space="0"/>
              <w:right w:val="single" w:color="000000" w:sz="4" w:space="0"/>
            </w:tcBorders>
            <w:vAlign w:val="center"/>
          </w:tcPr>
          <w:p w14:paraId="0F381FCD">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w:t>
            </w:r>
          </w:p>
        </w:tc>
        <w:tc>
          <w:tcPr>
            <w:tcW w:w="1874" w:type="pct"/>
            <w:tcBorders>
              <w:top w:val="single" w:color="000000" w:sz="4" w:space="0"/>
              <w:left w:val="nil"/>
              <w:bottom w:val="single" w:color="000000" w:sz="4" w:space="0"/>
              <w:right w:val="single" w:color="000000" w:sz="4" w:space="0"/>
            </w:tcBorders>
            <w:vAlign w:val="center"/>
          </w:tcPr>
          <w:p w14:paraId="72C0CE8F">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1、具备二级（或以上）建造师（机电工程专业）执业资格或者中级（或以上）工程职称（机电或给排水专业）职称证书；</w:t>
            </w:r>
          </w:p>
          <w:p w14:paraId="1B03822C">
            <w:pPr>
              <w:pStyle w:val="2"/>
              <w:keepNext w:val="0"/>
              <w:keepLines w:val="0"/>
              <w:suppressLineNumbers w:val="0"/>
              <w:kinsoku/>
              <w:wordWrap/>
              <w:overflowPunct/>
              <w:topLinePunct w:val="0"/>
              <w:bidi w:val="0"/>
              <w:snapToGrid/>
              <w:spacing w:before="0" w:beforeAutospacing="0" w:after="0" w:afterAutospacing="0" w:line="360" w:lineRule="auto"/>
              <w:ind w:left="0" w:right="0"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color w:val="auto"/>
                <w:sz w:val="21"/>
                <w:szCs w:val="21"/>
              </w:rPr>
              <w:t>具备住建局颁发的项目负责人安全生产考核合格证书（“建安B”类）。</w:t>
            </w:r>
          </w:p>
        </w:tc>
        <w:tc>
          <w:tcPr>
            <w:tcW w:w="1684" w:type="pct"/>
            <w:tcBorders>
              <w:top w:val="single" w:color="000000" w:sz="4" w:space="0"/>
              <w:left w:val="nil"/>
              <w:bottom w:val="single" w:color="000000" w:sz="4" w:space="0"/>
              <w:right w:val="single" w:color="000000" w:sz="4" w:space="0"/>
            </w:tcBorders>
            <w:vAlign w:val="center"/>
          </w:tcPr>
          <w:p w14:paraId="03EA135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1.提供人员证书</w:t>
            </w:r>
            <w:r>
              <w:rPr>
                <w:rFonts w:hint="eastAsia" w:ascii="宋体" w:hAnsi="宋体" w:eastAsia="宋体" w:cs="宋体"/>
                <w:b/>
                <w:color w:val="auto"/>
                <w:kern w:val="0"/>
                <w:sz w:val="21"/>
                <w:szCs w:val="21"/>
                <w:lang w:eastAsia="zh-CN"/>
              </w:rPr>
              <w:t>扫描件</w:t>
            </w:r>
            <w:r>
              <w:rPr>
                <w:rFonts w:hint="eastAsia" w:ascii="宋体" w:hAnsi="宋体" w:eastAsia="宋体" w:cs="宋体"/>
                <w:b/>
                <w:color w:val="auto"/>
                <w:kern w:val="0"/>
                <w:sz w:val="21"/>
                <w:szCs w:val="21"/>
              </w:rPr>
              <w:t>；</w:t>
            </w:r>
          </w:p>
          <w:p w14:paraId="0DFC76B2">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rPr>
              <w:t>2.提供人员证书及人力资源和社会保障部门（或税务部门）出具的投标人202</w:t>
            </w:r>
            <w:r>
              <w:rPr>
                <w:rFonts w:hint="eastAsia" w:ascii="宋体" w:hAnsi="宋体" w:eastAsia="宋体" w:cs="宋体"/>
                <w:b/>
                <w:color w:val="auto"/>
                <w:kern w:val="0"/>
                <w:sz w:val="21"/>
                <w:szCs w:val="21"/>
                <w:lang w:val="en-US" w:eastAsia="zh-CN"/>
              </w:rPr>
              <w:t>5</w:t>
            </w:r>
            <w:r>
              <w:rPr>
                <w:rFonts w:hint="eastAsia" w:ascii="宋体" w:hAnsi="宋体" w:eastAsia="宋体" w:cs="宋体"/>
                <w:b/>
                <w:color w:val="auto"/>
                <w:kern w:val="0"/>
                <w:sz w:val="21"/>
                <w:szCs w:val="21"/>
              </w:rPr>
              <w:t>年5月至202</w:t>
            </w:r>
            <w:r>
              <w:rPr>
                <w:rFonts w:hint="eastAsia" w:ascii="宋体" w:hAnsi="宋体" w:eastAsia="宋体" w:cs="宋体"/>
                <w:b/>
                <w:color w:val="auto"/>
                <w:kern w:val="0"/>
                <w:sz w:val="21"/>
                <w:szCs w:val="21"/>
                <w:lang w:val="en-US" w:eastAsia="zh-CN"/>
              </w:rPr>
              <w:t>5</w:t>
            </w:r>
            <w:r>
              <w:rPr>
                <w:rFonts w:hint="eastAsia" w:ascii="宋体" w:hAnsi="宋体" w:eastAsia="宋体" w:cs="宋体"/>
                <w:b/>
                <w:color w:val="auto"/>
                <w:kern w:val="0"/>
                <w:sz w:val="21"/>
                <w:szCs w:val="21"/>
              </w:rPr>
              <w:t>年10月为其缴纳的社保证明</w:t>
            </w:r>
            <w:r>
              <w:rPr>
                <w:rFonts w:hint="eastAsia" w:ascii="宋体" w:hAnsi="宋体" w:eastAsia="宋体" w:cs="宋体"/>
                <w:b/>
                <w:color w:val="auto"/>
                <w:kern w:val="0"/>
                <w:sz w:val="21"/>
                <w:szCs w:val="21"/>
                <w:lang w:eastAsia="zh-CN"/>
              </w:rPr>
              <w:t>扫描件。</w:t>
            </w:r>
          </w:p>
        </w:tc>
      </w:tr>
      <w:tr w14:paraId="0B8E03CC">
        <w:tblPrEx>
          <w:tblCellMar>
            <w:top w:w="0" w:type="dxa"/>
            <w:left w:w="0" w:type="dxa"/>
            <w:bottom w:w="0" w:type="dxa"/>
            <w:right w:w="0" w:type="dxa"/>
          </w:tblCellMar>
        </w:tblPrEx>
        <w:trPr>
          <w:trHeight w:val="1060"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32819B21">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b/>
                <w:color w:val="auto"/>
                <w:kern w:val="0"/>
                <w:sz w:val="21"/>
                <w:szCs w:val="21"/>
              </w:rPr>
              <w:t>2</w:t>
            </w:r>
          </w:p>
        </w:tc>
        <w:tc>
          <w:tcPr>
            <w:tcW w:w="674" w:type="pct"/>
            <w:tcBorders>
              <w:top w:val="single" w:color="000000" w:sz="4" w:space="0"/>
              <w:left w:val="nil"/>
              <w:bottom w:val="single" w:color="000000" w:sz="4" w:space="0"/>
              <w:right w:val="single" w:color="000000" w:sz="4" w:space="0"/>
            </w:tcBorders>
            <w:vAlign w:val="center"/>
          </w:tcPr>
          <w:p w14:paraId="6E7D2A3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现场负责人</w:t>
            </w:r>
          </w:p>
        </w:tc>
        <w:tc>
          <w:tcPr>
            <w:tcW w:w="433" w:type="pct"/>
            <w:tcBorders>
              <w:top w:val="single" w:color="000000" w:sz="4" w:space="0"/>
              <w:left w:val="nil"/>
              <w:bottom w:val="single" w:color="000000" w:sz="4" w:space="0"/>
              <w:right w:val="single" w:color="000000" w:sz="4" w:space="0"/>
            </w:tcBorders>
            <w:vAlign w:val="center"/>
          </w:tcPr>
          <w:p w14:paraId="1050C14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w:t>
            </w:r>
          </w:p>
        </w:tc>
        <w:tc>
          <w:tcPr>
            <w:tcW w:w="1874" w:type="pct"/>
            <w:tcBorders>
              <w:top w:val="single" w:color="000000" w:sz="4" w:space="0"/>
              <w:left w:val="nil"/>
              <w:bottom w:val="single" w:color="000000" w:sz="4" w:space="0"/>
              <w:right w:val="single" w:color="000000" w:sz="4" w:space="0"/>
            </w:tcBorders>
            <w:vAlign w:val="center"/>
          </w:tcPr>
          <w:p w14:paraId="78F8C1F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具备二级（或以上）建造师（机电工程或给排水专业）或者助理工程师（或以上）职称证书</w:t>
            </w:r>
          </w:p>
        </w:tc>
        <w:tc>
          <w:tcPr>
            <w:tcW w:w="1684" w:type="pct"/>
            <w:tcBorders>
              <w:top w:val="single" w:color="000000" w:sz="4" w:space="0"/>
              <w:left w:val="nil"/>
              <w:bottom w:val="single" w:color="000000" w:sz="4" w:space="0"/>
              <w:right w:val="single" w:color="000000" w:sz="4" w:space="0"/>
            </w:tcBorders>
            <w:vAlign w:val="center"/>
          </w:tcPr>
          <w:p w14:paraId="712AB991">
            <w:pPr>
              <w:keepNext w:val="0"/>
              <w:keepLines w:val="0"/>
              <w:numPr>
                <w:ilvl w:val="255"/>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1.在项目实施过程中必须全程在岗</w:t>
            </w:r>
            <w:r>
              <w:rPr>
                <w:rFonts w:hint="eastAsia" w:ascii="宋体" w:hAnsi="宋体" w:eastAsia="宋体" w:cs="宋体"/>
                <w:b/>
                <w:color w:val="auto"/>
                <w:kern w:val="0"/>
                <w:sz w:val="21"/>
                <w:szCs w:val="21"/>
                <w:lang w:val="en-US" w:eastAsia="zh-CN"/>
              </w:rPr>
              <w:t>；</w:t>
            </w:r>
          </w:p>
          <w:p w14:paraId="3CE512A9">
            <w:pPr>
              <w:keepNext w:val="0"/>
              <w:keepLines w:val="0"/>
              <w:numPr>
                <w:ilvl w:val="255"/>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2.须提供人员证书</w:t>
            </w:r>
            <w:r>
              <w:rPr>
                <w:rFonts w:hint="eastAsia" w:ascii="宋体" w:hAnsi="宋体" w:eastAsia="宋体" w:cs="宋体"/>
                <w:b/>
                <w:color w:val="auto"/>
                <w:kern w:val="0"/>
                <w:sz w:val="21"/>
                <w:szCs w:val="21"/>
                <w:lang w:eastAsia="zh-CN"/>
              </w:rPr>
              <w:t>扫描件</w:t>
            </w:r>
            <w:r>
              <w:rPr>
                <w:rFonts w:hint="eastAsia" w:ascii="宋体" w:hAnsi="宋体" w:eastAsia="宋体" w:cs="宋体"/>
                <w:b/>
                <w:color w:val="auto"/>
                <w:kern w:val="0"/>
                <w:sz w:val="21"/>
                <w:szCs w:val="21"/>
                <w:lang w:val="en-US" w:eastAsia="zh-CN"/>
              </w:rPr>
              <w:t>；</w:t>
            </w:r>
          </w:p>
          <w:p w14:paraId="16CF0C8D">
            <w:pPr>
              <w:keepNext w:val="0"/>
              <w:keepLines w:val="0"/>
              <w:numPr>
                <w:ilvl w:val="255"/>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rPr>
              <w:t>3.人力资源和社会保障部门（或税务部门）出具的投标人202</w:t>
            </w:r>
            <w:r>
              <w:rPr>
                <w:rFonts w:hint="eastAsia" w:ascii="宋体" w:hAnsi="宋体" w:eastAsia="宋体" w:cs="宋体"/>
                <w:b/>
                <w:color w:val="auto"/>
                <w:kern w:val="0"/>
                <w:sz w:val="21"/>
                <w:szCs w:val="21"/>
                <w:lang w:val="en-US" w:eastAsia="zh-CN"/>
              </w:rPr>
              <w:t>5</w:t>
            </w:r>
            <w:r>
              <w:rPr>
                <w:rFonts w:hint="eastAsia" w:ascii="宋体" w:hAnsi="宋体" w:eastAsia="宋体" w:cs="宋体"/>
                <w:b/>
                <w:color w:val="auto"/>
                <w:kern w:val="0"/>
                <w:sz w:val="21"/>
                <w:szCs w:val="21"/>
              </w:rPr>
              <w:t>年5月至202</w:t>
            </w:r>
            <w:r>
              <w:rPr>
                <w:rFonts w:hint="eastAsia" w:ascii="宋体" w:hAnsi="宋体" w:eastAsia="宋体" w:cs="宋体"/>
                <w:b/>
                <w:color w:val="auto"/>
                <w:kern w:val="0"/>
                <w:sz w:val="21"/>
                <w:szCs w:val="21"/>
                <w:lang w:val="en-US" w:eastAsia="zh-CN"/>
              </w:rPr>
              <w:t>5</w:t>
            </w:r>
            <w:r>
              <w:rPr>
                <w:rFonts w:hint="eastAsia" w:ascii="宋体" w:hAnsi="宋体" w:eastAsia="宋体" w:cs="宋体"/>
                <w:b/>
                <w:color w:val="auto"/>
                <w:kern w:val="0"/>
                <w:sz w:val="21"/>
                <w:szCs w:val="21"/>
              </w:rPr>
              <w:t>年10月为其缴纳的社保证明</w:t>
            </w:r>
            <w:r>
              <w:rPr>
                <w:rFonts w:hint="eastAsia" w:ascii="宋体" w:hAnsi="宋体" w:eastAsia="宋体" w:cs="宋体"/>
                <w:b/>
                <w:color w:val="auto"/>
                <w:kern w:val="0"/>
                <w:sz w:val="21"/>
                <w:szCs w:val="21"/>
                <w:lang w:eastAsia="zh-CN"/>
              </w:rPr>
              <w:t>扫描件。</w:t>
            </w:r>
          </w:p>
        </w:tc>
      </w:tr>
      <w:tr w14:paraId="33D8FC69">
        <w:tblPrEx>
          <w:tblCellMar>
            <w:top w:w="0" w:type="dxa"/>
            <w:left w:w="0" w:type="dxa"/>
            <w:bottom w:w="0" w:type="dxa"/>
            <w:right w:w="0" w:type="dxa"/>
          </w:tblCellMar>
        </w:tblPrEx>
        <w:trPr>
          <w:trHeight w:val="1268"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793E27D">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b/>
                <w:color w:val="auto"/>
                <w:kern w:val="0"/>
                <w:sz w:val="21"/>
                <w:szCs w:val="21"/>
              </w:rPr>
              <w:t>3</w:t>
            </w:r>
          </w:p>
        </w:tc>
        <w:tc>
          <w:tcPr>
            <w:tcW w:w="674" w:type="pct"/>
            <w:tcBorders>
              <w:top w:val="single" w:color="000000" w:sz="4" w:space="0"/>
              <w:left w:val="nil"/>
              <w:bottom w:val="single" w:color="000000" w:sz="4" w:space="0"/>
              <w:right w:val="single" w:color="000000" w:sz="4" w:space="0"/>
            </w:tcBorders>
            <w:vAlign w:val="center"/>
          </w:tcPr>
          <w:p w14:paraId="42E89626">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现场专职</w:t>
            </w:r>
            <w:r>
              <w:rPr>
                <w:rFonts w:hint="eastAsia" w:ascii="宋体" w:hAnsi="宋体" w:eastAsia="宋体" w:cs="宋体"/>
                <w:b/>
                <w:color w:val="auto"/>
                <w:kern w:val="0"/>
                <w:sz w:val="21"/>
                <w:szCs w:val="21"/>
              </w:rPr>
              <w:t>安全员</w:t>
            </w:r>
          </w:p>
        </w:tc>
        <w:tc>
          <w:tcPr>
            <w:tcW w:w="433" w:type="pct"/>
            <w:tcBorders>
              <w:top w:val="single" w:color="000000" w:sz="4" w:space="0"/>
              <w:left w:val="nil"/>
              <w:bottom w:val="single" w:color="000000" w:sz="4" w:space="0"/>
              <w:right w:val="single" w:color="000000" w:sz="4" w:space="0"/>
            </w:tcBorders>
            <w:vAlign w:val="center"/>
          </w:tcPr>
          <w:p w14:paraId="639C3CE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w:t>
            </w:r>
          </w:p>
        </w:tc>
        <w:tc>
          <w:tcPr>
            <w:tcW w:w="1874" w:type="pct"/>
            <w:tcBorders>
              <w:top w:val="single" w:color="000000" w:sz="4" w:space="0"/>
              <w:left w:val="nil"/>
              <w:bottom w:val="single" w:color="000000" w:sz="4" w:space="0"/>
              <w:right w:val="single" w:color="000000" w:sz="4" w:space="0"/>
            </w:tcBorders>
            <w:vAlign w:val="center"/>
          </w:tcPr>
          <w:p w14:paraId="16CE034A">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具备住建局颁发的专职安全生产管理人员安全生产考核合格证书（“建安C”类）或者行业协会或安全生产监督管理局发放的安全管理人员证书</w:t>
            </w:r>
          </w:p>
        </w:tc>
        <w:tc>
          <w:tcPr>
            <w:tcW w:w="1684" w:type="pct"/>
            <w:tcBorders>
              <w:top w:val="single" w:color="000000" w:sz="4" w:space="0"/>
              <w:left w:val="nil"/>
              <w:bottom w:val="single" w:color="000000" w:sz="4" w:space="0"/>
              <w:right w:val="single" w:color="000000" w:sz="4" w:space="0"/>
            </w:tcBorders>
            <w:vAlign w:val="center"/>
          </w:tcPr>
          <w:p w14:paraId="267218B7">
            <w:pPr>
              <w:keepNext w:val="0"/>
              <w:keepLines w:val="0"/>
              <w:numPr>
                <w:ilvl w:val="255"/>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1.在项目实施过程中必须全程在岗</w:t>
            </w:r>
          </w:p>
          <w:p w14:paraId="121EADC4">
            <w:pPr>
              <w:keepNext w:val="0"/>
              <w:keepLines w:val="0"/>
              <w:numPr>
                <w:ilvl w:val="255"/>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2.须提供人员证书</w:t>
            </w:r>
            <w:r>
              <w:rPr>
                <w:rFonts w:hint="eastAsia" w:ascii="宋体" w:hAnsi="宋体" w:eastAsia="宋体" w:cs="宋体"/>
                <w:b/>
                <w:color w:val="auto"/>
                <w:kern w:val="0"/>
                <w:sz w:val="21"/>
                <w:szCs w:val="21"/>
                <w:lang w:eastAsia="zh-CN"/>
              </w:rPr>
              <w:t>扫描件</w:t>
            </w:r>
            <w:r>
              <w:rPr>
                <w:rFonts w:hint="eastAsia" w:ascii="宋体" w:hAnsi="宋体" w:eastAsia="宋体" w:cs="宋体"/>
                <w:b/>
                <w:color w:val="auto"/>
                <w:kern w:val="0"/>
                <w:sz w:val="21"/>
                <w:szCs w:val="21"/>
                <w:lang w:val="en-US" w:eastAsia="zh-CN"/>
              </w:rPr>
              <w:t>；</w:t>
            </w:r>
          </w:p>
          <w:p w14:paraId="2C2B1ABE">
            <w:pPr>
              <w:keepNext w:val="0"/>
              <w:keepLines w:val="0"/>
              <w:numPr>
                <w:ilvl w:val="255"/>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3.人力资源和社会保障部门（或税务部门）出具的投标人202</w:t>
            </w:r>
            <w:r>
              <w:rPr>
                <w:rFonts w:hint="eastAsia" w:ascii="宋体" w:hAnsi="宋体" w:eastAsia="宋体" w:cs="宋体"/>
                <w:b/>
                <w:color w:val="auto"/>
                <w:kern w:val="0"/>
                <w:sz w:val="21"/>
                <w:szCs w:val="21"/>
                <w:lang w:val="en-US" w:eastAsia="zh-CN"/>
              </w:rPr>
              <w:t>5</w:t>
            </w:r>
            <w:r>
              <w:rPr>
                <w:rFonts w:hint="eastAsia" w:ascii="宋体" w:hAnsi="宋体" w:eastAsia="宋体" w:cs="宋体"/>
                <w:b/>
                <w:color w:val="auto"/>
                <w:kern w:val="0"/>
                <w:sz w:val="21"/>
                <w:szCs w:val="21"/>
              </w:rPr>
              <w:t>年5月至202</w:t>
            </w:r>
            <w:r>
              <w:rPr>
                <w:rFonts w:hint="eastAsia" w:ascii="宋体" w:hAnsi="宋体" w:eastAsia="宋体" w:cs="宋体"/>
                <w:b/>
                <w:color w:val="auto"/>
                <w:kern w:val="0"/>
                <w:sz w:val="21"/>
                <w:szCs w:val="21"/>
                <w:lang w:val="en-US" w:eastAsia="zh-CN"/>
              </w:rPr>
              <w:t>5</w:t>
            </w:r>
            <w:r>
              <w:rPr>
                <w:rFonts w:hint="eastAsia" w:ascii="宋体" w:hAnsi="宋体" w:eastAsia="宋体" w:cs="宋体"/>
                <w:b/>
                <w:color w:val="auto"/>
                <w:kern w:val="0"/>
                <w:sz w:val="21"/>
                <w:szCs w:val="21"/>
              </w:rPr>
              <w:t>年10月为其缴纳的社保证明</w:t>
            </w:r>
            <w:r>
              <w:rPr>
                <w:rFonts w:hint="eastAsia" w:ascii="宋体" w:hAnsi="宋体" w:eastAsia="宋体" w:cs="宋体"/>
                <w:b/>
                <w:color w:val="auto"/>
                <w:kern w:val="0"/>
                <w:sz w:val="21"/>
                <w:szCs w:val="21"/>
                <w:lang w:eastAsia="zh-CN"/>
              </w:rPr>
              <w:t>扫描件</w:t>
            </w:r>
            <w:r>
              <w:rPr>
                <w:rFonts w:hint="eastAsia" w:ascii="宋体" w:hAnsi="宋体" w:eastAsia="宋体" w:cs="宋体"/>
                <w:sz w:val="21"/>
                <w:szCs w:val="21"/>
                <w:lang w:eastAsia="zh-CN"/>
              </w:rPr>
              <w:t>。</w:t>
            </w:r>
          </w:p>
        </w:tc>
      </w:tr>
      <w:tr w14:paraId="3D3C2E08">
        <w:tblPrEx>
          <w:tblCellMar>
            <w:top w:w="0" w:type="dxa"/>
            <w:left w:w="0" w:type="dxa"/>
            <w:bottom w:w="0" w:type="dxa"/>
            <w:right w:w="0" w:type="dxa"/>
          </w:tblCellMar>
        </w:tblPrEx>
        <w:trPr>
          <w:trHeight w:val="722"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4ACB131">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Cs/>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bCs/>
                <w:color w:val="auto"/>
                <w:kern w:val="0"/>
                <w:sz w:val="21"/>
                <w:szCs w:val="21"/>
              </w:rPr>
              <w:t>4</w:t>
            </w:r>
          </w:p>
        </w:tc>
        <w:tc>
          <w:tcPr>
            <w:tcW w:w="674" w:type="pct"/>
            <w:tcBorders>
              <w:top w:val="single" w:color="000000" w:sz="4" w:space="0"/>
              <w:left w:val="nil"/>
              <w:bottom w:val="single" w:color="000000" w:sz="4" w:space="0"/>
              <w:right w:val="single" w:color="000000" w:sz="4" w:space="0"/>
            </w:tcBorders>
            <w:vAlign w:val="center"/>
          </w:tcPr>
          <w:p w14:paraId="33E68BF6">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资料员</w:t>
            </w:r>
          </w:p>
        </w:tc>
        <w:tc>
          <w:tcPr>
            <w:tcW w:w="433" w:type="pct"/>
            <w:tcBorders>
              <w:top w:val="single" w:color="000000" w:sz="4" w:space="0"/>
              <w:left w:val="nil"/>
              <w:bottom w:val="single" w:color="000000" w:sz="4" w:space="0"/>
              <w:right w:val="single" w:color="000000" w:sz="4" w:space="0"/>
            </w:tcBorders>
            <w:vAlign w:val="center"/>
          </w:tcPr>
          <w:p w14:paraId="4AA7E87A">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w:t>
            </w:r>
          </w:p>
        </w:tc>
        <w:tc>
          <w:tcPr>
            <w:tcW w:w="1874" w:type="pct"/>
            <w:tcBorders>
              <w:top w:val="single" w:color="000000" w:sz="4" w:space="0"/>
              <w:left w:val="nil"/>
              <w:bottom w:val="single" w:color="000000" w:sz="4" w:space="0"/>
              <w:right w:val="single" w:color="000000" w:sz="4" w:space="0"/>
            </w:tcBorders>
            <w:vAlign w:val="center"/>
          </w:tcPr>
          <w:p w14:paraId="7F9000AD">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
                <w:color w:val="auto"/>
                <w:kern w:val="0"/>
                <w:sz w:val="21"/>
                <w:szCs w:val="21"/>
              </w:rPr>
            </w:pPr>
            <w:r>
              <w:rPr>
                <w:rFonts w:hint="eastAsia" w:ascii="宋体" w:hAnsi="宋体" w:eastAsia="宋体" w:cs="宋体"/>
                <w:b/>
                <w:color w:val="auto"/>
                <w:kern w:val="0"/>
                <w:szCs w:val="21"/>
              </w:rPr>
              <w:t>具备有住建部门或住建委印制的资料员岗位资格证书或住房和城乡建设领域施工现场专业人员职业培训合格证（岗位名称：资料员）</w:t>
            </w:r>
          </w:p>
        </w:tc>
        <w:tc>
          <w:tcPr>
            <w:tcW w:w="1684" w:type="pct"/>
            <w:tcBorders>
              <w:top w:val="single" w:color="000000" w:sz="4" w:space="0"/>
              <w:left w:val="nil"/>
              <w:bottom w:val="single" w:color="000000" w:sz="4" w:space="0"/>
              <w:right w:val="single" w:color="000000" w:sz="4" w:space="0"/>
            </w:tcBorders>
            <w:vAlign w:val="center"/>
          </w:tcPr>
          <w:p w14:paraId="578A6587">
            <w:pPr>
              <w:keepNext w:val="0"/>
              <w:keepLines w:val="0"/>
              <w:numPr>
                <w:ilvl w:val="255"/>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right="0"/>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1.须提供人员证书</w:t>
            </w:r>
            <w:r>
              <w:rPr>
                <w:rFonts w:hint="eastAsia" w:ascii="宋体" w:hAnsi="宋体" w:eastAsia="宋体" w:cs="宋体"/>
                <w:b/>
                <w:color w:val="auto"/>
                <w:kern w:val="0"/>
                <w:sz w:val="21"/>
                <w:szCs w:val="21"/>
                <w:lang w:eastAsia="zh-CN"/>
              </w:rPr>
              <w:t>扫描件</w:t>
            </w:r>
            <w:r>
              <w:rPr>
                <w:rFonts w:hint="eastAsia" w:ascii="宋体" w:hAnsi="宋体" w:eastAsia="宋体" w:cs="宋体"/>
                <w:b/>
                <w:color w:val="auto"/>
                <w:kern w:val="0"/>
                <w:sz w:val="21"/>
                <w:szCs w:val="21"/>
                <w:lang w:val="en-US" w:eastAsia="zh-CN"/>
              </w:rPr>
              <w:t>；</w:t>
            </w:r>
          </w:p>
          <w:p w14:paraId="0130A509">
            <w:pPr>
              <w:pStyle w:val="3"/>
              <w:keepNext w:val="0"/>
              <w:keepLines w:val="0"/>
              <w:numPr>
                <w:ilvl w:val="255"/>
                <w:numId w:val="0"/>
              </w:numPr>
              <w:suppressLineNumbers w:val="0"/>
              <w:kinsoku/>
              <w:wordWrap/>
              <w:overflowPunct/>
              <w:topLinePunct w:val="0"/>
              <w:bidi w:val="0"/>
              <w:snapToGrid/>
              <w:spacing w:before="0" w:beforeAutospacing="0" w:after="0" w:afterAutospacing="0" w:line="360" w:lineRule="auto"/>
              <w:ind w:left="0"/>
              <w:jc w:val="both"/>
              <w:rPr>
                <w:rFonts w:hint="eastAsia" w:ascii="宋体" w:hAnsi="宋体" w:eastAsia="宋体" w:cs="宋体"/>
                <w:bCs w:val="0"/>
                <w:color w:val="auto"/>
                <w:sz w:val="21"/>
                <w:szCs w:val="21"/>
                <w:lang w:val="en-US" w:eastAsia="zh-CN"/>
              </w:rPr>
            </w:pPr>
            <w:r>
              <w:rPr>
                <w:rFonts w:hint="eastAsia" w:ascii="宋体" w:hAnsi="宋体" w:eastAsia="宋体" w:cs="宋体"/>
                <w:bCs w:val="0"/>
                <w:color w:val="auto"/>
                <w:sz w:val="21"/>
                <w:szCs w:val="21"/>
                <w:lang w:val="en-US"/>
              </w:rPr>
              <w:t>2.人力资源和社会保障部门（或税务部门）出具的投标人202</w:t>
            </w:r>
            <w:r>
              <w:rPr>
                <w:rFonts w:hint="eastAsia" w:ascii="宋体" w:hAnsi="宋体" w:eastAsia="宋体" w:cs="宋体"/>
                <w:bCs w:val="0"/>
                <w:color w:val="auto"/>
                <w:sz w:val="21"/>
                <w:szCs w:val="21"/>
                <w:lang w:val="en-US" w:eastAsia="zh-CN"/>
              </w:rPr>
              <w:t>5</w:t>
            </w:r>
            <w:r>
              <w:rPr>
                <w:rFonts w:hint="eastAsia" w:ascii="宋体" w:hAnsi="宋体" w:eastAsia="宋体" w:cs="宋体"/>
                <w:bCs w:val="0"/>
                <w:color w:val="auto"/>
                <w:sz w:val="21"/>
                <w:szCs w:val="21"/>
                <w:lang w:val="en-US"/>
              </w:rPr>
              <w:t>年5月至202</w:t>
            </w:r>
            <w:r>
              <w:rPr>
                <w:rFonts w:hint="eastAsia" w:ascii="宋体" w:hAnsi="宋体" w:eastAsia="宋体" w:cs="宋体"/>
                <w:bCs w:val="0"/>
                <w:color w:val="auto"/>
                <w:sz w:val="21"/>
                <w:szCs w:val="21"/>
                <w:lang w:val="en-US" w:eastAsia="zh-CN"/>
              </w:rPr>
              <w:t>5</w:t>
            </w:r>
            <w:r>
              <w:rPr>
                <w:rFonts w:hint="eastAsia" w:ascii="宋体" w:hAnsi="宋体" w:eastAsia="宋体" w:cs="宋体"/>
                <w:bCs w:val="0"/>
                <w:color w:val="auto"/>
                <w:sz w:val="21"/>
                <w:szCs w:val="21"/>
                <w:lang w:val="en-US"/>
              </w:rPr>
              <w:t>年10月为其缴纳的社保证明</w:t>
            </w:r>
            <w:r>
              <w:rPr>
                <w:rFonts w:hint="eastAsia" w:ascii="宋体" w:hAnsi="宋体" w:eastAsia="宋体" w:cs="宋体"/>
                <w:bCs w:val="0"/>
                <w:color w:val="auto"/>
                <w:sz w:val="21"/>
                <w:szCs w:val="21"/>
                <w:lang w:val="en-US" w:eastAsia="zh-CN"/>
              </w:rPr>
              <w:t>扫描件。</w:t>
            </w:r>
          </w:p>
          <w:p w14:paraId="2494106C">
            <w:pPr>
              <w:pStyle w:val="4"/>
              <w:keepNext w:val="0"/>
              <w:keepLines w:val="0"/>
              <w:suppressLineNumbers w:val="0"/>
              <w:kinsoku/>
              <w:wordWrap/>
              <w:overflowPunct/>
              <w:topLinePunct w:val="0"/>
              <w:bidi w:val="0"/>
              <w:snapToGrid/>
              <w:spacing w:before="0" w:beforeAutospacing="0" w:afterAutospacing="0" w:line="360" w:lineRule="auto"/>
              <w:ind w:left="0" w:firstLine="0" w:firstLineChars="0"/>
              <w:rPr>
                <w:rFonts w:hint="eastAsia" w:ascii="宋体" w:hAnsi="宋体" w:eastAsia="宋体" w:cs="宋体"/>
                <w:sz w:val="21"/>
                <w:szCs w:val="21"/>
              </w:rPr>
            </w:pPr>
          </w:p>
        </w:tc>
      </w:tr>
      <w:tr w14:paraId="4C7497BF">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757C2E5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674" w:type="pct"/>
            <w:tcBorders>
              <w:top w:val="single" w:color="000000" w:sz="4" w:space="0"/>
              <w:left w:val="nil"/>
              <w:bottom w:val="single" w:color="000000" w:sz="4" w:space="0"/>
              <w:right w:val="single" w:color="000000" w:sz="4" w:space="0"/>
            </w:tcBorders>
            <w:vAlign w:val="center"/>
          </w:tcPr>
          <w:p w14:paraId="0CDEB7FF">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低压电工</w:t>
            </w:r>
          </w:p>
        </w:tc>
        <w:tc>
          <w:tcPr>
            <w:tcW w:w="433" w:type="pct"/>
            <w:tcBorders>
              <w:top w:val="single" w:color="000000" w:sz="4" w:space="0"/>
              <w:left w:val="nil"/>
              <w:bottom w:val="single" w:color="000000" w:sz="4" w:space="0"/>
              <w:right w:val="single" w:color="000000" w:sz="4" w:space="0"/>
            </w:tcBorders>
            <w:vAlign w:val="center"/>
          </w:tcPr>
          <w:p w14:paraId="16F376B2">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874" w:type="pct"/>
            <w:tcBorders>
              <w:top w:val="single" w:color="000000" w:sz="4" w:space="0"/>
              <w:left w:val="nil"/>
              <w:bottom w:val="single" w:color="000000" w:sz="4" w:space="0"/>
              <w:right w:val="single" w:color="000000" w:sz="4" w:space="0"/>
            </w:tcBorders>
            <w:vAlign w:val="center"/>
          </w:tcPr>
          <w:p w14:paraId="21E0E0C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47E5C4F5">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须提供人员证书及劳动合同（或劳务合同）</w:t>
            </w:r>
            <w:r>
              <w:rPr>
                <w:rFonts w:hint="eastAsia" w:ascii="宋体" w:hAnsi="宋体" w:eastAsia="宋体" w:cs="宋体"/>
                <w:color w:val="auto"/>
                <w:kern w:val="0"/>
                <w:sz w:val="21"/>
                <w:szCs w:val="21"/>
                <w:lang w:eastAsia="zh-CN"/>
              </w:rPr>
              <w:t>扫描件</w:t>
            </w:r>
          </w:p>
        </w:tc>
      </w:tr>
      <w:tr w14:paraId="3E62F023">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17CC3200">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674" w:type="pct"/>
            <w:tcBorders>
              <w:top w:val="single" w:color="000000" w:sz="4" w:space="0"/>
              <w:left w:val="nil"/>
              <w:bottom w:val="single" w:color="000000" w:sz="4" w:space="0"/>
              <w:right w:val="single" w:color="000000" w:sz="4" w:space="0"/>
            </w:tcBorders>
            <w:vAlign w:val="center"/>
          </w:tcPr>
          <w:p w14:paraId="1D9DF73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高压电工</w:t>
            </w:r>
          </w:p>
        </w:tc>
        <w:tc>
          <w:tcPr>
            <w:tcW w:w="433" w:type="pct"/>
            <w:tcBorders>
              <w:top w:val="single" w:color="000000" w:sz="4" w:space="0"/>
              <w:left w:val="nil"/>
              <w:bottom w:val="single" w:color="000000" w:sz="4" w:space="0"/>
              <w:right w:val="single" w:color="000000" w:sz="4" w:space="0"/>
            </w:tcBorders>
            <w:vAlign w:val="center"/>
          </w:tcPr>
          <w:p w14:paraId="59EAD3D1">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874" w:type="pct"/>
            <w:tcBorders>
              <w:top w:val="single" w:color="000000" w:sz="4" w:space="0"/>
              <w:left w:val="nil"/>
              <w:bottom w:val="single" w:color="000000" w:sz="4" w:space="0"/>
              <w:right w:val="single" w:color="000000" w:sz="4" w:space="0"/>
            </w:tcBorders>
            <w:vAlign w:val="center"/>
          </w:tcPr>
          <w:p w14:paraId="4B65B9C7">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5DC7E706">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须提供人员证书及劳动合同（或劳务合同）</w:t>
            </w:r>
            <w:r>
              <w:rPr>
                <w:rFonts w:hint="eastAsia" w:ascii="宋体" w:hAnsi="宋体" w:eastAsia="宋体" w:cs="宋体"/>
                <w:color w:val="auto"/>
                <w:kern w:val="0"/>
                <w:sz w:val="21"/>
                <w:szCs w:val="21"/>
                <w:lang w:eastAsia="zh-CN"/>
              </w:rPr>
              <w:t>扫描件</w:t>
            </w:r>
          </w:p>
        </w:tc>
      </w:tr>
      <w:tr w14:paraId="0A0C640B">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564A326B">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674" w:type="pct"/>
            <w:tcBorders>
              <w:top w:val="single" w:color="000000" w:sz="4" w:space="0"/>
              <w:left w:val="nil"/>
              <w:bottom w:val="single" w:color="000000" w:sz="4" w:space="0"/>
              <w:right w:val="single" w:color="000000" w:sz="4" w:space="0"/>
            </w:tcBorders>
            <w:vAlign w:val="center"/>
          </w:tcPr>
          <w:p w14:paraId="41B80419">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焊工</w:t>
            </w:r>
          </w:p>
        </w:tc>
        <w:tc>
          <w:tcPr>
            <w:tcW w:w="433" w:type="pct"/>
            <w:tcBorders>
              <w:top w:val="single" w:color="000000" w:sz="4" w:space="0"/>
              <w:left w:val="nil"/>
              <w:bottom w:val="single" w:color="000000" w:sz="4" w:space="0"/>
              <w:right w:val="single" w:color="000000" w:sz="4" w:space="0"/>
            </w:tcBorders>
            <w:vAlign w:val="center"/>
          </w:tcPr>
          <w:p w14:paraId="76CE3BF5">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874" w:type="pct"/>
            <w:tcBorders>
              <w:top w:val="single" w:color="000000" w:sz="4" w:space="0"/>
              <w:left w:val="nil"/>
              <w:bottom w:val="single" w:color="000000" w:sz="4" w:space="0"/>
              <w:right w:val="single" w:color="000000" w:sz="4" w:space="0"/>
            </w:tcBorders>
            <w:vAlign w:val="center"/>
          </w:tcPr>
          <w:p w14:paraId="546BBE75">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应急管理局或住建厅或国家质检总局下发的特种作业人员上岗证</w:t>
            </w:r>
          </w:p>
        </w:tc>
        <w:tc>
          <w:tcPr>
            <w:tcW w:w="1684" w:type="pct"/>
            <w:tcBorders>
              <w:top w:val="single" w:color="000000" w:sz="4" w:space="0"/>
              <w:left w:val="nil"/>
              <w:bottom w:val="single" w:color="000000" w:sz="4" w:space="0"/>
              <w:right w:val="single" w:color="000000" w:sz="4" w:space="0"/>
            </w:tcBorders>
            <w:vAlign w:val="center"/>
          </w:tcPr>
          <w:p w14:paraId="14EE6E6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须提供人员证书及劳动合同（或劳务合同）</w:t>
            </w:r>
            <w:r>
              <w:rPr>
                <w:rFonts w:hint="eastAsia" w:ascii="宋体" w:hAnsi="宋体" w:eastAsia="宋体" w:cs="宋体"/>
                <w:color w:val="auto"/>
                <w:kern w:val="0"/>
                <w:sz w:val="21"/>
                <w:szCs w:val="21"/>
                <w:lang w:eastAsia="zh-CN"/>
              </w:rPr>
              <w:t>扫描件</w:t>
            </w:r>
          </w:p>
        </w:tc>
      </w:tr>
      <w:tr w14:paraId="558DC277">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07E3CA3C">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674" w:type="pct"/>
            <w:tcBorders>
              <w:top w:val="single" w:color="000000" w:sz="4" w:space="0"/>
              <w:left w:val="nil"/>
              <w:bottom w:val="single" w:color="000000" w:sz="4" w:space="0"/>
              <w:right w:val="single" w:color="000000" w:sz="4" w:space="0"/>
            </w:tcBorders>
            <w:vAlign w:val="center"/>
          </w:tcPr>
          <w:p w14:paraId="76778336">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bCs/>
                <w:color w:val="auto"/>
                <w:kern w:val="0"/>
                <w:sz w:val="21"/>
                <w:szCs w:val="21"/>
              </w:rPr>
              <w:t>机电设备维修作业人员</w:t>
            </w:r>
          </w:p>
        </w:tc>
        <w:tc>
          <w:tcPr>
            <w:tcW w:w="433" w:type="pct"/>
            <w:tcBorders>
              <w:top w:val="single" w:color="000000" w:sz="4" w:space="0"/>
              <w:left w:val="nil"/>
              <w:bottom w:val="single" w:color="000000" w:sz="4" w:space="0"/>
              <w:right w:val="single" w:color="000000" w:sz="4" w:space="0"/>
            </w:tcBorders>
            <w:vAlign w:val="center"/>
          </w:tcPr>
          <w:p w14:paraId="57BF90B9">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874" w:type="pct"/>
            <w:tcBorders>
              <w:top w:val="single" w:color="000000" w:sz="4" w:space="0"/>
              <w:left w:val="nil"/>
              <w:bottom w:val="single" w:color="000000" w:sz="4" w:space="0"/>
              <w:right w:val="single" w:color="000000" w:sz="4" w:space="0"/>
            </w:tcBorders>
            <w:vAlign w:val="center"/>
          </w:tcPr>
          <w:p w14:paraId="21B0A14D">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身体健康，</w:t>
            </w:r>
            <w:r>
              <w:rPr>
                <w:rFonts w:hint="eastAsia" w:ascii="宋体" w:hAnsi="宋体" w:eastAsia="宋体" w:cs="宋体"/>
                <w:bCs/>
                <w:color w:val="auto"/>
                <w:sz w:val="21"/>
                <w:szCs w:val="21"/>
              </w:rPr>
              <w:t>具备相应的水泵、格栅机、闸门、管道维修的专业知识及技术水平。</w:t>
            </w:r>
          </w:p>
        </w:tc>
        <w:tc>
          <w:tcPr>
            <w:tcW w:w="1684" w:type="pct"/>
            <w:tcBorders>
              <w:top w:val="single" w:color="000000" w:sz="4" w:space="0"/>
              <w:left w:val="nil"/>
              <w:bottom w:val="single" w:color="000000" w:sz="4" w:space="0"/>
              <w:right w:val="single" w:color="000000" w:sz="4" w:space="0"/>
            </w:tcBorders>
            <w:vAlign w:val="center"/>
          </w:tcPr>
          <w:p w14:paraId="3F801B95">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提供劳动合同（或劳务合同）</w:t>
            </w:r>
          </w:p>
        </w:tc>
      </w:tr>
      <w:tr w14:paraId="395D41A9">
        <w:tblPrEx>
          <w:tblCellMar>
            <w:top w:w="0" w:type="dxa"/>
            <w:left w:w="0" w:type="dxa"/>
            <w:bottom w:w="0" w:type="dxa"/>
            <w:right w:w="0" w:type="dxa"/>
          </w:tblCellMar>
        </w:tblPrEx>
        <w:trPr>
          <w:trHeight w:val="383" w:hRule="atLeast"/>
          <w:jc w:val="center"/>
        </w:trPr>
        <w:tc>
          <w:tcPr>
            <w:tcW w:w="331" w:type="pct"/>
            <w:tcBorders>
              <w:top w:val="single" w:color="000000" w:sz="4" w:space="0"/>
              <w:left w:val="single" w:color="000000" w:sz="4" w:space="0"/>
              <w:bottom w:val="single" w:color="000000" w:sz="4" w:space="0"/>
              <w:right w:val="single" w:color="000000" w:sz="4" w:space="0"/>
            </w:tcBorders>
            <w:vAlign w:val="center"/>
          </w:tcPr>
          <w:p w14:paraId="3764B70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9</w:t>
            </w:r>
          </w:p>
        </w:tc>
        <w:tc>
          <w:tcPr>
            <w:tcW w:w="674" w:type="pct"/>
            <w:tcBorders>
              <w:top w:val="single" w:color="000000" w:sz="4" w:space="0"/>
              <w:left w:val="nil"/>
              <w:bottom w:val="single" w:color="000000" w:sz="4" w:space="0"/>
              <w:right w:val="single" w:color="000000" w:sz="4" w:space="0"/>
            </w:tcBorders>
            <w:vAlign w:val="center"/>
          </w:tcPr>
          <w:p w14:paraId="3130D12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潜水员</w:t>
            </w:r>
          </w:p>
        </w:tc>
        <w:tc>
          <w:tcPr>
            <w:tcW w:w="433" w:type="pct"/>
            <w:tcBorders>
              <w:top w:val="single" w:color="000000" w:sz="4" w:space="0"/>
              <w:left w:val="nil"/>
              <w:bottom w:val="single" w:color="000000" w:sz="4" w:space="0"/>
              <w:right w:val="single" w:color="000000" w:sz="4" w:space="0"/>
            </w:tcBorders>
            <w:vAlign w:val="center"/>
          </w:tcPr>
          <w:p w14:paraId="29909125">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874" w:type="pct"/>
            <w:tcBorders>
              <w:top w:val="single" w:color="000000" w:sz="4" w:space="0"/>
              <w:left w:val="nil"/>
              <w:bottom w:val="single" w:color="000000" w:sz="4" w:space="0"/>
              <w:right w:val="single" w:color="000000" w:sz="4" w:space="0"/>
            </w:tcBorders>
            <w:vAlign w:val="center"/>
          </w:tcPr>
          <w:p w14:paraId="394B9873">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具备中国潜水打捞行业协会或其他</w:t>
            </w:r>
            <w:r>
              <w:rPr>
                <w:rFonts w:hint="eastAsia" w:ascii="宋体" w:hAnsi="宋体" w:eastAsia="宋体" w:cs="宋体"/>
                <w:bCs/>
                <w:color w:val="auto"/>
                <w:kern w:val="0"/>
                <w:sz w:val="21"/>
                <w:szCs w:val="21"/>
              </w:rPr>
              <w:t>行业主管部门颁发的潜水员证书</w:t>
            </w:r>
          </w:p>
        </w:tc>
        <w:tc>
          <w:tcPr>
            <w:tcW w:w="1684" w:type="pct"/>
            <w:tcBorders>
              <w:top w:val="single" w:color="000000" w:sz="4" w:space="0"/>
              <w:left w:val="nil"/>
              <w:bottom w:val="single" w:color="000000" w:sz="4" w:space="0"/>
              <w:right w:val="single" w:color="000000" w:sz="4" w:space="0"/>
            </w:tcBorders>
            <w:vAlign w:val="center"/>
          </w:tcPr>
          <w:p w14:paraId="2852B319">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color w:val="auto"/>
                <w:kern w:val="0"/>
                <w:sz w:val="21"/>
                <w:szCs w:val="21"/>
                <w:lang w:eastAsia="zh-CN"/>
              </w:rPr>
            </w:pPr>
            <w:r>
              <w:rPr>
                <w:rFonts w:hint="eastAsia" w:ascii="宋体" w:hAnsi="宋体" w:eastAsia="宋体" w:cs="宋体"/>
                <w:bCs/>
                <w:color w:val="auto"/>
                <w:kern w:val="0"/>
                <w:sz w:val="21"/>
                <w:szCs w:val="21"/>
              </w:rPr>
              <w:t>须提供人员证书及劳动合同（或劳务合同）</w:t>
            </w:r>
            <w:r>
              <w:rPr>
                <w:rFonts w:hint="eastAsia" w:ascii="宋体" w:hAnsi="宋体" w:eastAsia="宋体" w:cs="宋体"/>
                <w:bCs/>
                <w:color w:val="auto"/>
                <w:kern w:val="0"/>
                <w:sz w:val="21"/>
                <w:szCs w:val="21"/>
                <w:lang w:eastAsia="zh-CN"/>
              </w:rPr>
              <w:t>扫描件</w:t>
            </w:r>
          </w:p>
        </w:tc>
      </w:tr>
    </w:tbl>
    <w:p w14:paraId="66B94691">
      <w:pPr>
        <w:pStyle w:val="7"/>
        <w:keepNext w:val="0"/>
        <w:keepLines w:val="0"/>
        <w:numPr>
          <w:ilvl w:val="255"/>
          <w:numId w:val="0"/>
        </w:numPr>
        <w:kinsoku/>
        <w:wordWrap/>
        <w:overflowPunct/>
        <w:topLinePunct w:val="0"/>
        <w:bidi w:val="0"/>
        <w:snapToGrid/>
        <w:spacing w:line="360" w:lineRule="auto"/>
        <w:ind w:firstLine="422"/>
        <w:rPr>
          <w:rFonts w:hint="eastAsia" w:ascii="宋体" w:hAnsi="宋体" w:eastAsia="宋体" w:cs="宋体"/>
          <w:b/>
          <w:bCs/>
          <w:color w:val="auto"/>
          <w:sz w:val="21"/>
          <w:szCs w:val="21"/>
        </w:rPr>
      </w:pPr>
    </w:p>
    <w:p w14:paraId="12CFA81E">
      <w:pPr>
        <w:pStyle w:val="7"/>
        <w:keepNext w:val="0"/>
        <w:keepLines w:val="0"/>
        <w:numPr>
          <w:ilvl w:val="0"/>
          <w:numId w:val="2"/>
        </w:numPr>
        <w:kinsoku/>
        <w:wordWrap/>
        <w:overflowPunct/>
        <w:topLinePunct w:val="0"/>
        <w:bidi w:val="0"/>
        <w:snapToGrid/>
        <w:spacing w:line="360" w:lineRule="auto"/>
        <w:ind w:firstLine="422"/>
        <w:rPr>
          <w:rFonts w:hint="eastAsia" w:ascii="宋体" w:hAnsi="宋体" w:eastAsia="宋体" w:cs="宋体"/>
          <w:b/>
          <w:bCs/>
          <w:color w:val="auto"/>
          <w:sz w:val="21"/>
          <w:szCs w:val="21"/>
        </w:rPr>
      </w:pPr>
      <w:r>
        <w:rPr>
          <w:rFonts w:hint="eastAsia" w:ascii="宋体" w:hAnsi="宋体" w:eastAsia="宋体" w:cs="宋体"/>
          <w:b/>
          <w:bCs/>
          <w:color w:val="auto"/>
          <w:sz w:val="21"/>
          <w:szCs w:val="21"/>
        </w:rPr>
        <w:t>从事有限空间作业的现场负责人</w:t>
      </w:r>
      <w:r>
        <w:rPr>
          <w:rFonts w:hint="eastAsia" w:ascii="宋体" w:hAnsi="宋体" w:eastAsia="宋体" w:cs="宋体"/>
          <w:sz w:val="21"/>
          <w:szCs w:val="21"/>
          <w:lang w:eastAsia="zh-CN"/>
        </w:rPr>
        <w:t>、</w:t>
      </w:r>
      <w:r>
        <w:rPr>
          <w:rFonts w:hint="eastAsia" w:ascii="宋体" w:hAnsi="宋体" w:eastAsia="宋体" w:cs="宋体"/>
          <w:b/>
          <w:bCs/>
          <w:color w:val="auto"/>
          <w:sz w:val="21"/>
          <w:szCs w:val="21"/>
        </w:rPr>
        <w:t>现场专职安全员及作业人员（含高低压电工、焊工、机电设备维修</w:t>
      </w:r>
      <w:r>
        <w:rPr>
          <w:rFonts w:hint="eastAsia" w:ascii="宋体" w:hAnsi="宋体" w:eastAsia="宋体" w:cs="宋体"/>
          <w:b/>
          <w:bCs/>
          <w:color w:val="auto"/>
          <w:sz w:val="21"/>
          <w:szCs w:val="21"/>
          <w:lang w:val="en-US" w:eastAsia="zh-CN"/>
        </w:rPr>
        <w:t>作业</w:t>
      </w:r>
      <w:r>
        <w:rPr>
          <w:rFonts w:hint="eastAsia" w:ascii="宋体" w:hAnsi="宋体" w:eastAsia="宋体" w:cs="宋体"/>
          <w:b/>
          <w:bCs/>
          <w:color w:val="auto"/>
          <w:sz w:val="21"/>
          <w:szCs w:val="21"/>
        </w:rPr>
        <w:t>人员、潜水员）须经市或省安全生产协会等相应资质的机构培训考核后持证上岗。</w:t>
      </w:r>
    </w:p>
    <w:p w14:paraId="26F5EFDE">
      <w:pPr>
        <w:pStyle w:val="7"/>
        <w:keepNext w:val="0"/>
        <w:keepLines w:val="0"/>
        <w:numPr>
          <w:ilvl w:val="0"/>
          <w:numId w:val="2"/>
        </w:numPr>
        <w:kinsoku/>
        <w:wordWrap/>
        <w:overflowPunct/>
        <w:topLinePunct w:val="0"/>
        <w:bidi w:val="0"/>
        <w:snapToGrid/>
        <w:spacing w:line="360" w:lineRule="auto"/>
        <w:ind w:firstLine="422"/>
        <w:rPr>
          <w:rFonts w:hint="eastAsia" w:ascii="宋体" w:hAnsi="宋体" w:eastAsia="宋体" w:cs="宋体"/>
          <w:b/>
          <w:bCs/>
          <w:color w:val="auto"/>
          <w:sz w:val="21"/>
          <w:szCs w:val="21"/>
        </w:rPr>
      </w:pPr>
      <w:r>
        <w:rPr>
          <w:rFonts w:hint="eastAsia" w:ascii="宋体" w:hAnsi="宋体" w:eastAsia="宋体" w:cs="宋体"/>
          <w:b/>
          <w:bCs/>
          <w:color w:val="auto"/>
          <w:sz w:val="21"/>
          <w:szCs w:val="21"/>
        </w:rPr>
        <w:t>从事潜水作业的作业人员（指潜水员）须持有中国潜水打捞行业协会或其他行业主管部门颁发的证书，经</w:t>
      </w:r>
      <w:r>
        <w:rPr>
          <w:rFonts w:hint="eastAsia" w:ascii="宋体" w:hAnsi="宋体" w:eastAsia="宋体" w:cs="宋体"/>
          <w:b/>
          <w:bCs/>
          <w:color w:val="auto"/>
          <w:sz w:val="21"/>
          <w:szCs w:val="21"/>
          <w:lang w:val="en-US" w:eastAsia="zh-CN"/>
        </w:rPr>
        <w:t>招标人</w:t>
      </w:r>
      <w:r>
        <w:rPr>
          <w:rFonts w:hint="eastAsia" w:ascii="宋体" w:hAnsi="宋体" w:eastAsia="宋体" w:cs="宋体"/>
          <w:b/>
          <w:bCs/>
          <w:color w:val="auto"/>
          <w:sz w:val="21"/>
          <w:szCs w:val="21"/>
        </w:rPr>
        <w:t>培训考核合格后方可入场作业。</w:t>
      </w:r>
    </w:p>
    <w:p w14:paraId="37F7367A">
      <w:pPr>
        <w:pStyle w:val="7"/>
        <w:keepNext w:val="0"/>
        <w:keepLines w:val="0"/>
        <w:kinsoku/>
        <w:wordWrap/>
        <w:overflowPunct/>
        <w:topLinePunct w:val="0"/>
        <w:bidi w:val="0"/>
        <w:snapToGrid/>
        <w:spacing w:line="360" w:lineRule="auto"/>
        <w:ind w:firstLine="422"/>
        <w:rPr>
          <w:rFonts w:hint="eastAsia" w:ascii="宋体" w:hAnsi="宋体" w:eastAsia="宋体" w:cs="宋体"/>
          <w:b/>
          <w:bCs/>
          <w:color w:val="auto"/>
          <w:sz w:val="21"/>
          <w:szCs w:val="21"/>
        </w:rPr>
      </w:pPr>
      <w:r>
        <w:rPr>
          <w:rFonts w:hint="eastAsia" w:ascii="宋体" w:hAnsi="宋体" w:eastAsia="宋体" w:cs="宋体"/>
          <w:b/>
          <w:bCs/>
          <w:color w:val="auto"/>
          <w:sz w:val="21"/>
          <w:szCs w:val="21"/>
        </w:rPr>
        <w:t>4. 投标人需具备相应的设备维修、物质存储条件，具有配套齐全的专业维修工器具，能开展大型潜污泵、格栅机、闸门等机电设备维修服务业务。</w:t>
      </w:r>
    </w:p>
    <w:p w14:paraId="35230BAB">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5. 现场负责人在单项项目实施期间必须全程驻场监督。管理人员在合同期间不得随意更换，如确需更换的，应书面向招标人申请，并征得招标人书面同意，方可更换。现场负责人及</w:t>
      </w:r>
      <w:r>
        <w:rPr>
          <w:rFonts w:hint="eastAsia" w:ascii="宋体" w:hAnsi="宋体" w:eastAsia="宋体" w:cs="宋体"/>
          <w:b/>
          <w:color w:val="auto"/>
          <w:kern w:val="0"/>
          <w:sz w:val="21"/>
          <w:szCs w:val="21"/>
          <w:lang w:val="en-US" w:eastAsia="zh-CN"/>
        </w:rPr>
        <w:t>现场专职</w:t>
      </w:r>
      <w:r>
        <w:rPr>
          <w:rFonts w:hint="eastAsia" w:ascii="宋体" w:hAnsi="宋体" w:eastAsia="宋体" w:cs="宋体"/>
          <w:b/>
          <w:color w:val="auto"/>
          <w:kern w:val="0"/>
          <w:sz w:val="21"/>
          <w:szCs w:val="21"/>
        </w:rPr>
        <w:t>安全员</w:t>
      </w:r>
      <w:r>
        <w:rPr>
          <w:rFonts w:hint="eastAsia" w:ascii="宋体" w:hAnsi="宋体" w:eastAsia="宋体" w:cs="宋体"/>
          <w:bCs/>
          <w:color w:val="auto"/>
          <w:sz w:val="21"/>
          <w:szCs w:val="21"/>
        </w:rPr>
        <w:t>为核心人员，必须接受招标人相关机电设备维修作业安全知识、风险识别、有限空间作业等培训及考核。</w:t>
      </w:r>
    </w:p>
    <w:p w14:paraId="124735FB">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6. 投标人派出的机电设备维修服务人员应具备相应的专业知识及技术水平，熟悉本服务项目设施和设备规格、技术指标及相关操作，有足够能力完成个单项项目的机电设备维修服务工作；投标人派出的作业人员必须持证上岗。</w:t>
      </w:r>
    </w:p>
    <w:p w14:paraId="1B3B7462">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7. 投标人应定期组织其所有服务人员参加相关安全培训（每三个月一次）、职业健康体检（每年一次），为其购买人身意外伤害保险（最低保额不低于100万元）。</w:t>
      </w:r>
    </w:p>
    <w:p w14:paraId="70132CB2">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8. 投标人应按要求为本项目购买安装工程一切险（根据工种定保险金额，最低保额不低于100万元），并在中标通知书发出之日一个月内（且在作业前）将相关资料报送招标人备案。如发生工伤事故，中标人自行完成保险理赔相关工作，超出赔偿的金额由中标人自行承担，招标人不承担任何赔偿责任，中标人不得以任何理由与招标人发生纠纷。</w:t>
      </w:r>
    </w:p>
    <w:p w14:paraId="0D8618C1">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9.本项目实行作业人员实名备案制，中标人需于合同签订后5日内将项目负责人、现场负责人、</w:t>
      </w:r>
      <w:r>
        <w:rPr>
          <w:rFonts w:hint="eastAsia" w:ascii="宋体" w:hAnsi="宋体" w:eastAsia="宋体" w:cs="宋体"/>
          <w:color w:val="auto"/>
          <w:kern w:val="0"/>
          <w:sz w:val="21"/>
          <w:szCs w:val="21"/>
          <w:lang w:val="en-US" w:eastAsia="zh-CN"/>
        </w:rPr>
        <w:t>现场专职</w:t>
      </w:r>
      <w:r>
        <w:rPr>
          <w:rFonts w:hint="eastAsia" w:ascii="宋体" w:hAnsi="宋体" w:eastAsia="宋体" w:cs="宋体"/>
          <w:color w:val="auto"/>
          <w:kern w:val="0"/>
          <w:sz w:val="21"/>
          <w:szCs w:val="21"/>
        </w:rPr>
        <w:t>安全员、资料员及投标文件中承诺配置的人员相关资料报送至招标人</w:t>
      </w:r>
      <w:r>
        <w:rPr>
          <w:rFonts w:hint="eastAsia" w:ascii="宋体" w:hAnsi="宋体" w:eastAsia="宋体" w:cs="宋体"/>
          <w:color w:val="auto"/>
          <w:sz w:val="21"/>
          <w:szCs w:val="21"/>
        </w:rPr>
        <w:t>以及</w:t>
      </w:r>
      <w:r>
        <w:rPr>
          <w:rFonts w:hint="eastAsia" w:ascii="宋体" w:hAnsi="宋体" w:eastAsia="宋体" w:cs="宋体"/>
          <w:bCs/>
          <w:color w:val="auto"/>
          <w:sz w:val="21"/>
          <w:szCs w:val="21"/>
        </w:rPr>
        <w:t>招标人委托的监督单位</w:t>
      </w:r>
      <w:r>
        <w:rPr>
          <w:rFonts w:hint="eastAsia" w:ascii="宋体" w:hAnsi="宋体" w:eastAsia="宋体" w:cs="宋体"/>
          <w:color w:val="auto"/>
          <w:kern w:val="0"/>
          <w:sz w:val="21"/>
          <w:szCs w:val="21"/>
        </w:rPr>
        <w:t>备案，合同签订后1个月内需首次更换的不进行处罚，更换人员的执业资格、职称等不得低于招标文件及投标文件的要求，更换后的人员须经招标人考核通过并批准同意。</w:t>
      </w:r>
    </w:p>
    <w:p w14:paraId="4D3F4E6C">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因中标人原因（含因不满足招标人要求而被要求更换的）对项目负责人进行更换的（不含合同签订后1个月内首次更换），中标人第一次更换项目负责人须向招标人支付违约金人民币5000元/人、第二次更换项目负责人须向招标人支付违约金人民币10000元/人、第三次更换项目负责人须向招标人支付违约金人民币20000元/人；招标人有权对项目负责人进行考核，如考核不合格的，中标人须于7日内更换项目负责人。项目负责人更换原则上不得超过3次（不含合同签订后1个月内首次更换），否则招标人有权单方面解除服务合同并没收履约担保。</w:t>
      </w:r>
    </w:p>
    <w:p w14:paraId="5E274BE9">
      <w:pPr>
        <w:keepNext w:val="0"/>
        <w:keepLines w:val="0"/>
        <w:kinsoku/>
        <w:wordWrap/>
        <w:overflowPunct/>
        <w:topLinePunct w:val="0"/>
        <w:bidi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11.因中标人原因（含因不满足招标人要求而被要求更换的）需对现场负责人、</w:t>
      </w:r>
      <w:r>
        <w:rPr>
          <w:rFonts w:hint="eastAsia" w:ascii="宋体" w:hAnsi="宋体" w:eastAsia="宋体" w:cs="宋体"/>
          <w:color w:val="auto"/>
          <w:kern w:val="0"/>
          <w:sz w:val="21"/>
          <w:szCs w:val="21"/>
          <w:lang w:val="en-US" w:eastAsia="zh-CN"/>
        </w:rPr>
        <w:t>现场专职</w:t>
      </w:r>
      <w:r>
        <w:rPr>
          <w:rFonts w:hint="eastAsia" w:ascii="宋体" w:hAnsi="宋体" w:eastAsia="宋体" w:cs="宋体"/>
          <w:color w:val="auto"/>
          <w:kern w:val="0"/>
          <w:sz w:val="21"/>
          <w:szCs w:val="21"/>
        </w:rPr>
        <w:t>安全员、资料员进行更换的（不含合同签订后1个月内首次更换），中标人第一次更换现场负责人、</w:t>
      </w:r>
      <w:r>
        <w:rPr>
          <w:rFonts w:hint="eastAsia" w:ascii="宋体" w:hAnsi="宋体" w:eastAsia="宋体" w:cs="宋体"/>
          <w:color w:val="auto"/>
          <w:kern w:val="0"/>
          <w:sz w:val="21"/>
          <w:szCs w:val="21"/>
          <w:lang w:val="en-US" w:eastAsia="zh-CN"/>
        </w:rPr>
        <w:t>现场专职</w:t>
      </w:r>
      <w:r>
        <w:rPr>
          <w:rFonts w:hint="eastAsia" w:ascii="宋体" w:hAnsi="宋体" w:eastAsia="宋体" w:cs="宋体"/>
          <w:color w:val="auto"/>
          <w:kern w:val="0"/>
          <w:sz w:val="21"/>
          <w:szCs w:val="21"/>
        </w:rPr>
        <w:t>安全员、资料员须向招标人支付违约金人民币1000元/人、第二次更换现场负责人、</w:t>
      </w:r>
      <w:r>
        <w:rPr>
          <w:rFonts w:hint="eastAsia" w:ascii="宋体" w:hAnsi="宋体" w:eastAsia="宋体" w:cs="宋体"/>
          <w:color w:val="auto"/>
          <w:kern w:val="0"/>
          <w:sz w:val="21"/>
          <w:szCs w:val="21"/>
          <w:lang w:val="en-US" w:eastAsia="zh-CN"/>
        </w:rPr>
        <w:t>现场专职</w:t>
      </w:r>
      <w:r>
        <w:rPr>
          <w:rFonts w:hint="eastAsia" w:ascii="宋体" w:hAnsi="宋体" w:eastAsia="宋体" w:cs="宋体"/>
          <w:color w:val="auto"/>
          <w:kern w:val="0"/>
          <w:sz w:val="21"/>
          <w:szCs w:val="21"/>
        </w:rPr>
        <w:t>安全员、资料员须向招标人支付违约金人民币2000元/人、第三次及后续更换现场负责人、</w:t>
      </w:r>
      <w:r>
        <w:rPr>
          <w:rFonts w:hint="eastAsia" w:ascii="宋体" w:hAnsi="宋体" w:eastAsia="宋体" w:cs="宋体"/>
          <w:color w:val="auto"/>
          <w:kern w:val="0"/>
          <w:sz w:val="21"/>
          <w:szCs w:val="21"/>
          <w:lang w:val="en-US" w:eastAsia="zh-CN"/>
        </w:rPr>
        <w:t>现场专职</w:t>
      </w:r>
      <w:r>
        <w:rPr>
          <w:rFonts w:hint="eastAsia" w:ascii="宋体" w:hAnsi="宋体" w:eastAsia="宋体" w:cs="宋体"/>
          <w:color w:val="auto"/>
          <w:kern w:val="0"/>
          <w:sz w:val="21"/>
          <w:szCs w:val="21"/>
        </w:rPr>
        <w:t>安全员、资料员须向招标人支付违约金人民币3000元/人。招标人有权对更换后的人员进行考核，如考核不合格的，中标人须于7日内再次更换人员。同一岗位更换超过5次（不含合同签订后1个月内首次更换，包含考核不合格的更换）的，招标人有权暂停向中标人派单1个月，且后续同一岗位每更换2次，招标人有权暂停向中标人派单1个月。</w:t>
      </w:r>
    </w:p>
    <w:p w14:paraId="42376667">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12.经招标人发现中标人备案的人员已不在此项目开展实际工作的，应及时报备更换名单（更换人员处罚按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（六）人员及其它配置要求</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第10、11条</w:t>
      </w:r>
      <w:r>
        <w:rPr>
          <w:rFonts w:hint="eastAsia" w:ascii="宋体" w:hAnsi="宋体" w:eastAsia="宋体" w:cs="宋体"/>
          <w:color w:val="auto"/>
          <w:kern w:val="0"/>
          <w:sz w:val="21"/>
          <w:szCs w:val="21"/>
        </w:rPr>
        <w:t>执行），没有及时报备更换名单的，每次发现罚款1000元/人。</w:t>
      </w:r>
    </w:p>
    <w:p w14:paraId="482A0DEF">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13.有下列情形之一的，中标人在收到招标人更换人员</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kern w:val="0"/>
          <w:sz w:val="21"/>
          <w:szCs w:val="21"/>
        </w:rPr>
        <w:t>要求后</w:t>
      </w:r>
      <w:r>
        <w:rPr>
          <w:rFonts w:hint="eastAsia" w:ascii="宋体" w:hAnsi="宋体" w:eastAsia="宋体" w:cs="宋体"/>
          <w:color w:val="auto"/>
          <w:kern w:val="0"/>
          <w:sz w:val="21"/>
          <w:szCs w:val="21"/>
          <w:lang w:val="en-US" w:eastAsia="zh-CN"/>
        </w:rPr>
        <w:t>须</w:t>
      </w:r>
      <w:r>
        <w:rPr>
          <w:rFonts w:hint="eastAsia" w:ascii="宋体" w:hAnsi="宋体" w:eastAsia="宋体" w:cs="宋体"/>
          <w:color w:val="auto"/>
          <w:kern w:val="0"/>
          <w:sz w:val="21"/>
          <w:szCs w:val="21"/>
        </w:rPr>
        <w:t>7</w:t>
      </w:r>
      <w:r>
        <w:rPr>
          <w:rFonts w:hint="eastAsia" w:ascii="宋体" w:hAnsi="宋体" w:eastAsia="宋体" w:cs="宋体"/>
          <w:color w:val="auto"/>
          <w:kern w:val="0"/>
          <w:sz w:val="21"/>
          <w:szCs w:val="21"/>
          <w:lang w:val="en-US" w:eastAsia="zh-CN"/>
        </w:rPr>
        <w:t>个自然日</w:t>
      </w:r>
      <w:r>
        <w:rPr>
          <w:rFonts w:hint="eastAsia" w:ascii="宋体" w:hAnsi="宋体" w:eastAsia="宋体" w:cs="宋体"/>
          <w:color w:val="auto"/>
          <w:kern w:val="0"/>
          <w:sz w:val="21"/>
          <w:szCs w:val="21"/>
        </w:rPr>
        <w:t>内无条件更换</w:t>
      </w:r>
      <w:r>
        <w:rPr>
          <w:rFonts w:hint="eastAsia" w:ascii="宋体" w:hAnsi="宋体" w:eastAsia="宋体" w:cs="宋体"/>
          <w:color w:val="auto"/>
          <w:kern w:val="0"/>
          <w:sz w:val="21"/>
          <w:szCs w:val="21"/>
          <w:lang w:val="en-US" w:eastAsia="zh-CN"/>
        </w:rPr>
        <w:t>成</w:t>
      </w:r>
      <w:r>
        <w:rPr>
          <w:rFonts w:hint="eastAsia" w:ascii="宋体" w:hAnsi="宋体" w:eastAsia="宋体" w:cs="宋体"/>
          <w:color w:val="auto"/>
          <w:kern w:val="0"/>
          <w:sz w:val="21"/>
          <w:szCs w:val="21"/>
        </w:rPr>
        <w:t>符合</w:t>
      </w:r>
      <w:r>
        <w:rPr>
          <w:rFonts w:hint="eastAsia" w:ascii="宋体" w:hAnsi="宋体" w:eastAsia="宋体" w:cs="宋体"/>
          <w:color w:val="auto"/>
          <w:kern w:val="0"/>
          <w:sz w:val="21"/>
          <w:szCs w:val="21"/>
          <w:lang w:val="en-US" w:eastAsia="zh-CN"/>
        </w:rPr>
        <w:t>招标人</w:t>
      </w:r>
      <w:r>
        <w:rPr>
          <w:rFonts w:hint="eastAsia" w:ascii="宋体" w:hAnsi="宋体" w:eastAsia="宋体" w:cs="宋体"/>
          <w:color w:val="auto"/>
          <w:kern w:val="0"/>
          <w:sz w:val="21"/>
          <w:szCs w:val="21"/>
        </w:rPr>
        <w:t>要求的相关人员：</w:t>
      </w:r>
    </w:p>
    <w:p w14:paraId="40CECBCD">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（1）严重过失行为的；</w:t>
      </w:r>
    </w:p>
    <w:p w14:paraId="16633244">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（2）有违法行为不能履行职责的；</w:t>
      </w:r>
    </w:p>
    <w:p w14:paraId="379759BC">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（3）涉嫌犯罪的；</w:t>
      </w:r>
    </w:p>
    <w:p w14:paraId="69BFCA3A">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（4）不能胜任岗位职责的；</w:t>
      </w:r>
    </w:p>
    <w:p w14:paraId="120EDC24">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（5）严重违反职业道德的；</w:t>
      </w:r>
    </w:p>
    <w:p w14:paraId="0520648D">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（6）2次（含）不通过招标人组织的专项考核（如有）的；</w:t>
      </w:r>
    </w:p>
    <w:p w14:paraId="249368A8">
      <w:pPr>
        <w:keepNext w:val="0"/>
        <w:keepLines w:val="0"/>
        <w:numPr>
          <w:ilvl w:val="255"/>
          <w:numId w:val="0"/>
        </w:numP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（7）其他招标人认为应当更换人员的情形。</w:t>
      </w:r>
    </w:p>
    <w:p w14:paraId="35D7A395">
      <w:pPr>
        <w:keepNext w:val="0"/>
        <w:keepLines w:val="0"/>
        <w:tabs>
          <w:tab w:val="left" w:pos="993"/>
        </w:tabs>
        <w:kinsoku/>
        <w:wordWrap/>
        <w:overflowPunct/>
        <w:topLinePunct w:val="0"/>
        <w:bidi w:val="0"/>
        <w:snapToGrid/>
        <w:spacing w:line="360" w:lineRule="auto"/>
        <w:ind w:firstLine="420" w:firstLineChars="200"/>
        <w:contextualSpacing/>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14.本服务实行项目黑名单制，列入黑名单的人员不得再参与招标人发起任何项目。</w:t>
      </w:r>
    </w:p>
    <w:p w14:paraId="6D0141CE">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15.在服务期内，招标人通过电子邮箱发送电子版项目承接确认协议书的方式通知投标人项目负责人，委派单项任务。</w:t>
      </w:r>
    </w:p>
    <w:p w14:paraId="1A2C02F9">
      <w:pPr>
        <w:pStyle w:val="7"/>
        <w:keepNext w:val="0"/>
        <w:keepLines w:val="0"/>
        <w:kinsoku/>
        <w:wordWrap/>
        <w:overflowPunct/>
        <w:topLinePunct w:val="0"/>
        <w:bidi w:val="0"/>
        <w:snapToGrid/>
        <w:spacing w:line="360" w:lineRule="auto"/>
        <w:ind w:left="48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（七）执行标准</w:t>
      </w:r>
    </w:p>
    <w:p w14:paraId="61F83163">
      <w:pPr>
        <w:keepNext w:val="0"/>
        <w:keepLines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本技术服务项目参照下列标准执行，如有更新版，投标人应按最新的版本执行。</w:t>
      </w:r>
    </w:p>
    <w:p w14:paraId="4D331AAE">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CJJ60-2011《城镇污水处理厂运行、维护及安全技术规程》</w:t>
      </w:r>
    </w:p>
    <w:p w14:paraId="5CCD0922">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CJJ68-2016《城镇排水管渠与泵站运行、维护及安全技术规程》</w:t>
      </w:r>
    </w:p>
    <w:p w14:paraId="1F6B8726">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GB50334-2017《城镇污水处理厂工程质量验收规范》</w:t>
      </w:r>
    </w:p>
    <w:p w14:paraId="410C3E6D">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JB/T7928-</w:t>
      </w:r>
      <w:r>
        <w:rPr>
          <w:rFonts w:hint="eastAsia" w:ascii="宋体" w:hAnsi="宋体" w:eastAsia="宋体" w:cs="宋体"/>
          <w:color w:val="auto"/>
          <w:sz w:val="21"/>
          <w:szCs w:val="21"/>
          <w:lang w:val="en-US" w:eastAsia="zh-CN"/>
        </w:rPr>
        <w:t>2014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工业阀门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供货要求》</w:t>
      </w:r>
    </w:p>
    <w:p w14:paraId="357C5BC7">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GB/T12220-20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5《工业阀门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标志》</w:t>
      </w:r>
    </w:p>
    <w:p w14:paraId="7CC3C70B">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CJ/T3006-1992《供水排水用铸铁闸门》</w:t>
      </w:r>
    </w:p>
    <w:p w14:paraId="571F85F9">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GB6067-2010《起重机械安全规程》</w:t>
      </w:r>
    </w:p>
    <w:p w14:paraId="696B7C4A">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w:t>
      </w:r>
      <w:r>
        <w:rPr>
          <w:rFonts w:hint="eastAsia" w:ascii="宋体" w:hAnsi="宋体" w:eastAsia="宋体" w:cs="宋体"/>
          <w:color w:val="auto"/>
          <w:sz w:val="21"/>
          <w:szCs w:val="21"/>
          <w:lang w:val="en-US" w:eastAsia="zh-CN"/>
        </w:rPr>
        <w:t>50205-2020</w:t>
      </w:r>
      <w:r>
        <w:rPr>
          <w:rFonts w:hint="eastAsia" w:ascii="宋体" w:hAnsi="宋体" w:eastAsia="宋体" w:cs="宋体"/>
          <w:color w:val="auto"/>
          <w:sz w:val="21"/>
          <w:szCs w:val="21"/>
        </w:rPr>
        <w:t>《钢结构工程施工及验收规范》</w:t>
      </w:r>
    </w:p>
    <w:p w14:paraId="3109DC6D">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SY</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J</w:t>
      </w:r>
      <w:r>
        <w:rPr>
          <w:rFonts w:hint="eastAsia" w:ascii="宋体" w:hAnsi="宋体" w:eastAsia="宋体" w:cs="宋体"/>
          <w:color w:val="auto"/>
          <w:sz w:val="21"/>
          <w:szCs w:val="21"/>
          <w:lang w:val="en-US" w:eastAsia="zh-CN"/>
        </w:rPr>
        <w:t xml:space="preserve"> 0</w:t>
      </w:r>
      <w:r>
        <w:rPr>
          <w:rFonts w:hint="eastAsia" w:ascii="宋体" w:hAnsi="宋体" w:eastAsia="宋体" w:cs="宋体"/>
          <w:color w:val="auto"/>
          <w:sz w:val="21"/>
          <w:szCs w:val="21"/>
        </w:rPr>
        <w:t>407</w:t>
      </w:r>
      <w:r>
        <w:rPr>
          <w:rFonts w:hint="eastAsia" w:ascii="宋体" w:hAnsi="宋体" w:eastAsia="宋体" w:cs="宋体"/>
          <w:color w:val="auto"/>
          <w:sz w:val="21"/>
          <w:szCs w:val="21"/>
          <w:lang w:val="en-US" w:eastAsia="zh-CN"/>
        </w:rPr>
        <w:t>-2024</w:t>
      </w:r>
      <w:r>
        <w:rPr>
          <w:rFonts w:hint="eastAsia" w:ascii="宋体" w:hAnsi="宋体" w:eastAsia="宋体" w:cs="宋体"/>
          <w:color w:val="auto"/>
          <w:sz w:val="21"/>
          <w:szCs w:val="21"/>
        </w:rPr>
        <w:t>《涂装前钢材表面处理规范》</w:t>
      </w:r>
    </w:p>
    <w:p w14:paraId="3084E0ED">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u w:val="none"/>
          <w:shd w:val="clear"/>
        </w:rPr>
        <w:fldChar w:fldCharType="begin"/>
      </w:r>
      <w:r>
        <w:rPr>
          <w:rFonts w:hint="eastAsia" w:ascii="宋体" w:hAnsi="宋体" w:eastAsia="宋体" w:cs="宋体"/>
          <w:i w:val="0"/>
          <w:iCs w:val="0"/>
          <w:caps w:val="0"/>
          <w:color w:val="auto"/>
          <w:spacing w:val="0"/>
          <w:sz w:val="21"/>
          <w:szCs w:val="21"/>
          <w:u w:val="none"/>
          <w:shd w:val="clear"/>
        </w:rPr>
        <w:instrText xml:space="preserve"> HYPERLINK "http://www.csres.com/detail/193338.html" \t "http://www.csres.com/_blank" </w:instrText>
      </w:r>
      <w:r>
        <w:rPr>
          <w:rFonts w:hint="eastAsia" w:ascii="宋体" w:hAnsi="宋体" w:eastAsia="宋体" w:cs="宋体"/>
          <w:i w:val="0"/>
          <w:iCs w:val="0"/>
          <w:caps w:val="0"/>
          <w:color w:val="auto"/>
          <w:spacing w:val="0"/>
          <w:sz w:val="21"/>
          <w:szCs w:val="21"/>
          <w:u w:val="none"/>
          <w:shd w:val="clear"/>
        </w:rPr>
        <w:fldChar w:fldCharType="separate"/>
      </w:r>
      <w:r>
        <w:rPr>
          <w:rFonts w:hint="eastAsia" w:ascii="宋体" w:hAnsi="宋体" w:eastAsia="宋体" w:cs="宋体"/>
          <w:i w:val="0"/>
          <w:iCs w:val="0"/>
          <w:caps w:val="0"/>
          <w:color w:val="auto"/>
          <w:spacing w:val="0"/>
          <w:sz w:val="21"/>
          <w:szCs w:val="21"/>
          <w:u w:val="none"/>
          <w:shd w:val="clear"/>
        </w:rPr>
        <w:t>GB/T 13384-2008</w:t>
      </w:r>
      <w:r>
        <w:rPr>
          <w:rFonts w:hint="eastAsia" w:ascii="宋体" w:hAnsi="宋体" w:eastAsia="宋体" w:cs="宋体"/>
          <w:i w:val="0"/>
          <w:iCs w:val="0"/>
          <w:caps w:val="0"/>
          <w:color w:val="auto"/>
          <w:spacing w:val="0"/>
          <w:sz w:val="21"/>
          <w:szCs w:val="21"/>
          <w:u w:val="none"/>
          <w:shd w:val="clear"/>
        </w:rPr>
        <w:fldChar w:fldCharType="end"/>
      </w:r>
      <w:r>
        <w:rPr>
          <w:rFonts w:hint="eastAsia" w:ascii="宋体" w:hAnsi="宋体" w:eastAsia="宋体" w:cs="宋体"/>
          <w:color w:val="auto"/>
          <w:sz w:val="21"/>
          <w:szCs w:val="21"/>
        </w:rPr>
        <w:t>《机电产品包装通用技术条件》</w:t>
      </w:r>
    </w:p>
    <w:p w14:paraId="68F53359">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rPr>
        <w:t>GB/T 3214-2007</w:t>
      </w:r>
      <w:r>
        <w:rPr>
          <w:rFonts w:hint="eastAsia" w:ascii="宋体" w:hAnsi="宋体" w:eastAsia="宋体" w:cs="宋体"/>
          <w:color w:val="auto"/>
          <w:sz w:val="21"/>
          <w:szCs w:val="21"/>
        </w:rPr>
        <w:t>《水泵流量的测定方法》</w:t>
      </w:r>
    </w:p>
    <w:p w14:paraId="52E2669C">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GB6414《铸件尺寸公差》</w:t>
      </w:r>
    </w:p>
    <w:p w14:paraId="23F38F1A">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YB3211《涂漆通用技术条件》</w:t>
      </w:r>
    </w:p>
    <w:p w14:paraId="350FDF34">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YB3214《包装通用技术条件》</w:t>
      </w:r>
    </w:p>
    <w:p w14:paraId="575A4243">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Cs w:val="21"/>
        </w:rPr>
        <w:t>GB/T 5226.1-2019《机械电气安全 机械电气设备 第1部分:通用技术条件》</w:t>
      </w:r>
    </w:p>
    <w:p w14:paraId="7CDE3EF8">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Cs w:val="21"/>
        </w:rPr>
        <w:t>GB/T 1804-2000</w:t>
      </w:r>
      <w:r>
        <w:rPr>
          <w:rFonts w:hint="eastAsia" w:ascii="宋体" w:hAnsi="宋体" w:eastAsia="宋体" w:cs="宋体"/>
          <w:color w:val="auto"/>
          <w:sz w:val="21"/>
          <w:szCs w:val="21"/>
        </w:rPr>
        <w:t>《</w:t>
      </w:r>
      <w:r>
        <w:rPr>
          <w:rFonts w:hint="eastAsia" w:ascii="宋体" w:hAnsi="宋体" w:eastAsia="宋体" w:cs="宋体"/>
          <w:color w:val="auto"/>
          <w:szCs w:val="21"/>
        </w:rPr>
        <w:t>一般公差 未注公差的线性和角度尺寸的公差</w:t>
      </w:r>
      <w:r>
        <w:rPr>
          <w:rFonts w:hint="eastAsia" w:ascii="宋体" w:hAnsi="宋体" w:eastAsia="宋体" w:cs="宋体"/>
          <w:color w:val="auto"/>
          <w:sz w:val="21"/>
          <w:szCs w:val="21"/>
        </w:rPr>
        <w:t>》</w:t>
      </w:r>
    </w:p>
    <w:p w14:paraId="62121A92">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9089.2-2023《户外严酷条件下的电气设施 第2部分：一般防护要求》</w:t>
      </w:r>
    </w:p>
    <w:p w14:paraId="0BB12D51">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CJ/T3035《城镇建设和建筑工业产品型号编制规则》</w:t>
      </w:r>
    </w:p>
    <w:p w14:paraId="65786485">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1176-2013《铸造铜及铜合金》</w:t>
      </w:r>
    </w:p>
    <w:p w14:paraId="42E4FF7F">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4942-2021《旋转电机整体结构的防护等级（IP代码） 分级》</w:t>
      </w:r>
    </w:p>
    <w:p w14:paraId="04C4600F">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GB/T13384-2008《机电产品包装通用技术条件》</w:t>
      </w:r>
    </w:p>
    <w:p w14:paraId="0D2D0726">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GB755《旋转电机基本技术条件》</w:t>
      </w:r>
    </w:p>
    <w:p w14:paraId="3E2982E2">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3216-2016《回转动力泵 水力性能验收试验 1级、2级和3级》</w:t>
      </w:r>
    </w:p>
    <w:p w14:paraId="36E6F607">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5013.2-2008《额定电压450/750V 及以下橡皮绝缘软电缆》</w:t>
      </w:r>
    </w:p>
    <w:p w14:paraId="31962AFA">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9439-2023《灰铸铁件》</w:t>
      </w:r>
    </w:p>
    <w:p w14:paraId="0AFBB121">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1220-2007《不锈钢棒》</w:t>
      </w:r>
    </w:p>
    <w:p w14:paraId="2BD45D4E">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1348-2019《球墨铸铁件》</w:t>
      </w:r>
    </w:p>
    <w:p w14:paraId="7DF9F9DF">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GB2556《一般用途管法兰密封面形状和尺寸》</w:t>
      </w:r>
    </w:p>
    <w:p w14:paraId="5E79F355">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GB2555《一般用途管法兰连接尺寸》</w:t>
      </w:r>
    </w:p>
    <w:p w14:paraId="204F2E30">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2828.1-2012《计数抽样检验程序 第1部分：按接收质量限(AQL)检索的逐批检验抽样计划》</w:t>
      </w:r>
    </w:p>
    <w:p w14:paraId="6399251F">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12785-2014《潜水电泵试验方法》</w:t>
      </w:r>
    </w:p>
    <w:p w14:paraId="41651378">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 191-2008《包装储运图</w:t>
      </w:r>
      <w:r>
        <w:rPr>
          <w:rFonts w:hint="eastAsia" w:ascii="宋体" w:hAnsi="宋体" w:eastAsia="宋体" w:cs="宋体"/>
          <w:color w:val="auto"/>
          <w:sz w:val="21"/>
          <w:szCs w:val="21"/>
          <w:lang w:val="en-US" w:eastAsia="zh-CN"/>
        </w:rPr>
        <w:t>示</w:t>
      </w:r>
      <w:r>
        <w:rPr>
          <w:rFonts w:hint="eastAsia" w:ascii="宋体" w:hAnsi="宋体" w:eastAsia="宋体" w:cs="宋体"/>
          <w:color w:val="auto"/>
          <w:sz w:val="21"/>
          <w:szCs w:val="21"/>
        </w:rPr>
        <w:t>标志》</w:t>
      </w:r>
    </w:p>
    <w:p w14:paraId="6DA66DF7">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GB/T22719.1-2008交流低压电机散嵌绕组匝间绝缘 第1部分：试验方法</w:t>
      </w:r>
    </w:p>
    <w:p w14:paraId="08B4268E">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GB/T22719.2-2008 交流低压电机散嵌绕组匝间绝缘 第2部分：试验限值</w:t>
      </w:r>
    </w:p>
    <w:p w14:paraId="52E0F0CD">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 18613-2020《电动机能效限定值及能效等级》</w:t>
      </w:r>
    </w:p>
    <w:p w14:paraId="27B05B88">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JB/T 8857-2011《离心式潜污泵》</w:t>
      </w:r>
    </w:p>
    <w:p w14:paraId="14C4B1B1">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ISO1217:2009《容积式压缩机—验收试验》</w:t>
      </w:r>
    </w:p>
    <w:p w14:paraId="00DCCD48">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JISB8341-1999《容积式压缩机—试验和检查方法》</w:t>
      </w:r>
    </w:p>
    <w:p w14:paraId="5F44F8F0">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JB/T 8941.1-2014《一般用途罗茨鼓风机 第1部分：技术条件》</w:t>
      </w:r>
    </w:p>
    <w:p w14:paraId="7F327E8F">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JB/T 8941.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-2014《一般用途罗茨鼓风机 第2部分：性能试验方法》</w:t>
      </w:r>
    </w:p>
    <w:p w14:paraId="6AAF4082">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GB12238-2008《法兰和对夹连接弹性密封蝶阀》</w:t>
      </w:r>
    </w:p>
    <w:p w14:paraId="3FCAF632">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GB/T13927-20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《工业阀门压力实验》</w:t>
      </w:r>
    </w:p>
    <w:p w14:paraId="2B0BDAD4">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GB12221-2005《金属阀门结构长度》</w:t>
      </w:r>
    </w:p>
    <w:p w14:paraId="2BB13A89">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《应急管理部办公厅关于印发《有限空间作业安全指导手册》和4个专题系列折页的通知（应急厅函〔2020〕299号）》</w:t>
      </w:r>
    </w:p>
    <w:p w14:paraId="366A7459">
      <w:pPr>
        <w:keepNext w:val="0"/>
        <w:keepLines w:val="0"/>
        <w:kinsoku/>
        <w:wordWrap/>
        <w:overflowPunct/>
        <w:topLinePunct w:val="0"/>
        <w:bidi w:val="0"/>
        <w:snapToGrid/>
        <w:spacing w:line="360" w:lineRule="auto"/>
        <w:ind w:firstLine="570"/>
        <w:rPr>
          <w:rFonts w:hint="eastAsia" w:ascii="宋体" w:hAnsi="宋体" w:eastAsia="宋体" w:cs="宋体"/>
          <w:color w:val="auto"/>
          <w:sz w:val="21"/>
          <w:szCs w:val="21"/>
        </w:rPr>
      </w:pPr>
      <w:r>
        <w:rPr>
          <w:rFonts w:hint="eastAsia" w:ascii="宋体" w:hAnsi="宋体" w:eastAsia="宋体" w:cs="宋体"/>
          <w:color w:val="auto"/>
          <w:sz w:val="21"/>
          <w:szCs w:val="21"/>
        </w:rPr>
        <w:t>本项目的技术要求按上述标准执行，招标人招标文件（含公告、《管理办法》、任务通知单等）或未明确的技术标准，严格按上述标准执行，服务期内如果上述标准有更新，则按更新后的版本执行。</w:t>
      </w:r>
    </w:p>
    <w:p w14:paraId="77875301">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lang w:val="en-US" w:eastAsia="zh-CN"/>
        </w:rPr>
      </w:pPr>
    </w:p>
    <w:p w14:paraId="3717ED98">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验收</w:t>
      </w:r>
    </w:p>
    <w:p w14:paraId="76BE40A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1.验收标准：按照</w:t>
      </w:r>
      <w:r>
        <w:rPr>
          <w:rFonts w:hint="eastAsia" w:ascii="宋体" w:hAnsi="宋体" w:eastAsia="宋体" w:cs="宋体"/>
          <w:bCs/>
          <w:color w:val="auto"/>
          <w:sz w:val="21"/>
          <w:szCs w:val="21"/>
          <w:lang w:eastAsia="zh-CN"/>
        </w:rPr>
        <w:t>单项</w:t>
      </w:r>
      <w:r>
        <w:rPr>
          <w:rFonts w:hint="eastAsia" w:ascii="宋体" w:hAnsi="宋体" w:eastAsia="宋体" w:cs="宋体"/>
          <w:bCs/>
          <w:color w:val="auto"/>
          <w:sz w:val="21"/>
          <w:szCs w:val="21"/>
        </w:rPr>
        <w:t>项目用户需求书技术要求及上述“执行标准”、委派项目专项技术要求等</w:t>
      </w:r>
      <w:r>
        <w:rPr>
          <w:rFonts w:hint="eastAsia" w:ascii="宋体" w:hAnsi="宋体" w:eastAsia="宋体" w:cs="宋体"/>
          <w:b/>
          <w:color w:val="auto"/>
          <w:sz w:val="21"/>
          <w:szCs w:val="21"/>
        </w:rPr>
        <w:t>进行</w:t>
      </w:r>
      <w:r>
        <w:rPr>
          <w:rFonts w:hint="eastAsia" w:ascii="宋体" w:hAnsi="宋体" w:eastAsia="宋体" w:cs="宋体"/>
          <w:bCs/>
          <w:color w:val="auto"/>
          <w:sz w:val="21"/>
          <w:szCs w:val="21"/>
        </w:rPr>
        <w:t>验收。</w:t>
      </w:r>
    </w:p>
    <w:p w14:paraId="19ACF89E">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验收合格后，验收报告、工程量清单由投标人、监理单位（如有）和招标人各方共同签字确认。验收不合格的，投标人应在招标人限定期限内完成整改，整改完成后通知招标人重新组织验收；投标人未能在限期内完成整改（含拒绝整改情形）或经整改仍不符合招标人要求的，招标人有权委托有资质的第三方进行处理，因此发生的费用由投标人承担，如因此导致招标人损失的，投标人还应承担全部赔偿责任。 </w:t>
      </w:r>
    </w:p>
    <w:p w14:paraId="75F98B7E">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3.投标人在服务过程中应按进度情况及时整理资料，项目完工后30个自然日内将合格的竣工和结算资料移交给招标人办理结算。</w:t>
      </w:r>
    </w:p>
    <w:p w14:paraId="46AF2E24">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p>
    <w:p w14:paraId="1849A8A3">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r>
        <w:rPr>
          <w:rFonts w:hint="eastAsia" w:ascii="宋体" w:hAnsi="宋体" w:eastAsia="宋体" w:cs="宋体"/>
          <w:b/>
          <w:color w:val="auto"/>
          <w:sz w:val="21"/>
          <w:szCs w:val="21"/>
        </w:rPr>
        <w:t>五、质保期</w:t>
      </w:r>
    </w:p>
    <w:p w14:paraId="60D21ED6">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1.质保期：除单项项目特别约定外，维修、技改等技术服务质保期一般在12个月（含）以内（具体以项目承接确认协议书要求为准），自各单项项目自验收合格之日起计算。</w:t>
      </w:r>
    </w:p>
    <w:p w14:paraId="1A2F927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2.设备拆卸、运输等无实际工程内容的技术服务不设质保期。</w:t>
      </w:r>
    </w:p>
    <w:p w14:paraId="5BFA1016">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质保期内，如所供零配件或维修技术服务发生故障，投标人应在接到招标人报修电话后2小时内予以响应，无偿承担一般设备故障维修，24小时内修复一般设备故障，48小时内不能维修的故障应及时以新零配件替换，48小时内必须排除一切故障（</w:t>
      </w:r>
      <w:r>
        <w:rPr>
          <w:rFonts w:hint="eastAsia" w:ascii="宋体" w:hAnsi="宋体" w:eastAsia="宋体" w:cs="宋体"/>
          <w:bCs/>
          <w:color w:val="auto"/>
          <w:sz w:val="21"/>
          <w:szCs w:val="21"/>
          <w:lang w:eastAsia="zh-CN"/>
        </w:rPr>
        <w:t>单项</w:t>
      </w:r>
      <w:r>
        <w:rPr>
          <w:rFonts w:hint="eastAsia" w:ascii="宋体" w:hAnsi="宋体" w:eastAsia="宋体" w:cs="宋体"/>
          <w:bCs/>
          <w:color w:val="auto"/>
          <w:sz w:val="21"/>
          <w:szCs w:val="21"/>
        </w:rPr>
        <w:t>项目用户需求书或任务通知单中另有要求的，按照要求执行）。否则招标人将自行采取必要的措施，包括委托第三方技术服务单位进行相应的技术服务，由此产生的风险和费用应由投标人承担。招标人有权从投标人未支付费用中抵扣或启用履约保证金，投标人不得对此有异议。</w:t>
      </w:r>
    </w:p>
    <w:p w14:paraId="2068A2AF">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4.质保期内，</w:t>
      </w:r>
      <w:r>
        <w:rPr>
          <w:rFonts w:hint="eastAsia" w:ascii="宋体" w:hAnsi="宋体" w:eastAsia="宋体" w:cs="宋体"/>
          <w:bCs/>
          <w:color w:val="auto"/>
          <w:sz w:val="21"/>
          <w:szCs w:val="21"/>
          <w:lang w:eastAsia="zh-CN"/>
        </w:rPr>
        <w:t>单项</w:t>
      </w:r>
      <w:r>
        <w:rPr>
          <w:rFonts w:hint="eastAsia" w:ascii="宋体" w:hAnsi="宋体" w:eastAsia="宋体" w:cs="宋体"/>
          <w:bCs/>
          <w:color w:val="auto"/>
          <w:sz w:val="21"/>
          <w:szCs w:val="21"/>
        </w:rPr>
        <w:t>维修项目返修原因是投标人自身维修质量造成的，</w:t>
      </w:r>
      <w:r>
        <w:rPr>
          <w:rFonts w:hint="eastAsia" w:ascii="宋体" w:hAnsi="宋体" w:eastAsia="宋体" w:cs="宋体"/>
          <w:bCs/>
          <w:color w:val="auto"/>
          <w:sz w:val="21"/>
          <w:szCs w:val="21"/>
          <w:lang w:eastAsia="zh-CN"/>
        </w:rPr>
        <w:t>单项</w:t>
      </w:r>
      <w:r>
        <w:rPr>
          <w:rFonts w:hint="eastAsia" w:ascii="宋体" w:hAnsi="宋体" w:eastAsia="宋体" w:cs="宋体"/>
          <w:bCs/>
          <w:color w:val="auto"/>
          <w:sz w:val="21"/>
          <w:szCs w:val="21"/>
        </w:rPr>
        <w:t>维修项目返修次数为1次</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，招标人有权对投标人扣除单项项目结算金额</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%；返修次数</w:t>
      </w:r>
      <w:r>
        <w:rPr>
          <w:rFonts w:hint="eastAsia" w:ascii="宋体" w:hAnsi="宋体" w:eastAsia="宋体" w:cs="宋体"/>
          <w:bCs/>
          <w:color w:val="auto"/>
          <w:sz w:val="21"/>
          <w:szCs w:val="21"/>
          <w:lang w:val="en-US" w:eastAsia="zh-CN"/>
        </w:rPr>
        <w:t>为</w:t>
      </w:r>
      <w:r>
        <w:rPr>
          <w:rFonts w:hint="eastAsia" w:ascii="宋体" w:hAnsi="宋体" w:eastAsia="宋体" w:cs="宋体"/>
          <w:bCs/>
          <w:color w:val="auto"/>
          <w:sz w:val="21"/>
          <w:szCs w:val="21"/>
        </w:rPr>
        <w:t>2次</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，招标人有权对投标人扣除单项项目结算金额5%；返修次数</w:t>
      </w:r>
      <w:r>
        <w:rPr>
          <w:rFonts w:hint="eastAsia" w:ascii="宋体" w:hAnsi="宋体" w:eastAsia="宋体" w:cs="宋体"/>
          <w:bCs/>
          <w:color w:val="auto"/>
          <w:sz w:val="21"/>
          <w:szCs w:val="21"/>
          <w:lang w:val="en-US" w:eastAsia="zh-CN"/>
        </w:rPr>
        <w:t>为</w:t>
      </w:r>
      <w:r>
        <w:rPr>
          <w:rFonts w:hint="eastAsia" w:ascii="宋体" w:hAnsi="宋体" w:eastAsia="宋体" w:cs="宋体"/>
          <w:bCs/>
          <w:color w:val="auto"/>
          <w:sz w:val="21"/>
          <w:szCs w:val="21"/>
        </w:rPr>
        <w:t>3次</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，招标人有权对投标人扣除单项项目结算金额8%；返修次数超过三次的，招标人有权直接停止投标人的承接业务资格。</w:t>
      </w:r>
    </w:p>
    <w:p w14:paraId="4B97CFE8">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5.</w:t>
      </w:r>
      <w:r>
        <w:rPr>
          <w:rFonts w:hint="eastAsia" w:ascii="宋体" w:hAnsi="宋体" w:eastAsia="宋体" w:cs="宋体"/>
          <w:color w:val="auto"/>
          <w:sz w:val="21"/>
          <w:szCs w:val="21"/>
        </w:rPr>
        <w:t>质保期内如出现返修，如返修原因经证实是投标人自身维修质量造成的，则质保期按修复后调试合格之日起重新计算质保期；如返修原因被证实不是投标人自身维修质量造成的，由招标人承担设备故障鉴定来回运输费及拆机费、维修费，投标人不能拒绝或怠于修复。</w:t>
      </w:r>
    </w:p>
    <w:p w14:paraId="2E27CB98">
      <w:pPr>
        <w:tabs>
          <w:tab w:val="left" w:pos="360"/>
          <w:tab w:val="left" w:pos="1418"/>
          <w:tab w:val="left" w:pos="4725"/>
        </w:tabs>
        <w:spacing w:line="360" w:lineRule="auto"/>
        <w:ind w:firstLine="424" w:firstLineChars="202"/>
        <w:contextualSpacing w:val="0"/>
        <w:rPr>
          <w:rFonts w:hint="eastAsia" w:ascii="宋体" w:hAnsi="宋体" w:eastAsia="宋体" w:cs="宋体"/>
          <w:b/>
          <w:color w:val="auto"/>
          <w:sz w:val="21"/>
          <w:szCs w:val="21"/>
        </w:rPr>
      </w:pPr>
      <w:r>
        <w:rPr>
          <w:rFonts w:hint="eastAsia" w:ascii="宋体" w:hAnsi="宋体" w:eastAsia="宋体" w:cs="宋体"/>
          <w:bCs/>
          <w:color w:val="auto"/>
          <w:sz w:val="21"/>
          <w:szCs w:val="21"/>
        </w:rPr>
        <w:t>6.维修报告（含返修）：设备维修出厂必须提供故障分析报告、维修报告、出厂检测报告。</w:t>
      </w:r>
    </w:p>
    <w:p w14:paraId="7FDD5E0C">
      <w:pPr>
        <w:pStyle w:val="7"/>
        <w:keepNext w:val="0"/>
        <w:keepLines w:val="0"/>
        <w:kinsoku/>
        <w:wordWrap/>
        <w:overflowPunct/>
        <w:topLinePunct w:val="0"/>
        <w:bidi w:val="0"/>
        <w:snapToGrid/>
        <w:spacing w:line="360" w:lineRule="auto"/>
        <w:ind w:left="420" w:leftChars="200" w:firstLine="0" w:firstLineChars="0"/>
        <w:rPr>
          <w:rFonts w:hint="eastAsia" w:ascii="宋体" w:hAnsi="宋体" w:eastAsia="宋体" w:cs="宋体"/>
          <w:b/>
          <w:color w:val="auto"/>
          <w:sz w:val="21"/>
          <w:szCs w:val="21"/>
        </w:rPr>
      </w:pPr>
    </w:p>
    <w:p w14:paraId="350E9FEC">
      <w:pPr>
        <w:pStyle w:val="7"/>
        <w:keepNext w:val="0"/>
        <w:keepLines w:val="0"/>
        <w:kinsoku/>
        <w:wordWrap/>
        <w:overflowPunct/>
        <w:topLinePunct w:val="0"/>
        <w:bidi w:val="0"/>
        <w:snapToGrid/>
        <w:spacing w:line="360" w:lineRule="auto"/>
        <w:ind w:left="420" w:leftChars="20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六、合同价（单项项目服务费）、结算及付款方式</w:t>
      </w:r>
    </w:p>
    <w:p w14:paraId="6F5AE855">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r>
        <w:rPr>
          <w:rFonts w:hint="eastAsia" w:ascii="宋体" w:hAnsi="宋体" w:eastAsia="宋体" w:cs="宋体"/>
          <w:b/>
          <w:color w:val="auto"/>
          <w:sz w:val="21"/>
          <w:szCs w:val="21"/>
        </w:rPr>
        <w:t>1.本采购项目按单</w:t>
      </w:r>
      <w:r>
        <w:rPr>
          <w:rFonts w:hint="eastAsia" w:ascii="宋体" w:hAnsi="宋体" w:eastAsia="宋体" w:cs="宋体"/>
          <w:b/>
          <w:color w:val="auto"/>
          <w:sz w:val="21"/>
          <w:szCs w:val="21"/>
          <w:lang w:val="en-US" w:eastAsia="zh-CN"/>
        </w:rPr>
        <w:t>项</w:t>
      </w:r>
      <w:r>
        <w:rPr>
          <w:rFonts w:hint="eastAsia" w:ascii="宋体" w:hAnsi="宋体" w:eastAsia="宋体" w:cs="宋体"/>
          <w:b/>
          <w:color w:val="auto"/>
          <w:sz w:val="21"/>
          <w:szCs w:val="21"/>
        </w:rPr>
        <w:t>项目进行结算、付款。</w:t>
      </w:r>
    </w:p>
    <w:p w14:paraId="48449BCB">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每个项目在实施完成经招标人（或下属子公司）验收合格后进行结算、付款。单项项目的承接以招标人（或下属子公司）承接确认协议书为准，招标人（或下属子公司）、投标人双方不再就单项项目签订单项合同，合同、</w:t>
      </w:r>
      <w:r>
        <w:rPr>
          <w:rFonts w:hint="eastAsia" w:ascii="宋体" w:hAnsi="宋体" w:eastAsia="宋体" w:cs="宋体"/>
          <w:color w:val="auto"/>
          <w:sz w:val="21"/>
          <w:szCs w:val="21"/>
        </w:rPr>
        <w:t>项目承接确认协议书</w:t>
      </w:r>
      <w:r>
        <w:rPr>
          <w:rFonts w:hint="eastAsia" w:ascii="宋体" w:hAnsi="宋体" w:eastAsia="宋体" w:cs="宋体"/>
          <w:bCs/>
          <w:color w:val="auto"/>
          <w:sz w:val="21"/>
          <w:szCs w:val="21"/>
        </w:rPr>
        <w:t>、单项项目用户需求书及现场工程量确认表、项目结算审核表等资料作为单项项目支付款项的依据（投标人请款时应提交作业前、作业中、作业后的现场照片，照片须为水印照片，并有对应的参照物）。每个单项项目在完成实施并经招标人（或下属子公司）及其委托的监理单位（如有）验收合格后进行结算、付款。</w:t>
      </w:r>
    </w:p>
    <w:p w14:paraId="6D1B1AA3">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r>
        <w:rPr>
          <w:rFonts w:hint="eastAsia" w:ascii="宋体" w:hAnsi="宋体" w:eastAsia="宋体" w:cs="宋体"/>
          <w:b/>
          <w:color w:val="auto"/>
          <w:sz w:val="21"/>
          <w:szCs w:val="21"/>
        </w:rPr>
        <w:t>2.单项项目服务费</w:t>
      </w:r>
    </w:p>
    <w:p w14:paraId="48CA1143">
      <w:pPr>
        <w:keepNext w:val="0"/>
        <w:keepLines w:val="0"/>
        <w:numPr>
          <w:ilvl w:val="255"/>
          <w:numId w:val="0"/>
        </w:numPr>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bCs/>
          <w:color w:val="auto"/>
          <w:sz w:val="21"/>
          <w:szCs w:val="21"/>
        </w:rPr>
        <w:t>（1）招标人（或下属子公司）发出单项项目承接确认协议书时，单项派单项目的暂定合同价=需求书预算工程量*综合单价*（1-固定下浮率5%）*（1+增值税税率）</w:t>
      </w:r>
      <w:r>
        <w:rPr>
          <w:rFonts w:hint="eastAsia" w:ascii="宋体" w:hAnsi="宋体" w:eastAsia="宋体" w:cs="宋体"/>
          <w:color w:val="auto"/>
          <w:sz w:val="21"/>
          <w:szCs w:val="21"/>
        </w:rPr>
        <w:t>，其中综合单价为不含税全费用综合单价，该价格确定方式及先后顺序为：</w:t>
      </w:r>
    </w:p>
    <w:p w14:paraId="68516C86">
      <w:pPr>
        <w:keepNext w:val="0"/>
        <w:keepLines w:val="0"/>
        <w:numPr>
          <w:ilvl w:val="255"/>
          <w:numId w:val="0"/>
        </w:numPr>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①机电清单库有清单单价的，按机电清单库清单单价执行；</w:t>
      </w:r>
    </w:p>
    <w:p w14:paraId="7D18B5BC">
      <w:pPr>
        <w:keepNext w:val="0"/>
        <w:keepLines w:val="0"/>
        <w:numPr>
          <w:ilvl w:val="255"/>
          <w:numId w:val="0"/>
        </w:numPr>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②机电清单库无相关清单的但有类似清单单价的，按类似清单单价考虑；</w:t>
      </w:r>
    </w:p>
    <w:p w14:paraId="527CD835">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③机电清单库无相关清单单价及无类似清单单价的，</w:t>
      </w:r>
      <w:r>
        <w:rPr>
          <w:rFonts w:hint="eastAsia" w:ascii="宋体" w:hAnsi="宋体" w:eastAsia="宋体" w:cs="宋体"/>
          <w:color w:val="auto"/>
          <w:sz w:val="21"/>
          <w:szCs w:val="21"/>
          <w:lang w:val="en-US" w:eastAsia="zh-CN"/>
        </w:rPr>
        <w:t>优先采用</w:t>
      </w:r>
      <w:r>
        <w:rPr>
          <w:rFonts w:hint="eastAsia" w:ascii="宋体" w:hAnsi="宋体" w:eastAsia="宋体" w:cs="宋体"/>
          <w:color w:val="auto"/>
          <w:sz w:val="21"/>
          <w:szCs w:val="21"/>
        </w:rPr>
        <w:t>结合建设工程定额计价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如无定额套价的再采用</w:t>
      </w:r>
      <w:r>
        <w:rPr>
          <w:rFonts w:hint="eastAsia" w:ascii="宋体" w:hAnsi="宋体" w:eastAsia="宋体" w:cs="宋体"/>
          <w:color w:val="auto"/>
          <w:sz w:val="21"/>
          <w:szCs w:val="21"/>
        </w:rPr>
        <w:t>市场价询价。</w:t>
      </w:r>
    </w:p>
    <w:p w14:paraId="639C1AE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2）单项项目结算价=实际完成工程量*综合单价*（1-固定下浮率5%）*（1+中标人实际提供的增值税税率），其中综合单价为不含税全费用综合单价，结算单价按常用清单库内清单单价，常用清单库中没有价格的，按如下方式及先后顺序进行确定：</w:t>
      </w:r>
    </w:p>
    <w:p w14:paraId="097BC7FC">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①机电清单库无相关清单的但有类似清单单价的，按类似清单单价考虑；</w:t>
      </w:r>
    </w:p>
    <w:p w14:paraId="3CB19E62">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②机电清单库无相关清单单价及无类似清单单价的，</w:t>
      </w:r>
      <w:r>
        <w:rPr>
          <w:rFonts w:hint="eastAsia" w:ascii="宋体" w:hAnsi="宋体" w:eastAsia="宋体" w:cs="宋体"/>
          <w:color w:val="auto"/>
          <w:sz w:val="21"/>
          <w:szCs w:val="21"/>
          <w:lang w:val="en-US" w:eastAsia="zh-CN"/>
        </w:rPr>
        <w:t>优先采用</w:t>
      </w:r>
      <w:r>
        <w:rPr>
          <w:rFonts w:hint="eastAsia" w:ascii="宋体" w:hAnsi="宋体" w:eastAsia="宋体" w:cs="宋体"/>
          <w:color w:val="auto"/>
          <w:sz w:val="21"/>
          <w:szCs w:val="21"/>
        </w:rPr>
        <w:t>结合建设工程定额进行套价，</w:t>
      </w:r>
      <w:r>
        <w:rPr>
          <w:rFonts w:hint="eastAsia" w:ascii="宋体" w:hAnsi="宋体" w:eastAsia="宋体" w:cs="宋体"/>
          <w:color w:val="auto"/>
          <w:sz w:val="21"/>
          <w:szCs w:val="21"/>
          <w:lang w:val="en-US" w:eastAsia="zh-CN"/>
        </w:rPr>
        <w:t>如</w:t>
      </w:r>
      <w:r>
        <w:rPr>
          <w:rFonts w:hint="eastAsia" w:ascii="宋体" w:hAnsi="宋体" w:eastAsia="宋体" w:cs="宋体"/>
          <w:color w:val="auto"/>
          <w:sz w:val="21"/>
          <w:szCs w:val="21"/>
        </w:rPr>
        <w:t>无定额套价的</w:t>
      </w:r>
      <w:r>
        <w:rPr>
          <w:rFonts w:hint="eastAsia" w:ascii="宋体" w:hAnsi="宋体" w:eastAsia="宋体" w:cs="宋体"/>
          <w:color w:val="auto"/>
          <w:sz w:val="21"/>
          <w:szCs w:val="21"/>
          <w:lang w:val="en-US" w:eastAsia="zh-CN"/>
        </w:rPr>
        <w:t>再</w:t>
      </w:r>
      <w:r>
        <w:rPr>
          <w:rFonts w:hint="eastAsia" w:ascii="宋体" w:hAnsi="宋体" w:eastAsia="宋体" w:cs="宋体"/>
          <w:color w:val="auto"/>
          <w:sz w:val="21"/>
          <w:szCs w:val="21"/>
        </w:rPr>
        <w:t xml:space="preserve">采用市场询价，由招标人、投标人双方各自在广材网、慧讯网等网站上进行询价，如双方所询价造成单项清单单价价差在招标人询价结果的15%以内的，以招标人询价结果为准；若单项清单单价价差在招标人询价结果的15%以外的，双方扩大询价范围协商确定综合单价。 </w:t>
      </w:r>
    </w:p>
    <w:p w14:paraId="3728CB5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color w:val="auto"/>
          <w:sz w:val="21"/>
          <w:szCs w:val="21"/>
        </w:rPr>
        <w:t>机电清单库内包含的</w:t>
      </w:r>
      <w:r>
        <w:rPr>
          <w:rFonts w:hint="eastAsia" w:ascii="宋体" w:hAnsi="宋体" w:eastAsia="宋体" w:cs="宋体"/>
          <w:bCs/>
          <w:color w:val="auto"/>
          <w:sz w:val="21"/>
          <w:szCs w:val="21"/>
        </w:rPr>
        <w:t>清单单价，包含设备及所需附件、包装、运输、安装调试、销项税额以外的税费、资料、质保期内维修及项目管理人员、</w:t>
      </w:r>
      <w:r>
        <w:rPr>
          <w:rFonts w:hint="eastAsia" w:ascii="宋体" w:hAnsi="宋体" w:eastAsia="宋体" w:cs="宋体"/>
          <w:bCs/>
          <w:color w:val="auto"/>
          <w:szCs w:val="21"/>
        </w:rPr>
        <w:t>现场专职安全员</w:t>
      </w:r>
      <w:r>
        <w:rPr>
          <w:rFonts w:hint="eastAsia" w:ascii="宋体" w:hAnsi="宋体" w:eastAsia="宋体" w:cs="宋体"/>
          <w:bCs/>
          <w:color w:val="auto"/>
          <w:sz w:val="21"/>
          <w:szCs w:val="21"/>
        </w:rPr>
        <w:t>、资料员、作业人员的人工成本等的全部费用，具体以</w:t>
      </w:r>
      <w:r>
        <w:rPr>
          <w:rFonts w:hint="eastAsia" w:ascii="宋体" w:hAnsi="宋体" w:eastAsia="宋体" w:cs="宋体"/>
          <w:bCs/>
          <w:color w:val="auto"/>
          <w:sz w:val="21"/>
          <w:szCs w:val="21"/>
          <w:lang w:eastAsia="zh-CN"/>
        </w:rPr>
        <w:t>单项</w:t>
      </w:r>
      <w:r>
        <w:rPr>
          <w:rFonts w:hint="eastAsia" w:ascii="宋体" w:hAnsi="宋体" w:eastAsia="宋体" w:cs="宋体"/>
          <w:bCs/>
          <w:color w:val="auto"/>
          <w:sz w:val="21"/>
          <w:szCs w:val="21"/>
        </w:rPr>
        <w:t>项目用户需求书要求为准。增值税由招标人承担，依法计算增值税销项税额。在合同履行过程中，税收政策变动导致增值税税率调整，依法应调整销项税额的，依法调整。但因投标人未按合同约定期限完工、未根据合同约定提供合法、完整的请款资料、服务成果不符合招标人要求导致的返工等原因导致销项税额增加的，相应损失由投标人承担。</w:t>
      </w:r>
    </w:p>
    <w:p w14:paraId="1680EB2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4.有限空间作业相关费用结算规则：</w:t>
      </w:r>
    </w:p>
    <w:p w14:paraId="2F97913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①单项派单机电维修项目≥10万元以上，涉及有限空间作业的部分人工费按清单单价作为包干价进行结算，按《东莞市水务集团管网有限公司有限空间作业安全管理实施细则》要求配置人员</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现场负责人、</w:t>
      </w:r>
      <w:r>
        <w:rPr>
          <w:rFonts w:hint="eastAsia" w:ascii="宋体" w:hAnsi="宋体" w:eastAsia="宋体" w:cs="宋体"/>
          <w:bCs/>
          <w:color w:val="auto"/>
          <w:szCs w:val="21"/>
        </w:rPr>
        <w:t>现场专职安全员</w:t>
      </w:r>
      <w:r>
        <w:rPr>
          <w:rFonts w:hint="eastAsia" w:ascii="宋体" w:hAnsi="宋体" w:eastAsia="宋体" w:cs="宋体"/>
          <w:bCs/>
          <w:color w:val="auto"/>
          <w:sz w:val="21"/>
          <w:szCs w:val="21"/>
        </w:rPr>
        <w:t>、作业</w:t>
      </w:r>
      <w:r>
        <w:rPr>
          <w:rFonts w:hint="eastAsia" w:ascii="宋体" w:hAnsi="宋体" w:eastAsia="宋体" w:cs="宋体"/>
          <w:bCs/>
          <w:color w:val="auto"/>
          <w:sz w:val="21"/>
          <w:szCs w:val="21"/>
          <w:lang w:val="en-US" w:eastAsia="zh-CN"/>
        </w:rPr>
        <w:t>人员</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的人工费不进行单独计费。</w:t>
      </w:r>
    </w:p>
    <w:p w14:paraId="3B2A33DC">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②单</w:t>
      </w:r>
      <w:r>
        <w:rPr>
          <w:rFonts w:hint="eastAsia" w:ascii="宋体" w:hAnsi="宋体" w:eastAsia="宋体" w:cs="宋体"/>
          <w:bCs/>
          <w:color w:val="auto"/>
          <w:sz w:val="21"/>
          <w:szCs w:val="21"/>
          <w:lang w:val="en-US" w:eastAsia="zh-CN"/>
        </w:rPr>
        <w:t>项</w:t>
      </w:r>
      <w:r>
        <w:rPr>
          <w:rFonts w:hint="eastAsia" w:ascii="宋体" w:hAnsi="宋体" w:eastAsia="宋体" w:cs="宋体"/>
          <w:bCs/>
          <w:color w:val="auto"/>
          <w:sz w:val="21"/>
          <w:szCs w:val="21"/>
        </w:rPr>
        <w:t>派单机电维修项目＜10万元以下的，涉及有限空间作业部分按《东莞市水务集团管网有限公司有限空间作业安全管理实施细则》要求配置人员的人工费按实际发生的工种</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仅限</w:t>
      </w:r>
      <w:r>
        <w:rPr>
          <w:rFonts w:hint="eastAsia" w:ascii="宋体" w:hAnsi="宋体" w:eastAsia="宋体" w:cs="宋体"/>
          <w:bCs/>
          <w:color w:val="auto"/>
          <w:szCs w:val="21"/>
        </w:rPr>
        <w:t>现场专职安全员</w:t>
      </w:r>
      <w:r>
        <w:rPr>
          <w:rFonts w:hint="eastAsia" w:ascii="宋体" w:hAnsi="宋体" w:eastAsia="宋体" w:cs="宋体"/>
          <w:bCs/>
          <w:color w:val="auto"/>
          <w:sz w:val="21"/>
          <w:szCs w:val="21"/>
        </w:rPr>
        <w:t>、作业人员</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计日工台班进行单独计费；不涉及有限空间作业的部分按清单价结算，不单独按计日工台班计价。</w:t>
      </w:r>
    </w:p>
    <w:p w14:paraId="3A25D7F7">
      <w:pPr>
        <w:tabs>
          <w:tab w:val="left" w:pos="360"/>
          <w:tab w:val="left" w:pos="1418"/>
          <w:tab w:val="left" w:pos="4725"/>
        </w:tabs>
        <w:spacing w:line="360" w:lineRule="auto"/>
        <w:ind w:right="-28" w:firstLine="424" w:firstLineChars="202"/>
        <w:jc w:val="left"/>
        <w:rPr>
          <w:rFonts w:hint="eastAsia" w:ascii="宋体" w:hAnsi="宋体" w:eastAsia="宋体" w:cs="宋体"/>
          <w:b w:val="0"/>
          <w:bCs/>
          <w:color w:val="auto"/>
          <w:sz w:val="21"/>
          <w:szCs w:val="21"/>
          <w:lang w:val="en-US"/>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涉及人员及机械台班结算规则：</w:t>
      </w:r>
      <w:r>
        <w:rPr>
          <w:rFonts w:hint="eastAsia" w:ascii="宋体" w:hAnsi="宋体" w:eastAsia="宋体" w:cs="宋体"/>
          <w:b w:val="0"/>
          <w:bCs/>
          <w:color w:val="auto"/>
          <w:sz w:val="21"/>
          <w:szCs w:val="21"/>
          <w:lang w:val="en-US"/>
        </w:rPr>
        <w:t>1个台班按8小时计算，每次发生时间≤4小时按0.5个台班进行计算，超过4个小时且不满8个小时按1个台班计算。</w:t>
      </w:r>
    </w:p>
    <w:p w14:paraId="6359655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6.</w:t>
      </w:r>
      <w:r>
        <w:rPr>
          <w:rFonts w:hint="eastAsia" w:ascii="宋体" w:hAnsi="宋体" w:eastAsia="宋体" w:cs="宋体"/>
          <w:b/>
          <w:color w:val="auto"/>
          <w:sz w:val="21"/>
          <w:szCs w:val="21"/>
        </w:rPr>
        <w:t>付款方式：</w:t>
      </w:r>
    </w:p>
    <w:p w14:paraId="640EDB47">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bCs/>
          <w:color w:val="auto"/>
          <w:sz w:val="21"/>
          <w:szCs w:val="21"/>
        </w:rPr>
      </w:pPr>
      <w:r>
        <w:rPr>
          <w:rFonts w:hint="eastAsia" w:ascii="宋体" w:hAnsi="宋体" w:eastAsia="宋体" w:cs="宋体"/>
          <w:b/>
          <w:bCs/>
          <w:color w:val="auto"/>
          <w:sz w:val="21"/>
          <w:szCs w:val="21"/>
        </w:rPr>
        <w:t>（1）进度款：</w:t>
      </w:r>
    </w:p>
    <w:p w14:paraId="7CD34542">
      <w:pPr>
        <w:keepNext w:val="0"/>
        <w:keepLines w:val="0"/>
        <w:tabs>
          <w:tab w:val="left" w:pos="360"/>
          <w:tab w:val="left" w:pos="1418"/>
          <w:tab w:val="left" w:pos="4725"/>
        </w:tabs>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①单项项目合同价10万元（不含）以下的，不设进度款。</w:t>
      </w:r>
    </w:p>
    <w:p w14:paraId="6495B165">
      <w:pPr>
        <w:keepNext w:val="0"/>
        <w:keepLines w:val="0"/>
        <w:tabs>
          <w:tab w:val="left" w:pos="360"/>
          <w:tab w:val="left" w:pos="1418"/>
          <w:tab w:val="left" w:pos="4725"/>
        </w:tabs>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单项项目合同价10万元（含）以上的：项目完成50%，支付至不超预算价的20%；项目完成80%，支付至不超预算价的50%；项目完工后，支付至不超预算价的80%。中标人请款时必须将真实有效的工人工资支付情况报表上报招标人，否则将暂停支付项目款。项目进度款支付至80%时，中标人应全额支付完工人工资。</w:t>
      </w:r>
    </w:p>
    <w:p w14:paraId="4D27F94E">
      <w:pPr>
        <w:keepNext w:val="0"/>
        <w:keepLines w:val="0"/>
        <w:tabs>
          <w:tab w:val="left" w:pos="360"/>
          <w:tab w:val="left" w:pos="1418"/>
          <w:tab w:val="left" w:pos="4725"/>
        </w:tabs>
        <w:kinsoku/>
        <w:wordWrap/>
        <w:overflowPunct/>
        <w:topLinePunct w:val="0"/>
        <w:bidi w:val="0"/>
        <w:snapToGrid/>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（2）结算款：</w:t>
      </w:r>
    </w:p>
    <w:p w14:paraId="65A74F19">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①</w:t>
      </w:r>
      <w:r>
        <w:rPr>
          <w:rFonts w:hint="eastAsia" w:ascii="宋体" w:hAnsi="宋体" w:eastAsia="宋体" w:cs="宋体"/>
          <w:bCs/>
          <w:color w:val="auto"/>
          <w:sz w:val="21"/>
          <w:szCs w:val="21"/>
        </w:rPr>
        <w:t>有质保期的</w:t>
      </w:r>
      <w:r>
        <w:rPr>
          <w:rFonts w:hint="eastAsia" w:ascii="宋体" w:hAnsi="宋体" w:eastAsia="宋体" w:cs="宋体"/>
          <w:bCs/>
          <w:color w:val="auto"/>
          <w:sz w:val="21"/>
          <w:szCs w:val="21"/>
          <w:lang w:val="en-US" w:eastAsia="zh-CN"/>
        </w:rPr>
        <w:t>单项</w:t>
      </w:r>
      <w:r>
        <w:rPr>
          <w:rFonts w:hint="eastAsia" w:ascii="宋体" w:hAnsi="宋体" w:eastAsia="宋体" w:cs="宋体"/>
          <w:bCs/>
          <w:color w:val="auto"/>
          <w:sz w:val="21"/>
          <w:szCs w:val="21"/>
        </w:rPr>
        <w:t>项目，</w:t>
      </w:r>
      <w:r>
        <w:rPr>
          <w:rFonts w:hint="eastAsia" w:ascii="宋体" w:hAnsi="宋体" w:eastAsia="宋体" w:cs="宋体"/>
          <w:color w:val="auto"/>
          <w:sz w:val="21"/>
          <w:szCs w:val="21"/>
          <w:lang w:eastAsia="zh-CN"/>
        </w:rPr>
        <w:t>单项</w:t>
      </w:r>
      <w:r>
        <w:rPr>
          <w:rFonts w:hint="eastAsia" w:ascii="宋体" w:hAnsi="宋体" w:eastAsia="宋体" w:cs="宋体"/>
          <w:color w:val="auto"/>
          <w:sz w:val="21"/>
          <w:szCs w:val="21"/>
        </w:rPr>
        <w:t>项目结算价不超过10万元（不含10万元），在项目完成实施、验收及结算后，中标人可申请支付至100%的结算价</w:t>
      </w:r>
      <w:r>
        <w:rPr>
          <w:rFonts w:hint="eastAsia" w:ascii="宋体" w:hAnsi="宋体" w:eastAsia="宋体" w:cs="宋体"/>
          <w:bCs/>
          <w:color w:val="auto"/>
          <w:sz w:val="21"/>
          <w:szCs w:val="21"/>
        </w:rPr>
        <w:t>款</w:t>
      </w:r>
      <w:r>
        <w:rPr>
          <w:rFonts w:hint="eastAsia" w:ascii="宋体" w:hAnsi="宋体" w:eastAsia="宋体" w:cs="宋体"/>
          <w:color w:val="auto"/>
          <w:sz w:val="21"/>
          <w:szCs w:val="21"/>
        </w:rPr>
        <w:t>，</w:t>
      </w:r>
      <w:r>
        <w:rPr>
          <w:rFonts w:hint="eastAsia" w:ascii="宋体" w:hAnsi="宋体" w:eastAsia="宋体" w:cs="宋体"/>
          <w:bCs/>
          <w:color w:val="auto"/>
          <w:sz w:val="21"/>
          <w:szCs w:val="21"/>
        </w:rPr>
        <w:t>招标人一次性完成支付</w:t>
      </w:r>
      <w:r>
        <w:rPr>
          <w:rFonts w:hint="eastAsia" w:ascii="宋体" w:hAnsi="宋体" w:eastAsia="宋体" w:cs="宋体"/>
          <w:color w:val="auto"/>
          <w:sz w:val="21"/>
          <w:szCs w:val="21"/>
        </w:rPr>
        <w:t>，质保期内中标人未履行中标人保修义务的，招标人按照相关违约条款追究中标人违约责任；</w:t>
      </w:r>
    </w:p>
    <w:p w14:paraId="20F289A5">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color w:val="auto"/>
          <w:sz w:val="21"/>
          <w:szCs w:val="21"/>
        </w:rPr>
        <w:t>②</w:t>
      </w:r>
      <w:r>
        <w:rPr>
          <w:rFonts w:hint="eastAsia" w:ascii="宋体" w:hAnsi="宋体" w:eastAsia="宋体" w:cs="宋体"/>
          <w:bCs/>
          <w:color w:val="auto"/>
          <w:sz w:val="21"/>
          <w:szCs w:val="21"/>
        </w:rPr>
        <w:t>有质保期的技术服务项目，</w:t>
      </w:r>
      <w:r>
        <w:rPr>
          <w:rFonts w:hint="eastAsia" w:ascii="宋体" w:hAnsi="宋体" w:eastAsia="宋体" w:cs="宋体"/>
          <w:color w:val="auto"/>
          <w:sz w:val="21"/>
          <w:szCs w:val="21"/>
          <w:lang w:eastAsia="zh-CN"/>
        </w:rPr>
        <w:t>单项</w:t>
      </w:r>
      <w:r>
        <w:rPr>
          <w:rFonts w:hint="eastAsia" w:ascii="宋体" w:hAnsi="宋体" w:eastAsia="宋体" w:cs="宋体"/>
          <w:color w:val="auto"/>
          <w:sz w:val="21"/>
          <w:szCs w:val="21"/>
        </w:rPr>
        <w:t>项目结算价超过10万元（含10万元）的，在项目完成实施、验收及结算后，</w:t>
      </w:r>
      <w:r>
        <w:rPr>
          <w:rFonts w:hint="eastAsia" w:ascii="宋体" w:hAnsi="宋体" w:eastAsia="宋体" w:cs="宋体"/>
          <w:bCs/>
          <w:color w:val="auto"/>
          <w:sz w:val="21"/>
          <w:szCs w:val="21"/>
        </w:rPr>
        <w:t>招标人一次性支付给中标人95%的结算价款，结算价款的5%作为质保金，在质保期满时，无存在质量问题且中标人无违约行为的，由中标人提交请款报告后，招标人一次性支付质保金。</w:t>
      </w:r>
    </w:p>
    <w:p w14:paraId="4542B5A6">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color w:val="auto"/>
          <w:sz w:val="21"/>
          <w:szCs w:val="21"/>
        </w:rPr>
        <w:t>③</w:t>
      </w:r>
      <w:r>
        <w:rPr>
          <w:rFonts w:hint="eastAsia" w:ascii="宋体" w:hAnsi="宋体" w:eastAsia="宋体" w:cs="宋体"/>
          <w:bCs/>
          <w:color w:val="auto"/>
          <w:sz w:val="21"/>
          <w:szCs w:val="21"/>
        </w:rPr>
        <w:t>不设质保期的技术服务项目，</w:t>
      </w:r>
      <w:r>
        <w:rPr>
          <w:rFonts w:hint="eastAsia" w:ascii="宋体" w:hAnsi="宋体" w:eastAsia="宋体" w:cs="宋体"/>
          <w:color w:val="auto"/>
          <w:sz w:val="21"/>
          <w:szCs w:val="21"/>
        </w:rPr>
        <w:t>在项目完成实施、验收及结算后</w:t>
      </w:r>
      <w:r>
        <w:rPr>
          <w:rFonts w:hint="eastAsia" w:ascii="宋体" w:hAnsi="宋体" w:eastAsia="宋体" w:cs="宋体"/>
          <w:bCs/>
          <w:color w:val="auto"/>
          <w:sz w:val="21"/>
          <w:szCs w:val="21"/>
        </w:rPr>
        <w:t>，招标人一次性支付全部结算价款至中标人。</w:t>
      </w:r>
    </w:p>
    <w:p w14:paraId="2BD3C31D">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7.招标人在收到中标人递交的符合招标人结算标准的结算资料后，将在15个工作日内完成审查工作，并出具项目结算审核书。</w:t>
      </w:r>
    </w:p>
    <w:p w14:paraId="0167D025">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8.中标人对招标人出具的结算审核书应在3个工作日内给予确认或者提出修改意见。经监理单位（如有）及招标人核实后，根据结算审核书确认的金额按合同约定支付合同价税。</w:t>
      </w:r>
    </w:p>
    <w:p w14:paraId="564CD5CE">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7.每个项目完成结算审核工作，中标人接收到招标人通知后，需在7个工作日内提交等额有效的增值税专用发票给招标人付款。中标人延迟提交发票或提交发票不符合招标人要求的，招标人有权顺延付款时间而不承担任何违约责任。</w:t>
      </w:r>
    </w:p>
    <w:p w14:paraId="34138679">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9.如中标人存在以下行为的，招标人有权启动单方结算程序，中标人对此表示同意且无异议：</w:t>
      </w:r>
    </w:p>
    <w:p w14:paraId="54662A67">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（1）中标人由于自身原因在项目竣工验收后，未在规定时限内（完工后2个月）提交结算资料，且经招标人2次（含）催促（不限于发函、约谈等）</w:t>
      </w:r>
      <w:r>
        <w:rPr>
          <w:rFonts w:hint="eastAsia" w:ascii="宋体" w:hAnsi="宋体" w:eastAsia="宋体" w:cs="宋体"/>
          <w:bCs/>
          <w:color w:val="auto"/>
          <w:kern w:val="0"/>
          <w:sz w:val="21"/>
          <w:szCs w:val="21"/>
        </w:rPr>
        <w:t>仍未能提交符合要求的资料</w:t>
      </w:r>
      <w:r>
        <w:rPr>
          <w:rFonts w:hint="eastAsia" w:ascii="宋体" w:hAnsi="宋体" w:eastAsia="宋体" w:cs="宋体"/>
          <w:bCs/>
          <w:color w:val="auto"/>
          <w:sz w:val="21"/>
          <w:szCs w:val="21"/>
        </w:rPr>
        <w:t>的。</w:t>
      </w:r>
    </w:p>
    <w:p w14:paraId="703D8D39">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（2）招标人结算审核后发出征求意见稿，中标人由于自身原因在规定时限内（3个工作日）不对初步审核结果提出反馈意见且经招标人1次（含）催促（不限于发函、约谈等）仍未反馈意见的。</w:t>
      </w:r>
    </w:p>
    <w:p w14:paraId="6006069C">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（3）中标人对招标人的审核结果有异议但不能提出有效依据，未在规定时限内（3个工作日）且经招标人1次（含）催促（不限于发函、约谈等）仍未确认的。</w:t>
      </w:r>
    </w:p>
    <w:p w14:paraId="6680CFD1">
      <w:pPr>
        <w:pStyle w:val="4"/>
        <w:keepNext w:val="0"/>
        <w:keepLines w:val="0"/>
        <w:kinsoku/>
        <w:wordWrap/>
        <w:overflowPunct/>
        <w:topLinePunct w:val="0"/>
        <w:bidi w:val="0"/>
        <w:snapToGrid/>
        <w:spacing w:line="360" w:lineRule="auto"/>
        <w:ind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（4）中标人收到招标人补资料通知后3个工作日内补齐，否则按原送审资料进行审核结算，如若遇特殊情况需要后补，由中标人出具情况说明并经招标人确认。</w:t>
      </w:r>
    </w:p>
    <w:p w14:paraId="6AB047AA">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p>
    <w:p w14:paraId="35D688A2">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r>
        <w:rPr>
          <w:rFonts w:hint="eastAsia" w:ascii="宋体" w:hAnsi="宋体" w:eastAsia="宋体" w:cs="宋体"/>
          <w:b/>
          <w:color w:val="auto"/>
          <w:sz w:val="21"/>
          <w:szCs w:val="21"/>
        </w:rPr>
        <w:t>七、转包和分包</w:t>
      </w:r>
    </w:p>
    <w:p w14:paraId="49F49B35">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1.禁止转包与分包。</w:t>
      </w:r>
    </w:p>
    <w:p w14:paraId="0F7512F2">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明确承诺，未经招标人书面同意，不得将本合同项下的任何工作全部或部分转包、分包或以任何形式委托第三方完成。以下情况不视为转包或分包：为履行合同所必需，且已获得招标人事先书面批准的第三方出具报告、成果资料或进行的特定作业（例如潜水人员作业）。</w:t>
      </w:r>
    </w:p>
    <w:p w14:paraId="3F018B8A">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不得采取任何手段，包括但不限于将全部机电设备维修项目分解为若干部分后，以分包名义分别转包给第三方。特别是涉及现场施工的危险作业，如格栅机及闸门的安装与维修等，投标人必须自行完成，不得转包或分包。</w:t>
      </w:r>
    </w:p>
    <w:p w14:paraId="3A91E1F8">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若招标人发现投标人存在未经许可的转包、分包或委托第三方行为，招标人有权采取以下措施，并要求投标人在规定时间内纠正：（1） 发出整改通知；（2） 发出警告函；（3） 安排约谈；（4） 其他招标人认为必要的措施。</w:t>
      </w:r>
    </w:p>
    <w:p w14:paraId="3EF882FB">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若投标人未能按照招标人的要求在规定时间内纠正上述行为，招标人有权取消投标人的中标资格、单方面解除本合同，并没收投标人的履约保证金。投标人对此不持任何异议，并同意承担因此产生的一切后果。</w:t>
      </w:r>
    </w:p>
    <w:p w14:paraId="4751673B">
      <w:pPr>
        <w:keepNext w:val="0"/>
        <w:keepLines w:val="0"/>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投标人确认，本合同项下的任何未经许可的转包、分包或委托第三方行为均视为严重违约，招标人有权根据本合同条款采取相应的违约责任措施。</w:t>
      </w:r>
    </w:p>
    <w:p w14:paraId="5388D4D8">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转包的定义。转包是指中标人承包机电设备维修服务项目后，不履行合同约定的责任和义务，将其承包的全部机电设备维修服务项目或者将其承包的全部机电设备维修服务项目肢解后以分包的名义分别转给其他单位或个人施工的行为。</w:t>
      </w:r>
    </w:p>
    <w:p w14:paraId="322234AA">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3.转包的主要表现形式。存在下列情形之一的，应当认定为转包，但有证据证明属于挂靠或者其他违法行为的除外：</w:t>
      </w:r>
    </w:p>
    <w:p w14:paraId="3909E1BD">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（1）中标人将其承包的全部机电设备维修服务项目转给其他单位（包括母公司承接机电设备维修服务项目后将所机电设备维修服务项目交由具有独立法人资格的子公司施工的情形）或个人施工的；</w:t>
      </w:r>
    </w:p>
    <w:p w14:paraId="057E6C94">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（2）中标人未派驻项目负责人、现场负责人、</w:t>
      </w:r>
      <w:r>
        <w:rPr>
          <w:rFonts w:hint="eastAsia" w:ascii="宋体" w:hAnsi="宋体" w:eastAsia="宋体" w:cs="宋体"/>
          <w:color w:val="auto"/>
          <w:kern w:val="0"/>
          <w:szCs w:val="21"/>
        </w:rPr>
        <w:t>现场专职安全员</w:t>
      </w:r>
      <w:r>
        <w:rPr>
          <w:rFonts w:hint="eastAsia" w:ascii="宋体" w:hAnsi="宋体" w:eastAsia="宋体" w:cs="宋体"/>
          <w:color w:val="auto"/>
          <w:kern w:val="0"/>
          <w:sz w:val="21"/>
          <w:szCs w:val="21"/>
        </w:rPr>
        <w:t>、资料员等主要管理人员，或派驻的项目负责人、现场负责人、</w:t>
      </w:r>
      <w:r>
        <w:rPr>
          <w:rFonts w:hint="eastAsia" w:ascii="宋体" w:hAnsi="宋体" w:eastAsia="宋体" w:cs="宋体"/>
          <w:color w:val="auto"/>
          <w:kern w:val="0"/>
          <w:szCs w:val="21"/>
        </w:rPr>
        <w:t>现场专职安全员</w:t>
      </w:r>
      <w:r>
        <w:rPr>
          <w:rFonts w:hint="eastAsia" w:ascii="宋体" w:hAnsi="宋体" w:eastAsia="宋体" w:cs="宋体"/>
          <w:color w:val="auto"/>
          <w:kern w:val="0"/>
          <w:sz w:val="21"/>
          <w:szCs w:val="21"/>
        </w:rPr>
        <w:t>、资料员中一人及以上与中标人没有订立劳动合同且没有建立劳动工资和社会养老保险关系，或派驻的项目负责人未对该机电设备维修服务项目的施工活动进行组织管理，又不能进行合理解释并提供相应证明的；</w:t>
      </w:r>
    </w:p>
    <w:p w14:paraId="1D75ADEA">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合同约定由中标人负责采购的主要材料、构配件及设备或租赁的施工机械设备，由其他单位或个人采购、租赁，或中标人不能提供有关采购、租赁合同及发票等证明，又不能进行合理解释并提供相应证明的；</w:t>
      </w:r>
    </w:p>
    <w:p w14:paraId="01BD190D">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（4）专业作业承包人承包的范围是中标人承包的全部机电设备维修服务项目，专业作业承包人计取的是除上缴给承包单位“管理费”之外的全部机电设备维修服务项目价款的；</w:t>
      </w:r>
    </w:p>
    <w:p w14:paraId="02280C9C">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（5）中标人通过采取合作、联营、个人承包等形式或名义，直接或变相将其承包的全部机电设备维修服务项目转给其他单位或个人施工的；</w:t>
      </w:r>
    </w:p>
    <w:p w14:paraId="15A761E0">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（6）专业作业的发包单位不是中标人的，但招标人依约作为发包单位的除外；</w:t>
      </w:r>
    </w:p>
    <w:p w14:paraId="0C23F14F">
      <w:pPr>
        <w:keepNext w:val="0"/>
        <w:keepLines w:val="0"/>
        <w:kinsoku/>
        <w:wordWrap/>
        <w:overflowPunct/>
        <w:topLinePunct w:val="0"/>
        <w:autoSpaceDE w:val="0"/>
        <w:autoSpaceDN w:val="0"/>
        <w:bidi w:val="0"/>
        <w:adjustRightInd w:val="0"/>
        <w:snapToGrid/>
        <w:spacing w:line="360" w:lineRule="auto"/>
        <w:ind w:firstLine="420" w:firstLineChars="200"/>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（7）中标人与专业作业承包人之间没有款项收付关系，或者中标人收到款项后又将款项转拨给其他单位和个人，又不能进行合理解释并提供材料证明的。</w:t>
      </w:r>
    </w:p>
    <w:p w14:paraId="5C060D2C">
      <w:pPr>
        <w:keepNext w:val="0"/>
        <w:keepLines w:val="0"/>
        <w:kinsoku/>
        <w:wordWrap/>
        <w:overflowPunct/>
        <w:topLinePunct w:val="0"/>
        <w:bidi w:val="0"/>
        <w:snapToGrid/>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rPr>
        <w:t>4.经核实发现中标人存在转包的，招标人有权</w:t>
      </w:r>
      <w:r>
        <w:rPr>
          <w:rFonts w:hint="eastAsia" w:ascii="宋体" w:hAnsi="宋体" w:eastAsia="宋体" w:cs="宋体"/>
          <w:color w:val="auto"/>
          <w:sz w:val="21"/>
          <w:szCs w:val="21"/>
        </w:rPr>
        <w:t>单方解除服务合同，没收履约担保，追讨有关损失并将中标人列入</w:t>
      </w:r>
      <w:r>
        <w:rPr>
          <w:rFonts w:hint="eastAsia" w:ascii="宋体" w:hAnsi="宋体" w:eastAsia="宋体" w:cs="宋体"/>
          <w:sz w:val="21"/>
          <w:szCs w:val="21"/>
          <w:lang w:val="en-US" w:eastAsia="zh-CN"/>
        </w:rPr>
        <w:t>招标人</w:t>
      </w:r>
      <w:r>
        <w:rPr>
          <w:rFonts w:hint="eastAsia" w:ascii="宋体" w:hAnsi="宋体" w:eastAsia="宋体" w:cs="宋体"/>
          <w:color w:val="auto"/>
          <w:sz w:val="21"/>
          <w:szCs w:val="21"/>
        </w:rPr>
        <w:t>履约黑名单，</w:t>
      </w:r>
      <w:r>
        <w:rPr>
          <w:rFonts w:hint="eastAsia" w:ascii="宋体" w:hAnsi="宋体" w:eastAsia="宋体" w:cs="宋体"/>
          <w:bCs/>
          <w:color w:val="auto"/>
          <w:sz w:val="21"/>
          <w:szCs w:val="21"/>
        </w:rPr>
        <w:t>列入黑名单的不得再参与招标人发起任何项目</w:t>
      </w:r>
      <w:r>
        <w:rPr>
          <w:rFonts w:hint="eastAsia" w:ascii="宋体" w:hAnsi="宋体" w:eastAsia="宋体" w:cs="宋体"/>
          <w:color w:val="auto"/>
          <w:kern w:val="0"/>
          <w:sz w:val="21"/>
          <w:szCs w:val="21"/>
        </w:rPr>
        <w:t>。</w:t>
      </w:r>
    </w:p>
    <w:p w14:paraId="58FF0FFD">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p>
    <w:p w14:paraId="3266D014">
      <w:pPr>
        <w:keepNext w:val="0"/>
        <w:keepLines w:val="0"/>
        <w:tabs>
          <w:tab w:val="left" w:pos="360"/>
          <w:tab w:val="left" w:pos="1418"/>
          <w:tab w:val="left" w:pos="4725"/>
        </w:tabs>
        <w:kinsoku/>
        <w:wordWrap/>
        <w:overflowPunct/>
        <w:topLinePunct w:val="0"/>
        <w:bidi w:val="0"/>
        <w:snapToGrid/>
        <w:spacing w:line="360" w:lineRule="auto"/>
        <w:ind w:firstLine="426" w:firstLineChars="202"/>
        <w:rPr>
          <w:rFonts w:hint="eastAsia" w:ascii="宋体" w:hAnsi="宋体" w:eastAsia="宋体" w:cs="宋体"/>
          <w:b/>
          <w:color w:val="auto"/>
          <w:sz w:val="21"/>
          <w:szCs w:val="21"/>
        </w:rPr>
      </w:pPr>
      <w:r>
        <w:rPr>
          <w:rFonts w:hint="eastAsia" w:ascii="宋体" w:hAnsi="宋体" w:eastAsia="宋体" w:cs="宋体"/>
          <w:b/>
          <w:color w:val="auto"/>
          <w:sz w:val="21"/>
          <w:szCs w:val="21"/>
        </w:rPr>
        <w:t>八、其它</w:t>
      </w:r>
    </w:p>
    <w:p w14:paraId="4EE994A3">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1.如果中标人被停止派单或解除合同时，则该</w:t>
      </w:r>
      <w:r>
        <w:rPr>
          <w:rFonts w:hint="eastAsia" w:ascii="宋体" w:hAnsi="宋体" w:eastAsia="宋体" w:cs="宋体"/>
          <w:bCs/>
          <w:color w:val="auto"/>
          <w:sz w:val="21"/>
          <w:szCs w:val="21"/>
          <w:lang w:eastAsia="zh-CN"/>
        </w:rPr>
        <w:t>标段</w:t>
      </w:r>
      <w:r>
        <w:rPr>
          <w:rFonts w:hint="eastAsia" w:ascii="宋体" w:hAnsi="宋体" w:eastAsia="宋体" w:cs="宋体"/>
          <w:bCs/>
          <w:color w:val="auto"/>
          <w:sz w:val="21"/>
          <w:szCs w:val="21"/>
        </w:rPr>
        <w:t>的机电维修任务由招标人按照相关流程委托其他服务单位承接，直至该中标人恢复接单资格。</w:t>
      </w:r>
    </w:p>
    <w:p w14:paraId="4EBF9C15">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bidi="ar"/>
        </w:rPr>
        <w:t>在委托服务过程中，招标人有权对投标人承接各个维修项目实施情况从响应、服务和质量安全方面进行</w:t>
      </w:r>
      <w:r>
        <w:rPr>
          <w:rFonts w:hint="eastAsia" w:ascii="宋体" w:hAnsi="宋体" w:eastAsia="宋体" w:cs="宋体"/>
          <w:bCs/>
          <w:color w:val="auto"/>
          <w:sz w:val="21"/>
          <w:szCs w:val="21"/>
          <w:lang w:eastAsia="zh-CN" w:bidi="ar"/>
        </w:rPr>
        <w:t>单项</w:t>
      </w:r>
      <w:r>
        <w:rPr>
          <w:rFonts w:hint="eastAsia" w:ascii="宋体" w:hAnsi="宋体" w:eastAsia="宋体" w:cs="宋体"/>
          <w:bCs/>
          <w:color w:val="auto"/>
          <w:sz w:val="21"/>
          <w:szCs w:val="21"/>
          <w:lang w:bidi="ar"/>
        </w:rPr>
        <w:t>项目考核及季度考核，并有权根据考核情况在水务集团系统内部进行通报</w:t>
      </w:r>
      <w:r>
        <w:rPr>
          <w:rFonts w:hint="eastAsia" w:ascii="宋体" w:hAnsi="宋体" w:eastAsia="宋体" w:cs="宋体"/>
          <w:bCs/>
          <w:color w:val="auto"/>
          <w:sz w:val="21"/>
          <w:szCs w:val="21"/>
        </w:rPr>
        <w:t>。</w:t>
      </w:r>
    </w:p>
    <w:p w14:paraId="4024C0D0">
      <w:pPr>
        <w:keepNext w:val="0"/>
        <w:keepLines w:val="0"/>
        <w:tabs>
          <w:tab w:val="left" w:pos="360"/>
          <w:tab w:val="left" w:pos="1418"/>
          <w:tab w:val="left" w:pos="4725"/>
        </w:tabs>
        <w:kinsoku/>
        <w:wordWrap/>
        <w:overflowPunct/>
        <w:topLinePunct w:val="0"/>
        <w:bidi w:val="0"/>
        <w:snapToGrid/>
        <w:spacing w:line="360" w:lineRule="auto"/>
        <w:ind w:firstLine="424" w:firstLineChars="202"/>
        <w:rPr>
          <w:rFonts w:hint="eastAsia" w:ascii="宋体" w:hAnsi="宋体" w:eastAsia="宋体" w:cs="宋体"/>
          <w:color w:val="auto"/>
          <w:sz w:val="21"/>
          <w:szCs w:val="21"/>
        </w:rPr>
      </w:pPr>
      <w:r>
        <w:rPr>
          <w:rFonts w:hint="eastAsia" w:ascii="宋体" w:hAnsi="宋体" w:eastAsia="宋体" w:cs="宋体"/>
          <w:bCs/>
          <w:color w:val="auto"/>
          <w:sz w:val="21"/>
          <w:szCs w:val="21"/>
        </w:rPr>
        <w:t>3.如有违反相关项目管理及合同约定，招标人有权将投标人列入招标人母公司</w:t>
      </w:r>
      <w:r>
        <w:rPr>
          <w:rFonts w:hint="eastAsia" w:ascii="宋体" w:hAnsi="宋体" w:eastAsia="宋体" w:cs="宋体"/>
          <w:bCs/>
          <w:color w:val="auto"/>
          <w:sz w:val="21"/>
          <w:szCs w:val="21"/>
          <w:lang w:eastAsia="zh-CN"/>
        </w:rPr>
        <w:t>东莞市水务环境投资控股集团有限公司</w:t>
      </w:r>
      <w:r>
        <w:rPr>
          <w:rFonts w:hint="eastAsia" w:ascii="宋体" w:hAnsi="宋体" w:eastAsia="宋体" w:cs="宋体"/>
          <w:bCs/>
          <w:color w:val="auto"/>
          <w:sz w:val="21"/>
          <w:szCs w:val="21"/>
        </w:rPr>
        <w:t>的“黑名单”，投标人应该清楚并接受后续因此无法承接招标人及招标人母公司相关项目的后果。</w:t>
      </w:r>
    </w:p>
    <w:p w14:paraId="2568A919">
      <w:pPr>
        <w:keepNext w:val="0"/>
        <w:keepLines w:val="0"/>
        <w:kinsoku/>
        <w:wordWrap/>
        <w:overflowPunct/>
        <w:topLinePunct w:val="0"/>
        <w:bidi w:val="0"/>
        <w:snapToGri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4.中标人应遵循《东莞市水务集团管网有限公司机电设备委外维修供应商管理办法》（以下简称《管理办法》，招标人有权结合实际对《管理办法》进行修订，并书面通知中标人；中标人若不接受，可以在3个工作日内申请退出并解除合同，否则，视为同意并遵守修订后的《管理办法》）约定，针对中标人的违约行为，招标人有权对其采取警告（包括但不限于发出监理整改通知单、预处罚通知单、各类通报、约谈等）、处以违约金、没收履约担保及解除合同等手段。</w:t>
      </w:r>
    </w:p>
    <w:p w14:paraId="11B737A1">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5C510"/>
    <w:multiLevelType w:val="singleLevel"/>
    <w:tmpl w:val="D085C510"/>
    <w:lvl w:ilvl="0" w:tentative="0">
      <w:start w:val="3"/>
      <w:numFmt w:val="chineseCounting"/>
      <w:suff w:val="nothing"/>
      <w:lvlText w:val="（%1）"/>
      <w:lvlJc w:val="left"/>
      <w:pPr>
        <w:ind w:left="-2"/>
      </w:pPr>
      <w:rPr>
        <w:rFonts w:hint="eastAsia"/>
      </w:rPr>
    </w:lvl>
  </w:abstractNum>
  <w:abstractNum w:abstractNumId="1">
    <w:nsid w:val="72223226"/>
    <w:multiLevelType w:val="singleLevel"/>
    <w:tmpl w:val="7222322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E3C3E"/>
    <w:rsid w:val="1CBE3C3E"/>
    <w:rsid w:val="493B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3">
    <w:name w:val="Body Text"/>
    <w:basedOn w:val="1"/>
    <w:next w:val="4"/>
    <w:qFormat/>
    <w:uiPriority w:val="99"/>
    <w:pPr>
      <w:autoSpaceDE w:val="0"/>
      <w:autoSpaceDN w:val="0"/>
      <w:adjustRightInd w:val="0"/>
      <w:ind w:right="-26"/>
      <w:jc w:val="center"/>
    </w:pPr>
    <w:rPr>
      <w:rFonts w:ascii="宋体" w:eastAsia="宋体"/>
      <w:b/>
      <w:bCs/>
      <w:sz w:val="84"/>
      <w:szCs w:val="84"/>
      <w:lang w:val="zh-CN"/>
    </w:rPr>
  </w:style>
  <w:style w:type="paragraph" w:styleId="4">
    <w:name w:val="Body Text First Indent"/>
    <w:basedOn w:val="3"/>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2025-09-17T02:04:00Z</dcterms:created>
  <dc:creator>许丽明</dc:creator>
  <cp:lastModifiedBy>许丽明</cp:lastModifiedBy>
  <dcterms:modified xsi:type="dcterms:W3CDTF">2025-09-17T02:06:20Z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9E616F02066B456E86F6C6A6FEE616B4_11</vt:lpwstr>
  </property>
  <property fmtid="{D5CDD505-2E9C-101B-9397-08002B2CF9AE}" pid="4" name="KSOTemplateDocerSaveRecord">
    <vt:lpwstr>eyJoZGlkIjoiZjE0MjM2YjZkNTZhNWY3NWY1OTM2ZDQ1YWQ0MTlkZGUiLCJ1c2VySWQiOiIxNDc3OTk5MzM4In0=</vt:lpwstr>
  </property>
</Properties>
</file>