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center"/>
        <w:rPr>
          <w:rFonts w:hAnsi="宋体" w:cs="宋体"/>
          <w:szCs w:val="32"/>
        </w:rPr>
      </w:pPr>
      <w:bookmarkStart w:id="0" w:name="_Toc29476691"/>
      <w:r>
        <w:rPr>
          <w:rFonts w:hint="eastAsia" w:hAnsi="宋体" w:cs="宋体"/>
          <w:szCs w:val="32"/>
        </w:rPr>
        <w:t xml:space="preserve"> 用户需求</w:t>
      </w:r>
      <w:bookmarkEnd w:id="0"/>
    </w:p>
    <w:p>
      <w:pPr>
        <w:spacing w:after="120"/>
        <w:rPr>
          <w:rFonts w:hAnsi="宋体" w:cs="宋体"/>
        </w:rPr>
      </w:pPr>
      <w:bookmarkStart w:id="1" w:name="_Toc447044600"/>
      <w:bookmarkStart w:id="2" w:name="_Toc447045087"/>
      <w:bookmarkStart w:id="3" w:name="_Toc447044476"/>
    </w:p>
    <w:p>
      <w:pPr>
        <w:autoSpaceDE/>
        <w:autoSpaceDN/>
        <w:adjustRightInd/>
        <w:spacing w:line="360" w:lineRule="auto"/>
        <w:jc w:val="both"/>
        <w:rPr>
          <w:rFonts w:hint="default" w:ascii="Times New Roman" w:hAnsiTheme="minorHAnsi" w:eastAsiaTheme="minorEastAsia" w:cstheme="minorBidi"/>
          <w:b/>
          <w:color w:val="000000"/>
          <w:kern w:val="2"/>
          <w:sz w:val="21"/>
          <w:szCs w:val="21"/>
          <w:lang w:val="en-US" w:eastAsia="zh-CN"/>
        </w:rPr>
      </w:pPr>
      <w:bookmarkStart w:id="4" w:name="_Toc146625403"/>
      <w:r>
        <w:rPr>
          <w:rFonts w:hint="eastAsia" w:ascii="Times New Roman" w:hAnsiTheme="minorHAnsi" w:eastAsiaTheme="minorEastAsia" w:cstheme="minorBidi"/>
          <w:b/>
          <w:color w:val="000000"/>
          <w:kern w:val="2"/>
          <w:sz w:val="21"/>
          <w:szCs w:val="21"/>
        </w:rPr>
        <w:t>一</w:t>
      </w:r>
      <w:r>
        <w:rPr>
          <w:rFonts w:ascii="Times New Roman" w:hAnsiTheme="minorHAnsi" w:eastAsiaTheme="minorEastAsia" w:cstheme="minorBidi"/>
          <w:b/>
          <w:color w:val="000000"/>
          <w:kern w:val="2"/>
          <w:sz w:val="21"/>
          <w:szCs w:val="21"/>
        </w:rPr>
        <w:t>、</w:t>
      </w:r>
      <w:r>
        <w:rPr>
          <w:rFonts w:hint="eastAsia" w:ascii="Times New Roman" w:hAnsiTheme="minorHAnsi" w:eastAsiaTheme="minorEastAsia" w:cstheme="minorBidi"/>
          <w:b/>
          <w:color w:val="000000"/>
          <w:kern w:val="2"/>
          <w:sz w:val="21"/>
          <w:szCs w:val="21"/>
          <w:lang w:val="en-US" w:eastAsia="zh-CN"/>
        </w:rPr>
        <w:t>总体要求</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highlight w:val="none"/>
        </w:rPr>
      </w:pPr>
      <w:r>
        <w:rPr>
          <w:rFonts w:hint="eastAsia" w:hAnsi="宋体" w:cs="宋体" w:asciiTheme="minorHAnsi" w:eastAsiaTheme="minorEastAsia"/>
          <w:color w:val="000000"/>
          <w:kern w:val="2"/>
          <w:sz w:val="21"/>
          <w:szCs w:val="21"/>
          <w:highlight w:val="none"/>
          <w:lang w:val="en-US" w:eastAsia="zh-CN"/>
        </w:rPr>
        <w:t>1.本次采购</w:t>
      </w:r>
      <w:r>
        <w:rPr>
          <w:rFonts w:hint="eastAsia" w:hAnsi="宋体" w:cs="宋体" w:asciiTheme="minorHAnsi" w:eastAsiaTheme="minorEastAsia"/>
          <w:color w:val="000000"/>
          <w:kern w:val="2"/>
          <w:sz w:val="21"/>
          <w:szCs w:val="21"/>
          <w:highlight w:val="none"/>
        </w:rPr>
        <w:t>氢氧化钠</w:t>
      </w:r>
      <w:r>
        <w:rPr>
          <w:rFonts w:hint="eastAsia" w:hAnsi="宋体" w:cs="宋体" w:asciiTheme="minorHAnsi" w:eastAsiaTheme="minorEastAsia"/>
          <w:color w:val="000000"/>
          <w:kern w:val="2"/>
          <w:sz w:val="21"/>
          <w:szCs w:val="21"/>
          <w:highlight w:val="none"/>
          <w:lang w:val="en-US" w:eastAsia="zh-CN"/>
        </w:rPr>
        <w:t>溶液（浓度≥30%）</w:t>
      </w:r>
      <w:r>
        <w:rPr>
          <w:rFonts w:hint="eastAsia" w:hAnsi="宋体" w:cs="宋体" w:asciiTheme="minorHAnsi" w:eastAsiaTheme="minorEastAsia"/>
          <w:color w:val="000000"/>
          <w:kern w:val="2"/>
          <w:sz w:val="21"/>
          <w:szCs w:val="21"/>
          <w:highlight w:val="none"/>
        </w:rPr>
        <w:t>用于湿式洗涤系统、除臭系统、</w:t>
      </w:r>
      <w:r>
        <w:rPr>
          <w:rFonts w:hint="eastAsia" w:hAnsi="宋体" w:cs="宋体" w:asciiTheme="minorHAnsi" w:eastAsiaTheme="minorEastAsia"/>
          <w:color w:val="000000"/>
          <w:kern w:val="2"/>
          <w:sz w:val="21"/>
          <w:szCs w:val="21"/>
          <w:highlight w:val="none"/>
          <w:lang w:val="en-US" w:eastAsia="zh-CN"/>
        </w:rPr>
        <w:t>脱硫废水处理</w:t>
      </w:r>
      <w:r>
        <w:rPr>
          <w:rFonts w:hint="eastAsia" w:hAnsi="宋体" w:cs="宋体" w:asciiTheme="minorHAnsi" w:eastAsiaTheme="minorEastAsia"/>
          <w:color w:val="000000"/>
          <w:kern w:val="2"/>
          <w:sz w:val="21"/>
          <w:szCs w:val="21"/>
          <w:highlight w:val="none"/>
        </w:rPr>
        <w:t>系统的碱液投加。</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int="eastAsia" w:hAnsi="宋体" w:cs="宋体" w:asciiTheme="minorHAnsi" w:eastAsiaTheme="minorEastAsia"/>
          <w:color w:val="000000"/>
          <w:kern w:val="2"/>
          <w:sz w:val="21"/>
          <w:szCs w:val="21"/>
          <w:lang w:val="en-US" w:eastAsia="zh-CN"/>
        </w:rPr>
        <w:t>2.</w:t>
      </w:r>
      <w:r>
        <w:rPr>
          <w:rFonts w:hAnsi="宋体" w:cs="宋体" w:asciiTheme="minorHAnsi" w:eastAsiaTheme="minorEastAsia"/>
          <w:color w:val="000000"/>
          <w:kern w:val="2"/>
          <w:sz w:val="21"/>
          <w:szCs w:val="21"/>
        </w:rPr>
        <w:t>具体供货量根据实际运营需求，并结合</w:t>
      </w:r>
      <w:r>
        <w:rPr>
          <w:rFonts w:hint="eastAsia" w:hAnsi="宋体" w:cs="宋体" w:asciiTheme="minorHAnsi" w:eastAsiaTheme="minorEastAsia"/>
          <w:color w:val="000000"/>
          <w:kern w:val="2"/>
          <w:sz w:val="21"/>
          <w:szCs w:val="21"/>
        </w:rPr>
        <w:t>采购人</w:t>
      </w:r>
      <w:r>
        <w:rPr>
          <w:rFonts w:hAnsi="宋体" w:cs="宋体" w:asciiTheme="minorHAnsi" w:eastAsiaTheme="minorEastAsia"/>
          <w:color w:val="000000"/>
          <w:kern w:val="2"/>
          <w:sz w:val="21"/>
          <w:szCs w:val="21"/>
        </w:rPr>
        <w:t>使用</w:t>
      </w:r>
      <w:r>
        <w:rPr>
          <w:rFonts w:hint="eastAsia" w:hAnsi="宋体" w:cs="宋体" w:asciiTheme="minorHAnsi" w:eastAsiaTheme="minorEastAsia"/>
          <w:color w:val="000000"/>
          <w:kern w:val="2"/>
          <w:sz w:val="21"/>
          <w:szCs w:val="21"/>
        </w:rPr>
        <w:t>成交</w:t>
      </w:r>
      <w:r>
        <w:rPr>
          <w:rFonts w:hAnsi="宋体" w:cs="宋体" w:asciiTheme="minorHAnsi" w:eastAsiaTheme="minorEastAsia"/>
          <w:color w:val="000000"/>
          <w:kern w:val="2"/>
          <w:sz w:val="21"/>
          <w:szCs w:val="21"/>
        </w:rPr>
        <w:t>单位提供的药剂样品所做的小试</w:t>
      </w:r>
      <w:r>
        <w:rPr>
          <w:rFonts w:hint="eastAsia" w:hAnsi="宋体" w:cs="宋体" w:asciiTheme="minorHAnsi" w:eastAsiaTheme="minorEastAsia"/>
          <w:color w:val="000000"/>
          <w:kern w:val="2"/>
          <w:sz w:val="21"/>
          <w:szCs w:val="21"/>
        </w:rPr>
        <w:t>、中试及实际</w:t>
      </w:r>
      <w:r>
        <w:rPr>
          <w:rFonts w:hAnsi="宋体" w:cs="宋体" w:asciiTheme="minorHAnsi" w:eastAsiaTheme="minorEastAsia"/>
          <w:color w:val="000000"/>
          <w:kern w:val="2"/>
          <w:sz w:val="21"/>
          <w:szCs w:val="21"/>
        </w:rPr>
        <w:t>使用</w:t>
      </w:r>
      <w:r>
        <w:rPr>
          <w:rFonts w:hint="eastAsia" w:hAnsi="宋体" w:cs="宋体" w:asciiTheme="minorHAnsi" w:eastAsiaTheme="minorEastAsia"/>
          <w:color w:val="000000"/>
          <w:kern w:val="2"/>
          <w:sz w:val="21"/>
          <w:szCs w:val="21"/>
        </w:rPr>
        <w:t>后的情况选用</w:t>
      </w:r>
      <w:r>
        <w:rPr>
          <w:rFonts w:hAnsi="宋体" w:cs="宋体" w:asciiTheme="minorHAnsi" w:eastAsiaTheme="minorEastAsia"/>
          <w:color w:val="000000"/>
          <w:kern w:val="2"/>
          <w:sz w:val="21"/>
          <w:szCs w:val="21"/>
        </w:rPr>
        <w:t>。</w:t>
      </w:r>
    </w:p>
    <w:p>
      <w:pPr>
        <w:autoSpaceDE/>
        <w:autoSpaceDN/>
        <w:adjustRightInd/>
        <w:spacing w:line="360" w:lineRule="auto"/>
        <w:ind w:firstLine="420" w:firstLineChars="20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lang w:val="en-US" w:eastAsia="zh-CN"/>
        </w:rPr>
        <w:t>3.</w:t>
      </w:r>
      <w:r>
        <w:rPr>
          <w:rFonts w:hint="eastAsia" w:ascii="Times New Roman" w:hAnsiTheme="minorHAnsi" w:eastAsiaTheme="minorEastAsia" w:cstheme="minorBidi"/>
          <w:kern w:val="2"/>
          <w:sz w:val="21"/>
        </w:rPr>
        <w:t>供货期：</w:t>
      </w:r>
      <w:r>
        <w:rPr>
          <w:rFonts w:hint="eastAsia" w:ascii="宋体" w:hAnsi="宋体" w:eastAsia="宋体" w:cs="宋体"/>
          <w:color w:val="000000"/>
          <w:kern w:val="2"/>
          <w:sz w:val="21"/>
          <w:szCs w:val="21"/>
        </w:rPr>
        <w:t>供货期从中标通知书发出之日至2026年12月31日，拟约为1年，具体供货起始日期以采购人书面通知为准，供货单位收到采购人通知后必须无条件按照采购人的要求开始供货。</w:t>
      </w:r>
    </w:p>
    <w:p>
      <w:pPr>
        <w:autoSpaceDE/>
        <w:autoSpaceDN/>
        <w:adjustRightInd/>
        <w:spacing w:line="360" w:lineRule="auto"/>
        <w:jc w:val="both"/>
        <w:rPr>
          <w:rFonts w:ascii="Times New Roman" w:hAnsiTheme="minorHAnsi" w:eastAsiaTheme="minorEastAsia" w:cstheme="minorBidi"/>
          <w:b/>
          <w:color w:val="000000"/>
          <w:kern w:val="2"/>
          <w:sz w:val="21"/>
          <w:szCs w:val="21"/>
        </w:rPr>
      </w:pPr>
      <w:r>
        <w:rPr>
          <w:rFonts w:hint="eastAsia" w:ascii="Times New Roman" w:hAnsiTheme="minorHAnsi" w:eastAsiaTheme="minorEastAsia" w:cstheme="minorBidi"/>
          <w:b/>
          <w:color w:val="000000"/>
          <w:kern w:val="2"/>
          <w:sz w:val="21"/>
          <w:szCs w:val="21"/>
        </w:rPr>
        <w:t>二</w:t>
      </w:r>
      <w:r>
        <w:rPr>
          <w:rFonts w:ascii="Times New Roman" w:hAnsiTheme="minorHAnsi" w:eastAsiaTheme="minorEastAsia" w:cstheme="minorBidi"/>
          <w:b/>
          <w:color w:val="000000"/>
          <w:kern w:val="2"/>
          <w:sz w:val="21"/>
          <w:szCs w:val="21"/>
        </w:rPr>
        <w:t>、</w:t>
      </w:r>
      <w:r>
        <w:rPr>
          <w:rFonts w:hint="eastAsia" w:ascii="Times New Roman" w:hAnsiTheme="minorHAnsi" w:eastAsiaTheme="minorEastAsia" w:cstheme="minorBidi"/>
          <w:b/>
          <w:color w:val="000000"/>
          <w:kern w:val="2"/>
          <w:sz w:val="21"/>
          <w:szCs w:val="21"/>
        </w:rPr>
        <w:t>药剂要求</w:t>
      </w:r>
    </w:p>
    <w:p>
      <w:pPr>
        <w:spacing w:line="360" w:lineRule="auto"/>
        <w:ind w:firstLine="480"/>
        <w:jc w:val="both"/>
        <w:rPr>
          <w:rFonts w:hint="eastAsia" w:ascii="Times New Roman" w:hAnsiTheme="minorHAnsi" w:eastAsiaTheme="minorEastAsia" w:cstheme="minorBidi"/>
          <w:kern w:val="2"/>
          <w:sz w:val="21"/>
          <w:highlight w:val="none"/>
          <w:lang w:val="en-US" w:eastAsia="zh-CN"/>
        </w:rPr>
      </w:pPr>
      <w:r>
        <w:rPr>
          <w:rFonts w:hint="eastAsia" w:ascii="Times New Roman" w:hAnsiTheme="minorHAnsi" w:eastAsiaTheme="minorEastAsia" w:cstheme="minorBidi"/>
          <w:kern w:val="2"/>
          <w:sz w:val="21"/>
        </w:rPr>
        <w:t>1、</w:t>
      </w:r>
      <w:r>
        <w:rPr>
          <w:rFonts w:hint="eastAsia" w:ascii="Times New Roman" w:hAnsiTheme="minorHAnsi" w:eastAsiaTheme="minorEastAsia" w:cstheme="minorBidi"/>
          <w:kern w:val="2"/>
          <w:sz w:val="21"/>
          <w:highlight w:val="none"/>
        </w:rPr>
        <w:t>产品名称：氢氧化钠</w:t>
      </w:r>
      <w:r>
        <w:rPr>
          <w:rFonts w:hint="eastAsia" w:ascii="Times New Roman" w:hAnsiTheme="minorHAnsi" w:eastAsiaTheme="minorEastAsia" w:cstheme="minorBidi"/>
          <w:kern w:val="2"/>
          <w:sz w:val="21"/>
          <w:highlight w:val="none"/>
          <w:lang w:val="en-US" w:eastAsia="zh-CN"/>
        </w:rPr>
        <w:t>溶液</w:t>
      </w:r>
    </w:p>
    <w:p>
      <w:pPr>
        <w:spacing w:line="360" w:lineRule="auto"/>
        <w:ind w:firstLine="480"/>
        <w:jc w:val="both"/>
        <w:rPr>
          <w:rFonts w:ascii="Times New Roman" w:hAnsiTheme="minorHAnsi" w:eastAsiaTheme="minorEastAsia" w:cstheme="minorBidi"/>
          <w:kern w:val="2"/>
          <w:sz w:val="21"/>
          <w:highlight w:val="none"/>
        </w:rPr>
      </w:pPr>
      <w:r>
        <w:rPr>
          <w:rFonts w:hint="eastAsia" w:ascii="Times New Roman" w:hAnsiTheme="minorHAnsi" w:eastAsiaTheme="minorEastAsia" w:cstheme="minorBidi"/>
          <w:kern w:val="2"/>
          <w:sz w:val="21"/>
          <w:highlight w:val="none"/>
        </w:rPr>
        <w:t>2、分子式：NaOH</w:t>
      </w:r>
    </w:p>
    <w:p>
      <w:pPr>
        <w:spacing w:line="360" w:lineRule="auto"/>
        <w:ind w:firstLine="48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highlight w:val="none"/>
        </w:rPr>
        <w:t>3、本项目暂定采购数量：56</w:t>
      </w:r>
      <w:r>
        <w:rPr>
          <w:rFonts w:hint="eastAsia" w:ascii="Times New Roman" w:hAnsiTheme="minorHAnsi" w:eastAsiaTheme="minorEastAsia" w:cstheme="minorBidi"/>
          <w:kern w:val="2"/>
          <w:sz w:val="21"/>
          <w:highlight w:val="none"/>
          <w:lang w:val="en-US" w:eastAsia="zh-CN"/>
        </w:rPr>
        <w:t>85吨</w:t>
      </w:r>
      <w:r>
        <w:rPr>
          <w:rFonts w:hint="eastAsia" w:ascii="Times New Roman" w:hAnsiTheme="minorHAnsi" w:eastAsiaTheme="minorEastAsia" w:cstheme="minorBidi"/>
          <w:kern w:val="2"/>
          <w:sz w:val="21"/>
          <w:highlight w:val="none"/>
        </w:rPr>
        <w:t>。</w:t>
      </w:r>
    </w:p>
    <w:p>
      <w:pPr>
        <w:spacing w:line="360" w:lineRule="auto"/>
        <w:ind w:firstLine="48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rPr>
        <w:t>4、主要技术指标</w:t>
      </w:r>
    </w:p>
    <w:p>
      <w:pPr>
        <w:spacing w:line="360" w:lineRule="auto"/>
        <w:ind w:firstLine="48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rPr>
        <w:t>（1）产品必须符合《工业用氢氧化钠》</w:t>
      </w:r>
      <w:r>
        <w:rPr>
          <w:rFonts w:hint="eastAsia" w:ascii="Times New Roman" w:hAnsiTheme="minorHAnsi" w:eastAsiaTheme="minorEastAsia" w:cstheme="minorBidi"/>
          <w:kern w:val="2"/>
          <w:sz w:val="21"/>
          <w:highlight w:val="none"/>
        </w:rPr>
        <w:t>（GB/T 209-2018</w:t>
      </w:r>
      <w:r>
        <w:rPr>
          <w:rFonts w:hint="eastAsia" w:ascii="Times New Roman" w:hAnsiTheme="minorHAnsi" w:eastAsiaTheme="minorEastAsia" w:cstheme="minorBidi"/>
          <w:kern w:val="2"/>
          <w:sz w:val="21"/>
        </w:rPr>
        <w:t>）IL</w:t>
      </w:r>
      <w:r>
        <w:rPr>
          <w:rFonts w:hint="eastAsia" w:ascii="Times New Roman" w:hAnsiTheme="minorHAnsi" w:eastAsiaTheme="minorEastAsia" w:cstheme="minorBidi"/>
          <w:kern w:val="2"/>
          <w:sz w:val="21"/>
          <w:lang w:val="en-US" w:eastAsia="zh-CN"/>
        </w:rPr>
        <w:t>型</w:t>
      </w:r>
      <w:r>
        <w:rPr>
          <w:rFonts w:hint="eastAsia" w:ascii="Times New Roman" w:hAnsiTheme="minorHAnsi" w:eastAsiaTheme="minorEastAsia" w:cstheme="minorBidi"/>
          <w:kern w:val="2"/>
          <w:sz w:val="21"/>
        </w:rPr>
        <w:t xml:space="preserve"> Ⅲ类品质量及检测标准，其中主要技术指标要求如下：</w:t>
      </w:r>
    </w:p>
    <w:p>
      <w:pPr>
        <w:spacing w:line="360" w:lineRule="auto"/>
        <w:ind w:firstLine="276" w:firstLineChars="131"/>
        <w:jc w:val="center"/>
        <w:rPr>
          <w:rFonts w:ascii="Times New Roman"/>
          <w:b/>
          <w:sz w:val="21"/>
          <w:szCs w:val="21"/>
        </w:rPr>
      </w:pPr>
      <w:r>
        <w:rPr>
          <w:rFonts w:ascii="Times New Roman"/>
          <w:b/>
          <w:sz w:val="21"/>
          <w:szCs w:val="21"/>
        </w:rPr>
        <w:t xml:space="preserve">表1  </w:t>
      </w:r>
      <w:r>
        <w:rPr>
          <w:rFonts w:hint="eastAsia" w:ascii="Times New Roman"/>
          <w:b/>
          <w:sz w:val="21"/>
          <w:szCs w:val="21"/>
        </w:rPr>
        <w:t>液体</w:t>
      </w:r>
      <w:r>
        <w:rPr>
          <w:rFonts w:ascii="Times New Roman"/>
          <w:b/>
          <w:sz w:val="21"/>
          <w:szCs w:val="21"/>
        </w:rPr>
        <w:t>氢氧化钠主要技术指标</w:t>
      </w:r>
    </w:p>
    <w:tbl>
      <w:tblPr>
        <w:tblStyle w:val="20"/>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7"/>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647" w:type="dxa"/>
            <w:vAlign w:val="center"/>
          </w:tcPr>
          <w:p>
            <w:pPr>
              <w:spacing w:line="360" w:lineRule="auto"/>
              <w:ind w:firstLine="276" w:firstLineChars="131"/>
              <w:jc w:val="center"/>
              <w:rPr>
                <w:rFonts w:ascii="Times New Roman"/>
                <w:b/>
                <w:sz w:val="21"/>
                <w:szCs w:val="21"/>
              </w:rPr>
            </w:pPr>
            <w:r>
              <w:rPr>
                <w:rFonts w:ascii="Times New Roman"/>
                <w:b/>
                <w:sz w:val="21"/>
                <w:szCs w:val="21"/>
              </w:rPr>
              <w:t>指标项目</w:t>
            </w:r>
          </w:p>
        </w:tc>
        <w:tc>
          <w:tcPr>
            <w:tcW w:w="4013" w:type="dxa"/>
            <w:vAlign w:val="center"/>
          </w:tcPr>
          <w:p>
            <w:pPr>
              <w:spacing w:line="360" w:lineRule="auto"/>
              <w:ind w:firstLine="276" w:firstLineChars="131"/>
              <w:jc w:val="center"/>
              <w:rPr>
                <w:rFonts w:ascii="Times New Roman"/>
                <w:b/>
                <w:sz w:val="21"/>
                <w:szCs w:val="21"/>
              </w:rPr>
            </w:pPr>
            <w:r>
              <w:rPr>
                <w:rFonts w:ascii="Times New Roman"/>
                <w:b/>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spacing w:line="360" w:lineRule="auto"/>
              <w:ind w:firstLine="276" w:firstLineChars="131"/>
              <w:jc w:val="center"/>
              <w:rPr>
                <w:rFonts w:ascii="Times New Roman"/>
                <w:b/>
                <w:sz w:val="21"/>
                <w:szCs w:val="21"/>
              </w:rPr>
            </w:pPr>
            <w:r>
              <w:rPr>
                <w:rFonts w:ascii="Times New Roman"/>
                <w:b/>
                <w:sz w:val="21"/>
                <w:szCs w:val="21"/>
              </w:rPr>
              <w:t>氢氧化钠的质量分数，% ≥</w:t>
            </w:r>
          </w:p>
        </w:tc>
        <w:tc>
          <w:tcPr>
            <w:tcW w:w="4013" w:type="dxa"/>
          </w:tcPr>
          <w:p>
            <w:pPr>
              <w:spacing w:line="360" w:lineRule="auto"/>
              <w:ind w:firstLine="276" w:firstLineChars="131"/>
              <w:jc w:val="center"/>
              <w:rPr>
                <w:rFonts w:ascii="Times New Roman"/>
                <w:b/>
                <w:bCs/>
                <w:sz w:val="21"/>
                <w:szCs w:val="21"/>
              </w:rPr>
            </w:pPr>
            <w:r>
              <w:rPr>
                <w:b/>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7" w:type="dxa"/>
            <w:vAlign w:val="center"/>
          </w:tcPr>
          <w:p>
            <w:pPr>
              <w:spacing w:line="360" w:lineRule="auto"/>
              <w:ind w:firstLine="276" w:firstLineChars="131"/>
              <w:jc w:val="center"/>
              <w:rPr>
                <w:rFonts w:ascii="Times New Roman"/>
                <w:b/>
                <w:sz w:val="21"/>
                <w:szCs w:val="21"/>
              </w:rPr>
            </w:pPr>
            <w:r>
              <w:rPr>
                <w:rFonts w:ascii="Times New Roman"/>
                <w:b/>
                <w:sz w:val="21"/>
                <w:szCs w:val="21"/>
              </w:rPr>
              <w:t>碳酸钠的质量分数，% ≤</w:t>
            </w:r>
          </w:p>
        </w:tc>
        <w:tc>
          <w:tcPr>
            <w:tcW w:w="4013" w:type="dxa"/>
          </w:tcPr>
          <w:p>
            <w:pPr>
              <w:spacing w:line="360" w:lineRule="auto"/>
              <w:ind w:firstLine="276" w:firstLineChars="131"/>
              <w:jc w:val="center"/>
              <w:rPr>
                <w:rFonts w:ascii="Times New Roman"/>
                <w:b/>
                <w:bCs/>
                <w:sz w:val="21"/>
                <w:szCs w:val="21"/>
              </w:rPr>
            </w:pPr>
            <w:r>
              <w:rPr>
                <w:b/>
                <w:bCs/>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647" w:type="dxa"/>
            <w:vAlign w:val="center"/>
          </w:tcPr>
          <w:p>
            <w:pPr>
              <w:spacing w:line="360" w:lineRule="auto"/>
              <w:ind w:firstLine="276" w:firstLineChars="131"/>
              <w:jc w:val="center"/>
              <w:rPr>
                <w:rFonts w:ascii="Times New Roman"/>
                <w:b/>
                <w:sz w:val="21"/>
                <w:szCs w:val="21"/>
              </w:rPr>
            </w:pPr>
            <w:r>
              <w:rPr>
                <w:rFonts w:ascii="Times New Roman"/>
                <w:b/>
                <w:sz w:val="21"/>
                <w:szCs w:val="21"/>
              </w:rPr>
              <w:t>氯化钠的质量分数，% ≤</w:t>
            </w:r>
          </w:p>
        </w:tc>
        <w:tc>
          <w:tcPr>
            <w:tcW w:w="4013" w:type="dxa"/>
          </w:tcPr>
          <w:p>
            <w:pPr>
              <w:spacing w:line="360" w:lineRule="auto"/>
              <w:ind w:firstLine="276" w:firstLineChars="131"/>
              <w:jc w:val="center"/>
              <w:rPr>
                <w:rFonts w:ascii="Times New Roman"/>
                <w:b/>
                <w:bCs/>
                <w:sz w:val="21"/>
                <w:szCs w:val="21"/>
              </w:rPr>
            </w:pPr>
            <w:r>
              <w:rPr>
                <w:b/>
                <w:bCs/>
                <w:sz w:val="21"/>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647" w:type="dxa"/>
            <w:vAlign w:val="center"/>
          </w:tcPr>
          <w:p>
            <w:pPr>
              <w:spacing w:line="360" w:lineRule="auto"/>
              <w:ind w:firstLine="276" w:firstLineChars="131"/>
              <w:jc w:val="center"/>
              <w:rPr>
                <w:rFonts w:ascii="Times New Roman"/>
                <w:b/>
                <w:sz w:val="21"/>
                <w:szCs w:val="21"/>
              </w:rPr>
            </w:pPr>
            <w:r>
              <w:rPr>
                <w:rFonts w:ascii="Times New Roman"/>
                <w:b/>
                <w:sz w:val="21"/>
                <w:szCs w:val="21"/>
              </w:rPr>
              <w:t>三氧化二铁的质量分数，% ≤</w:t>
            </w:r>
          </w:p>
        </w:tc>
        <w:tc>
          <w:tcPr>
            <w:tcW w:w="4013" w:type="dxa"/>
          </w:tcPr>
          <w:p>
            <w:pPr>
              <w:spacing w:line="360" w:lineRule="auto"/>
              <w:ind w:firstLine="276" w:firstLineChars="131"/>
              <w:jc w:val="center"/>
              <w:rPr>
                <w:rFonts w:ascii="Times New Roman"/>
                <w:b/>
                <w:bCs/>
                <w:sz w:val="21"/>
                <w:szCs w:val="21"/>
              </w:rPr>
            </w:pPr>
            <w:r>
              <w:rPr>
                <w:b/>
                <w:bCs/>
                <w:sz w:val="21"/>
                <w:szCs w:val="21"/>
              </w:rPr>
              <w:t>0.001</w:t>
            </w:r>
          </w:p>
        </w:tc>
      </w:tr>
    </w:tbl>
    <w:p>
      <w:pPr>
        <w:autoSpaceDE/>
        <w:autoSpaceDN/>
        <w:adjustRightInd/>
        <w:spacing w:line="360" w:lineRule="auto"/>
        <w:ind w:firstLine="420" w:firstLineChars="20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rPr>
        <w:t>供货单位在供货时，需注明所供氢氧化钠型号规格、氢氧化钠的质量分数。</w:t>
      </w:r>
    </w:p>
    <w:p>
      <w:pPr>
        <w:autoSpaceDE/>
        <w:autoSpaceDN/>
        <w:adjustRightInd/>
        <w:spacing w:line="360" w:lineRule="auto"/>
        <w:ind w:firstLine="420" w:firstLineChars="20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rPr>
        <w:t>（2）外观：无色透明，稠状液体。</w:t>
      </w:r>
    </w:p>
    <w:p>
      <w:pPr>
        <w:autoSpaceDE/>
        <w:autoSpaceDN/>
        <w:adjustRightInd/>
        <w:spacing w:line="360" w:lineRule="auto"/>
        <w:ind w:firstLine="420" w:firstLineChars="200"/>
        <w:jc w:val="both"/>
        <w:rPr>
          <w:rFonts w:ascii="Times New Roman" w:hAnsiTheme="minorHAnsi" w:eastAsiaTheme="minorEastAsia" w:cstheme="minorBidi"/>
          <w:kern w:val="2"/>
          <w:sz w:val="21"/>
        </w:rPr>
      </w:pPr>
      <w:r>
        <w:rPr>
          <w:rFonts w:hint="eastAsia" w:ascii="Times New Roman" w:hAnsiTheme="minorHAnsi" w:eastAsiaTheme="minorEastAsia" w:cstheme="minorBidi"/>
          <w:kern w:val="2"/>
          <w:sz w:val="21"/>
        </w:rPr>
        <w:t>（3）供货期间，如有发布最新的行业标准或国家标准，采购人有权根据项目实际情况及有关行业标准或国家标准对合同的主要技术指标进行变更调整，供货单位应无条件接受。</w:t>
      </w:r>
    </w:p>
    <w:p>
      <w:pPr>
        <w:spacing w:line="360" w:lineRule="auto"/>
        <w:ind w:firstLine="480"/>
        <w:jc w:val="both"/>
        <w:rPr>
          <w:rFonts w:ascii="Times New Roman" w:hAnsiTheme="minorHAnsi" w:eastAsiaTheme="minorEastAsia" w:cstheme="minorBidi"/>
          <w:kern w:val="2"/>
          <w:sz w:val="21"/>
          <w:lang w:val="zh-CN"/>
        </w:rPr>
      </w:pPr>
      <w:r>
        <w:rPr>
          <w:rFonts w:hint="eastAsia" w:ascii="Times New Roman" w:hAnsiTheme="minorHAnsi" w:eastAsiaTheme="minorEastAsia" w:cstheme="minorBidi"/>
          <w:kern w:val="2"/>
          <w:sz w:val="21"/>
          <w:lang w:val="zh-CN"/>
        </w:rPr>
        <w:t>（4）供货单位所供产品的真实质量，必须满足本用户需求书的所有技术指标。</w:t>
      </w:r>
    </w:p>
    <w:p>
      <w:pPr>
        <w:spacing w:line="360" w:lineRule="auto"/>
        <w:ind w:firstLine="480"/>
        <w:jc w:val="both"/>
        <w:rPr>
          <w:rFonts w:ascii="Times New Roman" w:hAnsiTheme="minorHAnsi" w:eastAsiaTheme="minorEastAsia" w:cstheme="minorBidi"/>
          <w:kern w:val="2"/>
          <w:sz w:val="21"/>
          <w:lang w:val="zh-CN"/>
        </w:rPr>
      </w:pPr>
      <w:r>
        <w:rPr>
          <w:rFonts w:hint="eastAsia" w:ascii="Times New Roman" w:hAnsiTheme="minorHAnsi" w:eastAsiaTheme="minorEastAsia" w:cstheme="minorBidi"/>
          <w:kern w:val="2"/>
          <w:sz w:val="21"/>
          <w:lang w:val="zh-CN"/>
        </w:rPr>
        <w:t>（</w:t>
      </w:r>
      <w:r>
        <w:rPr>
          <w:rFonts w:hint="eastAsia" w:ascii="Times New Roman" w:hAnsiTheme="minorHAnsi" w:eastAsiaTheme="minorEastAsia" w:cstheme="minorBidi"/>
          <w:kern w:val="2"/>
          <w:sz w:val="21"/>
        </w:rPr>
        <w:t>5</w:t>
      </w:r>
      <w:r>
        <w:rPr>
          <w:rFonts w:hint="eastAsia" w:ascii="Times New Roman" w:hAnsiTheme="minorHAnsi" w:eastAsiaTheme="minorEastAsia" w:cstheme="minorBidi"/>
          <w:kern w:val="2"/>
          <w:sz w:val="21"/>
          <w:lang w:val="zh-CN"/>
        </w:rPr>
        <w:t>）供货单位须根据采购人的情况，提供满足</w:t>
      </w:r>
      <w:r>
        <w:rPr>
          <w:rFonts w:hint="eastAsia" w:ascii="Times New Roman" w:hAnsiTheme="minorHAnsi" w:eastAsiaTheme="minorEastAsia" w:cstheme="minorBidi"/>
          <w:kern w:val="2"/>
          <w:sz w:val="21"/>
        </w:rPr>
        <w:t>厂区</w:t>
      </w:r>
      <w:r>
        <w:rPr>
          <w:rFonts w:hint="eastAsia" w:ascii="Times New Roman" w:hAnsiTheme="minorHAnsi" w:eastAsiaTheme="minorEastAsia" w:cstheme="minorBidi"/>
          <w:kern w:val="2"/>
          <w:sz w:val="21"/>
          <w:lang w:val="zh-CN"/>
        </w:rPr>
        <w:t>正常生产运营的产品。</w:t>
      </w:r>
    </w:p>
    <w:p>
      <w:pPr>
        <w:autoSpaceDE/>
        <w:autoSpaceDN/>
        <w:adjustRightInd/>
        <w:spacing w:line="360" w:lineRule="auto"/>
        <w:jc w:val="both"/>
        <w:rPr>
          <w:rFonts w:ascii="Times New Roman" w:hAnsiTheme="minorHAnsi" w:eastAsiaTheme="minorEastAsia" w:cstheme="minorBidi"/>
          <w:b/>
          <w:color w:val="000000"/>
          <w:kern w:val="2"/>
          <w:sz w:val="21"/>
          <w:szCs w:val="21"/>
        </w:rPr>
      </w:pPr>
      <w:r>
        <w:rPr>
          <w:rFonts w:hint="eastAsia" w:ascii="Times New Roman" w:hAnsiTheme="minorHAnsi" w:eastAsiaTheme="minorEastAsia" w:cstheme="minorBidi"/>
          <w:b/>
          <w:color w:val="000000"/>
          <w:kern w:val="2"/>
          <w:sz w:val="21"/>
          <w:szCs w:val="21"/>
        </w:rPr>
        <w:t>三</w:t>
      </w:r>
      <w:r>
        <w:rPr>
          <w:rFonts w:ascii="Times New Roman" w:hAnsiTheme="minorHAnsi" w:eastAsiaTheme="minorEastAsia" w:cstheme="minorBidi"/>
          <w:b/>
          <w:color w:val="000000"/>
          <w:kern w:val="2"/>
          <w:sz w:val="21"/>
          <w:szCs w:val="21"/>
        </w:rPr>
        <w:t>、</w:t>
      </w:r>
      <w:r>
        <w:rPr>
          <w:rFonts w:hint="eastAsia" w:ascii="Times New Roman" w:hAnsiTheme="minorHAnsi" w:eastAsiaTheme="minorEastAsia" w:cstheme="minorBidi"/>
          <w:b/>
          <w:color w:val="000000"/>
          <w:kern w:val="2"/>
          <w:sz w:val="21"/>
          <w:szCs w:val="21"/>
        </w:rPr>
        <w:t>交货要求</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Ansi="宋体" w:cs="宋体" w:asciiTheme="minorHAnsi" w:eastAsiaTheme="minorEastAsia"/>
          <w:color w:val="000000"/>
          <w:kern w:val="2"/>
          <w:sz w:val="21"/>
          <w:szCs w:val="21"/>
        </w:rPr>
        <w:t>1、</w:t>
      </w:r>
      <w:r>
        <w:rPr>
          <w:rFonts w:hint="eastAsia" w:hAnsi="宋体" w:cs="宋体" w:asciiTheme="minorHAnsi" w:eastAsiaTheme="minorEastAsia"/>
          <w:color w:val="000000"/>
          <w:kern w:val="2"/>
          <w:sz w:val="21"/>
          <w:szCs w:val="21"/>
        </w:rPr>
        <w:t>服务期：具体供货日期以</w:t>
      </w:r>
      <w:r>
        <w:rPr>
          <w:rFonts w:hint="eastAsia" w:ascii="Times New Roman" w:hAnsiTheme="minorHAnsi" w:eastAsiaTheme="minorEastAsia" w:cstheme="minorBidi"/>
          <w:kern w:val="2"/>
          <w:sz w:val="21"/>
        </w:rPr>
        <w:t>采购人</w:t>
      </w:r>
      <w:r>
        <w:rPr>
          <w:rFonts w:hint="eastAsia" w:hAnsi="宋体" w:cs="宋体" w:asciiTheme="minorHAnsi" w:eastAsiaTheme="minorEastAsia"/>
          <w:color w:val="000000"/>
          <w:kern w:val="2"/>
          <w:sz w:val="21"/>
          <w:szCs w:val="21"/>
        </w:rPr>
        <w:t>书面通知为准，供货单位收到</w:t>
      </w:r>
      <w:r>
        <w:rPr>
          <w:rFonts w:hint="eastAsia" w:ascii="Times New Roman" w:hAnsiTheme="minorHAnsi" w:eastAsiaTheme="minorEastAsia" w:cstheme="minorBidi"/>
          <w:kern w:val="2"/>
          <w:sz w:val="21"/>
        </w:rPr>
        <w:t>采购人</w:t>
      </w:r>
      <w:r>
        <w:rPr>
          <w:rFonts w:hint="eastAsia" w:hAnsi="宋体" w:cs="宋体" w:asciiTheme="minorHAnsi" w:eastAsiaTheme="minorEastAsia"/>
          <w:color w:val="000000"/>
          <w:kern w:val="2"/>
          <w:sz w:val="21"/>
          <w:szCs w:val="21"/>
        </w:rPr>
        <w:t>通知后必须无条件按照</w:t>
      </w:r>
      <w:r>
        <w:rPr>
          <w:rFonts w:hint="eastAsia" w:ascii="Times New Roman" w:hAnsiTheme="minorHAnsi" w:eastAsiaTheme="minorEastAsia" w:cstheme="minorBidi"/>
          <w:kern w:val="2"/>
          <w:sz w:val="21"/>
        </w:rPr>
        <w:t>采购人</w:t>
      </w:r>
      <w:r>
        <w:rPr>
          <w:rFonts w:hint="eastAsia" w:hAnsi="宋体" w:cs="宋体" w:asciiTheme="minorHAnsi" w:eastAsiaTheme="minorEastAsia"/>
          <w:color w:val="000000"/>
          <w:kern w:val="2"/>
          <w:sz w:val="21"/>
          <w:szCs w:val="21"/>
        </w:rPr>
        <w:t>的要求开始供货。</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highlight w:val="none"/>
        </w:rPr>
      </w:pPr>
      <w:r>
        <w:rPr>
          <w:rFonts w:hAnsi="宋体" w:cs="宋体" w:asciiTheme="minorHAnsi" w:eastAsiaTheme="minorEastAsia"/>
          <w:color w:val="000000"/>
          <w:kern w:val="2"/>
          <w:sz w:val="21"/>
          <w:szCs w:val="21"/>
        </w:rPr>
        <w:t>交货地点：</w:t>
      </w:r>
      <w:r>
        <w:rPr>
          <w:rFonts w:hint="eastAsia" w:hAnsi="宋体" w:cs="宋体" w:asciiTheme="minorHAnsi" w:eastAsiaTheme="minorEastAsia"/>
          <w:color w:val="000000"/>
          <w:kern w:val="2"/>
          <w:sz w:val="21"/>
          <w:szCs w:val="21"/>
          <w:highlight w:val="none"/>
        </w:rPr>
        <w:t>东莞市污泥集中处理处置项目现场（广东省东莞市沙田镇立沙中路76号）。</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Ansi="宋体" w:cs="宋体" w:asciiTheme="minorHAnsi" w:eastAsiaTheme="minorEastAsia"/>
          <w:color w:val="000000"/>
          <w:kern w:val="2"/>
          <w:sz w:val="21"/>
          <w:szCs w:val="21"/>
        </w:rPr>
        <w:t>2、交货时间：</w:t>
      </w:r>
      <w:r>
        <w:rPr>
          <w:rFonts w:hint="eastAsia" w:hAnsi="宋体" w:cs="宋体" w:asciiTheme="minorHAnsi" w:eastAsiaTheme="minorEastAsia"/>
          <w:color w:val="000000"/>
          <w:kern w:val="2"/>
          <w:sz w:val="21"/>
          <w:szCs w:val="21"/>
        </w:rPr>
        <w:t>日常供货（</w:t>
      </w:r>
      <w:r>
        <w:rPr>
          <w:rFonts w:hint="eastAsia" w:ascii="Times New Roman" w:hAnsiTheme="minorHAnsi" w:eastAsiaTheme="minorEastAsia" w:cstheme="minorBidi"/>
          <w:kern w:val="2"/>
          <w:sz w:val="21"/>
        </w:rPr>
        <w:t>非加急供货)为接到供货通知24小时内，加急供货为接到供货通知4小时内，具体交货时间以采购人供货通知为准。采购人无需因加急供货而额外支付任何费用</w:t>
      </w:r>
      <w:r>
        <w:rPr>
          <w:rFonts w:ascii="Times New Roman" w:hAnsiTheme="minorHAnsi" w:eastAsiaTheme="minorEastAsia" w:cstheme="minorBidi"/>
          <w:kern w:val="2"/>
          <w:sz w:val="21"/>
        </w:rPr>
        <w:t>。</w:t>
      </w:r>
    </w:p>
    <w:p>
      <w:pPr>
        <w:autoSpaceDE/>
        <w:autoSpaceDN/>
        <w:adjustRightInd/>
        <w:spacing w:line="360" w:lineRule="auto"/>
        <w:ind w:firstLine="420" w:firstLineChars="200"/>
        <w:jc w:val="both"/>
        <w:rPr>
          <w:rFonts w:hint="eastAsia" w:hAnsi="宋体" w:cs="宋体" w:asciiTheme="minorHAnsi" w:eastAsiaTheme="minorEastAsia"/>
          <w:color w:val="000000"/>
          <w:kern w:val="2"/>
          <w:sz w:val="21"/>
          <w:szCs w:val="21"/>
          <w:lang w:eastAsia="zh-CN"/>
        </w:rPr>
      </w:pPr>
      <w:r>
        <w:rPr>
          <w:rFonts w:hAnsi="宋体" w:cs="宋体" w:asciiTheme="minorHAnsi" w:eastAsiaTheme="minorEastAsia"/>
          <w:color w:val="000000"/>
          <w:kern w:val="2"/>
          <w:sz w:val="21"/>
          <w:szCs w:val="21"/>
        </w:rPr>
        <w:t>3、</w:t>
      </w:r>
      <w:r>
        <w:rPr>
          <w:rFonts w:hint="eastAsia" w:hAnsi="宋体" w:cs="宋体" w:asciiTheme="minorHAnsi" w:eastAsiaTheme="minorEastAsia"/>
          <w:color w:val="000000"/>
          <w:kern w:val="2"/>
          <w:sz w:val="21"/>
          <w:szCs w:val="21"/>
        </w:rPr>
        <w:t>供货单位</w:t>
      </w:r>
      <w:r>
        <w:rPr>
          <w:rFonts w:hAnsi="宋体" w:cs="宋体" w:asciiTheme="minorHAnsi" w:eastAsiaTheme="minorEastAsia"/>
          <w:color w:val="000000"/>
          <w:kern w:val="2"/>
          <w:sz w:val="21"/>
          <w:szCs w:val="21"/>
        </w:rPr>
        <w:t>自行负责将生产药剂运送至</w:t>
      </w:r>
      <w:r>
        <w:rPr>
          <w:rFonts w:hint="eastAsia" w:hAnsi="宋体" w:cs="宋体" w:asciiTheme="minorHAnsi" w:eastAsiaTheme="minorEastAsia"/>
          <w:color w:val="000000"/>
          <w:kern w:val="2"/>
          <w:sz w:val="21"/>
          <w:szCs w:val="21"/>
        </w:rPr>
        <w:t>采购人</w:t>
      </w:r>
      <w:r>
        <w:rPr>
          <w:rFonts w:hAnsi="宋体" w:cs="宋体" w:asciiTheme="minorHAnsi" w:eastAsiaTheme="minorEastAsia"/>
          <w:color w:val="000000"/>
          <w:kern w:val="2"/>
          <w:sz w:val="21"/>
          <w:szCs w:val="21"/>
        </w:rPr>
        <w:t>指定位置（生产药剂储存罐），未经</w:t>
      </w:r>
      <w:r>
        <w:rPr>
          <w:rFonts w:hint="eastAsia" w:hAnsi="宋体" w:cs="宋体" w:asciiTheme="minorHAnsi" w:eastAsiaTheme="minorEastAsia"/>
          <w:color w:val="000000"/>
          <w:kern w:val="2"/>
          <w:sz w:val="21"/>
          <w:szCs w:val="21"/>
        </w:rPr>
        <w:t>采购人</w:t>
      </w:r>
      <w:r>
        <w:rPr>
          <w:rFonts w:hAnsi="宋体" w:cs="宋体" w:asciiTheme="minorHAnsi" w:eastAsiaTheme="minorEastAsia"/>
          <w:color w:val="000000"/>
          <w:kern w:val="2"/>
          <w:sz w:val="21"/>
          <w:szCs w:val="21"/>
        </w:rPr>
        <w:t>书面同意，</w:t>
      </w:r>
      <w:r>
        <w:rPr>
          <w:rFonts w:hint="eastAsia" w:hAnsi="宋体" w:cs="宋体" w:asciiTheme="minorHAnsi" w:eastAsiaTheme="minorEastAsia"/>
          <w:color w:val="000000"/>
          <w:kern w:val="2"/>
          <w:sz w:val="21"/>
          <w:szCs w:val="21"/>
        </w:rPr>
        <w:t>供货单位</w:t>
      </w:r>
      <w:r>
        <w:rPr>
          <w:rFonts w:hAnsi="宋体" w:cs="宋体" w:asciiTheme="minorHAnsi" w:eastAsiaTheme="minorEastAsia"/>
          <w:color w:val="000000"/>
          <w:kern w:val="2"/>
          <w:sz w:val="21"/>
          <w:szCs w:val="21"/>
        </w:rPr>
        <w:t>不得私自将本合同项下的货物运输义务委托第三方个人或企业。</w:t>
      </w:r>
      <w:r>
        <w:rPr>
          <w:rFonts w:hint="eastAsia" w:hAnsi="宋体" w:cs="宋体" w:asciiTheme="minorHAnsi" w:eastAsiaTheme="minorEastAsia"/>
          <w:color w:val="000000"/>
          <w:kern w:val="2"/>
          <w:sz w:val="21"/>
          <w:szCs w:val="21"/>
        </w:rPr>
        <w:t>供货单位</w:t>
      </w:r>
      <w:r>
        <w:rPr>
          <w:rFonts w:hAnsi="宋体" w:cs="宋体" w:asciiTheme="minorHAnsi" w:eastAsiaTheme="minorEastAsia"/>
          <w:color w:val="000000"/>
          <w:kern w:val="2"/>
          <w:sz w:val="21"/>
          <w:szCs w:val="21"/>
        </w:rPr>
        <w:t>承担相应的运输、装卸、二次搬运等费用，运输人员应配备足够防护器具。如在运输及装卸过程中，生产药剂发生泄</w:t>
      </w:r>
      <w:r>
        <w:rPr>
          <w:rFonts w:hint="eastAsia" w:hAnsi="宋体" w:cs="宋体" w:asciiTheme="minorHAnsi" w:eastAsiaTheme="minorEastAsia"/>
          <w:color w:val="000000"/>
          <w:kern w:val="2"/>
          <w:sz w:val="21"/>
          <w:szCs w:val="21"/>
        </w:rPr>
        <w:t>漏</w:t>
      </w:r>
      <w:r>
        <w:rPr>
          <w:rFonts w:hAnsi="宋体" w:cs="宋体" w:asciiTheme="minorHAnsi" w:eastAsiaTheme="minorEastAsia"/>
          <w:color w:val="000000"/>
          <w:kern w:val="2"/>
          <w:sz w:val="21"/>
          <w:szCs w:val="21"/>
        </w:rPr>
        <w:t>，应由</w:t>
      </w:r>
      <w:r>
        <w:rPr>
          <w:rFonts w:hint="eastAsia" w:hAnsi="宋体" w:cs="宋体" w:asciiTheme="minorHAnsi" w:eastAsiaTheme="minorEastAsia"/>
          <w:color w:val="000000"/>
          <w:kern w:val="2"/>
          <w:sz w:val="21"/>
          <w:szCs w:val="21"/>
        </w:rPr>
        <w:t>供货单位</w:t>
      </w:r>
      <w:r>
        <w:rPr>
          <w:rFonts w:hAnsi="宋体" w:cs="宋体" w:asciiTheme="minorHAnsi" w:eastAsiaTheme="minorEastAsia"/>
          <w:color w:val="000000"/>
          <w:kern w:val="2"/>
          <w:sz w:val="21"/>
          <w:szCs w:val="21"/>
        </w:rPr>
        <w:t>负责清理收集，避免造成人员伤害或环境污染</w:t>
      </w:r>
      <w:r>
        <w:rPr>
          <w:rFonts w:hint="default" w:hAnsi="宋体" w:cs="宋体" w:asciiTheme="minorHAnsi" w:eastAsiaTheme="minorEastAsia"/>
          <w:color w:val="000000"/>
          <w:kern w:val="2"/>
          <w:sz w:val="21"/>
          <w:szCs w:val="21"/>
          <w:lang w:eastAsia="zh-CN"/>
        </w:rPr>
        <w:t>；</w:t>
      </w:r>
      <w:r>
        <w:rPr>
          <w:rFonts w:hAnsi="宋体" w:cs="宋体" w:asciiTheme="minorHAnsi" w:eastAsiaTheme="minorEastAsia"/>
          <w:b w:val="0"/>
          <w:color w:val="000000"/>
          <w:kern w:val="2"/>
          <w:sz w:val="21"/>
          <w:szCs w:val="21"/>
        </w:rPr>
        <w:t>氢氧化钠</w:t>
      </w:r>
      <w:r>
        <w:rPr>
          <w:rFonts w:hint="default" w:hAnsi="宋体" w:cs="宋体" w:asciiTheme="minorHAnsi" w:eastAsiaTheme="minorEastAsia"/>
          <w:color w:val="000000"/>
          <w:kern w:val="2"/>
          <w:sz w:val="21"/>
          <w:szCs w:val="21"/>
          <w:lang w:val="en-US" w:eastAsia="zh-CN"/>
        </w:rPr>
        <w:t>采用</w:t>
      </w:r>
      <w:r>
        <w:rPr>
          <w:rFonts w:hint="default" w:hAnsi="宋体" w:cs="宋体" w:asciiTheme="minorHAnsi" w:eastAsiaTheme="minorEastAsia"/>
          <w:color w:val="000000"/>
          <w:kern w:val="2"/>
          <w:sz w:val="21"/>
          <w:szCs w:val="21"/>
        </w:rPr>
        <w:t>罐车储运，</w:t>
      </w:r>
      <w:r>
        <w:rPr>
          <w:rFonts w:hint="eastAsia" w:hAnsi="宋体" w:cs="宋体" w:asciiTheme="minorHAnsi" w:eastAsiaTheme="minorEastAsia"/>
          <w:color w:val="000000"/>
          <w:kern w:val="2"/>
          <w:sz w:val="21"/>
          <w:szCs w:val="21"/>
          <w:lang w:eastAsia="zh-CN"/>
        </w:rPr>
        <w:t>，</w:t>
      </w:r>
      <w:r>
        <w:rPr>
          <w:rFonts w:hint="default" w:hAnsi="宋体" w:cs="宋体" w:asciiTheme="minorHAnsi" w:eastAsiaTheme="minorEastAsia"/>
          <w:color w:val="000000"/>
          <w:kern w:val="2"/>
          <w:sz w:val="21"/>
          <w:szCs w:val="21"/>
        </w:rPr>
        <w:t>厂内设置2台60m</w:t>
      </w:r>
      <w:r>
        <w:rPr>
          <w:rFonts w:hint="default" w:hAnsi="宋体" w:cs="宋体" w:asciiTheme="minorHAnsi" w:eastAsiaTheme="minorEastAsia"/>
          <w:color w:val="000000"/>
          <w:kern w:val="2"/>
          <w:sz w:val="21"/>
          <w:szCs w:val="21"/>
          <w:vertAlign w:val="baseline"/>
        </w:rPr>
        <w:t>3</w:t>
      </w:r>
      <w:r>
        <w:rPr>
          <w:rFonts w:hint="default" w:hAnsi="宋体" w:cs="宋体" w:asciiTheme="minorHAnsi" w:eastAsiaTheme="minorEastAsia"/>
          <w:color w:val="000000"/>
          <w:kern w:val="2"/>
          <w:sz w:val="21"/>
          <w:szCs w:val="21"/>
        </w:rPr>
        <w:t>的储罐，用于储存该药剂。</w:t>
      </w:r>
      <w:r>
        <w:rPr>
          <w:rFonts w:hint="default" w:hAnsi="宋体" w:cs="宋体" w:asciiTheme="minorHAnsi" w:eastAsiaTheme="minorEastAsia"/>
          <w:color w:val="000000"/>
          <w:kern w:val="2"/>
          <w:sz w:val="21"/>
          <w:szCs w:val="21"/>
          <w:lang w:val="en-US" w:eastAsia="zh-CN"/>
        </w:rPr>
        <w:t>氢氧化钠</w:t>
      </w:r>
      <w:r>
        <w:rPr>
          <w:rFonts w:hint="default" w:hAnsi="宋体" w:cs="宋体" w:asciiTheme="minorHAnsi" w:eastAsiaTheme="minorEastAsia"/>
          <w:color w:val="000000"/>
          <w:kern w:val="2"/>
          <w:sz w:val="21"/>
          <w:szCs w:val="21"/>
        </w:rPr>
        <w:t>进料管管径为DN</w:t>
      </w:r>
      <w:r>
        <w:rPr>
          <w:rFonts w:hint="default" w:hAnsi="宋体" w:cs="宋体" w:asciiTheme="minorHAnsi" w:eastAsiaTheme="minorEastAsia"/>
          <w:color w:val="000000"/>
          <w:kern w:val="2"/>
          <w:sz w:val="21"/>
          <w:szCs w:val="21"/>
          <w:lang w:val="en-US" w:eastAsia="zh-CN"/>
        </w:rPr>
        <w:t>100</w:t>
      </w:r>
      <w:r>
        <w:rPr>
          <w:rFonts w:hint="default" w:hAnsi="宋体" w:cs="宋体" w:asciiTheme="minorHAnsi" w:eastAsiaTheme="minorEastAsia"/>
          <w:color w:val="000000"/>
          <w:kern w:val="2"/>
          <w:sz w:val="21"/>
          <w:szCs w:val="21"/>
          <w:lang w:eastAsia="zh-CN"/>
        </w:rPr>
        <w:t>，</w:t>
      </w:r>
      <w:r>
        <w:rPr>
          <w:rFonts w:hint="default" w:hAnsi="宋体" w:cs="宋体" w:asciiTheme="minorHAnsi" w:eastAsiaTheme="minorEastAsia"/>
          <w:color w:val="000000"/>
          <w:kern w:val="2"/>
          <w:sz w:val="21"/>
          <w:szCs w:val="21"/>
          <w:lang w:eastAsia="zh-CN"/>
        </w:rPr>
        <w:t>配卸料泵</w:t>
      </w:r>
      <w:r>
        <w:rPr>
          <w:rFonts w:hint="eastAsia" w:hAnsi="宋体" w:cs="宋体" w:asciiTheme="minorHAnsi" w:eastAsiaTheme="minorEastAsia"/>
          <w:color w:val="000000"/>
          <w:kern w:val="2"/>
          <w:sz w:val="21"/>
          <w:szCs w:val="21"/>
          <w:lang w:eastAsia="zh-CN"/>
        </w:rPr>
        <w:t>。</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Ansi="宋体" w:cs="宋体" w:asciiTheme="minorHAnsi" w:eastAsiaTheme="minorEastAsia"/>
          <w:color w:val="000000"/>
          <w:kern w:val="2"/>
          <w:sz w:val="21"/>
          <w:szCs w:val="21"/>
        </w:rPr>
        <w:t>4、每次送货</w:t>
      </w:r>
      <w:r>
        <w:rPr>
          <w:rFonts w:hint="eastAsia" w:hAnsi="宋体" w:cs="宋体" w:asciiTheme="minorHAnsi" w:eastAsiaTheme="minorEastAsia"/>
          <w:color w:val="000000"/>
          <w:kern w:val="2"/>
          <w:sz w:val="21"/>
          <w:szCs w:val="21"/>
          <w:lang w:val="en-US" w:eastAsia="zh-CN"/>
        </w:rPr>
        <w:t>到交货地方和卸货离开后</w:t>
      </w:r>
      <w:r>
        <w:rPr>
          <w:rFonts w:hint="eastAsia" w:hAnsi="宋体" w:cs="宋体" w:asciiTheme="minorHAnsi" w:eastAsiaTheme="minorEastAsia"/>
          <w:color w:val="auto"/>
          <w:kern w:val="2"/>
          <w:sz w:val="21"/>
          <w:szCs w:val="21"/>
          <w:lang w:val="en-US" w:eastAsia="zh-CN"/>
        </w:rPr>
        <w:t>，</w:t>
      </w:r>
      <w:r>
        <w:rPr>
          <w:rFonts w:hAnsi="宋体" w:cs="宋体" w:asciiTheme="minorHAnsi" w:eastAsiaTheme="minorEastAsia"/>
          <w:color w:val="auto"/>
          <w:kern w:val="2"/>
          <w:sz w:val="21"/>
          <w:szCs w:val="21"/>
        </w:rPr>
        <w:t>须</w:t>
      </w:r>
      <w:r>
        <w:rPr>
          <w:rFonts w:hint="eastAsia" w:hAnsi="宋体" w:cs="宋体" w:asciiTheme="minorHAnsi" w:eastAsiaTheme="minorEastAsia"/>
          <w:color w:val="auto"/>
          <w:kern w:val="2"/>
          <w:sz w:val="21"/>
          <w:szCs w:val="21"/>
          <w:lang w:val="en-US" w:eastAsia="zh-CN"/>
        </w:rPr>
        <w:t>经过污泥项目厂内的</w:t>
      </w:r>
      <w:r>
        <w:rPr>
          <w:rFonts w:hAnsi="宋体" w:cs="宋体" w:asciiTheme="minorHAnsi" w:eastAsiaTheme="minorEastAsia"/>
          <w:color w:val="auto"/>
          <w:kern w:val="2"/>
          <w:sz w:val="21"/>
          <w:szCs w:val="21"/>
        </w:rPr>
        <w:t>电子地磅</w:t>
      </w:r>
      <w:r>
        <w:rPr>
          <w:rFonts w:hint="eastAsia" w:hAnsi="宋体" w:cs="宋体" w:asciiTheme="minorHAnsi" w:eastAsiaTheme="minorEastAsia"/>
          <w:color w:val="auto"/>
          <w:kern w:val="2"/>
          <w:sz w:val="21"/>
          <w:szCs w:val="21"/>
          <w:lang w:val="en-US" w:eastAsia="zh-CN"/>
        </w:rPr>
        <w:t>进行</w:t>
      </w:r>
      <w:r>
        <w:rPr>
          <w:rFonts w:hAnsi="宋体" w:cs="宋体" w:asciiTheme="minorHAnsi" w:eastAsiaTheme="minorEastAsia"/>
          <w:color w:val="auto"/>
          <w:kern w:val="2"/>
          <w:sz w:val="21"/>
          <w:szCs w:val="21"/>
        </w:rPr>
        <w:t>称重</w:t>
      </w:r>
      <w:r>
        <w:rPr>
          <w:rFonts w:hint="eastAsia" w:hAnsi="宋体" w:cs="宋体" w:asciiTheme="minorHAnsi" w:eastAsiaTheme="minorEastAsia"/>
          <w:color w:val="auto"/>
          <w:kern w:val="2"/>
          <w:sz w:val="21"/>
          <w:szCs w:val="21"/>
          <w:lang w:eastAsia="zh-CN"/>
        </w:rPr>
        <w:t>，</w:t>
      </w:r>
      <w:r>
        <w:rPr>
          <w:rFonts w:hint="eastAsia" w:hAnsi="宋体" w:cs="宋体" w:asciiTheme="minorHAnsi" w:eastAsiaTheme="minorEastAsia"/>
          <w:color w:val="auto"/>
          <w:kern w:val="2"/>
          <w:sz w:val="21"/>
          <w:szCs w:val="21"/>
        </w:rPr>
        <w:t>实际供货数量以</w:t>
      </w:r>
      <w:r>
        <w:rPr>
          <w:rFonts w:hint="eastAsia" w:hAnsi="宋体" w:cs="宋体" w:asciiTheme="minorHAnsi" w:eastAsiaTheme="minorEastAsia"/>
          <w:color w:val="auto"/>
          <w:kern w:val="2"/>
          <w:sz w:val="21"/>
          <w:szCs w:val="21"/>
          <w:lang w:val="en-US" w:eastAsia="zh-CN"/>
        </w:rPr>
        <w:t>污泥项目电子地磅出具的</w:t>
      </w:r>
      <w:r>
        <w:rPr>
          <w:rFonts w:hAnsi="宋体" w:cs="宋体" w:asciiTheme="minorHAnsi" w:eastAsiaTheme="minorEastAsia"/>
          <w:color w:val="auto"/>
          <w:kern w:val="2"/>
          <w:sz w:val="21"/>
          <w:szCs w:val="21"/>
        </w:rPr>
        <w:t>称重单</w:t>
      </w:r>
      <w:r>
        <w:rPr>
          <w:rFonts w:hint="eastAsia" w:hAnsi="宋体" w:cs="宋体" w:asciiTheme="minorHAnsi" w:eastAsiaTheme="minorEastAsia"/>
          <w:color w:val="auto"/>
          <w:kern w:val="2"/>
          <w:sz w:val="21"/>
          <w:szCs w:val="21"/>
        </w:rPr>
        <w:t>为准。</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int="eastAsia" w:hAnsi="宋体" w:cs="宋体" w:asciiTheme="minorHAnsi" w:eastAsiaTheme="minorEastAsia"/>
          <w:color w:val="000000"/>
          <w:kern w:val="2"/>
          <w:sz w:val="21"/>
          <w:szCs w:val="21"/>
        </w:rPr>
        <w:t>5、每次送货，供货单位须随货提供生产厂家出具的具有</w:t>
      </w:r>
      <w:r>
        <w:rPr>
          <w:rFonts w:hint="eastAsia" w:hAnsi="宋体" w:cs="宋体" w:asciiTheme="minorHAnsi" w:eastAsiaTheme="minorEastAsia"/>
          <w:b/>
          <w:bCs/>
          <w:color w:val="000000"/>
          <w:kern w:val="2"/>
          <w:sz w:val="21"/>
          <w:szCs w:val="21"/>
        </w:rPr>
        <w:t>生产厂家、产品名称、规格型号、出厂批号、氢氧化钠含量、氯化钠含量、执行标准</w:t>
      </w:r>
      <w:r>
        <w:rPr>
          <w:rFonts w:hint="eastAsia" w:hAnsi="宋体" w:cs="宋体" w:asciiTheme="minorHAnsi" w:eastAsiaTheme="minorEastAsia"/>
          <w:color w:val="000000"/>
          <w:kern w:val="2"/>
          <w:sz w:val="21"/>
          <w:szCs w:val="21"/>
        </w:rPr>
        <w:t>等主要信息的产品质量检验报告（如出厂检验报告、质量检验报告等）、供货单据等资料，供货单位提供的检验报告只作为采购人参考。</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int="eastAsia" w:hAnsi="宋体" w:cs="宋体" w:asciiTheme="minorHAnsi" w:eastAsiaTheme="minorEastAsia"/>
          <w:color w:val="000000"/>
          <w:kern w:val="2"/>
          <w:sz w:val="21"/>
          <w:szCs w:val="21"/>
        </w:rPr>
        <w:t>6</w:t>
      </w:r>
      <w:r>
        <w:rPr>
          <w:rFonts w:hAnsi="宋体" w:cs="宋体" w:asciiTheme="minorHAnsi" w:eastAsiaTheme="minorEastAsia"/>
          <w:color w:val="000000"/>
          <w:kern w:val="2"/>
          <w:sz w:val="21"/>
          <w:szCs w:val="21"/>
        </w:rPr>
        <w:t>、供货期间，</w:t>
      </w:r>
      <w:r>
        <w:rPr>
          <w:rFonts w:hint="eastAsia" w:hAnsi="宋体" w:cs="宋体" w:asciiTheme="minorHAnsi" w:eastAsiaTheme="minorEastAsia"/>
          <w:color w:val="000000"/>
          <w:kern w:val="2"/>
          <w:sz w:val="21"/>
          <w:szCs w:val="21"/>
        </w:rPr>
        <w:t>在</w:t>
      </w:r>
      <w:r>
        <w:rPr>
          <w:rFonts w:hAnsi="宋体" w:cs="宋体" w:asciiTheme="minorHAnsi" w:eastAsiaTheme="minorEastAsia"/>
          <w:color w:val="000000"/>
          <w:kern w:val="2"/>
          <w:sz w:val="21"/>
          <w:szCs w:val="21"/>
        </w:rPr>
        <w:t>收到</w:t>
      </w:r>
      <w:r>
        <w:rPr>
          <w:rFonts w:hint="eastAsia" w:hAnsi="宋体" w:cs="宋体" w:asciiTheme="minorHAnsi" w:eastAsiaTheme="minorEastAsia"/>
          <w:color w:val="000000"/>
          <w:kern w:val="2"/>
          <w:sz w:val="21"/>
          <w:szCs w:val="21"/>
        </w:rPr>
        <w:t>采购人供货</w:t>
      </w:r>
      <w:r>
        <w:rPr>
          <w:rFonts w:hAnsi="宋体" w:cs="宋体" w:asciiTheme="minorHAnsi" w:eastAsiaTheme="minorEastAsia"/>
          <w:color w:val="000000"/>
          <w:kern w:val="2"/>
          <w:sz w:val="21"/>
          <w:szCs w:val="21"/>
        </w:rPr>
        <w:t>通知前，</w:t>
      </w:r>
      <w:r>
        <w:rPr>
          <w:rFonts w:hint="eastAsia" w:hAnsi="宋体" w:cs="宋体" w:asciiTheme="minorHAnsi" w:eastAsiaTheme="minorEastAsia"/>
          <w:color w:val="000000"/>
          <w:kern w:val="2"/>
          <w:sz w:val="21"/>
          <w:szCs w:val="21"/>
        </w:rPr>
        <w:t>供货单位</w:t>
      </w:r>
      <w:r>
        <w:rPr>
          <w:rFonts w:hAnsi="宋体" w:cs="宋体" w:asciiTheme="minorHAnsi" w:eastAsiaTheme="minorEastAsia"/>
          <w:color w:val="000000"/>
          <w:kern w:val="2"/>
          <w:sz w:val="21"/>
          <w:szCs w:val="21"/>
        </w:rPr>
        <w:t>无需为合同履行做准备工作。</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Ansi="宋体" w:cs="宋体" w:asciiTheme="minorHAnsi" w:eastAsiaTheme="minorEastAsia"/>
          <w:color w:val="000000"/>
          <w:kern w:val="2"/>
          <w:sz w:val="21"/>
          <w:szCs w:val="21"/>
        </w:rPr>
        <w:t>7、生产药剂的运送及输送方式应符合国家或行业规范标准。</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Ansi="宋体" w:cs="宋体" w:asciiTheme="minorHAnsi" w:eastAsiaTheme="minorEastAsia"/>
          <w:color w:val="000000"/>
          <w:kern w:val="2"/>
          <w:sz w:val="21"/>
          <w:szCs w:val="21"/>
        </w:rPr>
        <w:t>8</w:t>
      </w:r>
      <w:r>
        <w:rPr>
          <w:rFonts w:hint="eastAsia" w:hAnsi="宋体" w:cs="宋体" w:asciiTheme="minorHAnsi" w:eastAsiaTheme="minorEastAsia"/>
          <w:color w:val="000000"/>
          <w:kern w:val="2"/>
          <w:sz w:val="21"/>
          <w:szCs w:val="21"/>
        </w:rPr>
        <w:t>、生产药剂的贮存装置、贮存条件、保质期等信息，供货单位应以书面形式详细告知采购人。</w:t>
      </w:r>
    </w:p>
    <w:p>
      <w:pPr>
        <w:autoSpaceDE/>
        <w:autoSpaceDN/>
        <w:adjustRightInd/>
        <w:spacing w:line="360" w:lineRule="auto"/>
        <w:ind w:firstLine="420" w:firstLineChars="200"/>
        <w:jc w:val="both"/>
        <w:rPr>
          <w:rFonts w:hAnsi="宋体" w:cs="宋体" w:asciiTheme="minorHAnsi" w:eastAsiaTheme="minorEastAsia"/>
          <w:color w:val="000000"/>
          <w:kern w:val="2"/>
          <w:sz w:val="21"/>
          <w:szCs w:val="21"/>
        </w:rPr>
      </w:pPr>
      <w:r>
        <w:rPr>
          <w:rFonts w:hAnsi="宋体" w:cs="宋体" w:asciiTheme="minorHAnsi" w:eastAsiaTheme="minorEastAsia"/>
          <w:color w:val="000000"/>
          <w:kern w:val="2"/>
          <w:sz w:val="21"/>
          <w:szCs w:val="21"/>
        </w:rPr>
        <w:t>9</w:t>
      </w:r>
      <w:r>
        <w:rPr>
          <w:rFonts w:hint="eastAsia" w:hAnsi="宋体" w:cs="宋体" w:asciiTheme="minorHAnsi" w:eastAsiaTheme="minorEastAsia"/>
          <w:color w:val="000000"/>
          <w:kern w:val="2"/>
          <w:sz w:val="21"/>
          <w:szCs w:val="21"/>
        </w:rPr>
        <w:t>、液体氢氧化钠产品的标志、包装要求必须符合《工业用氢氧化钠》（GB/T 209-2018）。</w:t>
      </w:r>
    </w:p>
    <w:p>
      <w:pPr>
        <w:autoSpaceDE/>
        <w:autoSpaceDN/>
        <w:adjustRightInd/>
        <w:spacing w:line="360" w:lineRule="auto"/>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四、验收要求</w:t>
      </w:r>
    </w:p>
    <w:p>
      <w:pPr>
        <w:spacing w:line="36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1、验收分为货到交货地点的初步验收和货物检验合格后的最终验收。</w:t>
      </w:r>
    </w:p>
    <w:p>
      <w:pPr>
        <w:spacing w:line="36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（1）初步验收：</w:t>
      </w:r>
    </w:p>
    <w:p>
      <w:pPr>
        <w:spacing w:line="36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1）货物运抵交货地点，采购人、供货单位共同验货。采购人按照本项目合同及用户需求书，对货物的数量、品种、随车产品质量检验报告</w:t>
      </w:r>
      <w:r>
        <w:rPr>
          <w:rFonts w:hint="eastAsia" w:ascii="宋体" w:hAnsi="宋体" w:eastAsia="宋体" w:cs="宋体"/>
          <w:sz w:val="21"/>
          <w:szCs w:val="21"/>
          <w:highlight w:val="none"/>
        </w:rPr>
        <w:t>（包含本需求书</w:t>
      </w:r>
      <w:r>
        <w:rPr>
          <w:rFonts w:hint="eastAsia" w:ascii="宋体" w:hAnsi="宋体" w:eastAsia="宋体" w:cs="宋体"/>
          <w:sz w:val="21"/>
          <w:szCs w:val="21"/>
          <w:highlight w:val="none"/>
          <w:lang w:val="en-US" w:eastAsia="zh-CN"/>
        </w:rPr>
        <w:t>表1的</w:t>
      </w:r>
      <w:r>
        <w:rPr>
          <w:rFonts w:hint="eastAsia" w:ascii="宋体" w:hAnsi="宋体" w:eastAsia="宋体" w:cs="宋体"/>
          <w:sz w:val="21"/>
          <w:szCs w:val="21"/>
          <w:highlight w:val="none"/>
        </w:rPr>
        <w:t>全部</w:t>
      </w:r>
      <w:r>
        <w:rPr>
          <w:rFonts w:hint="eastAsia" w:ascii="宋体" w:hAnsi="宋体" w:eastAsia="宋体" w:cs="宋体"/>
          <w:sz w:val="21"/>
          <w:szCs w:val="21"/>
          <w:highlight w:val="none"/>
          <w:lang w:val="en-US" w:eastAsia="zh-CN"/>
        </w:rPr>
        <w:t>技术</w:t>
      </w:r>
      <w:r>
        <w:rPr>
          <w:rFonts w:hint="eastAsia" w:ascii="宋体" w:hAnsi="宋体" w:eastAsia="宋体" w:cs="宋体"/>
          <w:sz w:val="21"/>
          <w:szCs w:val="21"/>
          <w:highlight w:val="none"/>
        </w:rPr>
        <w:t>指标）</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产品合格证、</w:t>
      </w:r>
      <w:r>
        <w:rPr>
          <w:rFonts w:hint="eastAsia" w:ascii="宋体" w:hAnsi="宋体" w:eastAsia="宋体" w:cs="宋体"/>
          <w:color w:val="000000"/>
          <w:kern w:val="2"/>
          <w:sz w:val="21"/>
          <w:szCs w:val="21"/>
        </w:rPr>
        <w:t>供货单据等进行核对。</w:t>
      </w:r>
    </w:p>
    <w:p>
      <w:pPr>
        <w:spacing w:line="360" w:lineRule="auto"/>
        <w:ind w:firstLine="420" w:firstLineChars="200"/>
        <w:jc w:val="both"/>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2）初步验收合格后，双方</w:t>
      </w:r>
      <w:r>
        <w:rPr>
          <w:rFonts w:hint="eastAsia" w:hAnsi="宋体" w:cs="宋体"/>
          <w:color w:val="000000"/>
          <w:kern w:val="2"/>
          <w:sz w:val="21"/>
          <w:szCs w:val="21"/>
          <w:lang w:val="en-US" w:eastAsia="zh-CN"/>
        </w:rPr>
        <w:t>进行相关签收手续。</w:t>
      </w:r>
    </w:p>
    <w:p>
      <w:pPr>
        <w:spacing w:line="36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（2）最终验收</w:t>
      </w:r>
    </w:p>
    <w:p>
      <w:pPr>
        <w:spacing w:line="360" w:lineRule="auto"/>
        <w:ind w:firstLine="420" w:firstLineChars="200"/>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rPr>
        <w:t>采购人对每次供货货物检验，检验指标由采购人在</w:t>
      </w:r>
      <w:r>
        <w:rPr>
          <w:rFonts w:hint="eastAsia" w:ascii="宋体" w:hAnsi="宋体" w:eastAsia="宋体" w:cs="宋体"/>
          <w:color w:val="000000"/>
          <w:kern w:val="2"/>
          <w:sz w:val="21"/>
          <w:szCs w:val="21"/>
          <w:lang w:val="en-US" w:eastAsia="zh-CN"/>
        </w:rPr>
        <w:t>根据需要</w:t>
      </w:r>
      <w:r>
        <w:rPr>
          <w:rFonts w:hint="eastAsia" w:ascii="宋体" w:hAnsi="宋体" w:eastAsia="宋体" w:cs="宋体"/>
          <w:color w:val="000000"/>
          <w:kern w:val="2"/>
          <w:sz w:val="21"/>
          <w:szCs w:val="21"/>
        </w:rPr>
        <w:t>表1中选择</w:t>
      </w: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rPr>
        <w:t>货物批按需检验指标由采购人根据采购人关于药剂的管理制度及要求适时调整。采购人对每次供货货物检验，每次货到现场时可由双方共同取样，供货货物合格判定以采购人实验室检验结果为准</w:t>
      </w:r>
      <w:r>
        <w:rPr>
          <w:rFonts w:hint="eastAsia" w:ascii="宋体" w:hAnsi="宋体" w:eastAsia="宋体" w:cs="宋体"/>
          <w:color w:val="000000"/>
          <w:kern w:val="2"/>
          <w:sz w:val="21"/>
          <w:szCs w:val="21"/>
          <w:lang w:eastAsia="zh-CN"/>
        </w:rPr>
        <w:t>，若供应商对采购人的检测结果有异议，在保证采购人正常生产的前提下，由采购人</w:t>
      </w:r>
      <w:r>
        <w:rPr>
          <w:rFonts w:hint="eastAsia" w:ascii="宋体" w:hAnsi="宋体" w:eastAsia="宋体" w:cs="宋体"/>
          <w:color w:val="000000"/>
          <w:kern w:val="2"/>
          <w:sz w:val="21"/>
          <w:szCs w:val="21"/>
          <w:lang w:val="en-US" w:eastAsia="zh-CN"/>
        </w:rPr>
        <w:t>委托</w:t>
      </w:r>
      <w:r>
        <w:rPr>
          <w:rFonts w:hint="eastAsia" w:ascii="宋体" w:hAnsi="宋体" w:eastAsia="宋体" w:cs="宋体"/>
          <w:color w:val="000000"/>
          <w:kern w:val="2"/>
          <w:sz w:val="21"/>
          <w:szCs w:val="21"/>
          <w:lang w:eastAsia="zh-CN"/>
        </w:rPr>
        <w:t>的有检测产品CMA认证资质的单位对货物进行检测，该次的供货货物质量判定以采购人委托的具有CMA认证资质的第三方检测机构的检验结果为准。</w:t>
      </w:r>
    </w:p>
    <w:p>
      <w:pPr>
        <w:spacing w:line="360" w:lineRule="auto"/>
        <w:ind w:firstLine="420" w:firstLineChars="20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rPr>
        <w:t>2)供货期间，如有发布最新的行业标准或国家标准，货物检验方法按发布的最新行业标准或国家标准执行。</w:t>
      </w:r>
    </w:p>
    <w:p>
      <w:pPr>
        <w:spacing w:line="36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2、货物按上述程序验收后，采购人向供货单位出具书面的验收报告，供货单位需对验收报告盖章确认。验收报告作为对货物供货数量及主要技术指标验收的证明，不代表对货物使用效果的认可。</w:t>
      </w:r>
    </w:p>
    <w:p>
      <w:pPr>
        <w:spacing w:line="36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3、采购人根据本条规定对货物所做出的验收，仅作为起算付款及质保期之用，不视为双方对于货物质量的最终认可，供货单位仍应在质保期内对产品质量承担保证责任。</w:t>
      </w:r>
    </w:p>
    <w:p>
      <w:pPr>
        <w:spacing w:line="360" w:lineRule="auto"/>
        <w:ind w:firstLine="420" w:firstLineChars="200"/>
        <w:jc w:val="both"/>
        <w:rPr>
          <w:rFonts w:hint="eastAsia" w:ascii="宋体" w:hAnsi="宋体" w:eastAsia="宋体" w:cs="宋体"/>
          <w:b/>
          <w:bCs/>
          <w:kern w:val="2"/>
          <w:sz w:val="21"/>
          <w:szCs w:val="21"/>
        </w:rPr>
      </w:pPr>
      <w:r>
        <w:rPr>
          <w:rFonts w:hint="eastAsia" w:ascii="宋体" w:hAnsi="宋体" w:eastAsia="宋体" w:cs="宋体"/>
          <w:color w:val="000000"/>
          <w:kern w:val="2"/>
          <w:sz w:val="21"/>
          <w:szCs w:val="21"/>
        </w:rPr>
        <w:t>4、货物在经最终验收合格前，其损耗、毁损、灭失等风险及责任由供货单位承担，如因发生前述情形，导致供货单位所提供的货物不能通过采购人验收的，供货单位应按采购人要求无条件予以退换货，给采购人造成损失的供货单位须承担全部的赔偿责任。</w:t>
      </w:r>
    </w:p>
    <w:p>
      <w:pPr>
        <w:spacing w:line="360" w:lineRule="auto"/>
        <w:ind w:firstLine="422" w:firstLineChars="200"/>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、质量保证及售后要求</w:t>
      </w:r>
    </w:p>
    <w:p>
      <w:pPr>
        <w:spacing w:line="360" w:lineRule="auto"/>
        <w:ind w:firstLine="420" w:firstLineChars="200"/>
        <w:rPr>
          <w:rFonts w:hint="eastAsia" w:ascii="宋体" w:hAnsi="宋体" w:eastAsia="宋体" w:cs="宋体"/>
          <w:b w:val="0"/>
          <w:bCs/>
          <w:kern w:val="2"/>
          <w:sz w:val="21"/>
          <w:szCs w:val="21"/>
        </w:rPr>
      </w:pPr>
      <w:r>
        <w:rPr>
          <w:rFonts w:hint="eastAsia" w:ascii="宋体" w:hAnsi="宋体" w:eastAsia="宋体" w:cs="宋体"/>
          <w:b w:val="0"/>
          <w:bCs/>
          <w:kern w:val="2"/>
          <w:sz w:val="21"/>
          <w:szCs w:val="21"/>
        </w:rPr>
        <w:t>1、保质期：以货到现场之</w:t>
      </w:r>
      <w:r>
        <w:rPr>
          <w:rFonts w:hint="eastAsia" w:ascii="宋体" w:hAnsi="宋体" w:eastAsia="宋体" w:cs="宋体"/>
          <w:b w:val="0"/>
          <w:bCs/>
          <w:kern w:val="2"/>
          <w:sz w:val="21"/>
          <w:szCs w:val="21"/>
          <w:highlight w:val="none"/>
        </w:rPr>
        <w:t>日起计不少于</w:t>
      </w:r>
      <w:r>
        <w:rPr>
          <w:rFonts w:hint="eastAsia" w:hAnsi="宋体" w:cs="宋体"/>
          <w:b w:val="0"/>
          <w:bCs/>
          <w:kern w:val="2"/>
          <w:sz w:val="21"/>
          <w:szCs w:val="21"/>
          <w:highlight w:val="none"/>
          <w:lang w:val="en-US" w:eastAsia="zh-CN"/>
        </w:rPr>
        <w:t>6</w:t>
      </w:r>
      <w:r>
        <w:rPr>
          <w:rFonts w:hint="eastAsia" w:ascii="宋体" w:hAnsi="宋体" w:eastAsia="宋体" w:cs="宋体"/>
          <w:b w:val="0"/>
          <w:bCs/>
          <w:kern w:val="2"/>
          <w:sz w:val="21"/>
          <w:szCs w:val="21"/>
          <w:highlight w:val="none"/>
        </w:rPr>
        <w:t>个月</w:t>
      </w:r>
      <w:r>
        <w:rPr>
          <w:rFonts w:hint="eastAsia" w:ascii="宋体" w:hAnsi="宋体" w:eastAsia="宋体" w:cs="宋体"/>
          <w:b w:val="0"/>
          <w:bCs/>
          <w:kern w:val="2"/>
          <w:sz w:val="21"/>
          <w:szCs w:val="21"/>
        </w:rPr>
        <w:t>，保质期内产品质量须达到本合同所有技术指标要求。</w:t>
      </w:r>
      <w:bookmarkStart w:id="5" w:name="_GoBack"/>
      <w:bookmarkEnd w:id="5"/>
    </w:p>
    <w:p>
      <w:pPr>
        <w:spacing w:line="360" w:lineRule="auto"/>
        <w:ind w:firstLine="420" w:firstLineChars="200"/>
        <w:rPr>
          <w:rFonts w:hint="eastAsia" w:ascii="宋体" w:hAnsi="宋体" w:eastAsia="宋体" w:cs="宋体"/>
          <w:b w:val="0"/>
          <w:bCs/>
          <w:kern w:val="2"/>
          <w:sz w:val="21"/>
          <w:szCs w:val="21"/>
        </w:rPr>
      </w:pPr>
      <w:r>
        <w:rPr>
          <w:rFonts w:hint="eastAsia" w:ascii="宋体" w:hAnsi="宋体" w:eastAsia="宋体" w:cs="宋体"/>
          <w:b w:val="0"/>
          <w:bCs/>
          <w:kern w:val="2"/>
          <w:sz w:val="21"/>
          <w:szCs w:val="21"/>
        </w:rPr>
        <w:t>2、供货单位应具有相应的技术人员，具备供货及售前售后的服务能力。</w:t>
      </w:r>
    </w:p>
    <w:p>
      <w:pPr>
        <w:spacing w:line="360" w:lineRule="auto"/>
        <w:ind w:firstLine="420" w:firstLineChars="200"/>
        <w:rPr>
          <w:rFonts w:hint="eastAsia" w:ascii="宋体" w:hAnsi="宋体" w:eastAsia="宋体" w:cs="宋体"/>
          <w:b w:val="0"/>
          <w:bCs/>
          <w:kern w:val="2"/>
          <w:sz w:val="21"/>
          <w:szCs w:val="21"/>
        </w:rPr>
      </w:pPr>
      <w:r>
        <w:rPr>
          <w:rFonts w:hint="eastAsia" w:ascii="宋体" w:hAnsi="宋体" w:eastAsia="宋体" w:cs="宋体"/>
          <w:b w:val="0"/>
          <w:bCs/>
          <w:kern w:val="2"/>
          <w:sz w:val="21"/>
          <w:szCs w:val="21"/>
        </w:rPr>
        <w:t>3、供货单位在接到质量问题通知后</w:t>
      </w: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4小时内自费派工程师到达现场对问题进行处理。</w:t>
      </w:r>
    </w:p>
    <w:p>
      <w:pPr>
        <w:spacing w:line="360" w:lineRule="auto"/>
        <w:ind w:firstLine="420" w:firstLineChars="200"/>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rPr>
        <w:t>4</w:t>
      </w:r>
      <w:r>
        <w:rPr>
          <w:rFonts w:hint="eastAsia" w:ascii="宋体" w:hAnsi="宋体" w:eastAsia="宋体" w:cs="宋体"/>
          <w:b w:val="0"/>
          <w:bCs/>
          <w:kern w:val="2"/>
          <w:sz w:val="21"/>
          <w:szCs w:val="21"/>
        </w:rPr>
        <w:t>、在交货或合同履行过程中，若因所交货物（包括但不限于品种、型号、规格、质量）不符合采购人要求、或货物使用过程中出现质量问题，导致供货单位提供的生产药剂不能通过采购人验收的，采购人可拒绝收货或要求供货单位承担退换货责任。原则上供货单位应该在不影响采购人正常生产的情况下，自采购人通知后</w:t>
      </w: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4小时内无条件予以退换货，采购人不承担因验收造成的货物损耗及运输等一切费用且不对货物承担保管责任，因此产生的费用及风险由供货单位承担。</w:t>
      </w:r>
    </w:p>
    <w:p>
      <w:pPr>
        <w:spacing w:line="360" w:lineRule="auto"/>
        <w:ind w:firstLine="420" w:firstLineChars="200"/>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rPr>
        <w:t>5</w:t>
      </w:r>
      <w:r>
        <w:rPr>
          <w:rFonts w:hint="eastAsia" w:ascii="宋体" w:hAnsi="宋体" w:eastAsia="宋体" w:cs="宋体"/>
          <w:b w:val="0"/>
          <w:bCs/>
          <w:kern w:val="2"/>
          <w:sz w:val="21"/>
          <w:szCs w:val="21"/>
        </w:rPr>
        <w:t>、自采购人通知货物检验不合格或货物使用过程中出现质量问题而要求供货单位按照前述条款进行退换货后</w:t>
      </w: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4小时内供货单位未将不合格货物运离采购人仓库，采购人可自行或委托第三方对不合格货物进行处置，供货单位须承担采购人处置该次不合格货物所需的全部费用，以及给采购人造成的一切损失。</w:t>
      </w:r>
    </w:p>
    <w:p>
      <w:pPr>
        <w:spacing w:line="360" w:lineRule="auto"/>
        <w:ind w:firstLine="420" w:firstLineChars="200"/>
        <w:rPr>
          <w:rFonts w:hint="eastAsia" w:ascii="宋体" w:hAnsi="宋体" w:eastAsia="宋体" w:cs="宋体"/>
          <w:b/>
          <w:kern w:val="2"/>
          <w:sz w:val="21"/>
          <w:szCs w:val="21"/>
        </w:rPr>
      </w:pPr>
      <w:r>
        <w:rPr>
          <w:rFonts w:hint="eastAsia" w:ascii="宋体" w:hAnsi="宋体" w:eastAsia="宋体" w:cs="宋体"/>
          <w:b w:val="0"/>
          <w:bCs/>
          <w:kern w:val="2"/>
          <w:sz w:val="21"/>
          <w:szCs w:val="21"/>
          <w:lang w:val="en-US" w:eastAsia="zh-CN"/>
        </w:rPr>
        <w:t>6</w:t>
      </w:r>
      <w:r>
        <w:rPr>
          <w:rFonts w:hint="eastAsia" w:ascii="宋体" w:hAnsi="宋体" w:eastAsia="宋体" w:cs="宋体"/>
          <w:b w:val="0"/>
          <w:bCs/>
          <w:kern w:val="2"/>
          <w:sz w:val="21"/>
          <w:szCs w:val="21"/>
        </w:rPr>
        <w:t>、自采购人通知供货单位货物检验不合格或货物使用过程中出现质量问题后，采购人有权要求供货单位按照加急供货的规定，将等量的合格货物送交采购人，否则按加急供货的违约规定进行处理。</w:t>
      </w:r>
    </w:p>
    <w:p>
      <w:pPr>
        <w:spacing w:line="360" w:lineRule="auto"/>
        <w:ind w:firstLine="422" w:firstLineChars="200"/>
        <w:rPr>
          <w:rFonts w:hint="default" w:ascii="宋体" w:hAnsi="宋体" w:eastAsia="宋体" w:cs="宋体"/>
          <w:b/>
          <w:kern w:val="2"/>
          <w:sz w:val="21"/>
          <w:szCs w:val="21"/>
          <w:lang w:val="en-US" w:eastAsia="zh-CN"/>
        </w:rPr>
      </w:pP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w:t>
      </w:r>
      <w:r>
        <w:rPr>
          <w:rFonts w:hint="eastAsia" w:ascii="宋体" w:hAnsi="宋体" w:eastAsia="宋体" w:cs="宋体"/>
          <w:b/>
          <w:kern w:val="2"/>
          <w:sz w:val="21"/>
          <w:szCs w:val="21"/>
          <w:lang w:val="en-US" w:eastAsia="zh-CN"/>
        </w:rPr>
        <w:t>付款方式</w:t>
      </w:r>
    </w:p>
    <w:p>
      <w:pPr>
        <w:spacing w:line="360" w:lineRule="auto"/>
        <w:ind w:firstLine="420" w:firstLineChars="200"/>
        <w:rPr>
          <w:rFonts w:hint="eastAsia" w:ascii="宋体" w:hAnsi="宋体" w:eastAsia="宋体" w:cs="宋体"/>
          <w:b w:val="0"/>
          <w:bCs/>
          <w:kern w:val="2"/>
          <w:sz w:val="21"/>
          <w:szCs w:val="21"/>
          <w:highlight w:val="none"/>
        </w:rPr>
      </w:pPr>
      <w:r>
        <w:rPr>
          <w:rFonts w:hint="eastAsia" w:hAnsi="宋体" w:cs="宋体"/>
          <w:b w:val="0"/>
          <w:bCs/>
          <w:kern w:val="2"/>
          <w:sz w:val="21"/>
          <w:szCs w:val="21"/>
          <w:highlight w:val="none"/>
          <w:lang w:val="en-US" w:eastAsia="zh-CN"/>
        </w:rPr>
        <w:t>1、货物</w:t>
      </w:r>
      <w:r>
        <w:rPr>
          <w:rFonts w:hint="eastAsia" w:ascii="宋体" w:hAnsi="宋体" w:eastAsia="宋体" w:cs="宋体"/>
          <w:b w:val="0"/>
          <w:bCs/>
          <w:kern w:val="2"/>
          <w:sz w:val="21"/>
          <w:szCs w:val="21"/>
          <w:highlight w:val="none"/>
        </w:rPr>
        <w:t>的款项按月支付，每月中旬办理支付上月实际供货量的 100%货款。</w:t>
      </w:r>
    </w:p>
    <w:p>
      <w:pPr>
        <w:spacing w:line="360" w:lineRule="auto"/>
        <w:ind w:firstLine="420" w:firstLineChars="200"/>
        <w:rPr>
          <w:rFonts w:hint="eastAsia" w:ascii="宋体" w:hAnsi="宋体" w:eastAsia="宋体" w:cs="宋体"/>
          <w:b/>
          <w:kern w:val="2"/>
          <w:sz w:val="21"/>
          <w:szCs w:val="21"/>
          <w:highlight w:val="none"/>
        </w:rPr>
      </w:pPr>
      <w:r>
        <w:rPr>
          <w:rFonts w:hint="eastAsia" w:hAnsi="宋体" w:cs="宋体"/>
          <w:b w:val="0"/>
          <w:bCs/>
          <w:kern w:val="2"/>
          <w:sz w:val="21"/>
          <w:szCs w:val="21"/>
          <w:highlight w:val="none"/>
          <w:lang w:val="en-US" w:eastAsia="zh-CN"/>
        </w:rPr>
        <w:t>2、</w:t>
      </w:r>
      <w:r>
        <w:rPr>
          <w:rFonts w:hint="eastAsia" w:ascii="宋体" w:hAnsi="宋体" w:eastAsia="宋体" w:cs="宋体"/>
          <w:b w:val="0"/>
          <w:bCs/>
          <w:kern w:val="2"/>
          <w:sz w:val="21"/>
          <w:szCs w:val="21"/>
          <w:highlight w:val="none"/>
        </w:rPr>
        <w:t>每次付款前，投标人需提交请款报告和增值税专用发票，招标人在收到请款报告和增值税专用发票后30 个工作日内支付货款。</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kern w:val="2"/>
          <w:sz w:val="21"/>
          <w:szCs w:val="21"/>
          <w:lang w:val="en-US" w:eastAsia="zh-CN"/>
        </w:rPr>
        <w:t>七、其他</w:t>
      </w:r>
      <w:r>
        <w:rPr>
          <w:rFonts w:hint="eastAsia" w:ascii="宋体" w:hAnsi="宋体" w:eastAsia="宋体" w:cs="宋体"/>
          <w:b/>
          <w:kern w:val="2"/>
          <w:sz w:val="21"/>
          <w:szCs w:val="21"/>
        </w:rPr>
        <w:t>要求</w:t>
      </w:r>
    </w:p>
    <w:p>
      <w:pPr>
        <w:spacing w:line="360" w:lineRule="auto"/>
        <w:ind w:firstLine="420" w:firstLineChars="200"/>
        <w:rPr>
          <w:rFonts w:hint="eastAsia" w:hAnsi="宋体" w:cs="宋体"/>
          <w:b w:val="0"/>
          <w:bCs/>
          <w:kern w:val="2"/>
          <w:sz w:val="21"/>
          <w:szCs w:val="21"/>
          <w:lang w:val="en-US" w:eastAsia="zh-CN"/>
        </w:rPr>
      </w:pPr>
      <w:r>
        <w:rPr>
          <w:rFonts w:hint="eastAsia" w:hAnsi="宋体" w:cs="宋体"/>
          <w:b w:val="0"/>
          <w:bCs/>
          <w:kern w:val="2"/>
          <w:sz w:val="21"/>
          <w:szCs w:val="21"/>
          <w:lang w:val="en-US" w:eastAsia="zh-CN"/>
        </w:rPr>
        <w:t>1、投标人投标时还需提供反映报价产品性能参数的具有资质的第三方检测机构出具的检验报告,检验报告标徽应包括但不限于 CMA 认证标微，报告日期为2025年1月1日以后。</w:t>
      </w:r>
    </w:p>
    <w:p>
      <w:pPr>
        <w:spacing w:line="360" w:lineRule="auto"/>
        <w:ind w:firstLine="420" w:firstLineChars="200"/>
        <w:rPr>
          <w:rFonts w:hint="eastAsia" w:hAnsi="宋体" w:cs="宋体"/>
          <w:b w:val="0"/>
          <w:bCs/>
          <w:kern w:val="2"/>
          <w:sz w:val="21"/>
          <w:szCs w:val="21"/>
          <w:lang w:val="en-US" w:eastAsia="zh-CN"/>
        </w:rPr>
      </w:pPr>
      <w:r>
        <w:rPr>
          <w:rFonts w:hint="eastAsia" w:hAnsi="宋体" w:cs="宋体"/>
          <w:b w:val="0"/>
          <w:bCs/>
          <w:kern w:val="2"/>
          <w:sz w:val="21"/>
          <w:szCs w:val="21"/>
          <w:lang w:val="en-US" w:eastAsia="zh-CN"/>
        </w:rPr>
        <w:t>2、加急供货时，投标人未在约定的时间内完成交货的，每逾期12个小时，应按合同暂定总价的 1%向招标人支付违约金，投标人逾期次数超过3次，招标人可单方解除本合同，招标人除前述逾期违约金外，还应额外按合同暂定总价的3%向招标人支付违约金。</w:t>
      </w:r>
    </w:p>
    <w:p>
      <w:pPr>
        <w:spacing w:line="360" w:lineRule="auto"/>
        <w:ind w:firstLine="420" w:firstLineChars="200"/>
        <w:rPr>
          <w:rFonts w:hint="eastAsia" w:hAnsi="宋体" w:cs="宋体"/>
          <w:b w:val="0"/>
          <w:bCs/>
          <w:kern w:val="2"/>
          <w:sz w:val="21"/>
          <w:szCs w:val="21"/>
          <w:lang w:val="en-US" w:eastAsia="zh-CN"/>
        </w:rPr>
      </w:pPr>
      <w:r>
        <w:rPr>
          <w:rFonts w:hint="eastAsia" w:hAnsi="宋体" w:cs="宋体"/>
          <w:b w:val="0"/>
          <w:bCs/>
          <w:kern w:val="2"/>
          <w:sz w:val="21"/>
          <w:szCs w:val="21"/>
          <w:lang w:val="en-US" w:eastAsia="zh-CN"/>
        </w:rPr>
        <w:t>3、日常供货(非加急供货)投标人未在约定的时间内完成交货的，每逾期12个小时，应按合同暂定总价的 5%向招标人支付违约金。投标人逾期次数超过3次的，招标人可单方解除本合同，投标人除前述逾期违约金外，还应额外按合同暂定总价的3%向招标人支付违约金。</w:t>
      </w:r>
    </w:p>
    <w:bookmarkEnd w:id="4"/>
    <w:p>
      <w:pPr>
        <w:spacing w:after="120"/>
        <w:rPr>
          <w:rFonts w:hAnsi="宋体" w:cs="宋体"/>
        </w:rPr>
      </w:pPr>
    </w:p>
    <w:bookmarkEnd w:id="1"/>
    <w:bookmarkEnd w:id="2"/>
    <w:bookmarkEnd w:id="3"/>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661670" cy="345440"/>
              <wp:effectExtent l="0" t="0" r="5080" b="0"/>
              <wp:wrapNone/>
              <wp:docPr id="1166964591" name="文本框 3" descr="General"/>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3" o:spid="_x0000_s1026" o:spt="202" alt="General" type="#_x0000_t202" style="position:absolute;left:0pt;height:27.2pt;width:52.1pt;mso-position-horizontal:lef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nYKM9MAAAAEAQAADwAAAAAAAAABACAAAAAiAAAA&#10;ZHJzL2Rvd25yZXYueG1sUEsBAhQAFAAAAAgAh07iQGEnOX1FAgAAbQQAAA4AAAAAAAAAAQAgAAAA&#10;IgEAAGRycy9lMm9Eb2MueG1sUEsFBgAAAAAGAAYAWQEAANkFAAAAAA==&#10;">
              <v:fill on="f" focussize="0,0"/>
              <v:stroke on="f"/>
              <v:imagedata o:title=""/>
              <o:lock v:ext="edit" aspectratio="f"/>
              <v:textbox inset="20pt,0mm,0mm,15pt" style="mso-fit-shape-to-text:t;">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661670" cy="345440"/>
              <wp:effectExtent l="0" t="0" r="5080" b="0"/>
              <wp:wrapNone/>
              <wp:docPr id="1707509329" name="文本框 2" descr="General"/>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2" o:spid="_x0000_s1026" o:spt="202" alt="General" type="#_x0000_t202" style="position:absolute;left:0pt;height:27.2pt;width:52.1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p2CjPTAAAABAEAAA8AAAAAAAAAAQAgAAAAIgAA&#10;AGRycy9kb3ducmV2LnhtbFBLAQIUABQAAAAIAIdO4kDdZMS1RgIAAG0EAAAOAAAAAAAAAAEAIAAA&#10;ACIBAABkcnMvZTJvRG9jLnhtbFBLBQYAAAAABgAGAFkBAADaBQAAAAA=&#10;">
              <v:fill on="f" focussize="0,0"/>
              <v:stroke on="f"/>
              <v:imagedata o:title=""/>
              <o:lock v:ext="edit" aspectratio="f"/>
              <v:textbox inset="20pt,0mm,0mm,15pt" style="mso-fit-shape-to-text:t;">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61670" cy="345440"/>
              <wp:effectExtent l="0" t="0" r="5080" b="0"/>
              <wp:wrapNone/>
              <wp:docPr id="1609631724" name="文本框 1" descr="General"/>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 o:spid="_x0000_s1026" o:spt="202" alt="General" type="#_x0000_t202" style="position:absolute;left:0pt;height:27.2pt;width:52.1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nYKM9MAAAAEAQAADwAAAAAAAAABACAAAAAiAAAA&#10;ZHJzL2Rvd25yZXYueG1sUEsBAhQAFAAAAAgAh07iQLfTrEpFAgAAbQQAAA4AAAAAAAAAAQAgAAAA&#10;IgEAAGRycy9lMm9Eb2MueG1sUEsFBgAAAAAGAAYAWQEAANkFAAAAAA==&#10;">
              <v:fill on="f" focussize="0,0"/>
              <v:stroke on="f"/>
              <v:imagedata o:title=""/>
              <o:lock v:ext="edit" aspectratio="f"/>
              <v:textbox inset="20pt,0mm,0mm,15pt" style="mso-fit-shape-to-text:t;">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trackRevisions w:val="1"/>
  <w:documentProtection w:enforcement="0"/>
  <w:defaultTabStop w:val="420"/>
  <w:drawingGridHorizontalSpacing w:val="1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ZDVkNmQ1ODhjY2NiYzEwYTIyZDVlMzIyZjUwYTUifQ=="/>
  </w:docVars>
  <w:rsids>
    <w:rsidRoot w:val="6F420807"/>
    <w:rsid w:val="0002215E"/>
    <w:rsid w:val="00060A39"/>
    <w:rsid w:val="0006243A"/>
    <w:rsid w:val="000700B7"/>
    <w:rsid w:val="000877EE"/>
    <w:rsid w:val="000936C4"/>
    <w:rsid w:val="000A73FD"/>
    <w:rsid w:val="000C3DC4"/>
    <w:rsid w:val="000C60CB"/>
    <w:rsid w:val="000D7F46"/>
    <w:rsid w:val="000F0430"/>
    <w:rsid w:val="000F2B25"/>
    <w:rsid w:val="00112EEC"/>
    <w:rsid w:val="0012619F"/>
    <w:rsid w:val="00126F7D"/>
    <w:rsid w:val="001277AD"/>
    <w:rsid w:val="00130C34"/>
    <w:rsid w:val="001345C0"/>
    <w:rsid w:val="0014286F"/>
    <w:rsid w:val="00182153"/>
    <w:rsid w:val="00186ECA"/>
    <w:rsid w:val="001A1947"/>
    <w:rsid w:val="001B2AC5"/>
    <w:rsid w:val="001B4D9E"/>
    <w:rsid w:val="001C4E88"/>
    <w:rsid w:val="001D52F6"/>
    <w:rsid w:val="001E3F91"/>
    <w:rsid w:val="001F7380"/>
    <w:rsid w:val="001F7D68"/>
    <w:rsid w:val="0021086E"/>
    <w:rsid w:val="00213880"/>
    <w:rsid w:val="00217B37"/>
    <w:rsid w:val="00220FA1"/>
    <w:rsid w:val="0023708C"/>
    <w:rsid w:val="00244BE9"/>
    <w:rsid w:val="002533B7"/>
    <w:rsid w:val="002535DC"/>
    <w:rsid w:val="00266D88"/>
    <w:rsid w:val="00271B97"/>
    <w:rsid w:val="00272C5F"/>
    <w:rsid w:val="002861E1"/>
    <w:rsid w:val="002B1A9A"/>
    <w:rsid w:val="002C29FB"/>
    <w:rsid w:val="002D11BA"/>
    <w:rsid w:val="002D64F7"/>
    <w:rsid w:val="002E3BD3"/>
    <w:rsid w:val="00315BD8"/>
    <w:rsid w:val="003235F9"/>
    <w:rsid w:val="00335ADA"/>
    <w:rsid w:val="003360E8"/>
    <w:rsid w:val="003451AD"/>
    <w:rsid w:val="003A4927"/>
    <w:rsid w:val="003B7BA2"/>
    <w:rsid w:val="003C4080"/>
    <w:rsid w:val="003C52D7"/>
    <w:rsid w:val="003E34BC"/>
    <w:rsid w:val="003F09A2"/>
    <w:rsid w:val="003F5D9B"/>
    <w:rsid w:val="003F74F4"/>
    <w:rsid w:val="00417A22"/>
    <w:rsid w:val="00440D93"/>
    <w:rsid w:val="00446683"/>
    <w:rsid w:val="00450793"/>
    <w:rsid w:val="004536B9"/>
    <w:rsid w:val="00460DA6"/>
    <w:rsid w:val="004668C5"/>
    <w:rsid w:val="0047208D"/>
    <w:rsid w:val="0048608D"/>
    <w:rsid w:val="00487497"/>
    <w:rsid w:val="004A0792"/>
    <w:rsid w:val="004A26E0"/>
    <w:rsid w:val="004A29C3"/>
    <w:rsid w:val="004C1B24"/>
    <w:rsid w:val="004D08ED"/>
    <w:rsid w:val="004E1AB3"/>
    <w:rsid w:val="004E5945"/>
    <w:rsid w:val="00503902"/>
    <w:rsid w:val="00506965"/>
    <w:rsid w:val="00512A42"/>
    <w:rsid w:val="00520060"/>
    <w:rsid w:val="00550342"/>
    <w:rsid w:val="00550B15"/>
    <w:rsid w:val="00575CE7"/>
    <w:rsid w:val="00576FC0"/>
    <w:rsid w:val="00581C68"/>
    <w:rsid w:val="0058416F"/>
    <w:rsid w:val="00592AF5"/>
    <w:rsid w:val="005939E4"/>
    <w:rsid w:val="005A22A8"/>
    <w:rsid w:val="005A4629"/>
    <w:rsid w:val="005B0B0B"/>
    <w:rsid w:val="005B5AFF"/>
    <w:rsid w:val="005B7598"/>
    <w:rsid w:val="005D4218"/>
    <w:rsid w:val="005E0558"/>
    <w:rsid w:val="005E1087"/>
    <w:rsid w:val="005E2FC7"/>
    <w:rsid w:val="005E4914"/>
    <w:rsid w:val="005E532B"/>
    <w:rsid w:val="006008D3"/>
    <w:rsid w:val="00604AE0"/>
    <w:rsid w:val="00612300"/>
    <w:rsid w:val="00622EDA"/>
    <w:rsid w:val="0062626D"/>
    <w:rsid w:val="00633EE0"/>
    <w:rsid w:val="00635EA9"/>
    <w:rsid w:val="0065430D"/>
    <w:rsid w:val="00656404"/>
    <w:rsid w:val="006A0C51"/>
    <w:rsid w:val="006B6AE3"/>
    <w:rsid w:val="006D3240"/>
    <w:rsid w:val="006E6C27"/>
    <w:rsid w:val="007114E2"/>
    <w:rsid w:val="007143FF"/>
    <w:rsid w:val="007256B3"/>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55F1B"/>
    <w:rsid w:val="008603E5"/>
    <w:rsid w:val="00864C74"/>
    <w:rsid w:val="00867E40"/>
    <w:rsid w:val="0087336F"/>
    <w:rsid w:val="00875649"/>
    <w:rsid w:val="0089250A"/>
    <w:rsid w:val="00892DEC"/>
    <w:rsid w:val="008A57B2"/>
    <w:rsid w:val="008B1A03"/>
    <w:rsid w:val="008B1E08"/>
    <w:rsid w:val="008C2ED9"/>
    <w:rsid w:val="008C4EA7"/>
    <w:rsid w:val="00916959"/>
    <w:rsid w:val="00936DB6"/>
    <w:rsid w:val="0094384C"/>
    <w:rsid w:val="00964520"/>
    <w:rsid w:val="009675C0"/>
    <w:rsid w:val="00974C91"/>
    <w:rsid w:val="00981402"/>
    <w:rsid w:val="00981B8E"/>
    <w:rsid w:val="00992A32"/>
    <w:rsid w:val="009A679F"/>
    <w:rsid w:val="009A7D3B"/>
    <w:rsid w:val="009B5937"/>
    <w:rsid w:val="009B7B4E"/>
    <w:rsid w:val="009D033A"/>
    <w:rsid w:val="009D0E49"/>
    <w:rsid w:val="009D6EEC"/>
    <w:rsid w:val="009E1E96"/>
    <w:rsid w:val="009E5061"/>
    <w:rsid w:val="00A04E05"/>
    <w:rsid w:val="00A1138C"/>
    <w:rsid w:val="00A139E2"/>
    <w:rsid w:val="00A14EF1"/>
    <w:rsid w:val="00A15517"/>
    <w:rsid w:val="00A30B04"/>
    <w:rsid w:val="00A75B6C"/>
    <w:rsid w:val="00A904D8"/>
    <w:rsid w:val="00A91D5D"/>
    <w:rsid w:val="00AA01B4"/>
    <w:rsid w:val="00AC72E8"/>
    <w:rsid w:val="00AD6764"/>
    <w:rsid w:val="00AE7006"/>
    <w:rsid w:val="00AF71B2"/>
    <w:rsid w:val="00B00F70"/>
    <w:rsid w:val="00B16160"/>
    <w:rsid w:val="00B2564D"/>
    <w:rsid w:val="00B3048B"/>
    <w:rsid w:val="00B30AD7"/>
    <w:rsid w:val="00B3562F"/>
    <w:rsid w:val="00B40BC0"/>
    <w:rsid w:val="00B44D9E"/>
    <w:rsid w:val="00B477B8"/>
    <w:rsid w:val="00B577DA"/>
    <w:rsid w:val="00B63B6C"/>
    <w:rsid w:val="00B72CF5"/>
    <w:rsid w:val="00B73C22"/>
    <w:rsid w:val="00B74EAC"/>
    <w:rsid w:val="00BA2FDD"/>
    <w:rsid w:val="00BB6875"/>
    <w:rsid w:val="00BC00A4"/>
    <w:rsid w:val="00BD0A68"/>
    <w:rsid w:val="00BD116D"/>
    <w:rsid w:val="00BD2C9F"/>
    <w:rsid w:val="00BE30CA"/>
    <w:rsid w:val="00BF0326"/>
    <w:rsid w:val="00BF23B3"/>
    <w:rsid w:val="00C15CAE"/>
    <w:rsid w:val="00C16E9A"/>
    <w:rsid w:val="00C54EDF"/>
    <w:rsid w:val="00C6721E"/>
    <w:rsid w:val="00C8067F"/>
    <w:rsid w:val="00C81F39"/>
    <w:rsid w:val="00CB0949"/>
    <w:rsid w:val="00CB31B3"/>
    <w:rsid w:val="00CC41E8"/>
    <w:rsid w:val="00CD7B0D"/>
    <w:rsid w:val="00CE0466"/>
    <w:rsid w:val="00CE73B7"/>
    <w:rsid w:val="00D04CC1"/>
    <w:rsid w:val="00D05410"/>
    <w:rsid w:val="00D1078F"/>
    <w:rsid w:val="00D12814"/>
    <w:rsid w:val="00D167C9"/>
    <w:rsid w:val="00D21BCC"/>
    <w:rsid w:val="00D365DF"/>
    <w:rsid w:val="00D46109"/>
    <w:rsid w:val="00D66911"/>
    <w:rsid w:val="00D72128"/>
    <w:rsid w:val="00D74E1F"/>
    <w:rsid w:val="00D84B4B"/>
    <w:rsid w:val="00D8721B"/>
    <w:rsid w:val="00DA5CC9"/>
    <w:rsid w:val="00DB1934"/>
    <w:rsid w:val="00E031E7"/>
    <w:rsid w:val="00E078F8"/>
    <w:rsid w:val="00E24003"/>
    <w:rsid w:val="00E2498C"/>
    <w:rsid w:val="00E34684"/>
    <w:rsid w:val="00E50F9B"/>
    <w:rsid w:val="00E55E12"/>
    <w:rsid w:val="00E73AB8"/>
    <w:rsid w:val="00E77CB1"/>
    <w:rsid w:val="00E81726"/>
    <w:rsid w:val="00EA060E"/>
    <w:rsid w:val="00ED0E9B"/>
    <w:rsid w:val="00EE62FB"/>
    <w:rsid w:val="00F0448D"/>
    <w:rsid w:val="00F07ECE"/>
    <w:rsid w:val="00F104E8"/>
    <w:rsid w:val="00F36E08"/>
    <w:rsid w:val="00F53F51"/>
    <w:rsid w:val="00F56153"/>
    <w:rsid w:val="00F8456C"/>
    <w:rsid w:val="00F923D8"/>
    <w:rsid w:val="00FB4F9D"/>
    <w:rsid w:val="00FC1827"/>
    <w:rsid w:val="00FD6B86"/>
    <w:rsid w:val="00FF58C5"/>
    <w:rsid w:val="00FF628A"/>
    <w:rsid w:val="02333474"/>
    <w:rsid w:val="0436318F"/>
    <w:rsid w:val="06E27ADA"/>
    <w:rsid w:val="06F16BC5"/>
    <w:rsid w:val="0A821835"/>
    <w:rsid w:val="0AA277E2"/>
    <w:rsid w:val="0B6E3B68"/>
    <w:rsid w:val="0BE6328A"/>
    <w:rsid w:val="0DAF5F14"/>
    <w:rsid w:val="1034712E"/>
    <w:rsid w:val="106D2640"/>
    <w:rsid w:val="158C3568"/>
    <w:rsid w:val="166C3E5C"/>
    <w:rsid w:val="17114AB4"/>
    <w:rsid w:val="19CE3569"/>
    <w:rsid w:val="1A4A3D06"/>
    <w:rsid w:val="1A8B0B5C"/>
    <w:rsid w:val="1F710EEF"/>
    <w:rsid w:val="1FDC50EC"/>
    <w:rsid w:val="20D64231"/>
    <w:rsid w:val="21217D8A"/>
    <w:rsid w:val="2386555D"/>
    <w:rsid w:val="25EA2DD8"/>
    <w:rsid w:val="27E162AD"/>
    <w:rsid w:val="29E140BF"/>
    <w:rsid w:val="2A631000"/>
    <w:rsid w:val="2E312239"/>
    <w:rsid w:val="2EFE3AA4"/>
    <w:rsid w:val="2F9C6646"/>
    <w:rsid w:val="30307A48"/>
    <w:rsid w:val="31626F45"/>
    <w:rsid w:val="316C6CE6"/>
    <w:rsid w:val="319677F1"/>
    <w:rsid w:val="31DE32C1"/>
    <w:rsid w:val="325A081E"/>
    <w:rsid w:val="33C64D45"/>
    <w:rsid w:val="342C7F98"/>
    <w:rsid w:val="35132F06"/>
    <w:rsid w:val="3B521AA4"/>
    <w:rsid w:val="3D355E3A"/>
    <w:rsid w:val="3F8C5D4D"/>
    <w:rsid w:val="40BF2194"/>
    <w:rsid w:val="44573C33"/>
    <w:rsid w:val="450C6A2F"/>
    <w:rsid w:val="46F9019A"/>
    <w:rsid w:val="48914416"/>
    <w:rsid w:val="4DC81F78"/>
    <w:rsid w:val="4EFB083B"/>
    <w:rsid w:val="4F7244C4"/>
    <w:rsid w:val="4FFF25AD"/>
    <w:rsid w:val="51492FE2"/>
    <w:rsid w:val="5359012C"/>
    <w:rsid w:val="58A60437"/>
    <w:rsid w:val="591D1C1A"/>
    <w:rsid w:val="5BD90156"/>
    <w:rsid w:val="5F9D2B92"/>
    <w:rsid w:val="60A60CCB"/>
    <w:rsid w:val="6162299C"/>
    <w:rsid w:val="63143EF4"/>
    <w:rsid w:val="64B224E3"/>
    <w:rsid w:val="65316E3C"/>
    <w:rsid w:val="67A25E6C"/>
    <w:rsid w:val="68B10D53"/>
    <w:rsid w:val="6AED5C1F"/>
    <w:rsid w:val="6C500BAD"/>
    <w:rsid w:val="6C97799E"/>
    <w:rsid w:val="6D8A45FD"/>
    <w:rsid w:val="6DC34F7B"/>
    <w:rsid w:val="6F420807"/>
    <w:rsid w:val="6F54601A"/>
    <w:rsid w:val="70273416"/>
    <w:rsid w:val="703457D6"/>
    <w:rsid w:val="70714B0F"/>
    <w:rsid w:val="70ED4030"/>
    <w:rsid w:val="71120B95"/>
    <w:rsid w:val="727644F9"/>
    <w:rsid w:val="75732C40"/>
    <w:rsid w:val="76D7606C"/>
    <w:rsid w:val="77816452"/>
    <w:rsid w:val="79AB0A1E"/>
    <w:rsid w:val="7DF5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5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5"/>
    <w:qFormat/>
    <w:uiPriority w:val="9"/>
    <w:pPr>
      <w:keepNext/>
      <w:keepLines/>
      <w:spacing w:before="260" w:after="260" w:line="416" w:lineRule="auto"/>
      <w:outlineLvl w:val="2"/>
    </w:pPr>
    <w:rPr>
      <w:b/>
      <w:bCs/>
      <w:sz w:val="32"/>
      <w:szCs w:val="32"/>
    </w:rPr>
  </w:style>
  <w:style w:type="paragraph" w:styleId="6">
    <w:name w:val="heading 9"/>
    <w:basedOn w:val="1"/>
    <w:next w:val="1"/>
    <w:link w:val="40"/>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spacing w:after="120"/>
    </w:pPr>
    <w:rPr>
      <w:rFonts w:ascii="Times New Roman"/>
    </w:rPr>
  </w:style>
  <w:style w:type="paragraph" w:styleId="7">
    <w:name w:val="annotation text"/>
    <w:basedOn w:val="1"/>
    <w:link w:val="31"/>
    <w:qFormat/>
    <w:uiPriority w:val="0"/>
  </w:style>
  <w:style w:type="paragraph" w:styleId="8">
    <w:name w:val="Body Text Indent"/>
    <w:basedOn w:val="1"/>
    <w:link w:val="45"/>
    <w:qFormat/>
    <w:uiPriority w:val="0"/>
    <w:pPr>
      <w:autoSpaceDE/>
      <w:autoSpaceDN/>
      <w:adjustRightInd/>
      <w:spacing w:line="480" w:lineRule="exact"/>
      <w:ind w:firstLine="560" w:firstLineChars="200"/>
      <w:jc w:val="both"/>
    </w:pPr>
    <w:rPr>
      <w:rFonts w:hAnsi="宋体"/>
      <w:kern w:val="2"/>
      <w:sz w:val="28"/>
    </w:rPr>
  </w:style>
  <w:style w:type="paragraph" w:styleId="9">
    <w:name w:val="Plain Text"/>
    <w:basedOn w:val="1"/>
    <w:link w:val="39"/>
    <w:qFormat/>
    <w:uiPriority w:val="0"/>
    <w:pPr>
      <w:autoSpaceDE/>
      <w:autoSpaceDN/>
      <w:adjustRightInd/>
      <w:jc w:val="both"/>
    </w:pPr>
    <w:rPr>
      <w:rFonts w:hAnsi="Courier New"/>
      <w:kern w:val="2"/>
      <w:sz w:val="21"/>
      <w:szCs w:val="20"/>
    </w:rPr>
  </w:style>
  <w:style w:type="paragraph" w:styleId="10">
    <w:name w:val="Balloon Text"/>
    <w:basedOn w:val="1"/>
    <w:link w:val="30"/>
    <w:qFormat/>
    <w:uiPriority w:val="0"/>
    <w:rPr>
      <w:sz w:val="18"/>
      <w:szCs w:val="18"/>
    </w:rPr>
  </w:style>
  <w:style w:type="paragraph" w:styleId="11">
    <w:name w:val="footer"/>
    <w:basedOn w:val="1"/>
    <w:link w:val="41"/>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unhideWhenUsed/>
    <w:qFormat/>
    <w:uiPriority w:val="39"/>
    <w:pPr>
      <w:tabs>
        <w:tab w:val="right" w:leader="dot" w:pos="8296"/>
      </w:tabs>
      <w:spacing w:line="360" w:lineRule="auto"/>
    </w:pPr>
  </w:style>
  <w:style w:type="paragraph" w:styleId="14">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5">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6">
    <w:name w:val="annotation subject"/>
    <w:basedOn w:val="7"/>
    <w:next w:val="7"/>
    <w:link w:val="32"/>
    <w:qFormat/>
    <w:uiPriority w:val="0"/>
    <w:rPr>
      <w:b/>
      <w:bCs/>
    </w:rPr>
  </w:style>
  <w:style w:type="paragraph" w:styleId="17">
    <w:name w:val="Body Text First Indent"/>
    <w:link w:val="34"/>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8">
    <w:name w:val="Body Text First Indent 2"/>
    <w:basedOn w:val="8"/>
    <w:link w:val="50"/>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unhideWhenUsed/>
    <w:qFormat/>
    <w:uiPriority w:val="99"/>
    <w:rPr>
      <w:color w:val="954F72"/>
      <w:u w:val="single"/>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paragraph" w:customStyle="1" w:styleId="25">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6">
    <w:name w:val="List Paragraph"/>
    <w:basedOn w:val="1"/>
    <w:link w:val="54"/>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7">
    <w:name w:val="彩色列表 - 强调文字颜色 11"/>
    <w:basedOn w:val="1"/>
    <w:qFormat/>
    <w:uiPriority w:val="34"/>
    <w:pPr>
      <w:ind w:firstLine="420" w:firstLineChars="200"/>
    </w:pPr>
  </w:style>
  <w:style w:type="paragraph" w:customStyle="1" w:styleId="28">
    <w:name w:val="文本格式"/>
    <w:basedOn w:val="1"/>
    <w:link w:val="29"/>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29">
    <w:name w:val="文本格式 Char"/>
    <w:basedOn w:val="21"/>
    <w:link w:val="28"/>
    <w:qFormat/>
    <w:uiPriority w:val="0"/>
    <w:rPr>
      <w:kern w:val="2"/>
      <w:sz w:val="24"/>
      <w:szCs w:val="28"/>
    </w:rPr>
  </w:style>
  <w:style w:type="character" w:customStyle="1" w:styleId="30">
    <w:name w:val="Balloon Text Char"/>
    <w:basedOn w:val="21"/>
    <w:link w:val="10"/>
    <w:qFormat/>
    <w:uiPriority w:val="0"/>
    <w:rPr>
      <w:rFonts w:ascii="宋体"/>
      <w:sz w:val="18"/>
      <w:szCs w:val="18"/>
    </w:rPr>
  </w:style>
  <w:style w:type="character" w:customStyle="1" w:styleId="31">
    <w:name w:val="Comment Text Char"/>
    <w:basedOn w:val="21"/>
    <w:link w:val="7"/>
    <w:qFormat/>
    <w:uiPriority w:val="0"/>
    <w:rPr>
      <w:rFonts w:ascii="宋体"/>
      <w:sz w:val="24"/>
      <w:szCs w:val="24"/>
    </w:rPr>
  </w:style>
  <w:style w:type="character" w:customStyle="1" w:styleId="32">
    <w:name w:val="Comment Subject Char"/>
    <w:basedOn w:val="31"/>
    <w:link w:val="16"/>
    <w:qFormat/>
    <w:uiPriority w:val="0"/>
    <w:rPr>
      <w:rFonts w:ascii="宋体"/>
      <w:b/>
      <w:bCs/>
      <w:sz w:val="24"/>
      <w:szCs w:val="24"/>
    </w:rPr>
  </w:style>
  <w:style w:type="character" w:customStyle="1" w:styleId="33">
    <w:name w:val="Body Text Char"/>
    <w:basedOn w:val="21"/>
    <w:link w:val="2"/>
    <w:qFormat/>
    <w:uiPriority w:val="0"/>
    <w:rPr>
      <w:sz w:val="24"/>
      <w:szCs w:val="24"/>
    </w:rPr>
  </w:style>
  <w:style w:type="character" w:customStyle="1" w:styleId="34">
    <w:name w:val="Body Text First Indent Char"/>
    <w:basedOn w:val="33"/>
    <w:link w:val="17"/>
    <w:qFormat/>
    <w:uiPriority w:val="0"/>
    <w:rPr>
      <w:kern w:val="2"/>
      <w:sz w:val="21"/>
      <w:szCs w:val="24"/>
      <w:lang w:val="zh-CN"/>
    </w:rPr>
  </w:style>
  <w:style w:type="paragraph" w:customStyle="1" w:styleId="35">
    <w:name w:val="p0"/>
    <w:basedOn w:val="1"/>
    <w:qFormat/>
    <w:uiPriority w:val="0"/>
    <w:pPr>
      <w:autoSpaceDE/>
      <w:autoSpaceDN/>
      <w:adjustRightInd/>
      <w:jc w:val="both"/>
    </w:pPr>
    <w:rPr>
      <w:rFonts w:ascii="Times New Roman"/>
      <w:sz w:val="21"/>
      <w:szCs w:val="21"/>
    </w:rPr>
  </w:style>
  <w:style w:type="character" w:customStyle="1" w:styleId="36">
    <w:name w:val="Subtitle Char"/>
    <w:link w:val="14"/>
    <w:qFormat/>
    <w:uiPriority w:val="11"/>
    <w:rPr>
      <w:rFonts w:ascii="Cambria" w:hAnsi="Cambria"/>
      <w:b/>
      <w:bCs/>
      <w:kern w:val="28"/>
      <w:sz w:val="32"/>
      <w:szCs w:val="32"/>
      <w:lang w:val="en-US" w:eastAsia="zh-CN"/>
    </w:rPr>
  </w:style>
  <w:style w:type="character" w:customStyle="1" w:styleId="37">
    <w:name w:val="副标题 字符"/>
    <w:basedOn w:val="21"/>
    <w:qFormat/>
    <w:uiPriority w:val="0"/>
    <w:rPr>
      <w:rFonts w:asciiTheme="minorHAnsi" w:hAnsiTheme="minorHAnsi" w:eastAsiaTheme="minorEastAsia" w:cstheme="minorBidi"/>
      <w:b/>
      <w:bCs/>
      <w:kern w:val="28"/>
      <w:sz w:val="32"/>
      <w:szCs w:val="32"/>
    </w:rPr>
  </w:style>
  <w:style w:type="paragraph" w:customStyle="1" w:styleId="38">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39">
    <w:name w:val="Plain Text Char"/>
    <w:basedOn w:val="21"/>
    <w:link w:val="9"/>
    <w:qFormat/>
    <w:uiPriority w:val="0"/>
    <w:rPr>
      <w:rFonts w:ascii="宋体" w:hAnsi="Courier New"/>
      <w:kern w:val="2"/>
      <w:sz w:val="21"/>
    </w:rPr>
  </w:style>
  <w:style w:type="character" w:customStyle="1" w:styleId="40">
    <w:name w:val="Heading 9 Char"/>
    <w:basedOn w:val="21"/>
    <w:link w:val="6"/>
    <w:semiHidden/>
    <w:qFormat/>
    <w:uiPriority w:val="0"/>
    <w:rPr>
      <w:rFonts w:ascii="等线 Light" w:hAnsi="等线 Light" w:eastAsia="等线 Light"/>
      <w:kern w:val="2"/>
      <w:sz w:val="21"/>
      <w:szCs w:val="21"/>
    </w:rPr>
  </w:style>
  <w:style w:type="character" w:customStyle="1" w:styleId="41">
    <w:name w:val="Footer Char"/>
    <w:link w:val="11"/>
    <w:qFormat/>
    <w:uiPriority w:val="99"/>
    <w:rPr>
      <w:rFonts w:asciiTheme="minorHAnsi" w:hAnsiTheme="minorHAnsi" w:eastAsiaTheme="minorEastAsia" w:cstheme="minorBidi"/>
      <w:kern w:val="2"/>
      <w:sz w:val="18"/>
      <w:szCs w:val="18"/>
    </w:rPr>
  </w:style>
  <w:style w:type="character" w:customStyle="1" w:styleId="42">
    <w:name w:val="Header Char"/>
    <w:link w:val="12"/>
    <w:qFormat/>
    <w:uiPriority w:val="99"/>
    <w:rPr>
      <w:rFonts w:ascii="宋体"/>
      <w:sz w:val="18"/>
      <w:szCs w:val="24"/>
    </w:rPr>
  </w:style>
  <w:style w:type="character" w:customStyle="1" w:styleId="43">
    <w:name w:val="HTML Preformatted Char"/>
    <w:basedOn w:val="21"/>
    <w:link w:val="15"/>
    <w:qFormat/>
    <w:uiPriority w:val="99"/>
    <w:rPr>
      <w:rFonts w:ascii="宋体" w:hAnsi="宋体" w:cs="宋体"/>
      <w:sz w:val="24"/>
      <w:szCs w:val="24"/>
    </w:rPr>
  </w:style>
  <w:style w:type="paragraph" w:customStyle="1" w:styleId="44">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5">
    <w:name w:val="Body Text Indent Char"/>
    <w:basedOn w:val="21"/>
    <w:link w:val="8"/>
    <w:qFormat/>
    <w:uiPriority w:val="0"/>
    <w:rPr>
      <w:rFonts w:ascii="宋体" w:hAnsi="宋体"/>
      <w:kern w:val="2"/>
      <w:sz w:val="28"/>
      <w:szCs w:val="24"/>
    </w:rPr>
  </w:style>
  <w:style w:type="paragraph" w:customStyle="1" w:styleId="46">
    <w:name w:val="修订1"/>
    <w:hidden/>
    <w:qFormat/>
    <w:uiPriority w:val="99"/>
    <w:rPr>
      <w:rFonts w:ascii="宋体" w:hAnsi="Times New Roman" w:eastAsia="宋体" w:cs="Times New Roman"/>
      <w:sz w:val="24"/>
      <w:szCs w:val="24"/>
      <w:lang w:val="en-US" w:eastAsia="zh-CN" w:bidi="ar-SA"/>
    </w:rPr>
  </w:style>
  <w:style w:type="character" w:customStyle="1" w:styleId="47">
    <w:name w:val="页脚 字符1"/>
    <w:basedOn w:val="21"/>
    <w:semiHidden/>
    <w:qFormat/>
    <w:uiPriority w:val="99"/>
    <w:rPr>
      <w:rFonts w:ascii="Times New Roman" w:hAnsi="Times New Roman"/>
      <w:kern w:val="2"/>
      <w:sz w:val="18"/>
      <w:szCs w:val="18"/>
    </w:rPr>
  </w:style>
  <w:style w:type="character" w:customStyle="1" w:styleId="48">
    <w:name w:val="页眉 字符1"/>
    <w:basedOn w:val="21"/>
    <w:semiHidden/>
    <w:qFormat/>
    <w:uiPriority w:val="99"/>
    <w:rPr>
      <w:rFonts w:ascii="Times New Roman" w:hAnsi="Times New Roman"/>
      <w:kern w:val="2"/>
      <w:sz w:val="18"/>
      <w:szCs w:val="18"/>
    </w:rPr>
  </w:style>
  <w:style w:type="table" w:customStyle="1" w:styleId="49">
    <w:name w:val="网格型1"/>
    <w:basedOn w:val="1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Body Text First Indent 2 Char"/>
    <w:basedOn w:val="45"/>
    <w:link w:val="18"/>
    <w:qFormat/>
    <w:uiPriority w:val="0"/>
    <w:rPr>
      <w:rFonts w:ascii="宋体" w:hAnsi="宋体"/>
      <w:kern w:val="2"/>
      <w:sz w:val="24"/>
      <w:szCs w:val="24"/>
    </w:rPr>
  </w:style>
  <w:style w:type="character" w:customStyle="1" w:styleId="51">
    <w:name w:val="Heading 2 Char"/>
    <w:basedOn w:val="21"/>
    <w:link w:val="4"/>
    <w:semiHidden/>
    <w:qFormat/>
    <w:uiPriority w:val="0"/>
    <w:rPr>
      <w:rFonts w:asciiTheme="majorHAnsi" w:hAnsiTheme="majorHAnsi" w:eastAsiaTheme="majorEastAsia" w:cstheme="majorBidi"/>
      <w:b/>
      <w:bCs/>
      <w:sz w:val="32"/>
      <w:szCs w:val="32"/>
    </w:rPr>
  </w:style>
  <w:style w:type="character" w:customStyle="1" w:styleId="52">
    <w:name w:val="font01"/>
    <w:qFormat/>
    <w:uiPriority w:val="0"/>
    <w:rPr>
      <w:rFonts w:hint="eastAsia" w:ascii="宋体" w:hAnsi="宋体" w:eastAsia="宋体" w:cs="宋体"/>
      <w:color w:val="000000"/>
      <w:sz w:val="22"/>
      <w:szCs w:val="22"/>
      <w:u w:val="none"/>
    </w:rPr>
  </w:style>
  <w:style w:type="table" w:customStyle="1" w:styleId="53">
    <w:name w:val="网格型2"/>
    <w:basedOn w:val="1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List Paragraph Char"/>
    <w:link w:val="26"/>
    <w:qFormat/>
    <w:uiPriority w:val="34"/>
    <w:rPr>
      <w:rFonts w:ascii="Calibri" w:hAnsi="Calibri"/>
      <w:kern w:val="2"/>
      <w:sz w:val="21"/>
      <w:szCs w:val="22"/>
    </w:rPr>
  </w:style>
  <w:style w:type="character" w:customStyle="1" w:styleId="55">
    <w:name w:val="Heading 3 Char"/>
    <w:basedOn w:val="21"/>
    <w:link w:val="5"/>
    <w:qFormat/>
    <w:uiPriority w:val="9"/>
    <w:rPr>
      <w:rFonts w:ascii="宋体"/>
      <w:b/>
      <w:bCs/>
      <w:sz w:val="32"/>
      <w:szCs w:val="32"/>
    </w:rPr>
  </w:style>
  <w:style w:type="paragraph" w:customStyle="1" w:styleId="56">
    <w:name w:val="正文文本缩进 21"/>
    <w:basedOn w:val="1"/>
    <w:qFormat/>
    <w:uiPriority w:val="0"/>
    <w:pPr>
      <w:spacing w:line="480" w:lineRule="auto"/>
      <w:ind w:firstLine="540"/>
      <w:textAlignment w:val="baseline"/>
    </w:pPr>
    <w:rPr>
      <w:rFonts w:ascii="Calibri" w:hAnsi="Calibri"/>
      <w:sz w:val="21"/>
      <w:szCs w:val="21"/>
    </w:rPr>
  </w:style>
  <w:style w:type="character" w:customStyle="1" w:styleId="57">
    <w:name w:val="纯文本 字符1"/>
    <w:qFormat/>
    <w:uiPriority w:val="0"/>
    <w:rPr>
      <w:rFonts w:ascii="宋体" w:hAnsi="Courier New" w:eastAsia="宋体" w:cs="Times New Roman"/>
      <w:szCs w:val="20"/>
    </w:rPr>
  </w:style>
  <w:style w:type="paragraph" w:customStyle="1" w:styleId="58">
    <w:name w:val="首行缩进"/>
    <w:basedOn w:val="1"/>
    <w:qFormat/>
    <w:uiPriority w:val="0"/>
    <w:pPr>
      <w:ind w:firstLine="480" w:firstLineChars="200"/>
    </w:pPr>
    <w:rPr>
      <w:lang w:val="zh-CN"/>
    </w:rPr>
  </w:style>
  <w:style w:type="character" w:customStyle="1" w:styleId="59">
    <w:name w:val="16"/>
    <w:qFormat/>
    <w:uiPriority w:val="0"/>
    <w:rPr>
      <w:rFonts w:hint="default"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452B2-DD86-4E03-967E-186E23A415ED}">
  <ds:schemaRefs/>
</ds:datastoreItem>
</file>

<file path=docProps/app.xml><?xml version="1.0" encoding="utf-8"?>
<Properties xmlns="http://schemas.openxmlformats.org/officeDocument/2006/extended-properties" xmlns:vt="http://schemas.openxmlformats.org/officeDocument/2006/docPropsVTypes">
  <Template>Normal</Template>
  <Pages>4</Pages>
  <Words>2967</Words>
  <Characters>3063</Characters>
  <Lines>2</Lines>
  <Paragraphs>13</Paragraphs>
  <TotalTime>4</TotalTime>
  <ScaleCrop>false</ScaleCrop>
  <LinksUpToDate>false</LinksUpToDate>
  <CharactersWithSpaces>3080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2025-06-16T03:03:00Z</dcterms:created>
  <dc:creator>LKC</dc:creator>
  <cp:lastModifiedBy>余亚萍</cp:lastModifiedBy>
  <cp:lastPrinted>2020-10-15T06:52:00Z</cp:lastPrinted>
  <dcterms:modified xsi:type="dcterms:W3CDTF">2025-09-04T02:41:13Z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ClassificationContentMarkingFooterShapeIds">
    <vt:lpwstr>5ff107ec,65c68651,458e776f</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ICV">
    <vt:lpwstr>C01F31BB4E554EADB66F995A0C41FA79</vt:lpwstr>
  </property>
</Properties>
</file>