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numPr>
          <w:ilvl w:val="0"/>
          <w:numId w:val="0"/>
        </w:numPr>
        <w:tabs>
          <w:tab w:val="left" w:pos="1080"/>
        </w:tabs>
        <w:autoSpaceDE w:val="0"/>
        <w:autoSpaceDN w:val="0"/>
        <w:adjustRightInd w:val="0"/>
        <w:spacing w:line="360" w:lineRule="auto"/>
        <w:ind w:leftChars="-100"/>
        <w:jc w:val="center"/>
        <w:outlineLvl w:val="1"/>
        <w:rPr>
          <w:rFonts w:hint="eastAsia" w:ascii="宋体" w:hAnsi="宋体" w:eastAsia="宋体" w:cs="宋体"/>
          <w:b/>
          <w:bCs/>
          <w:color w:val="auto"/>
          <w:kern w:val="44"/>
          <w:sz w:val="32"/>
          <w:szCs w:val="32"/>
          <w:highlight w:val="none"/>
          <w:lang w:val="zh-CN"/>
        </w:rPr>
      </w:pPr>
      <w:bookmarkStart w:id="0" w:name="_Toc28218"/>
      <w:bookmarkStart w:id="1" w:name="_Toc27939_WPSOffice_Level1"/>
      <w:bookmarkStart w:id="2" w:name="_Toc10322"/>
      <w:bookmarkStart w:id="3" w:name="_Toc450662891"/>
      <w:bookmarkStart w:id="4" w:name="_Toc486167706"/>
      <w:bookmarkStart w:id="5" w:name="_Toc142508358"/>
      <w:bookmarkStart w:id="6" w:name="_Toc25818"/>
      <w:r>
        <w:rPr>
          <w:rFonts w:hint="eastAsia" w:ascii="宋体" w:hAnsi="宋体" w:eastAsia="宋体" w:cs="宋体"/>
          <w:b/>
          <w:bCs/>
          <w:color w:val="auto"/>
          <w:kern w:val="44"/>
          <w:sz w:val="32"/>
          <w:szCs w:val="32"/>
          <w:highlight w:val="none"/>
          <w:lang w:val="zh-CN"/>
        </w:rPr>
        <w:t>东莞市水务集团净水有限公司2026年</w:t>
      </w:r>
      <w:r>
        <w:rPr>
          <w:rFonts w:hint="eastAsia" w:ascii="宋体" w:hAnsi="宋体" w:eastAsia="宋体" w:cs="宋体"/>
          <w:b/>
          <w:bCs/>
          <w:color w:val="auto"/>
          <w:kern w:val="44"/>
          <w:sz w:val="32"/>
          <w:szCs w:val="32"/>
          <w:highlight w:val="none"/>
          <w:lang w:val="en-US" w:eastAsia="zh-CN"/>
        </w:rPr>
        <w:t>-2027年</w:t>
      </w:r>
      <w:r>
        <w:rPr>
          <w:rFonts w:hint="eastAsia" w:ascii="宋体" w:hAnsi="宋体" w:eastAsia="宋体" w:cs="宋体"/>
          <w:b/>
          <w:bCs/>
          <w:color w:val="auto"/>
          <w:kern w:val="44"/>
          <w:sz w:val="32"/>
          <w:szCs w:val="32"/>
          <w:highlight w:val="none"/>
          <w:lang w:val="zh-CN"/>
        </w:rPr>
        <w:t>生产药剂液体柠檬酸采购项目用户需求书</w:t>
      </w:r>
      <w:bookmarkEnd w:id="0"/>
      <w:bookmarkEnd w:id="1"/>
      <w:bookmarkEnd w:id="2"/>
      <w:bookmarkEnd w:id="3"/>
      <w:bookmarkEnd w:id="4"/>
      <w:bookmarkEnd w:id="5"/>
      <w:bookmarkEnd w:id="6"/>
    </w:p>
    <w:p>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7" w:name="_Toc22775"/>
      <w:r>
        <w:rPr>
          <w:rFonts w:hint="eastAsia" w:ascii="宋体" w:hAnsi="宋体" w:eastAsia="宋体" w:cs="宋体"/>
          <w:b/>
          <w:bCs/>
          <w:color w:val="auto"/>
          <w:kern w:val="2"/>
          <w:sz w:val="21"/>
          <w:szCs w:val="21"/>
          <w:highlight w:val="none"/>
          <w:lang w:val="en-US" w:eastAsia="zh-CN" w:bidi="ar"/>
        </w:rPr>
        <w:t>一、基本采购要求</w:t>
      </w:r>
      <w:bookmarkEnd w:id="7"/>
    </w:p>
    <w:p>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本次采购东莞市</w:t>
      </w:r>
      <w:r>
        <w:rPr>
          <w:rFonts w:hint="eastAsia" w:ascii="宋体" w:hAnsi="宋体" w:eastAsia="宋体" w:cs="宋体"/>
          <w:color w:val="auto"/>
          <w:sz w:val="21"/>
          <w:szCs w:val="21"/>
          <w:highlight w:val="none"/>
          <w:lang w:val="en-US" w:eastAsia="zh-CN"/>
        </w:rPr>
        <w:t>水务集团净水有限</w:t>
      </w:r>
      <w:r>
        <w:rPr>
          <w:rFonts w:hint="eastAsia" w:ascii="宋体" w:hAnsi="宋体" w:eastAsia="宋体" w:cs="宋体"/>
          <w:color w:val="auto"/>
          <w:sz w:val="21"/>
          <w:szCs w:val="21"/>
          <w:highlight w:val="none"/>
        </w:rPr>
        <w:t>公司旗下运营项目所需生产药剂：</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。根据各运营项目进水水质及工艺情况，需使用</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（以下简称“生产药剂”）作为膜清洗剂，用于维护性清洗MBR膜，保持设备使用寿命。具体供货项目和供货量根据实际运营需求，并结合招标人运营项目使用中标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提供的药剂样品</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实际使用效果确定。</w:t>
      </w:r>
    </w:p>
    <w:p>
      <w:pPr>
        <w:pStyle w:val="128"/>
        <w:autoSpaceDE/>
        <w:autoSpaceDN/>
        <w:adjustRightInd/>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本次招标人以公开招标方式确定1家供货单位，分别向招标人运营项目供货。</w:t>
      </w:r>
      <w:bookmarkStart w:id="8" w:name="OLE_LINK13"/>
      <w:r>
        <w:rPr>
          <w:rFonts w:hint="eastAsia" w:ascii="宋体" w:hAnsi="宋体" w:eastAsia="宋体" w:cs="宋体"/>
          <w:color w:val="auto"/>
          <w:sz w:val="21"/>
          <w:szCs w:val="21"/>
          <w:highlight w:val="none"/>
          <w:lang w:val="en-US" w:eastAsia="zh-CN"/>
        </w:rPr>
        <w:t>招标人或招标人权属子公司与中标人签订采购合同。</w:t>
      </w:r>
      <w:bookmarkEnd w:id="8"/>
    </w:p>
    <w:p>
      <w:pPr>
        <w:spacing w:line="360" w:lineRule="auto"/>
        <w:ind w:firstLine="420" w:firstLineChars="200"/>
        <w:rPr>
          <w:rFonts w:ascii="宋体" w:hAnsi="宋体" w:eastAsia="宋体" w:cs="宋体"/>
          <w:szCs w:val="21"/>
        </w:rPr>
      </w:pPr>
      <w:bookmarkStart w:id="9" w:name="_Toc27352"/>
      <w:r>
        <w:rPr>
          <w:rFonts w:hint="eastAsia" w:ascii="宋体" w:hAnsi="宋体" w:eastAsia="宋体" w:cs="宋体"/>
          <w:szCs w:val="21"/>
        </w:rPr>
        <w:t>供货期</w:t>
      </w:r>
      <w:bookmarkStart w:id="10" w:name="OLE_LINK2"/>
      <w:r>
        <w:rPr>
          <w:rFonts w:hint="eastAsia" w:ascii="宋体" w:hAnsi="宋体" w:eastAsia="宋体" w:cs="宋体"/>
          <w:szCs w:val="21"/>
        </w:rPr>
        <w:t>自202</w:t>
      </w:r>
      <w:r>
        <w:rPr>
          <w:rFonts w:hint="eastAsia" w:ascii="宋体" w:hAnsi="宋体" w:eastAsia="宋体" w:cs="宋体"/>
          <w:szCs w:val="21"/>
          <w:lang w:val="en-US" w:eastAsia="zh-CN"/>
        </w:rPr>
        <w:t>6</w:t>
      </w:r>
      <w:r>
        <w:rPr>
          <w:rFonts w:hint="eastAsia" w:ascii="宋体" w:hAnsi="宋体" w:eastAsia="宋体" w:cs="宋体"/>
          <w:szCs w:val="21"/>
        </w:rPr>
        <w:t>年1月1日或合同签订之日起（以较晚时间为准）至202</w:t>
      </w:r>
      <w:r>
        <w:rPr>
          <w:rFonts w:hint="eastAsia" w:ascii="宋体" w:hAnsi="宋体" w:eastAsia="宋体" w:cs="宋体"/>
          <w:szCs w:val="21"/>
          <w:lang w:val="en-US" w:eastAsia="zh-CN"/>
        </w:rPr>
        <w:t>7</w:t>
      </w:r>
      <w:r>
        <w:rPr>
          <w:rFonts w:hint="eastAsia" w:ascii="宋体" w:hAnsi="宋体" w:eastAsia="宋体" w:cs="宋体"/>
          <w:szCs w:val="21"/>
        </w:rPr>
        <w:t>年</w:t>
      </w:r>
      <w:r>
        <w:rPr>
          <w:rFonts w:hint="eastAsia" w:ascii="宋体" w:hAnsi="宋体" w:eastAsia="宋体" w:cs="宋体"/>
          <w:szCs w:val="21"/>
          <w:lang w:val="en-US" w:eastAsia="zh-CN"/>
        </w:rPr>
        <w:t>6</w:t>
      </w:r>
      <w:r>
        <w:rPr>
          <w:rFonts w:hint="eastAsia" w:ascii="宋体" w:hAnsi="宋体" w:eastAsia="宋体" w:cs="宋体"/>
          <w:szCs w:val="21"/>
        </w:rPr>
        <w:t>月</w:t>
      </w:r>
      <w:r>
        <w:rPr>
          <w:rFonts w:hint="eastAsia" w:ascii="宋体" w:hAnsi="宋体" w:eastAsia="宋体" w:cs="宋体"/>
          <w:szCs w:val="21"/>
          <w:lang w:val="en-US" w:eastAsia="zh-CN"/>
        </w:rPr>
        <w:t>30</w:t>
      </w:r>
      <w:r>
        <w:rPr>
          <w:rFonts w:hint="eastAsia" w:ascii="宋体" w:hAnsi="宋体" w:eastAsia="宋体" w:cs="宋体"/>
          <w:szCs w:val="21"/>
        </w:rPr>
        <w:t>日止</w:t>
      </w:r>
      <w:bookmarkStart w:id="11" w:name="OLE_LINK1"/>
      <w:r>
        <w:rPr>
          <w:rFonts w:hint="eastAsia" w:ascii="宋体" w:hAnsi="宋体" w:eastAsia="宋体" w:cs="宋体"/>
          <w:color w:val="auto"/>
          <w:szCs w:val="21"/>
          <w:lang w:eastAsia="zh-CN"/>
        </w:rPr>
        <w:t>。</w:t>
      </w:r>
      <w:bookmarkEnd w:id="10"/>
      <w:bookmarkEnd w:id="11"/>
      <w:r>
        <w:rPr>
          <w:rFonts w:hint="eastAsia" w:ascii="宋体" w:hAnsi="宋体" w:eastAsia="宋体" w:cs="宋体"/>
          <w:szCs w:val="21"/>
          <w:lang w:eastAsia="zh-CN"/>
        </w:rPr>
        <w:t>中标人</w:t>
      </w:r>
      <w:r>
        <w:rPr>
          <w:rFonts w:hint="eastAsia" w:ascii="宋体" w:hAnsi="宋体" w:eastAsia="宋体" w:cs="宋体"/>
          <w:szCs w:val="21"/>
        </w:rPr>
        <w:t>收到招标人通知后必须无条件按照招标人的要求开始供货</w:t>
      </w:r>
      <w:r>
        <w:rPr>
          <w:rFonts w:ascii="宋体" w:hAnsi="宋体" w:eastAsia="宋体" w:cs="宋体"/>
          <w:szCs w:val="21"/>
        </w:rPr>
        <w:t>。</w:t>
      </w:r>
    </w:p>
    <w:p>
      <w:pPr>
        <w:pStyle w:val="2"/>
      </w:pPr>
    </w:p>
    <w:p>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二、标的物</w:t>
      </w:r>
      <w:bookmarkEnd w:id="9"/>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1、产品名称：</w:t>
      </w:r>
      <w:r>
        <w:rPr>
          <w:rFonts w:hint="eastAsia" w:ascii="宋体" w:hAnsi="宋体" w:eastAsia="宋体" w:cs="宋体"/>
          <w:color w:val="auto"/>
          <w:sz w:val="21"/>
          <w:szCs w:val="21"/>
          <w:highlight w:val="none"/>
          <w:lang w:eastAsia="zh-CN"/>
        </w:rPr>
        <w:t>液体柠檬酸</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2、暂定采购数量：</w:t>
      </w:r>
      <w:r>
        <w:rPr>
          <w:rFonts w:hint="eastAsia" w:ascii="宋体" w:hAnsi="宋体" w:eastAsia="宋体" w:cs="宋体"/>
          <w:color w:val="auto"/>
          <w:szCs w:val="21"/>
          <w:highlight w:val="none"/>
          <w:lang w:val="en-US" w:eastAsia="zh-CN"/>
        </w:rPr>
        <w:t>1408.344</w:t>
      </w:r>
      <w:r>
        <w:rPr>
          <w:rFonts w:hint="eastAsia" w:ascii="宋体" w:hAnsi="宋体" w:eastAsia="宋体" w:cs="宋体"/>
          <w:color w:val="auto"/>
          <w:kern w:val="2"/>
          <w:sz w:val="21"/>
          <w:szCs w:val="21"/>
          <w:highlight w:val="none"/>
          <w:lang w:val="en-US" w:eastAsia="zh-CN" w:bidi="ar"/>
        </w:rPr>
        <w:t>吨</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w:t>
      </w:r>
      <w:r>
        <w:rPr>
          <w:rFonts w:hint="eastAsia" w:ascii="宋体" w:hAnsi="宋体" w:eastAsia="宋体" w:cs="宋体"/>
          <w:b/>
          <w:color w:val="auto"/>
          <w:sz w:val="21"/>
          <w:szCs w:val="21"/>
          <w:highlight w:val="none"/>
        </w:rPr>
        <w:t>本次采购涉及招标人运营项目及采购数量为暂定，仅为便于计算暂定总合同价使用，不作为招标人最终采购数量的保证</w:t>
      </w:r>
      <w:bookmarkStart w:id="12" w:name="OLE_LINK24"/>
      <w:bookmarkStart w:id="13" w:name="OLE_LINK40"/>
      <w:r>
        <w:rPr>
          <w:rFonts w:hint="eastAsia" w:ascii="宋体" w:hAnsi="宋体" w:eastAsia="宋体" w:cs="宋体"/>
          <w:b/>
          <w:color w:val="auto"/>
          <w:sz w:val="21"/>
          <w:szCs w:val="21"/>
          <w:highlight w:val="none"/>
        </w:rPr>
        <w:t>，招标人保留根据运营项目及新增运营项目实际情况，对采购数量进行灵活调整的权利。</w:t>
      </w:r>
      <w:bookmarkEnd w:id="12"/>
      <w:bookmarkEnd w:id="13"/>
      <w:r>
        <w:rPr>
          <w:rFonts w:hint="eastAsia" w:ascii="宋体" w:hAnsi="宋体" w:eastAsia="宋体" w:cs="宋体"/>
          <w:b/>
          <w:color w:val="auto"/>
          <w:sz w:val="21"/>
          <w:szCs w:val="21"/>
          <w:highlight w:val="none"/>
        </w:rPr>
        <w:t>合同履约过程中，如</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因</w:t>
      </w:r>
      <w:bookmarkStart w:id="14" w:name="OLE_LINK33"/>
      <w:r>
        <w:rPr>
          <w:rFonts w:hint="eastAsia" w:ascii="宋体" w:hAnsi="宋体" w:eastAsia="宋体" w:cs="宋体"/>
          <w:b/>
          <w:color w:val="auto"/>
          <w:sz w:val="21"/>
          <w:szCs w:val="21"/>
          <w:highlight w:val="none"/>
        </w:rPr>
        <w:t>新增合同主体</w:t>
      </w:r>
      <w:bookmarkEnd w:id="14"/>
      <w:r>
        <w:rPr>
          <w:rFonts w:hint="eastAsia" w:ascii="宋体" w:hAnsi="宋体" w:eastAsia="宋体" w:cs="宋体"/>
          <w:b/>
          <w:color w:val="auto"/>
          <w:sz w:val="21"/>
          <w:szCs w:val="21"/>
          <w:highlight w:val="none"/>
        </w:rPr>
        <w:t>需要额外供货，</w:t>
      </w:r>
      <w:r>
        <w:rPr>
          <w:rFonts w:hint="eastAsia" w:ascii="宋体" w:hAnsi="宋体" w:eastAsia="宋体" w:cs="宋体"/>
          <w:b/>
          <w:color w:val="auto"/>
          <w:sz w:val="21"/>
          <w:szCs w:val="21"/>
          <w:highlight w:val="none"/>
          <w:lang w:val="en-US" w:eastAsia="zh-CN"/>
        </w:rPr>
        <w:t>招标人权属子公司、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有权依据不含税中标综合单价与中标人协商并签订补充协议，并确保其作为原合同的有效补充。中标人应充分理解并接受</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在合同履约期间可能新增合同主体的可能性，并承诺在接到</w:t>
      </w:r>
      <w:r>
        <w:rPr>
          <w:rFonts w:hint="eastAsia" w:ascii="宋体" w:hAnsi="宋体" w:eastAsia="宋体" w:cs="宋体"/>
          <w:b/>
          <w:color w:val="auto"/>
          <w:sz w:val="21"/>
          <w:szCs w:val="21"/>
          <w:highlight w:val="none"/>
          <w:lang w:val="en-US" w:eastAsia="zh-CN"/>
        </w:rPr>
        <w:t>招标人权属子公司、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关于新增</w:t>
      </w:r>
      <w:r>
        <w:rPr>
          <w:rFonts w:hint="eastAsia" w:ascii="宋体" w:hAnsi="宋体" w:eastAsia="宋体" w:cs="宋体"/>
          <w:b/>
          <w:color w:val="auto"/>
          <w:sz w:val="21"/>
          <w:szCs w:val="21"/>
          <w:highlight w:val="none"/>
          <w:lang w:val="en-US" w:eastAsia="zh-CN"/>
        </w:rPr>
        <w:t>合同主体</w:t>
      </w:r>
      <w:r>
        <w:rPr>
          <w:rFonts w:hint="eastAsia" w:ascii="宋体" w:hAnsi="宋体" w:eastAsia="宋体" w:cs="宋体"/>
          <w:b/>
          <w:color w:val="auto"/>
          <w:sz w:val="21"/>
          <w:szCs w:val="21"/>
          <w:highlight w:val="none"/>
        </w:rPr>
        <w:t>的供货通知及签订补充协议的要求时，积极配合并履行相应的供货义务，确保供货的及时性和质量等符合原合同的要求</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实际</w:t>
      </w:r>
      <w:r>
        <w:rPr>
          <w:rFonts w:hint="eastAsia" w:ascii="宋体" w:hAnsi="宋体" w:eastAsia="宋体" w:cs="宋体"/>
          <w:b/>
          <w:bCs/>
          <w:color w:val="auto"/>
          <w:kern w:val="2"/>
          <w:sz w:val="21"/>
          <w:szCs w:val="21"/>
          <w:highlight w:val="none"/>
        </w:rPr>
        <w:t>招标人运营项目</w:t>
      </w:r>
      <w:r>
        <w:rPr>
          <w:rFonts w:hint="eastAsia" w:ascii="宋体" w:hAnsi="宋体" w:eastAsia="宋体" w:cs="宋体"/>
          <w:b/>
          <w:color w:val="auto"/>
          <w:sz w:val="21"/>
          <w:szCs w:val="21"/>
          <w:highlight w:val="none"/>
        </w:rPr>
        <w:t>根据项目工艺及性质，结合项目实际使用效果选用，招标人的实际需求数量以招标人运营项目每次的供货通知为准，在供货期内</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不得因招标人实际采购数量的减少或增加而要求提供任何形式的补偿或赔偿，或要求招标人按暂定采购数量采购相应货物</w:t>
      </w:r>
      <w:r>
        <w:rPr>
          <w:rFonts w:hint="eastAsia" w:ascii="宋体" w:hAnsi="宋体" w:eastAsia="宋体" w:cs="宋体"/>
          <w:b/>
          <w:bCs/>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211" w:firstLineChars="1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★4、主要技术指标。</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（1）</w:t>
      </w:r>
      <w:r>
        <w:rPr>
          <w:rFonts w:hint="eastAsia" w:ascii="宋体" w:hAnsi="宋体" w:eastAsia="宋体" w:cs="宋体"/>
          <w:b/>
          <w:bCs/>
          <w:color w:val="auto"/>
          <w:szCs w:val="21"/>
          <w:highlight w:val="none"/>
          <w:lang w:eastAsia="zh-CN"/>
        </w:rPr>
        <w:t>液体柠檬酸</w:t>
      </w:r>
      <w:r>
        <w:rPr>
          <w:rFonts w:hint="eastAsia" w:ascii="宋体" w:hAnsi="宋体" w:eastAsia="宋体" w:cs="宋体"/>
          <w:b/>
          <w:bCs/>
          <w:color w:val="auto"/>
          <w:szCs w:val="21"/>
          <w:highlight w:val="none"/>
        </w:rPr>
        <w:t>产品外观为无色透明液体</w:t>
      </w:r>
      <w:r>
        <w:rPr>
          <w:rFonts w:hint="eastAsia" w:ascii="宋体" w:hAnsi="宋体" w:eastAsia="宋体" w:cs="宋体"/>
          <w:b/>
          <w:bCs/>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（2）</w:t>
      </w:r>
      <w:r>
        <w:rPr>
          <w:rFonts w:hint="eastAsia" w:ascii="宋体" w:hAnsi="宋体" w:eastAsia="宋体" w:cs="宋体"/>
          <w:b/>
          <w:bCs/>
          <w:color w:val="auto"/>
          <w:szCs w:val="21"/>
          <w:highlight w:val="none"/>
          <w:lang w:eastAsia="zh-CN"/>
        </w:rPr>
        <w:t>液体柠檬酸</w:t>
      </w:r>
      <w:r>
        <w:rPr>
          <w:rFonts w:hint="eastAsia" w:ascii="宋体" w:hAnsi="宋体" w:eastAsia="宋体" w:cs="宋体"/>
          <w:b/>
          <w:bCs/>
          <w:color w:val="auto"/>
          <w:szCs w:val="21"/>
          <w:highlight w:val="none"/>
        </w:rPr>
        <w:t>主要技术指标要求如下</w:t>
      </w:r>
      <w:r>
        <w:rPr>
          <w:rFonts w:hint="eastAsia" w:ascii="宋体" w:hAnsi="宋体" w:eastAsia="宋体" w:cs="宋体"/>
          <w:b/>
          <w:bCs/>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表1 </w:t>
      </w:r>
      <w:r>
        <w:rPr>
          <w:rFonts w:hint="eastAsia" w:ascii="宋体" w:hAnsi="宋体" w:eastAsia="宋体" w:cs="宋体"/>
          <w:b/>
          <w:bCs/>
          <w:color w:val="auto"/>
          <w:sz w:val="21"/>
          <w:szCs w:val="21"/>
          <w:highlight w:val="none"/>
          <w:lang w:eastAsia="zh-CN"/>
        </w:rPr>
        <w:t>液体柠檬酸</w:t>
      </w:r>
      <w:r>
        <w:rPr>
          <w:rFonts w:hint="eastAsia" w:ascii="宋体" w:hAnsi="宋体" w:eastAsia="宋体" w:cs="宋体"/>
          <w:b/>
          <w:bCs/>
          <w:color w:val="auto"/>
          <w:sz w:val="21"/>
          <w:szCs w:val="21"/>
          <w:highlight w:val="none"/>
        </w:rPr>
        <w:t>主要技术指标</w:t>
      </w:r>
    </w:p>
    <w:tbl>
      <w:tblPr>
        <w:tblStyle w:val="37"/>
        <w:tblW w:w="990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7"/>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5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指标项目</w:t>
            </w:r>
          </w:p>
        </w:tc>
        <w:tc>
          <w:tcPr>
            <w:tcW w:w="42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default" w:hAnsi="宋体"/>
                <w:b/>
                <w:bCs/>
                <w:color w:val="auto"/>
                <w:sz w:val="21"/>
                <w:szCs w:val="21"/>
                <w:highlight w:val="none"/>
              </w:rPr>
            </w:pPr>
            <w:r>
              <w:rPr>
                <w:rFonts w:hint="eastAsia" w:ascii="宋体" w:hAnsi="宋体" w:eastAsia="宋体" w:cs="宋体"/>
                <w:b/>
                <w:bCs/>
                <w:color w:val="auto"/>
                <w:sz w:val="21"/>
                <w:szCs w:val="21"/>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5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柠檬酸含量</w:t>
            </w:r>
            <w:r>
              <w:rPr>
                <w:rFonts w:hint="eastAsia" w:ascii="宋体" w:hAnsi="宋体" w:eastAsia="宋体" w:cs="宋体"/>
                <w:b/>
                <w:bCs/>
                <w:color w:val="auto"/>
                <w:sz w:val="21"/>
                <w:szCs w:val="21"/>
                <w:highlight w:val="none"/>
              </w:rPr>
              <w:t>（C</w:t>
            </w:r>
            <w:r>
              <w:rPr>
                <w:rFonts w:hint="eastAsia" w:ascii="宋体" w:hAnsi="宋体" w:eastAsia="宋体" w:cs="宋体"/>
                <w:b/>
                <w:bCs/>
                <w:color w:val="auto"/>
                <w:sz w:val="21"/>
                <w:szCs w:val="21"/>
                <w:highlight w:val="none"/>
                <w:vertAlign w:val="subscript"/>
              </w:rPr>
              <w:t>6</w:t>
            </w:r>
            <w:r>
              <w:rPr>
                <w:rFonts w:hint="eastAsia" w:ascii="宋体" w:hAnsi="宋体" w:eastAsia="宋体" w:cs="宋体"/>
                <w:b/>
                <w:bCs/>
                <w:color w:val="auto"/>
                <w:sz w:val="21"/>
                <w:szCs w:val="21"/>
                <w:highlight w:val="none"/>
              </w:rPr>
              <w:t>H</w:t>
            </w:r>
            <w:r>
              <w:rPr>
                <w:rFonts w:hint="eastAsia" w:ascii="宋体" w:hAnsi="宋体" w:eastAsia="宋体" w:cs="宋体"/>
                <w:b/>
                <w:bCs/>
                <w:color w:val="auto"/>
                <w:sz w:val="21"/>
                <w:szCs w:val="21"/>
                <w:highlight w:val="none"/>
                <w:vertAlign w:val="subscript"/>
              </w:rPr>
              <w:t>8</w:t>
            </w:r>
            <w:r>
              <w:rPr>
                <w:rFonts w:hint="eastAsia" w:ascii="宋体" w:hAnsi="宋体" w:eastAsia="宋体" w:cs="宋体"/>
                <w:b/>
                <w:bCs/>
                <w:color w:val="auto"/>
                <w:sz w:val="21"/>
                <w:szCs w:val="21"/>
                <w:highlight w:val="none"/>
              </w:rPr>
              <w:t>O</w:t>
            </w:r>
            <w:r>
              <w:rPr>
                <w:rFonts w:hint="eastAsia" w:ascii="宋体" w:hAnsi="宋体" w:eastAsia="宋体" w:cs="宋体"/>
                <w:b/>
                <w:bCs/>
                <w:color w:val="auto"/>
                <w:sz w:val="21"/>
                <w:szCs w:val="21"/>
                <w:highlight w:val="none"/>
                <w:vertAlign w:val="subscript"/>
              </w:rPr>
              <w:t>7</w:t>
            </w:r>
            <w:r>
              <w:rPr>
                <w:rFonts w:hint="eastAsia" w:ascii="宋体" w:hAnsi="宋体" w:eastAsia="宋体" w:cs="宋体"/>
                <w:b/>
                <w:bCs/>
                <w:color w:val="auto"/>
                <w:sz w:val="21"/>
                <w:szCs w:val="21"/>
                <w:highlight w:val="none"/>
              </w:rPr>
              <w:t>），%</w:t>
            </w:r>
          </w:p>
        </w:tc>
        <w:tc>
          <w:tcPr>
            <w:tcW w:w="42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水不溶物，%</w:t>
            </w:r>
          </w:p>
        </w:tc>
        <w:tc>
          <w:tcPr>
            <w:tcW w:w="42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≤0.05</w:t>
            </w:r>
          </w:p>
        </w:tc>
      </w:tr>
    </w:tbl>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（3）供货期间，如有发布最新的行业标准或国家标准，招标人有权根据招标人运营项目实际情况及有关行业标准或国家标准对合同的主要技术指标进行变更调整，投标人应无条件接受。</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w:t>
      </w:r>
      <w:r>
        <w:rPr>
          <w:rFonts w:hint="eastAsia" w:ascii="宋体" w:hAnsi="宋体" w:eastAsia="宋体" w:cs="宋体"/>
          <w:b/>
          <w:bCs/>
          <w:color w:val="auto"/>
          <w:szCs w:val="21"/>
          <w:highlight w:val="none"/>
        </w:rPr>
        <w:t>供货单位应根据各项目工艺以及性质，提供符合技术指标的药剂，保证供货的药剂用于MBR膜清洗达到良好的膜清洗效果</w:t>
      </w:r>
      <w:r>
        <w:rPr>
          <w:rFonts w:hint="eastAsia" w:ascii="宋体" w:hAnsi="宋体" w:eastAsia="宋体" w:cs="宋体"/>
          <w:b/>
          <w:bCs/>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15" w:name="_Toc501"/>
      <w:r>
        <w:rPr>
          <w:rFonts w:hint="eastAsia" w:ascii="宋体" w:hAnsi="宋体" w:eastAsia="宋体" w:cs="宋体"/>
          <w:b/>
          <w:bCs/>
          <w:color w:val="auto"/>
          <w:kern w:val="2"/>
          <w:sz w:val="21"/>
          <w:szCs w:val="21"/>
          <w:highlight w:val="none"/>
          <w:lang w:val="en-US" w:eastAsia="zh-CN" w:bidi="ar"/>
        </w:rPr>
        <w:t>三、交货要求</w:t>
      </w:r>
      <w:bookmarkEnd w:id="15"/>
    </w:p>
    <w:p>
      <w:pPr>
        <w:spacing w:line="360" w:lineRule="auto"/>
        <w:ind w:firstLine="420" w:firstLineChars="200"/>
        <w:jc w:val="both"/>
        <w:outlineLvl w:val="9"/>
        <w:rPr>
          <w:rFonts w:hint="eastAsia" w:ascii="宋体" w:hAnsi="宋体" w:eastAsia="宋体" w:cs="宋体"/>
          <w:color w:val="auto"/>
          <w:sz w:val="21"/>
          <w:szCs w:val="21"/>
          <w:highlight w:val="none"/>
        </w:rPr>
      </w:pPr>
      <w:bookmarkStart w:id="16" w:name="_Toc21273"/>
      <w:bookmarkStart w:id="17" w:name="_Toc24196"/>
      <w:r>
        <w:rPr>
          <w:rFonts w:hint="eastAsia" w:ascii="宋体" w:hAnsi="宋体" w:eastAsia="宋体" w:cs="宋体"/>
          <w:color w:val="auto"/>
          <w:sz w:val="21"/>
          <w:szCs w:val="21"/>
          <w:highlight w:val="none"/>
        </w:rPr>
        <w:t>1、交货地点：招标人</w:t>
      </w:r>
      <w:r>
        <w:rPr>
          <w:rFonts w:hint="eastAsia" w:ascii="宋体" w:hAnsi="宋体" w:eastAsia="宋体" w:cs="宋体"/>
          <w:color w:val="auto"/>
          <w:kern w:val="2"/>
          <w:sz w:val="21"/>
          <w:szCs w:val="21"/>
          <w:highlight w:val="none"/>
        </w:rPr>
        <w:t>在东莞市范围内的</w:t>
      </w:r>
      <w:r>
        <w:rPr>
          <w:rFonts w:hint="eastAsia" w:ascii="宋体" w:hAnsi="宋体" w:eastAsia="宋体" w:cs="宋体"/>
          <w:color w:val="auto"/>
          <w:sz w:val="21"/>
          <w:szCs w:val="21"/>
          <w:highlight w:val="none"/>
        </w:rPr>
        <w:t>运营项目。</w:t>
      </w:r>
      <w:bookmarkEnd w:id="16"/>
      <w:bookmarkEnd w:id="17"/>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2、交货时间：日常供货（非加急供货</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为接到供货通知24小时内，加急供货为接到供货通知4小时内，具体交货时间以招标人运营项目供货通知为准。招标人无需因加急供货而额外支付任何费用。</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自行负责将生产药剂运送至招标人运营项目指定位置（生产药剂储存罐），未经招标人书面同意，</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不得私自将本合同项下的货物运输义务委托第三方个人或企业。</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承担相应的运输、装卸等费用，运输人员应配备足够防护器具。如在运输及装卸过程中，生产药剂发生泄漏，应由</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负责清理收集，避免造成人员伤害或环境污染。</w:t>
      </w:r>
    </w:p>
    <w:p>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4、每次送货，</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须提供电子地磅的称重单（含载货时的称重单和卸货后的称重单），相关费用由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承担。实际供货数量以招标人运营项目和</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双方确认的电子地磅的称重单为准。</w:t>
      </w:r>
      <w:r>
        <w:rPr>
          <w:rFonts w:hint="eastAsia" w:ascii="宋体" w:hAnsi="宋体" w:eastAsia="宋体" w:cs="宋体"/>
          <w:color w:val="auto"/>
          <w:kern w:val="2"/>
          <w:sz w:val="21"/>
          <w:szCs w:val="21"/>
          <w:highlight w:val="none"/>
        </w:rPr>
        <w:t>招标人运营项目</w:t>
      </w:r>
      <w:r>
        <w:rPr>
          <w:rFonts w:hint="eastAsia" w:ascii="宋体" w:hAnsi="宋体" w:eastAsia="宋体" w:cs="宋体"/>
          <w:color w:val="auto"/>
          <w:kern w:val="2"/>
          <w:sz w:val="21"/>
          <w:szCs w:val="21"/>
          <w:highlight w:val="none"/>
          <w:lang w:val="en-US" w:eastAsia="zh-CN"/>
        </w:rPr>
        <w:t>有电子地磅的，原则上在招标人运营项目过磅；招标人运营项目无电子地磅或电子地磅因检修等原因不可用的，在</w:t>
      </w:r>
      <w:r>
        <w:rPr>
          <w:rFonts w:hint="eastAsia" w:ascii="宋体" w:hAnsi="宋体" w:eastAsia="宋体" w:cs="宋体"/>
          <w:color w:val="auto"/>
          <w:kern w:val="2"/>
          <w:sz w:val="21"/>
          <w:szCs w:val="21"/>
          <w:highlight w:val="none"/>
        </w:rPr>
        <w:t>交货地点附近的</w:t>
      </w:r>
      <w:r>
        <w:rPr>
          <w:rFonts w:hint="eastAsia" w:ascii="宋体" w:hAnsi="宋体" w:eastAsia="宋体" w:cs="宋体"/>
          <w:color w:val="auto"/>
          <w:kern w:val="2"/>
          <w:sz w:val="21"/>
          <w:szCs w:val="21"/>
          <w:highlight w:val="none"/>
          <w:lang w:val="en-US" w:eastAsia="zh-CN"/>
        </w:rPr>
        <w:t>电子地磅过磅。</w:t>
      </w:r>
      <w:r>
        <w:rPr>
          <w:rFonts w:hint="eastAsia" w:ascii="宋体" w:hAnsi="宋体" w:eastAsia="宋体" w:cs="宋体"/>
          <w:color w:val="auto"/>
          <w:szCs w:val="21"/>
          <w:highlight w:val="none"/>
        </w:rPr>
        <w:t>招标人电子地磅的称重服务不含税单价为1.51元/吨，称重服务相关条款由招标人或招标人权属子公司与中标人签订称重服务合同另行约定。</w:t>
      </w:r>
    </w:p>
    <w:p>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sz w:val="21"/>
          <w:szCs w:val="21"/>
          <w:highlight w:val="none"/>
        </w:rPr>
        <w:t>每次送货，</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须随货提供生产厂家出具的具有</w:t>
      </w:r>
      <w:r>
        <w:rPr>
          <w:rFonts w:hint="eastAsia" w:ascii="宋体" w:hAnsi="宋体" w:eastAsia="宋体" w:cs="宋体"/>
          <w:b/>
          <w:bCs/>
          <w:color w:val="auto"/>
          <w:kern w:val="2"/>
          <w:sz w:val="21"/>
          <w:szCs w:val="21"/>
          <w:highlight w:val="none"/>
        </w:rPr>
        <w:t>生产厂家、出厂批号、</w:t>
      </w:r>
      <w:r>
        <w:rPr>
          <w:rFonts w:hint="eastAsia" w:ascii="宋体" w:hAnsi="宋体" w:eastAsia="宋体" w:cs="宋体"/>
          <w:b/>
          <w:bCs/>
          <w:color w:val="auto"/>
          <w:sz w:val="21"/>
          <w:szCs w:val="21"/>
          <w:highlight w:val="none"/>
          <w:lang w:val="en-US" w:eastAsia="zh-CN"/>
        </w:rPr>
        <w:t>柠檬酸含量</w:t>
      </w:r>
      <w:r>
        <w:rPr>
          <w:rFonts w:hint="eastAsia" w:ascii="宋体" w:hAnsi="宋体" w:eastAsia="宋体" w:cs="宋体"/>
          <w:b/>
          <w:bCs/>
          <w:color w:val="auto"/>
          <w:kern w:val="2"/>
          <w:sz w:val="21"/>
          <w:szCs w:val="21"/>
          <w:highlight w:val="none"/>
        </w:rPr>
        <w:t>等主要信息</w:t>
      </w:r>
      <w:r>
        <w:rPr>
          <w:rFonts w:hint="eastAsia" w:ascii="宋体" w:hAnsi="宋体" w:eastAsia="宋体" w:cs="宋体"/>
          <w:color w:val="auto"/>
          <w:kern w:val="2"/>
          <w:sz w:val="21"/>
          <w:szCs w:val="21"/>
          <w:highlight w:val="none"/>
        </w:rPr>
        <w:t>的产品质量检验报告（如出厂检验报告、质量检验报告等）、供货单据等资料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kern w:val="2"/>
          <w:sz w:val="21"/>
          <w:szCs w:val="21"/>
          <w:highlight w:val="none"/>
        </w:rPr>
        <w:t>生产厂家出具的产品质量检验报告（如出厂检验报告、质量检验报告等）</w:t>
      </w:r>
      <w:r>
        <w:rPr>
          <w:rFonts w:hint="eastAsia" w:ascii="宋体" w:hAnsi="宋体" w:eastAsia="宋体" w:cs="宋体"/>
          <w:color w:val="auto"/>
          <w:kern w:val="2"/>
          <w:sz w:val="21"/>
          <w:szCs w:val="21"/>
          <w:highlight w:val="none"/>
          <w:lang w:val="en-US" w:eastAsia="zh-CN"/>
        </w:rPr>
        <w:t>无法体现是否符合</w:t>
      </w:r>
      <w:r>
        <w:rPr>
          <w:rFonts w:hint="eastAsia" w:ascii="宋体" w:hAnsi="宋体" w:eastAsia="宋体" w:cs="宋体"/>
          <w:color w:val="auto"/>
          <w:szCs w:val="21"/>
          <w:highlight w:val="none"/>
        </w:rPr>
        <w:t>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US" w:eastAsia="zh-CN"/>
        </w:rPr>
        <w:t>中标人需另行提供中标人出具的所供货物的</w:t>
      </w:r>
      <w:r>
        <w:rPr>
          <w:rFonts w:hint="eastAsia" w:ascii="宋体" w:hAnsi="宋体" w:eastAsia="宋体" w:cs="宋体"/>
          <w:color w:val="auto"/>
          <w:szCs w:val="21"/>
          <w:highlight w:val="none"/>
        </w:rPr>
        <w:t>符合表1《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kern w:val="2"/>
          <w:sz w:val="21"/>
          <w:szCs w:val="21"/>
          <w:highlight w:val="none"/>
        </w:rPr>
        <w:t>产品质量检验报告</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提供的检验报告只作为招标人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参考。</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6、供货期间，在收到招标人</w:t>
      </w:r>
      <w:r>
        <w:rPr>
          <w:rFonts w:hint="eastAsia" w:ascii="宋体" w:hAnsi="宋体" w:eastAsia="宋体" w:cs="宋体"/>
          <w:color w:val="auto"/>
          <w:kern w:val="2"/>
          <w:sz w:val="21"/>
          <w:szCs w:val="21"/>
          <w:highlight w:val="none"/>
        </w:rPr>
        <w:t>运营项目供货</w:t>
      </w:r>
      <w:r>
        <w:rPr>
          <w:rFonts w:hint="eastAsia" w:ascii="宋体" w:hAnsi="宋体" w:eastAsia="宋体" w:cs="宋体"/>
          <w:color w:val="auto"/>
          <w:sz w:val="21"/>
          <w:szCs w:val="21"/>
          <w:highlight w:val="none"/>
        </w:rPr>
        <w:t>通知前，</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无需为合同履行做准备工作。招标人运营项目相关信息见附件，仅供投标人报价参考。</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7、关于生产药剂的贮存装置、</w:t>
      </w:r>
      <w:bookmarkStart w:id="18" w:name="_Hlk111479904"/>
      <w:r>
        <w:rPr>
          <w:rFonts w:hint="eastAsia" w:ascii="宋体" w:hAnsi="宋体" w:eastAsia="宋体" w:cs="宋体"/>
          <w:color w:val="auto"/>
          <w:sz w:val="21"/>
          <w:szCs w:val="21"/>
          <w:highlight w:val="none"/>
        </w:rPr>
        <w:t>贮存</w:t>
      </w:r>
      <w:bookmarkEnd w:id="18"/>
      <w:r>
        <w:rPr>
          <w:rFonts w:hint="eastAsia" w:ascii="宋体" w:hAnsi="宋体" w:eastAsia="宋体" w:cs="宋体"/>
          <w:color w:val="auto"/>
          <w:sz w:val="21"/>
          <w:szCs w:val="21"/>
          <w:highlight w:val="none"/>
        </w:rPr>
        <w:t>条件等要求，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w:t>
      </w:r>
      <w:r>
        <w:rPr>
          <w:rFonts w:hint="eastAsia" w:ascii="宋体" w:hAnsi="宋体" w:eastAsia="宋体" w:cs="宋体"/>
          <w:color w:val="auto"/>
          <w:kern w:val="2"/>
          <w:sz w:val="21"/>
          <w:szCs w:val="21"/>
          <w:highlight w:val="none"/>
        </w:rPr>
        <w:t>以书面形式</w:t>
      </w:r>
      <w:r>
        <w:rPr>
          <w:rFonts w:hint="eastAsia" w:ascii="宋体" w:hAnsi="宋体" w:eastAsia="宋体" w:cs="宋体"/>
          <w:color w:val="auto"/>
          <w:sz w:val="21"/>
          <w:szCs w:val="21"/>
          <w:highlight w:val="none"/>
        </w:rPr>
        <w:t>详细告知招标人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w:t>
      </w:r>
    </w:p>
    <w:p>
      <w:pPr>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Cs w:val="21"/>
          <w:highlight w:val="none"/>
        </w:rPr>
        <w:t>生产药剂的运送及输送方式应符合国家或行业规范标准。液体药剂采用聚乙烯塑料桶或专用耐酸碱耐腐蚀贮罐等密闭容器装运,运输过程防止药剂泄漏并避免有毒物品的污染，且供货单位或其委托的运输单位应当具备国家及行业规定的运输资质</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19" w:name="_Toc28112"/>
      <w:r>
        <w:rPr>
          <w:rFonts w:hint="eastAsia" w:ascii="宋体" w:hAnsi="宋体" w:eastAsia="宋体" w:cs="宋体"/>
          <w:b/>
          <w:bCs/>
          <w:color w:val="auto"/>
          <w:kern w:val="2"/>
          <w:sz w:val="21"/>
          <w:szCs w:val="21"/>
          <w:highlight w:val="none"/>
          <w:lang w:val="en-US" w:eastAsia="zh-CN" w:bidi="ar"/>
        </w:rPr>
        <w:t>四、验收要求</w:t>
      </w:r>
      <w:bookmarkEnd w:id="19"/>
    </w:p>
    <w:p>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1、验收分为货到交货地点的初步验收，和货物检验合格后的最终验收。</w:t>
      </w:r>
    </w:p>
    <w:p>
      <w:pPr>
        <w:autoSpaceDE/>
        <w:autoSpaceDN/>
        <w:adjustRightInd/>
        <w:spacing w:line="360" w:lineRule="auto"/>
        <w:ind w:firstLine="422" w:firstLineChars="200"/>
        <w:jc w:val="both"/>
        <w:outlineLvl w:val="9"/>
        <w:rPr>
          <w:rFonts w:hint="eastAsia" w:ascii="宋体" w:hAnsi="宋体" w:eastAsia="宋体" w:cs="宋体"/>
          <w:b/>
          <w:bCs/>
          <w:color w:val="auto"/>
          <w:kern w:val="2"/>
          <w:sz w:val="21"/>
          <w:szCs w:val="21"/>
          <w:highlight w:val="none"/>
        </w:rPr>
      </w:pPr>
      <w:bookmarkStart w:id="20" w:name="_Toc26056"/>
      <w:bookmarkStart w:id="21" w:name="_Toc23730"/>
      <w:r>
        <w:rPr>
          <w:rFonts w:hint="eastAsia" w:ascii="宋体" w:hAnsi="宋体" w:eastAsia="宋体" w:cs="宋体"/>
          <w:b/>
          <w:bCs/>
          <w:color w:val="auto"/>
          <w:kern w:val="2"/>
          <w:sz w:val="21"/>
          <w:szCs w:val="21"/>
          <w:highlight w:val="none"/>
        </w:rPr>
        <w:t>（1）初步验收：</w:t>
      </w:r>
      <w:bookmarkEnd w:id="20"/>
      <w:bookmarkEnd w:id="21"/>
    </w:p>
    <w:p>
      <w:pPr>
        <w:autoSpaceDE/>
        <w:autoSpaceDN/>
        <w:adjustRightInd/>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1）货物运抵交货地点，招标人运营项目、</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共同验货。招标人运营项目按照本项目合同及招标文件，对货物的数量、品种、随车产品质量检验报告、供货单据等进行核对。</w:t>
      </w:r>
    </w:p>
    <w:p>
      <w:pPr>
        <w:autoSpaceDE/>
        <w:autoSpaceDN/>
        <w:adjustRightInd/>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2）初步验收合格后，招标人运营项目、</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双方进行相关签收手续。</w:t>
      </w:r>
    </w:p>
    <w:p>
      <w:pPr>
        <w:autoSpaceDE/>
        <w:autoSpaceDN/>
        <w:adjustRightInd/>
        <w:spacing w:line="360" w:lineRule="auto"/>
        <w:ind w:firstLine="422" w:firstLineChars="200"/>
        <w:jc w:val="both"/>
        <w:outlineLvl w:val="9"/>
        <w:rPr>
          <w:rFonts w:hint="eastAsia" w:ascii="宋体" w:hAnsi="宋体" w:eastAsia="宋体" w:cs="宋体"/>
          <w:b/>
          <w:bCs/>
          <w:color w:val="auto"/>
          <w:kern w:val="2"/>
          <w:sz w:val="21"/>
          <w:szCs w:val="21"/>
          <w:highlight w:val="none"/>
        </w:rPr>
      </w:pPr>
      <w:bookmarkStart w:id="22" w:name="_Toc16461"/>
      <w:bookmarkStart w:id="23" w:name="_Toc24743"/>
      <w:r>
        <w:rPr>
          <w:rFonts w:hint="eastAsia" w:ascii="宋体" w:hAnsi="宋体" w:eastAsia="宋体" w:cs="宋体"/>
          <w:b/>
          <w:bCs/>
          <w:color w:val="auto"/>
          <w:kern w:val="2"/>
          <w:sz w:val="21"/>
          <w:szCs w:val="21"/>
          <w:highlight w:val="none"/>
        </w:rPr>
        <w:t>（2）最终验收</w:t>
      </w:r>
      <w:bookmarkEnd w:id="22"/>
      <w:bookmarkEnd w:id="23"/>
    </w:p>
    <w:p>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对每次供货货物检验，检验指标由招标人在表1</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主要技术指标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中选择，其中</w:t>
      </w:r>
      <w:r>
        <w:rPr>
          <w:rFonts w:hint="eastAsia" w:ascii="宋体" w:hAnsi="宋体" w:eastAsia="宋体" w:cs="宋体"/>
          <w:color w:val="auto"/>
          <w:sz w:val="21"/>
          <w:szCs w:val="21"/>
          <w:highlight w:val="none"/>
          <w:lang w:val="en-US" w:eastAsia="zh-CN"/>
        </w:rPr>
        <w:t>质量分数</w:t>
      </w:r>
      <w:r>
        <w:rPr>
          <w:rFonts w:hint="eastAsia" w:ascii="宋体" w:hAnsi="宋体" w:eastAsia="宋体" w:cs="宋体"/>
          <w:color w:val="auto"/>
          <w:sz w:val="21"/>
          <w:szCs w:val="21"/>
          <w:highlight w:val="none"/>
        </w:rPr>
        <w:t>为每次供货货物的批检检验指标，其余指标为招标人根据需要抽检的按需检验指标，货物批检检验指标和按需检验指标由招标人根据招标人</w:t>
      </w:r>
      <w:r>
        <w:rPr>
          <w:rFonts w:hint="eastAsia" w:ascii="宋体" w:hAnsi="宋体" w:eastAsia="宋体" w:cs="宋体"/>
          <w:color w:val="auto"/>
          <w:sz w:val="21"/>
          <w:szCs w:val="21"/>
          <w:highlight w:val="none"/>
          <w:lang w:bidi="ar"/>
        </w:rPr>
        <w:t>关于药剂的管理制度及要求适时调整。</w:t>
      </w:r>
      <w:r>
        <w:rPr>
          <w:rFonts w:hint="eastAsia" w:ascii="宋体" w:hAnsi="宋体" w:eastAsia="宋体" w:cs="宋体"/>
          <w:color w:val="auto"/>
          <w:sz w:val="21"/>
          <w:szCs w:val="21"/>
          <w:highlight w:val="none"/>
        </w:rPr>
        <w:t>每次货到现场时可由双方共同取样，供货货物合格判定以招标人实验室检验结果为准。招标人根据需要可委托具有CMA认证资质的第三方检测机构检测，招标人委托的具有CMA认证资质的第三方检测机构的检验结果与招标人实验室不一致的，该次的供货货物质量判定以招标人委托的具有CMA认证资质的第三方检测机构的检验结果为准。</w:t>
      </w:r>
    </w:p>
    <w:p>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w:t>
      </w:r>
      <w:r>
        <w:rPr>
          <w:rFonts w:hint="eastAsia" w:ascii="宋体" w:hAnsi="宋体" w:eastAsia="宋体" w:cs="宋体"/>
          <w:color w:val="auto"/>
          <w:sz w:val="21"/>
          <w:szCs w:val="21"/>
          <w:highlight w:val="none"/>
          <w:lang w:val="en-US" w:eastAsia="zh-CN"/>
        </w:rPr>
        <w:t>柠檬酸含量</w:t>
      </w:r>
      <w:r>
        <w:rPr>
          <w:rFonts w:hint="eastAsia" w:ascii="宋体" w:hAnsi="宋体" w:eastAsia="宋体" w:cs="宋体"/>
          <w:color w:val="auto"/>
          <w:sz w:val="21"/>
          <w:szCs w:val="21"/>
          <w:highlight w:val="none"/>
        </w:rPr>
        <w:t>检验方法按</w:t>
      </w:r>
      <w:r>
        <w:rPr>
          <w:rFonts w:hint="eastAsia" w:ascii="宋体" w:hAnsi="宋体" w:eastAsia="宋体" w:cs="宋体"/>
          <w:color w:val="auto"/>
          <w:sz w:val="21"/>
          <w:szCs w:val="21"/>
          <w:highlight w:val="none"/>
          <w:lang w:eastAsia="zh-CN"/>
        </w:rPr>
        <w:t>《柠檬酸》（GB/T 8269-2006）</w:t>
      </w:r>
      <w:r>
        <w:rPr>
          <w:rFonts w:hint="eastAsia" w:ascii="宋体" w:hAnsi="宋体" w:eastAsia="宋体" w:cs="宋体"/>
          <w:color w:val="auto"/>
          <w:sz w:val="21"/>
          <w:szCs w:val="21"/>
          <w:highlight w:val="none"/>
          <w:lang w:val="en-US" w:eastAsia="zh-CN"/>
        </w:rPr>
        <w:t>或《化学试剂 一水合柠檬酸（柠檬酸）》（GB∕T 9855-2008）</w:t>
      </w:r>
      <w:r>
        <w:rPr>
          <w:rFonts w:hint="eastAsia" w:ascii="宋体" w:hAnsi="宋体" w:eastAsia="宋体" w:cs="宋体"/>
          <w:color w:val="auto"/>
          <w:sz w:val="21"/>
          <w:szCs w:val="21"/>
          <w:highlight w:val="none"/>
        </w:rPr>
        <w:t>中的检测方法进行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水不溶物按《化学试剂 一水合柠檬酸（柠檬酸）》（GB∕T 9855-2008）</w:t>
      </w:r>
      <w:r>
        <w:rPr>
          <w:rFonts w:hint="eastAsia" w:ascii="宋体" w:hAnsi="宋体" w:eastAsia="宋体" w:cs="宋体"/>
          <w:color w:val="auto"/>
          <w:sz w:val="21"/>
          <w:szCs w:val="21"/>
          <w:highlight w:val="none"/>
        </w:rPr>
        <w:t>中的检测方法进行。供货期间，如有发布最新的行业标准或国家标准，货物检验方法按发布的最新行业标准或国家标准执行。</w:t>
      </w:r>
    </w:p>
    <w:p>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3）如供货货物符合表1《</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主要技术指标》要求则最终验收合格。</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2、货物按上述程序验收后，招标人运营项目向</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出具书面的验收报告，</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需对验收报告盖章确认。验收报告作为对货物供货数量及主要技术指标验收的证明，不代表对货物使用效果的认可。</w:t>
      </w:r>
    </w:p>
    <w:p>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3、招标人运营项目根据本条规定对货物所做出的验收，仅作为起算付款及质保期之用，不视为双方对于货物质量的最终认可，</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仍应在质保期内对产品质量承担保证责任。</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4、货物在经最终验收合格前，其损耗、毁损、灭失等风险及责任由</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承担，如因发生前述情形，导致</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所提供的货物不能通过招标人运营项目验收的，</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应按招标人运营项目要求无条件予以退换货，给招标人造成损失的</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须承担全部的赔偿责任。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24" w:name="_Toc4185"/>
      <w:r>
        <w:rPr>
          <w:rFonts w:hint="eastAsia" w:ascii="宋体" w:hAnsi="宋体" w:eastAsia="宋体" w:cs="宋体"/>
          <w:b/>
          <w:bCs/>
          <w:color w:val="auto"/>
          <w:kern w:val="2"/>
          <w:sz w:val="21"/>
          <w:szCs w:val="21"/>
          <w:highlight w:val="none"/>
          <w:lang w:val="en-US" w:eastAsia="zh-CN" w:bidi="ar"/>
        </w:rPr>
        <w:t>五、资料要求</w:t>
      </w:r>
      <w:bookmarkEnd w:id="24"/>
    </w:p>
    <w:p>
      <w:pPr>
        <w:snapToGrid w:val="0"/>
        <w:spacing w:line="360" w:lineRule="auto"/>
        <w:ind w:firstLine="420" w:firstLineChars="200"/>
        <w:outlineLvl w:val="9"/>
        <w:rPr>
          <w:rFonts w:hint="eastAsia" w:ascii="宋体" w:hAnsi="宋体" w:eastAsia="宋体" w:cs="宋体"/>
          <w:color w:val="auto"/>
          <w:sz w:val="21"/>
          <w:szCs w:val="21"/>
          <w:highlight w:val="none"/>
        </w:rPr>
      </w:pPr>
      <w:bookmarkStart w:id="25" w:name="_Toc24104"/>
      <w:bookmarkStart w:id="26" w:name="_Toc28578"/>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需向招标人运营项目提供但不限于下述技术资料：</w:t>
      </w:r>
      <w:bookmarkEnd w:id="25"/>
      <w:bookmarkEnd w:id="26"/>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（1）符合第三条交货要求第5点要求的</w:t>
      </w:r>
      <w:r>
        <w:rPr>
          <w:rFonts w:hint="eastAsia" w:ascii="宋体" w:hAnsi="宋体" w:eastAsia="宋体" w:cs="宋体"/>
          <w:color w:val="auto"/>
          <w:kern w:val="2"/>
          <w:sz w:val="21"/>
          <w:szCs w:val="21"/>
          <w:highlight w:val="none"/>
        </w:rPr>
        <w:t>产品质量检验报告（如出厂检验报告、质量检验报告等）</w:t>
      </w:r>
      <w:r>
        <w:rPr>
          <w:rFonts w:hint="eastAsia" w:ascii="宋体" w:hAnsi="宋体" w:eastAsia="宋体" w:cs="宋体"/>
          <w:color w:val="auto"/>
          <w:sz w:val="21"/>
          <w:szCs w:val="21"/>
          <w:highlight w:val="none"/>
        </w:rPr>
        <w:t>、供货单据；</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（2）验收报告；</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（3）与货物使用相关的其他文件；</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（4）招标人运营项目要求提供的其他技术资料。</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需将上述资料（若上述资料为复印件的，则须加盖</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公章）在交货时交给招标人运营项目，有关资料的收集和整理由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负责，招标人运营项目予以配合。</w:t>
      </w:r>
    </w:p>
    <w:p>
      <w:pPr>
        <w:autoSpaceDE/>
        <w:autoSpaceDN/>
        <w:adjustRightInd/>
        <w:snapToGrid w:val="0"/>
        <w:spacing w:line="360" w:lineRule="auto"/>
        <w:ind w:firstLine="420"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2"/>
          <w:sz w:val="21"/>
          <w:szCs w:val="21"/>
          <w:highlight w:val="none"/>
        </w:rPr>
        <w:t>供货期内，</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需每季度委托具有CMA认证资质的第三方检测机构对供货期间所供货物进行检测，并提供第三方检测机构出具的</w:t>
      </w:r>
      <w:bookmarkStart w:id="27" w:name="OLE_LINK29"/>
      <w:r>
        <w:rPr>
          <w:rFonts w:hint="eastAsia" w:ascii="宋体" w:hAnsi="宋体" w:eastAsia="宋体" w:cs="宋体"/>
          <w:color w:val="auto"/>
          <w:szCs w:val="21"/>
          <w:highlight w:val="none"/>
        </w:rPr>
        <w:t>符合表1《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主要技术指标》要求的</w:t>
      </w:r>
      <w:bookmarkEnd w:id="27"/>
      <w:r>
        <w:rPr>
          <w:rFonts w:hint="eastAsia" w:ascii="宋体" w:hAnsi="宋体" w:eastAsia="宋体" w:cs="宋体"/>
          <w:color w:val="auto"/>
          <w:kern w:val="2"/>
          <w:sz w:val="21"/>
          <w:szCs w:val="21"/>
          <w:highlight w:val="none"/>
        </w:rPr>
        <w:t>检验报告，</w:t>
      </w:r>
      <w:r>
        <w:rPr>
          <w:rFonts w:hint="eastAsia" w:ascii="宋体" w:hAnsi="宋体" w:eastAsia="宋体" w:cs="宋体"/>
          <w:b/>
          <w:bCs/>
          <w:color w:val="auto"/>
          <w:sz w:val="21"/>
          <w:szCs w:val="21"/>
          <w:highlight w:val="none"/>
        </w:rPr>
        <w:t>检验报告需体现委托方、生产厂家、送检样品的产品名称、生产批号或生产日期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表1</w:t>
      </w:r>
      <w:r>
        <w:rPr>
          <w:rFonts w:hint="eastAsia" w:ascii="宋体" w:hAnsi="宋体" w:eastAsia="宋体" w:cs="宋体"/>
          <w:b/>
          <w:bCs/>
          <w:color w:val="auto"/>
          <w:sz w:val="21"/>
          <w:szCs w:val="21"/>
          <w:highlight w:val="none"/>
          <w:lang w:eastAsia="zh-CN"/>
        </w:rPr>
        <w:t>《液体柠檬酸</w:t>
      </w:r>
      <w:r>
        <w:rPr>
          <w:rFonts w:hint="eastAsia" w:ascii="宋体" w:hAnsi="宋体" w:eastAsia="宋体" w:cs="宋体"/>
          <w:b/>
          <w:bCs/>
          <w:color w:val="auto"/>
          <w:sz w:val="21"/>
          <w:szCs w:val="21"/>
          <w:highlight w:val="none"/>
        </w:rPr>
        <w:t>主要技术指标</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中各指标</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检测结果，检验报告</w:t>
      </w:r>
      <w:r>
        <w:rPr>
          <w:rFonts w:hint="eastAsia" w:ascii="宋体" w:hAnsi="宋体" w:eastAsia="宋体" w:cs="宋体"/>
          <w:b/>
          <w:bCs/>
          <w:color w:val="auto"/>
          <w:sz w:val="21"/>
          <w:szCs w:val="21"/>
          <w:highlight w:val="none"/>
          <w:lang w:val="en-US" w:eastAsia="zh-CN"/>
        </w:rPr>
        <w:t>柠檬酸含量</w:t>
      </w:r>
      <w:r>
        <w:rPr>
          <w:rFonts w:hint="eastAsia" w:ascii="宋体" w:hAnsi="宋体" w:eastAsia="宋体" w:cs="宋体"/>
          <w:b/>
          <w:bCs/>
          <w:color w:val="auto"/>
          <w:kern w:val="2"/>
          <w:sz w:val="21"/>
          <w:szCs w:val="21"/>
          <w:highlight w:val="none"/>
        </w:rPr>
        <w:t>使用的检测方法需符合</w:t>
      </w:r>
      <w:r>
        <w:rPr>
          <w:rFonts w:hint="eastAsia" w:ascii="宋体" w:hAnsi="宋体" w:eastAsia="宋体" w:cs="宋体"/>
          <w:b/>
          <w:bCs/>
          <w:color w:val="auto"/>
          <w:kern w:val="2"/>
          <w:sz w:val="21"/>
          <w:szCs w:val="21"/>
          <w:highlight w:val="none"/>
          <w:lang w:eastAsia="zh-CN"/>
        </w:rPr>
        <w:t>《柠檬酸》（GB/T 8269-2006）</w:t>
      </w:r>
      <w:r>
        <w:rPr>
          <w:rFonts w:hint="eastAsia" w:ascii="宋体" w:hAnsi="宋体" w:eastAsia="宋体" w:cs="宋体"/>
          <w:b/>
          <w:bCs/>
          <w:color w:val="auto"/>
          <w:kern w:val="2"/>
          <w:sz w:val="21"/>
          <w:szCs w:val="21"/>
          <w:highlight w:val="none"/>
          <w:lang w:val="en-US" w:eastAsia="zh-CN"/>
        </w:rPr>
        <w:t>或《化学试剂 一水合柠檬酸（柠檬酸）》（GB∕T 9855-2008），</w:t>
      </w:r>
      <w:r>
        <w:rPr>
          <w:rFonts w:hint="eastAsia" w:ascii="宋体" w:hAnsi="宋体" w:eastAsia="宋体" w:cs="宋体"/>
          <w:b/>
          <w:bCs/>
          <w:color w:val="auto"/>
          <w:szCs w:val="21"/>
          <w:highlight w:val="none"/>
        </w:rPr>
        <w:t>水不溶物</w:t>
      </w:r>
      <w:r>
        <w:rPr>
          <w:rFonts w:hint="eastAsia" w:ascii="宋体" w:hAnsi="宋体" w:eastAsia="宋体" w:cs="宋体"/>
          <w:b/>
          <w:bCs/>
          <w:color w:val="auto"/>
          <w:kern w:val="2"/>
          <w:sz w:val="21"/>
          <w:szCs w:val="21"/>
          <w:highlight w:val="none"/>
        </w:rPr>
        <w:t>使用的检测方法需符合</w:t>
      </w:r>
      <w:r>
        <w:rPr>
          <w:rFonts w:hint="eastAsia" w:ascii="宋体" w:hAnsi="宋体" w:eastAsia="宋体" w:cs="宋体"/>
          <w:b/>
          <w:bCs/>
          <w:color w:val="auto"/>
          <w:kern w:val="2"/>
          <w:sz w:val="21"/>
          <w:szCs w:val="21"/>
          <w:highlight w:val="none"/>
          <w:lang w:val="en-US" w:eastAsia="zh-CN"/>
        </w:rPr>
        <w:t>《化学试剂 一水合柠檬酸（柠檬酸）》（GB∕T 9855-2008）</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rPr>
        <w:t>检验报告中样品送检时间需在供货期内。</w:t>
      </w:r>
      <w:r>
        <w:rPr>
          <w:rFonts w:hint="eastAsia" w:ascii="宋体" w:hAnsi="宋体" w:eastAsia="宋体" w:cs="宋体"/>
          <w:color w:val="auto"/>
          <w:kern w:val="2"/>
          <w:sz w:val="21"/>
          <w:szCs w:val="21"/>
          <w:highlight w:val="none"/>
        </w:rPr>
        <w:t>供货期间，如有发布最新的行业标准或国家标准，货物检验方法按发布的最新行业标准或国家标准执行。</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提交的技术资料在出现遗漏或发现错误时，应及时补充或更正后提交招标人运营项目。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28" w:name="_Toc18790"/>
      <w:r>
        <w:rPr>
          <w:rFonts w:hint="eastAsia" w:ascii="宋体" w:hAnsi="宋体" w:eastAsia="宋体" w:cs="宋体"/>
          <w:b/>
          <w:bCs/>
          <w:color w:val="auto"/>
          <w:kern w:val="2"/>
          <w:sz w:val="21"/>
          <w:szCs w:val="21"/>
          <w:highlight w:val="none"/>
          <w:lang w:val="en-US" w:eastAsia="zh-CN" w:bidi="ar"/>
        </w:rPr>
        <w:t>六、质量保证及售后要求</w:t>
      </w:r>
      <w:bookmarkEnd w:id="28"/>
    </w:p>
    <w:p>
      <w:pPr>
        <w:spacing w:line="360" w:lineRule="auto"/>
        <w:ind w:firstLine="420" w:firstLineChars="200"/>
        <w:jc w:val="both"/>
        <w:rPr>
          <w:rFonts w:hint="eastAsia" w:ascii="宋体" w:hAnsi="宋体" w:eastAsia="宋体" w:cs="宋体"/>
          <w:color w:val="auto"/>
          <w:sz w:val="21"/>
          <w:szCs w:val="21"/>
          <w:highlight w:val="none"/>
        </w:rPr>
      </w:pPr>
      <w:bookmarkStart w:id="29" w:name="_Hlk142639521"/>
      <w:r>
        <w:rPr>
          <w:rFonts w:hint="eastAsia" w:ascii="宋体" w:hAnsi="宋体" w:eastAsia="宋体" w:cs="宋体"/>
          <w:color w:val="auto"/>
          <w:sz w:val="21"/>
          <w:szCs w:val="21"/>
          <w:highlight w:val="none"/>
        </w:rPr>
        <w:t>1、药剂保质期：</w:t>
      </w:r>
      <w:r>
        <w:rPr>
          <w:rFonts w:hint="eastAsia" w:ascii="宋体" w:hAnsi="宋体" w:eastAsia="宋体" w:cs="宋体"/>
          <w:bCs/>
          <w:color w:val="auto"/>
          <w:szCs w:val="21"/>
          <w:highlight w:val="none"/>
        </w:rPr>
        <w:t>以招标人运营项目</w:t>
      </w:r>
      <w:r>
        <w:rPr>
          <w:rFonts w:hint="eastAsia" w:ascii="宋体" w:hAnsi="宋体" w:eastAsia="宋体" w:cs="宋体"/>
          <w:bCs/>
          <w:color w:val="auto"/>
          <w:szCs w:val="21"/>
          <w:highlight w:val="none"/>
          <w:lang w:val="en-US" w:eastAsia="zh-CN"/>
        </w:rPr>
        <w:t>最终</w:t>
      </w:r>
      <w:r>
        <w:rPr>
          <w:rFonts w:hint="eastAsia" w:ascii="宋体" w:hAnsi="宋体" w:eastAsia="宋体" w:cs="宋体"/>
          <w:bCs/>
          <w:color w:val="auto"/>
          <w:szCs w:val="21"/>
          <w:highlight w:val="none"/>
        </w:rPr>
        <w:t>验收</w:t>
      </w:r>
      <w:r>
        <w:rPr>
          <w:rFonts w:hint="eastAsia" w:ascii="宋体" w:hAnsi="宋体" w:eastAsia="宋体" w:cs="宋体"/>
          <w:bCs/>
          <w:color w:val="auto"/>
          <w:szCs w:val="21"/>
          <w:highlight w:val="none"/>
          <w:lang w:val="en-US" w:eastAsia="zh-CN"/>
        </w:rPr>
        <w:t>合格</w:t>
      </w:r>
      <w:r>
        <w:rPr>
          <w:rFonts w:hint="eastAsia" w:ascii="宋体" w:hAnsi="宋体" w:eastAsia="宋体" w:cs="宋体"/>
          <w:bCs/>
          <w:color w:val="auto"/>
          <w:szCs w:val="21"/>
          <w:highlight w:val="none"/>
        </w:rPr>
        <w:t>之日算起3个月，保质期内产品质量须达到所有技术指标要求</w:t>
      </w:r>
      <w:r>
        <w:rPr>
          <w:rFonts w:hint="eastAsia" w:ascii="宋体" w:hAnsi="宋体" w:eastAsia="宋体" w:cs="宋体"/>
          <w:color w:val="auto"/>
          <w:sz w:val="21"/>
          <w:szCs w:val="21"/>
          <w:highlight w:val="none"/>
        </w:rPr>
        <w:t>。</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2、投标人应具有相应的技术人员，具备供货及售前售后的服务能力。</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在接到质量问题通知后 4 小时内自费派工程师到达现场对问题进行处理。</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应根据招标人</w:t>
      </w:r>
      <w:r>
        <w:rPr>
          <w:rFonts w:hint="eastAsia" w:ascii="宋体" w:hAnsi="宋体" w:eastAsia="宋体" w:cs="宋体"/>
          <w:color w:val="auto"/>
          <w:sz w:val="21"/>
          <w:szCs w:val="21"/>
          <w:highlight w:val="none"/>
        </w:rPr>
        <w:t>运营项目</w:t>
      </w:r>
      <w:r>
        <w:rPr>
          <w:rFonts w:hint="eastAsia" w:ascii="宋体" w:hAnsi="宋体" w:eastAsia="宋体" w:cs="宋体"/>
          <w:color w:val="auto"/>
          <w:kern w:val="2"/>
          <w:sz w:val="21"/>
          <w:szCs w:val="21"/>
          <w:highlight w:val="none"/>
        </w:rPr>
        <w:t>需要免费提供培训，相关费用已计入综合单价，招标人无需另行支付任何费用。</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5、培训地点、规模及时间由招标人运营项目指定，根据培训内容复杂程度，招标人</w:t>
      </w:r>
      <w:r>
        <w:rPr>
          <w:rFonts w:hint="eastAsia" w:ascii="宋体" w:hAnsi="宋体" w:eastAsia="宋体" w:cs="宋体"/>
          <w:color w:val="auto"/>
          <w:sz w:val="21"/>
          <w:szCs w:val="21"/>
          <w:highlight w:val="none"/>
        </w:rPr>
        <w:t>运营项目</w:t>
      </w:r>
      <w:r>
        <w:rPr>
          <w:rFonts w:hint="eastAsia" w:ascii="宋体" w:hAnsi="宋体" w:eastAsia="宋体" w:cs="宋体"/>
          <w:color w:val="auto"/>
          <w:kern w:val="2"/>
          <w:sz w:val="21"/>
          <w:szCs w:val="21"/>
          <w:highlight w:val="none"/>
        </w:rPr>
        <w:t>有权要求</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提供完整的书面培训计划和方案，列明提供培训的技术人员名单及资质，以及培训完成后招标人</w:t>
      </w:r>
      <w:r>
        <w:rPr>
          <w:rFonts w:hint="eastAsia" w:ascii="宋体" w:hAnsi="宋体" w:eastAsia="宋体" w:cs="宋体"/>
          <w:color w:val="auto"/>
          <w:sz w:val="21"/>
          <w:szCs w:val="21"/>
          <w:highlight w:val="none"/>
        </w:rPr>
        <w:t>运营项目</w:t>
      </w:r>
      <w:r>
        <w:rPr>
          <w:rFonts w:hint="eastAsia" w:ascii="宋体" w:hAnsi="宋体" w:eastAsia="宋体" w:cs="宋体"/>
          <w:color w:val="auto"/>
          <w:kern w:val="2"/>
          <w:sz w:val="21"/>
          <w:szCs w:val="21"/>
          <w:highlight w:val="none"/>
        </w:rPr>
        <w:t>人员可达到的水平等。</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6、在交货或合同履行过程中，若因所交货物（包括但不限于品种、规格、质量）不符合招标人运营项目要求、或货物使用过程中出现质量问题，导致</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提供的生产药剂如不能通过招标人运营项目验收的，招标人运营项目可拒绝收货或要求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承担退换货责任。原则上</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应该在不影响招标人运营项目正常生产的情况下，自招标人运营项目</w:t>
      </w:r>
      <w:r>
        <w:rPr>
          <w:rFonts w:hint="eastAsia" w:ascii="宋体" w:hAnsi="宋体" w:eastAsia="宋体" w:cs="宋体"/>
          <w:color w:val="auto"/>
          <w:kern w:val="2"/>
          <w:sz w:val="21"/>
          <w:szCs w:val="21"/>
          <w:highlight w:val="none"/>
        </w:rPr>
        <w:t>通知之时起</w:t>
      </w:r>
      <w:r>
        <w:rPr>
          <w:rFonts w:hint="eastAsia" w:ascii="宋体" w:hAnsi="宋体" w:eastAsia="宋体" w:cs="宋体"/>
          <w:color w:val="auto"/>
          <w:sz w:val="21"/>
          <w:szCs w:val="21"/>
          <w:highlight w:val="none"/>
        </w:rPr>
        <w:t>4小时内无条件予以退换货，招标人不承担因验收造成的货物损耗</w:t>
      </w:r>
      <w:r>
        <w:rPr>
          <w:rFonts w:hint="eastAsia" w:ascii="宋体" w:hAnsi="宋体" w:eastAsia="宋体" w:cs="宋体"/>
          <w:color w:val="auto"/>
          <w:kern w:val="2"/>
          <w:sz w:val="21"/>
          <w:szCs w:val="21"/>
          <w:highlight w:val="none"/>
        </w:rPr>
        <w:t>及运输等一切</w:t>
      </w:r>
      <w:r>
        <w:rPr>
          <w:rFonts w:hint="eastAsia" w:ascii="宋体" w:hAnsi="宋体" w:eastAsia="宋体" w:cs="宋体"/>
          <w:color w:val="auto"/>
          <w:sz w:val="21"/>
          <w:szCs w:val="21"/>
          <w:highlight w:val="none"/>
        </w:rPr>
        <w:t>费用且不对货物承担保管责任，因此产生的费用及风险由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7、自招标人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通知货物检验不合格或货物使用过程中出现质量问题而要求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按照前述条款进行退换货之时起4小时之内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未将不合格货物运离招标人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仓库，招标人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可自行或委托第三方对不合格货物进行处置，</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须承担招标人处置该次不合格货物所需的全部费用，以及给招标人造成的一切损失。</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8、自招标人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通知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货物检验不合格或货物使用过程中出现质量问题之时起，招标人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按照加急供货的规定，将等量的合格货物送交招标人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，否则按加急供货的违约规定进行处理</w:t>
      </w:r>
      <w:bookmarkEnd w:id="29"/>
      <w:r>
        <w:rPr>
          <w:rFonts w:hint="eastAsia" w:ascii="宋体" w:hAnsi="宋体" w:eastAsia="宋体" w:cs="宋体"/>
          <w:color w:val="auto"/>
          <w:sz w:val="21"/>
          <w:szCs w:val="21"/>
          <w:highlight w:val="none"/>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30" w:name="_Toc887"/>
      <w:r>
        <w:rPr>
          <w:rFonts w:hint="eastAsia" w:ascii="宋体" w:hAnsi="宋体" w:eastAsia="宋体" w:cs="宋体"/>
          <w:b/>
          <w:bCs/>
          <w:color w:val="auto"/>
          <w:kern w:val="2"/>
          <w:sz w:val="21"/>
          <w:szCs w:val="21"/>
          <w:highlight w:val="none"/>
          <w:lang w:val="en-US" w:eastAsia="zh-CN" w:bidi="ar"/>
        </w:rPr>
        <w:t>七、货物的结算</w:t>
      </w:r>
      <w:bookmarkEnd w:id="30"/>
    </w:p>
    <w:p>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双方一致同意，</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按规定提供了履约担保后，招标人通过以下方式以人民币支付合同款项给</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w:t>
      </w:r>
    </w:p>
    <w:p>
      <w:pPr>
        <w:pStyle w:val="128"/>
        <w:autoSpaceDE/>
        <w:autoSpaceDN/>
        <w:adjustRightInd/>
        <w:spacing w:line="360" w:lineRule="auto"/>
        <w:rPr>
          <w:rFonts w:hint="eastAsia" w:ascii="宋体" w:hAnsi="宋体" w:eastAsia="宋体" w:cs="宋体"/>
          <w:color w:val="auto"/>
          <w:sz w:val="21"/>
          <w:szCs w:val="21"/>
          <w:highlight w:val="none"/>
        </w:rPr>
      </w:pPr>
      <w:bookmarkStart w:id="31" w:name="_Hlk142640500"/>
      <w:r>
        <w:rPr>
          <w:rFonts w:hint="eastAsia" w:ascii="宋体" w:hAnsi="宋体" w:eastAsia="宋体" w:cs="宋体"/>
          <w:color w:val="auto"/>
          <w:sz w:val="21"/>
          <w:szCs w:val="21"/>
          <w:highlight w:val="none"/>
        </w:rPr>
        <w:t>1、合同的履约过程中，</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根据本项目合同书约定需向招标人</w:t>
      </w:r>
      <w:bookmarkStart w:id="32" w:name="OLE_LINK27"/>
      <w:r>
        <w:rPr>
          <w:rFonts w:hint="eastAsia" w:ascii="宋体" w:hAnsi="宋体" w:eastAsia="宋体" w:cs="Times New Roman"/>
          <w:b w:val="0"/>
          <w:bCs/>
          <w:color w:val="auto"/>
          <w:szCs w:val="21"/>
          <w:highlight w:val="none"/>
          <w:u w:val="none"/>
          <w:lang w:val="en-US" w:eastAsia="zh-CN"/>
        </w:rPr>
        <w:t>或招标人权属子公司</w:t>
      </w:r>
      <w:bookmarkEnd w:id="32"/>
      <w:r>
        <w:rPr>
          <w:rFonts w:hint="eastAsia" w:ascii="宋体" w:hAnsi="宋体" w:eastAsia="宋体" w:cs="宋体"/>
          <w:color w:val="auto"/>
          <w:sz w:val="21"/>
          <w:szCs w:val="21"/>
          <w:highlight w:val="none"/>
        </w:rPr>
        <w:t>支付违约金、赔偿金、或其他应付费用等款项的，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支付完相关款项后，招标人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才根据合同书约定向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支付合同价和税额。若因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未能支付前述费用，影响项目实施的，招标人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有权启用履约担保或直接从未付合同款项中直接扣除，且</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必须按照扣除前述费用前的合同价（销售额）开具增值税专用发票，保证增值税税额符合法律规定。</w:t>
      </w:r>
    </w:p>
    <w:p>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2、货物供货的款项按招标人运营项目进行支付、结算。货物供货的款项每月按实结算。招标人运营项目收到货物并最终验收合格后，每月中旬办理支付上月实际供货量的款项。</w:t>
      </w:r>
    </w:p>
    <w:p>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向招标人运营项目提交请款报告和请款金额等额的合法、有效的增值税专用发票，招标人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在收到前述材料并确认无误后30个工作日内支付结算上月实际供货量的</w:t>
      </w:r>
      <w:r>
        <w:rPr>
          <w:rFonts w:hint="eastAsia" w:ascii="宋体" w:hAnsi="宋体" w:eastAsia="宋体" w:cs="宋体"/>
          <w:color w:val="auto"/>
          <w:sz w:val="21"/>
          <w:szCs w:val="21"/>
          <w:highlight w:val="none"/>
          <w:lang w:val="en-US" w:eastAsia="zh-CN"/>
        </w:rPr>
        <w:t>应付</w:t>
      </w:r>
      <w:r>
        <w:rPr>
          <w:rFonts w:hint="eastAsia" w:ascii="宋体" w:hAnsi="宋体" w:eastAsia="宋体" w:cs="宋体"/>
          <w:color w:val="auto"/>
          <w:sz w:val="21"/>
          <w:szCs w:val="21"/>
          <w:highlight w:val="none"/>
        </w:rPr>
        <w:t>货款和该货款对应的税额给</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w:t>
      </w:r>
    </w:p>
    <w:p>
      <w:pPr>
        <w:pStyle w:val="12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4、支付方式：支付方式为银行转账或银行承兑汇票，汇票期限不超过三个月，每期款项支付方式由</w:t>
      </w:r>
      <w:bookmarkStart w:id="33" w:name="OLE_LINK28"/>
      <w:r>
        <w:rPr>
          <w:rFonts w:hint="eastAsia" w:ascii="宋体" w:hAnsi="宋体" w:eastAsia="宋体" w:cs="宋体"/>
          <w:color w:val="auto"/>
          <w:sz w:val="21"/>
          <w:szCs w:val="21"/>
          <w:highlight w:val="none"/>
          <w:lang w:val="en-US" w:eastAsia="zh-CN"/>
        </w:rPr>
        <w:t>招标人</w:t>
      </w:r>
      <w:r>
        <w:rPr>
          <w:rFonts w:hint="eastAsia" w:ascii="宋体" w:hAnsi="宋体" w:eastAsia="宋体" w:cs="Times New Roman"/>
          <w:b w:val="0"/>
          <w:bCs/>
          <w:color w:val="auto"/>
          <w:szCs w:val="21"/>
          <w:highlight w:val="none"/>
          <w:u w:val="none"/>
          <w:lang w:val="en-US" w:eastAsia="zh-CN"/>
        </w:rPr>
        <w:t>或招标人权属子公司</w:t>
      </w:r>
      <w:bookmarkEnd w:id="33"/>
      <w:r>
        <w:rPr>
          <w:rFonts w:hint="eastAsia" w:ascii="宋体" w:hAnsi="宋体" w:eastAsia="宋体" w:cs="宋体"/>
          <w:color w:val="auto"/>
          <w:sz w:val="21"/>
          <w:szCs w:val="21"/>
          <w:highlight w:val="none"/>
          <w:lang w:val="en-US" w:eastAsia="zh-CN"/>
        </w:rPr>
        <w:t>决定。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迟延提供发票或提供的请款报告、发票不符合要求的，招标人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的付款时间可相应顺延，且招标人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不因此承担任何责任。因支付产生的相关银行手续费用，根据有关银行规定执行，如不能明确的，由双方各承担50%。由于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提供的发票不符合税法规定，给招标人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造成的损失由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承担全部的赔偿责任</w:t>
      </w:r>
      <w:bookmarkEnd w:id="31"/>
      <w:r>
        <w:rPr>
          <w:rFonts w:hint="eastAsia" w:ascii="宋体" w:hAnsi="宋体" w:eastAsia="宋体" w:cs="宋体"/>
          <w:color w:val="auto"/>
          <w:sz w:val="21"/>
          <w:szCs w:val="21"/>
          <w:highlight w:val="none"/>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34" w:name="_Toc4107"/>
      <w:r>
        <w:rPr>
          <w:rFonts w:hint="eastAsia" w:ascii="宋体" w:hAnsi="宋体" w:eastAsia="宋体" w:cs="宋体"/>
          <w:b/>
          <w:bCs/>
          <w:color w:val="auto"/>
          <w:kern w:val="2"/>
          <w:sz w:val="21"/>
          <w:szCs w:val="21"/>
          <w:highlight w:val="none"/>
          <w:lang w:val="en-US" w:eastAsia="zh-CN" w:bidi="ar"/>
        </w:rPr>
        <w:t>八、其它</w:t>
      </w:r>
      <w:bookmarkEnd w:id="34"/>
    </w:p>
    <w:p>
      <w:pPr>
        <w:pStyle w:val="12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5" w:name="_Hlk142640606"/>
      <w:r>
        <w:rPr>
          <w:rFonts w:hint="eastAsia" w:ascii="宋体" w:hAnsi="宋体" w:eastAsia="宋体" w:cs="宋体"/>
          <w:color w:val="auto"/>
          <w:sz w:val="21"/>
          <w:szCs w:val="21"/>
          <w:highlight w:val="none"/>
        </w:rPr>
        <w:t>日常供货（非加急供货）时，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lang w:bidi="ar"/>
        </w:rPr>
        <w:t>未在约定的时间内完成交货，或未在规定的时间内承担相应的更换、退货责任的</w:t>
      </w:r>
      <w:r>
        <w:rPr>
          <w:rFonts w:hint="eastAsia" w:ascii="宋体" w:hAnsi="宋体" w:eastAsia="宋体" w:cs="宋体"/>
          <w:color w:val="auto"/>
          <w:sz w:val="21"/>
          <w:szCs w:val="21"/>
          <w:highlight w:val="none"/>
        </w:rPr>
        <w:t>，每逾期2小时，招标人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按该次货物</w:t>
      </w:r>
      <w:r>
        <w:rPr>
          <w:rFonts w:hint="eastAsia" w:ascii="宋体" w:hAnsi="宋体" w:eastAsia="宋体" w:cs="宋体"/>
          <w:color w:val="auto"/>
          <w:sz w:val="21"/>
          <w:szCs w:val="21"/>
          <w:highlight w:val="none"/>
          <w:lang w:val="en-US" w:eastAsia="zh-CN"/>
        </w:rPr>
        <w:t>含税应付</w:t>
      </w:r>
      <w:r>
        <w:rPr>
          <w:rFonts w:hint="eastAsia" w:ascii="宋体" w:hAnsi="宋体" w:eastAsia="宋体" w:cs="宋体"/>
          <w:color w:val="auto"/>
          <w:sz w:val="21"/>
          <w:szCs w:val="21"/>
          <w:highlight w:val="none"/>
        </w:rPr>
        <w:t>货款的1%向招标人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逾期超过12小时的，招标人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有权单方解除合同，并且没收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的部分或全部履约担保，</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除支付前述逾期违约金外，招标人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额外按该次货物</w:t>
      </w:r>
      <w:r>
        <w:rPr>
          <w:rFonts w:hint="eastAsia" w:ascii="宋体" w:hAnsi="宋体" w:eastAsia="宋体" w:cs="Times New Roman"/>
          <w:b w:val="0"/>
          <w:bCs/>
          <w:color w:val="auto"/>
          <w:szCs w:val="21"/>
          <w:highlight w:val="none"/>
          <w:u w:val="none"/>
          <w:lang w:val="en-US" w:eastAsia="zh-CN"/>
        </w:rPr>
        <w:t>含税应付</w:t>
      </w:r>
      <w:r>
        <w:rPr>
          <w:rFonts w:hint="eastAsia" w:ascii="宋体" w:hAnsi="宋体" w:eastAsia="宋体" w:cs="宋体"/>
          <w:color w:val="auto"/>
          <w:sz w:val="21"/>
          <w:szCs w:val="21"/>
          <w:highlight w:val="none"/>
        </w:rPr>
        <w:t>货款的5%向招标人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支付违约金，违约金不足以赔偿招标人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损失的，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需另行赔偿</w:t>
      </w:r>
      <w:bookmarkEnd w:id="35"/>
      <w:r>
        <w:rPr>
          <w:rFonts w:hint="eastAsia" w:ascii="宋体" w:hAnsi="宋体" w:eastAsia="宋体" w:cs="宋体"/>
          <w:color w:val="auto"/>
          <w:sz w:val="21"/>
          <w:szCs w:val="21"/>
          <w:highlight w:val="none"/>
        </w:rPr>
        <w:t>。</w:t>
      </w:r>
    </w:p>
    <w:p>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bookmarkStart w:id="36" w:name="_Hlk142640612"/>
      <w:r>
        <w:rPr>
          <w:rFonts w:hint="eastAsia" w:ascii="宋体" w:hAnsi="宋体" w:eastAsia="宋体" w:cs="宋体"/>
          <w:color w:val="auto"/>
          <w:sz w:val="21"/>
          <w:szCs w:val="21"/>
          <w:highlight w:val="none"/>
        </w:rPr>
        <w:t>加急供货时，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未在约定的时间内完成交货的，或未在规定的时间内承担相应的更换、退货责任的，每逾期1小时，招标人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按该次货物</w:t>
      </w:r>
      <w:r>
        <w:rPr>
          <w:rFonts w:hint="eastAsia" w:ascii="宋体" w:hAnsi="宋体" w:eastAsia="宋体" w:cs="宋体"/>
          <w:color w:val="auto"/>
          <w:sz w:val="21"/>
          <w:szCs w:val="21"/>
          <w:highlight w:val="none"/>
          <w:lang w:val="en-US" w:eastAsia="zh-CN"/>
        </w:rPr>
        <w:t>含税应付</w:t>
      </w:r>
      <w:r>
        <w:rPr>
          <w:rFonts w:hint="eastAsia" w:ascii="宋体" w:hAnsi="宋体" w:eastAsia="宋体" w:cs="宋体"/>
          <w:color w:val="auto"/>
          <w:sz w:val="21"/>
          <w:szCs w:val="21"/>
          <w:highlight w:val="none"/>
        </w:rPr>
        <w:t>货款的10%向招标人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逾期超过4小时的，招标人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有权单方解除合同，并且没收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的部分或全部履约担保，</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除前述逾期违约金外，招标人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额外按该次货物</w:t>
      </w:r>
      <w:r>
        <w:rPr>
          <w:rFonts w:hint="eastAsia" w:ascii="宋体" w:hAnsi="宋体" w:eastAsia="宋体" w:cs="宋体"/>
          <w:color w:val="auto"/>
          <w:sz w:val="21"/>
          <w:szCs w:val="21"/>
          <w:highlight w:val="none"/>
          <w:lang w:val="en-US" w:eastAsia="zh-CN"/>
        </w:rPr>
        <w:t>含税应付</w:t>
      </w:r>
      <w:r>
        <w:rPr>
          <w:rFonts w:hint="eastAsia" w:ascii="宋体" w:hAnsi="宋体" w:eastAsia="宋体" w:cs="宋体"/>
          <w:color w:val="auto"/>
          <w:sz w:val="21"/>
          <w:szCs w:val="21"/>
          <w:highlight w:val="none"/>
        </w:rPr>
        <w:t>货款的20%向招标人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支付违约金，违约金不足以赔偿招标人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损失的，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需另行赔偿</w:t>
      </w:r>
      <w:bookmarkEnd w:id="36"/>
      <w:r>
        <w:rPr>
          <w:rFonts w:hint="eastAsia" w:ascii="宋体" w:hAnsi="宋体" w:eastAsia="宋体" w:cs="宋体"/>
          <w:color w:val="auto"/>
          <w:sz w:val="21"/>
          <w:szCs w:val="21"/>
          <w:highlight w:val="none"/>
        </w:rPr>
        <w:t>。</w:t>
      </w:r>
    </w:p>
    <w:p>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37" w:name="OLE_LINK6"/>
      <w:bookmarkStart w:id="38" w:name="_Hlk142640625"/>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所交货物经招标人实验室或招标人委托的第三方检测机构检验累计出现3次（含）</w:t>
      </w:r>
      <w:bookmarkEnd w:id="37"/>
      <w:r>
        <w:rPr>
          <w:rFonts w:hint="eastAsia" w:ascii="宋体" w:hAnsi="宋体" w:eastAsia="宋体" w:cs="宋体"/>
          <w:color w:val="auto"/>
          <w:sz w:val="21"/>
          <w:szCs w:val="21"/>
          <w:highlight w:val="none"/>
        </w:rPr>
        <w:t>以上不合格的，招标人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有权单方中止或解除合同，暂停或取消</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的供货资格，并根据对生产造成影响的严重程度，没收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的部分或全部履约担保</w:t>
      </w:r>
      <w:bookmarkEnd w:id="38"/>
      <w:r>
        <w:rPr>
          <w:rFonts w:hint="eastAsia" w:ascii="宋体" w:hAnsi="宋体" w:eastAsia="宋体" w:cs="宋体"/>
          <w:color w:val="auto"/>
          <w:sz w:val="21"/>
          <w:szCs w:val="21"/>
          <w:highlight w:val="none"/>
        </w:rPr>
        <w:t>。</w:t>
      </w:r>
    </w:p>
    <w:p>
      <w:pPr>
        <w:pStyle w:val="128"/>
        <w:autoSpaceDE/>
        <w:autoSpaceDN/>
        <w:adjustRightInd/>
        <w:spacing w:line="360" w:lineRule="auto"/>
        <w:rPr>
          <w:rFonts w:hint="eastAsia" w:ascii="宋体" w:hAnsi="宋体" w:eastAsia="宋体" w:cs="宋体"/>
          <w:color w:val="auto"/>
          <w:sz w:val="21"/>
          <w:szCs w:val="21"/>
          <w:highlight w:val="none"/>
        </w:rPr>
      </w:pPr>
      <w:bookmarkStart w:id="39" w:name="_Hlk142640642"/>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应根据招标人运营项目工艺以及性质，提供符合技术指标的药剂，保证供货的药剂在招标人运营项目良好的使用效果。</w:t>
      </w:r>
    </w:p>
    <w:p>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如因药剂问题对招标人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生产、成本造成影响，招标人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按该次货物</w:t>
      </w:r>
      <w:r>
        <w:rPr>
          <w:rFonts w:hint="eastAsia" w:ascii="宋体" w:hAnsi="宋体" w:eastAsia="宋体" w:cs="宋体"/>
          <w:color w:val="auto"/>
          <w:sz w:val="21"/>
          <w:szCs w:val="21"/>
          <w:highlight w:val="none"/>
          <w:lang w:val="en-US" w:eastAsia="zh-CN"/>
        </w:rPr>
        <w:t>含税应付</w:t>
      </w:r>
      <w:r>
        <w:rPr>
          <w:rFonts w:hint="eastAsia" w:ascii="宋体" w:hAnsi="宋体" w:eastAsia="宋体" w:cs="宋体"/>
          <w:color w:val="auto"/>
          <w:sz w:val="21"/>
          <w:szCs w:val="21"/>
          <w:highlight w:val="none"/>
        </w:rPr>
        <w:t>货款的20%向招标人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支付违约金，违约金不足以赔偿招标人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损失的，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需另行赔偿，同时根据对招标人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生产、成本造成影响的严重程度，招标人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有权没收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的部分或全部履约担保</w:t>
      </w:r>
      <w:bookmarkEnd w:id="39"/>
      <w:r>
        <w:rPr>
          <w:rFonts w:hint="eastAsia" w:ascii="宋体" w:hAnsi="宋体" w:eastAsia="宋体" w:cs="宋体"/>
          <w:color w:val="auto"/>
          <w:sz w:val="21"/>
          <w:szCs w:val="21"/>
          <w:highlight w:val="none"/>
        </w:rPr>
        <w:t>。</w:t>
      </w:r>
    </w:p>
    <w:p>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提供的药剂严重影响招标人运营项目生产或造成招标人运营项目出水水质指标超标的情况，招标人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有权追究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由此造成的损失，并有权单方面中止或解除合同，取消其供货资格，没收全部履约</w:t>
      </w:r>
      <w:r>
        <w:rPr>
          <w:rFonts w:hint="eastAsia" w:ascii="宋体" w:hAnsi="宋体" w:eastAsia="宋体" w:cs="宋体"/>
          <w:color w:val="auto"/>
          <w:sz w:val="21"/>
          <w:szCs w:val="21"/>
          <w:highlight w:val="none"/>
          <w:lang w:val="en-US" w:eastAsia="zh-CN"/>
        </w:rPr>
        <w:t>担保</w:t>
      </w:r>
      <w:r>
        <w:rPr>
          <w:rFonts w:hint="eastAsia" w:ascii="宋体" w:hAnsi="宋体" w:eastAsia="宋体" w:cs="宋体"/>
          <w:color w:val="auto"/>
          <w:sz w:val="21"/>
          <w:szCs w:val="21"/>
          <w:highlight w:val="none"/>
        </w:rPr>
        <w:t>。</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bookmarkStart w:id="40" w:name="_Hlk142640720"/>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、对于货物最终验收不合格且招标人运营项目已经开始使用或者使用完毕无法退换的，货款按照以下方式处理：①若招标人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已支付货款的，则</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应向招标人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退还已支付的货款；②若招标人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未支付货款的，则招标人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无需支付货款</w:t>
      </w:r>
      <w:bookmarkEnd w:id="40"/>
      <w:r>
        <w:rPr>
          <w:rFonts w:hint="eastAsia" w:ascii="宋体" w:hAnsi="宋体" w:eastAsia="宋体" w:cs="宋体"/>
          <w:color w:val="auto"/>
          <w:kern w:val="2"/>
          <w:sz w:val="21"/>
          <w:szCs w:val="21"/>
          <w:highlight w:val="none"/>
        </w:rPr>
        <w:t>。</w:t>
      </w:r>
    </w:p>
    <w:p>
      <w:pPr>
        <w:pStyle w:val="128"/>
        <w:autoSpaceDE/>
        <w:autoSpaceDN/>
        <w:adjustRightInd/>
        <w:spacing w:line="360" w:lineRule="auto"/>
        <w:ind w:firstLine="283" w:firstLineChars="135"/>
        <w:rPr>
          <w:rFonts w:hint="eastAsia" w:ascii="宋体" w:hAnsi="宋体" w:eastAsia="宋体" w:cs="宋体"/>
          <w:color w:val="auto"/>
          <w:sz w:val="21"/>
          <w:szCs w:val="21"/>
          <w:highlight w:val="none"/>
        </w:rPr>
      </w:pPr>
      <w:bookmarkStart w:id="41" w:name="_Hlk142640741"/>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对招标人</w:t>
      </w:r>
      <w:r>
        <w:rPr>
          <w:rFonts w:hint="eastAsia" w:ascii="宋体" w:hAnsi="宋体" w:eastAsia="宋体" w:cs="宋体"/>
          <w:color w:val="auto"/>
          <w:sz w:val="21"/>
          <w:szCs w:val="21"/>
          <w:highlight w:val="none"/>
          <w:lang w:bidi="ar"/>
        </w:rPr>
        <w:t>运营项目</w:t>
      </w:r>
      <w:r>
        <w:rPr>
          <w:rFonts w:hint="eastAsia" w:ascii="宋体" w:hAnsi="宋体" w:eastAsia="宋体" w:cs="宋体"/>
          <w:color w:val="auto"/>
          <w:sz w:val="21"/>
          <w:szCs w:val="21"/>
          <w:highlight w:val="none"/>
        </w:rPr>
        <w:t>验收结果有异议，</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应自招标人</w:t>
      </w:r>
      <w:r>
        <w:rPr>
          <w:rFonts w:hint="eastAsia" w:ascii="宋体" w:hAnsi="宋体" w:eastAsia="宋体" w:cs="Times New Roman"/>
          <w:b w:val="0"/>
          <w:bCs/>
          <w:color w:val="auto"/>
          <w:szCs w:val="21"/>
          <w:highlight w:val="none"/>
          <w:u w:val="none"/>
          <w:lang w:val="en-US" w:eastAsia="zh-CN"/>
        </w:rPr>
        <w:t>运营项目</w:t>
      </w:r>
      <w:r>
        <w:rPr>
          <w:rFonts w:hint="eastAsia" w:ascii="宋体" w:hAnsi="宋体" w:eastAsia="宋体" w:cs="宋体"/>
          <w:color w:val="auto"/>
          <w:sz w:val="21"/>
          <w:szCs w:val="21"/>
          <w:highlight w:val="none"/>
        </w:rPr>
        <w:t>书面告知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检验结果24小时内，书面要求通过</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和招标人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双方确认的具有CMA认证资质的第三方单位对留样货物进行检测，最终供货产品质量判定以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和招标人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双方确认的具有CMA认证资质的第三方检测机构检验结果为准；因此产生的检测费、运输费等全部费用均由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bookmarkEnd w:id="41"/>
      <w:r>
        <w:rPr>
          <w:rFonts w:hint="eastAsia" w:ascii="宋体" w:hAnsi="宋体" w:eastAsia="宋体" w:cs="宋体"/>
          <w:color w:val="auto"/>
          <w:sz w:val="21"/>
          <w:szCs w:val="21"/>
          <w:highlight w:val="none"/>
        </w:rPr>
        <w:t>。</w:t>
      </w:r>
    </w:p>
    <w:p>
      <w:pPr>
        <w:pStyle w:val="128"/>
        <w:autoSpaceDE/>
        <w:autoSpaceDN/>
        <w:adjustRightInd/>
        <w:spacing w:line="360" w:lineRule="auto"/>
        <w:rPr>
          <w:rFonts w:hint="eastAsia" w:ascii="宋体" w:hAnsi="宋体" w:eastAsia="宋体" w:cs="宋体"/>
          <w:color w:val="auto"/>
          <w:sz w:val="21"/>
          <w:szCs w:val="21"/>
          <w:highlight w:val="none"/>
        </w:rPr>
      </w:pPr>
      <w:bookmarkStart w:id="42" w:name="_Hlk142640749"/>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、授予合同前或合同履行中，招标人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有权实地核查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在投标时提供的分支机构或服务机构的场地、生产/储存/运输设备设施及能力等材料的符合性，若发现虚假将取消中标资格，且招标人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有权终止合同。因此给招标人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造成损失的，全部由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bookmarkEnd w:id="42"/>
      <w:r>
        <w:rPr>
          <w:rFonts w:hint="eastAsia" w:ascii="宋体" w:hAnsi="宋体" w:eastAsia="宋体" w:cs="宋体"/>
          <w:color w:val="auto"/>
          <w:sz w:val="21"/>
          <w:szCs w:val="21"/>
          <w:highlight w:val="none"/>
        </w:rPr>
        <w:t>。</w:t>
      </w:r>
    </w:p>
    <w:p>
      <w:pPr>
        <w:pStyle w:val="128"/>
        <w:autoSpaceDE/>
        <w:autoSpaceDN/>
        <w:adjustRightInd/>
        <w:spacing w:line="360" w:lineRule="auto"/>
        <w:rPr>
          <w:rFonts w:hint="eastAsia" w:ascii="宋体" w:hAnsi="宋体" w:eastAsia="宋体" w:cs="宋体"/>
          <w:color w:val="auto"/>
          <w:sz w:val="21"/>
          <w:szCs w:val="21"/>
          <w:highlight w:val="none"/>
        </w:rPr>
      </w:pPr>
      <w:bookmarkStart w:id="43" w:name="_Hlk142640756"/>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在招标文件</w:t>
      </w:r>
      <w:r>
        <w:rPr>
          <w:rFonts w:hint="eastAsia" w:ascii="宋体" w:hAnsi="宋体" w:eastAsia="宋体" w:cs="宋体"/>
          <w:color w:val="auto"/>
          <w:sz w:val="21"/>
          <w:szCs w:val="21"/>
          <w:highlight w:val="none"/>
          <w:lang w:val="en-US" w:eastAsia="zh-CN"/>
        </w:rPr>
        <w:t>及合同</w:t>
      </w:r>
      <w:r>
        <w:rPr>
          <w:rFonts w:hint="eastAsia" w:ascii="宋体" w:hAnsi="宋体" w:eastAsia="宋体" w:cs="宋体"/>
          <w:color w:val="auto"/>
          <w:sz w:val="21"/>
          <w:szCs w:val="21"/>
          <w:highlight w:val="none"/>
        </w:rPr>
        <w:t>约定的供货期限和采购范围内，招标人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有权根据项目实际情况及有关法律法规、政策的规定进行变更调整。在变更调整后，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应遵照执行</w:t>
      </w:r>
      <w:bookmarkEnd w:id="43"/>
      <w:r>
        <w:rPr>
          <w:rFonts w:hint="eastAsia" w:ascii="宋体" w:hAnsi="宋体" w:eastAsia="宋体" w:cs="宋体"/>
          <w:color w:val="auto"/>
          <w:sz w:val="21"/>
          <w:szCs w:val="21"/>
          <w:highlight w:val="none"/>
        </w:rPr>
        <w:t>。</w:t>
      </w:r>
    </w:p>
    <w:p>
      <w:pPr>
        <w:spacing w:line="360" w:lineRule="auto"/>
        <w:ind w:firstLine="420" w:firstLineChars="200"/>
        <w:jc w:val="both"/>
        <w:rPr>
          <w:rFonts w:hint="eastAsia" w:ascii="宋体" w:hAnsi="宋体" w:eastAsia="宋体" w:cs="宋体"/>
          <w:color w:val="auto"/>
          <w:sz w:val="21"/>
          <w:szCs w:val="21"/>
          <w:highlight w:val="none"/>
        </w:rPr>
      </w:pPr>
      <w:bookmarkStart w:id="44" w:name="_Hlk142640763"/>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当为其工作人员投保足额的社会保险、商业保险及为货物的运输投保足额的商业保险，如在运输及装卸过程中，相关生产药剂发生泄漏而导致的一切人员伤亡或财产损失事故，因此产生的赔偿责任或相关法律责任均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自行承担。凡由于货物包装不良、运输方式不当或非法运输造成的事故、损失、行政处罚和由此产生的其他全部费用均由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全部承担</w:t>
      </w:r>
      <w:bookmarkEnd w:id="44"/>
      <w:r>
        <w:rPr>
          <w:rFonts w:hint="eastAsia" w:ascii="宋体" w:hAnsi="宋体" w:eastAsia="宋体" w:cs="宋体"/>
          <w:color w:val="auto"/>
          <w:sz w:val="21"/>
          <w:szCs w:val="21"/>
          <w:highlight w:val="none"/>
        </w:rPr>
        <w:t>。</w:t>
      </w:r>
    </w:p>
    <w:p>
      <w:pPr>
        <w:pStyle w:val="128"/>
        <w:widowControl/>
        <w:autoSpaceDE/>
        <w:autoSpaceDN/>
        <w:adjustRightInd/>
        <w:spacing w:line="360" w:lineRule="auto"/>
        <w:rPr>
          <w:rFonts w:hint="eastAsia" w:ascii="宋体" w:hAnsi="宋体" w:eastAsia="宋体" w:cs="宋体"/>
          <w:color w:val="auto"/>
          <w:sz w:val="21"/>
          <w:szCs w:val="21"/>
          <w:highlight w:val="none"/>
        </w:rPr>
      </w:pPr>
      <w:bookmarkStart w:id="45" w:name="_Hlk142640785"/>
      <w:r>
        <w:rPr>
          <w:rFonts w:hint="eastAsia" w:ascii="宋体" w:hAnsi="宋体" w:eastAsia="宋体" w:cs="宋体"/>
          <w:color w:val="auto"/>
          <w:sz w:val="21"/>
          <w:szCs w:val="21"/>
          <w:highlight w:val="none"/>
          <w:lang w:val="en-US" w:eastAsia="zh-CN" w:bidi="ar"/>
        </w:rPr>
        <w:t>12</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eastAsia="zh-CN" w:bidi="ar"/>
        </w:rPr>
        <w:t>中标人</w:t>
      </w:r>
      <w:r>
        <w:rPr>
          <w:rFonts w:hint="eastAsia" w:ascii="宋体" w:hAnsi="宋体" w:eastAsia="宋体" w:cs="宋体"/>
          <w:color w:val="auto"/>
          <w:sz w:val="21"/>
          <w:szCs w:val="21"/>
          <w:highlight w:val="none"/>
          <w:lang w:bidi="ar"/>
        </w:rPr>
        <w:t>有义务接受招标人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的监督、评价及考核，且同意招标人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 xml:space="preserve">关于供货资格供应商的管理规则及要求。 </w:t>
      </w:r>
    </w:p>
    <w:p>
      <w:pPr>
        <w:pStyle w:val="128"/>
        <w:widowControl/>
        <w:autoSpaceDE/>
        <w:autoSpaceDN/>
        <w:adjustRightInd/>
        <w:spacing w:line="360" w:lineRule="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13</w:t>
      </w:r>
      <w:r>
        <w:rPr>
          <w:rFonts w:hint="eastAsia" w:ascii="宋体" w:hAnsi="宋体" w:eastAsia="宋体" w:cs="宋体"/>
          <w:color w:val="auto"/>
          <w:sz w:val="21"/>
          <w:szCs w:val="21"/>
          <w:highlight w:val="none"/>
          <w:lang w:bidi="ar"/>
        </w:rPr>
        <w:t>、招标人运营项目每月在付款手续前对</w:t>
      </w:r>
      <w:r>
        <w:rPr>
          <w:rFonts w:hint="eastAsia" w:ascii="宋体" w:hAnsi="宋体" w:eastAsia="宋体" w:cs="宋体"/>
          <w:color w:val="auto"/>
          <w:sz w:val="21"/>
          <w:szCs w:val="21"/>
          <w:highlight w:val="none"/>
          <w:lang w:eastAsia="zh-CN" w:bidi="ar"/>
        </w:rPr>
        <w:t>中标人</w:t>
      </w:r>
      <w:r>
        <w:rPr>
          <w:rFonts w:hint="eastAsia" w:ascii="宋体" w:hAnsi="宋体" w:eastAsia="宋体" w:cs="宋体"/>
          <w:color w:val="auto"/>
          <w:sz w:val="21"/>
          <w:szCs w:val="21"/>
          <w:highlight w:val="none"/>
          <w:lang w:bidi="ar"/>
        </w:rPr>
        <w:t>的履约情况进行评价，填写《</w:t>
      </w:r>
      <w:bookmarkStart w:id="46" w:name="OLE_LINK15"/>
      <w:r>
        <w:rPr>
          <w:rFonts w:hint="eastAsia" w:ascii="宋体" w:hAnsi="宋体" w:eastAsia="宋体" w:cs="宋体"/>
          <w:color w:val="auto"/>
          <w:sz w:val="21"/>
          <w:szCs w:val="21"/>
          <w:highlight w:val="none"/>
          <w:lang w:bidi="ar"/>
        </w:rPr>
        <w:t>供应商履约评价表</w:t>
      </w:r>
      <w:bookmarkEnd w:id="46"/>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详见第四篇 合同条款格式 附件2</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。考核评分满分为100分，考核评分分数低于80分、达到60分时，</w:t>
      </w:r>
      <w:r>
        <w:rPr>
          <w:rFonts w:hint="eastAsia" w:ascii="宋体" w:hAnsi="宋体" w:eastAsia="宋体" w:cs="宋体"/>
          <w:color w:val="auto"/>
          <w:sz w:val="21"/>
          <w:szCs w:val="21"/>
          <w:highlight w:val="none"/>
          <w:lang w:eastAsia="zh-CN" w:bidi="ar"/>
        </w:rPr>
        <w:t>中标人</w:t>
      </w:r>
      <w:r>
        <w:rPr>
          <w:rFonts w:hint="eastAsia" w:ascii="宋体" w:hAnsi="宋体" w:eastAsia="宋体" w:cs="宋体"/>
          <w:color w:val="auto"/>
          <w:sz w:val="21"/>
          <w:szCs w:val="21"/>
          <w:highlight w:val="none"/>
          <w:lang w:bidi="ar"/>
        </w:rPr>
        <w:t>应按该</w:t>
      </w:r>
      <w:r>
        <w:rPr>
          <w:rFonts w:hint="eastAsia" w:ascii="宋体" w:hAnsi="宋体" w:eastAsia="宋体" w:cs="宋体"/>
          <w:color w:val="auto"/>
          <w:sz w:val="21"/>
          <w:szCs w:val="21"/>
          <w:highlight w:val="none"/>
          <w:lang w:val="en-US" w:eastAsia="zh-CN" w:bidi="ar"/>
        </w:rPr>
        <w:t>月</w:t>
      </w:r>
      <w:r>
        <w:rPr>
          <w:rFonts w:hint="eastAsia" w:ascii="宋体" w:hAnsi="宋体" w:eastAsia="宋体" w:cs="宋体"/>
          <w:color w:val="auto"/>
          <w:sz w:val="21"/>
          <w:szCs w:val="21"/>
          <w:highlight w:val="none"/>
          <w:lang w:bidi="ar"/>
        </w:rPr>
        <w:t>货物</w:t>
      </w:r>
      <w:bookmarkStart w:id="47" w:name="OLE_LINK30"/>
      <w:r>
        <w:rPr>
          <w:rFonts w:hint="eastAsia" w:ascii="宋体" w:hAnsi="宋体" w:eastAsia="宋体" w:cs="宋体"/>
          <w:color w:val="auto"/>
          <w:sz w:val="21"/>
          <w:szCs w:val="21"/>
          <w:highlight w:val="none"/>
          <w:lang w:val="en-US" w:eastAsia="zh-CN" w:bidi="ar"/>
        </w:rPr>
        <w:t>含税</w:t>
      </w:r>
      <w:bookmarkEnd w:id="47"/>
      <w:r>
        <w:rPr>
          <w:rFonts w:hint="eastAsia" w:ascii="宋体" w:hAnsi="宋体" w:eastAsia="宋体" w:cs="宋体"/>
          <w:color w:val="auto"/>
          <w:sz w:val="21"/>
          <w:szCs w:val="21"/>
          <w:highlight w:val="none"/>
          <w:lang w:val="en-US" w:eastAsia="zh-CN" w:bidi="ar"/>
        </w:rPr>
        <w:t>应付</w:t>
      </w:r>
      <w:r>
        <w:rPr>
          <w:rFonts w:hint="eastAsia" w:ascii="宋体" w:hAnsi="宋体" w:eastAsia="宋体" w:cs="宋体"/>
          <w:color w:val="auto"/>
          <w:sz w:val="21"/>
          <w:szCs w:val="21"/>
          <w:highlight w:val="none"/>
          <w:lang w:bidi="ar"/>
        </w:rPr>
        <w:t>货款的20%向</w:t>
      </w:r>
      <w:bookmarkStart w:id="48" w:name="OLE_LINK10"/>
      <w:r>
        <w:rPr>
          <w:rFonts w:hint="eastAsia" w:ascii="宋体" w:hAnsi="宋体" w:eastAsia="宋体" w:cs="宋体"/>
          <w:color w:val="auto"/>
          <w:sz w:val="21"/>
          <w:szCs w:val="21"/>
          <w:highlight w:val="none"/>
          <w:lang w:bidi="ar"/>
        </w:rPr>
        <w:t>招标人</w:t>
      </w:r>
      <w:r>
        <w:rPr>
          <w:rFonts w:hint="eastAsia" w:ascii="宋体" w:hAnsi="宋体" w:eastAsia="宋体" w:cs="Times New Roman"/>
          <w:b w:val="0"/>
          <w:bCs/>
          <w:color w:val="auto"/>
          <w:szCs w:val="21"/>
          <w:highlight w:val="none"/>
          <w:u w:val="none"/>
          <w:lang w:val="en-US" w:eastAsia="zh-CN"/>
        </w:rPr>
        <w:t>或招标人权属子公司</w:t>
      </w:r>
      <w:bookmarkEnd w:id="48"/>
      <w:r>
        <w:rPr>
          <w:rFonts w:hint="eastAsia" w:ascii="宋体" w:hAnsi="宋体" w:eastAsia="宋体" w:cs="宋体"/>
          <w:color w:val="auto"/>
          <w:sz w:val="21"/>
          <w:szCs w:val="21"/>
          <w:highlight w:val="none"/>
          <w:lang w:bidi="ar"/>
        </w:rPr>
        <w:t>支付违约金；考核评分分数低于60分时，</w:t>
      </w:r>
      <w:r>
        <w:rPr>
          <w:rFonts w:hint="eastAsia" w:ascii="宋体" w:hAnsi="宋体" w:eastAsia="宋体" w:cs="宋体"/>
          <w:color w:val="auto"/>
          <w:sz w:val="21"/>
          <w:szCs w:val="21"/>
          <w:highlight w:val="none"/>
          <w:lang w:eastAsia="zh-CN" w:bidi="ar"/>
        </w:rPr>
        <w:t>中标人</w:t>
      </w:r>
      <w:r>
        <w:rPr>
          <w:rFonts w:hint="eastAsia" w:ascii="宋体" w:hAnsi="宋体" w:eastAsia="宋体" w:cs="宋体"/>
          <w:color w:val="auto"/>
          <w:sz w:val="21"/>
          <w:szCs w:val="21"/>
          <w:highlight w:val="none"/>
          <w:lang w:bidi="ar"/>
        </w:rPr>
        <w:t>应按该</w:t>
      </w:r>
      <w:r>
        <w:rPr>
          <w:rFonts w:hint="eastAsia" w:ascii="宋体" w:hAnsi="宋体" w:eastAsia="宋体" w:cs="宋体"/>
          <w:color w:val="auto"/>
          <w:sz w:val="21"/>
          <w:szCs w:val="21"/>
          <w:highlight w:val="none"/>
          <w:lang w:val="en-US" w:eastAsia="zh-CN" w:bidi="ar"/>
        </w:rPr>
        <w:t>月</w:t>
      </w:r>
      <w:r>
        <w:rPr>
          <w:rFonts w:hint="eastAsia" w:ascii="宋体" w:hAnsi="宋体" w:eastAsia="宋体" w:cs="宋体"/>
          <w:color w:val="auto"/>
          <w:sz w:val="21"/>
          <w:szCs w:val="21"/>
          <w:highlight w:val="none"/>
          <w:lang w:bidi="ar"/>
        </w:rPr>
        <w:t>货物</w:t>
      </w:r>
      <w:r>
        <w:rPr>
          <w:rFonts w:hint="eastAsia" w:ascii="宋体" w:hAnsi="宋体" w:eastAsia="宋体" w:cs="宋体"/>
          <w:color w:val="auto"/>
          <w:sz w:val="21"/>
          <w:szCs w:val="21"/>
          <w:highlight w:val="none"/>
          <w:lang w:val="en-US" w:eastAsia="zh-CN" w:bidi="ar"/>
        </w:rPr>
        <w:t>含税应付</w:t>
      </w:r>
      <w:r>
        <w:rPr>
          <w:rFonts w:hint="eastAsia" w:ascii="宋体" w:hAnsi="宋体" w:eastAsia="宋体" w:cs="宋体"/>
          <w:color w:val="auto"/>
          <w:sz w:val="21"/>
          <w:szCs w:val="21"/>
          <w:highlight w:val="none"/>
          <w:lang w:bidi="ar"/>
        </w:rPr>
        <w:t>货款的30%向招标人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支付违约金。若供货期内累计出现3次</w:t>
      </w:r>
      <w:r>
        <w:rPr>
          <w:rFonts w:hint="eastAsia" w:ascii="宋体" w:hAnsi="宋体" w:eastAsia="宋体" w:cs="宋体"/>
          <w:color w:val="auto"/>
          <w:kern w:val="2"/>
          <w:sz w:val="21"/>
          <w:szCs w:val="21"/>
          <w:highlight w:val="none"/>
        </w:rPr>
        <w:t>（含）以上</w:t>
      </w:r>
      <w:r>
        <w:rPr>
          <w:rFonts w:hint="eastAsia" w:ascii="宋体" w:hAnsi="宋体" w:eastAsia="宋体" w:cs="宋体"/>
          <w:color w:val="auto"/>
          <w:sz w:val="21"/>
          <w:szCs w:val="21"/>
          <w:highlight w:val="none"/>
          <w:lang w:bidi="ar"/>
        </w:rPr>
        <w:t>评审结论为不合格的，招标人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有权取消</w:t>
      </w:r>
      <w:r>
        <w:rPr>
          <w:rFonts w:hint="eastAsia" w:ascii="宋体" w:hAnsi="宋体" w:eastAsia="宋体" w:cs="宋体"/>
          <w:color w:val="auto"/>
          <w:sz w:val="21"/>
          <w:szCs w:val="21"/>
          <w:highlight w:val="none"/>
          <w:lang w:eastAsia="zh-CN" w:bidi="ar"/>
        </w:rPr>
        <w:t>中标人</w:t>
      </w:r>
      <w:r>
        <w:rPr>
          <w:rFonts w:hint="eastAsia" w:ascii="宋体" w:hAnsi="宋体" w:eastAsia="宋体" w:cs="宋体"/>
          <w:color w:val="auto"/>
          <w:sz w:val="21"/>
          <w:szCs w:val="21"/>
          <w:highlight w:val="none"/>
          <w:lang w:bidi="ar"/>
        </w:rPr>
        <w:t>的供货资格并单方解除合同、没收</w:t>
      </w:r>
      <w:r>
        <w:rPr>
          <w:rFonts w:hint="eastAsia" w:ascii="宋体" w:hAnsi="宋体" w:eastAsia="宋体" w:cs="宋体"/>
          <w:color w:val="auto"/>
          <w:sz w:val="21"/>
          <w:szCs w:val="21"/>
          <w:highlight w:val="none"/>
          <w:lang w:eastAsia="zh-CN" w:bidi="ar"/>
        </w:rPr>
        <w:t>中标人</w:t>
      </w:r>
      <w:r>
        <w:rPr>
          <w:rFonts w:hint="eastAsia" w:ascii="宋体" w:hAnsi="宋体" w:eastAsia="宋体" w:cs="宋体"/>
          <w:color w:val="auto"/>
          <w:sz w:val="21"/>
          <w:szCs w:val="21"/>
          <w:highlight w:val="none"/>
          <w:lang w:bidi="ar"/>
        </w:rPr>
        <w:t>部分或全部履约担保</w:t>
      </w:r>
      <w:bookmarkEnd w:id="45"/>
      <w:r>
        <w:rPr>
          <w:rFonts w:hint="eastAsia" w:ascii="宋体" w:hAnsi="宋体" w:eastAsia="宋体" w:cs="宋体"/>
          <w:color w:val="auto"/>
          <w:sz w:val="21"/>
          <w:szCs w:val="21"/>
          <w:highlight w:val="none"/>
          <w:lang w:bidi="ar"/>
        </w:rPr>
        <w:t>。</w:t>
      </w:r>
    </w:p>
    <w:p>
      <w:pPr>
        <w:pStyle w:val="128"/>
        <w:widowControl/>
        <w:autoSpaceDE/>
        <w:autoSpaceDN/>
        <w:adjustRightInd/>
        <w:spacing w:line="360" w:lineRule="auto"/>
        <w:rPr>
          <w:rFonts w:hint="eastAsia" w:ascii="宋体" w:hAnsi="宋体" w:eastAsia="宋体" w:cs="宋体"/>
          <w:color w:val="auto"/>
          <w:sz w:val="21"/>
          <w:szCs w:val="21"/>
          <w:highlight w:val="none"/>
          <w:lang w:bidi="ar"/>
        </w:rPr>
      </w:pP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附件</w:t>
      </w:r>
      <w:r>
        <w:rPr>
          <w:rFonts w:hint="eastAsia" w:ascii="宋体" w:hAnsi="宋体" w:eastAsia="宋体" w:cs="宋体"/>
          <w:color w:val="auto"/>
          <w:szCs w:val="21"/>
          <w:lang w:val="en-US" w:eastAsia="zh-CN"/>
        </w:rPr>
        <w:t>1</w:t>
      </w:r>
      <w:r>
        <w:rPr>
          <w:rFonts w:hint="eastAsia" w:ascii="宋体" w:hAnsi="宋体" w:eastAsia="宋体" w:cs="宋体"/>
          <w:color w:val="auto"/>
          <w:szCs w:val="21"/>
        </w:rPr>
        <w:t>：招标人运营项目相关信息</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附件2：验收报告（模板）</w:t>
      </w:r>
    </w:p>
    <w:p>
      <w:pPr>
        <w:spacing w:line="360" w:lineRule="auto"/>
        <w:ind w:firstLine="420" w:firstLineChars="200"/>
        <w:rPr>
          <w:rFonts w:hint="eastAsia" w:ascii="宋体" w:hAnsi="宋体" w:eastAsia="宋体" w:cs="宋体"/>
          <w:color w:val="auto"/>
          <w:szCs w:val="21"/>
          <w:lang w:bidi="ar"/>
        </w:rPr>
        <w:sectPr>
          <w:footerReference r:id="rId4" w:type="first"/>
          <w:footerReference r:id="rId3" w:type="default"/>
          <w:pgSz w:w="12240" w:h="15840"/>
          <w:pgMar w:top="1191" w:right="1043" w:bottom="1191" w:left="1043" w:header="720" w:footer="720" w:gutter="0"/>
          <w:cols w:space="720" w:num="1"/>
          <w:titlePg/>
          <w:docGrid w:linePitch="326" w:charSpace="0"/>
        </w:sectPr>
      </w:pPr>
      <w:r>
        <w:rPr>
          <w:rFonts w:hint="eastAsia" w:ascii="宋体" w:hAnsi="宋体" w:eastAsia="宋体" w:cs="宋体"/>
          <w:color w:val="auto"/>
          <w:szCs w:val="21"/>
          <w:lang w:val="en-US" w:eastAsia="zh-CN"/>
        </w:rPr>
        <w:t>附件3：</w:t>
      </w:r>
      <w:r>
        <w:rPr>
          <w:rFonts w:hint="eastAsia" w:ascii="宋体" w:hAnsi="宋体" w:eastAsia="宋体" w:cs="宋体"/>
          <w:color w:val="auto"/>
          <w:szCs w:val="21"/>
          <w:lang w:bidi="ar"/>
        </w:rPr>
        <w:t>供应商履约评价表</w:t>
      </w:r>
    </w:p>
    <w:p>
      <w:pPr>
        <w:keepNext w:val="0"/>
        <w:keepLines w:val="0"/>
        <w:pageBreakBefore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b/>
          <w:bCs/>
          <w:color w:val="auto"/>
          <w:kern w:val="2"/>
          <w:sz w:val="21"/>
          <w:szCs w:val="21"/>
          <w:highlight w:val="none"/>
          <w:lang w:val="en-US" w:eastAsia="zh-CN" w:bidi="ar"/>
        </w:rPr>
        <w:t>附件1：</w:t>
      </w:r>
      <w:r>
        <w:rPr>
          <w:rFonts w:hint="eastAsia" w:ascii="宋体" w:hAnsi="宋体" w:eastAsia="宋体" w:cs="宋体"/>
          <w:b/>
          <w:color w:val="auto"/>
          <w:kern w:val="2"/>
          <w:sz w:val="21"/>
          <w:szCs w:val="21"/>
          <w:highlight w:val="none"/>
        </w:rPr>
        <w:t>招标人运营项目相关信息</w:t>
      </w:r>
    </w:p>
    <w:tbl>
      <w:tblPr>
        <w:tblStyle w:val="37"/>
        <w:tblW w:w="48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82"/>
        <w:gridCol w:w="3662"/>
        <w:gridCol w:w="3437"/>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bookmarkStart w:id="56" w:name="_GoBack"/>
            <w:r>
              <w:rPr>
                <w:rFonts w:hint="eastAsia" w:ascii="宋体" w:hAnsi="宋体" w:eastAsia="宋体" w:cs="宋体"/>
                <w:b/>
                <w:bCs/>
                <w:i w:val="0"/>
                <w:iCs w:val="0"/>
                <w:color w:val="auto"/>
                <w:kern w:val="0"/>
                <w:sz w:val="21"/>
                <w:szCs w:val="21"/>
                <w:highlight w:val="none"/>
                <w:u w:val="none"/>
                <w:lang w:val="en-US" w:eastAsia="zh-CN" w:bidi="ar"/>
              </w:rPr>
              <w:t>序号</w:t>
            </w:r>
          </w:p>
        </w:tc>
        <w:tc>
          <w:tcPr>
            <w:tcW w:w="1836"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172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项目地址</w:t>
            </w:r>
          </w:p>
        </w:tc>
        <w:tc>
          <w:tcPr>
            <w:tcW w:w="1047"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val="0"/>
                <w:color w:val="auto"/>
                <w:kern w:val="2"/>
                <w:sz w:val="21"/>
                <w:szCs w:val="21"/>
                <w:highlight w:val="none"/>
                <w:vertAlign w:val="baseline"/>
                <w:lang w:val="en-US" w:eastAsia="zh-CN"/>
              </w:rPr>
              <w:t>预计年送货量（吨</w:t>
            </w:r>
            <w:r>
              <w:rPr>
                <w:rFonts w:hint="eastAsia" w:ascii="宋体" w:hAnsi="宋体" w:eastAsia="宋体" w:cs="宋体"/>
                <w:b/>
                <w:bCs/>
                <w:color w:val="auto"/>
                <w:kern w:val="0"/>
                <w:sz w:val="21"/>
                <w:szCs w:val="21"/>
                <w:highlight w:val="none"/>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00" w:type="pct"/>
            <w:gridSpan w:val="4"/>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一、污水处理厂项目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36"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中堂污水处理厂二期</w:t>
            </w:r>
          </w:p>
        </w:tc>
        <w:tc>
          <w:tcPr>
            <w:tcW w:w="172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中堂镇东向村滨河东路68号101室</w:t>
            </w:r>
          </w:p>
        </w:tc>
        <w:tc>
          <w:tcPr>
            <w:tcW w:w="1047"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79.763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36"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麻涌污水处理厂二期</w:t>
            </w:r>
          </w:p>
        </w:tc>
        <w:tc>
          <w:tcPr>
            <w:tcW w:w="172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东莞市麻涌镇新沙公园南一路9号</w:t>
            </w:r>
          </w:p>
        </w:tc>
        <w:tc>
          <w:tcPr>
            <w:tcW w:w="1047"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25.179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36"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寮步竹园污水处理厂二期</w:t>
            </w:r>
          </w:p>
        </w:tc>
        <w:tc>
          <w:tcPr>
            <w:tcW w:w="172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东莞市寮步镇竹园村横岭工业区18号</w:t>
            </w:r>
          </w:p>
        </w:tc>
        <w:tc>
          <w:tcPr>
            <w:tcW w:w="1047"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66.620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36"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大朗松山湖南部污水处理厂二期</w:t>
            </w:r>
          </w:p>
        </w:tc>
        <w:tc>
          <w:tcPr>
            <w:tcW w:w="172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东莞市大朗镇沙步村杨沙路153号十三栋101室</w:t>
            </w:r>
          </w:p>
        </w:tc>
        <w:tc>
          <w:tcPr>
            <w:tcW w:w="1047"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239.409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836"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樟木头污水处理厂三期</w:t>
            </w:r>
          </w:p>
        </w:tc>
        <w:tc>
          <w:tcPr>
            <w:tcW w:w="172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樟木头镇柏地社区柏峰路169号</w:t>
            </w:r>
          </w:p>
        </w:tc>
        <w:tc>
          <w:tcPr>
            <w:tcW w:w="1047"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31.467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836"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塘厦大坪污水处理厂一期</w:t>
            </w:r>
          </w:p>
        </w:tc>
        <w:tc>
          <w:tcPr>
            <w:tcW w:w="172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p>
        </w:tc>
        <w:tc>
          <w:tcPr>
            <w:tcW w:w="1047"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338.520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5000" w:type="pct"/>
            <w:gridSpan w:val="4"/>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二、提标项目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36"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虎门宁洲污水处理厂一期提标工程</w:t>
            </w:r>
          </w:p>
        </w:tc>
        <w:tc>
          <w:tcPr>
            <w:tcW w:w="172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东莞市虎门镇南栅第六工业区民昌路十巷5号</w:t>
            </w:r>
          </w:p>
        </w:tc>
        <w:tc>
          <w:tcPr>
            <w:tcW w:w="1047"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316.169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836"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大朗松山湖南部污水处理厂一期提标工程</w:t>
            </w:r>
          </w:p>
        </w:tc>
        <w:tc>
          <w:tcPr>
            <w:tcW w:w="172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东莞市大朗镇沙步村杨沙路153号</w:t>
            </w:r>
          </w:p>
        </w:tc>
        <w:tc>
          <w:tcPr>
            <w:tcW w:w="1047"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182.727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836"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凤岗虾公潭污水处理厂提标工程</w:t>
            </w:r>
          </w:p>
        </w:tc>
        <w:tc>
          <w:tcPr>
            <w:tcW w:w="172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东莞市凤岗镇油甘埔村同兴路3号101</w:t>
            </w:r>
          </w:p>
        </w:tc>
        <w:tc>
          <w:tcPr>
            <w:tcW w:w="1047"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15.245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36"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塘厦石桥头污水处理厂提标工程</w:t>
            </w:r>
          </w:p>
        </w:tc>
        <w:tc>
          <w:tcPr>
            <w:tcW w:w="172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东莞市塘厦镇凤凰岗村环市南路132号</w:t>
            </w:r>
          </w:p>
        </w:tc>
        <w:tc>
          <w:tcPr>
            <w:tcW w:w="1047"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105.302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5000" w:type="pct"/>
            <w:gridSpan w:val="4"/>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color w:val="auto"/>
                <w:kern w:val="0"/>
                <w:sz w:val="18"/>
                <w:szCs w:val="18"/>
                <w:lang w:val="en-US" w:eastAsia="zh-CN" w:bidi="ar"/>
              </w:rPr>
              <w:t>三</w:t>
            </w:r>
            <w:r>
              <w:rPr>
                <w:rFonts w:hint="eastAsia" w:ascii="宋体" w:hAnsi="宋体" w:eastAsia="宋体" w:cs="宋体"/>
                <w:b/>
                <w:bCs/>
                <w:color w:val="auto"/>
                <w:kern w:val="0"/>
                <w:sz w:val="18"/>
                <w:szCs w:val="18"/>
                <w:lang w:bidi="ar"/>
              </w:rPr>
              <w:t>、</w:t>
            </w:r>
            <w:r>
              <w:rPr>
                <w:rFonts w:hint="eastAsia" w:ascii="宋体" w:hAnsi="宋体" w:eastAsia="宋体" w:cs="宋体"/>
                <w:b/>
                <w:bCs/>
                <w:color w:val="auto"/>
                <w:kern w:val="0"/>
                <w:sz w:val="18"/>
                <w:szCs w:val="18"/>
                <w:lang w:val="en-US" w:eastAsia="zh-CN" w:bidi="ar"/>
              </w:rPr>
              <w:t>分散式及一体化</w:t>
            </w:r>
            <w:r>
              <w:rPr>
                <w:rFonts w:hint="eastAsia" w:ascii="宋体" w:hAnsi="宋体" w:eastAsia="宋体" w:cs="宋体"/>
                <w:b/>
                <w:bCs/>
                <w:color w:val="auto"/>
                <w:kern w:val="0"/>
                <w:sz w:val="18"/>
                <w:szCs w:val="18"/>
                <w:lang w:bidi="ar"/>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836"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u w:val="none"/>
                <w:lang w:bidi="ar"/>
              </w:rPr>
              <w:t>东莞市中堂镇江南分散式污水处理站</w:t>
            </w:r>
          </w:p>
        </w:tc>
        <w:tc>
          <w:tcPr>
            <w:tcW w:w="172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u w:val="none"/>
                <w:lang w:val="en-US" w:eastAsia="zh-CN" w:bidi="ar"/>
              </w:rPr>
              <w:t>/</w:t>
            </w:r>
          </w:p>
        </w:tc>
        <w:tc>
          <w:tcPr>
            <w:tcW w:w="1047"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7.943 </w:t>
            </w:r>
          </w:p>
        </w:tc>
      </w:tr>
      <w:bookmarkEnd w:id="56"/>
    </w:tbl>
    <w:p>
      <w:pPr>
        <w:rPr>
          <w:rFonts w:hint="eastAsia" w:ascii="宋体" w:hAnsi="宋体" w:eastAsia="宋体" w:cs="宋体"/>
          <w:color w:val="auto"/>
          <w:highlight w:val="none"/>
          <w:lang w:val="zh-CN"/>
        </w:rPr>
      </w:pPr>
    </w:p>
    <w:p>
      <w:pPr>
        <w:rPr>
          <w:rFonts w:hint="eastAsia" w:ascii="宋体" w:hAnsi="宋体" w:eastAsia="宋体" w:cs="宋体"/>
          <w:b/>
          <w:color w:val="auto"/>
          <w:kern w:val="2"/>
          <w:sz w:val="21"/>
          <w:szCs w:val="21"/>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kern w:val="2"/>
          <w:sz w:val="21"/>
          <w:szCs w:val="21"/>
          <w:highlight w:val="none"/>
        </w:rPr>
        <w:t>备注：以上运营项目为暂定，具体情况以实际为准，如有疑问可实地考察。</w:t>
      </w:r>
    </w:p>
    <w:p>
      <w:pPr>
        <w:spacing w:line="240" w:lineRule="auto"/>
        <w:ind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附件2：验收报告（模板）</w:t>
      </w:r>
    </w:p>
    <w:p>
      <w:pPr>
        <w:pStyle w:val="5"/>
        <w:rPr>
          <w:lang w:val="zh-CN"/>
        </w:rPr>
      </w:pPr>
    </w:p>
    <w:p>
      <w:pPr>
        <w:jc w:val="center"/>
        <w:rPr>
          <w:rFonts w:ascii="方正小标宋简体" w:eastAsia="方正小标宋简体"/>
          <w:sz w:val="44"/>
          <w:szCs w:val="44"/>
        </w:rPr>
      </w:pPr>
      <w:r>
        <w:rPr>
          <w:rFonts w:hint="eastAsia" w:ascii="方正小标宋简体" w:eastAsia="方正小标宋简体"/>
          <w:sz w:val="44"/>
          <w:szCs w:val="44"/>
        </w:rPr>
        <w:t>验收报告</w:t>
      </w:r>
    </w:p>
    <w:tbl>
      <w:tblPr>
        <w:tblStyle w:val="37"/>
        <w:tblpPr w:leftFromText="180" w:rightFromText="180" w:vertAnchor="text" w:horzAnchor="page" w:tblpXSpec="center" w:tblpY="292"/>
        <w:tblOverlap w:val="never"/>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1"/>
        <w:gridCol w:w="1072"/>
        <w:gridCol w:w="1572"/>
        <w:gridCol w:w="1572"/>
        <w:gridCol w:w="1572"/>
        <w:gridCol w:w="632"/>
        <w:gridCol w:w="940"/>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
                <w:color w:val="000000"/>
                <w:sz w:val="24"/>
              </w:rPr>
            </w:pPr>
            <w:r>
              <w:rPr>
                <w:rFonts w:hint="eastAsia" w:ascii="宋体" w:hAnsi="宋体" w:eastAsia="宋体" w:cs="宋体"/>
                <w:b/>
                <w:color w:val="000000"/>
                <w:sz w:val="24"/>
              </w:rPr>
              <w:t>合同名称</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
                <w:color w:val="000000"/>
                <w:sz w:val="24"/>
              </w:rPr>
            </w:pPr>
            <w:r>
              <w:rPr>
                <w:rFonts w:hint="eastAsia" w:ascii="宋体" w:hAnsi="宋体" w:eastAsia="宋体" w:cs="宋体"/>
                <w:b/>
                <w:color w:val="000000"/>
                <w:sz w:val="24"/>
              </w:rPr>
              <w:t>合同编号</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sz w:val="24"/>
              </w:rPr>
              <w:t>供货单位</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sz w:val="24"/>
              </w:rPr>
              <w:t>合同供货期</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
                <w:color w:val="000000"/>
                <w:sz w:val="24"/>
              </w:rPr>
            </w:pPr>
            <w:r>
              <w:rPr>
                <w:rFonts w:hint="eastAsia" w:ascii="宋体" w:hAnsi="宋体" w:eastAsia="宋体" w:cs="宋体"/>
                <w:b/>
                <w:color w:val="000000"/>
                <w:sz w:val="24"/>
              </w:rPr>
              <w:t>药剂名称</w:t>
            </w:r>
          </w:p>
        </w:tc>
        <w:tc>
          <w:tcPr>
            <w:tcW w:w="314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sz w:val="24"/>
              </w:rPr>
              <w:t>品    牌</w:t>
            </w: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sz w:val="24"/>
              </w:rPr>
              <w:t>供货时间</w:t>
            </w:r>
          </w:p>
        </w:tc>
        <w:tc>
          <w:tcPr>
            <w:tcW w:w="314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sz w:val="24"/>
              </w:rPr>
              <w:t>供货数量（吨）</w:t>
            </w: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07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sz w:val="24"/>
              </w:rPr>
              <w:t>序号</w:t>
            </w:r>
          </w:p>
        </w:tc>
        <w:tc>
          <w:tcPr>
            <w:tcW w:w="4216" w:type="dxa"/>
            <w:gridSpan w:val="3"/>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rPr>
            </w:pPr>
            <w:r>
              <w:rPr>
                <w:rFonts w:hint="eastAsia" w:ascii="Times New Roman" w:hAnsi="Times New Roman" w:eastAsia="宋体" w:cs="Times New Roman"/>
                <w:b/>
                <w:bCs/>
                <w:color w:val="000000"/>
                <w:sz w:val="24"/>
              </w:rPr>
              <w:t>指标信息</w:t>
            </w: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sz w:val="24"/>
              </w:rPr>
              <w:t>合同值</w:t>
            </w: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rPr>
            </w:pPr>
            <w:r>
              <w:rPr>
                <w:rFonts w:hint="eastAsia" w:ascii="Times New Roman" w:hAnsi="Times New Roman" w:eastAsia="宋体" w:cs="Times New Roman"/>
                <w:b/>
                <w:bCs/>
                <w:color w:val="000000"/>
                <w:sz w:val="24"/>
              </w:rPr>
              <w:t>检测值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07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000000"/>
                <w:sz w:val="24"/>
              </w:rPr>
            </w:pPr>
            <w:r>
              <w:rPr>
                <w:rFonts w:hint="default" w:ascii="宋体" w:hAnsi="宋体" w:eastAsia="宋体" w:cs="宋体"/>
                <w:bCs/>
                <w:color w:val="000000"/>
                <w:sz w:val="24"/>
              </w:rPr>
              <w:t>1</w:t>
            </w:r>
          </w:p>
        </w:tc>
        <w:tc>
          <w:tcPr>
            <w:tcW w:w="4216" w:type="dxa"/>
            <w:gridSpan w:val="3"/>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07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000000"/>
                <w:sz w:val="24"/>
              </w:rPr>
            </w:pPr>
            <w:r>
              <w:rPr>
                <w:rFonts w:hint="default" w:ascii="宋体" w:hAnsi="宋体" w:eastAsia="宋体" w:cs="宋体"/>
                <w:bCs/>
                <w:color w:val="000000"/>
                <w:sz w:val="24"/>
              </w:rPr>
              <w:t>2</w:t>
            </w:r>
          </w:p>
        </w:tc>
        <w:tc>
          <w:tcPr>
            <w:tcW w:w="4216" w:type="dxa"/>
            <w:gridSpan w:val="3"/>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sz w:val="24"/>
              </w:rPr>
              <w:t>验收结论</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sz w:val="24"/>
              </w:rPr>
              <w:t>备注</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sz w:val="24"/>
              </w:rPr>
              <w:t>合同单价</w:t>
            </w:r>
          </w:p>
        </w:tc>
        <w:tc>
          <w:tcPr>
            <w:tcW w:w="157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rPr>
            </w:pPr>
          </w:p>
        </w:tc>
        <w:tc>
          <w:tcPr>
            <w:tcW w:w="157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rPr>
            </w:pPr>
            <w:r>
              <w:rPr>
                <w:rFonts w:hint="eastAsia" w:ascii="Times New Roman" w:hAnsi="Times New Roman" w:eastAsia="宋体" w:cs="Times New Roman"/>
                <w:b/>
                <w:bCs/>
                <w:color w:val="000000"/>
                <w:sz w:val="24"/>
              </w:rPr>
              <w:t>验收单价</w:t>
            </w:r>
          </w:p>
        </w:tc>
        <w:tc>
          <w:tcPr>
            <w:tcW w:w="157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rPr>
            </w:pPr>
          </w:p>
        </w:tc>
        <w:tc>
          <w:tcPr>
            <w:tcW w:w="1572"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rPr>
            </w:pPr>
            <w:r>
              <w:rPr>
                <w:rFonts w:hint="eastAsia" w:ascii="Times New Roman" w:hAnsi="Times New Roman" w:eastAsia="宋体" w:cs="Times New Roman"/>
                <w:b/>
                <w:bCs/>
                <w:color w:val="000000"/>
                <w:sz w:val="24"/>
              </w:rPr>
              <w:t>验收金额</w:t>
            </w:r>
          </w:p>
        </w:tc>
        <w:tc>
          <w:tcPr>
            <w:tcW w:w="1576"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1" w:hRule="atLeast"/>
          <w:jc w:val="center"/>
        </w:trPr>
        <w:tc>
          <w:tcPr>
            <w:tcW w:w="5287" w:type="dxa"/>
            <w:gridSpan w:val="4"/>
            <w:shd w:val="clear" w:color="auto" w:fill="auto"/>
            <w:noWrap/>
            <w:tcMar>
              <w:top w:w="15" w:type="dxa"/>
              <w:left w:w="15" w:type="dxa"/>
              <w:right w:w="15" w:type="dxa"/>
            </w:tcMar>
          </w:tcPr>
          <w:p>
            <w:pPr>
              <w:keepNext w:val="0"/>
              <w:keepLines w:val="0"/>
              <w:suppressLineNumbers w:val="0"/>
              <w:spacing w:before="0" w:beforeAutospacing="0" w:after="0" w:afterAutospacing="0"/>
              <w:ind w:left="0" w:right="0"/>
              <w:jc w:val="center"/>
              <w:rPr>
                <w:rFonts w:hint="default"/>
                <w:b/>
                <w:bCs/>
              </w:rPr>
            </w:pPr>
          </w:p>
          <w:p>
            <w:pPr>
              <w:keepNext w:val="0"/>
              <w:keepLines w:val="0"/>
              <w:widowControl/>
              <w:suppressLineNumbers w:val="0"/>
              <w:spacing w:before="0" w:beforeAutospacing="0" w:after="0" w:afterAutospacing="0"/>
              <w:ind w:left="0" w:right="0" w:firstLine="211" w:firstLineChars="10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验收单位：</w:t>
            </w:r>
          </w:p>
          <w:p>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b/>
                <w:bCs w:val="0"/>
                <w:color w:val="000000"/>
                <w:sz w:val="21"/>
                <w:szCs w:val="21"/>
              </w:rPr>
            </w:pPr>
          </w:p>
          <w:p>
            <w:pPr>
              <w:keepNext w:val="0"/>
              <w:keepLines w:val="0"/>
              <w:widowControl/>
              <w:suppressLineNumbers w:val="0"/>
              <w:spacing w:before="0" w:beforeAutospacing="0" w:after="0" w:afterAutospacing="0"/>
              <w:ind w:left="0" w:right="0" w:firstLine="211" w:firstLineChars="10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生产主管</w:t>
            </w:r>
            <w:bookmarkStart w:id="49" w:name="OLE_LINK3"/>
            <w:r>
              <w:rPr>
                <w:rFonts w:hint="eastAsia" w:ascii="宋体" w:hAnsi="宋体" w:eastAsia="宋体" w:cs="宋体"/>
                <w:b/>
                <w:bCs w:val="0"/>
                <w:color w:val="000000"/>
                <w:sz w:val="21"/>
                <w:szCs w:val="21"/>
              </w:rPr>
              <w:t>（签名）</w:t>
            </w:r>
            <w:bookmarkEnd w:id="49"/>
            <w:r>
              <w:rPr>
                <w:rFonts w:hint="eastAsia" w:ascii="宋体" w:hAnsi="宋体" w:eastAsia="宋体" w:cs="宋体"/>
                <w:b/>
                <w:bCs w:val="0"/>
                <w:color w:val="000000"/>
                <w:sz w:val="21"/>
                <w:szCs w:val="21"/>
              </w:rPr>
              <w:t>：</w:t>
            </w:r>
          </w:p>
          <w:p>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b/>
                <w:bCs w:val="0"/>
                <w:color w:val="000000"/>
                <w:sz w:val="21"/>
                <w:szCs w:val="21"/>
              </w:rPr>
            </w:pPr>
          </w:p>
          <w:p>
            <w:pPr>
              <w:keepNext w:val="0"/>
              <w:keepLines w:val="0"/>
              <w:widowControl/>
              <w:suppressLineNumbers w:val="0"/>
              <w:spacing w:before="0" w:beforeAutospacing="0" w:after="0" w:afterAutospacing="0"/>
              <w:ind w:left="0" w:right="0"/>
              <w:jc w:val="left"/>
              <w:textAlignment w:val="center"/>
              <w:rPr>
                <w:rFonts w:hint="default"/>
                <w:b/>
                <w:bCs/>
              </w:rPr>
            </w:pPr>
            <w:r>
              <w:rPr>
                <w:rFonts w:hint="eastAsia" w:ascii="宋体" w:hAnsi="宋体" w:eastAsia="宋体" w:cs="宋体"/>
                <w:b/>
                <w:color w:val="000000"/>
                <w:sz w:val="21"/>
                <w:szCs w:val="21"/>
              </w:rPr>
              <w:t xml:space="preserve">  </w:t>
            </w:r>
            <w:r>
              <w:rPr>
                <w:rFonts w:hint="eastAsia" w:ascii="宋体" w:hAnsi="宋体" w:eastAsia="宋体" w:cs="宋体"/>
                <w:b/>
                <w:bCs w:val="0"/>
                <w:color w:val="000000"/>
                <w:sz w:val="21"/>
                <w:szCs w:val="21"/>
              </w:rPr>
              <w:t xml:space="preserve">单位负责人（签名）： </w:t>
            </w:r>
          </w:p>
        </w:tc>
        <w:tc>
          <w:tcPr>
            <w:tcW w:w="4720" w:type="dxa"/>
            <w:gridSpan w:val="4"/>
            <w:shd w:val="clear" w:color="auto" w:fill="auto"/>
            <w:noWrap/>
            <w:tcMar>
              <w:top w:w="15" w:type="dxa"/>
              <w:left w:w="15" w:type="dxa"/>
              <w:right w:w="15" w:type="dxa"/>
            </w:tcMar>
          </w:tcPr>
          <w:p>
            <w:pPr>
              <w:pStyle w:val="2"/>
              <w:keepNext w:val="0"/>
              <w:keepLines w:val="0"/>
              <w:suppressLineNumbers w:val="0"/>
              <w:spacing w:before="0" w:beforeAutospacing="0" w:after="0" w:afterAutospacing="0"/>
              <w:ind w:left="0" w:right="0" w:firstLineChars="100"/>
              <w:jc w:val="left"/>
              <w:rPr>
                <w:rFonts w:hint="eastAsia" w:ascii="宋体" w:hAnsi="宋体" w:eastAsia="宋体" w:cs="宋体"/>
                <w:b/>
                <w:bCs w:val="0"/>
                <w:color w:val="000000"/>
                <w:szCs w:val="21"/>
              </w:rPr>
            </w:pPr>
          </w:p>
          <w:p>
            <w:pPr>
              <w:pStyle w:val="2"/>
              <w:keepNext w:val="0"/>
              <w:keepLines w:val="0"/>
              <w:suppressLineNumbers w:val="0"/>
              <w:spacing w:before="0" w:beforeAutospacing="0" w:after="0" w:afterAutospacing="0"/>
              <w:ind w:left="0" w:right="0" w:firstLineChars="100"/>
              <w:jc w:val="left"/>
              <w:rPr>
                <w:rFonts w:hint="eastAsia" w:ascii="宋体" w:hAnsi="宋体" w:eastAsia="宋体" w:cs="宋体"/>
                <w:b/>
                <w:bCs w:val="0"/>
                <w:color w:val="000000"/>
                <w:szCs w:val="21"/>
              </w:rPr>
            </w:pPr>
            <w:r>
              <w:rPr>
                <w:rFonts w:hint="eastAsia" w:ascii="宋体" w:hAnsi="宋体" w:eastAsia="宋体" w:cs="宋体"/>
                <w:b/>
                <w:bCs w:val="0"/>
                <w:color w:val="000000"/>
                <w:szCs w:val="21"/>
              </w:rPr>
              <w:t>供货单位（盖章）：</w:t>
            </w:r>
          </w:p>
          <w:p>
            <w:pPr>
              <w:pStyle w:val="2"/>
              <w:keepNext w:val="0"/>
              <w:keepLines w:val="0"/>
              <w:suppressLineNumbers w:val="0"/>
              <w:spacing w:beforeAutospacing="0" w:after="0" w:afterAutospacing="0"/>
              <w:ind w:left="0" w:right="0"/>
              <w:rPr>
                <w:rFonts w:hint="default" w:eastAsia="宋体"/>
                <w:lang w:val="en-US" w:eastAsia="zh-CN"/>
              </w:rPr>
            </w:pPr>
            <w:r>
              <w:rPr>
                <w:rFonts w:hint="eastAsia" w:ascii="宋体" w:hAnsi="宋体" w:eastAsia="宋体" w:cs="宋体"/>
                <w:b/>
                <w:bCs w:val="0"/>
                <w:color w:val="000000"/>
                <w:szCs w:val="21"/>
                <w:lang w:val="en-US" w:eastAsia="zh-CN"/>
              </w:rPr>
              <w:t xml:space="preserve">  供货单位代表</w:t>
            </w:r>
            <w:r>
              <w:rPr>
                <w:rFonts w:hint="eastAsia" w:ascii="宋体" w:hAnsi="宋体" w:eastAsia="宋体" w:cs="宋体"/>
                <w:b/>
                <w:bCs w:val="0"/>
                <w:color w:val="000000"/>
                <w:sz w:val="21"/>
                <w:szCs w:val="21"/>
              </w:rPr>
              <w:t>（签名）</w:t>
            </w:r>
            <w:r>
              <w:rPr>
                <w:rFonts w:hint="eastAsia" w:ascii="宋体" w:hAnsi="宋体" w:eastAsia="宋体" w:cs="宋体"/>
                <w:b/>
                <w:bCs w:val="0"/>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5287" w:type="dxa"/>
            <w:gridSpan w:val="4"/>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firstLine="422" w:firstLineChars="200"/>
              <w:rPr>
                <w:rFonts w:hint="default" w:ascii="Times New Roman" w:hAnsi="Times New Roman" w:eastAsia="宋体" w:cs="Times New Roman"/>
                <w:color w:val="000000"/>
                <w:sz w:val="24"/>
              </w:rPr>
            </w:pPr>
            <w:r>
              <w:rPr>
                <w:rFonts w:hint="eastAsia" w:ascii="宋体" w:hAnsi="宋体" w:eastAsia="宋体" w:cs="宋体"/>
                <w:b/>
                <w:bCs w:val="0"/>
                <w:color w:val="000000"/>
                <w:szCs w:val="21"/>
              </w:rPr>
              <w:t>日期：</w:t>
            </w:r>
          </w:p>
        </w:tc>
        <w:tc>
          <w:tcPr>
            <w:tcW w:w="4720" w:type="dxa"/>
            <w:gridSpan w:val="4"/>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firstLine="422" w:firstLineChars="200"/>
              <w:rPr>
                <w:rFonts w:hint="default" w:ascii="Times New Roman" w:hAnsi="Times New Roman" w:eastAsia="宋体" w:cs="Times New Roman"/>
                <w:color w:val="000000"/>
                <w:sz w:val="24"/>
              </w:rPr>
            </w:pPr>
            <w:r>
              <w:rPr>
                <w:rFonts w:hint="eastAsia" w:ascii="宋体" w:hAnsi="宋体" w:eastAsia="宋体" w:cs="宋体"/>
                <w:b/>
                <w:bCs w:val="0"/>
                <w:color w:val="000000"/>
                <w:szCs w:val="21"/>
              </w:rPr>
              <w:t>日期：</w:t>
            </w:r>
          </w:p>
        </w:tc>
      </w:tr>
    </w:tbl>
    <w:p>
      <w:pPr>
        <w:rPr>
          <w:lang w:val="zh-CN"/>
        </w:rPr>
        <w:sectPr>
          <w:pgSz w:w="12240" w:h="15840"/>
          <w:pgMar w:top="1191" w:right="1043" w:bottom="1191" w:left="1043" w:header="720" w:footer="720" w:gutter="0"/>
          <w:cols w:space="720" w:num="1"/>
          <w:titlePg/>
          <w:docGrid w:linePitch="326" w:charSpace="0"/>
        </w:sectPr>
      </w:pPr>
    </w:p>
    <w:p>
      <w:pPr>
        <w:spacing w:line="240" w:lineRule="auto"/>
        <w:ind w:firstLine="0" w:firstLineChars="0"/>
        <w:rPr>
          <w:rFonts w:hint="eastAsia" w:ascii="宋体" w:hAnsi="宋体" w:eastAsia="宋体" w:cs="宋体"/>
          <w:b/>
          <w:color w:val="auto"/>
          <w:szCs w:val="21"/>
          <w:lang w:bidi="ar"/>
        </w:rPr>
      </w:pPr>
      <w:r>
        <w:rPr>
          <w:rFonts w:hint="eastAsia" w:ascii="宋体" w:hAnsi="宋体" w:eastAsia="宋体" w:cs="宋体"/>
          <w:b/>
          <w:color w:val="auto"/>
          <w:szCs w:val="21"/>
          <w:lang w:val="en-US" w:eastAsia="zh-CN"/>
        </w:rPr>
        <w:t>附件3：</w:t>
      </w:r>
      <w:r>
        <w:rPr>
          <w:rFonts w:hint="eastAsia" w:ascii="宋体" w:hAnsi="宋体" w:eastAsia="宋体" w:cs="宋体"/>
          <w:b/>
          <w:color w:val="auto"/>
          <w:szCs w:val="21"/>
          <w:lang w:bidi="ar"/>
        </w:rPr>
        <w:t>供应商履约评价表</w:t>
      </w:r>
    </w:p>
    <w:p>
      <w:pPr>
        <w:spacing w:line="360" w:lineRule="auto"/>
        <w:jc w:val="center"/>
        <w:rPr>
          <w:rFonts w:ascii="宋体" w:hAnsi="宋体" w:eastAsia="宋体" w:cs="宋体"/>
          <w:b/>
          <w:sz w:val="32"/>
          <w:szCs w:val="21"/>
          <w:highlight w:val="none"/>
        </w:rPr>
      </w:pPr>
      <w:r>
        <w:rPr>
          <w:rFonts w:hint="eastAsia" w:ascii="宋体" w:hAnsi="宋体" w:eastAsia="宋体" w:cs="宋体"/>
          <w:b/>
          <w:sz w:val="32"/>
          <w:szCs w:val="21"/>
          <w:highlight w:val="none"/>
        </w:rPr>
        <w:t>供应商履约评价表</w:t>
      </w:r>
    </w:p>
    <w:tbl>
      <w:tblPr>
        <w:tblStyle w:val="37"/>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735"/>
        <w:gridCol w:w="3783"/>
        <w:gridCol w:w="57"/>
        <w:gridCol w:w="1824"/>
        <w:gridCol w:w="733"/>
        <w:gridCol w:w="705"/>
        <w:gridCol w:w="71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rPr>
            </w:pPr>
            <w:r>
              <w:rPr>
                <w:rFonts w:hint="eastAsia" w:ascii="宋体" w:hAnsi="宋体" w:eastAsia="宋体"/>
                <w:bCs/>
                <w:highlight w:val="none"/>
              </w:rPr>
              <w:t>合同名称</w:t>
            </w:r>
          </w:p>
        </w:tc>
        <w:tc>
          <w:tcPr>
            <w:tcW w:w="7821" w:type="dxa"/>
            <w:gridSpan w:val="6"/>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rPr>
            </w:pPr>
            <w:r>
              <w:rPr>
                <w:rFonts w:hint="eastAsia" w:ascii="宋体" w:hAnsi="宋体" w:eastAsia="宋体"/>
                <w:bCs/>
                <w:highlight w:val="none"/>
              </w:rPr>
              <w:t>合同编号</w:t>
            </w:r>
          </w:p>
        </w:tc>
        <w:tc>
          <w:tcPr>
            <w:tcW w:w="7821" w:type="dxa"/>
            <w:gridSpan w:val="6"/>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甲方名称</w:t>
            </w:r>
          </w:p>
        </w:tc>
        <w:tc>
          <w:tcPr>
            <w:tcW w:w="7821" w:type="dxa"/>
            <w:gridSpan w:val="6"/>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rPr>
            </w:pPr>
            <w:r>
              <w:rPr>
                <w:rFonts w:hint="eastAsia" w:ascii="宋体" w:hAnsi="宋体" w:eastAsia="宋体"/>
                <w:bCs/>
                <w:highlight w:val="none"/>
              </w:rPr>
              <w:t>供应商</w:t>
            </w:r>
            <w:r>
              <w:rPr>
                <w:rFonts w:hint="eastAsia" w:ascii="宋体" w:hAnsi="宋体" w:eastAsia="宋体"/>
                <w:highlight w:val="none"/>
              </w:rPr>
              <w:t>名称</w:t>
            </w:r>
          </w:p>
        </w:tc>
        <w:tc>
          <w:tcPr>
            <w:tcW w:w="7821" w:type="dxa"/>
            <w:gridSpan w:val="6"/>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供应货物名称</w:t>
            </w:r>
          </w:p>
        </w:tc>
        <w:tc>
          <w:tcPr>
            <w:tcW w:w="7821" w:type="dxa"/>
            <w:gridSpan w:val="6"/>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bCs/>
                <w:highlight w:val="none"/>
              </w:rPr>
            </w:pPr>
            <w:r>
              <w:rPr>
                <w:rFonts w:hint="eastAsia" w:ascii="宋体" w:hAnsi="宋体" w:eastAsia="宋体"/>
                <w:bCs/>
                <w:highlight w:val="none"/>
                <w:lang w:val="en-US" w:eastAsia="zh-CN"/>
              </w:rPr>
              <w:t>交货地点</w:t>
            </w:r>
          </w:p>
        </w:tc>
        <w:tc>
          <w:tcPr>
            <w:tcW w:w="7821" w:type="dxa"/>
            <w:gridSpan w:val="6"/>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序号</w:t>
            </w:r>
          </w:p>
        </w:tc>
        <w:tc>
          <w:tcPr>
            <w:tcW w:w="173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履约评价项目</w:t>
            </w:r>
          </w:p>
        </w:tc>
        <w:tc>
          <w:tcPr>
            <w:tcW w:w="3783"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评价标准</w:t>
            </w:r>
          </w:p>
        </w:tc>
        <w:tc>
          <w:tcPr>
            <w:tcW w:w="1881"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评分说明</w:t>
            </w:r>
          </w:p>
        </w:tc>
        <w:tc>
          <w:tcPr>
            <w:tcW w:w="733"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分值</w:t>
            </w:r>
          </w:p>
        </w:tc>
        <w:tc>
          <w:tcPr>
            <w:tcW w:w="70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实得分</w:t>
            </w:r>
          </w:p>
        </w:tc>
        <w:tc>
          <w:tcPr>
            <w:tcW w:w="719" w:type="dxa"/>
            <w:vAlign w:val="center"/>
          </w:tcPr>
          <w:p>
            <w:pPr>
              <w:keepNext w:val="0"/>
              <w:keepLines w:val="0"/>
              <w:widowControl/>
              <w:suppressLineNumbers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扣分情况说明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218" w:hRule="atLeast"/>
          <w:jc w:val="center"/>
        </w:trPr>
        <w:tc>
          <w:tcPr>
            <w:tcW w:w="42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1</w:t>
            </w:r>
          </w:p>
        </w:tc>
        <w:tc>
          <w:tcPr>
            <w:tcW w:w="173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质量</w:t>
            </w:r>
          </w:p>
        </w:tc>
        <w:tc>
          <w:tcPr>
            <w:tcW w:w="3783" w:type="dxa"/>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（1）货物未出现全部拒收或换货等质量问题；</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（2）货物主要技术指标符合合同规定；</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（3）每次货物质量稳定，投加效果良好，未出现由于每次货物质量参差不齐导致厂区药剂投加量增加或产生出水水质风险等情况。</w:t>
            </w:r>
          </w:p>
        </w:tc>
        <w:tc>
          <w:tcPr>
            <w:tcW w:w="1881" w:type="dxa"/>
            <w:gridSpan w:val="2"/>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highlight w:val="none"/>
              </w:rPr>
            </w:pPr>
            <w:r>
              <w:rPr>
                <w:rFonts w:hint="eastAsia" w:ascii="宋体" w:hAnsi="宋体" w:eastAsia="宋体"/>
                <w:bCs/>
                <w:highlight w:val="none"/>
              </w:rPr>
              <w:t>达到标准的得满分，每月每次货物有一项未达到标准的扣4分，每次货物最多扣4分。</w:t>
            </w:r>
          </w:p>
        </w:tc>
        <w:tc>
          <w:tcPr>
            <w:tcW w:w="733"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rPr>
            </w:pPr>
            <w:r>
              <w:rPr>
                <w:rFonts w:hint="eastAsia" w:ascii="宋体" w:hAnsi="宋体" w:eastAsia="宋体"/>
                <w:highlight w:val="none"/>
              </w:rPr>
              <w:t>20</w:t>
            </w:r>
          </w:p>
        </w:tc>
        <w:tc>
          <w:tcPr>
            <w:tcW w:w="70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c>
          <w:tcPr>
            <w:tcW w:w="719"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252" w:hRule="atLeast"/>
          <w:jc w:val="center"/>
        </w:trPr>
        <w:tc>
          <w:tcPr>
            <w:tcW w:w="42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2</w:t>
            </w:r>
          </w:p>
        </w:tc>
        <w:tc>
          <w:tcPr>
            <w:tcW w:w="173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包装、运输</w:t>
            </w:r>
          </w:p>
        </w:tc>
        <w:tc>
          <w:tcPr>
            <w:tcW w:w="3783" w:type="dxa"/>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货物的包装、运输符合合同规定及国家、行业有关标准规范；未出现由于包装、运输方式不当造成以下不良后果：</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（1）影响货物输送或储存质量；</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（2）货物质量下降；</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（3）货物泄漏导致供货量不足；</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（4）造成环境污染。</w:t>
            </w:r>
          </w:p>
        </w:tc>
        <w:tc>
          <w:tcPr>
            <w:tcW w:w="1881" w:type="dxa"/>
            <w:gridSpan w:val="2"/>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达到标准的得满分，每月每次货物有一项未达到标准的扣3分，每次货物最多扣3分。</w:t>
            </w:r>
          </w:p>
        </w:tc>
        <w:tc>
          <w:tcPr>
            <w:tcW w:w="733"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rPr>
            </w:pPr>
            <w:r>
              <w:rPr>
                <w:rFonts w:hint="eastAsia" w:ascii="宋体" w:hAnsi="宋体" w:eastAsia="宋体"/>
                <w:highlight w:val="none"/>
              </w:rPr>
              <w:t>15</w:t>
            </w:r>
          </w:p>
        </w:tc>
        <w:tc>
          <w:tcPr>
            <w:tcW w:w="70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c>
          <w:tcPr>
            <w:tcW w:w="719"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3</w:t>
            </w:r>
          </w:p>
        </w:tc>
        <w:tc>
          <w:tcPr>
            <w:tcW w:w="173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货物交付</w:t>
            </w:r>
          </w:p>
        </w:tc>
        <w:tc>
          <w:tcPr>
            <w:tcW w:w="3783" w:type="dxa"/>
            <w:vAlign w:val="center"/>
          </w:tcPr>
          <w:p>
            <w:pPr>
              <w:keepNext w:val="0"/>
              <w:keepLines w:val="0"/>
              <w:widowControl/>
              <w:suppressLineNumbers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（1）按合同要求的期限供货（包括加急供货）；</w:t>
            </w:r>
          </w:p>
          <w:p>
            <w:pPr>
              <w:keepNext w:val="0"/>
              <w:keepLines w:val="0"/>
              <w:widowControl/>
              <w:suppressLineNumbers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（2）每次供货配合提供电子地磅称重单；</w:t>
            </w:r>
          </w:p>
          <w:p>
            <w:pPr>
              <w:keepNext w:val="0"/>
              <w:keepLines w:val="0"/>
              <w:suppressLineNumbers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（3）每次供货配合提供出厂检验报告或质量合格证等技术资料；</w:t>
            </w:r>
          </w:p>
          <w:p>
            <w:pPr>
              <w:keepNext w:val="0"/>
              <w:keepLines w:val="0"/>
              <w:widowControl/>
              <w:suppressLineNumbers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（4）交付人员专业性强，工作效率高，熟悉交付操作流程；</w:t>
            </w:r>
          </w:p>
          <w:p>
            <w:pPr>
              <w:keepNext w:val="0"/>
              <w:keepLines w:val="0"/>
              <w:widowControl/>
              <w:suppressLineNumbers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（5）未出现因库存、运力不足等原因影响供货量的情况。</w:t>
            </w:r>
          </w:p>
        </w:tc>
        <w:tc>
          <w:tcPr>
            <w:tcW w:w="1881" w:type="dxa"/>
            <w:gridSpan w:val="2"/>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highlight w:val="none"/>
              </w:rPr>
            </w:pPr>
            <w:r>
              <w:rPr>
                <w:rFonts w:hint="eastAsia" w:ascii="宋体" w:hAnsi="宋体" w:eastAsia="宋体"/>
                <w:bCs/>
                <w:highlight w:val="none"/>
              </w:rPr>
              <w:t>达到标准的得满分，每月每次货物有一项未达到标准的扣3分，每次货物最多扣3分。</w:t>
            </w:r>
          </w:p>
        </w:tc>
        <w:tc>
          <w:tcPr>
            <w:tcW w:w="733"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rPr>
            </w:pPr>
            <w:r>
              <w:rPr>
                <w:rFonts w:hint="eastAsia" w:ascii="宋体" w:hAnsi="宋体" w:eastAsia="宋体"/>
                <w:highlight w:val="none"/>
              </w:rPr>
              <w:t>20</w:t>
            </w:r>
          </w:p>
        </w:tc>
        <w:tc>
          <w:tcPr>
            <w:tcW w:w="70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c>
          <w:tcPr>
            <w:tcW w:w="719"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4</w:t>
            </w:r>
          </w:p>
        </w:tc>
        <w:tc>
          <w:tcPr>
            <w:tcW w:w="173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验收</w:t>
            </w:r>
          </w:p>
        </w:tc>
        <w:tc>
          <w:tcPr>
            <w:tcW w:w="3783" w:type="dxa"/>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（1）及时提供货物的各项技术资料，技术资料齐全、规范；</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（2）未出现因对检测结果存在异议而影响供货的情况；</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（3）未出现因货物检验不合格，或因货物不合格影响厂区生产效果的情况。</w:t>
            </w:r>
          </w:p>
        </w:tc>
        <w:tc>
          <w:tcPr>
            <w:tcW w:w="1881" w:type="dxa"/>
            <w:gridSpan w:val="2"/>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达到标准的得满分，每月每次货物有一项未达到标准的扣4分，每次货物最多扣4分。</w:t>
            </w:r>
          </w:p>
        </w:tc>
        <w:tc>
          <w:tcPr>
            <w:tcW w:w="733"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rPr>
            </w:pPr>
            <w:r>
              <w:rPr>
                <w:rFonts w:hint="eastAsia" w:ascii="宋体" w:hAnsi="宋体" w:eastAsia="宋体"/>
                <w:highlight w:val="none"/>
              </w:rPr>
              <w:t>20</w:t>
            </w:r>
          </w:p>
        </w:tc>
        <w:tc>
          <w:tcPr>
            <w:tcW w:w="70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c>
          <w:tcPr>
            <w:tcW w:w="719"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5</w:t>
            </w:r>
          </w:p>
        </w:tc>
        <w:tc>
          <w:tcPr>
            <w:tcW w:w="173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安全</w:t>
            </w:r>
          </w:p>
        </w:tc>
        <w:tc>
          <w:tcPr>
            <w:tcW w:w="3783" w:type="dxa"/>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（1）运输服务商资质、运输人员、运输车辆符合合同规定及国家相关法律法规要求；</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（2）未出现超载或非法运输等情况；</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（3）未出现由于运输服务商资质不符、超载或非法运输、未按厂区指示行驶及停放造成第三方或厂区事故、损失的情况；</w:t>
            </w:r>
          </w:p>
          <w:p>
            <w:pPr>
              <w:keepNext w:val="0"/>
              <w:keepLines w:val="0"/>
              <w:suppressLineNumbers w:val="0"/>
              <w:spacing w:before="0" w:beforeAutospacing="0" w:after="0" w:afterAutospacing="0"/>
              <w:ind w:left="0" w:right="0"/>
              <w:outlineLvl w:val="2"/>
              <w:rPr>
                <w:rFonts w:hint="default" w:ascii="宋体" w:hAnsi="宋体" w:eastAsia="宋体"/>
                <w:highlight w:val="none"/>
              </w:rPr>
            </w:pPr>
            <w:bookmarkStart w:id="50" w:name="_Toc95729751"/>
            <w:bookmarkStart w:id="51" w:name="_Toc146625412"/>
            <w:bookmarkStart w:id="52" w:name="_Toc174612491"/>
            <w:r>
              <w:rPr>
                <w:rFonts w:hint="eastAsia" w:ascii="宋体" w:hAnsi="宋体" w:eastAsia="宋体"/>
                <w:bCs/>
                <w:highlight w:val="none"/>
              </w:rPr>
              <w:t>（4）未出现卸货安全事故。</w:t>
            </w:r>
            <w:bookmarkEnd w:id="50"/>
            <w:bookmarkEnd w:id="51"/>
            <w:bookmarkEnd w:id="52"/>
          </w:p>
        </w:tc>
        <w:tc>
          <w:tcPr>
            <w:tcW w:w="1881" w:type="dxa"/>
            <w:gridSpan w:val="2"/>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达到标准的得满分，每月每次货物有一项未达到标准的扣3分，每次货物最多扣3分。</w:t>
            </w:r>
          </w:p>
        </w:tc>
        <w:tc>
          <w:tcPr>
            <w:tcW w:w="733"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15</w:t>
            </w:r>
          </w:p>
        </w:tc>
        <w:tc>
          <w:tcPr>
            <w:tcW w:w="70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c>
          <w:tcPr>
            <w:tcW w:w="719"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6</w:t>
            </w:r>
          </w:p>
        </w:tc>
        <w:tc>
          <w:tcPr>
            <w:tcW w:w="173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售后服务</w:t>
            </w:r>
          </w:p>
        </w:tc>
        <w:tc>
          <w:tcPr>
            <w:tcW w:w="3783" w:type="dxa"/>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（1）人员：</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①管理、技术及服务人员均符合申请文件的承诺，服务队伍稳定，人员充足、专业性强，充分配合甲方供货需求；</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②对接人员与甲方沟通良好、理解到位、执行力强，能及时发现、解决问题，并未雨绸缪地因应各厂区实际情况提供合理化的供配货建议；</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③未出现推诿，借故不肯签署合同规定的文件或者敷衍了事、置之不理等情况。</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（2）配合：</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①售后服务流程完善，跟踪到位，响应速度快；</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②就货物储存保质方式、方法提出合理化建议并能提供专业技术指导；</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③积极配合甲方进行试验、积极协助甲方接受政府管理部门的检查工作及提供各类资质证明材料；</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④能根据甲方要求提供专业培训。</w:t>
            </w:r>
          </w:p>
          <w:p>
            <w:pPr>
              <w:keepNext w:val="0"/>
              <w:keepLines w:val="0"/>
              <w:suppressLineNumbers w:val="0"/>
              <w:spacing w:before="0" w:beforeAutospacing="0" w:after="0" w:afterAutospacing="0"/>
              <w:ind w:left="0" w:right="0"/>
              <w:outlineLvl w:val="2"/>
              <w:rPr>
                <w:rFonts w:hint="default" w:ascii="宋体" w:hAnsi="宋体" w:eastAsia="宋体"/>
                <w:highlight w:val="none"/>
              </w:rPr>
            </w:pPr>
            <w:bookmarkStart w:id="53" w:name="_Toc174612492"/>
            <w:bookmarkStart w:id="54" w:name="_Toc146625413"/>
            <w:bookmarkStart w:id="55" w:name="_Toc95729752"/>
            <w:r>
              <w:rPr>
                <w:rFonts w:hint="eastAsia" w:ascii="宋体" w:hAnsi="宋体" w:eastAsia="宋体"/>
                <w:bCs/>
                <w:highlight w:val="none"/>
              </w:rPr>
              <w:t>⑤高效处理退换货工作、态度良好。</w:t>
            </w:r>
            <w:bookmarkEnd w:id="53"/>
            <w:bookmarkEnd w:id="54"/>
            <w:bookmarkEnd w:id="55"/>
          </w:p>
        </w:tc>
        <w:tc>
          <w:tcPr>
            <w:tcW w:w="1881" w:type="dxa"/>
            <w:gridSpan w:val="2"/>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达到标准的得满分，每月每次货物有一项未达到标准的扣2分，每次货物最多扣2分。</w:t>
            </w:r>
          </w:p>
        </w:tc>
        <w:tc>
          <w:tcPr>
            <w:tcW w:w="733"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10</w:t>
            </w:r>
          </w:p>
        </w:tc>
        <w:tc>
          <w:tcPr>
            <w:tcW w:w="70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c>
          <w:tcPr>
            <w:tcW w:w="719"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0" w:hRule="atLeast"/>
          <w:jc w:val="center"/>
        </w:trPr>
        <w:tc>
          <w:tcPr>
            <w:tcW w:w="7824" w:type="dxa"/>
            <w:gridSpan w:val="5"/>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合计</w:t>
            </w:r>
          </w:p>
        </w:tc>
        <w:tc>
          <w:tcPr>
            <w:tcW w:w="733"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1</w:t>
            </w:r>
            <w:r>
              <w:rPr>
                <w:rFonts w:hint="default" w:ascii="宋体" w:hAnsi="宋体" w:eastAsia="宋体"/>
                <w:bCs/>
                <w:highlight w:val="none"/>
              </w:rPr>
              <w:t>00</w:t>
            </w:r>
          </w:p>
        </w:tc>
        <w:tc>
          <w:tcPr>
            <w:tcW w:w="70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c>
          <w:tcPr>
            <w:tcW w:w="719"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59" w:hRule="atLeast"/>
          <w:jc w:val="center"/>
        </w:trPr>
        <w:tc>
          <w:tcPr>
            <w:tcW w:w="2160"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评审结论</w:t>
            </w:r>
          </w:p>
        </w:tc>
        <w:tc>
          <w:tcPr>
            <w:tcW w:w="7821" w:type="dxa"/>
            <w:gridSpan w:val="6"/>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□合计分值不低于</w:t>
            </w:r>
            <w:r>
              <w:rPr>
                <w:rFonts w:hint="default" w:ascii="宋体" w:hAnsi="宋体" w:eastAsia="宋体"/>
                <w:bCs/>
                <w:highlight w:val="none"/>
              </w:rPr>
              <w:t>8</w:t>
            </w:r>
            <w:r>
              <w:rPr>
                <w:rFonts w:hint="eastAsia" w:ascii="宋体" w:hAnsi="宋体" w:eastAsia="宋体"/>
                <w:bCs/>
                <w:highlight w:val="none"/>
              </w:rPr>
              <w:t>0的，评审结论合格</w:t>
            </w:r>
            <w:r>
              <w:rPr>
                <w:rFonts w:hint="eastAsia" w:ascii="宋体" w:hAnsi="宋体" w:eastAsia="宋体"/>
                <w:bCs/>
                <w:highlight w:val="none"/>
              </w:rPr>
              <w:br w:type="textWrapping"/>
            </w:r>
            <w:r>
              <w:rPr>
                <w:rFonts w:hint="eastAsia" w:ascii="宋体" w:hAnsi="宋体" w:eastAsia="宋体"/>
                <w:bCs/>
                <w:highlight w:val="none"/>
              </w:rPr>
              <w:t>□评审结论不合格，说明：</w:t>
            </w:r>
            <w:r>
              <w:rPr>
                <w:rFonts w:hint="eastAsia" w:ascii="宋体" w:hAnsi="宋体" w:eastAsia="宋体"/>
                <w:bCs/>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2160" w:type="dxa"/>
            <w:gridSpan w:val="2"/>
            <w:vMerge w:val="restart"/>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rPr>
            </w:pPr>
            <w:r>
              <w:rPr>
                <w:rFonts w:hint="eastAsia" w:ascii="宋体" w:hAnsi="宋体" w:eastAsia="宋体"/>
                <w:bCs/>
                <w:highlight w:val="none"/>
              </w:rPr>
              <w:t>履约评审运营项目</w:t>
            </w:r>
            <w:r>
              <w:rPr>
                <w:rFonts w:hint="eastAsia" w:ascii="宋体" w:hAnsi="宋体" w:eastAsia="宋体"/>
                <w:highlight w:val="none"/>
              </w:rPr>
              <w:t>其他</w:t>
            </w:r>
            <w:r>
              <w:rPr>
                <w:rFonts w:hint="eastAsia" w:ascii="宋体" w:hAnsi="宋体" w:eastAsia="宋体"/>
                <w:bCs/>
                <w:highlight w:val="none"/>
              </w:rPr>
              <w:t>意见及签署</w:t>
            </w:r>
          </w:p>
        </w:tc>
        <w:tc>
          <w:tcPr>
            <w:tcW w:w="3840" w:type="dxa"/>
            <w:gridSpan w:val="2"/>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highlight w:val="none"/>
              </w:rPr>
            </w:pPr>
            <w:r>
              <w:rPr>
                <w:rFonts w:hint="eastAsia" w:ascii="宋体" w:hAnsi="宋体" w:eastAsia="宋体"/>
                <w:bCs/>
                <w:highlight w:val="none"/>
              </w:rPr>
              <w:t>经办人</w:t>
            </w:r>
          </w:p>
        </w:tc>
        <w:tc>
          <w:tcPr>
            <w:tcW w:w="3987" w:type="dxa"/>
            <w:gridSpan w:val="5"/>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60" w:type="dxa"/>
            <w:gridSpan w:val="2"/>
            <w:vMerge w:val="continue"/>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p>
        </w:tc>
        <w:tc>
          <w:tcPr>
            <w:tcW w:w="3840" w:type="dxa"/>
            <w:gridSpan w:val="2"/>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运营项目负责人</w:t>
            </w:r>
          </w:p>
        </w:tc>
        <w:tc>
          <w:tcPr>
            <w:tcW w:w="3987" w:type="dxa"/>
            <w:gridSpan w:val="5"/>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p>
        </w:tc>
      </w:tr>
    </w:tbl>
    <w:p>
      <w:pPr>
        <w:pStyle w:val="2"/>
        <w:rPr>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embedRegular r:id="rId1" w:fontKey="{0781EE8A-B9D2-4709-923B-E2A435BD139B}"/>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3499854B-FA57-4EF4-9545-56FB642DE87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110</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110</w:t>
    </w:r>
    <w:r>
      <w:rPr>
        <w:bCs/>
        <w:sz w:val="24"/>
        <w:szCs w:val="24"/>
      </w:rPr>
      <w:fldChar w:fldCharType="end"/>
    </w:r>
    <w:r>
      <w:rPr>
        <w:b/>
        <w:bCs/>
        <w:sz w:val="24"/>
        <w:szCs w:val="24"/>
      </w:rPr>
      <w:t xml:space="preserve"> </w:t>
    </w:r>
    <w:r>
      <w:rPr>
        <w:rFonts w:hint="eastAsia"/>
      </w:rPr>
      <w:t>页</w:t>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86</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86</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OWRkZWY0Y2IzMzdkNjZiNWIyZWQ2ZjZjMmRkMmQ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1658"/>
    <w:rsid w:val="007A7740"/>
    <w:rsid w:val="007B4F1D"/>
    <w:rsid w:val="007C002A"/>
    <w:rsid w:val="007C024B"/>
    <w:rsid w:val="007C0F2D"/>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470B"/>
    <w:rsid w:val="00A36A24"/>
    <w:rsid w:val="00A376FB"/>
    <w:rsid w:val="00A45306"/>
    <w:rsid w:val="00A45D73"/>
    <w:rsid w:val="00A62F8C"/>
    <w:rsid w:val="00A64725"/>
    <w:rsid w:val="00A6666A"/>
    <w:rsid w:val="00A73490"/>
    <w:rsid w:val="00A819B6"/>
    <w:rsid w:val="00A87F74"/>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07A"/>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1EB4"/>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8C5"/>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2D54"/>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21C1A73"/>
    <w:rsid w:val="02292580"/>
    <w:rsid w:val="02385327"/>
    <w:rsid w:val="02765207"/>
    <w:rsid w:val="02B0310F"/>
    <w:rsid w:val="02FD4C5E"/>
    <w:rsid w:val="02FE5AC7"/>
    <w:rsid w:val="030429C4"/>
    <w:rsid w:val="036B1E25"/>
    <w:rsid w:val="0388330F"/>
    <w:rsid w:val="041257E6"/>
    <w:rsid w:val="041C59D6"/>
    <w:rsid w:val="041F4C2D"/>
    <w:rsid w:val="04510922"/>
    <w:rsid w:val="045B3B25"/>
    <w:rsid w:val="047F32B1"/>
    <w:rsid w:val="04994C0E"/>
    <w:rsid w:val="04D255BF"/>
    <w:rsid w:val="058F7720"/>
    <w:rsid w:val="06447858"/>
    <w:rsid w:val="06A75D00"/>
    <w:rsid w:val="06C146A3"/>
    <w:rsid w:val="074D3623"/>
    <w:rsid w:val="07707311"/>
    <w:rsid w:val="07CB5CF9"/>
    <w:rsid w:val="07CF5DE6"/>
    <w:rsid w:val="07DC2D64"/>
    <w:rsid w:val="08320C7C"/>
    <w:rsid w:val="085155B3"/>
    <w:rsid w:val="08E458C1"/>
    <w:rsid w:val="08EE4992"/>
    <w:rsid w:val="09691794"/>
    <w:rsid w:val="098552F6"/>
    <w:rsid w:val="09882B57"/>
    <w:rsid w:val="09DC3831"/>
    <w:rsid w:val="0A2F7010"/>
    <w:rsid w:val="0A516F86"/>
    <w:rsid w:val="0B024724"/>
    <w:rsid w:val="0B0C4632"/>
    <w:rsid w:val="0B1D50BA"/>
    <w:rsid w:val="0B662715"/>
    <w:rsid w:val="0BE94AFA"/>
    <w:rsid w:val="0C2F4BC5"/>
    <w:rsid w:val="0C514749"/>
    <w:rsid w:val="0CA97AF5"/>
    <w:rsid w:val="0CD8573D"/>
    <w:rsid w:val="0CF103CF"/>
    <w:rsid w:val="0D4728C2"/>
    <w:rsid w:val="0D8F1B59"/>
    <w:rsid w:val="0DA579E2"/>
    <w:rsid w:val="0DF62901"/>
    <w:rsid w:val="0E174750"/>
    <w:rsid w:val="0EE2560E"/>
    <w:rsid w:val="0F241091"/>
    <w:rsid w:val="0F5216E5"/>
    <w:rsid w:val="0F777E12"/>
    <w:rsid w:val="0F9A4F2B"/>
    <w:rsid w:val="0FBC30F4"/>
    <w:rsid w:val="0FC161BD"/>
    <w:rsid w:val="10194933"/>
    <w:rsid w:val="1064217C"/>
    <w:rsid w:val="107E484D"/>
    <w:rsid w:val="108870E1"/>
    <w:rsid w:val="10C009C2"/>
    <w:rsid w:val="10C34551"/>
    <w:rsid w:val="10C5247C"/>
    <w:rsid w:val="10EA0134"/>
    <w:rsid w:val="11133BB7"/>
    <w:rsid w:val="11166833"/>
    <w:rsid w:val="114B7E13"/>
    <w:rsid w:val="115E5271"/>
    <w:rsid w:val="118934A9"/>
    <w:rsid w:val="11D80CE5"/>
    <w:rsid w:val="12045226"/>
    <w:rsid w:val="123A71A5"/>
    <w:rsid w:val="124B075F"/>
    <w:rsid w:val="126B2BAF"/>
    <w:rsid w:val="12F157AA"/>
    <w:rsid w:val="12FD63C9"/>
    <w:rsid w:val="130F4A87"/>
    <w:rsid w:val="132557BB"/>
    <w:rsid w:val="13280AA0"/>
    <w:rsid w:val="13296F0A"/>
    <w:rsid w:val="13651CF4"/>
    <w:rsid w:val="13750189"/>
    <w:rsid w:val="1376180B"/>
    <w:rsid w:val="1438344A"/>
    <w:rsid w:val="146D70B2"/>
    <w:rsid w:val="14BC76F2"/>
    <w:rsid w:val="14ED69E0"/>
    <w:rsid w:val="15065A4B"/>
    <w:rsid w:val="150B22FD"/>
    <w:rsid w:val="1566178F"/>
    <w:rsid w:val="1572390F"/>
    <w:rsid w:val="157306F8"/>
    <w:rsid w:val="161C4D3B"/>
    <w:rsid w:val="1691330D"/>
    <w:rsid w:val="16BA5EB3"/>
    <w:rsid w:val="16EC3FF7"/>
    <w:rsid w:val="16ED0036"/>
    <w:rsid w:val="1740460A"/>
    <w:rsid w:val="177D3FFD"/>
    <w:rsid w:val="17A4103D"/>
    <w:rsid w:val="17BF4885"/>
    <w:rsid w:val="180D15D9"/>
    <w:rsid w:val="18862408"/>
    <w:rsid w:val="189D783A"/>
    <w:rsid w:val="18CB2806"/>
    <w:rsid w:val="19730CDC"/>
    <w:rsid w:val="19C1335A"/>
    <w:rsid w:val="1A8C112B"/>
    <w:rsid w:val="1AF5570C"/>
    <w:rsid w:val="1B0940FF"/>
    <w:rsid w:val="1B245FF1"/>
    <w:rsid w:val="1B542D7A"/>
    <w:rsid w:val="1B671EE7"/>
    <w:rsid w:val="1B713D95"/>
    <w:rsid w:val="1B99253B"/>
    <w:rsid w:val="1BDE3597"/>
    <w:rsid w:val="1C145920"/>
    <w:rsid w:val="1D9D7EBD"/>
    <w:rsid w:val="1DCD471E"/>
    <w:rsid w:val="1DE02014"/>
    <w:rsid w:val="1E1F5F4A"/>
    <w:rsid w:val="1E2471AC"/>
    <w:rsid w:val="1E4A5D6E"/>
    <w:rsid w:val="1E7D6144"/>
    <w:rsid w:val="1E97083E"/>
    <w:rsid w:val="1EAA5A42"/>
    <w:rsid w:val="1EC024D4"/>
    <w:rsid w:val="1EC12CDB"/>
    <w:rsid w:val="1F2C2D5F"/>
    <w:rsid w:val="1FD60202"/>
    <w:rsid w:val="20036B1D"/>
    <w:rsid w:val="20230A19"/>
    <w:rsid w:val="203171E6"/>
    <w:rsid w:val="2076109D"/>
    <w:rsid w:val="207A1985"/>
    <w:rsid w:val="208512E0"/>
    <w:rsid w:val="20DB7E5B"/>
    <w:rsid w:val="20EC4B3D"/>
    <w:rsid w:val="21141EDE"/>
    <w:rsid w:val="217F0425"/>
    <w:rsid w:val="22146DBF"/>
    <w:rsid w:val="229B128E"/>
    <w:rsid w:val="23072480"/>
    <w:rsid w:val="2318468D"/>
    <w:rsid w:val="234436D4"/>
    <w:rsid w:val="234B71C5"/>
    <w:rsid w:val="236E69A3"/>
    <w:rsid w:val="23B720F8"/>
    <w:rsid w:val="23D4313D"/>
    <w:rsid w:val="23FA3D93"/>
    <w:rsid w:val="240370EB"/>
    <w:rsid w:val="241E2177"/>
    <w:rsid w:val="24763D61"/>
    <w:rsid w:val="248A11F6"/>
    <w:rsid w:val="2499652B"/>
    <w:rsid w:val="24F45147"/>
    <w:rsid w:val="24FB7DC2"/>
    <w:rsid w:val="25604EBD"/>
    <w:rsid w:val="25F018F1"/>
    <w:rsid w:val="266A16A4"/>
    <w:rsid w:val="26A23C23"/>
    <w:rsid w:val="26BB5A5B"/>
    <w:rsid w:val="26CF7F18"/>
    <w:rsid w:val="271E43D1"/>
    <w:rsid w:val="272A2BE1"/>
    <w:rsid w:val="27457A1B"/>
    <w:rsid w:val="274F298A"/>
    <w:rsid w:val="27AF30E6"/>
    <w:rsid w:val="27B525EA"/>
    <w:rsid w:val="27C070A1"/>
    <w:rsid w:val="27F07987"/>
    <w:rsid w:val="28592F15"/>
    <w:rsid w:val="28664E63"/>
    <w:rsid w:val="286E02B3"/>
    <w:rsid w:val="28CD7B64"/>
    <w:rsid w:val="28DA73F5"/>
    <w:rsid w:val="290C6A42"/>
    <w:rsid w:val="290D4568"/>
    <w:rsid w:val="29693E94"/>
    <w:rsid w:val="29B7461D"/>
    <w:rsid w:val="2A59770A"/>
    <w:rsid w:val="2A61691A"/>
    <w:rsid w:val="2A691C72"/>
    <w:rsid w:val="2B3F1F17"/>
    <w:rsid w:val="2B634913"/>
    <w:rsid w:val="2BC95CB5"/>
    <w:rsid w:val="2BE05F54"/>
    <w:rsid w:val="2BFD36BD"/>
    <w:rsid w:val="2C412EA7"/>
    <w:rsid w:val="2C6F395B"/>
    <w:rsid w:val="2C85114F"/>
    <w:rsid w:val="2CFC2BFE"/>
    <w:rsid w:val="2D3622E0"/>
    <w:rsid w:val="2DB11966"/>
    <w:rsid w:val="2F00346B"/>
    <w:rsid w:val="2F3A5A0E"/>
    <w:rsid w:val="2F6F3887"/>
    <w:rsid w:val="2F7A26DC"/>
    <w:rsid w:val="2FF52573"/>
    <w:rsid w:val="2FFC49EC"/>
    <w:rsid w:val="300E30A0"/>
    <w:rsid w:val="302F3016"/>
    <w:rsid w:val="3060005D"/>
    <w:rsid w:val="30734518"/>
    <w:rsid w:val="309D61D2"/>
    <w:rsid w:val="30A60A30"/>
    <w:rsid w:val="30C419B0"/>
    <w:rsid w:val="312406A1"/>
    <w:rsid w:val="313A6116"/>
    <w:rsid w:val="314D028A"/>
    <w:rsid w:val="31CA56EC"/>
    <w:rsid w:val="31CA58BC"/>
    <w:rsid w:val="320F3FCF"/>
    <w:rsid w:val="326878C0"/>
    <w:rsid w:val="3293788C"/>
    <w:rsid w:val="329655CE"/>
    <w:rsid w:val="32D0288E"/>
    <w:rsid w:val="330B7D6A"/>
    <w:rsid w:val="33F70A5C"/>
    <w:rsid w:val="342F79BA"/>
    <w:rsid w:val="34E15227"/>
    <w:rsid w:val="350727B3"/>
    <w:rsid w:val="352C6929"/>
    <w:rsid w:val="3555038B"/>
    <w:rsid w:val="355530AA"/>
    <w:rsid w:val="355C4ACF"/>
    <w:rsid w:val="35835BF5"/>
    <w:rsid w:val="364069EE"/>
    <w:rsid w:val="364631D7"/>
    <w:rsid w:val="36486BE0"/>
    <w:rsid w:val="36585E46"/>
    <w:rsid w:val="368928C2"/>
    <w:rsid w:val="369C73BE"/>
    <w:rsid w:val="36B14785"/>
    <w:rsid w:val="36B64491"/>
    <w:rsid w:val="37261200"/>
    <w:rsid w:val="37D56B99"/>
    <w:rsid w:val="384C3380"/>
    <w:rsid w:val="388A34DF"/>
    <w:rsid w:val="38F92400"/>
    <w:rsid w:val="390371A8"/>
    <w:rsid w:val="397A6507"/>
    <w:rsid w:val="3A1B0FBC"/>
    <w:rsid w:val="3A2E6236"/>
    <w:rsid w:val="3A485400"/>
    <w:rsid w:val="3A79181B"/>
    <w:rsid w:val="3A9E32C3"/>
    <w:rsid w:val="3AA317A9"/>
    <w:rsid w:val="3AEB18CF"/>
    <w:rsid w:val="3B1F29B6"/>
    <w:rsid w:val="3B4B3301"/>
    <w:rsid w:val="3B8E088C"/>
    <w:rsid w:val="3B9971A7"/>
    <w:rsid w:val="3BBD154D"/>
    <w:rsid w:val="3C277297"/>
    <w:rsid w:val="3CBE19AA"/>
    <w:rsid w:val="3CE160B0"/>
    <w:rsid w:val="3D350429"/>
    <w:rsid w:val="3D581DFE"/>
    <w:rsid w:val="3D74650C"/>
    <w:rsid w:val="3EB64B8F"/>
    <w:rsid w:val="3ED96F6F"/>
    <w:rsid w:val="3F362BE0"/>
    <w:rsid w:val="3F5B255F"/>
    <w:rsid w:val="3FC75019"/>
    <w:rsid w:val="40160C78"/>
    <w:rsid w:val="403F72A5"/>
    <w:rsid w:val="40A61BAD"/>
    <w:rsid w:val="40C14C48"/>
    <w:rsid w:val="40C357E1"/>
    <w:rsid w:val="40CD48B1"/>
    <w:rsid w:val="4110723E"/>
    <w:rsid w:val="412F2E76"/>
    <w:rsid w:val="41714B0C"/>
    <w:rsid w:val="417822BF"/>
    <w:rsid w:val="4185223A"/>
    <w:rsid w:val="41B11ADD"/>
    <w:rsid w:val="4208468A"/>
    <w:rsid w:val="42382E85"/>
    <w:rsid w:val="42727382"/>
    <w:rsid w:val="428B0580"/>
    <w:rsid w:val="435766B4"/>
    <w:rsid w:val="43943464"/>
    <w:rsid w:val="43B12268"/>
    <w:rsid w:val="43B50E83"/>
    <w:rsid w:val="43DA60E0"/>
    <w:rsid w:val="44136A7F"/>
    <w:rsid w:val="44354C47"/>
    <w:rsid w:val="444C2D75"/>
    <w:rsid w:val="445A46AE"/>
    <w:rsid w:val="44A02DC8"/>
    <w:rsid w:val="44DC1567"/>
    <w:rsid w:val="44EB01AD"/>
    <w:rsid w:val="464219DE"/>
    <w:rsid w:val="46456C98"/>
    <w:rsid w:val="465810C1"/>
    <w:rsid w:val="465C4205"/>
    <w:rsid w:val="4731516C"/>
    <w:rsid w:val="476E221E"/>
    <w:rsid w:val="477873C1"/>
    <w:rsid w:val="47A125F4"/>
    <w:rsid w:val="47F00E85"/>
    <w:rsid w:val="48961A2D"/>
    <w:rsid w:val="48AE5603"/>
    <w:rsid w:val="48D2515B"/>
    <w:rsid w:val="490B241B"/>
    <w:rsid w:val="49253BE8"/>
    <w:rsid w:val="49355CE9"/>
    <w:rsid w:val="496B6C95"/>
    <w:rsid w:val="49AF17EE"/>
    <w:rsid w:val="4A120B47"/>
    <w:rsid w:val="4A121CE8"/>
    <w:rsid w:val="4A2C5EDB"/>
    <w:rsid w:val="4A2F3D7B"/>
    <w:rsid w:val="4A5D65E5"/>
    <w:rsid w:val="4ACE54AE"/>
    <w:rsid w:val="4AFB026D"/>
    <w:rsid w:val="4B19502E"/>
    <w:rsid w:val="4B386DCB"/>
    <w:rsid w:val="4B6B33C8"/>
    <w:rsid w:val="4BA17066"/>
    <w:rsid w:val="4BD36D77"/>
    <w:rsid w:val="4BEC343B"/>
    <w:rsid w:val="4C39104D"/>
    <w:rsid w:val="4C4B413D"/>
    <w:rsid w:val="4C5025D3"/>
    <w:rsid w:val="4C520D22"/>
    <w:rsid w:val="4C681932"/>
    <w:rsid w:val="4C7F3518"/>
    <w:rsid w:val="4C9612DE"/>
    <w:rsid w:val="4CCA30C9"/>
    <w:rsid w:val="4D981DA3"/>
    <w:rsid w:val="4DB50BA7"/>
    <w:rsid w:val="4DCD7C9F"/>
    <w:rsid w:val="4E444BE8"/>
    <w:rsid w:val="4E712BBD"/>
    <w:rsid w:val="4EAD187E"/>
    <w:rsid w:val="4F0771E0"/>
    <w:rsid w:val="4F0A4599"/>
    <w:rsid w:val="4F2F2C02"/>
    <w:rsid w:val="4FCD1AFA"/>
    <w:rsid w:val="50811214"/>
    <w:rsid w:val="50886851"/>
    <w:rsid w:val="508F770E"/>
    <w:rsid w:val="50B138A7"/>
    <w:rsid w:val="50CC1640"/>
    <w:rsid w:val="50D61560"/>
    <w:rsid w:val="51402E7D"/>
    <w:rsid w:val="514209A3"/>
    <w:rsid w:val="514B35FA"/>
    <w:rsid w:val="51941ED3"/>
    <w:rsid w:val="51A82AC2"/>
    <w:rsid w:val="51B64EEE"/>
    <w:rsid w:val="52043EAB"/>
    <w:rsid w:val="52271947"/>
    <w:rsid w:val="524D13AE"/>
    <w:rsid w:val="529A036B"/>
    <w:rsid w:val="52BB0A0D"/>
    <w:rsid w:val="52CD0741"/>
    <w:rsid w:val="52F80915"/>
    <w:rsid w:val="530F2D2D"/>
    <w:rsid w:val="53585168"/>
    <w:rsid w:val="53DA1367"/>
    <w:rsid w:val="54520EFE"/>
    <w:rsid w:val="546450D5"/>
    <w:rsid w:val="54C47921"/>
    <w:rsid w:val="55530280"/>
    <w:rsid w:val="5604091D"/>
    <w:rsid w:val="5620134C"/>
    <w:rsid w:val="56220AC4"/>
    <w:rsid w:val="56707D61"/>
    <w:rsid w:val="567C5E49"/>
    <w:rsid w:val="568802DB"/>
    <w:rsid w:val="56B37004"/>
    <w:rsid w:val="56D1304A"/>
    <w:rsid w:val="56EE5447"/>
    <w:rsid w:val="57007337"/>
    <w:rsid w:val="570B7A8A"/>
    <w:rsid w:val="574439FA"/>
    <w:rsid w:val="57C253EC"/>
    <w:rsid w:val="57D12A81"/>
    <w:rsid w:val="57D47D04"/>
    <w:rsid w:val="57E970D3"/>
    <w:rsid w:val="582A31B4"/>
    <w:rsid w:val="582E32C0"/>
    <w:rsid w:val="58564D34"/>
    <w:rsid w:val="5870309B"/>
    <w:rsid w:val="58B60A4F"/>
    <w:rsid w:val="59291CF0"/>
    <w:rsid w:val="592A069B"/>
    <w:rsid w:val="59633BAD"/>
    <w:rsid w:val="5967291F"/>
    <w:rsid w:val="59C851A3"/>
    <w:rsid w:val="5A01390B"/>
    <w:rsid w:val="5A1522A3"/>
    <w:rsid w:val="5A1F73FA"/>
    <w:rsid w:val="5A3A7679"/>
    <w:rsid w:val="5A4B6B1B"/>
    <w:rsid w:val="5AAA3E5C"/>
    <w:rsid w:val="5AB83A84"/>
    <w:rsid w:val="5ABF3065"/>
    <w:rsid w:val="5AC42429"/>
    <w:rsid w:val="5AD1347D"/>
    <w:rsid w:val="5AFD256C"/>
    <w:rsid w:val="5B24602D"/>
    <w:rsid w:val="5B301722"/>
    <w:rsid w:val="5B3F7D02"/>
    <w:rsid w:val="5B753B9C"/>
    <w:rsid w:val="5B8322E4"/>
    <w:rsid w:val="5BE12FA3"/>
    <w:rsid w:val="5C5D7B6B"/>
    <w:rsid w:val="5CAC13C7"/>
    <w:rsid w:val="5CE868B8"/>
    <w:rsid w:val="5D086F45"/>
    <w:rsid w:val="5D581FF7"/>
    <w:rsid w:val="5D8866EC"/>
    <w:rsid w:val="5DEC199F"/>
    <w:rsid w:val="5EBF421E"/>
    <w:rsid w:val="5EC25A88"/>
    <w:rsid w:val="5F217E9C"/>
    <w:rsid w:val="5F295690"/>
    <w:rsid w:val="5F526256"/>
    <w:rsid w:val="5F7E529D"/>
    <w:rsid w:val="5F8959EF"/>
    <w:rsid w:val="5FD96977"/>
    <w:rsid w:val="5FEA2932"/>
    <w:rsid w:val="5FEB066F"/>
    <w:rsid w:val="601004E3"/>
    <w:rsid w:val="60111977"/>
    <w:rsid w:val="60A2320D"/>
    <w:rsid w:val="60A305BA"/>
    <w:rsid w:val="60A51873"/>
    <w:rsid w:val="60E50A93"/>
    <w:rsid w:val="60F14E19"/>
    <w:rsid w:val="615F4C5A"/>
    <w:rsid w:val="61882403"/>
    <w:rsid w:val="61891CD7"/>
    <w:rsid w:val="618F68F6"/>
    <w:rsid w:val="61DE2022"/>
    <w:rsid w:val="61E909C7"/>
    <w:rsid w:val="62210161"/>
    <w:rsid w:val="62251744"/>
    <w:rsid w:val="62284829"/>
    <w:rsid w:val="6234499F"/>
    <w:rsid w:val="62B13874"/>
    <w:rsid w:val="630067A0"/>
    <w:rsid w:val="632E0D88"/>
    <w:rsid w:val="63672753"/>
    <w:rsid w:val="639130C5"/>
    <w:rsid w:val="63B3128D"/>
    <w:rsid w:val="6417181C"/>
    <w:rsid w:val="642276C7"/>
    <w:rsid w:val="643E5F3E"/>
    <w:rsid w:val="645779AB"/>
    <w:rsid w:val="64597590"/>
    <w:rsid w:val="64730007"/>
    <w:rsid w:val="6482145A"/>
    <w:rsid w:val="64AD1753"/>
    <w:rsid w:val="64B560B5"/>
    <w:rsid w:val="65B71508"/>
    <w:rsid w:val="65E25E59"/>
    <w:rsid w:val="65E62E7A"/>
    <w:rsid w:val="6653023D"/>
    <w:rsid w:val="66603688"/>
    <w:rsid w:val="671604B0"/>
    <w:rsid w:val="67495959"/>
    <w:rsid w:val="67B13D35"/>
    <w:rsid w:val="67BB5990"/>
    <w:rsid w:val="67FD4597"/>
    <w:rsid w:val="689A0C6D"/>
    <w:rsid w:val="68A45648"/>
    <w:rsid w:val="68DB3A0A"/>
    <w:rsid w:val="68FC5078"/>
    <w:rsid w:val="691E7D9A"/>
    <w:rsid w:val="693F39D2"/>
    <w:rsid w:val="6A0665BA"/>
    <w:rsid w:val="6A9736B6"/>
    <w:rsid w:val="6AAD178D"/>
    <w:rsid w:val="6AD42215"/>
    <w:rsid w:val="6AE606B8"/>
    <w:rsid w:val="6AF45619"/>
    <w:rsid w:val="6B282560"/>
    <w:rsid w:val="6B2E31C1"/>
    <w:rsid w:val="6B436860"/>
    <w:rsid w:val="6B4E646B"/>
    <w:rsid w:val="6B80414A"/>
    <w:rsid w:val="6C2C42D2"/>
    <w:rsid w:val="6C8934D3"/>
    <w:rsid w:val="6CC649E7"/>
    <w:rsid w:val="6CCA7D73"/>
    <w:rsid w:val="6CE92C9D"/>
    <w:rsid w:val="6D062D75"/>
    <w:rsid w:val="6D3276C6"/>
    <w:rsid w:val="6D5C4743"/>
    <w:rsid w:val="6D815128"/>
    <w:rsid w:val="6DCC3677"/>
    <w:rsid w:val="6DE64E4D"/>
    <w:rsid w:val="6E001573"/>
    <w:rsid w:val="6E541B97"/>
    <w:rsid w:val="6E677852"/>
    <w:rsid w:val="6E751F61"/>
    <w:rsid w:val="6EC16F54"/>
    <w:rsid w:val="6F40431D"/>
    <w:rsid w:val="6F5F71DE"/>
    <w:rsid w:val="6F6F261D"/>
    <w:rsid w:val="6F9301E0"/>
    <w:rsid w:val="6FE54EC4"/>
    <w:rsid w:val="6FF9271D"/>
    <w:rsid w:val="70485E9C"/>
    <w:rsid w:val="70570E31"/>
    <w:rsid w:val="705A7660"/>
    <w:rsid w:val="7064403B"/>
    <w:rsid w:val="707E3A5D"/>
    <w:rsid w:val="70A50F3B"/>
    <w:rsid w:val="71241A1C"/>
    <w:rsid w:val="719151A5"/>
    <w:rsid w:val="71DE7E1D"/>
    <w:rsid w:val="71DF2A95"/>
    <w:rsid w:val="720A29C0"/>
    <w:rsid w:val="726F70C9"/>
    <w:rsid w:val="72A03F09"/>
    <w:rsid w:val="73650B85"/>
    <w:rsid w:val="737527F4"/>
    <w:rsid w:val="737C169B"/>
    <w:rsid w:val="73915B7E"/>
    <w:rsid w:val="73A37B39"/>
    <w:rsid w:val="73D95F72"/>
    <w:rsid w:val="742C30C1"/>
    <w:rsid w:val="742E040E"/>
    <w:rsid w:val="743D7CF2"/>
    <w:rsid w:val="746D7236"/>
    <w:rsid w:val="74CA185C"/>
    <w:rsid w:val="7503531D"/>
    <w:rsid w:val="76004806"/>
    <w:rsid w:val="760C31AA"/>
    <w:rsid w:val="764726F5"/>
    <w:rsid w:val="76E41A31"/>
    <w:rsid w:val="77277B70"/>
    <w:rsid w:val="774A385E"/>
    <w:rsid w:val="777728A5"/>
    <w:rsid w:val="77972F48"/>
    <w:rsid w:val="77BF5FFA"/>
    <w:rsid w:val="77D73344"/>
    <w:rsid w:val="77E15F71"/>
    <w:rsid w:val="77EB59F1"/>
    <w:rsid w:val="7800397B"/>
    <w:rsid w:val="782347DB"/>
    <w:rsid w:val="785F3120"/>
    <w:rsid w:val="787E0781"/>
    <w:rsid w:val="790F485A"/>
    <w:rsid w:val="792830BC"/>
    <w:rsid w:val="793313C7"/>
    <w:rsid w:val="79452574"/>
    <w:rsid w:val="796E1A86"/>
    <w:rsid w:val="79AD6A52"/>
    <w:rsid w:val="7A0E71A6"/>
    <w:rsid w:val="7A25063C"/>
    <w:rsid w:val="7A2C189E"/>
    <w:rsid w:val="7A3E66B9"/>
    <w:rsid w:val="7A65732D"/>
    <w:rsid w:val="7AA5597C"/>
    <w:rsid w:val="7B0030BC"/>
    <w:rsid w:val="7B584835"/>
    <w:rsid w:val="7B825FAC"/>
    <w:rsid w:val="7BF5023D"/>
    <w:rsid w:val="7C1039EF"/>
    <w:rsid w:val="7C3F3271"/>
    <w:rsid w:val="7C4B60AF"/>
    <w:rsid w:val="7C684D31"/>
    <w:rsid w:val="7CD4479F"/>
    <w:rsid w:val="7D050953"/>
    <w:rsid w:val="7D4E5373"/>
    <w:rsid w:val="7D574578"/>
    <w:rsid w:val="7D6457E7"/>
    <w:rsid w:val="7E6B3330"/>
    <w:rsid w:val="7E6D084A"/>
    <w:rsid w:val="7E955D07"/>
    <w:rsid w:val="7ED405DD"/>
    <w:rsid w:val="7ED805B3"/>
    <w:rsid w:val="7F141EE0"/>
    <w:rsid w:val="7F6F0306"/>
    <w:rsid w:val="7FC468A4"/>
    <w:rsid w:val="7FCC5758"/>
    <w:rsid w:val="7FE57C62"/>
    <w:rsid w:val="7FF1142C"/>
    <w:rsid w:val="7FFC3356"/>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9"/>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1"/>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3"/>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4"/>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3"/>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2"/>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5"/>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2"/>
    <w:autoRedefine/>
    <w:unhideWhenUsed/>
    <w:qFormat/>
    <w:uiPriority w:val="99"/>
    <w:pPr>
      <w:jc w:val="left"/>
    </w:pPr>
  </w:style>
  <w:style w:type="paragraph" w:styleId="17">
    <w:name w:val="Body Text 3"/>
    <w:basedOn w:val="1"/>
    <w:link w:val="155"/>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
    <w:link w:val="117"/>
    <w:autoRedefine/>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1"/>
    <w:autoRedefine/>
    <w:qFormat/>
    <w:uiPriority w:val="0"/>
    <w:pPr>
      <w:ind w:left="567" w:leftChars="270"/>
    </w:pPr>
    <w:rPr>
      <w:rFonts w:ascii="Times New Roman" w:hAnsi="Times New Roman" w:eastAsia="宋体" w:cs="Times New Roman"/>
      <w:szCs w:val="20"/>
    </w:rPr>
  </w:style>
  <w:style w:type="paragraph" w:styleId="20">
    <w:name w:val="toc 3"/>
    <w:basedOn w:val="1"/>
    <w:next w:val="1"/>
    <w:autoRedefine/>
    <w:unhideWhenUsed/>
    <w:qFormat/>
    <w:uiPriority w:val="39"/>
    <w:pPr>
      <w:tabs>
        <w:tab w:val="right" w:leader="dot" w:pos="10144"/>
      </w:tabs>
      <w:ind w:left="840" w:leftChars="400"/>
    </w:pPr>
  </w:style>
  <w:style w:type="paragraph" w:styleId="21">
    <w:name w:val="Plain Text"/>
    <w:basedOn w:val="1"/>
    <w:link w:val="99"/>
    <w:autoRedefine/>
    <w:qFormat/>
    <w:uiPriority w:val="0"/>
    <w:rPr>
      <w:rFonts w:ascii="宋体" w:hAnsi="Courier New" w:eastAsia="宋体"/>
    </w:rPr>
  </w:style>
  <w:style w:type="paragraph" w:styleId="22">
    <w:name w:val="Date"/>
    <w:basedOn w:val="1"/>
    <w:next w:val="1"/>
    <w:link w:val="107"/>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0"/>
    <w:autoRedefine/>
    <w:qFormat/>
    <w:uiPriority w:val="0"/>
    <w:pPr>
      <w:tabs>
        <w:tab w:val="left" w:pos="8640"/>
      </w:tabs>
      <w:ind w:left="1260"/>
    </w:pPr>
    <w:rPr>
      <w:rFonts w:ascii="宋体" w:hAnsi="Times New Roman" w:eastAsia="宋体" w:cs="Times New Roman"/>
      <w:szCs w:val="20"/>
    </w:rPr>
  </w:style>
  <w:style w:type="paragraph" w:styleId="24">
    <w:name w:val="Balloon Text"/>
    <w:basedOn w:val="1"/>
    <w:link w:val="73"/>
    <w:autoRedefine/>
    <w:qFormat/>
    <w:uiPriority w:val="0"/>
    <w:rPr>
      <w:rFonts w:ascii="Times New Roman" w:hAnsi="Times New Roman" w:eastAsia="宋体" w:cs="Times New Roman"/>
      <w:sz w:val="18"/>
      <w:szCs w:val="18"/>
    </w:rPr>
  </w:style>
  <w:style w:type="paragraph" w:styleId="25">
    <w:name w:val="footer"/>
    <w:basedOn w:val="1"/>
    <w:link w:val="77"/>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9"/>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autoRedefine/>
    <w:unhideWhenUsed/>
    <w:qFormat/>
    <w:uiPriority w:val="39"/>
  </w:style>
  <w:style w:type="paragraph" w:styleId="28">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3"/>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semiHidden/>
    <w:unhideWhenUsed/>
    <w:qFormat/>
    <w:uiPriority w:val="39"/>
    <w:pPr>
      <w:ind w:left="420" w:leftChars="200"/>
    </w:pPr>
  </w:style>
  <w:style w:type="paragraph" w:styleId="31">
    <w:name w:val="Body Text 2"/>
    <w:basedOn w:val="1"/>
    <w:link w:val="142"/>
    <w:autoRedefine/>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2"/>
    <w:autoRedefine/>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7"/>
    <w:autoRedefine/>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09"/>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18"/>
    <w:link w:val="200"/>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8">
    <w:name w:val="Table Grid"/>
    <w:basedOn w:val="3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0"/>
    <w:rPr>
      <w:b/>
      <w:bCs/>
    </w:rPr>
  </w:style>
  <w:style w:type="character" w:styleId="41">
    <w:name w:val="FollowedHyperlink"/>
    <w:autoRedefine/>
    <w:unhideWhenUsed/>
    <w:qFormat/>
    <w:uiPriority w:val="99"/>
    <w:rPr>
      <w:color w:val="954F72"/>
      <w:u w:val="single"/>
    </w:rPr>
  </w:style>
  <w:style w:type="character" w:styleId="42">
    <w:name w:val="Emphasis"/>
    <w:autoRedefine/>
    <w:qFormat/>
    <w:uiPriority w:val="0"/>
    <w:rPr>
      <w:i/>
      <w:iCs/>
    </w:rPr>
  </w:style>
  <w:style w:type="character" w:styleId="43">
    <w:name w:val="Hyperlink"/>
    <w:autoRedefine/>
    <w:qFormat/>
    <w:uiPriority w:val="99"/>
    <w:rPr>
      <w:rFonts w:hint="default" w:ascii="Arial" w:hAnsi="Arial" w:cs="Arial"/>
      <w:color w:val="000000"/>
      <w:sz w:val="20"/>
      <w:szCs w:val="20"/>
      <w:u w:val="none"/>
    </w:rPr>
  </w:style>
  <w:style w:type="character" w:styleId="44">
    <w:name w:val="annotation reference"/>
    <w:autoRedefine/>
    <w:qFormat/>
    <w:uiPriority w:val="99"/>
    <w:rPr>
      <w:sz w:val="21"/>
      <w:szCs w:val="21"/>
    </w:rPr>
  </w:style>
  <w:style w:type="paragraph" w:customStyle="1" w:styleId="45">
    <w:name w:val="首行缩进"/>
    <w:basedOn w:val="1"/>
    <w:autoRedefine/>
    <w:qFormat/>
    <w:uiPriority w:val="0"/>
    <w:pPr>
      <w:ind w:firstLine="480" w:firstLineChars="200"/>
    </w:pPr>
    <w:rPr>
      <w:lang w:val="zh-CN"/>
    </w:rPr>
  </w:style>
  <w:style w:type="character" w:customStyle="1" w:styleId="46">
    <w:name w:val="标题 1 字符"/>
    <w:basedOn w:val="39"/>
    <w:autoRedefine/>
    <w:qFormat/>
    <w:uiPriority w:val="0"/>
    <w:rPr>
      <w:b/>
      <w:bCs/>
      <w:kern w:val="44"/>
      <w:sz w:val="44"/>
      <w:szCs w:val="44"/>
    </w:rPr>
  </w:style>
  <w:style w:type="character" w:customStyle="1" w:styleId="47">
    <w:name w:val="标题 2 Char"/>
    <w:basedOn w:val="39"/>
    <w:link w:val="4"/>
    <w:autoRedefine/>
    <w:qFormat/>
    <w:uiPriority w:val="0"/>
    <w:rPr>
      <w:rFonts w:ascii="宋体" w:hAnsi="Calibri" w:eastAsia="宋体" w:cs="Times New Roman"/>
      <w:kern w:val="0"/>
      <w:sz w:val="24"/>
      <w:szCs w:val="24"/>
    </w:rPr>
  </w:style>
  <w:style w:type="character" w:customStyle="1" w:styleId="48">
    <w:name w:val="标题 3 字符"/>
    <w:basedOn w:val="39"/>
    <w:autoRedefine/>
    <w:qFormat/>
    <w:uiPriority w:val="0"/>
    <w:rPr>
      <w:b/>
      <w:bCs/>
      <w:sz w:val="32"/>
      <w:szCs w:val="32"/>
    </w:rPr>
  </w:style>
  <w:style w:type="character" w:customStyle="1" w:styleId="49">
    <w:name w:val="标题 4 Char1"/>
    <w:basedOn w:val="39"/>
    <w:link w:val="6"/>
    <w:autoRedefine/>
    <w:qFormat/>
    <w:uiPriority w:val="9"/>
    <w:rPr>
      <w:rFonts w:ascii="Arial" w:hAnsi="Arial" w:eastAsia="黑体" w:cs="Times New Roman"/>
      <w:b/>
      <w:bCs/>
      <w:kern w:val="0"/>
      <w:sz w:val="28"/>
      <w:szCs w:val="28"/>
    </w:rPr>
  </w:style>
  <w:style w:type="character" w:customStyle="1" w:styleId="50">
    <w:name w:val="标题 5 字符"/>
    <w:basedOn w:val="39"/>
    <w:autoRedefine/>
    <w:qFormat/>
    <w:uiPriority w:val="9"/>
    <w:rPr>
      <w:b/>
      <w:bCs/>
      <w:sz w:val="28"/>
      <w:szCs w:val="28"/>
    </w:rPr>
  </w:style>
  <w:style w:type="character" w:customStyle="1" w:styleId="51">
    <w:name w:val="标题 6 字符"/>
    <w:basedOn w:val="39"/>
    <w:autoRedefine/>
    <w:qFormat/>
    <w:uiPriority w:val="0"/>
    <w:rPr>
      <w:rFonts w:asciiTheme="majorHAnsi" w:hAnsiTheme="majorHAnsi" w:eastAsiaTheme="majorEastAsia" w:cstheme="majorBidi"/>
      <w:b/>
      <w:bCs/>
      <w:sz w:val="24"/>
      <w:szCs w:val="24"/>
    </w:rPr>
  </w:style>
  <w:style w:type="character" w:customStyle="1" w:styleId="52">
    <w:name w:val="标题 7 Char"/>
    <w:basedOn w:val="39"/>
    <w:link w:val="10"/>
    <w:autoRedefine/>
    <w:qFormat/>
    <w:uiPriority w:val="9"/>
    <w:rPr>
      <w:rFonts w:ascii="Times New Roman" w:hAnsi="Calibri" w:eastAsia="黑体" w:cs="Times New Roman"/>
      <w:b/>
      <w:bCs/>
      <w:kern w:val="0"/>
      <w:sz w:val="28"/>
      <w:szCs w:val="24"/>
    </w:rPr>
  </w:style>
  <w:style w:type="character" w:customStyle="1" w:styleId="53">
    <w:name w:val="标题 8 Char"/>
    <w:basedOn w:val="39"/>
    <w:link w:val="11"/>
    <w:qFormat/>
    <w:uiPriority w:val="9"/>
    <w:rPr>
      <w:rFonts w:ascii="Times New Roman" w:hAnsi="Calibri" w:eastAsia="黑体" w:cs="Times New Roman"/>
      <w:b/>
      <w:kern w:val="0"/>
      <w:sz w:val="28"/>
      <w:szCs w:val="24"/>
    </w:rPr>
  </w:style>
  <w:style w:type="character" w:customStyle="1" w:styleId="54">
    <w:name w:val="标题 9 Char"/>
    <w:basedOn w:val="39"/>
    <w:link w:val="12"/>
    <w:autoRedefine/>
    <w:qFormat/>
    <w:uiPriority w:val="9"/>
    <w:rPr>
      <w:rFonts w:ascii="Times New Roman" w:hAnsi="Calibri" w:eastAsia="黑体" w:cs="Times New Roman"/>
      <w:b/>
      <w:kern w:val="0"/>
      <w:sz w:val="28"/>
      <w:szCs w:val="24"/>
    </w:rPr>
  </w:style>
  <w:style w:type="character" w:customStyle="1" w:styleId="55">
    <w:name w:val="正文文本缩进 字符"/>
    <w:autoRedefine/>
    <w:qFormat/>
    <w:uiPriority w:val="0"/>
    <w:rPr>
      <w:rFonts w:ascii="Times New Roman" w:hAnsi="Times New Roman" w:eastAsia="宋体" w:cs="Times New Roman"/>
      <w:szCs w:val="20"/>
    </w:rPr>
  </w:style>
  <w:style w:type="character" w:customStyle="1" w:styleId="56">
    <w:name w:val="普通(网站) Char"/>
    <w:autoRedefine/>
    <w:qFormat/>
    <w:locked/>
    <w:uiPriority w:val="0"/>
    <w:rPr>
      <w:rFonts w:ascii="宋体" w:hAnsi="宋体"/>
      <w:sz w:val="15"/>
      <w:szCs w:val="15"/>
    </w:rPr>
  </w:style>
  <w:style w:type="character" w:customStyle="1" w:styleId="57">
    <w:name w:val="标题 Char"/>
    <w:link w:val="34"/>
    <w:autoRedefine/>
    <w:qFormat/>
    <w:uiPriority w:val="10"/>
    <w:rPr>
      <w:rFonts w:ascii="等线 Light" w:hAnsi="等线 Light" w:eastAsia="仿宋"/>
      <w:b/>
      <w:bCs/>
      <w:sz w:val="28"/>
      <w:szCs w:val="32"/>
    </w:rPr>
  </w:style>
  <w:style w:type="character" w:customStyle="1" w:styleId="58">
    <w:name w:val="日期 Char"/>
    <w:autoRedefine/>
    <w:semiHidden/>
    <w:qFormat/>
    <w:uiPriority w:val="99"/>
    <w:rPr>
      <w:kern w:val="2"/>
      <w:sz w:val="21"/>
    </w:rPr>
  </w:style>
  <w:style w:type="character" w:customStyle="1" w:styleId="59">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0">
    <w:name w:val="批注文字 Char"/>
    <w:autoRedefine/>
    <w:semiHidden/>
    <w:qFormat/>
    <w:uiPriority w:val="99"/>
    <w:rPr>
      <w:kern w:val="2"/>
      <w:sz w:val="21"/>
    </w:rPr>
  </w:style>
  <w:style w:type="character" w:customStyle="1" w:styleId="61">
    <w:name w:val="正文缩进2格 Char"/>
    <w:link w:val="62"/>
    <w:autoRedefine/>
    <w:qFormat/>
    <w:uiPriority w:val="0"/>
    <w:rPr>
      <w:rFonts w:ascii="仿宋_GB2312" w:hAnsi="宋体" w:eastAsia="仿宋_GB2312"/>
      <w:sz w:val="31"/>
      <w:szCs w:val="28"/>
    </w:rPr>
  </w:style>
  <w:style w:type="paragraph" w:customStyle="1" w:styleId="62">
    <w:name w:val="正文缩进2格"/>
    <w:basedOn w:val="1"/>
    <w:link w:val="61"/>
    <w:autoRedefine/>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autoRedefine/>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autoRedefine/>
    <w:semiHidden/>
    <w:qFormat/>
    <w:uiPriority w:val="99"/>
    <w:rPr>
      <w:rFonts w:ascii="宋体" w:hAnsi="Calibri" w:eastAsia="宋体" w:cs="Times New Roman"/>
      <w:kern w:val="0"/>
      <w:sz w:val="18"/>
      <w:szCs w:val="18"/>
    </w:rPr>
  </w:style>
  <w:style w:type="character" w:customStyle="1" w:styleId="66">
    <w:name w:val="List Paragraph Char"/>
    <w:link w:val="67"/>
    <w:autoRedefine/>
    <w:qFormat/>
    <w:uiPriority w:val="34"/>
    <w:rPr>
      <w:rFonts w:ascii="Calibri" w:hAnsi="Calibri"/>
    </w:rPr>
  </w:style>
  <w:style w:type="paragraph" w:customStyle="1" w:styleId="67">
    <w:name w:val="列出段落1"/>
    <w:basedOn w:val="1"/>
    <w:link w:val="66"/>
    <w:autoRedefine/>
    <w:qFormat/>
    <w:uiPriority w:val="34"/>
    <w:pPr>
      <w:ind w:firstLine="420" w:firstLineChars="200"/>
    </w:pPr>
    <w:rPr>
      <w:rFonts w:ascii="Calibri" w:hAnsi="Calibri"/>
    </w:rPr>
  </w:style>
  <w:style w:type="character" w:customStyle="1" w:styleId="68">
    <w:name w:val="标书正文 字符"/>
    <w:link w:val="69"/>
    <w:autoRedefine/>
    <w:qFormat/>
    <w:uiPriority w:val="0"/>
    <w:rPr>
      <w:rFonts w:ascii="Calibri" w:hAnsi="Calibri" w:eastAsia="仿宋"/>
      <w:sz w:val="24"/>
      <w:szCs w:val="21"/>
    </w:rPr>
  </w:style>
  <w:style w:type="paragraph" w:customStyle="1" w:styleId="69">
    <w:name w:val="标书正文"/>
    <w:basedOn w:val="1"/>
    <w:link w:val="68"/>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autoRedefine/>
    <w:semiHidden/>
    <w:qFormat/>
    <w:uiPriority w:val="99"/>
    <w:rPr>
      <w:rFonts w:ascii="Times New Roman" w:hAnsi="Times New Roman"/>
      <w:kern w:val="2"/>
      <w:sz w:val="24"/>
      <w:szCs w:val="24"/>
    </w:rPr>
  </w:style>
  <w:style w:type="character" w:customStyle="1" w:styleId="71">
    <w:name w:val="页脚 Char"/>
    <w:autoRedefine/>
    <w:qFormat/>
    <w:uiPriority w:val="0"/>
    <w:rPr>
      <w:kern w:val="2"/>
      <w:sz w:val="18"/>
      <w:szCs w:val="18"/>
    </w:rPr>
  </w:style>
  <w:style w:type="character" w:customStyle="1" w:styleId="72">
    <w:name w:val="neir1"/>
    <w:autoRedefine/>
    <w:qFormat/>
    <w:uiPriority w:val="0"/>
    <w:rPr>
      <w:rFonts w:hint="default" w:ascii="ˎ̥" w:hAnsi="ˎ̥"/>
      <w:color w:val="333333"/>
      <w:sz w:val="21"/>
      <w:szCs w:val="21"/>
      <w:u w:val="none"/>
    </w:rPr>
  </w:style>
  <w:style w:type="character" w:customStyle="1" w:styleId="73">
    <w:name w:val="批注框文本 Char1"/>
    <w:link w:val="24"/>
    <w:autoRedefine/>
    <w:qFormat/>
    <w:uiPriority w:val="0"/>
    <w:rPr>
      <w:rFonts w:ascii="Times New Roman" w:hAnsi="Times New Roman" w:eastAsia="宋体" w:cs="Times New Roman"/>
      <w:sz w:val="18"/>
      <w:szCs w:val="18"/>
    </w:rPr>
  </w:style>
  <w:style w:type="character" w:customStyle="1" w:styleId="74">
    <w:name w:val="正文文本 3 字符1"/>
    <w:autoRedefine/>
    <w:semiHidden/>
    <w:qFormat/>
    <w:uiPriority w:val="99"/>
    <w:rPr>
      <w:rFonts w:ascii="宋体" w:hAnsi="Calibri" w:eastAsia="宋体" w:cs="Times New Roman"/>
      <w:kern w:val="0"/>
      <w:sz w:val="16"/>
      <w:szCs w:val="16"/>
    </w:rPr>
  </w:style>
  <w:style w:type="character" w:customStyle="1" w:styleId="75">
    <w:name w:val="正文文本 字符3"/>
    <w:autoRedefine/>
    <w:semiHidden/>
    <w:qFormat/>
    <w:uiPriority w:val="99"/>
    <w:rPr>
      <w:rFonts w:ascii="宋体" w:hAnsi="Calibri" w:eastAsia="宋体" w:cs="Times New Roman"/>
      <w:kern w:val="0"/>
      <w:sz w:val="24"/>
      <w:szCs w:val="24"/>
    </w:rPr>
  </w:style>
  <w:style w:type="character" w:customStyle="1" w:styleId="76">
    <w:name w:val="日期 字符1"/>
    <w:autoRedefine/>
    <w:semiHidden/>
    <w:qFormat/>
    <w:uiPriority w:val="99"/>
    <w:rPr>
      <w:rFonts w:ascii="宋体" w:hAnsi="Calibri" w:eastAsia="宋体" w:cs="Times New Roman"/>
      <w:kern w:val="0"/>
      <w:sz w:val="24"/>
      <w:szCs w:val="24"/>
    </w:rPr>
  </w:style>
  <w:style w:type="character" w:customStyle="1" w:styleId="77">
    <w:name w:val="页脚 Char2"/>
    <w:link w:val="25"/>
    <w:autoRedefine/>
    <w:qFormat/>
    <w:uiPriority w:val="99"/>
    <w:rPr>
      <w:rFonts w:ascii="宋体" w:eastAsia="宋体"/>
      <w:sz w:val="18"/>
      <w:szCs w:val="18"/>
    </w:rPr>
  </w:style>
  <w:style w:type="character" w:customStyle="1" w:styleId="78">
    <w:name w:val="吉奥正文 Char"/>
    <w:link w:val="79"/>
    <w:autoRedefine/>
    <w:qFormat/>
    <w:locked/>
    <w:uiPriority w:val="0"/>
    <w:rPr>
      <w:rFonts w:eastAsia="仿宋_GB2312"/>
      <w:sz w:val="28"/>
    </w:rPr>
  </w:style>
  <w:style w:type="paragraph" w:customStyle="1" w:styleId="79">
    <w:name w:val="吉奥正文"/>
    <w:basedOn w:val="1"/>
    <w:link w:val="78"/>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autoRedefine/>
    <w:qFormat/>
    <w:uiPriority w:val="99"/>
    <w:rPr>
      <w:rFonts w:ascii="宋体" w:hAnsi="Times New Roman" w:eastAsia="宋体" w:cs="Times New Roman"/>
      <w:kern w:val="0"/>
      <w:sz w:val="18"/>
      <w:szCs w:val="18"/>
    </w:rPr>
  </w:style>
  <w:style w:type="character" w:customStyle="1" w:styleId="81">
    <w:name w:val="标题 字符"/>
    <w:autoRedefine/>
    <w:qFormat/>
    <w:uiPriority w:val="10"/>
    <w:rPr>
      <w:rFonts w:ascii="Cambria" w:hAnsi="Cambria" w:eastAsia="宋体" w:cs="Times New Roman"/>
      <w:b/>
      <w:bCs/>
      <w:kern w:val="0"/>
      <w:sz w:val="32"/>
      <w:szCs w:val="32"/>
      <w:lang w:val="en-US" w:eastAsia="zh-CN"/>
    </w:rPr>
  </w:style>
  <w:style w:type="character" w:customStyle="1" w:styleId="82">
    <w:name w:val="题注 Char"/>
    <w:link w:val="14"/>
    <w:autoRedefine/>
    <w:qFormat/>
    <w:uiPriority w:val="0"/>
    <w:rPr>
      <w:rFonts w:ascii="Arial" w:hAnsi="Arial" w:eastAsia="黑体" w:cs="Arial"/>
    </w:rPr>
  </w:style>
  <w:style w:type="character" w:customStyle="1" w:styleId="83">
    <w:name w:val="批注文字 字符2"/>
    <w:autoRedefine/>
    <w:qFormat/>
    <w:uiPriority w:val="99"/>
    <w:rPr>
      <w:rFonts w:ascii="宋体" w:hAnsi="Times New Roman" w:eastAsia="宋体" w:cs="Times New Roman"/>
      <w:kern w:val="0"/>
      <w:sz w:val="24"/>
      <w:szCs w:val="24"/>
    </w:rPr>
  </w:style>
  <w:style w:type="character" w:customStyle="1" w:styleId="84">
    <w:name w:val="批注主题 字符1"/>
    <w:autoRedefine/>
    <w:semiHidden/>
    <w:qFormat/>
    <w:uiPriority w:val="99"/>
    <w:rPr>
      <w:rFonts w:ascii="宋体" w:hAnsi="Calibri" w:eastAsia="宋体" w:cs="Times New Roman"/>
      <w:b/>
      <w:bCs/>
      <w:kern w:val="0"/>
      <w:sz w:val="24"/>
      <w:szCs w:val="24"/>
    </w:rPr>
  </w:style>
  <w:style w:type="character" w:customStyle="1" w:styleId="85">
    <w:name w:val="HTML 预设格式 Char"/>
    <w:link w:val="32"/>
    <w:autoRedefine/>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5"/>
    <w:link w:val="86"/>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autoRedefine/>
    <w:semiHidden/>
    <w:qFormat/>
    <w:uiPriority w:val="99"/>
    <w:rPr>
      <w:rFonts w:ascii="Courier New" w:hAnsi="Courier New" w:eastAsia="宋体" w:cs="Courier New"/>
      <w:kern w:val="0"/>
      <w:sz w:val="20"/>
      <w:szCs w:val="20"/>
    </w:rPr>
  </w:style>
  <w:style w:type="character" w:customStyle="1" w:styleId="89">
    <w:name w:val="批注文字 字符1"/>
    <w:autoRedefine/>
    <w:qFormat/>
    <w:uiPriority w:val="0"/>
    <w:rPr>
      <w:rFonts w:eastAsia="宋体"/>
      <w:kern w:val="2"/>
      <w:sz w:val="24"/>
      <w:szCs w:val="24"/>
      <w:lang w:val="en-US" w:eastAsia="zh-CN" w:bidi="ar-SA"/>
    </w:rPr>
  </w:style>
  <w:style w:type="character" w:customStyle="1" w:styleId="90">
    <w:name w:val="正文文本缩进 字符2"/>
    <w:autoRedefine/>
    <w:semiHidden/>
    <w:qFormat/>
    <w:uiPriority w:val="99"/>
    <w:rPr>
      <w:rFonts w:ascii="宋体" w:hAnsi="Calibri" w:eastAsia="宋体" w:cs="Times New Roman"/>
      <w:kern w:val="0"/>
      <w:sz w:val="24"/>
      <w:szCs w:val="24"/>
    </w:rPr>
  </w:style>
  <w:style w:type="character" w:customStyle="1" w:styleId="91">
    <w:name w:val="正文文本缩进 Char1"/>
    <w:link w:val="19"/>
    <w:autoRedefine/>
    <w:qFormat/>
    <w:uiPriority w:val="0"/>
    <w:rPr>
      <w:rFonts w:ascii="Times New Roman" w:hAnsi="Times New Roman" w:eastAsia="宋体" w:cs="Times New Roman"/>
      <w:szCs w:val="20"/>
    </w:rPr>
  </w:style>
  <w:style w:type="character" w:customStyle="1" w:styleId="92">
    <w:name w:val="普通(网站) Char1"/>
    <w:link w:val="33"/>
    <w:autoRedefine/>
    <w:qFormat/>
    <w:locked/>
    <w:uiPriority w:val="0"/>
    <w:rPr>
      <w:rFonts w:ascii="宋体" w:hAnsi="宋体"/>
      <w:sz w:val="15"/>
      <w:szCs w:val="15"/>
    </w:rPr>
  </w:style>
  <w:style w:type="character" w:customStyle="1" w:styleId="93">
    <w:name w:val="模板正文 Char"/>
    <w:link w:val="9"/>
    <w:autoRedefine/>
    <w:qFormat/>
    <w:uiPriority w:val="0"/>
    <w:rPr>
      <w:rFonts w:ascii="宋体" w:eastAsia="仿宋"/>
      <w:sz w:val="24"/>
      <w:szCs w:val="21"/>
    </w:rPr>
  </w:style>
  <w:style w:type="character" w:customStyle="1" w:styleId="94">
    <w:name w:val="批注主题 Char"/>
    <w:autoRedefine/>
    <w:semiHidden/>
    <w:qFormat/>
    <w:uiPriority w:val="99"/>
    <w:rPr>
      <w:b/>
      <w:bCs/>
      <w:kern w:val="2"/>
      <w:sz w:val="21"/>
    </w:rPr>
  </w:style>
  <w:style w:type="character" w:customStyle="1" w:styleId="95">
    <w:name w:val="正文文本 Char1"/>
    <w:autoRedefine/>
    <w:qFormat/>
    <w:uiPriority w:val="0"/>
    <w:rPr>
      <w:rFonts w:ascii="宋体" w:hAnsi="Times New Roman" w:eastAsia="宋体" w:cs="Times New Roman"/>
      <w:kern w:val="0"/>
      <w:sz w:val="24"/>
      <w:szCs w:val="24"/>
    </w:rPr>
  </w:style>
  <w:style w:type="character" w:customStyle="1" w:styleId="96">
    <w:name w:val="正文文本 字符1"/>
    <w:autoRedefine/>
    <w:qFormat/>
    <w:uiPriority w:val="99"/>
    <w:rPr>
      <w:rFonts w:ascii="宋体" w:eastAsia="宋体"/>
      <w:b/>
      <w:bCs/>
      <w:sz w:val="84"/>
      <w:szCs w:val="84"/>
      <w:lang w:val="zh-CN"/>
    </w:rPr>
  </w:style>
  <w:style w:type="character" w:customStyle="1" w:styleId="97">
    <w:name w:val="标题 1 Char"/>
    <w:autoRedefine/>
    <w:qFormat/>
    <w:uiPriority w:val="9"/>
    <w:rPr>
      <w:rFonts w:ascii="宋体" w:hAnsi="Times New Roman" w:eastAsia="宋体" w:cs="Times New Roman"/>
      <w:kern w:val="0"/>
      <w:sz w:val="24"/>
      <w:szCs w:val="24"/>
    </w:rPr>
  </w:style>
  <w:style w:type="character" w:customStyle="1" w:styleId="98">
    <w:name w:val="正文文本 Char2"/>
    <w:autoRedefine/>
    <w:qFormat/>
    <w:uiPriority w:val="99"/>
    <w:rPr>
      <w:rFonts w:ascii="宋体" w:eastAsia="宋体"/>
      <w:b/>
      <w:bCs/>
      <w:sz w:val="84"/>
      <w:szCs w:val="84"/>
      <w:lang w:val="zh-CN"/>
    </w:rPr>
  </w:style>
  <w:style w:type="character" w:customStyle="1" w:styleId="99">
    <w:name w:val="纯文本 Char2"/>
    <w:link w:val="21"/>
    <w:autoRedefine/>
    <w:qFormat/>
    <w:uiPriority w:val="0"/>
    <w:rPr>
      <w:rFonts w:ascii="宋体" w:hAnsi="Courier New" w:eastAsia="宋体"/>
    </w:rPr>
  </w:style>
  <w:style w:type="character" w:customStyle="1" w:styleId="100">
    <w:name w:val="正文文本缩进 2 Char"/>
    <w:link w:val="23"/>
    <w:autoRedefine/>
    <w:qFormat/>
    <w:uiPriority w:val="0"/>
    <w:rPr>
      <w:rFonts w:ascii="宋体" w:hAnsi="Times New Roman" w:eastAsia="宋体" w:cs="Times New Roman"/>
      <w:szCs w:val="20"/>
    </w:rPr>
  </w:style>
  <w:style w:type="character" w:customStyle="1" w:styleId="101">
    <w:name w:val="HTML Markup"/>
    <w:autoRedefine/>
    <w:qFormat/>
    <w:uiPriority w:val="0"/>
    <w:rPr>
      <w:vanish/>
      <w:color w:val="FF0000"/>
    </w:rPr>
  </w:style>
  <w:style w:type="character" w:customStyle="1" w:styleId="102">
    <w:name w:val="页眉 Char1"/>
    <w:autoRedefine/>
    <w:qFormat/>
    <w:uiPriority w:val="0"/>
    <w:rPr>
      <w:rFonts w:ascii="宋体" w:hAnsi="Times New Roman" w:eastAsia="宋体" w:cs="Times New Roman"/>
      <w:kern w:val="0"/>
      <w:sz w:val="18"/>
      <w:szCs w:val="18"/>
    </w:rPr>
  </w:style>
  <w:style w:type="character" w:customStyle="1" w:styleId="103">
    <w:name w:val="font11"/>
    <w:autoRedefine/>
    <w:qFormat/>
    <w:uiPriority w:val="0"/>
    <w:rPr>
      <w:rFonts w:hint="eastAsia" w:ascii="宋体" w:hAnsi="宋体" w:eastAsia="宋体" w:cs="宋体"/>
      <w:color w:val="FF0000"/>
      <w:sz w:val="22"/>
      <w:szCs w:val="22"/>
      <w:u w:val="none"/>
    </w:rPr>
  </w:style>
  <w:style w:type="character" w:customStyle="1" w:styleId="104">
    <w:name w:val="style61"/>
    <w:autoRedefine/>
    <w:qFormat/>
    <w:uiPriority w:val="0"/>
    <w:rPr>
      <w:b/>
      <w:bCs/>
    </w:rPr>
  </w:style>
  <w:style w:type="character" w:customStyle="1" w:styleId="105">
    <w:name w:val="表头文字 Char"/>
    <w:link w:val="106"/>
    <w:autoRedefine/>
    <w:qFormat/>
    <w:uiPriority w:val="0"/>
    <w:rPr>
      <w:rFonts w:eastAsia="仿宋_GB2312"/>
      <w:b/>
      <w:sz w:val="28"/>
      <w:szCs w:val="21"/>
    </w:rPr>
  </w:style>
  <w:style w:type="paragraph" w:customStyle="1" w:styleId="106">
    <w:name w:val="表头文字"/>
    <w:basedOn w:val="1"/>
    <w:link w:val="105"/>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2"/>
    <w:autoRedefine/>
    <w:qFormat/>
    <w:uiPriority w:val="99"/>
    <w:rPr>
      <w:rFonts w:ascii="宋体" w:hAnsi="Times New Roman" w:eastAsia="宋体" w:cs="Times New Roman"/>
      <w:b/>
      <w:bCs/>
      <w:szCs w:val="21"/>
      <w:lang w:val="zh-CN"/>
    </w:rPr>
  </w:style>
  <w:style w:type="character" w:customStyle="1" w:styleId="108">
    <w:name w:val="纯文本 Char1"/>
    <w:autoRedefine/>
    <w:qFormat/>
    <w:uiPriority w:val="0"/>
    <w:rPr>
      <w:rFonts w:ascii="宋体" w:hAnsi="Courier New" w:eastAsia="宋体" w:cs="Courier New"/>
      <w:kern w:val="0"/>
      <w:szCs w:val="21"/>
    </w:rPr>
  </w:style>
  <w:style w:type="character" w:customStyle="1" w:styleId="109">
    <w:name w:val="批注主题 Char1"/>
    <w:link w:val="35"/>
    <w:autoRedefine/>
    <w:qFormat/>
    <w:uiPriority w:val="99"/>
    <w:rPr>
      <w:rFonts w:ascii="宋体" w:hAnsi="Times New Roman" w:eastAsia="宋体" w:cs="Times New Roman"/>
      <w:b/>
      <w:bCs/>
      <w:kern w:val="0"/>
      <w:sz w:val="24"/>
      <w:szCs w:val="24"/>
    </w:rPr>
  </w:style>
  <w:style w:type="character" w:customStyle="1" w:styleId="110">
    <w:name w:val="纯文本 字符"/>
    <w:autoRedefine/>
    <w:qFormat/>
    <w:uiPriority w:val="99"/>
    <w:rPr>
      <w:rFonts w:ascii="宋体" w:hAnsi="Courier New" w:eastAsia="宋体" w:cs="Times New Roman"/>
      <w:szCs w:val="20"/>
      <w:lang w:val="en-US" w:eastAsia="zh-CN"/>
    </w:rPr>
  </w:style>
  <w:style w:type="character" w:customStyle="1" w:styleId="111">
    <w:name w:val="font71"/>
    <w:autoRedefine/>
    <w:qFormat/>
    <w:uiPriority w:val="0"/>
    <w:rPr>
      <w:rFonts w:hint="eastAsia" w:ascii="宋体" w:hAnsi="宋体" w:eastAsia="宋体" w:cs="宋体"/>
      <w:color w:val="FF0000"/>
      <w:sz w:val="18"/>
      <w:szCs w:val="18"/>
      <w:u w:val="none"/>
    </w:rPr>
  </w:style>
  <w:style w:type="character" w:customStyle="1" w:styleId="112">
    <w:name w:val="font21"/>
    <w:autoRedefine/>
    <w:qFormat/>
    <w:uiPriority w:val="0"/>
    <w:rPr>
      <w:rFonts w:hint="eastAsia" w:ascii="宋体" w:hAnsi="宋体" w:eastAsia="宋体" w:cs="宋体"/>
      <w:b/>
      <w:color w:val="000000"/>
      <w:sz w:val="21"/>
      <w:szCs w:val="21"/>
      <w:u w:val="none"/>
    </w:rPr>
  </w:style>
  <w:style w:type="character" w:customStyle="1" w:styleId="113">
    <w:name w:val="纯文本 字符3"/>
    <w:autoRedefine/>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Char"/>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Char3"/>
    <w:link w:val="18"/>
    <w:qFormat/>
    <w:uiPriority w:val="99"/>
    <w:rPr>
      <w:rFonts w:ascii="宋体" w:eastAsia="宋体"/>
      <w:b/>
      <w:bCs/>
      <w:sz w:val="84"/>
      <w:szCs w:val="84"/>
      <w:lang w:val="zh-CN"/>
    </w:rPr>
  </w:style>
  <w:style w:type="character" w:customStyle="1" w:styleId="118">
    <w:name w:val="标题 5 Char"/>
    <w:autoRedefine/>
    <w:semiHidden/>
    <w:qFormat/>
    <w:uiPriority w:val="9"/>
    <w:rPr>
      <w:b/>
      <w:bCs/>
      <w:kern w:val="2"/>
      <w:sz w:val="28"/>
      <w:szCs w:val="28"/>
    </w:rPr>
  </w:style>
  <w:style w:type="character" w:customStyle="1" w:styleId="119">
    <w:name w:val="页眉 Char2"/>
    <w:link w:val="26"/>
    <w:qFormat/>
    <w:uiPriority w:val="99"/>
    <w:rPr>
      <w:rFonts w:ascii="宋体" w:eastAsia="宋体"/>
      <w:sz w:val="18"/>
      <w:szCs w:val="18"/>
    </w:rPr>
  </w:style>
  <w:style w:type="character" w:customStyle="1" w:styleId="120">
    <w:name w:val="表格文字 Char"/>
    <w:link w:val="121"/>
    <w:autoRedefine/>
    <w:qFormat/>
    <w:uiPriority w:val="0"/>
    <w:rPr>
      <w:rFonts w:eastAsia="仿宋_GB2312"/>
      <w:sz w:val="28"/>
      <w:szCs w:val="24"/>
    </w:rPr>
  </w:style>
  <w:style w:type="paragraph" w:customStyle="1" w:styleId="121">
    <w:name w:val="表格文字"/>
    <w:basedOn w:val="1"/>
    <w:link w:val="120"/>
    <w:autoRedefine/>
    <w:qFormat/>
    <w:uiPriority w:val="0"/>
    <w:rPr>
      <w:rFonts w:eastAsia="仿宋_GB2312"/>
      <w:sz w:val="28"/>
      <w:szCs w:val="24"/>
    </w:rPr>
  </w:style>
  <w:style w:type="character" w:customStyle="1" w:styleId="122">
    <w:name w:val="标题 字符2"/>
    <w:autoRedefine/>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autoRedefine/>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Char"/>
    <w:link w:val="128"/>
    <w:autoRedefine/>
    <w:qFormat/>
    <w:uiPriority w:val="34"/>
    <w:rPr>
      <w:kern w:val="2"/>
      <w:sz w:val="21"/>
      <w:szCs w:val="22"/>
    </w:rPr>
  </w:style>
  <w:style w:type="paragraph"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autoRedefine/>
    <w:semiHidden/>
    <w:qFormat/>
    <w:uiPriority w:val="99"/>
    <w:rPr>
      <w:rFonts w:ascii="宋体" w:hAnsi="Calibri" w:eastAsia="宋体" w:cs="Times New Roman"/>
      <w:kern w:val="0"/>
      <w:sz w:val="18"/>
      <w:szCs w:val="18"/>
    </w:rPr>
  </w:style>
  <w:style w:type="character" w:customStyle="1" w:styleId="131">
    <w:name w:val="标题 5 Char1"/>
    <w:link w:val="7"/>
    <w:autoRedefine/>
    <w:qFormat/>
    <w:uiPriority w:val="9"/>
    <w:rPr>
      <w:rFonts w:ascii="宋体" w:hAnsi="Calibri" w:eastAsia="宋体" w:cs="Times New Roman"/>
      <w:b/>
      <w:bCs/>
      <w:kern w:val="0"/>
      <w:sz w:val="28"/>
      <w:szCs w:val="28"/>
    </w:rPr>
  </w:style>
  <w:style w:type="character" w:customStyle="1" w:styleId="132">
    <w:name w:val="keyfeatures1"/>
    <w:autoRedefine/>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autoRedefine/>
    <w:qFormat/>
    <w:uiPriority w:val="0"/>
    <w:rPr>
      <w:rFonts w:ascii="宋体" w:hAnsi="宋体" w:eastAsia="宋体"/>
      <w:b/>
      <w:kern w:val="2"/>
      <w:sz w:val="21"/>
      <w:szCs w:val="24"/>
      <w:lang w:val="en-US" w:eastAsia="zh-CN" w:bidi="ar-SA"/>
    </w:rPr>
  </w:style>
  <w:style w:type="character" w:customStyle="1" w:styleId="135">
    <w:name w:val="批注文字 字符3"/>
    <w:autoRedefine/>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autoRedefine/>
    <w:qFormat/>
    <w:uiPriority w:val="0"/>
    <w:rPr>
      <w:rFonts w:ascii="宋体" w:hAnsi="Courier New" w:eastAsia="宋体" w:cs="Times New Roman"/>
      <w:szCs w:val="20"/>
    </w:rPr>
  </w:style>
  <w:style w:type="character" w:customStyle="1" w:styleId="141">
    <w:name w:val="标题 6 Char"/>
    <w:link w:val="8"/>
    <w:autoRedefine/>
    <w:qFormat/>
    <w:uiPriority w:val="9"/>
    <w:rPr>
      <w:rFonts w:ascii="Times New Roman" w:hAnsi="Calibri" w:eastAsia="黑体" w:cs="Times New Roman"/>
      <w:b/>
      <w:bCs/>
      <w:kern w:val="0"/>
      <w:sz w:val="28"/>
      <w:szCs w:val="24"/>
    </w:rPr>
  </w:style>
  <w:style w:type="character" w:customStyle="1" w:styleId="142">
    <w:name w:val="正文文本 2 Char"/>
    <w:link w:val="31"/>
    <w:autoRedefine/>
    <w:qFormat/>
    <w:uiPriority w:val="0"/>
    <w:rPr>
      <w:rFonts w:ascii="Arial" w:hAnsi="Arial" w:eastAsia="宋体" w:cs="Times New Roman"/>
      <w:color w:val="000000"/>
      <w:szCs w:val="24"/>
    </w:rPr>
  </w:style>
  <w:style w:type="character" w:customStyle="1" w:styleId="143">
    <w:name w:val="标题 3 Char"/>
    <w:link w:val="5"/>
    <w:autoRedefine/>
    <w:qFormat/>
    <w:uiPriority w:val="0"/>
    <w:rPr>
      <w:rFonts w:ascii="宋体" w:hAnsi="Calibri" w:eastAsia="宋体" w:cs="Times New Roman"/>
      <w:kern w:val="0"/>
      <w:sz w:val="24"/>
      <w:szCs w:val="24"/>
    </w:rPr>
  </w:style>
  <w:style w:type="character" w:customStyle="1" w:styleId="144">
    <w:name w:val="正文文本缩进 2 字符1"/>
    <w:autoRedefine/>
    <w:semiHidden/>
    <w:qFormat/>
    <w:uiPriority w:val="99"/>
    <w:rPr>
      <w:rFonts w:ascii="宋体" w:hAnsi="Calibri" w:eastAsia="宋体" w:cs="Times New Roman"/>
      <w:kern w:val="0"/>
      <w:sz w:val="24"/>
      <w:szCs w:val="24"/>
    </w:rPr>
  </w:style>
  <w:style w:type="character" w:customStyle="1" w:styleId="145">
    <w:name w:val="正文文本缩进 3 字符1"/>
    <w:autoRedefine/>
    <w:semiHidden/>
    <w:qFormat/>
    <w:uiPriority w:val="99"/>
    <w:rPr>
      <w:rFonts w:ascii="宋体" w:hAnsi="Calibri" w:eastAsia="宋体" w:cs="Times New Roman"/>
      <w:kern w:val="0"/>
      <w:sz w:val="16"/>
      <w:szCs w:val="16"/>
    </w:rPr>
  </w:style>
  <w:style w:type="character" w:customStyle="1" w:styleId="146">
    <w:name w:val="正文文本 2 字符1"/>
    <w:autoRedefine/>
    <w:semiHidden/>
    <w:qFormat/>
    <w:uiPriority w:val="99"/>
    <w:rPr>
      <w:rFonts w:ascii="宋体" w:hAnsi="Calibri" w:eastAsia="宋体" w:cs="Times New Roman"/>
      <w:kern w:val="0"/>
      <w:sz w:val="24"/>
      <w:szCs w:val="24"/>
    </w:rPr>
  </w:style>
  <w:style w:type="character" w:customStyle="1" w:styleId="147">
    <w:name w:val="eschoolnr"/>
    <w:autoRedefine/>
    <w:qFormat/>
    <w:uiPriority w:val="0"/>
    <w:rPr>
      <w:sz w:val="23"/>
      <w:szCs w:val="23"/>
    </w:rPr>
  </w:style>
  <w:style w:type="character" w:customStyle="1" w:styleId="148">
    <w:name w:val="访问过的超链接1"/>
    <w:autoRedefine/>
    <w:qFormat/>
    <w:uiPriority w:val="0"/>
    <w:rPr>
      <w:rFonts w:ascii="Arial" w:hAnsi="Arial" w:cs="Arial"/>
      <w:color w:val="000000"/>
      <w:sz w:val="20"/>
      <w:szCs w:val="20"/>
      <w:u w:val="none"/>
    </w:rPr>
  </w:style>
  <w:style w:type="character" w:customStyle="1" w:styleId="149">
    <w:name w:val="标题 1 Char1"/>
    <w:link w:val="3"/>
    <w:autoRedefine/>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autoRedefine/>
    <w:semiHidden/>
    <w:qFormat/>
    <w:uiPriority w:val="99"/>
    <w:rPr>
      <w:kern w:val="2"/>
      <w:sz w:val="18"/>
      <w:szCs w:val="18"/>
    </w:rPr>
  </w:style>
  <w:style w:type="character" w:customStyle="1" w:styleId="152">
    <w:name w:val="DAS正文 Char"/>
    <w:autoRedefine/>
    <w:qFormat/>
    <w:uiPriority w:val="0"/>
    <w:rPr>
      <w:rFonts w:ascii="Verdana" w:hAnsi="Verdana" w:eastAsia="宋体"/>
      <w:kern w:val="2"/>
      <w:sz w:val="21"/>
      <w:szCs w:val="21"/>
      <w:lang w:val="en-US" w:eastAsia="zh-CN" w:bidi="ar-SA"/>
    </w:rPr>
  </w:style>
  <w:style w:type="character" w:customStyle="1" w:styleId="153">
    <w:name w:val="正文文本缩进 3 Char"/>
    <w:link w:val="29"/>
    <w:qFormat/>
    <w:uiPriority w:val="0"/>
    <w:rPr>
      <w:rFonts w:ascii="宋体" w:hAnsi="Times New Roman" w:eastAsia="宋体" w:cs="Times New Roman"/>
      <w:kern w:val="0"/>
      <w:sz w:val="24"/>
      <w:szCs w:val="24"/>
    </w:rPr>
  </w:style>
  <w:style w:type="character" w:customStyle="1" w:styleId="154">
    <w:name w:val="页眉 Char"/>
    <w:autoRedefine/>
    <w:qFormat/>
    <w:uiPriority w:val="99"/>
    <w:rPr>
      <w:kern w:val="2"/>
      <w:sz w:val="18"/>
      <w:szCs w:val="18"/>
    </w:rPr>
  </w:style>
  <w:style w:type="character" w:customStyle="1" w:styleId="155">
    <w:name w:val="正文文本 3 Char"/>
    <w:link w:val="17"/>
    <w:autoRedefine/>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autoRedefine/>
    <w:qFormat/>
    <w:uiPriority w:val="0"/>
    <w:rPr>
      <w:rFonts w:ascii="宋体"/>
      <w:sz w:val="24"/>
      <w:szCs w:val="24"/>
    </w:rPr>
  </w:style>
  <w:style w:type="paragraph" w:customStyle="1" w:styleId="158">
    <w:name w:val="彩色列表 - 强调文字颜色 11"/>
    <w:basedOn w:val="1"/>
    <w:link w:val="157"/>
    <w:autoRedefine/>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9"/>
    <w:semiHidden/>
    <w:qFormat/>
    <w:uiPriority w:val="99"/>
    <w:rPr>
      <w:rFonts w:hAnsi="Courier New" w:cs="Courier New" w:asciiTheme="minorEastAsia"/>
    </w:rPr>
  </w:style>
  <w:style w:type="character" w:customStyle="1" w:styleId="162">
    <w:name w:val="批注文字 Char2"/>
    <w:basedOn w:val="39"/>
    <w:link w:val="16"/>
    <w:semiHidden/>
    <w:qFormat/>
    <w:uiPriority w:val="99"/>
  </w:style>
  <w:style w:type="character" w:customStyle="1" w:styleId="163">
    <w:name w:val="批注主题 字符2"/>
    <w:basedOn w:val="162"/>
    <w:semiHidden/>
    <w:qFormat/>
    <w:uiPriority w:val="99"/>
    <w:rPr>
      <w:b/>
      <w:bCs/>
    </w:rPr>
  </w:style>
  <w:style w:type="character" w:customStyle="1" w:styleId="164">
    <w:name w:val="标题 字符3"/>
    <w:basedOn w:val="39"/>
    <w:qFormat/>
    <w:uiPriority w:val="10"/>
    <w:rPr>
      <w:rFonts w:asciiTheme="majorHAnsi" w:hAnsiTheme="majorHAnsi" w:eastAsiaTheme="majorEastAsia" w:cstheme="majorBidi"/>
      <w:b/>
      <w:bCs/>
      <w:sz w:val="32"/>
      <w:szCs w:val="32"/>
    </w:rPr>
  </w:style>
  <w:style w:type="character" w:customStyle="1" w:styleId="165">
    <w:name w:val="正文文本缩进 字符3"/>
    <w:basedOn w:val="39"/>
    <w:semiHidden/>
    <w:qFormat/>
    <w:uiPriority w:val="99"/>
  </w:style>
  <w:style w:type="character" w:customStyle="1" w:styleId="166">
    <w:name w:val="正文文本 字符4"/>
    <w:basedOn w:val="39"/>
    <w:semiHidden/>
    <w:qFormat/>
    <w:uiPriority w:val="99"/>
  </w:style>
  <w:style w:type="character" w:customStyle="1" w:styleId="167">
    <w:name w:val="正文文本缩进 3 字符2"/>
    <w:basedOn w:val="39"/>
    <w:autoRedefine/>
    <w:semiHidden/>
    <w:qFormat/>
    <w:uiPriority w:val="99"/>
    <w:rPr>
      <w:sz w:val="16"/>
      <w:szCs w:val="16"/>
    </w:rPr>
  </w:style>
  <w:style w:type="character" w:customStyle="1" w:styleId="168">
    <w:name w:val="页眉 字符2"/>
    <w:basedOn w:val="39"/>
    <w:semiHidden/>
    <w:qFormat/>
    <w:uiPriority w:val="99"/>
    <w:rPr>
      <w:sz w:val="18"/>
      <w:szCs w:val="18"/>
    </w:rPr>
  </w:style>
  <w:style w:type="character" w:customStyle="1" w:styleId="169">
    <w:name w:val="批注框文本 字符2"/>
    <w:basedOn w:val="39"/>
    <w:semiHidden/>
    <w:qFormat/>
    <w:uiPriority w:val="99"/>
    <w:rPr>
      <w:sz w:val="18"/>
      <w:szCs w:val="18"/>
    </w:rPr>
  </w:style>
  <w:style w:type="character" w:customStyle="1" w:styleId="170">
    <w:name w:val="HTML 预设格式 字符2"/>
    <w:basedOn w:val="39"/>
    <w:semiHidden/>
    <w:qFormat/>
    <w:uiPriority w:val="99"/>
    <w:rPr>
      <w:rFonts w:ascii="Courier New" w:hAnsi="Courier New" w:cs="Courier New"/>
      <w:sz w:val="20"/>
      <w:szCs w:val="20"/>
    </w:rPr>
  </w:style>
  <w:style w:type="character" w:customStyle="1" w:styleId="171">
    <w:name w:val="页脚 字符2"/>
    <w:basedOn w:val="39"/>
    <w:semiHidden/>
    <w:qFormat/>
    <w:uiPriority w:val="99"/>
    <w:rPr>
      <w:sz w:val="18"/>
      <w:szCs w:val="18"/>
    </w:rPr>
  </w:style>
  <w:style w:type="character" w:customStyle="1" w:styleId="172">
    <w:name w:val="正文文本缩进 2 字符2"/>
    <w:basedOn w:val="39"/>
    <w:semiHidden/>
    <w:qFormat/>
    <w:uiPriority w:val="99"/>
  </w:style>
  <w:style w:type="character" w:customStyle="1" w:styleId="173">
    <w:name w:val="正文文本 3 字符2"/>
    <w:basedOn w:val="39"/>
    <w:semiHidden/>
    <w:qFormat/>
    <w:uiPriority w:val="99"/>
    <w:rPr>
      <w:sz w:val="16"/>
      <w:szCs w:val="16"/>
    </w:rPr>
  </w:style>
  <w:style w:type="character" w:customStyle="1" w:styleId="174">
    <w:name w:val="正文文本 2 字符2"/>
    <w:basedOn w:val="39"/>
    <w:semiHidden/>
    <w:qFormat/>
    <w:uiPriority w:val="99"/>
  </w:style>
  <w:style w:type="paragraph" w:customStyle="1" w:styleId="175">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9"/>
    <w:autoRedefine/>
    <w:semiHidden/>
    <w:qFormat/>
    <w:uiPriority w:val="99"/>
    <w:rPr>
      <w:rFonts w:ascii="Microsoft YaHei UI" w:eastAsia="Microsoft YaHei UI"/>
      <w:sz w:val="18"/>
      <w:szCs w:val="18"/>
    </w:rPr>
  </w:style>
  <w:style w:type="character" w:customStyle="1" w:styleId="178">
    <w:name w:val="日期 字符2"/>
    <w:basedOn w:val="39"/>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autoRedefine/>
    <w:semiHidden/>
    <w:qFormat/>
    <w:uiPriority w:val="99"/>
    <w:rPr>
      <w:rFonts w:ascii="宋体" w:hAnsi="Calibri" w:eastAsia="宋体" w:cs="Times New Roman"/>
      <w:sz w:val="24"/>
      <w:szCs w:val="24"/>
      <w:lang w:val="en-US" w:eastAsia="zh-CN" w:bidi="ar-SA"/>
    </w:rPr>
  </w:style>
  <w:style w:type="paragraph" w:customStyle="1" w:styleId="182">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18"/>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autoRedefine/>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36"/>
    <w:semiHidden/>
    <w:qFormat/>
    <w:uiPriority w:val="99"/>
    <w:rPr>
      <w:rFonts w:ascii="宋体" w:eastAsia="宋体"/>
      <w:b w:val="0"/>
      <w:bCs w:val="0"/>
      <w:sz w:val="84"/>
      <w:szCs w:val="84"/>
      <w:lang w:val="zh-CN"/>
    </w:rPr>
  </w:style>
  <w:style w:type="paragraph" w:customStyle="1" w:styleId="201">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2">
    <w:name w:val="列出段落"/>
    <w:basedOn w:val="1"/>
    <w:qFormat/>
    <w:uiPriority w:val="0"/>
    <w:pPr>
      <w:keepNext w:val="0"/>
      <w:keepLines w:val="0"/>
      <w:widowControl w:val="0"/>
      <w:suppressLineNumbers w:val="0"/>
      <w:autoSpaceDE w:val="0"/>
      <w:autoSpaceDN w:val="0"/>
      <w:adjustRightInd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8580</Words>
  <Characters>8806</Characters>
  <Lines>1</Lines>
  <Paragraphs>1</Paragraphs>
  <TotalTime>3</TotalTime>
  <ScaleCrop>false</ScaleCrop>
  <LinksUpToDate>false</LinksUpToDate>
  <CharactersWithSpaces>8864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严霞</cp:lastModifiedBy>
  <cp:lastPrinted>2024-10-30T09:46:00Z</cp:lastPrinted>
  <dcterms:modified xsi:type="dcterms:W3CDTF">2025-08-29T06:55:25Z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9EA1196335114D5D85C42E0A6A0C003B_13</vt:lpwstr>
  </property>
  <property fmtid="{D5CDD505-2E9C-101B-9397-08002B2CF9AE}" pid="4" name="KSOTemplateDocerSaveRecord">
    <vt:lpwstr>eyJoZGlkIjoiYjM3MDlmZjc5NjhlNzcxODhhNDYyMDVhNmE1MTU0NzgiLCJ1c2VySWQiOiI0MzczNTY5ODQifQ==</vt:lpwstr>
  </property>
</Properties>
</file>