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0" w:name="_Toc12014"/>
      <w:bookmarkStart w:id="1" w:name="_Toc486167706"/>
      <w:bookmarkStart w:id="2" w:name="_Toc27939_WPSOffice_Level1"/>
      <w:bookmarkStart w:id="3" w:name="_Toc29361"/>
      <w:bookmarkStart w:id="4" w:name="_Toc142508358"/>
      <w:bookmarkStart w:id="5" w:name="_Toc28218"/>
      <w:bookmarkStart w:id="6" w:name="_Toc450662891"/>
      <w:bookmarkStart w:id="7" w:name="_Toc4217"/>
      <w:r>
        <w:rPr>
          <w:rFonts w:hint="eastAsia" w:ascii="宋体" w:hAnsi="宋体" w:eastAsia="宋体" w:cs="宋体"/>
          <w:b/>
          <w:bCs/>
          <w:color w:val="auto"/>
          <w:kern w:val="44"/>
          <w:sz w:val="32"/>
          <w:szCs w:val="32"/>
          <w:highlight w:val="none"/>
          <w:lang w:val="zh-CN"/>
        </w:rPr>
        <w:t>东莞市水务集团净水有限公司2026年</w:t>
      </w:r>
      <w:r>
        <w:rPr>
          <w:rFonts w:hint="eastAsia" w:ascii="宋体" w:hAnsi="宋体" w:eastAsia="宋体" w:cs="宋体"/>
          <w:b/>
          <w:bCs/>
          <w:color w:val="auto"/>
          <w:kern w:val="44"/>
          <w:sz w:val="32"/>
          <w:szCs w:val="32"/>
          <w:highlight w:val="none"/>
          <w:lang w:val="en-US" w:eastAsia="zh-CN"/>
        </w:rPr>
        <w:t>-2027年</w:t>
      </w:r>
      <w:r>
        <w:rPr>
          <w:rFonts w:hint="eastAsia" w:ascii="宋体" w:hAnsi="宋体" w:eastAsia="宋体" w:cs="宋体"/>
          <w:b/>
          <w:bCs/>
          <w:color w:val="auto"/>
          <w:kern w:val="44"/>
          <w:sz w:val="32"/>
          <w:szCs w:val="32"/>
          <w:highlight w:val="none"/>
          <w:lang w:val="zh-CN"/>
        </w:rPr>
        <w:t>生产药剂液体乙酸钠采购项目用户需求书</w:t>
      </w:r>
      <w:bookmarkEnd w:id="0"/>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bookmarkStart w:id="8" w:name="_Toc25536"/>
      <w:bookmarkStart w:id="9" w:name="_Toc1127"/>
      <w:r>
        <w:rPr>
          <w:rFonts w:hint="eastAsia" w:ascii="宋体" w:hAnsi="宋体" w:eastAsia="宋体" w:cs="宋体"/>
          <w:b/>
          <w:color w:val="auto"/>
          <w:sz w:val="21"/>
          <w:szCs w:val="21"/>
          <w:highlight w:val="none"/>
        </w:rPr>
        <w:t>基本招标要求</w:t>
      </w:r>
      <w:bookmarkEnd w:id="8"/>
      <w:bookmarkEnd w:id="9"/>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w:t>
      </w:r>
      <w:r>
        <w:rPr>
          <w:rFonts w:hint="eastAsia" w:ascii="宋体" w:hAnsi="宋体" w:eastAsia="宋体" w:cs="宋体"/>
          <w:color w:val="auto"/>
          <w:sz w:val="21"/>
          <w:szCs w:val="21"/>
          <w:highlight w:val="none"/>
          <w:lang w:eastAsia="zh-CN"/>
        </w:rPr>
        <w:t>液体乙酸钠</w:t>
      </w:r>
      <w:r>
        <w:rPr>
          <w:rFonts w:hint="eastAsia" w:ascii="宋体" w:hAnsi="宋体" w:eastAsia="宋体" w:cs="宋体"/>
          <w:color w:val="auto"/>
          <w:sz w:val="21"/>
          <w:szCs w:val="21"/>
          <w:highlight w:val="none"/>
        </w:rPr>
        <w:t>。根据各运营项目进水水质及工艺情况，需使用</w:t>
      </w:r>
      <w:r>
        <w:rPr>
          <w:rFonts w:hint="eastAsia" w:ascii="宋体" w:hAnsi="宋体" w:eastAsia="宋体" w:cs="宋体"/>
          <w:color w:val="auto"/>
          <w:sz w:val="21"/>
          <w:szCs w:val="21"/>
          <w:highlight w:val="none"/>
          <w:lang w:eastAsia="zh-CN"/>
        </w:rPr>
        <w:t>液体乙酸钠</w:t>
      </w:r>
      <w:r>
        <w:rPr>
          <w:rFonts w:hint="eastAsia" w:ascii="宋体" w:hAnsi="宋体" w:eastAsia="宋体" w:cs="宋体"/>
          <w:color w:val="auto"/>
          <w:sz w:val="21"/>
          <w:szCs w:val="21"/>
          <w:highlight w:val="none"/>
        </w:rPr>
        <w:t>（以下简称“生产药剂”）作为外加碳源。具体供货项目和供货量根据实际运营需求，并结合招标人运营项目使用中标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提供的药剂样品所做的小试、项目实际使用效果确定。</w:t>
      </w:r>
    </w:p>
    <w:p>
      <w:pPr>
        <w:pStyle w:val="129"/>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10"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10"/>
    </w:p>
    <w:p>
      <w:pPr>
        <w:spacing w:line="360" w:lineRule="auto"/>
        <w:ind w:firstLine="420" w:firstLineChars="200"/>
        <w:rPr>
          <w:rFonts w:ascii="宋体" w:hAnsi="宋体" w:eastAsia="宋体" w:cs="宋体"/>
          <w:color w:val="auto"/>
          <w:szCs w:val="21"/>
        </w:rPr>
      </w:pPr>
      <w:bookmarkStart w:id="11" w:name="_Toc5339"/>
      <w:bookmarkStart w:id="12" w:name="_Toc6720"/>
      <w:r>
        <w:rPr>
          <w:rFonts w:hint="eastAsia" w:ascii="宋体" w:hAnsi="宋体" w:eastAsia="宋体" w:cs="宋体"/>
          <w:color w:val="auto"/>
          <w:szCs w:val="21"/>
        </w:rPr>
        <w:t>供货期自202</w:t>
      </w:r>
      <w:r>
        <w:rPr>
          <w:rFonts w:hint="eastAsia" w:ascii="宋体" w:hAnsi="宋体" w:eastAsia="宋体" w:cs="宋体"/>
          <w:color w:val="auto"/>
          <w:szCs w:val="21"/>
          <w:lang w:val="en-US" w:eastAsia="zh-CN"/>
        </w:rPr>
        <w:t>6</w:t>
      </w:r>
      <w:r>
        <w:rPr>
          <w:rFonts w:hint="eastAsia" w:ascii="宋体" w:hAnsi="宋体" w:eastAsia="宋体" w:cs="宋体"/>
          <w:color w:val="auto"/>
          <w:szCs w:val="21"/>
        </w:rPr>
        <w:t>年1月1日或合同签订之日起（以较晚时间为准）至202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日止</w:t>
      </w:r>
      <w:r>
        <w:rPr>
          <w:rFonts w:hint="eastAsia" w:ascii="宋体" w:hAnsi="宋体" w:eastAsia="宋体" w:cs="宋体"/>
          <w:color w:val="auto"/>
          <w:szCs w:val="21"/>
          <w:lang w:eastAsia="zh-CN"/>
        </w:rPr>
        <w:t>。中标人</w:t>
      </w:r>
      <w:r>
        <w:rPr>
          <w:rFonts w:hint="eastAsia" w:ascii="宋体" w:hAnsi="宋体" w:eastAsia="宋体" w:cs="宋体"/>
          <w:color w:val="auto"/>
          <w:szCs w:val="21"/>
        </w:rPr>
        <w:t>收到招标人通知后必须无条件按照招标人的要求开始供货</w:t>
      </w:r>
      <w:r>
        <w:rPr>
          <w:rFonts w:ascii="宋体" w:hAnsi="宋体" w:eastAsia="宋体" w:cs="宋体"/>
          <w:color w:val="auto"/>
          <w:szCs w:val="21"/>
        </w:rPr>
        <w:t>。</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w:t>
      </w:r>
      <w:bookmarkEnd w:id="11"/>
      <w:bookmarkEnd w:id="12"/>
    </w:p>
    <w:p>
      <w:pPr>
        <w:numPr>
          <w:ilvl w:val="0"/>
          <w:numId w:val="2"/>
        </w:num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lang w:eastAsia="zh-CN"/>
        </w:rPr>
        <w:t>液体乙酸钠</w:t>
      </w:r>
    </w:p>
    <w:p>
      <w:pPr>
        <w:numPr>
          <w:ilvl w:val="0"/>
          <w:numId w:val="2"/>
        </w:num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暂定采购数量：</w:t>
      </w:r>
      <w:r>
        <w:rPr>
          <w:rFonts w:hint="eastAsia" w:ascii="宋体" w:hAnsi="宋体" w:eastAsia="宋体" w:cs="宋体"/>
          <w:color w:val="auto"/>
          <w:szCs w:val="21"/>
          <w:highlight w:val="none"/>
        </w:rPr>
        <w:t>19075.818</w:t>
      </w:r>
      <w:r>
        <w:rPr>
          <w:rFonts w:hint="eastAsia" w:ascii="宋体" w:hAnsi="宋体" w:eastAsia="宋体" w:cs="宋体"/>
          <w:color w:val="auto"/>
          <w:sz w:val="21"/>
          <w:szCs w:val="21"/>
          <w:highlight w:val="none"/>
        </w:rPr>
        <w:t>吨</w:t>
      </w:r>
    </w:p>
    <w:p>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★3、本次采购涉及招标人运营项目及采购数量为暂定，仅为便于计算暂定总合同价使用，不作为招标人最终采购数量的保证</w:t>
      </w:r>
      <w:bookmarkStart w:id="13" w:name="OLE_LINK40"/>
      <w:bookmarkStart w:id="14" w:name="OLE_LINK24"/>
      <w:bookmarkStart w:id="15" w:name="OLE_LINK38"/>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13"/>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16" w:name="OLE_LINK33"/>
      <w:r>
        <w:rPr>
          <w:rFonts w:hint="eastAsia" w:ascii="宋体" w:hAnsi="宋体" w:eastAsia="宋体" w:cs="宋体"/>
          <w:b/>
          <w:color w:val="auto"/>
          <w:sz w:val="21"/>
          <w:szCs w:val="21"/>
          <w:highlight w:val="none"/>
        </w:rPr>
        <w:t>新增合同主体</w:t>
      </w:r>
      <w:bookmarkEnd w:id="16"/>
      <w:r>
        <w:rPr>
          <w:rFonts w:hint="eastAsia" w:ascii="宋体" w:hAnsi="宋体" w:eastAsia="宋体" w:cs="宋体"/>
          <w:b/>
          <w:color w:val="auto"/>
          <w:sz w:val="21"/>
          <w:szCs w:val="21"/>
          <w:highlight w:val="none"/>
        </w:rPr>
        <w:t>需要额外供货，</w:t>
      </w:r>
      <w:bookmarkStart w:id="17" w:name="OLE_LINK1"/>
      <w:r>
        <w:rPr>
          <w:rFonts w:hint="eastAsia" w:ascii="宋体" w:hAnsi="宋体" w:eastAsia="宋体" w:cs="宋体"/>
          <w:b/>
          <w:color w:val="auto"/>
          <w:sz w:val="21"/>
          <w:szCs w:val="21"/>
          <w:highlight w:val="none"/>
          <w:lang w:val="en-US" w:eastAsia="zh-CN"/>
        </w:rPr>
        <w:t>招标人权属子公司</w:t>
      </w:r>
      <w:bookmarkEnd w:id="17"/>
      <w:r>
        <w:rPr>
          <w:rFonts w:hint="eastAsia" w:ascii="宋体" w:hAnsi="宋体" w:eastAsia="宋体" w:cs="宋体"/>
          <w:b/>
          <w:color w:val="auto"/>
          <w:sz w:val="21"/>
          <w:szCs w:val="21"/>
          <w:highlight w:val="none"/>
          <w:lang w:val="en-US" w:eastAsia="zh-CN"/>
        </w:rPr>
        <w:t>、</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bookmarkEnd w:id="14"/>
      <w:r>
        <w:rPr>
          <w:rFonts w:hint="eastAsia" w:ascii="宋体" w:hAnsi="宋体" w:eastAsia="宋体" w:cs="宋体"/>
          <w:b/>
          <w:color w:val="auto"/>
          <w:sz w:val="21"/>
          <w:szCs w:val="21"/>
          <w:highlight w:val="none"/>
        </w:rPr>
        <w:t>。</w:t>
      </w:r>
      <w:bookmarkEnd w:id="15"/>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根据项目工艺及性质，结合小试及项目实际使用效果选用，招标人的实际需求数量以招标人运营项目每次的供货通知为准，在供货期内</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不得因招标人实际采购数量的减少或增加而要求提供任何形式的补偿或赔偿，或要求招标人按暂定采购数量采购相应货物。</w:t>
      </w:r>
    </w:p>
    <w:p>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★4、主要技术指标</w:t>
      </w:r>
    </w:p>
    <w:p>
      <w:pPr>
        <w:spacing w:line="360" w:lineRule="auto"/>
        <w:ind w:firstLine="422" w:firstLineChars="200"/>
        <w:outlineLvl w:val="9"/>
        <w:rPr>
          <w:rFonts w:hint="eastAsia" w:ascii="宋体" w:hAnsi="宋体" w:eastAsia="宋体" w:cs="宋体"/>
          <w:b/>
          <w:color w:val="auto"/>
          <w:sz w:val="21"/>
          <w:szCs w:val="21"/>
          <w:highlight w:val="none"/>
        </w:rPr>
      </w:pPr>
      <w:bookmarkStart w:id="18" w:name="_Toc12795"/>
      <w:bookmarkStart w:id="19" w:name="_Toc7208"/>
      <w:r>
        <w:rPr>
          <w:rFonts w:hint="eastAsia" w:ascii="宋体" w:hAnsi="宋体" w:eastAsia="宋体" w:cs="宋体"/>
          <w:b/>
          <w:color w:val="auto"/>
          <w:sz w:val="21"/>
          <w:szCs w:val="21"/>
          <w:highlight w:val="none"/>
        </w:rPr>
        <w:t>（1）</w:t>
      </w:r>
      <w:r>
        <w:rPr>
          <w:rFonts w:hint="eastAsia" w:ascii="宋体" w:hAnsi="宋体" w:eastAsia="宋体" w:cs="宋体"/>
          <w:b/>
          <w:color w:val="auto"/>
          <w:szCs w:val="21"/>
          <w:highlight w:val="none"/>
        </w:rPr>
        <w:t>液体乙酸钠产品外观为无色透明液体。</w:t>
      </w:r>
      <w:bookmarkEnd w:id="18"/>
      <w:bookmarkEnd w:id="19"/>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Cs w:val="21"/>
          <w:highlight w:val="none"/>
        </w:rPr>
        <w:t>液体乙酸钠必须符合《生化法处理废（污）水用碳源 乙酸钠》(HG/T 5959-2021 )Ⅱ型产品质量及检测标准，主要技术指标要求如下：</w:t>
      </w:r>
    </w:p>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ascii="宋体" w:hAnsi="宋体" w:eastAsia="宋体" w:cs="宋体"/>
          <w:b/>
          <w:color w:val="auto"/>
          <w:sz w:val="21"/>
          <w:szCs w:val="21"/>
          <w:highlight w:val="none"/>
          <w:lang w:eastAsia="zh-CN"/>
        </w:rPr>
        <w:t>液体乙酸钠</w:t>
      </w:r>
      <w:r>
        <w:rPr>
          <w:rFonts w:hint="eastAsia" w:ascii="宋体" w:hAnsi="宋体" w:eastAsia="宋体" w:cs="宋体"/>
          <w:b/>
          <w:color w:val="auto"/>
          <w:sz w:val="21"/>
          <w:szCs w:val="21"/>
          <w:highlight w:val="none"/>
        </w:rPr>
        <w:t>主要技术指标</w:t>
      </w:r>
    </w:p>
    <w:tbl>
      <w:tblPr>
        <w:tblStyle w:val="37"/>
        <w:tblW w:w="99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乙酸钠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CH</w:t>
            </w:r>
            <w:r>
              <w:rPr>
                <w:rFonts w:hint="eastAsia" w:ascii="宋体" w:hAnsi="宋体" w:eastAsia="宋体" w:cs="宋体"/>
                <w:b/>
                <w:color w:val="auto"/>
                <w:sz w:val="21"/>
                <w:szCs w:val="21"/>
                <w:highlight w:val="none"/>
                <w:vertAlign w:val="subscript"/>
                <w:lang w:val="en-US" w:eastAsia="zh-CN"/>
              </w:rPr>
              <w:t>3</w:t>
            </w:r>
            <w:r>
              <w:rPr>
                <w:rFonts w:hint="eastAsia" w:ascii="宋体" w:hAnsi="宋体" w:eastAsia="宋体" w:cs="宋体"/>
                <w:b/>
                <w:color w:val="auto"/>
                <w:sz w:val="21"/>
                <w:szCs w:val="21"/>
                <w:highlight w:val="none"/>
                <w:lang w:val="en-US" w:eastAsia="zh-CN"/>
              </w:rPr>
              <w:t>COONa）的</w:t>
            </w:r>
            <w:r>
              <w:rPr>
                <w:rFonts w:hint="eastAsia" w:ascii="宋体" w:hAnsi="宋体" w:eastAsia="宋体" w:cs="宋体"/>
                <w:b/>
                <w:color w:val="auto"/>
                <w:sz w:val="21"/>
                <w:szCs w:val="21"/>
                <w:highlight w:val="none"/>
              </w:rPr>
              <w:t>质量分数，%</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化学需氧量（</w:t>
            </w:r>
            <w:r>
              <w:rPr>
                <w:rFonts w:hint="eastAsia" w:ascii="宋体" w:hAnsi="宋体" w:eastAsia="宋体" w:cs="宋体"/>
                <w:b/>
                <w:color w:val="auto"/>
                <w:sz w:val="21"/>
                <w:szCs w:val="21"/>
                <w:highlight w:val="none"/>
              </w:rPr>
              <w:t>COD</w:t>
            </w:r>
            <w:r>
              <w:rPr>
                <w:rFonts w:hint="eastAsia" w:ascii="宋体" w:hAnsi="宋体" w:eastAsia="宋体" w:cs="宋体"/>
                <w:b/>
                <w:color w:val="auto"/>
                <w:sz w:val="21"/>
                <w:szCs w:val="21"/>
                <w:highlight w:val="none"/>
                <w:vertAlign w:val="subscript"/>
                <w:lang w:val="en-US" w:eastAsia="zh-CN"/>
              </w:rPr>
              <w:t>Cr</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，mg/L</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1.95×10</w:t>
            </w:r>
            <w:r>
              <w:rPr>
                <w:rFonts w:hint="eastAsia" w:ascii="宋体" w:hAnsi="宋体" w:eastAsia="宋体" w:cs="宋体"/>
                <w:b/>
                <w:color w:val="auto"/>
                <w:sz w:val="21"/>
                <w:szCs w:val="21"/>
                <w:highlight w:val="none"/>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pH</w:t>
            </w:r>
            <w:r>
              <w:rPr>
                <w:rFonts w:hint="eastAsia" w:ascii="宋体" w:hAnsi="宋体" w:eastAsia="宋体" w:cs="宋体"/>
                <w:b/>
                <w:color w:val="auto"/>
                <w:sz w:val="21"/>
                <w:szCs w:val="21"/>
                <w:highlight w:val="none"/>
                <w:lang w:val="en-US" w:eastAsia="zh-CN"/>
              </w:rPr>
              <w:t>值</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r>
              <w:rPr>
                <w:rFonts w:hint="eastAsia" w:ascii="宋体" w:hAnsi="宋体" w:eastAsia="宋体" w:cs="宋体"/>
                <w:b/>
                <w:color w:val="auto"/>
                <w:sz w:val="21"/>
                <w:szCs w:val="21"/>
                <w:highlight w:val="none"/>
                <w:lang w:val="en-US" w:eastAsia="zh-CN"/>
              </w:rPr>
              <w:t>的质量分数</w:t>
            </w:r>
            <w:r>
              <w:rPr>
                <w:rFonts w:hint="eastAsia" w:ascii="宋体" w:hAnsi="宋体" w:eastAsia="宋体" w:cs="宋体"/>
                <w:b/>
                <w:color w:val="auto"/>
                <w:sz w:val="21"/>
                <w:szCs w:val="21"/>
                <w:highlight w:val="none"/>
              </w:rPr>
              <w:t>，%</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氯化物（按</w:t>
            </w:r>
            <w:r>
              <w:rPr>
                <w:rFonts w:hint="eastAsia" w:ascii="宋体" w:hAnsi="宋体" w:eastAsia="宋体" w:cs="宋体"/>
                <w:b/>
                <w:color w:val="auto"/>
                <w:sz w:val="21"/>
                <w:szCs w:val="21"/>
                <w:highlight w:val="none"/>
                <w:lang w:val="en-US" w:eastAsia="zh-CN"/>
              </w:rPr>
              <w:t>Cl</w:t>
            </w:r>
            <w:r>
              <w:rPr>
                <w:rFonts w:hint="eastAsia" w:ascii="宋体" w:hAnsi="宋体" w:eastAsia="宋体" w:cs="宋体"/>
                <w:b/>
                <w:color w:val="auto"/>
                <w:sz w:val="21"/>
                <w:szCs w:val="21"/>
                <w:highlight w:val="none"/>
              </w:rPr>
              <w:t>计）</w:t>
            </w:r>
            <w:r>
              <w:rPr>
                <w:rFonts w:hint="eastAsia" w:ascii="宋体" w:hAnsi="宋体" w:eastAsia="宋体" w:cs="宋体"/>
                <w:b/>
                <w:color w:val="auto"/>
                <w:sz w:val="21"/>
                <w:szCs w:val="21"/>
                <w:highlight w:val="none"/>
                <w:lang w:val="en-US" w:eastAsia="zh-CN"/>
              </w:rPr>
              <w:t>的质量分数</w:t>
            </w:r>
            <w:r>
              <w:rPr>
                <w:rFonts w:hint="eastAsia" w:ascii="宋体" w:hAnsi="宋体" w:eastAsia="宋体" w:cs="宋体"/>
                <w:b/>
                <w:color w:val="auto"/>
                <w:sz w:val="21"/>
                <w:szCs w:val="21"/>
                <w:highlight w:val="none"/>
              </w:rPr>
              <w:t>，%</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0.10</w:t>
            </w:r>
          </w:p>
        </w:tc>
      </w:tr>
    </w:tbl>
    <w:p>
      <w:pPr>
        <w:autoSpaceDE/>
        <w:autoSpaceDN/>
        <w:adjustRightInd/>
        <w:spacing w:line="360" w:lineRule="auto"/>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rPr>
        <w:t>供货的药剂的原料应符合《生化法处理废（污）水用碳源 乙酸钠》(HG/T 5959-2021 )标准要求。</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）供货期间，如有发布最新的行业标准或国家标准，招标人有权根据招标人运营项目实际情况及有关行业标准或国家标准对合同的主要技术指标进行变更调整，投标人应无条件接受。</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rPr>
        <w:t>应根据各项目工艺以及性质，提供符合技术指标的药剂，保证供货的药剂用作碳源达到良好的脱氮效果；</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rPr>
        <w:t>提供的药剂不得造成污水处理厂其他出水水质指标如氨氮、总磷明显升高</w:t>
      </w:r>
      <w:r>
        <w:rPr>
          <w:rFonts w:hint="eastAsia" w:ascii="宋体" w:hAnsi="宋体" w:eastAsia="宋体" w:cs="宋体"/>
          <w:b/>
          <w:bCs w:val="0"/>
          <w:color w:val="auto"/>
          <w:sz w:val="21"/>
          <w:szCs w:val="21"/>
          <w:highlight w:val="none"/>
        </w:rPr>
        <w:t>。</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bookmarkStart w:id="20" w:name="_Toc14997"/>
      <w:bookmarkStart w:id="21" w:name="_Toc7916"/>
      <w:r>
        <w:rPr>
          <w:rFonts w:hint="eastAsia" w:ascii="宋体" w:hAnsi="宋体" w:eastAsia="宋体" w:cs="宋体"/>
          <w:b/>
          <w:color w:val="auto"/>
          <w:sz w:val="21"/>
          <w:szCs w:val="21"/>
          <w:highlight w:val="none"/>
        </w:rPr>
        <w:t>交货要求</w:t>
      </w:r>
      <w:bookmarkEnd w:id="20"/>
      <w:bookmarkEnd w:id="21"/>
    </w:p>
    <w:p>
      <w:pPr>
        <w:spacing w:line="360" w:lineRule="auto"/>
        <w:ind w:firstLine="420" w:firstLineChars="200"/>
        <w:jc w:val="both"/>
        <w:outlineLvl w:val="9"/>
        <w:rPr>
          <w:rFonts w:hint="eastAsia" w:ascii="宋体" w:hAnsi="宋体" w:eastAsia="宋体" w:cs="宋体"/>
          <w:color w:val="auto"/>
          <w:sz w:val="21"/>
          <w:szCs w:val="21"/>
          <w:highlight w:val="none"/>
        </w:rPr>
      </w:pPr>
      <w:bookmarkStart w:id="22" w:name="_Toc21273"/>
      <w:bookmarkStart w:id="23" w:name="_Toc24196"/>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bookmarkEnd w:id="22"/>
      <w:bookmarkEnd w:id="23"/>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自行负责将生产药剂运送至招标人运营项目指定位置（生产药剂储存罐），未经招标人书面同意，</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不得私自将本合同项下的货物运输义务委托第三方个人或企业。</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承担相应的运输、装卸等费用，运输人员应配备足够防护器具。如在运输及装卸过程中，生产药剂发生泄漏，应由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负责清理收集，避免造成人员伤害或环境污染。</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4、每次送货，</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承担。实际供货数量以招标人运营项目和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rPr>
        <w:t>招标人电子地磅的称重服务不含税单价为1.51元/吨，称重服务相关条款由招标人或招标人权属子公司与中标人签订称重服务合同另行约定。</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乙酸钠质量分数、化学需氧量（COD</w:t>
      </w:r>
      <w:r>
        <w:rPr>
          <w:rFonts w:hint="eastAsia" w:ascii="宋体" w:hAnsi="宋体" w:eastAsia="宋体" w:cs="宋体"/>
          <w:b/>
          <w:bCs/>
          <w:color w:val="auto"/>
          <w:szCs w:val="21"/>
          <w:highlight w:val="none"/>
          <w:vertAlign w:val="subscript"/>
        </w:rPr>
        <w:t>Cr</w:t>
      </w:r>
      <w:r>
        <w:rPr>
          <w:rFonts w:hint="eastAsia" w:ascii="宋体" w:hAnsi="宋体" w:eastAsia="宋体" w:cs="宋体"/>
          <w:b/>
          <w:bCs/>
          <w:color w:val="auto"/>
          <w:szCs w:val="21"/>
          <w:highlight w:val="none"/>
        </w:rPr>
        <w:t>）、pH值、水不溶物的质量分数、氯化物的质量分数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液体乙酸钠</w:t>
      </w:r>
      <w:r>
        <w:rPr>
          <w:rFonts w:hint="eastAsia" w:ascii="宋体" w:hAnsi="宋体" w:eastAsia="宋体" w:cs="宋体"/>
          <w:color w:val="auto"/>
          <w:szCs w:val="21"/>
          <w:highlight w:val="none"/>
        </w:rPr>
        <w:t>主要技术指标》要求的</w:t>
      </w:r>
      <w:r>
        <w:rPr>
          <w:rFonts w:hint="eastAsia" w:ascii="宋体" w:hAnsi="宋体" w:eastAsia="宋体" w:cs="宋体"/>
          <w:color w:val="auto"/>
          <w:kern w:val="2"/>
          <w:sz w:val="21"/>
          <w:szCs w:val="21"/>
          <w:highlight w:val="none"/>
        </w:rPr>
        <w:t>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无需为合同履行做准备工作。招标人运营项目相关信息见附件，仅供投标人报价参考。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w:t>
      </w:r>
      <w:bookmarkStart w:id="24" w:name="_Hlk111479904"/>
      <w:r>
        <w:rPr>
          <w:rFonts w:hint="eastAsia" w:ascii="宋体" w:hAnsi="宋体" w:eastAsia="宋体" w:cs="宋体"/>
          <w:color w:val="auto"/>
          <w:sz w:val="21"/>
          <w:szCs w:val="21"/>
          <w:highlight w:val="none"/>
        </w:rPr>
        <w:t>贮存</w:t>
      </w:r>
      <w:bookmarkEnd w:id="24"/>
      <w:r>
        <w:rPr>
          <w:rFonts w:hint="eastAsia" w:ascii="宋体" w:hAnsi="宋体" w:eastAsia="宋体" w:cs="宋体"/>
          <w:color w:val="auto"/>
          <w:sz w:val="21"/>
          <w:szCs w:val="21"/>
          <w:highlight w:val="none"/>
        </w:rPr>
        <w:t>条件等要求，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8、生产药剂的运送及输送方式应符合国家或行业规范标准。液体药剂采用聚乙烯塑料桶或专用耐酸耐腐蚀贮罐等密闭容器装运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禁止与酸性物质共运，运输过程防止药剂泄漏并避免有毒物品的污染，且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或其委托的运输单位应当具备国家及行业规定的运输资质。</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bookmarkStart w:id="25" w:name="_Toc16213"/>
      <w:bookmarkStart w:id="26" w:name="_Toc24688"/>
      <w:r>
        <w:rPr>
          <w:rFonts w:hint="eastAsia" w:ascii="宋体" w:hAnsi="宋体" w:eastAsia="宋体" w:cs="宋体"/>
          <w:b/>
          <w:color w:val="auto"/>
          <w:sz w:val="21"/>
          <w:szCs w:val="21"/>
          <w:highlight w:val="none"/>
        </w:rPr>
        <w:t>验收要求</w:t>
      </w:r>
      <w:bookmarkEnd w:id="25"/>
      <w:bookmarkEnd w:id="26"/>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27" w:name="_Toc23730"/>
      <w:bookmarkStart w:id="28" w:name="_Toc26056"/>
      <w:r>
        <w:rPr>
          <w:rFonts w:hint="eastAsia" w:ascii="宋体" w:hAnsi="宋体" w:eastAsia="宋体" w:cs="宋体"/>
          <w:b/>
          <w:bCs/>
          <w:color w:val="auto"/>
          <w:kern w:val="2"/>
          <w:sz w:val="21"/>
          <w:szCs w:val="21"/>
          <w:highlight w:val="none"/>
        </w:rPr>
        <w:t>（1）初步验收：</w:t>
      </w:r>
      <w:bookmarkEnd w:id="27"/>
      <w:bookmarkEnd w:id="28"/>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共同验货。招标人运营项目按照本项目合同及招标文件，对货物的数量、品种、随车产品质量检验报告、供货单据等进行核对。</w:t>
      </w:r>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双方进行相关签收手续。</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29" w:name="_Toc24743"/>
      <w:bookmarkStart w:id="30" w:name="_Toc16461"/>
      <w:r>
        <w:rPr>
          <w:rFonts w:hint="eastAsia" w:ascii="宋体" w:hAnsi="宋体" w:eastAsia="宋体" w:cs="宋体"/>
          <w:b/>
          <w:bCs/>
          <w:color w:val="auto"/>
          <w:kern w:val="2"/>
          <w:sz w:val="21"/>
          <w:szCs w:val="21"/>
          <w:highlight w:val="none"/>
        </w:rPr>
        <w:t>（2）最终验收</w:t>
      </w:r>
      <w:bookmarkEnd w:id="29"/>
      <w:bookmarkEnd w:id="30"/>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《液体乙酸钠</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乙酸钠的质量分数、化学需氧量（COD</w:t>
      </w:r>
      <w:r>
        <w:rPr>
          <w:rFonts w:hint="eastAsia" w:ascii="宋体" w:hAnsi="宋体" w:eastAsia="宋体" w:cs="宋体"/>
          <w:color w:val="auto"/>
          <w:sz w:val="21"/>
          <w:szCs w:val="21"/>
          <w:highlight w:val="none"/>
          <w:vertAlign w:val="subscript"/>
          <w:lang w:val="en-US" w:eastAsia="zh-CN"/>
        </w:rPr>
        <w:t>Cr</w:t>
      </w:r>
      <w:r>
        <w:rPr>
          <w:rFonts w:hint="eastAsia" w:ascii="宋体" w:hAnsi="宋体" w:eastAsia="宋体" w:cs="宋体"/>
          <w:color w:val="auto"/>
          <w:sz w:val="21"/>
          <w:szCs w:val="21"/>
          <w:highlight w:val="none"/>
          <w:lang w:val="en-US" w:eastAsia="zh-CN"/>
        </w:rPr>
        <w:t>）、pH值</w:t>
      </w:r>
      <w:r>
        <w:rPr>
          <w:rFonts w:hint="eastAsia" w:ascii="宋体" w:hAnsi="宋体" w:eastAsia="宋体" w:cs="宋体"/>
          <w:color w:val="auto"/>
          <w:sz w:val="21"/>
          <w:szCs w:val="21"/>
          <w:highlight w:val="none"/>
        </w:rPr>
        <w:t>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实验室检验结果为准。招标人根据需要可委托具有CMA认证资质的第三方检测机构检测，招标人委托的具有CMA认证资质的第三方检测机构的检验结果与招标人实验室不一致的，该次的供货货物质量判定以招标人委托的具有CMA认证资质的第三方检测机构的检验结果为准。</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2）货物检验方法按</w:t>
      </w:r>
      <w:r>
        <w:rPr>
          <w:rFonts w:hint="eastAsia" w:ascii="宋体" w:hAnsi="宋体" w:eastAsia="宋体" w:cs="宋体"/>
          <w:color w:val="auto"/>
          <w:sz w:val="21"/>
          <w:szCs w:val="21"/>
          <w:highlight w:val="none"/>
          <w:lang w:eastAsia="zh-CN"/>
        </w:rPr>
        <w:t>《生化法处理废（污）水用碳源 乙酸钠》(HG/T 5959-2021 )</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w:t>
      </w:r>
      <w:r>
        <w:rPr>
          <w:rFonts w:hint="eastAsia" w:ascii="宋体" w:hAnsi="宋体" w:eastAsia="宋体" w:cs="宋体"/>
          <w:color w:val="auto"/>
          <w:sz w:val="21"/>
          <w:szCs w:val="21"/>
          <w:highlight w:val="none"/>
          <w:lang w:eastAsia="zh-CN"/>
        </w:rPr>
        <w:t>液体乙酸钠</w:t>
      </w:r>
      <w:r>
        <w:rPr>
          <w:rFonts w:hint="eastAsia" w:ascii="宋体" w:hAnsi="宋体" w:eastAsia="宋体" w:cs="宋体"/>
          <w:color w:val="auto"/>
          <w:sz w:val="21"/>
          <w:szCs w:val="21"/>
          <w:highlight w:val="none"/>
        </w:rPr>
        <w:t>主要技术指标》要求则最终验收合格。</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仍应在质保期内对产品质量承担保证责任。</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所提供的货物不能通过招标人运营项目验收的，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应按招标人运营项目要求无条件予以退换货，给招标人造成损失的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须承担全部的赔偿责任。</w:t>
      </w:r>
    </w:p>
    <w:p>
      <w:pPr>
        <w:autoSpaceDE/>
        <w:autoSpaceDN/>
        <w:adjustRightInd/>
        <w:spacing w:line="360" w:lineRule="auto"/>
        <w:jc w:val="both"/>
        <w:outlineLvl w:val="9"/>
        <w:rPr>
          <w:rFonts w:hint="eastAsia" w:ascii="宋体" w:hAnsi="宋体" w:eastAsia="宋体" w:cs="宋体"/>
          <w:b/>
          <w:color w:val="auto"/>
          <w:sz w:val="21"/>
          <w:szCs w:val="21"/>
          <w:highlight w:val="none"/>
        </w:rPr>
      </w:pPr>
      <w:bookmarkStart w:id="31" w:name="_Toc22100"/>
      <w:bookmarkStart w:id="32" w:name="_Toc12550"/>
      <w:bookmarkStart w:id="33" w:name="_Hlk142639147"/>
      <w:r>
        <w:rPr>
          <w:rFonts w:hint="eastAsia" w:ascii="宋体" w:hAnsi="宋体" w:eastAsia="宋体" w:cs="宋体"/>
          <w:b/>
          <w:color w:val="auto"/>
          <w:sz w:val="21"/>
          <w:szCs w:val="21"/>
          <w:highlight w:val="none"/>
        </w:rPr>
        <w:t>五、</w:t>
      </w:r>
      <w:bookmarkStart w:id="34" w:name="OLE_LINK11"/>
      <w:r>
        <w:rPr>
          <w:rFonts w:hint="eastAsia" w:ascii="宋体" w:hAnsi="宋体" w:eastAsia="宋体" w:cs="宋体"/>
          <w:b/>
          <w:color w:val="auto"/>
          <w:sz w:val="21"/>
          <w:szCs w:val="21"/>
          <w:highlight w:val="none"/>
        </w:rPr>
        <w:t>资料要求</w:t>
      </w:r>
      <w:bookmarkEnd w:id="31"/>
      <w:bookmarkEnd w:id="32"/>
      <w:bookmarkEnd w:id="34"/>
    </w:p>
    <w:p>
      <w:pPr>
        <w:snapToGrid w:val="0"/>
        <w:spacing w:line="360" w:lineRule="auto"/>
        <w:ind w:firstLine="420" w:firstLineChars="200"/>
        <w:outlineLvl w:val="9"/>
        <w:rPr>
          <w:rFonts w:hint="eastAsia" w:ascii="宋体" w:hAnsi="宋体" w:eastAsia="宋体" w:cs="宋体"/>
          <w:color w:val="auto"/>
          <w:sz w:val="21"/>
          <w:szCs w:val="21"/>
          <w:highlight w:val="none"/>
        </w:rPr>
      </w:pPr>
      <w:bookmarkStart w:id="35" w:name="_Toc28578"/>
      <w:bookmarkStart w:id="36" w:name="_Toc24104"/>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需向招标人运营项目提供但不限于下述技术资料：</w:t>
      </w:r>
      <w:bookmarkEnd w:id="35"/>
      <w:bookmarkEnd w:id="36"/>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需将上述资料（若上述资料为复印件的，则须加盖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公章）在交货时交给招标人运营项目，有关资料的收集和整理由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负责，招标人运营项目予以配合。</w:t>
      </w:r>
    </w:p>
    <w:p>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bookmarkStart w:id="37" w:name="OLE_LINK29"/>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液体乙酸钠</w:t>
      </w:r>
      <w:r>
        <w:rPr>
          <w:rFonts w:hint="eastAsia" w:ascii="宋体" w:hAnsi="宋体" w:eastAsia="宋体" w:cs="宋体"/>
          <w:color w:val="auto"/>
          <w:szCs w:val="21"/>
          <w:highlight w:val="none"/>
        </w:rPr>
        <w:t>主要技术指标》要求的</w:t>
      </w:r>
      <w:bookmarkEnd w:id="37"/>
      <w:r>
        <w:rPr>
          <w:rFonts w:hint="eastAsia" w:ascii="宋体" w:hAnsi="宋体" w:eastAsia="宋体" w:cs="宋体"/>
          <w:color w:val="auto"/>
          <w:kern w:val="2"/>
          <w:sz w:val="21"/>
          <w:szCs w:val="21"/>
          <w:highlight w:val="none"/>
        </w:rPr>
        <w:t>检验报告，检验报告上的标徽应包括但不限于CMA认证标徽，</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《液体乙酸钠</w:t>
      </w:r>
      <w:r>
        <w:rPr>
          <w:rFonts w:hint="eastAsia" w:ascii="宋体" w:hAnsi="宋体" w:eastAsia="宋体" w:cs="宋体"/>
          <w:b/>
          <w:bCs/>
          <w:color w:val="auto"/>
          <w:sz w:val="21"/>
          <w:szCs w:val="21"/>
          <w:highlight w:val="none"/>
        </w:rPr>
        <w:t>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eastAsia="zh-CN"/>
        </w:rPr>
        <w:t>《生化法处理废（污）水用碳源 乙酸钠》(HG/T 5959-2021 )</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pPr>
        <w:autoSpaceDE/>
        <w:autoSpaceDN/>
        <w:adjustRightInd/>
        <w:snapToGrid w:val="0"/>
        <w:spacing w:line="360" w:lineRule="auto"/>
        <w:ind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提交的技术资料在出现遗漏或发现错误时，应及时补充或更正后提交招标人运营项目。</w:t>
      </w:r>
    </w:p>
    <w:bookmarkEnd w:id="33"/>
    <w:p>
      <w:pPr>
        <w:autoSpaceDE/>
        <w:autoSpaceDN/>
        <w:adjustRightInd/>
        <w:spacing w:line="360" w:lineRule="auto"/>
        <w:jc w:val="both"/>
        <w:outlineLvl w:val="9"/>
        <w:rPr>
          <w:rFonts w:hint="eastAsia" w:ascii="宋体" w:hAnsi="宋体" w:eastAsia="宋体" w:cs="宋体"/>
          <w:b/>
          <w:color w:val="auto"/>
          <w:sz w:val="21"/>
          <w:szCs w:val="21"/>
          <w:highlight w:val="none"/>
        </w:rPr>
      </w:pPr>
      <w:bookmarkStart w:id="38" w:name="_Toc8972"/>
      <w:bookmarkStart w:id="39" w:name="_Toc27949"/>
      <w:r>
        <w:rPr>
          <w:rFonts w:hint="eastAsia" w:ascii="宋体" w:hAnsi="宋体" w:eastAsia="宋体" w:cs="宋体"/>
          <w:b/>
          <w:color w:val="auto"/>
          <w:sz w:val="21"/>
          <w:szCs w:val="21"/>
          <w:highlight w:val="none"/>
        </w:rPr>
        <w:t>六、质量保证及售后要求</w:t>
      </w:r>
      <w:bookmarkEnd w:id="38"/>
      <w:bookmarkEnd w:id="39"/>
    </w:p>
    <w:p>
      <w:pPr>
        <w:spacing w:line="360" w:lineRule="auto"/>
        <w:ind w:firstLine="420" w:firstLineChars="200"/>
        <w:jc w:val="both"/>
        <w:rPr>
          <w:rFonts w:hint="eastAsia" w:ascii="宋体" w:hAnsi="宋体" w:eastAsia="宋体" w:cs="宋体"/>
          <w:color w:val="auto"/>
          <w:sz w:val="21"/>
          <w:szCs w:val="21"/>
          <w:highlight w:val="none"/>
        </w:rPr>
      </w:pPr>
      <w:bookmarkStart w:id="40" w:name="_Hlk142639521"/>
      <w:r>
        <w:rPr>
          <w:rFonts w:hint="eastAsia" w:ascii="宋体" w:hAnsi="宋体" w:eastAsia="宋体" w:cs="宋体"/>
          <w:color w:val="auto"/>
          <w:sz w:val="21"/>
          <w:szCs w:val="21"/>
          <w:highlight w:val="none"/>
        </w:rPr>
        <w:t>1、药剂保质期：</w:t>
      </w:r>
      <w:r>
        <w:rPr>
          <w:rFonts w:hint="eastAsia" w:ascii="宋体" w:hAnsi="宋体" w:eastAsia="宋体" w:cs="宋体"/>
          <w:bCs/>
          <w:color w:val="auto"/>
          <w:szCs w:val="21"/>
          <w:highlight w:val="none"/>
        </w:rPr>
        <w:t>以</w:t>
      </w:r>
      <w:r>
        <w:rPr>
          <w:rFonts w:hint="eastAsia" w:ascii="宋体" w:hAnsi="宋体" w:eastAsia="宋体" w:cs="宋体"/>
          <w:bCs/>
          <w:color w:val="auto"/>
          <w:szCs w:val="21"/>
          <w:highlight w:val="none"/>
          <w:lang w:val="en-US" w:eastAsia="zh-CN"/>
        </w:rPr>
        <w:t>招标人</w:t>
      </w:r>
      <w:r>
        <w:rPr>
          <w:rFonts w:hint="eastAsia" w:ascii="宋体" w:hAnsi="宋体" w:eastAsia="宋体" w:cs="宋体"/>
          <w:bCs/>
          <w:color w:val="auto"/>
          <w:szCs w:val="21"/>
          <w:highlight w:val="none"/>
        </w:rPr>
        <w:t>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验收之日算起12个月，保质期内产品质量须达到所有技术指标要求</w:t>
      </w:r>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在接到质量问题通知后 4 小时内自费派工程师到达现场对问题进行处理。</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6、在交货或合同履行过程中，若因所交货物（包括但不限于品种、型号、规格、质量）不符合招标人运营项目要求、或货物使用过程中出现质量问题，导致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提供的生产药剂如不能通过招标人运营项目验收的，招标人运营项目可拒绝收货或要求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承担退换货责任。原则上</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按照前述条款进行退换货之时起4小时之内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须承担招标人处置该次不合格货物所需的全部费用，以及给招标人造成的一切损失。</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bookmarkEnd w:id="40"/>
      <w:r>
        <w:rPr>
          <w:rFonts w:hint="eastAsia" w:ascii="宋体" w:hAnsi="宋体" w:eastAsia="宋体" w:cs="宋体"/>
          <w:color w:val="auto"/>
          <w:sz w:val="21"/>
          <w:szCs w:val="21"/>
          <w:highlight w:val="none"/>
        </w:rPr>
        <w:t>。</w:t>
      </w:r>
    </w:p>
    <w:p>
      <w:pPr>
        <w:autoSpaceDE/>
        <w:autoSpaceDN/>
        <w:adjustRightInd/>
        <w:spacing w:line="360" w:lineRule="auto"/>
        <w:jc w:val="both"/>
        <w:outlineLvl w:val="9"/>
        <w:rPr>
          <w:rFonts w:hint="eastAsia" w:ascii="宋体" w:hAnsi="宋体" w:eastAsia="宋体" w:cs="宋体"/>
          <w:b/>
          <w:color w:val="auto"/>
          <w:sz w:val="21"/>
          <w:szCs w:val="21"/>
          <w:highlight w:val="none"/>
        </w:rPr>
      </w:pPr>
      <w:bookmarkStart w:id="41" w:name="_Toc20724"/>
      <w:bookmarkStart w:id="42" w:name="_Toc11993"/>
      <w:r>
        <w:rPr>
          <w:rFonts w:hint="eastAsia" w:ascii="宋体" w:hAnsi="宋体" w:eastAsia="宋体" w:cs="宋体"/>
          <w:b/>
          <w:color w:val="auto"/>
          <w:sz w:val="21"/>
          <w:szCs w:val="21"/>
          <w:highlight w:val="none"/>
        </w:rPr>
        <w:t>七、货物的结算</w:t>
      </w:r>
      <w:bookmarkEnd w:id="41"/>
      <w:bookmarkEnd w:id="42"/>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按规定提供了履约担保后，招标人通过以下方式以人民币支付合同款项给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bookmarkStart w:id="43" w:name="_Hlk142640500"/>
      <w:r>
        <w:rPr>
          <w:rFonts w:hint="eastAsia" w:ascii="宋体" w:hAnsi="宋体" w:eastAsia="宋体" w:cs="宋体"/>
          <w:color w:val="auto"/>
          <w:sz w:val="21"/>
          <w:szCs w:val="21"/>
          <w:highlight w:val="none"/>
        </w:rPr>
        <w:t>1、合同的履约过程中，</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根据本项目合同书约定需向招标人</w:t>
      </w:r>
      <w:bookmarkStart w:id="44" w:name="OLE_LINK27"/>
      <w:r>
        <w:rPr>
          <w:rFonts w:hint="eastAsia" w:ascii="宋体" w:hAnsi="宋体" w:eastAsia="宋体" w:cs="Times New Roman"/>
          <w:b w:val="0"/>
          <w:bCs/>
          <w:color w:val="auto"/>
          <w:szCs w:val="21"/>
          <w:highlight w:val="none"/>
          <w:u w:val="none"/>
          <w:lang w:val="en-US" w:eastAsia="zh-CN"/>
        </w:rPr>
        <w:t>或招标人权属子公司</w:t>
      </w:r>
      <w:bookmarkEnd w:id="44"/>
      <w:r>
        <w:rPr>
          <w:rFonts w:hint="eastAsia" w:ascii="宋体" w:hAnsi="宋体" w:eastAsia="宋体" w:cs="宋体"/>
          <w:color w:val="auto"/>
          <w:sz w:val="21"/>
          <w:szCs w:val="21"/>
          <w:highlight w:val="none"/>
        </w:rPr>
        <w:t>支付违约金、赔偿金、或其他应付费用等款项的，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支付合同价和税额。若因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必须按照扣除前述费用前的合同价（销售额）开具增值税专用发票，保证增值税税额符合法律规定。</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w:t>
      </w:r>
      <w:r>
        <w:rPr>
          <w:rFonts w:hint="eastAsia" w:ascii="宋体" w:hAnsi="宋体" w:eastAsia="宋体" w:cs="宋体"/>
          <w:color w:val="auto"/>
          <w:sz w:val="21"/>
          <w:szCs w:val="21"/>
          <w:highlight w:val="none"/>
          <w:lang w:val="en-US" w:eastAsia="zh-CN"/>
        </w:rPr>
        <w:t>应付</w:t>
      </w:r>
      <w:r>
        <w:rPr>
          <w:rFonts w:hint="eastAsia" w:ascii="宋体" w:hAnsi="宋体" w:eastAsia="宋体" w:cs="宋体"/>
          <w:color w:val="auto"/>
          <w:sz w:val="21"/>
          <w:szCs w:val="21"/>
          <w:highlight w:val="none"/>
        </w:rPr>
        <w:t>货款和该货款对应的税额给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45"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45"/>
      <w:r>
        <w:rPr>
          <w:rFonts w:hint="eastAsia" w:ascii="宋体" w:hAnsi="宋体" w:eastAsia="宋体" w:cs="宋体"/>
          <w:color w:val="auto"/>
          <w:sz w:val="21"/>
          <w:szCs w:val="21"/>
          <w:highlight w:val="none"/>
          <w:lang w:val="en-US" w:eastAsia="zh-CN"/>
        </w:rPr>
        <w:t>决定。</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承担全部的赔偿责任</w:t>
      </w:r>
      <w:bookmarkEnd w:id="43"/>
      <w:r>
        <w:rPr>
          <w:rFonts w:hint="eastAsia" w:ascii="宋体" w:hAnsi="宋体" w:eastAsia="宋体" w:cs="宋体"/>
          <w:color w:val="auto"/>
          <w:sz w:val="21"/>
          <w:szCs w:val="21"/>
          <w:highlight w:val="none"/>
        </w:rPr>
        <w:t>。</w:t>
      </w:r>
    </w:p>
    <w:p>
      <w:pPr>
        <w:autoSpaceDE/>
        <w:autoSpaceDN/>
        <w:adjustRightInd/>
        <w:spacing w:line="360" w:lineRule="auto"/>
        <w:jc w:val="both"/>
        <w:outlineLvl w:val="9"/>
        <w:rPr>
          <w:rFonts w:hint="eastAsia" w:ascii="宋体" w:hAnsi="宋体" w:eastAsia="宋体" w:cs="宋体"/>
          <w:b/>
          <w:color w:val="auto"/>
          <w:sz w:val="21"/>
          <w:szCs w:val="21"/>
          <w:highlight w:val="none"/>
        </w:rPr>
      </w:pPr>
      <w:bookmarkStart w:id="46" w:name="_Toc14042"/>
      <w:bookmarkStart w:id="47" w:name="_Toc27955"/>
      <w:r>
        <w:rPr>
          <w:rFonts w:hint="eastAsia" w:ascii="宋体" w:hAnsi="宋体" w:eastAsia="宋体" w:cs="宋体"/>
          <w:b/>
          <w:color w:val="auto"/>
          <w:sz w:val="21"/>
          <w:szCs w:val="21"/>
          <w:highlight w:val="none"/>
        </w:rPr>
        <w:t>八、其它要求</w:t>
      </w:r>
      <w:bookmarkEnd w:id="46"/>
      <w:bookmarkEnd w:id="47"/>
    </w:p>
    <w:p>
      <w:pPr>
        <w:pStyle w:val="12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8" w:name="_Hlk142640606"/>
      <w:r>
        <w:rPr>
          <w:rFonts w:hint="eastAsia" w:ascii="宋体" w:hAnsi="宋体" w:eastAsia="宋体" w:cs="宋体"/>
          <w:color w:val="auto"/>
          <w:sz w:val="21"/>
          <w:szCs w:val="21"/>
          <w:highlight w:val="none"/>
        </w:rPr>
        <w:t>日常供货（非加急供货）时，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Times New Roman"/>
          <w:b w:val="0"/>
          <w:bCs/>
          <w:color w:val="auto"/>
          <w:szCs w:val="21"/>
          <w:highlight w:val="none"/>
          <w:u w:val="none"/>
          <w:lang w:val="en-US" w:eastAsia="zh-CN"/>
        </w:rPr>
        <w:t>含税应付</w:t>
      </w:r>
      <w:r>
        <w:rPr>
          <w:rFonts w:hint="eastAsia" w:ascii="宋体" w:hAnsi="宋体" w:eastAsia="宋体" w:cs="宋体"/>
          <w:color w:val="auto"/>
          <w:sz w:val="21"/>
          <w:szCs w:val="21"/>
          <w:highlight w:val="none"/>
        </w:rPr>
        <w:t>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bookmarkEnd w:id="48"/>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49" w:name="_Hlk142640612"/>
      <w:r>
        <w:rPr>
          <w:rFonts w:hint="eastAsia" w:ascii="宋体" w:hAnsi="宋体" w:eastAsia="宋体" w:cs="宋体"/>
          <w:color w:val="auto"/>
          <w:sz w:val="21"/>
          <w:szCs w:val="21"/>
          <w:highlight w:val="none"/>
        </w:rPr>
        <w:t>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bookmarkEnd w:id="49"/>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50" w:name="OLE_LINK6"/>
      <w:bookmarkStart w:id="51" w:name="_Hlk142640625"/>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所交货物经招标人实验室或招标人委托的第三方检测机构检验累计出现3次（含）</w:t>
      </w:r>
      <w:bookmarkEnd w:id="50"/>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的供货资格，并根据对生产造成影响的严重程度，没收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bookmarkEnd w:id="51"/>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bookmarkStart w:id="52" w:name="_Hlk142640642"/>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应根据招标人运营项目工艺以及性质，配合招标人运营项目进行小试，提供符合技术指标的药剂，保证供货的药剂在招标人运营项目良好的使用效果。</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bookmarkEnd w:id="52"/>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bookmarkStart w:id="53" w:name="_Hlk142640720"/>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bookmarkEnd w:id="53"/>
      <w:r>
        <w:rPr>
          <w:rFonts w:hint="eastAsia" w:ascii="宋体" w:hAnsi="宋体" w:eastAsia="宋体" w:cs="宋体"/>
          <w:color w:val="auto"/>
          <w:kern w:val="2"/>
          <w:sz w:val="21"/>
          <w:szCs w:val="21"/>
          <w:highlight w:val="none"/>
        </w:rPr>
        <w:t>。</w:t>
      </w:r>
    </w:p>
    <w:p>
      <w:pPr>
        <w:pStyle w:val="129"/>
        <w:autoSpaceDE/>
        <w:autoSpaceDN/>
        <w:adjustRightInd/>
        <w:spacing w:line="360" w:lineRule="auto"/>
        <w:ind w:firstLine="420" w:firstLineChars="200"/>
        <w:rPr>
          <w:rFonts w:hint="eastAsia" w:ascii="宋体" w:hAnsi="宋体" w:eastAsia="宋体" w:cs="宋体"/>
          <w:color w:val="auto"/>
          <w:sz w:val="21"/>
          <w:szCs w:val="21"/>
          <w:highlight w:val="none"/>
        </w:rPr>
      </w:pPr>
      <w:bookmarkStart w:id="54" w:name="_Hlk142640741"/>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检验结果24小时内，书面要求通过</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双方确认的具有检测产品CMA认证资质的第三方单位对留样货物进行检测，最终供货产品质量判定以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双方确认的具有检测产品CMA认证资质的第三方检测机构检验结果为准；因此产生的检测费、运输费等全部费用均由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bookmarkEnd w:id="54"/>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bookmarkStart w:id="55" w:name="_Hlk142640749"/>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bookmarkEnd w:id="55"/>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bookmarkStart w:id="56" w:name="_Hlk142640756"/>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应遵照执行</w:t>
      </w:r>
      <w:bookmarkEnd w:id="56"/>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bookmarkStart w:id="57" w:name="_Hlk14264076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自行承担。凡由于货物包装不良、运输方式不当或非法运输造成的事故、损失、行政处罚和由此产生的其他全部费用均由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全部承担</w:t>
      </w:r>
      <w:bookmarkEnd w:id="57"/>
      <w:r>
        <w:rPr>
          <w:rFonts w:hint="eastAsia" w:ascii="宋体" w:hAnsi="宋体" w:eastAsia="宋体" w:cs="宋体"/>
          <w:color w:val="auto"/>
          <w:sz w:val="21"/>
          <w:szCs w:val="21"/>
          <w:highlight w:val="none"/>
        </w:rPr>
        <w:t>。</w:t>
      </w:r>
    </w:p>
    <w:p>
      <w:pPr>
        <w:pStyle w:val="129"/>
        <w:widowControl/>
        <w:autoSpaceDE/>
        <w:autoSpaceDN/>
        <w:adjustRightInd/>
        <w:spacing w:line="360" w:lineRule="auto"/>
        <w:rPr>
          <w:rFonts w:hint="eastAsia" w:ascii="宋体" w:hAnsi="宋体" w:eastAsia="宋体" w:cs="宋体"/>
          <w:color w:val="auto"/>
          <w:sz w:val="21"/>
          <w:szCs w:val="21"/>
          <w:highlight w:val="none"/>
        </w:rPr>
      </w:pPr>
      <w:bookmarkStart w:id="58" w:name="_Hlk142640785"/>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pPr>
        <w:pStyle w:val="129"/>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的履约情况进行评价，填写《</w:t>
      </w:r>
      <w:bookmarkStart w:id="59" w:name="OLE_LINK15"/>
      <w:r>
        <w:rPr>
          <w:rFonts w:hint="eastAsia" w:ascii="宋体" w:hAnsi="宋体" w:eastAsia="宋体" w:cs="宋体"/>
          <w:color w:val="auto"/>
          <w:sz w:val="21"/>
          <w:szCs w:val="21"/>
          <w:highlight w:val="none"/>
          <w:lang w:bidi="ar"/>
        </w:rPr>
        <w:t>供应商履约评价表</w:t>
      </w:r>
      <w:bookmarkEnd w:id="59"/>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60" w:name="OLE_LINK30"/>
      <w:r>
        <w:rPr>
          <w:rFonts w:hint="eastAsia" w:ascii="宋体" w:hAnsi="宋体" w:eastAsia="宋体" w:cs="宋体"/>
          <w:color w:val="auto"/>
          <w:sz w:val="21"/>
          <w:szCs w:val="21"/>
          <w:highlight w:val="none"/>
          <w:lang w:val="en-US" w:eastAsia="zh-CN" w:bidi="ar"/>
        </w:rPr>
        <w:t>含税</w:t>
      </w:r>
      <w:bookmarkEnd w:id="60"/>
      <w:r>
        <w:rPr>
          <w:rFonts w:hint="eastAsia" w:ascii="宋体" w:hAnsi="宋体" w:eastAsia="宋体" w:cs="宋体"/>
          <w:color w:val="auto"/>
          <w:sz w:val="21"/>
          <w:szCs w:val="21"/>
          <w:highlight w:val="none"/>
          <w:lang w:val="en-US" w:eastAsia="zh-CN" w:bidi="ar"/>
        </w:rPr>
        <w:t>应付</w:t>
      </w:r>
      <w:r>
        <w:rPr>
          <w:rFonts w:hint="eastAsia" w:ascii="宋体" w:hAnsi="宋体" w:eastAsia="宋体" w:cs="宋体"/>
          <w:color w:val="auto"/>
          <w:sz w:val="21"/>
          <w:szCs w:val="21"/>
          <w:highlight w:val="none"/>
          <w:lang w:bidi="ar"/>
        </w:rPr>
        <w:t>货款的20%向</w:t>
      </w:r>
      <w:bookmarkStart w:id="61"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61"/>
      <w:r>
        <w:rPr>
          <w:rFonts w:hint="eastAsia" w:ascii="宋体" w:hAnsi="宋体" w:eastAsia="宋体" w:cs="宋体"/>
          <w:color w:val="auto"/>
          <w:sz w:val="21"/>
          <w:szCs w:val="21"/>
          <w:highlight w:val="none"/>
          <w:lang w:bidi="ar"/>
        </w:rPr>
        <w:t>支付违约金；考核评分分数低于60分时，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含税应付</w:t>
      </w:r>
      <w:r>
        <w:rPr>
          <w:rFonts w:hint="eastAsia" w:ascii="宋体" w:hAnsi="宋体" w:eastAsia="宋体" w:cs="宋体"/>
          <w:color w:val="auto"/>
          <w:sz w:val="21"/>
          <w:szCs w:val="21"/>
          <w:highlight w:val="none"/>
          <w:lang w:bidi="ar"/>
        </w:rPr>
        <w:t>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的供货资格并单方解除合同、没收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部分或全部履约担保</w:t>
      </w:r>
      <w:bookmarkEnd w:id="58"/>
      <w:r>
        <w:rPr>
          <w:rFonts w:hint="eastAsia" w:ascii="宋体" w:hAnsi="宋体" w:eastAsia="宋体" w:cs="宋体"/>
          <w:color w:val="auto"/>
          <w:sz w:val="21"/>
          <w:szCs w:val="21"/>
          <w:highlight w:val="none"/>
          <w:lang w:bidi="ar"/>
        </w:rPr>
        <w:t>。</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pageBreakBefore/>
        <w:snapToGrid w:val="0"/>
        <w:spacing w:line="360" w:lineRule="auto"/>
        <w:outlineLvl w:val="9"/>
        <w:rPr>
          <w:rFonts w:hint="eastAsia" w:ascii="宋体" w:hAnsi="宋体" w:eastAsia="宋体" w:cs="宋体"/>
          <w:b/>
          <w:color w:val="auto"/>
          <w:sz w:val="21"/>
          <w:szCs w:val="21"/>
          <w:highlight w:val="none"/>
        </w:rPr>
      </w:pPr>
      <w:bookmarkStart w:id="62" w:name="_Toc4994"/>
      <w:bookmarkStart w:id="63" w:name="_Toc1015"/>
      <w:r>
        <w:rPr>
          <w:rFonts w:hint="eastAsia" w:ascii="宋体" w:hAnsi="宋体" w:eastAsia="宋体" w:cs="宋体"/>
          <w:b/>
          <w:color w:val="auto"/>
          <w:sz w:val="21"/>
          <w:szCs w:val="21"/>
          <w:highlight w:val="none"/>
          <w:lang w:val="zh-CN"/>
        </w:rPr>
        <w:t>附件</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招标人</w:t>
      </w:r>
      <w:r>
        <w:rPr>
          <w:rFonts w:hint="eastAsia" w:ascii="宋体" w:hAnsi="宋体" w:eastAsia="宋体" w:cs="宋体"/>
          <w:b/>
          <w:color w:val="auto"/>
          <w:sz w:val="21"/>
          <w:szCs w:val="21"/>
          <w:highlight w:val="none"/>
          <w:lang w:val="zh-CN"/>
        </w:rPr>
        <w:t>运营项目</w:t>
      </w:r>
      <w:r>
        <w:rPr>
          <w:rFonts w:hint="eastAsia" w:ascii="宋体" w:hAnsi="宋体" w:eastAsia="宋体" w:cs="宋体"/>
          <w:b/>
          <w:color w:val="auto"/>
          <w:sz w:val="21"/>
          <w:szCs w:val="21"/>
          <w:highlight w:val="none"/>
        </w:rPr>
        <w:t>相关信息</w:t>
      </w:r>
      <w:bookmarkEnd w:id="62"/>
      <w:bookmarkEnd w:id="63"/>
    </w:p>
    <w:tbl>
      <w:tblPr>
        <w:tblStyle w:val="37"/>
        <w:tblW w:w="5009"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6"/>
        <w:gridCol w:w="4162"/>
        <w:gridCol w:w="3408"/>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bookmarkStart w:id="70" w:name="_GoBack"/>
            <w:r>
              <w:rPr>
                <w:rFonts w:hint="eastAsia" w:ascii="宋体" w:hAnsi="宋体" w:eastAsia="宋体" w:cs="宋体"/>
                <w:b/>
                <w:bCs/>
                <w:i w:val="0"/>
                <w:iCs w:val="0"/>
                <w:color w:val="auto"/>
                <w:kern w:val="0"/>
                <w:sz w:val="21"/>
                <w:szCs w:val="21"/>
                <w:u w:val="none"/>
                <w:lang w:val="en-US" w:eastAsia="zh-CN" w:bidi="ar"/>
              </w:rPr>
              <w:t>序号</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项目地址</w:t>
            </w:r>
          </w:p>
        </w:tc>
        <w:tc>
          <w:tcPr>
            <w:tcW w:w="987"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val="0"/>
                <w:color w:val="auto"/>
                <w:kern w:val="2"/>
                <w:sz w:val="21"/>
                <w:szCs w:val="21"/>
                <w:highlight w:val="none"/>
                <w:vertAlign w:val="baseline"/>
                <w:lang w:val="en-US" w:eastAsia="zh-CN"/>
              </w:rPr>
              <w:t>预计年送货量（吨</w:t>
            </w:r>
            <w:r>
              <w:rPr>
                <w:rFonts w:hint="eastAsia" w:ascii="宋体" w:hAnsi="宋体" w:eastAsia="宋体" w:cs="宋体"/>
                <w:b/>
                <w:bCs/>
                <w:color w:val="auto"/>
                <w:kern w:val="0"/>
                <w:sz w:val="21"/>
                <w:szCs w:val="21"/>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塘厦大坪污水处理厂一期</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87"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二、提标项目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望洪污水处理厂一期提标工程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东莞市望牛墩镇朱平沙村</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麻涌污水处理厂一期提标工程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东莞市麻涌镇新沙公园南一路9号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石碣沙腰污水处理厂一期提标工程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东莞市石碣镇沙腰村沿江西路2号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市区污水处理厂提标工程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东莞市南城街道滨河路100号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9853.511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虎门海岛污水处理厂一期提标工程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东莞市虎门镇威远岛武山沙五围</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虎门宁洲污水处理厂一期提标工程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东莞市虎门镇南栅第六工业区民昌路十巷5号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1701.363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长安锦厦三洲水质净化厂提标工程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东莞市长安镇锦厦三洲路2号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黄江污水处理厂一期提标工程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东莞市黄江镇合路创业一路1号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389.540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大朗松山湖南部污水处理厂一期提标工程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东莞市大朗镇沙步村杨沙路153号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2096.938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凤岗竹塘污水处理厂一期提标</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东莞市凤岗镇竹塘村浸校塘组</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凤岗虾公潭污水处理厂提标工程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Cs w:val="21"/>
                <w:highlight w:val="none"/>
                <w:lang w:bidi="ar"/>
              </w:rPr>
              <w:t>谢岗污水处理厂一期提标工程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Cs w:val="21"/>
                <w:highlight w:val="none"/>
                <w:lang w:bidi="ar"/>
              </w:rPr>
              <w:t>东莞市谢岗镇禾尚岗路16号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2003"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塘厦林村一期提标</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塘厦镇林村村委会鸡爪桥猪仔沥</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341.538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桥头污水处理厂一期提标工程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东莞市桥头镇东深路8号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60.735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樟木头污水处理厂一二期提标工程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东莞市樟木头镇柏地旗岭村柏峰路169号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239.368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塘厦石桥头污水处理厂提标工程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东莞市塘厦镇凤凰岗村环市南路132号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200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凤岗雁田污水处理厂提标工程</w:t>
            </w:r>
          </w:p>
        </w:tc>
        <w:tc>
          <w:tcPr>
            <w:tcW w:w="164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东莞市凤岗雁田污水处理厂（凤深大道310号）</w:t>
            </w:r>
          </w:p>
        </w:tc>
        <w:tc>
          <w:tcPr>
            <w:tcW w:w="20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926.864 </w:t>
            </w:r>
          </w:p>
        </w:tc>
      </w:tr>
      <w:bookmarkEnd w:id="70"/>
    </w:tbl>
    <w:p>
      <w:pPr>
        <w:widowControl/>
        <w:autoSpaceDE/>
        <w:autoSpaceDN/>
        <w:adjustRightInd/>
        <w:spacing w:line="360" w:lineRule="auto"/>
        <w:ind w:left="0" w:leftChars="0" w:firstLine="0" w:firstLineChars="0"/>
        <w:jc w:val="left"/>
        <w:rPr>
          <w:rFonts w:hint="eastAsia" w:ascii="宋体" w:hAnsi="宋体" w:eastAsia="宋体" w:cs="宋体"/>
          <w:b/>
          <w:bCs/>
          <w:color w:val="auto"/>
          <w:sz w:val="21"/>
          <w:szCs w:val="21"/>
          <w:highlight w:val="none"/>
        </w:rPr>
        <w:sectPr>
          <w:headerReference r:id="rId5" w:type="first"/>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bCs/>
          <w:color w:val="auto"/>
          <w:sz w:val="21"/>
          <w:szCs w:val="21"/>
          <w:highlight w:val="none"/>
        </w:rPr>
        <w:t>备注：</w:t>
      </w:r>
      <w:r>
        <w:rPr>
          <w:rFonts w:hint="eastAsia" w:ascii="宋体" w:hAnsi="宋体" w:eastAsia="宋体" w:cs="宋体"/>
          <w:b/>
          <w:color w:val="auto"/>
          <w:kern w:val="2"/>
          <w:sz w:val="21"/>
          <w:szCs w:val="21"/>
          <w:highlight w:val="none"/>
        </w:rPr>
        <w:t>以上</w:t>
      </w:r>
      <w:r>
        <w:rPr>
          <w:rFonts w:hint="eastAsia" w:ascii="宋体" w:hAnsi="宋体" w:eastAsia="宋体" w:cs="宋体"/>
          <w:b/>
          <w:color w:val="auto"/>
          <w:kern w:val="2"/>
          <w:sz w:val="21"/>
          <w:szCs w:val="21"/>
          <w:highlight w:val="none"/>
          <w:lang w:val="en-US" w:eastAsia="zh-CN"/>
        </w:rPr>
        <w:t>运营项目为暂定，</w:t>
      </w:r>
      <w:r>
        <w:rPr>
          <w:rFonts w:hint="eastAsia" w:ascii="宋体" w:hAnsi="宋体" w:eastAsia="宋体" w:cs="宋体"/>
          <w:b/>
          <w:bCs/>
          <w:color w:val="auto"/>
          <w:sz w:val="21"/>
          <w:szCs w:val="21"/>
          <w:highlight w:val="none"/>
        </w:rPr>
        <w:t>具体情况以实际为准，如有疑问可实地考察。</w:t>
      </w:r>
      <w:bookmarkEnd w:id="1"/>
      <w:bookmarkEnd w:id="2"/>
      <w:bookmarkEnd w:id="3"/>
      <w:bookmarkEnd w:id="4"/>
      <w:bookmarkEnd w:id="5"/>
      <w:bookmarkEnd w:id="6"/>
      <w:bookmarkEnd w:id="7"/>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2"/>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37"/>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jc w:val="center"/>
              <w:rPr>
                <w:b/>
                <w:bCs/>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验收单位：</w:t>
            </w:r>
          </w:p>
          <w:p>
            <w:pPr>
              <w:widowControl/>
              <w:ind w:firstLine="0" w:firstLineChars="0"/>
              <w:jc w:val="left"/>
              <w:textAlignment w:val="center"/>
              <w:rPr>
                <w:rFonts w:hint="eastAsia" w:ascii="宋体" w:hAnsi="宋体" w:eastAsia="宋体" w:cs="宋体"/>
                <w:b/>
                <w:bCs w:val="0"/>
                <w:color w:val="000000"/>
                <w:sz w:val="21"/>
                <w:szCs w:val="21"/>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生产主管（签名）：</w:t>
            </w:r>
          </w:p>
          <w:p>
            <w:pPr>
              <w:widowControl/>
              <w:ind w:firstLine="0" w:firstLineChars="0"/>
              <w:jc w:val="left"/>
              <w:textAlignment w:val="center"/>
              <w:rPr>
                <w:rFonts w:hint="eastAsia" w:ascii="宋体" w:hAnsi="宋体" w:eastAsia="宋体" w:cs="宋体"/>
                <w:b/>
                <w:bCs w:val="0"/>
                <w:color w:val="000000"/>
                <w:sz w:val="21"/>
                <w:szCs w:val="21"/>
              </w:rPr>
            </w:pPr>
          </w:p>
          <w:p>
            <w:pPr>
              <w:widowControl/>
              <w:jc w:val="left"/>
              <w:textAlignment w:val="center"/>
              <w:rPr>
                <w:b/>
                <w:bCs/>
              </w:rPr>
            </w:pPr>
            <w:r>
              <w:rPr>
                <w:rFonts w:hint="eastAsia" w:ascii="宋体" w:hAnsi="宋体" w:eastAsia="宋体" w:cs="宋体"/>
                <w:b/>
                <w:color w:val="000000"/>
                <w:sz w:val="21"/>
                <w:szCs w:val="21"/>
              </w:rPr>
              <w:t xml:space="preserve">  </w:t>
            </w:r>
            <w:r>
              <w:rPr>
                <w:rFonts w:hint="eastAsia" w:ascii="宋体" w:hAnsi="宋体" w:eastAsia="宋体" w:cs="宋体"/>
                <w:b/>
                <w:bCs w:val="0"/>
                <w:color w:val="000000"/>
                <w:sz w:val="21"/>
                <w:szCs w:val="21"/>
              </w:rPr>
              <w:t xml:space="preserve">单位负责人（签名）： </w:t>
            </w:r>
          </w:p>
        </w:tc>
        <w:tc>
          <w:tcPr>
            <w:tcW w:w="4720" w:type="dxa"/>
            <w:gridSpan w:val="4"/>
            <w:shd w:val="clear" w:color="auto" w:fill="auto"/>
            <w:noWrap/>
            <w:tcMar>
              <w:top w:w="15" w:type="dxa"/>
              <w:left w:w="15" w:type="dxa"/>
              <w:right w:w="15" w:type="dxa"/>
            </w:tcMar>
          </w:tcPr>
          <w:p>
            <w:pPr>
              <w:jc w:val="center"/>
              <w:rPr>
                <w:b/>
                <w:bCs/>
              </w:rPr>
            </w:pPr>
          </w:p>
          <w:p>
            <w:pPr>
              <w:ind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pStyle w:val="2"/>
              <w:rPr>
                <w:rFonts w:hint="eastAsia" w:ascii="宋体" w:hAnsi="宋体" w:eastAsia="宋体" w:cs="宋体"/>
                <w:b/>
                <w:bCs w:val="0"/>
                <w:color w:val="000000"/>
                <w:szCs w:val="21"/>
              </w:rPr>
            </w:pPr>
          </w:p>
          <w:p>
            <w:pPr>
              <w:ind w:firstLine="211" w:firstLineChars="100"/>
            </w:pPr>
            <w:r>
              <w:rPr>
                <w:rFonts w:hint="eastAsia" w:ascii="宋体" w:hAnsi="宋体" w:eastAsia="宋体" w:cs="宋体"/>
                <w:b/>
                <w:bCs w:val="0"/>
                <w:color w:val="000000"/>
                <w:sz w:val="21"/>
                <w:szCs w:val="21"/>
                <w:lang w:val="en-US" w:eastAsia="zh-CN"/>
              </w:rPr>
              <w:t>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785"/>
        <w:gridCol w:w="55"/>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widowControl/>
              <w:snapToGrid w:val="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widowControl/>
              <w:snapToGrid w:val="0"/>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hint="eastAsia" w:ascii="宋体" w:hAnsi="宋体" w:eastAsia="宋体"/>
                <w:bCs/>
                <w:highlight w:val="none"/>
              </w:rPr>
            </w:pPr>
            <w:r>
              <w:rPr>
                <w:rFonts w:hint="eastAsia" w:ascii="宋体" w:hAnsi="宋体" w:eastAsia="宋体"/>
                <w:bCs/>
                <w:highlight w:val="none"/>
                <w:lang w:val="en-US" w:eastAsia="zh-CN"/>
              </w:rPr>
              <w:t>交货地点</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序号</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履约评价项目</w:t>
            </w:r>
          </w:p>
        </w:tc>
        <w:tc>
          <w:tcPr>
            <w:tcW w:w="378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评价标准</w:t>
            </w:r>
          </w:p>
        </w:tc>
        <w:tc>
          <w:tcPr>
            <w:tcW w:w="1879"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评分说明</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分值</w:t>
            </w:r>
          </w:p>
        </w:tc>
        <w:tc>
          <w:tcPr>
            <w:tcW w:w="70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实得分</w:t>
            </w:r>
          </w:p>
        </w:tc>
        <w:tc>
          <w:tcPr>
            <w:tcW w:w="719" w:type="dxa"/>
            <w:vAlign w:val="center"/>
          </w:tcPr>
          <w:p>
            <w:pPr>
              <w:widowControl/>
              <w:rPr>
                <w:rFonts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质量</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（1）货物未出现全部拒收或换货等质量问题；</w:t>
            </w:r>
          </w:p>
          <w:p>
            <w:pPr>
              <w:widowControl/>
              <w:snapToGrid w:val="0"/>
              <w:rPr>
                <w:rFonts w:ascii="宋体" w:hAnsi="宋体" w:eastAsia="宋体"/>
                <w:bCs/>
                <w:highlight w:val="none"/>
              </w:rPr>
            </w:pPr>
            <w:r>
              <w:rPr>
                <w:rFonts w:hint="eastAsia" w:ascii="宋体" w:hAnsi="宋体" w:eastAsia="宋体"/>
                <w:bCs/>
                <w:highlight w:val="none"/>
              </w:rPr>
              <w:t>（2）货物主要技术指标符合合同规定；</w:t>
            </w:r>
          </w:p>
          <w:p>
            <w:pPr>
              <w:widowControl/>
              <w:snapToGrid w:val="0"/>
              <w:rPr>
                <w:rFonts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79"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2</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包装、运输</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widowControl/>
              <w:snapToGrid w:val="0"/>
              <w:rPr>
                <w:rFonts w:ascii="宋体" w:hAnsi="宋体" w:eastAsia="宋体"/>
                <w:bCs/>
                <w:highlight w:val="none"/>
              </w:rPr>
            </w:pPr>
            <w:r>
              <w:rPr>
                <w:rFonts w:hint="eastAsia" w:ascii="宋体" w:hAnsi="宋体" w:eastAsia="宋体"/>
                <w:bCs/>
                <w:highlight w:val="none"/>
              </w:rPr>
              <w:t>（1）影响货物输送或储存质量；</w:t>
            </w:r>
          </w:p>
          <w:p>
            <w:pPr>
              <w:widowControl/>
              <w:snapToGrid w:val="0"/>
              <w:rPr>
                <w:rFonts w:ascii="宋体" w:hAnsi="宋体" w:eastAsia="宋体"/>
                <w:bCs/>
                <w:highlight w:val="none"/>
              </w:rPr>
            </w:pPr>
            <w:r>
              <w:rPr>
                <w:rFonts w:hint="eastAsia" w:ascii="宋体" w:hAnsi="宋体" w:eastAsia="宋体"/>
                <w:bCs/>
                <w:highlight w:val="none"/>
              </w:rPr>
              <w:t>（2）货物质量下降；</w:t>
            </w:r>
          </w:p>
          <w:p>
            <w:pPr>
              <w:widowControl/>
              <w:snapToGrid w:val="0"/>
              <w:rPr>
                <w:rFonts w:ascii="宋体" w:hAnsi="宋体" w:eastAsia="宋体"/>
                <w:bCs/>
                <w:highlight w:val="none"/>
              </w:rPr>
            </w:pPr>
            <w:r>
              <w:rPr>
                <w:rFonts w:hint="eastAsia" w:ascii="宋体" w:hAnsi="宋体" w:eastAsia="宋体"/>
                <w:bCs/>
                <w:highlight w:val="none"/>
              </w:rPr>
              <w:t>（3）货物泄漏导致供货量不足；</w:t>
            </w:r>
          </w:p>
          <w:p>
            <w:pPr>
              <w:widowControl/>
              <w:snapToGrid w:val="0"/>
              <w:rPr>
                <w:rFonts w:ascii="宋体" w:hAnsi="宋体" w:eastAsia="宋体"/>
                <w:bCs/>
                <w:highlight w:val="none"/>
              </w:rPr>
            </w:pPr>
            <w:r>
              <w:rPr>
                <w:rFonts w:hint="eastAsia" w:ascii="宋体" w:hAnsi="宋体" w:eastAsia="宋体"/>
                <w:bCs/>
                <w:highlight w:val="none"/>
              </w:rPr>
              <w:t>（4）造成环境污染。</w:t>
            </w:r>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3</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货物交付</w:t>
            </w:r>
          </w:p>
        </w:tc>
        <w:tc>
          <w:tcPr>
            <w:tcW w:w="3785" w:type="dxa"/>
            <w:vAlign w:val="center"/>
          </w:tcPr>
          <w:p>
            <w:pPr>
              <w:widowControl/>
              <w:rPr>
                <w:rFonts w:ascii="宋体" w:hAnsi="宋体" w:eastAsia="宋体"/>
                <w:bCs/>
                <w:highlight w:val="none"/>
              </w:rPr>
            </w:pPr>
            <w:r>
              <w:rPr>
                <w:rFonts w:hint="eastAsia" w:ascii="宋体" w:hAnsi="宋体" w:eastAsia="宋体"/>
                <w:bCs/>
                <w:highlight w:val="none"/>
              </w:rPr>
              <w:t>（1）按合同要求的期限供货（包括加急供货）；</w:t>
            </w:r>
          </w:p>
          <w:p>
            <w:pPr>
              <w:widowControl/>
              <w:rPr>
                <w:rFonts w:ascii="宋体" w:hAnsi="宋体" w:eastAsia="宋体"/>
                <w:bCs/>
                <w:highlight w:val="none"/>
              </w:rPr>
            </w:pPr>
            <w:r>
              <w:rPr>
                <w:rFonts w:hint="eastAsia" w:ascii="宋体" w:hAnsi="宋体" w:eastAsia="宋体"/>
                <w:bCs/>
                <w:highlight w:val="none"/>
              </w:rPr>
              <w:t>（2）每次供货配合提供电子地磅称重单；</w:t>
            </w:r>
          </w:p>
          <w:p>
            <w:pPr>
              <w:rPr>
                <w:rFonts w:ascii="宋体" w:hAnsi="宋体" w:eastAsia="宋体"/>
                <w:bCs/>
                <w:highlight w:val="none"/>
              </w:rPr>
            </w:pPr>
            <w:r>
              <w:rPr>
                <w:rFonts w:hint="eastAsia" w:ascii="宋体" w:hAnsi="宋体" w:eastAsia="宋体"/>
                <w:bCs/>
                <w:highlight w:val="none"/>
              </w:rPr>
              <w:t>（3）每次供货配合提供出厂检验报告或质量合格证等技术资料；</w:t>
            </w:r>
          </w:p>
          <w:p>
            <w:pPr>
              <w:widowControl/>
              <w:rPr>
                <w:rFonts w:ascii="宋体" w:hAnsi="宋体" w:eastAsia="宋体"/>
                <w:bCs/>
                <w:highlight w:val="none"/>
              </w:rPr>
            </w:pPr>
            <w:r>
              <w:rPr>
                <w:rFonts w:hint="eastAsia" w:ascii="宋体" w:hAnsi="宋体" w:eastAsia="宋体"/>
                <w:bCs/>
                <w:highlight w:val="none"/>
              </w:rPr>
              <w:t>（4）交付人员专业性强，工作效率高，熟悉交付操作流程；</w:t>
            </w:r>
          </w:p>
          <w:p>
            <w:pPr>
              <w:widowControl/>
              <w:rPr>
                <w:rFonts w:ascii="宋体" w:hAnsi="宋体" w:eastAsia="宋体"/>
                <w:bCs/>
                <w:highlight w:val="none"/>
              </w:rPr>
            </w:pPr>
            <w:r>
              <w:rPr>
                <w:rFonts w:hint="eastAsia" w:ascii="宋体" w:hAnsi="宋体" w:eastAsia="宋体"/>
                <w:bCs/>
                <w:highlight w:val="none"/>
              </w:rPr>
              <w:t>（5）未出现因库存、运力不足等原因影响供货量的情况。</w:t>
            </w:r>
          </w:p>
        </w:tc>
        <w:tc>
          <w:tcPr>
            <w:tcW w:w="1879"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4</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验收</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（1）及时提供货物的各项技术资料，技术资料齐全、规范；</w:t>
            </w:r>
          </w:p>
          <w:p>
            <w:pPr>
              <w:widowControl/>
              <w:snapToGrid w:val="0"/>
              <w:rPr>
                <w:rFonts w:ascii="宋体" w:hAnsi="宋体" w:eastAsia="宋体"/>
                <w:bCs/>
                <w:highlight w:val="none"/>
              </w:rPr>
            </w:pPr>
            <w:r>
              <w:rPr>
                <w:rFonts w:hint="eastAsia" w:ascii="宋体" w:hAnsi="宋体" w:eastAsia="宋体"/>
                <w:bCs/>
                <w:highlight w:val="none"/>
              </w:rPr>
              <w:t>（2）未出现因对检测结果存在异议而影响供货的情况；</w:t>
            </w:r>
          </w:p>
          <w:p>
            <w:pPr>
              <w:widowControl/>
              <w:snapToGrid w:val="0"/>
              <w:rPr>
                <w:rFonts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5</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安全</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widowControl/>
              <w:snapToGrid w:val="0"/>
              <w:rPr>
                <w:rFonts w:ascii="宋体" w:hAnsi="宋体" w:eastAsia="宋体"/>
                <w:bCs/>
                <w:highlight w:val="none"/>
              </w:rPr>
            </w:pPr>
            <w:r>
              <w:rPr>
                <w:rFonts w:hint="eastAsia" w:ascii="宋体" w:hAnsi="宋体" w:eastAsia="宋体"/>
                <w:bCs/>
                <w:highlight w:val="none"/>
              </w:rPr>
              <w:t>（2）未出现超载或非法运输等情况；</w:t>
            </w:r>
          </w:p>
          <w:p>
            <w:pPr>
              <w:widowControl/>
              <w:snapToGrid w:val="0"/>
              <w:rPr>
                <w:rFonts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outlineLvl w:val="2"/>
              <w:rPr>
                <w:rFonts w:ascii="宋体" w:hAnsi="宋体" w:eastAsia="宋体"/>
                <w:highlight w:val="none"/>
              </w:rPr>
            </w:pPr>
            <w:bookmarkStart w:id="64" w:name="_Toc146625412"/>
            <w:bookmarkStart w:id="65" w:name="_Toc174612491"/>
            <w:bookmarkStart w:id="66" w:name="_Toc95729751"/>
            <w:r>
              <w:rPr>
                <w:rFonts w:hint="eastAsia" w:ascii="宋体" w:hAnsi="宋体" w:eastAsia="宋体"/>
                <w:bCs/>
                <w:highlight w:val="none"/>
              </w:rPr>
              <w:t>（4）未出现卸货安全事故。</w:t>
            </w:r>
            <w:bookmarkEnd w:id="64"/>
            <w:bookmarkEnd w:id="65"/>
            <w:bookmarkEnd w:id="66"/>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6</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售后服务</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（1）人员：</w:t>
            </w:r>
          </w:p>
          <w:p>
            <w:pPr>
              <w:widowControl/>
              <w:snapToGrid w:val="0"/>
              <w:rPr>
                <w:rFonts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widowControl/>
              <w:snapToGrid w:val="0"/>
              <w:rPr>
                <w:rFonts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widowControl/>
              <w:snapToGrid w:val="0"/>
              <w:rPr>
                <w:rFonts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widowControl/>
              <w:snapToGrid w:val="0"/>
              <w:rPr>
                <w:rFonts w:ascii="宋体" w:hAnsi="宋体" w:eastAsia="宋体"/>
                <w:bCs/>
                <w:highlight w:val="none"/>
              </w:rPr>
            </w:pPr>
            <w:r>
              <w:rPr>
                <w:rFonts w:hint="eastAsia" w:ascii="宋体" w:hAnsi="宋体" w:eastAsia="宋体"/>
                <w:bCs/>
                <w:highlight w:val="none"/>
              </w:rPr>
              <w:t>（2）配合：</w:t>
            </w:r>
          </w:p>
          <w:p>
            <w:pPr>
              <w:widowControl/>
              <w:snapToGrid w:val="0"/>
              <w:rPr>
                <w:rFonts w:ascii="宋体" w:hAnsi="宋体" w:eastAsia="宋体"/>
                <w:bCs/>
                <w:highlight w:val="none"/>
              </w:rPr>
            </w:pPr>
            <w:r>
              <w:rPr>
                <w:rFonts w:hint="eastAsia" w:ascii="宋体" w:hAnsi="宋体" w:eastAsia="宋体"/>
                <w:bCs/>
                <w:highlight w:val="none"/>
              </w:rPr>
              <w:t>①售后服务流程完善，跟踪到位，响应速度快；</w:t>
            </w:r>
          </w:p>
          <w:p>
            <w:pPr>
              <w:widowControl/>
              <w:snapToGrid w:val="0"/>
              <w:rPr>
                <w:rFonts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widowControl/>
              <w:snapToGrid w:val="0"/>
              <w:rPr>
                <w:rFonts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widowControl/>
              <w:snapToGrid w:val="0"/>
              <w:rPr>
                <w:rFonts w:ascii="宋体" w:hAnsi="宋体" w:eastAsia="宋体"/>
                <w:bCs/>
                <w:highlight w:val="none"/>
              </w:rPr>
            </w:pPr>
            <w:r>
              <w:rPr>
                <w:rFonts w:hint="eastAsia" w:ascii="宋体" w:hAnsi="宋体" w:eastAsia="宋体"/>
                <w:bCs/>
                <w:highlight w:val="none"/>
              </w:rPr>
              <w:t>④能根据甲方要求提供专业培训。</w:t>
            </w:r>
          </w:p>
          <w:p>
            <w:pPr>
              <w:outlineLvl w:val="2"/>
              <w:rPr>
                <w:rFonts w:ascii="宋体" w:hAnsi="宋体" w:eastAsia="宋体"/>
                <w:highlight w:val="none"/>
              </w:rPr>
            </w:pPr>
            <w:bookmarkStart w:id="67" w:name="_Toc174612492"/>
            <w:bookmarkStart w:id="68" w:name="_Toc95729752"/>
            <w:bookmarkStart w:id="69" w:name="_Toc146625413"/>
            <w:r>
              <w:rPr>
                <w:rFonts w:hint="eastAsia" w:ascii="宋体" w:hAnsi="宋体" w:eastAsia="宋体"/>
                <w:bCs/>
                <w:highlight w:val="none"/>
              </w:rPr>
              <w:t>⑤高效处理退换货工作、态度良好。</w:t>
            </w:r>
            <w:bookmarkEnd w:id="67"/>
            <w:bookmarkEnd w:id="68"/>
            <w:bookmarkEnd w:id="69"/>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widowControl/>
              <w:snapToGrid w:val="0"/>
              <w:jc w:val="center"/>
              <w:rPr>
                <w:rFonts w:ascii="宋体" w:hAnsi="宋体" w:eastAsia="宋体"/>
                <w:bCs/>
                <w:highlight w:val="none"/>
              </w:rPr>
            </w:pPr>
            <w:r>
              <w:rPr>
                <w:rFonts w:hint="eastAsia" w:ascii="宋体" w:hAnsi="宋体" w:eastAsia="宋体"/>
                <w:bCs/>
                <w:highlight w:val="none"/>
              </w:rPr>
              <w:t>合计</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r>
              <w:rPr>
                <w:rFonts w:ascii="宋体" w:hAnsi="宋体" w:eastAsia="宋体"/>
                <w:bCs/>
                <w:highlight w:val="none"/>
              </w:rPr>
              <w:t>00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评审结论</w:t>
            </w:r>
          </w:p>
        </w:tc>
        <w:tc>
          <w:tcPr>
            <w:tcW w:w="7821" w:type="dxa"/>
            <w:gridSpan w:val="6"/>
          </w:tcPr>
          <w:p>
            <w:pPr>
              <w:widowControl/>
              <w:snapToGrid w:val="0"/>
              <w:rPr>
                <w:rFonts w:ascii="宋体" w:hAnsi="宋体" w:eastAsia="宋体"/>
                <w:bCs/>
                <w:highlight w:val="none"/>
              </w:rPr>
            </w:pPr>
            <w:r>
              <w:rPr>
                <w:rFonts w:hint="eastAsia" w:ascii="宋体" w:hAnsi="宋体" w:eastAsia="宋体"/>
                <w:bCs/>
                <w:highlight w:val="none"/>
              </w:rPr>
              <w:t>□合计分值不低于</w:t>
            </w:r>
            <w:r>
              <w:rPr>
                <w:rFonts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widowControl/>
              <w:snapToGrid w:val="0"/>
              <w:jc w:val="center"/>
              <w:rPr>
                <w:rFonts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widowControl/>
              <w:snapToGrid w:val="0"/>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widowControl/>
              <w:snapToGrid w:val="0"/>
              <w:rPr>
                <w:rFonts w:ascii="宋体" w:hAnsi="宋体" w:eastAsia="宋体"/>
                <w:bCs/>
                <w:highlight w:val="none"/>
              </w:rPr>
            </w:pPr>
          </w:p>
        </w:tc>
        <w:tc>
          <w:tcPr>
            <w:tcW w:w="3840"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widowControl/>
              <w:snapToGrid w:val="0"/>
              <w:rPr>
                <w:rFonts w:ascii="宋体" w:hAnsi="宋体" w:eastAsia="宋体"/>
                <w:bCs/>
                <w:highlight w:val="none"/>
              </w:rPr>
            </w:pPr>
          </w:p>
        </w:tc>
      </w:tr>
    </w:tbl>
    <w:p>
      <w:pPr>
        <w:pStyle w:val="2"/>
        <w:rPr>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ED87791D-06F0-475C-8E11-46EA63EE4F09}"/>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F51E7018-9A9E-400D-8D84-6C5F758218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C114D"/>
    <w:multiLevelType w:val="multilevel"/>
    <w:tmpl w:val="4A4C114D"/>
    <w:lvl w:ilvl="0" w:tentative="0">
      <w:start w:val="1"/>
      <w:numFmt w:val="decimal"/>
      <w:suff w:val="nothing"/>
      <w:lvlText w:val="%1、"/>
      <w:lvlJc w:val="left"/>
      <w:pPr>
        <w:ind w:left="0" w:firstLine="0"/>
      </w:pPr>
      <w:rPr>
        <w:rFonts w:hint="default" w:ascii="宋体" w:hAnsi="宋体" w:eastAsia="宋体" w:cs="Times New Roman"/>
        <w:sz w:val="21"/>
        <w:szCs w:val="21"/>
      </w:rPr>
    </w:lvl>
    <w:lvl w:ilvl="1" w:tentative="0">
      <w:start w:val="1"/>
      <w:numFmt w:val="decimal"/>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B274E8D"/>
    <w:multiLevelType w:val="multilevel"/>
    <w:tmpl w:val="4B274E8D"/>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4430"/>
    <w:rsid w:val="00006AEC"/>
    <w:rsid w:val="00015A2E"/>
    <w:rsid w:val="000245A6"/>
    <w:rsid w:val="0002570D"/>
    <w:rsid w:val="00027708"/>
    <w:rsid w:val="00035595"/>
    <w:rsid w:val="00040BE6"/>
    <w:rsid w:val="00040F92"/>
    <w:rsid w:val="00046C4B"/>
    <w:rsid w:val="000503F6"/>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15B3"/>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3BE3"/>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5A1F74"/>
    <w:rsid w:val="024E68F9"/>
    <w:rsid w:val="0250441F"/>
    <w:rsid w:val="02FE5AC7"/>
    <w:rsid w:val="035967CC"/>
    <w:rsid w:val="03EC63C9"/>
    <w:rsid w:val="041651F4"/>
    <w:rsid w:val="04637662"/>
    <w:rsid w:val="04CF627B"/>
    <w:rsid w:val="05461264"/>
    <w:rsid w:val="058F7720"/>
    <w:rsid w:val="06447858"/>
    <w:rsid w:val="068F3629"/>
    <w:rsid w:val="0696261C"/>
    <w:rsid w:val="06A75D00"/>
    <w:rsid w:val="06AB431A"/>
    <w:rsid w:val="07182CD3"/>
    <w:rsid w:val="076F17EB"/>
    <w:rsid w:val="07894344"/>
    <w:rsid w:val="079B6617"/>
    <w:rsid w:val="07A829A7"/>
    <w:rsid w:val="083F7789"/>
    <w:rsid w:val="08623DEB"/>
    <w:rsid w:val="0865499C"/>
    <w:rsid w:val="08AF5C17"/>
    <w:rsid w:val="091776A5"/>
    <w:rsid w:val="091E7F58"/>
    <w:rsid w:val="09914565"/>
    <w:rsid w:val="09D21BBD"/>
    <w:rsid w:val="0AC534D0"/>
    <w:rsid w:val="0B2B5A29"/>
    <w:rsid w:val="0B381EF4"/>
    <w:rsid w:val="0BBC48D3"/>
    <w:rsid w:val="0BF127E9"/>
    <w:rsid w:val="0C7C092D"/>
    <w:rsid w:val="0CB40F86"/>
    <w:rsid w:val="0CD0550C"/>
    <w:rsid w:val="0CF103CF"/>
    <w:rsid w:val="0DC772CA"/>
    <w:rsid w:val="0DD3717C"/>
    <w:rsid w:val="0DD95C10"/>
    <w:rsid w:val="0E0A401C"/>
    <w:rsid w:val="0E9225A3"/>
    <w:rsid w:val="0EAC0DAA"/>
    <w:rsid w:val="0EAC63BD"/>
    <w:rsid w:val="0F241091"/>
    <w:rsid w:val="0F39623B"/>
    <w:rsid w:val="0F721927"/>
    <w:rsid w:val="0FC15468"/>
    <w:rsid w:val="102A0560"/>
    <w:rsid w:val="103D7174"/>
    <w:rsid w:val="106F0166"/>
    <w:rsid w:val="10B32423"/>
    <w:rsid w:val="10B4201D"/>
    <w:rsid w:val="10D138C1"/>
    <w:rsid w:val="10FF7010"/>
    <w:rsid w:val="123A3264"/>
    <w:rsid w:val="12722D9F"/>
    <w:rsid w:val="129702EF"/>
    <w:rsid w:val="12D6271E"/>
    <w:rsid w:val="130F4A87"/>
    <w:rsid w:val="132C233E"/>
    <w:rsid w:val="138F2A4C"/>
    <w:rsid w:val="13B9206C"/>
    <w:rsid w:val="154E2462"/>
    <w:rsid w:val="164C6B10"/>
    <w:rsid w:val="167069E6"/>
    <w:rsid w:val="16A66F42"/>
    <w:rsid w:val="174A4754"/>
    <w:rsid w:val="18406C2A"/>
    <w:rsid w:val="18611701"/>
    <w:rsid w:val="18B562BD"/>
    <w:rsid w:val="18DE1F70"/>
    <w:rsid w:val="19017DC9"/>
    <w:rsid w:val="190873AA"/>
    <w:rsid w:val="19397AAF"/>
    <w:rsid w:val="193B694A"/>
    <w:rsid w:val="193F7E0B"/>
    <w:rsid w:val="19562772"/>
    <w:rsid w:val="19650456"/>
    <w:rsid w:val="19831126"/>
    <w:rsid w:val="19BD665C"/>
    <w:rsid w:val="1A967187"/>
    <w:rsid w:val="1A996FE7"/>
    <w:rsid w:val="1AAB7122"/>
    <w:rsid w:val="1AB865A1"/>
    <w:rsid w:val="1AE479A2"/>
    <w:rsid w:val="1B0940FF"/>
    <w:rsid w:val="1B1F6729"/>
    <w:rsid w:val="1B5A216D"/>
    <w:rsid w:val="1B973779"/>
    <w:rsid w:val="1C393D1E"/>
    <w:rsid w:val="1C512E16"/>
    <w:rsid w:val="1D38315E"/>
    <w:rsid w:val="1D6848BB"/>
    <w:rsid w:val="1D7B395F"/>
    <w:rsid w:val="1D8D43A1"/>
    <w:rsid w:val="1DAE4F95"/>
    <w:rsid w:val="1DBC42AC"/>
    <w:rsid w:val="1DD73E07"/>
    <w:rsid w:val="1DF7063D"/>
    <w:rsid w:val="1E2471AC"/>
    <w:rsid w:val="1E3B5B2B"/>
    <w:rsid w:val="1E967206"/>
    <w:rsid w:val="1EAA2CB1"/>
    <w:rsid w:val="1F096428"/>
    <w:rsid w:val="1F4E1F4E"/>
    <w:rsid w:val="1F532EDB"/>
    <w:rsid w:val="1F5856A9"/>
    <w:rsid w:val="1F7E7BC0"/>
    <w:rsid w:val="1FB21E1D"/>
    <w:rsid w:val="1FF1689E"/>
    <w:rsid w:val="203C5B8B"/>
    <w:rsid w:val="205C4E1A"/>
    <w:rsid w:val="207A1985"/>
    <w:rsid w:val="20B11AFB"/>
    <w:rsid w:val="20C279F7"/>
    <w:rsid w:val="20C31E08"/>
    <w:rsid w:val="211508B6"/>
    <w:rsid w:val="21375273"/>
    <w:rsid w:val="21B96FAA"/>
    <w:rsid w:val="21E14C3C"/>
    <w:rsid w:val="21E23C77"/>
    <w:rsid w:val="22784344"/>
    <w:rsid w:val="22850A36"/>
    <w:rsid w:val="239633BA"/>
    <w:rsid w:val="23BC326A"/>
    <w:rsid w:val="23C102FE"/>
    <w:rsid w:val="240370EB"/>
    <w:rsid w:val="245E4744"/>
    <w:rsid w:val="249A76B9"/>
    <w:rsid w:val="24C745BD"/>
    <w:rsid w:val="24F45147"/>
    <w:rsid w:val="2500362B"/>
    <w:rsid w:val="252C01BD"/>
    <w:rsid w:val="25BC1C48"/>
    <w:rsid w:val="26151E30"/>
    <w:rsid w:val="26A526DC"/>
    <w:rsid w:val="26FE4D22"/>
    <w:rsid w:val="27076EF2"/>
    <w:rsid w:val="27154FD8"/>
    <w:rsid w:val="272950BB"/>
    <w:rsid w:val="276B0A21"/>
    <w:rsid w:val="276D7F6F"/>
    <w:rsid w:val="28177609"/>
    <w:rsid w:val="2843570A"/>
    <w:rsid w:val="28491774"/>
    <w:rsid w:val="286E02B3"/>
    <w:rsid w:val="28704DBD"/>
    <w:rsid w:val="28B11B80"/>
    <w:rsid w:val="28CD7B64"/>
    <w:rsid w:val="28DA73F5"/>
    <w:rsid w:val="2900444B"/>
    <w:rsid w:val="2936671F"/>
    <w:rsid w:val="2947094F"/>
    <w:rsid w:val="298C6D5A"/>
    <w:rsid w:val="29A452B1"/>
    <w:rsid w:val="29C55A1E"/>
    <w:rsid w:val="29C95FE8"/>
    <w:rsid w:val="2A355B25"/>
    <w:rsid w:val="2A6E1037"/>
    <w:rsid w:val="2B6B6FAE"/>
    <w:rsid w:val="2BFA4CA8"/>
    <w:rsid w:val="2C271FB0"/>
    <w:rsid w:val="2C300C99"/>
    <w:rsid w:val="2C483A6C"/>
    <w:rsid w:val="2C4A1ED4"/>
    <w:rsid w:val="2C5E3D90"/>
    <w:rsid w:val="2C5F157F"/>
    <w:rsid w:val="2C6F395B"/>
    <w:rsid w:val="2C85114F"/>
    <w:rsid w:val="2C9E00E8"/>
    <w:rsid w:val="2CF202C8"/>
    <w:rsid w:val="2CFC2BFE"/>
    <w:rsid w:val="2D960361"/>
    <w:rsid w:val="2DB11966"/>
    <w:rsid w:val="2E0B257D"/>
    <w:rsid w:val="2E352597"/>
    <w:rsid w:val="2F4F7689"/>
    <w:rsid w:val="2F6A0915"/>
    <w:rsid w:val="305D242A"/>
    <w:rsid w:val="308E2433"/>
    <w:rsid w:val="31402082"/>
    <w:rsid w:val="314D028A"/>
    <w:rsid w:val="315A4088"/>
    <w:rsid w:val="3191399B"/>
    <w:rsid w:val="31B3278A"/>
    <w:rsid w:val="3226381F"/>
    <w:rsid w:val="32313075"/>
    <w:rsid w:val="33332E1D"/>
    <w:rsid w:val="33680E1D"/>
    <w:rsid w:val="338D69D1"/>
    <w:rsid w:val="33DB598F"/>
    <w:rsid w:val="343D57A7"/>
    <w:rsid w:val="3489363D"/>
    <w:rsid w:val="352073D1"/>
    <w:rsid w:val="355530AA"/>
    <w:rsid w:val="355534E3"/>
    <w:rsid w:val="362221D1"/>
    <w:rsid w:val="364631D7"/>
    <w:rsid w:val="36672A7B"/>
    <w:rsid w:val="36703B69"/>
    <w:rsid w:val="368928C2"/>
    <w:rsid w:val="36C344B8"/>
    <w:rsid w:val="377F4482"/>
    <w:rsid w:val="385178A7"/>
    <w:rsid w:val="3882786B"/>
    <w:rsid w:val="38E24A78"/>
    <w:rsid w:val="38E452E6"/>
    <w:rsid w:val="38EB56F8"/>
    <w:rsid w:val="393C6ED0"/>
    <w:rsid w:val="39475E40"/>
    <w:rsid w:val="397A6507"/>
    <w:rsid w:val="3A3B0ECB"/>
    <w:rsid w:val="3A8F17FC"/>
    <w:rsid w:val="3AA800F8"/>
    <w:rsid w:val="3AF7708F"/>
    <w:rsid w:val="3B1F29B6"/>
    <w:rsid w:val="3B664D8A"/>
    <w:rsid w:val="3B6A4290"/>
    <w:rsid w:val="3B8B3748"/>
    <w:rsid w:val="3B8E088C"/>
    <w:rsid w:val="3B9971A7"/>
    <w:rsid w:val="3C337A30"/>
    <w:rsid w:val="3C9A3306"/>
    <w:rsid w:val="3CB74ABF"/>
    <w:rsid w:val="3CBA010B"/>
    <w:rsid w:val="3D1B504E"/>
    <w:rsid w:val="3DBA6422"/>
    <w:rsid w:val="3DE329CA"/>
    <w:rsid w:val="3E0E6961"/>
    <w:rsid w:val="3EA307B8"/>
    <w:rsid w:val="3F5B255F"/>
    <w:rsid w:val="3F944A09"/>
    <w:rsid w:val="3FA82A06"/>
    <w:rsid w:val="3FCE5CD0"/>
    <w:rsid w:val="3FCE6825"/>
    <w:rsid w:val="40337FBA"/>
    <w:rsid w:val="40AC7996"/>
    <w:rsid w:val="40BB32ED"/>
    <w:rsid w:val="410271DD"/>
    <w:rsid w:val="41055DF9"/>
    <w:rsid w:val="411C3A6B"/>
    <w:rsid w:val="413D1C34"/>
    <w:rsid w:val="413D3E30"/>
    <w:rsid w:val="416302FE"/>
    <w:rsid w:val="416845DA"/>
    <w:rsid w:val="4199111F"/>
    <w:rsid w:val="41C51A2C"/>
    <w:rsid w:val="41FB1E9F"/>
    <w:rsid w:val="42443C11"/>
    <w:rsid w:val="42F53803"/>
    <w:rsid w:val="4338034C"/>
    <w:rsid w:val="43533A05"/>
    <w:rsid w:val="436B29C6"/>
    <w:rsid w:val="43B50E83"/>
    <w:rsid w:val="43E81BAE"/>
    <w:rsid w:val="44027DCD"/>
    <w:rsid w:val="4416567B"/>
    <w:rsid w:val="44373EE2"/>
    <w:rsid w:val="44A02DC8"/>
    <w:rsid w:val="44BA2906"/>
    <w:rsid w:val="44E4041B"/>
    <w:rsid w:val="45181A63"/>
    <w:rsid w:val="452226EA"/>
    <w:rsid w:val="45350C77"/>
    <w:rsid w:val="45413006"/>
    <w:rsid w:val="45637592"/>
    <w:rsid w:val="45E30566"/>
    <w:rsid w:val="46827EEC"/>
    <w:rsid w:val="46E57892"/>
    <w:rsid w:val="46E6313D"/>
    <w:rsid w:val="47EB068E"/>
    <w:rsid w:val="4812253D"/>
    <w:rsid w:val="48296208"/>
    <w:rsid w:val="485105F8"/>
    <w:rsid w:val="48A91760"/>
    <w:rsid w:val="48DF421C"/>
    <w:rsid w:val="48F30C2D"/>
    <w:rsid w:val="491D3EFC"/>
    <w:rsid w:val="49677566"/>
    <w:rsid w:val="49767244"/>
    <w:rsid w:val="49D071C0"/>
    <w:rsid w:val="4A4308D9"/>
    <w:rsid w:val="4BF70A34"/>
    <w:rsid w:val="4BF74ED8"/>
    <w:rsid w:val="4C107D48"/>
    <w:rsid w:val="4C340574"/>
    <w:rsid w:val="4C912C37"/>
    <w:rsid w:val="4D01672A"/>
    <w:rsid w:val="4D07114B"/>
    <w:rsid w:val="4D5D0D6B"/>
    <w:rsid w:val="4E437F61"/>
    <w:rsid w:val="4E86306A"/>
    <w:rsid w:val="4F076310"/>
    <w:rsid w:val="4F0A4599"/>
    <w:rsid w:val="4F542CEF"/>
    <w:rsid w:val="4F722D41"/>
    <w:rsid w:val="4FA97F55"/>
    <w:rsid w:val="4FC83A29"/>
    <w:rsid w:val="4FCD1AFA"/>
    <w:rsid w:val="4FF129BB"/>
    <w:rsid w:val="505C7A00"/>
    <w:rsid w:val="506A76DE"/>
    <w:rsid w:val="508F34F0"/>
    <w:rsid w:val="51024103"/>
    <w:rsid w:val="516E106E"/>
    <w:rsid w:val="51714DE5"/>
    <w:rsid w:val="517257E8"/>
    <w:rsid w:val="51AE7211"/>
    <w:rsid w:val="5233158F"/>
    <w:rsid w:val="52522C1D"/>
    <w:rsid w:val="5257047F"/>
    <w:rsid w:val="526B3F2A"/>
    <w:rsid w:val="52B96A43"/>
    <w:rsid w:val="52F80915"/>
    <w:rsid w:val="53633425"/>
    <w:rsid w:val="53794425"/>
    <w:rsid w:val="53F210E7"/>
    <w:rsid w:val="54146F79"/>
    <w:rsid w:val="54221D2C"/>
    <w:rsid w:val="54401085"/>
    <w:rsid w:val="54C33BA9"/>
    <w:rsid w:val="54C47921"/>
    <w:rsid w:val="552533B3"/>
    <w:rsid w:val="55290B71"/>
    <w:rsid w:val="556F1EDE"/>
    <w:rsid w:val="55C41D5B"/>
    <w:rsid w:val="567D5C59"/>
    <w:rsid w:val="568802DB"/>
    <w:rsid w:val="56B37004"/>
    <w:rsid w:val="56D6358C"/>
    <w:rsid w:val="56F945D5"/>
    <w:rsid w:val="57325016"/>
    <w:rsid w:val="57385F05"/>
    <w:rsid w:val="574E2F4F"/>
    <w:rsid w:val="582B2191"/>
    <w:rsid w:val="583059FA"/>
    <w:rsid w:val="585A57E2"/>
    <w:rsid w:val="58AE4C61"/>
    <w:rsid w:val="58C83E84"/>
    <w:rsid w:val="59536EAF"/>
    <w:rsid w:val="59633BAD"/>
    <w:rsid w:val="59653481"/>
    <w:rsid w:val="59741916"/>
    <w:rsid w:val="59CB5746"/>
    <w:rsid w:val="5A096502"/>
    <w:rsid w:val="5A1522A3"/>
    <w:rsid w:val="5A355549"/>
    <w:rsid w:val="5A985AD8"/>
    <w:rsid w:val="5AD703AE"/>
    <w:rsid w:val="5AE049A6"/>
    <w:rsid w:val="5B555EB2"/>
    <w:rsid w:val="5B5771CA"/>
    <w:rsid w:val="5BE12FA3"/>
    <w:rsid w:val="5BE74621"/>
    <w:rsid w:val="5C0F7D9A"/>
    <w:rsid w:val="5C2D326F"/>
    <w:rsid w:val="5C51380A"/>
    <w:rsid w:val="5C5539E2"/>
    <w:rsid w:val="5CA02A8F"/>
    <w:rsid w:val="5CAA4336"/>
    <w:rsid w:val="5D123920"/>
    <w:rsid w:val="5D243653"/>
    <w:rsid w:val="5D3031BF"/>
    <w:rsid w:val="5D637A40"/>
    <w:rsid w:val="5D6E241A"/>
    <w:rsid w:val="5D8866EC"/>
    <w:rsid w:val="5E1C448E"/>
    <w:rsid w:val="5E5138A3"/>
    <w:rsid w:val="5E9A42CD"/>
    <w:rsid w:val="5EBD49DD"/>
    <w:rsid w:val="5EBF421E"/>
    <w:rsid w:val="5F2071D7"/>
    <w:rsid w:val="5F3E6C4E"/>
    <w:rsid w:val="5F5279AD"/>
    <w:rsid w:val="5F59643E"/>
    <w:rsid w:val="5F5F6BC4"/>
    <w:rsid w:val="5F750ADC"/>
    <w:rsid w:val="5FA92094"/>
    <w:rsid w:val="5FF94923"/>
    <w:rsid w:val="60A305BA"/>
    <w:rsid w:val="60D20963"/>
    <w:rsid w:val="61354081"/>
    <w:rsid w:val="61B06EB5"/>
    <w:rsid w:val="621630FD"/>
    <w:rsid w:val="62573405"/>
    <w:rsid w:val="62A31E55"/>
    <w:rsid w:val="62B13874"/>
    <w:rsid w:val="62B55F19"/>
    <w:rsid w:val="631010E1"/>
    <w:rsid w:val="63627C1A"/>
    <w:rsid w:val="63672753"/>
    <w:rsid w:val="63EF49BB"/>
    <w:rsid w:val="64446389"/>
    <w:rsid w:val="645608DD"/>
    <w:rsid w:val="645779AB"/>
    <w:rsid w:val="65130235"/>
    <w:rsid w:val="654B3E73"/>
    <w:rsid w:val="65932297"/>
    <w:rsid w:val="65E62E7A"/>
    <w:rsid w:val="65EC0A86"/>
    <w:rsid w:val="663F32AC"/>
    <w:rsid w:val="665C5C0C"/>
    <w:rsid w:val="665F74AA"/>
    <w:rsid w:val="6794739E"/>
    <w:rsid w:val="67BB5990"/>
    <w:rsid w:val="6803153A"/>
    <w:rsid w:val="68060525"/>
    <w:rsid w:val="6864524C"/>
    <w:rsid w:val="68AE19C8"/>
    <w:rsid w:val="68D67EF7"/>
    <w:rsid w:val="6A22716C"/>
    <w:rsid w:val="6A33039E"/>
    <w:rsid w:val="6A677D3D"/>
    <w:rsid w:val="6A6D488B"/>
    <w:rsid w:val="6A8219B9"/>
    <w:rsid w:val="6AA656A7"/>
    <w:rsid w:val="6AAD178D"/>
    <w:rsid w:val="6ACE4F0B"/>
    <w:rsid w:val="6AE606B8"/>
    <w:rsid w:val="6AE83F12"/>
    <w:rsid w:val="6BCB2E78"/>
    <w:rsid w:val="6C6C3261"/>
    <w:rsid w:val="6CC649E7"/>
    <w:rsid w:val="6CE40709"/>
    <w:rsid w:val="6CED3A62"/>
    <w:rsid w:val="6D371FD1"/>
    <w:rsid w:val="6D970DCA"/>
    <w:rsid w:val="6D9F604C"/>
    <w:rsid w:val="6DF3710C"/>
    <w:rsid w:val="6E672517"/>
    <w:rsid w:val="6E9A19C7"/>
    <w:rsid w:val="6EAB3BD4"/>
    <w:rsid w:val="6EE90259"/>
    <w:rsid w:val="6EEE5F57"/>
    <w:rsid w:val="6F086F45"/>
    <w:rsid w:val="6F1E0908"/>
    <w:rsid w:val="6F3B4F58"/>
    <w:rsid w:val="6F5F71DE"/>
    <w:rsid w:val="6F6F261D"/>
    <w:rsid w:val="6FE74798"/>
    <w:rsid w:val="6FEF39A0"/>
    <w:rsid w:val="70367203"/>
    <w:rsid w:val="719B7311"/>
    <w:rsid w:val="71DC3BCF"/>
    <w:rsid w:val="723205E7"/>
    <w:rsid w:val="72A03F09"/>
    <w:rsid w:val="72CE1C3F"/>
    <w:rsid w:val="738549F4"/>
    <w:rsid w:val="73D9089C"/>
    <w:rsid w:val="74111B80"/>
    <w:rsid w:val="743D7CF2"/>
    <w:rsid w:val="7503531D"/>
    <w:rsid w:val="755B02D8"/>
    <w:rsid w:val="75786D3D"/>
    <w:rsid w:val="76124539"/>
    <w:rsid w:val="76263B40"/>
    <w:rsid w:val="762F7565"/>
    <w:rsid w:val="765B79F0"/>
    <w:rsid w:val="76E97048"/>
    <w:rsid w:val="77422BFC"/>
    <w:rsid w:val="77662180"/>
    <w:rsid w:val="77803CE6"/>
    <w:rsid w:val="77894387"/>
    <w:rsid w:val="77A94B1B"/>
    <w:rsid w:val="77C22748"/>
    <w:rsid w:val="781C3A7C"/>
    <w:rsid w:val="7820118F"/>
    <w:rsid w:val="78A70F68"/>
    <w:rsid w:val="78BE2756"/>
    <w:rsid w:val="78EC2E1F"/>
    <w:rsid w:val="78EC6FBD"/>
    <w:rsid w:val="79D3247C"/>
    <w:rsid w:val="7A1173D2"/>
    <w:rsid w:val="7A5E6595"/>
    <w:rsid w:val="7A7C27E3"/>
    <w:rsid w:val="7B707D38"/>
    <w:rsid w:val="7BA22C1C"/>
    <w:rsid w:val="7C6C2EB0"/>
    <w:rsid w:val="7CC2481A"/>
    <w:rsid w:val="7CF60E01"/>
    <w:rsid w:val="7D5C3AF1"/>
    <w:rsid w:val="7D6457E7"/>
    <w:rsid w:val="7DC73E5B"/>
    <w:rsid w:val="7DCC1471"/>
    <w:rsid w:val="7DDC134B"/>
    <w:rsid w:val="7DE247F1"/>
    <w:rsid w:val="7E350DC4"/>
    <w:rsid w:val="7E480426"/>
    <w:rsid w:val="7E536050"/>
    <w:rsid w:val="7E6B6EDC"/>
    <w:rsid w:val="7EDA196C"/>
    <w:rsid w:val="7EDD72DB"/>
    <w:rsid w:val="7F4100F9"/>
    <w:rsid w:val="7FA313D0"/>
    <w:rsid w:val="7FFA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next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autoRedefine/>
    <w:unhideWhenUsed/>
    <w:qFormat/>
    <w:uiPriority w:val="99"/>
    <w:pPr>
      <w:jc w:val="left"/>
    </w:pPr>
  </w:style>
  <w:style w:type="paragraph" w:styleId="17">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autoRedefine/>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page number"/>
    <w:qFormat/>
    <w:uiPriority w:val="0"/>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Char"/>
    <w:basedOn w:val="39"/>
    <w:link w:val="4"/>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Char1"/>
    <w:basedOn w:val="39"/>
    <w:link w:val="5"/>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Char"/>
    <w:basedOn w:val="39"/>
    <w:link w:val="9"/>
    <w:autoRedefine/>
    <w:qFormat/>
    <w:uiPriority w:val="9"/>
    <w:rPr>
      <w:rFonts w:ascii="Times New Roman" w:hAnsi="Calibri" w:eastAsia="黑体" w:cs="Times New Roman"/>
      <w:b/>
      <w:bCs/>
      <w:kern w:val="0"/>
      <w:sz w:val="28"/>
      <w:szCs w:val="24"/>
    </w:rPr>
  </w:style>
  <w:style w:type="character" w:customStyle="1" w:styleId="54">
    <w:name w:val="标题 8 Char"/>
    <w:basedOn w:val="39"/>
    <w:link w:val="10"/>
    <w:qFormat/>
    <w:uiPriority w:val="9"/>
    <w:rPr>
      <w:rFonts w:ascii="Times New Roman" w:hAnsi="Calibri" w:eastAsia="黑体" w:cs="Times New Roman"/>
      <w:b/>
      <w:kern w:val="0"/>
      <w:sz w:val="28"/>
      <w:szCs w:val="24"/>
    </w:rPr>
  </w:style>
  <w:style w:type="character" w:customStyle="1" w:styleId="55">
    <w:name w:val="标题 9 Char"/>
    <w:basedOn w:val="39"/>
    <w:link w:val="11"/>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3"/>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3"/>
    <w:autoRedefine/>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2"/>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20"/>
    <w:autoRedefine/>
    <w:qFormat/>
    <w:uiPriority w:val="0"/>
    <w:rPr>
      <w:rFonts w:ascii="Times New Roman" w:hAnsi="Times New Roman" w:eastAsia="宋体" w:cs="Times New Roman"/>
      <w:szCs w:val="20"/>
    </w:rPr>
  </w:style>
  <w:style w:type="character" w:customStyle="1" w:styleId="93">
    <w:name w:val="普通(网站) Char1"/>
    <w:link w:val="34"/>
    <w:autoRedefine/>
    <w:qFormat/>
    <w:locked/>
    <w:uiPriority w:val="0"/>
    <w:rPr>
      <w:rFonts w:ascii="宋体" w:hAnsi="宋体"/>
      <w:sz w:val="15"/>
      <w:szCs w:val="15"/>
    </w:rPr>
  </w:style>
  <w:style w:type="character" w:customStyle="1" w:styleId="94">
    <w:name w:val="模板正文 Char"/>
    <w:link w:val="8"/>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2"/>
    <w:autoRedefine/>
    <w:qFormat/>
    <w:uiPriority w:val="0"/>
    <w:rPr>
      <w:rFonts w:ascii="宋体" w:hAnsi="Courier New" w:eastAsia="宋体"/>
    </w:rPr>
  </w:style>
  <w:style w:type="character" w:customStyle="1" w:styleId="101">
    <w:name w:val="正文文本缩进 2 Char"/>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6"/>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7"/>
    <w:autoRedefine/>
    <w:qFormat/>
    <w:uiPriority w:val="9"/>
    <w:rPr>
      <w:rFonts w:ascii="Times New Roman" w:hAnsi="Calibri" w:eastAsia="黑体" w:cs="Times New Roman"/>
      <w:b/>
      <w:bCs/>
      <w:kern w:val="0"/>
      <w:sz w:val="28"/>
      <w:szCs w:val="24"/>
    </w:rPr>
  </w:style>
  <w:style w:type="character" w:customStyle="1" w:styleId="143">
    <w:name w:val="正文文本 2 Char"/>
    <w:link w:val="32"/>
    <w:autoRedefine/>
    <w:qFormat/>
    <w:uiPriority w:val="0"/>
    <w:rPr>
      <w:rFonts w:ascii="Arial" w:hAnsi="Arial" w:eastAsia="宋体" w:cs="Times New Roman"/>
      <w:color w:val="000000"/>
      <w:szCs w:val="24"/>
    </w:rPr>
  </w:style>
  <w:style w:type="character" w:customStyle="1" w:styleId="144">
    <w:name w:val="标题 3 Char"/>
    <w:link w:val="2"/>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Char1"/>
    <w:link w:val="3"/>
    <w:autoRedefine/>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autoRedefine/>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Char1 Char Char Char1 Char Char Char"/>
    <w:basedOn w:val="1"/>
    <w:qFormat/>
    <w:uiPriority w:val="0"/>
    <w:pPr>
      <w:autoSpaceDE/>
      <w:autoSpaceDN/>
      <w:adjustRightInd/>
      <w:spacing w:line="360" w:lineRule="auto"/>
    </w:pPr>
    <w:rPr>
      <w:rFonts w:asci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8825</Words>
  <Characters>9125</Characters>
  <Lines>314</Lines>
  <Paragraphs>88</Paragraphs>
  <TotalTime>1</TotalTime>
  <ScaleCrop>false</ScaleCrop>
  <LinksUpToDate>false</LinksUpToDate>
  <CharactersWithSpaces>9184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严霞</cp:lastModifiedBy>
  <cp:lastPrinted>2025-02-07T07:07:00Z</cp:lastPrinted>
  <dcterms:modified xsi:type="dcterms:W3CDTF">2025-08-29T06:50:12Z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F1F517A5CA864A0087952BADECD18E2C_13</vt:lpwstr>
  </property>
  <property fmtid="{D5CDD505-2E9C-101B-9397-08002B2CF9AE}" pid="4" name="KSOTemplateDocerSaveRecord">
    <vt:lpwstr>eyJoZGlkIjoiMzhlNDRmOTNkZWRhM2UxYjQ4MjE4OTRiMGYwZDk4ZDgiLCJ1c2VySWQiOiI1MTI1NTUxMzQifQ==</vt:lpwstr>
  </property>
</Properties>
</file>