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A8E55">
      <w:pPr>
        <w:pageBreakBefore w:val="0"/>
        <w:tabs>
          <w:tab w:val="left" w:pos="1080"/>
        </w:tabs>
        <w:autoSpaceDE w:val="0"/>
        <w:autoSpaceDN w:val="0"/>
        <w:adjustRightInd w:val="0"/>
        <w:spacing w:line="360" w:lineRule="auto"/>
        <w:ind w:left="0" w:leftChars="0" w:firstLine="0"/>
        <w:jc w:val="center"/>
        <w:outlineLvl w:val="0"/>
        <w:rPr>
          <w:rFonts w:ascii="宋体" w:hAnsi="宋体" w:eastAsia="宋体" w:cs="宋体"/>
          <w:b/>
          <w:bCs/>
          <w:color w:val="auto"/>
          <w:kern w:val="44"/>
          <w:sz w:val="32"/>
          <w:szCs w:val="32"/>
          <w:highlight w:val="none"/>
          <w:lang w:val="zh-CN"/>
        </w:rPr>
      </w:pPr>
      <w:bookmarkStart w:id="10" w:name="_GoBack"/>
      <w:bookmarkStart w:id="0" w:name="_Toc142508358"/>
      <w:bookmarkStart w:id="1" w:name="_Toc27939_WPSOffice_Level1"/>
      <w:bookmarkStart w:id="2" w:name="_Toc450662891"/>
      <w:bookmarkStart w:id="3" w:name="_Toc4386"/>
      <w:bookmarkStart w:id="4" w:name="_Toc29427"/>
      <w:bookmarkStart w:id="5" w:name="_Toc8099"/>
      <w:bookmarkStart w:id="6" w:name="_Toc12502"/>
      <w:bookmarkStart w:id="7" w:name="_Toc486167706"/>
      <w:bookmarkStart w:id="8" w:name="_Toc21446"/>
      <w:bookmarkStart w:id="9" w:name="_Toc14879"/>
      <w:r>
        <w:rPr>
          <w:rFonts w:hint="eastAsia" w:ascii="宋体" w:hAnsi="宋体" w:eastAsia="宋体" w:cs="宋体"/>
          <w:b/>
          <w:bCs/>
          <w:color w:val="auto"/>
          <w:kern w:val="44"/>
          <w:sz w:val="32"/>
          <w:szCs w:val="32"/>
          <w:highlight w:val="none"/>
          <w:lang w:val="zh-CN"/>
        </w:rPr>
        <w:t>用户需求书</w:t>
      </w:r>
      <w:bookmarkEnd w:id="0"/>
      <w:bookmarkEnd w:id="1"/>
      <w:bookmarkEnd w:id="2"/>
      <w:bookmarkEnd w:id="3"/>
      <w:bookmarkEnd w:id="4"/>
      <w:bookmarkEnd w:id="5"/>
      <w:bookmarkEnd w:id="6"/>
      <w:bookmarkEnd w:id="7"/>
      <w:bookmarkEnd w:id="8"/>
      <w:bookmarkEnd w:id="9"/>
    </w:p>
    <w:bookmarkEnd w:id="10"/>
    <w:p w14:paraId="7D97A895">
      <w:pPr>
        <w:tabs>
          <w:tab w:val="left" w:pos="208"/>
        </w:tabs>
        <w:autoSpaceDE w:val="0"/>
        <w:autoSpaceDN w:val="0"/>
        <w:adjustRightInd w:val="0"/>
        <w:spacing w:line="360" w:lineRule="auto"/>
        <w:contextualSpacing/>
        <w:jc w:val="left"/>
        <w:rPr>
          <w:rFonts w:hint="eastAsia" w:ascii="宋体" w:hAnsi="宋体" w:eastAsia="宋体" w:cs="宋体"/>
          <w:b/>
          <w:color w:val="auto"/>
          <w:kern w:val="0"/>
          <w:sz w:val="21"/>
          <w:szCs w:val="21"/>
          <w:highlight w:val="none"/>
        </w:rPr>
      </w:pPr>
    </w:p>
    <w:p w14:paraId="46FD7162">
      <w:pPr>
        <w:keepNext w:val="0"/>
        <w:keepLines w:val="0"/>
        <w:pageBreakBefore w:val="0"/>
        <w:tabs>
          <w:tab w:val="left" w:pos="208"/>
        </w:tabs>
        <w:kinsoku/>
        <w:overflowPunct/>
        <w:topLinePunct w:val="0"/>
        <w:bidi w:val="0"/>
        <w:snapToGrid/>
        <w:spacing w:line="360" w:lineRule="auto"/>
        <w:ind w:firstLine="422" w:firstLineChars="200"/>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一、项目概况</w:t>
      </w:r>
    </w:p>
    <w:p w14:paraId="2AA2D2CA">
      <w:pPr>
        <w:keepNext w:val="0"/>
        <w:keepLines w:val="0"/>
        <w:pageBreakBefore w:val="0"/>
        <w:kinsoku/>
        <w:overflowPunct/>
        <w:topLinePunct w:val="0"/>
        <w:bidi w:val="0"/>
        <w:snapToGrid/>
        <w:spacing w:line="360" w:lineRule="auto"/>
        <w:ind w:left="0"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为了做好食堂规范管理工作，确保符合食品安全、卫生要求，东莞市水务集团净水有限公司拟对下属厂区</w:t>
      </w:r>
      <w:r>
        <w:rPr>
          <w:rFonts w:hint="eastAsia" w:ascii="宋体" w:hAnsi="宋体" w:eastAsia="宋体" w:cs="宋体"/>
          <w:color w:val="auto"/>
          <w:sz w:val="21"/>
          <w:szCs w:val="21"/>
          <w:highlight w:val="none"/>
          <w:lang w:val="en-US" w:eastAsia="zh-CN"/>
        </w:rPr>
        <w:t>33</w:t>
      </w:r>
      <w:r>
        <w:rPr>
          <w:rFonts w:hint="eastAsia" w:ascii="宋体" w:hAnsi="宋体" w:eastAsia="宋体" w:cs="宋体"/>
          <w:color w:val="auto"/>
          <w:sz w:val="21"/>
          <w:szCs w:val="21"/>
          <w:highlight w:val="none"/>
        </w:rPr>
        <w:t>个员工食堂的食品原材料等配送的供货资格进行招标。</w:t>
      </w:r>
      <w:r>
        <w:rPr>
          <w:rFonts w:hint="eastAsia" w:ascii="宋体" w:hAnsi="宋体" w:eastAsia="宋体" w:cs="宋体"/>
          <w:color w:val="auto"/>
          <w:sz w:val="21"/>
          <w:szCs w:val="21"/>
          <w:highlight w:val="none"/>
          <w:lang w:val="zh-CN"/>
        </w:rPr>
        <w:t>凡符合配送准入条件的企业</w:t>
      </w:r>
      <w:r>
        <w:rPr>
          <w:rFonts w:hint="eastAsia" w:ascii="宋体" w:hAnsi="宋体" w:eastAsia="宋体" w:cs="宋体"/>
          <w:color w:val="auto"/>
          <w:sz w:val="21"/>
          <w:szCs w:val="21"/>
          <w:highlight w:val="none"/>
        </w:rPr>
        <w:t>均可参与竞标。</w:t>
      </w:r>
    </w:p>
    <w:p w14:paraId="7A68E8D8">
      <w:pPr>
        <w:keepNext w:val="0"/>
        <w:keepLines w:val="0"/>
        <w:pageBreakBefore w:val="0"/>
        <w:tabs>
          <w:tab w:val="left" w:pos="1800"/>
        </w:tabs>
        <w:kinsoku/>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本项目配送地点：东莞市水务集团净水有限公司</w:t>
      </w:r>
      <w:r>
        <w:rPr>
          <w:rFonts w:hint="eastAsia" w:ascii="宋体" w:hAnsi="宋体" w:eastAsia="宋体" w:cs="宋体"/>
          <w:color w:val="auto"/>
          <w:sz w:val="21"/>
          <w:szCs w:val="21"/>
          <w:highlight w:val="none"/>
          <w:lang w:val="en-US" w:eastAsia="zh-CN"/>
        </w:rPr>
        <w:t>33</w:t>
      </w:r>
      <w:r>
        <w:rPr>
          <w:rFonts w:hint="eastAsia" w:ascii="宋体" w:hAnsi="宋体" w:eastAsia="宋体" w:cs="宋体"/>
          <w:color w:val="auto"/>
          <w:sz w:val="21"/>
          <w:szCs w:val="21"/>
          <w:highlight w:val="none"/>
        </w:rPr>
        <w:t>个员工食堂（具体地址见附件1）。招募食堂餐饮食品配送公司配送主副食，调味料、农副产品和其他食品。</w:t>
      </w:r>
    </w:p>
    <w:p w14:paraId="7DF84514">
      <w:pPr>
        <w:keepNext w:val="0"/>
        <w:keepLines w:val="0"/>
        <w:pageBreakBefore w:val="0"/>
        <w:tabs>
          <w:tab w:val="left" w:pos="1800"/>
        </w:tabs>
        <w:kinsoku/>
        <w:overflowPunct/>
        <w:topLinePunct w:val="0"/>
        <w:bidi w:val="0"/>
        <w:snapToGrid/>
        <w:spacing w:line="360" w:lineRule="auto"/>
        <w:ind w:firstLine="525" w:firstLineChars="250"/>
        <w:rPr>
          <w:rFonts w:hint="eastAsia" w:ascii="宋体" w:hAnsi="宋体" w:eastAsia="宋体" w:cs="宋体"/>
          <w:color w:val="auto"/>
          <w:sz w:val="21"/>
          <w:szCs w:val="21"/>
          <w:highlight w:val="none"/>
        </w:rPr>
      </w:pPr>
    </w:p>
    <w:p w14:paraId="5405602A">
      <w:pPr>
        <w:keepNext w:val="0"/>
        <w:keepLines w:val="0"/>
        <w:pageBreakBefore w:val="0"/>
        <w:kinsoku/>
        <w:overflowPunct/>
        <w:topLinePunct w:val="0"/>
        <w:bidi w:val="0"/>
        <w:snapToGrid/>
        <w:spacing w:line="360" w:lineRule="auto"/>
        <w:ind w:firstLine="422" w:firstLineChars="200"/>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二、配送情况 </w:t>
      </w:r>
    </w:p>
    <w:p w14:paraId="5095CF88">
      <w:pPr>
        <w:keepNext w:val="0"/>
        <w:keepLines w:val="0"/>
        <w:pageBreakBefore w:val="0"/>
        <w:kinsoku/>
        <w:overflowPunct/>
        <w:topLinePunct w:val="0"/>
        <w:autoSpaceDE w:val="0"/>
        <w:autoSpaceDN w:val="0"/>
        <w:bidi w:val="0"/>
        <w:adjustRightInd w:val="0"/>
        <w:snapToGri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本项目通过公开招标确定一家食堂食材配送单位，与招标人权属子公司签订</w:t>
      </w:r>
      <w:r>
        <w:rPr>
          <w:rFonts w:hint="eastAsia" w:ascii="宋体" w:hAnsi="宋体" w:eastAsia="宋体" w:cs="宋体"/>
          <w:color w:val="auto"/>
          <w:sz w:val="21"/>
          <w:szCs w:val="21"/>
          <w:highlight w:val="none"/>
          <w:lang w:val="en-US" w:eastAsia="zh-CN"/>
        </w:rPr>
        <w:t>食材</w:t>
      </w:r>
      <w:r>
        <w:rPr>
          <w:rFonts w:hint="eastAsia" w:ascii="宋体" w:hAnsi="宋体" w:eastAsia="宋体" w:cs="宋体"/>
          <w:color w:val="auto"/>
          <w:sz w:val="21"/>
          <w:szCs w:val="21"/>
          <w:highlight w:val="none"/>
        </w:rPr>
        <w:t>配送合同</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rPr>
        <w:t>投标人为招标人权属子公司提供配送的品种包括：肉类（猪肉类、牛肉类、冻品类、禽类、腊味类、淡水鱼类、海水鱼类以及相关冰鲜水产品）、调配料、腌菜、干货及蛋品、蔬菜类、水果及食用菌类、点心、豆制品、面食类、粉面、大米类、食用油类、奶制品雪糕饮料类等。</w:t>
      </w:r>
      <w:r>
        <w:rPr>
          <w:rFonts w:hint="eastAsia" w:ascii="宋体" w:hAnsi="宋体" w:eastAsia="宋体" w:cs="宋体"/>
          <w:color w:val="auto"/>
          <w:kern w:val="0"/>
          <w:sz w:val="21"/>
          <w:szCs w:val="21"/>
          <w:highlight w:val="none"/>
        </w:rPr>
        <w:t>预计数量仅为方便合计投标报价使用，不作为招标人或招标人权属子公司最终采购数量的保证，不因实际采购数量的减少或增加而要求招标人或招标人权属子公司提供任何形式的补偿或赔偿。</w:t>
      </w:r>
    </w:p>
    <w:p w14:paraId="2C46848E">
      <w:pPr>
        <w:keepNext w:val="0"/>
        <w:keepLines w:val="0"/>
        <w:pageBreakBefore w:val="0"/>
        <w:kinsoku/>
        <w:overflowPunct/>
        <w:topLinePunct w:val="0"/>
        <w:bidi w:val="0"/>
        <w:adjustRightInd w:val="0"/>
        <w:snapToGrid/>
        <w:spacing w:line="360" w:lineRule="auto"/>
        <w:contextualSpacing/>
        <w:rPr>
          <w:rFonts w:hint="eastAsia" w:ascii="宋体" w:hAnsi="宋体" w:eastAsia="宋体" w:cs="宋体"/>
          <w:b/>
          <w:bCs/>
          <w:color w:val="auto"/>
          <w:sz w:val="21"/>
          <w:szCs w:val="21"/>
          <w:highlight w:val="none"/>
        </w:rPr>
      </w:pPr>
    </w:p>
    <w:p w14:paraId="1816710F">
      <w:pPr>
        <w:keepNext w:val="0"/>
        <w:keepLines w:val="0"/>
        <w:pageBreakBefore w:val="0"/>
        <w:kinsoku/>
        <w:overflowPunct/>
        <w:topLinePunct w:val="0"/>
        <w:bidi w:val="0"/>
        <w:adjustRightInd w:val="0"/>
        <w:snapToGrid/>
        <w:spacing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三、总体要求</w:t>
      </w:r>
    </w:p>
    <w:p w14:paraId="118D5D76">
      <w:pPr>
        <w:keepNext w:val="0"/>
        <w:keepLines w:val="0"/>
        <w:pageBreakBefore w:val="0"/>
        <w:kinsoku/>
        <w:overflowPunct/>
        <w:topLinePunct w:val="0"/>
        <w:bidi w:val="0"/>
        <w:snapToGrid/>
        <w:spacing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（一）服务期限</w:t>
      </w:r>
    </w:p>
    <w:p w14:paraId="24DEFCE1">
      <w:pPr>
        <w:keepNext w:val="0"/>
        <w:keepLines w:val="0"/>
        <w:pageBreakBefore w:val="0"/>
        <w:kinsoku/>
        <w:overflowPunct/>
        <w:topLinePunct w:val="0"/>
        <w:bidi w:val="0"/>
        <w:snapToGrid/>
        <w:spacing w:line="360" w:lineRule="auto"/>
        <w:ind w:firstLine="420" w:firstLineChars="2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服务期从</w:t>
      </w:r>
      <w:r>
        <w:rPr>
          <w:rFonts w:hint="eastAsia" w:ascii="宋体" w:hAnsi="宋体" w:eastAsia="宋体" w:cs="宋体"/>
          <w:bCs/>
          <w:color w:val="auto"/>
          <w:sz w:val="21"/>
          <w:szCs w:val="21"/>
          <w:highlight w:val="none"/>
          <w:lang w:val="en-US" w:eastAsia="zh-CN"/>
        </w:rPr>
        <w:t>招标人书面通知之日</w:t>
      </w:r>
      <w:r>
        <w:rPr>
          <w:rFonts w:hint="eastAsia" w:ascii="宋体" w:hAnsi="宋体" w:eastAsia="宋体" w:cs="宋体"/>
          <w:bCs/>
          <w:color w:val="auto"/>
          <w:sz w:val="21"/>
          <w:szCs w:val="21"/>
          <w:highlight w:val="none"/>
        </w:rPr>
        <w:t>起至202</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日止</w:t>
      </w:r>
      <w:r>
        <w:rPr>
          <w:rFonts w:hint="eastAsia" w:ascii="宋体" w:hAnsi="宋体" w:eastAsia="宋体" w:cs="宋体"/>
          <w:color w:val="auto"/>
          <w:sz w:val="21"/>
          <w:szCs w:val="21"/>
          <w:highlight w:val="none"/>
        </w:rPr>
        <w:t>。</w:t>
      </w:r>
    </w:p>
    <w:p w14:paraId="33899EE4">
      <w:pPr>
        <w:keepNext w:val="0"/>
        <w:keepLines w:val="0"/>
        <w:pageBreakBefore w:val="0"/>
        <w:kinsoku/>
        <w:overflowPunct/>
        <w:topLinePunct w:val="0"/>
        <w:bidi w:val="0"/>
        <w:snapToGrid/>
        <w:spacing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（二）付款方法</w:t>
      </w:r>
    </w:p>
    <w:p w14:paraId="20F5293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中标人按招标人权属子公司的每次订单提交货物，由招标人权属子公司收货验收并签字确认。招标人权属子公司每月与中标人按实际产生量结算一次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备注：</w:t>
      </w:r>
      <w:r>
        <w:rPr>
          <w:rFonts w:hint="eastAsia" w:ascii="宋体" w:hAnsi="宋体" w:eastAsia="宋体" w:cs="宋体"/>
          <w:color w:val="auto"/>
          <w:sz w:val="21"/>
          <w:szCs w:val="21"/>
          <w:highlight w:val="none"/>
        </w:rPr>
        <w:t>各个</w:t>
      </w:r>
      <w:r>
        <w:rPr>
          <w:rFonts w:hint="eastAsia" w:ascii="宋体" w:hAnsi="宋体" w:eastAsia="宋体" w:cs="宋体"/>
          <w:color w:val="auto"/>
          <w:sz w:val="21"/>
          <w:szCs w:val="21"/>
          <w:highlight w:val="none"/>
          <w:lang w:val="en-US" w:eastAsia="zh-CN"/>
        </w:rPr>
        <w:t>厂区依据“厂区</w:t>
      </w:r>
      <w:r>
        <w:rPr>
          <w:rFonts w:hint="eastAsia" w:ascii="宋体" w:hAnsi="宋体" w:eastAsia="宋体" w:cs="宋体"/>
          <w:color w:val="auto"/>
          <w:sz w:val="21"/>
          <w:szCs w:val="21"/>
          <w:highlight w:val="none"/>
        </w:rPr>
        <w:t>对供货商考核评分表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的评分参照考核管理办法按实际情况结算）</w:t>
      </w:r>
      <w:r>
        <w:rPr>
          <w:rFonts w:hint="eastAsia" w:ascii="宋体" w:hAnsi="宋体" w:eastAsia="宋体" w:cs="宋体"/>
          <w:color w:val="auto"/>
          <w:sz w:val="21"/>
          <w:szCs w:val="21"/>
          <w:highlight w:val="none"/>
        </w:rPr>
        <w:t>。双方于每月10日（节假日顺延）对账核算上月采购货物明细，核对无误后，中标人按招标人权属子公司财务规定开具等额有效增值税普通发票，招标人权属子公司于收到发票及请款资料并确认无误后15个工作日内向中标人一次性支付结算款项。中标人延迟提供发票或提供发票不合格的，招标人权属子公司有权顺延付款时间而不承担任何违约责任。招标人权属子公司通过银行转账或银行承兑汇票方式支付相应款项至本合同中载明的中标人银行账户中，汇票期限不超过三个月，每期款项支付方式由招标人权属子公司决定。</w:t>
      </w:r>
    </w:p>
    <w:p w14:paraId="6999C528">
      <w:pPr>
        <w:keepNext w:val="0"/>
        <w:keepLines w:val="0"/>
        <w:pageBreakBefore w:val="0"/>
        <w:kinsoku/>
        <w:overflowPunct/>
        <w:topLinePunct w:val="0"/>
        <w:bidi w:val="0"/>
        <w:snapToGrid/>
        <w:spacing w:line="360" w:lineRule="auto"/>
        <w:contextualSpacing/>
        <w:rPr>
          <w:rFonts w:hint="eastAsia" w:ascii="宋体" w:hAnsi="宋体" w:eastAsia="宋体" w:cs="宋体"/>
          <w:b/>
          <w:bCs/>
          <w:color w:val="auto"/>
          <w:sz w:val="21"/>
          <w:szCs w:val="21"/>
          <w:highlight w:val="none"/>
        </w:rPr>
      </w:pPr>
    </w:p>
    <w:p w14:paraId="14F81720">
      <w:pPr>
        <w:keepNext w:val="0"/>
        <w:keepLines w:val="0"/>
        <w:pageBreakBefore w:val="0"/>
        <w:kinsoku/>
        <w:overflowPunct/>
        <w:topLinePunct w:val="0"/>
        <w:bidi w:val="0"/>
        <w:snapToGrid/>
        <w:spacing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四、具体要求</w:t>
      </w:r>
    </w:p>
    <w:p w14:paraId="7CECCDD4">
      <w:pPr>
        <w:keepNext w:val="0"/>
        <w:keepLines w:val="0"/>
        <w:pageBreakBefore w:val="0"/>
        <w:kinsoku/>
        <w:overflowPunct/>
        <w:topLinePunct w:val="0"/>
        <w:bidi w:val="0"/>
        <w:snapToGrid/>
        <w:spacing w:line="360" w:lineRule="auto"/>
        <w:ind w:firstLine="422" w:firstLineChars="200"/>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（一）采购内容</w:t>
      </w:r>
    </w:p>
    <w:p w14:paraId="3CBE7EAF">
      <w:pPr>
        <w:keepNext w:val="0"/>
        <w:keepLines w:val="0"/>
        <w:pageBreakBefore w:val="0"/>
        <w:kinsoku/>
        <w:overflowPunct/>
        <w:topLinePunct w:val="0"/>
        <w:bidi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w:t>
      </w:r>
      <w:r>
        <w:rPr>
          <w:rFonts w:hint="eastAsia" w:ascii="宋体" w:hAnsi="宋体" w:eastAsia="宋体" w:cs="宋体"/>
          <w:color w:val="auto"/>
          <w:sz w:val="21"/>
          <w:szCs w:val="21"/>
          <w:highlight w:val="none"/>
          <w:lang w:val="en-US" w:eastAsia="zh-CN"/>
        </w:rPr>
        <w:t>服务单位</w:t>
      </w:r>
      <w:r>
        <w:rPr>
          <w:rFonts w:hint="eastAsia" w:ascii="宋体" w:hAnsi="宋体" w:eastAsia="宋体" w:cs="宋体"/>
          <w:color w:val="auto"/>
          <w:sz w:val="21"/>
          <w:szCs w:val="21"/>
          <w:highlight w:val="none"/>
        </w:rPr>
        <w:t>提供食堂食材采购及配送服务，供货内容包括但不限于以下：</w:t>
      </w:r>
    </w:p>
    <w:p w14:paraId="0AF864B4">
      <w:pPr>
        <w:keepNext w:val="0"/>
        <w:keepLines w:val="0"/>
        <w:pageBreakBefore w:val="0"/>
        <w:kinsoku/>
        <w:overflowPunct/>
        <w:topLinePunct w:val="0"/>
        <w:bidi w:val="0"/>
        <w:snapToGrid/>
        <w:spacing w:line="360" w:lineRule="auto"/>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A类（粮油干货类）：大米、食用油、调味品、干货、杂货、米粉面粉类等食品材料</w:t>
      </w:r>
      <w:r>
        <w:rPr>
          <w:rFonts w:hint="eastAsia" w:ascii="宋体" w:hAnsi="宋体" w:eastAsia="宋体" w:cs="宋体"/>
          <w:color w:val="auto"/>
          <w:sz w:val="21"/>
          <w:szCs w:val="21"/>
          <w:highlight w:val="none"/>
          <w:lang w:eastAsia="zh-CN"/>
        </w:rPr>
        <w:t>。</w:t>
      </w:r>
    </w:p>
    <w:p w14:paraId="110793F3">
      <w:pPr>
        <w:keepNext w:val="0"/>
        <w:keepLines w:val="0"/>
        <w:pageBreakBefore w:val="0"/>
        <w:kinsoku/>
        <w:overflowPunct/>
        <w:topLinePunct w:val="0"/>
        <w:bidi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B类（肉类）：生鲜猪、牛、羊、三鸟，鱼及冰冻水产、畜、禽肉类。</w:t>
      </w:r>
    </w:p>
    <w:p w14:paraId="0950909C">
      <w:pPr>
        <w:keepNext w:val="0"/>
        <w:keepLines w:val="0"/>
        <w:pageBreakBefore w:val="0"/>
        <w:kinsoku/>
        <w:overflowPunct/>
        <w:topLinePunct w:val="0"/>
        <w:bidi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C类（蔬果类）：生鲜农副产品，其他食品。</w:t>
      </w:r>
    </w:p>
    <w:p w14:paraId="78C311C3">
      <w:pPr>
        <w:keepNext w:val="0"/>
        <w:keepLines w:val="0"/>
        <w:pageBreakBefore w:val="0"/>
        <w:kinsoku/>
        <w:overflowPunct/>
        <w:topLinePunct w:val="0"/>
        <w:bidi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D类（奶制品雪糕饮料类）：牛奶、酸奶、雪糕、饮料等。</w:t>
      </w:r>
    </w:p>
    <w:p w14:paraId="78531615">
      <w:pPr>
        <w:keepNext w:val="0"/>
        <w:keepLines w:val="0"/>
        <w:pageBreakBefore w:val="0"/>
        <w:kinsoku/>
        <w:overflowPunct/>
        <w:topLinePunct w:val="0"/>
        <w:bidi w:val="0"/>
        <w:snapToGrid/>
        <w:spacing w:line="360" w:lineRule="auto"/>
        <w:ind w:firstLine="422" w:firstLineChars="200"/>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就餐人数</w:t>
      </w:r>
    </w:p>
    <w:p w14:paraId="39185770">
      <w:pPr>
        <w:keepNext w:val="0"/>
        <w:keepLines w:val="0"/>
        <w:pageBreakBefore w:val="0"/>
        <w:kinsoku/>
        <w:overflowPunct/>
        <w:topLinePunct w:val="0"/>
        <w:bidi w:val="0"/>
        <w:snapToGrid/>
        <w:spacing w:line="360" w:lineRule="auto"/>
        <w:ind w:firstLine="420" w:firstLineChars="200"/>
        <w:contextualSpacing/>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202</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年</w:t>
      </w:r>
      <w:r>
        <w:rPr>
          <w:rFonts w:hint="eastAsia" w:ascii="宋体" w:hAnsi="宋体" w:eastAsia="宋体" w:cs="宋体"/>
          <w:color w:val="auto"/>
          <w:sz w:val="21"/>
          <w:szCs w:val="21"/>
          <w:highlight w:val="none"/>
          <w:lang w:val="en-US" w:eastAsia="zh-CN"/>
        </w:rPr>
        <w:t>-2027年6月</w:t>
      </w:r>
      <w:r>
        <w:rPr>
          <w:rFonts w:hint="eastAsia" w:ascii="宋体" w:hAnsi="宋体" w:eastAsia="宋体" w:cs="宋体"/>
          <w:color w:val="auto"/>
          <w:sz w:val="21"/>
          <w:szCs w:val="21"/>
          <w:highlight w:val="none"/>
        </w:rPr>
        <w:t>东莞市水务集团净水有限公司本部和运营厂区员工食堂，</w:t>
      </w:r>
      <w:r>
        <w:rPr>
          <w:rFonts w:hint="eastAsia" w:ascii="宋体" w:hAnsi="宋体" w:eastAsia="宋体" w:cs="宋体"/>
          <w:color w:val="auto"/>
          <w:sz w:val="21"/>
          <w:szCs w:val="21"/>
          <w:highlight w:val="none"/>
          <w:lang w:val="en-US" w:eastAsia="zh-CN"/>
        </w:rPr>
        <w:t>工作日</w:t>
      </w:r>
      <w:r>
        <w:rPr>
          <w:rFonts w:hint="eastAsia" w:ascii="宋体" w:hAnsi="宋体" w:eastAsia="宋体" w:cs="宋体"/>
          <w:color w:val="auto"/>
          <w:sz w:val="21"/>
          <w:szCs w:val="21"/>
          <w:highlight w:val="none"/>
        </w:rPr>
        <w:t>每天平均用餐人数合共约</w:t>
      </w:r>
      <w:r>
        <w:rPr>
          <w:rFonts w:hint="eastAsia" w:ascii="宋体" w:hAnsi="宋体" w:eastAsia="宋体" w:cs="宋体"/>
          <w:color w:val="auto"/>
          <w:sz w:val="21"/>
          <w:szCs w:val="21"/>
          <w:highlight w:val="none"/>
          <w:lang w:val="en-US" w:eastAsia="zh-CN"/>
        </w:rPr>
        <w:t>1344</w:t>
      </w:r>
      <w:r>
        <w:rPr>
          <w:rFonts w:hint="eastAsia" w:ascii="宋体" w:hAnsi="宋体" w:eastAsia="宋体" w:cs="宋体"/>
          <w:color w:val="auto"/>
          <w:sz w:val="21"/>
          <w:szCs w:val="21"/>
          <w:highlight w:val="none"/>
        </w:rPr>
        <w:t>人（具体就餐人数以实际为准）。</w:t>
      </w:r>
    </w:p>
    <w:p w14:paraId="7E6AD43F">
      <w:pPr>
        <w:keepNext w:val="0"/>
        <w:keepLines w:val="0"/>
        <w:pageBreakBefore w:val="0"/>
        <w:kinsoku/>
        <w:overflowPunct/>
        <w:topLinePunct w:val="0"/>
        <w:bidi w:val="0"/>
        <w:snapToGrid/>
        <w:spacing w:line="360" w:lineRule="auto"/>
        <w:ind w:firstLine="422" w:firstLineChars="200"/>
        <w:contextualSpacing/>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（三）供货地点</w:t>
      </w:r>
    </w:p>
    <w:p w14:paraId="2BFBB2C2">
      <w:pPr>
        <w:keepNext w:val="0"/>
        <w:keepLines w:val="0"/>
        <w:pageBreakBefore w:val="0"/>
        <w:kinsoku/>
        <w:overflowPunct/>
        <w:topLinePunct w:val="0"/>
        <w:bidi w:val="0"/>
        <w:snapToGrid/>
        <w:spacing w:line="360" w:lineRule="auto"/>
        <w:ind w:firstLine="420" w:firstLineChars="200"/>
        <w:contextualSpacing/>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供货地点：东莞市水务集团净水有限公司下属厂区员工食堂，具体地址详见附件1</w:t>
      </w:r>
      <w:r>
        <w:rPr>
          <w:rFonts w:hint="eastAsia" w:ascii="宋体" w:hAnsi="宋体" w:eastAsia="宋体" w:cs="宋体"/>
          <w:bCs/>
          <w:color w:val="auto"/>
          <w:sz w:val="21"/>
          <w:szCs w:val="21"/>
          <w:highlight w:val="none"/>
          <w:lang w:eastAsia="zh-CN"/>
        </w:rPr>
        <w:t>。</w:t>
      </w:r>
    </w:p>
    <w:p w14:paraId="2F22A1F9">
      <w:pPr>
        <w:keepNext w:val="0"/>
        <w:keepLines w:val="0"/>
        <w:pageBreakBefore w:val="0"/>
        <w:kinsoku/>
        <w:overflowPunct/>
        <w:topLinePunct w:val="0"/>
        <w:bidi w:val="0"/>
        <w:snapToGrid/>
        <w:spacing w:line="360" w:lineRule="auto"/>
        <w:ind w:firstLine="422" w:firstLineChars="200"/>
        <w:contextualSpacing/>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（四）定价及定价周期</w:t>
      </w:r>
    </w:p>
    <w:p w14:paraId="58F2BB19">
      <w:pPr>
        <w:keepNext w:val="0"/>
        <w:keepLines w:val="0"/>
        <w:pageBreakBefore w:val="0"/>
        <w:kinsoku/>
        <w:overflowPunct/>
        <w:topLinePunct w:val="0"/>
        <w:bidi w:val="0"/>
        <w:snapToGrid/>
        <w:spacing w:line="360" w:lineRule="auto"/>
        <w:ind w:firstLine="422" w:firstLineChars="200"/>
        <w:contextualSpacing/>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1.招标人和中标人按以下方式确定供货价格（定价原则）：</w:t>
      </w:r>
    </w:p>
    <w:p w14:paraId="5E5F7429">
      <w:pPr>
        <w:keepNext w:val="0"/>
        <w:keepLines w:val="0"/>
        <w:pageBreakBefore w:val="0"/>
        <w:kinsoku/>
        <w:wordWrap w:val="0"/>
        <w:overflowPunct/>
        <w:topLinePunct w:val="0"/>
        <w:bidi w:val="0"/>
        <w:snapToGrid/>
        <w:spacing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1.1原则上以东莞市发展和改革局（http://dgdp.dg.gov.cn/jggl，网址仅供参考，具体以东莞市发展和改革局官方网址发布的为准）“东莞市菜篮子价格监测表” 当月最新公布本期（指招标人或招标人权属子公司审批之日的最新期次）价格作为基准价抽样审核；若东莞物价专栏无最近当月份公布</w:t>
      </w:r>
      <w:r>
        <w:rPr>
          <w:rFonts w:hint="eastAsia" w:ascii="宋体" w:hAnsi="宋体" w:eastAsia="宋体" w:cs="宋体"/>
          <w:b/>
          <w:bCs/>
          <w:color w:val="auto"/>
          <w:sz w:val="21"/>
          <w:szCs w:val="21"/>
          <w:highlight w:val="none"/>
          <w:lang w:val="en-US" w:eastAsia="zh-CN"/>
        </w:rPr>
        <w:t>与</w:t>
      </w:r>
      <w:r>
        <w:rPr>
          <w:rFonts w:hint="eastAsia" w:ascii="宋体" w:hAnsi="宋体" w:eastAsia="宋体" w:cs="宋体"/>
          <w:b/>
          <w:bCs/>
          <w:color w:val="auto"/>
          <w:sz w:val="21"/>
          <w:szCs w:val="21"/>
          <w:highlight w:val="none"/>
        </w:rPr>
        <w:t>招标人或招标人权属子公司所需的相同品种，则招标人或招标人权属子公司将对本市区农副产品市场（莞城细村市场）的市场零售价（与中标人供货产品等级、质量相近的产品零售价）进行抽样调查，核定相同品种的市场价格，同时为合同监督食品报价作</w:t>
      </w:r>
      <w:r>
        <w:rPr>
          <w:rFonts w:hint="eastAsia" w:ascii="宋体" w:hAnsi="宋体" w:eastAsia="宋体" w:cs="宋体"/>
          <w:b/>
          <w:bCs/>
          <w:color w:val="auto"/>
          <w:sz w:val="21"/>
          <w:szCs w:val="21"/>
          <w:highlight w:val="none"/>
          <w:lang w:eastAsia="zh-CN"/>
        </w:rPr>
        <w:t>依据</w:t>
      </w:r>
      <w:r>
        <w:rPr>
          <w:rFonts w:hint="eastAsia" w:ascii="宋体" w:hAnsi="宋体" w:eastAsia="宋体" w:cs="宋体"/>
          <w:b/>
          <w:bCs/>
          <w:color w:val="auto"/>
          <w:sz w:val="21"/>
          <w:szCs w:val="21"/>
          <w:highlight w:val="none"/>
        </w:rPr>
        <w:t>。</w:t>
      </w:r>
    </w:p>
    <w:p w14:paraId="1CB7B6AC">
      <w:pPr>
        <w:keepNext w:val="0"/>
        <w:keepLines w:val="0"/>
        <w:pageBreakBefore w:val="0"/>
        <w:kinsoku/>
        <w:overflowPunct/>
        <w:topLinePunct w:val="0"/>
        <w:bidi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临时委托采购：中标人必须按照招标人权属子公司急需餐料物资品种、数量、送货时间、地点等在2小时内进行供货，若急需餐料物资不在供货物资清单表上，该项临时需求食品材料纳入下次供货清单内，并按上述定价原则确定供货价。</w:t>
      </w:r>
    </w:p>
    <w:p w14:paraId="4490D497">
      <w:pPr>
        <w:keepNext w:val="0"/>
        <w:keepLines w:val="0"/>
        <w:pageBreakBefore w:val="0"/>
        <w:kinsoku/>
        <w:overflowPunct/>
        <w:topLinePunct w:val="0"/>
        <w:bidi w:val="0"/>
        <w:adjustRightInd/>
        <w:snapToGrid/>
        <w:spacing w:line="360" w:lineRule="auto"/>
        <w:ind w:firstLine="420" w:firstLineChars="2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.定价周期</w:t>
      </w:r>
    </w:p>
    <w:p w14:paraId="1F4AD90B">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.1A类（粮油干货类）、B类（肉类）、C类（蔬果类、其他类项）、D类（奶制品雪糕饮料类）价格每半月更新一次，中标人每月12日前提交下半月报价给招标人权属子公司审核，每月</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日前提交下个月上半月报价给招标人权属子公司审核。</w:t>
      </w:r>
    </w:p>
    <w:p w14:paraId="05DA20B1">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所供货品规格、型号报价与实际配送的规格型号相符合。核定价格后若供货时期市场出现部份类型餐料价格大幅浮动，升降在30%或以上时，双方均可以书面形式提出价格调整请求（未提出调整请求的部分则以原核定价格执行），双方通过市场调查核实后，上述定价原则确定的价格（双方确认生效后开始以新的价格执行，在此之前的仍以原核定价格执行），并在3个工作日内给予函复，若在此期限内不予函复则以</w:t>
      </w:r>
      <w:r>
        <w:rPr>
          <w:rFonts w:hint="eastAsia" w:ascii="宋体" w:hAnsi="宋体" w:eastAsia="宋体" w:cs="宋体"/>
          <w:color w:val="auto"/>
          <w:sz w:val="21"/>
          <w:szCs w:val="21"/>
          <w:highlight w:val="none"/>
          <w:lang w:val="en-US" w:eastAsia="zh-CN"/>
        </w:rPr>
        <w:t>原核</w:t>
      </w:r>
      <w:r>
        <w:rPr>
          <w:rFonts w:hint="eastAsia" w:ascii="宋体" w:hAnsi="宋体" w:eastAsia="宋体" w:cs="宋体"/>
          <w:color w:val="auto"/>
          <w:sz w:val="21"/>
          <w:szCs w:val="21"/>
          <w:highlight w:val="none"/>
        </w:rPr>
        <w:t>定价格执行，除此之外，双方约定的供货物资价格在有效期内任何一方不得随意更改。</w:t>
      </w:r>
    </w:p>
    <w:p w14:paraId="2F7EA1A3">
      <w:pPr>
        <w:keepNext w:val="0"/>
        <w:keepLines w:val="0"/>
        <w:pageBreakBefore w:val="0"/>
        <w:kinsoku/>
        <w:overflowPunct/>
        <w:topLinePunct w:val="0"/>
        <w:bidi w:val="0"/>
        <w:snapToGrid/>
        <w:spacing w:line="360" w:lineRule="auto"/>
        <w:ind w:firstLine="211" w:firstLineChars="100"/>
        <w:contextualSpacing/>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（五）考核管理</w:t>
      </w:r>
    </w:p>
    <w:p w14:paraId="76B24572">
      <w:pPr>
        <w:keepNext w:val="0"/>
        <w:keepLines w:val="0"/>
        <w:pageBreakBefore w:val="0"/>
        <w:kinsoku/>
        <w:overflowPunct/>
        <w:topLinePunct w:val="0"/>
        <w:bidi w:val="0"/>
        <w:snapToGrid/>
        <w:spacing w:line="360" w:lineRule="auto"/>
        <w:ind w:firstLine="420" w:firstLineChars="200"/>
        <w:contextualSpacing/>
        <w:rPr>
          <w:rFonts w:hint="eastAsia" w:ascii="宋体" w:hAnsi="宋体" w:eastAsia="宋体" w:cs="宋体"/>
          <w:b/>
          <w:color w:val="auto"/>
          <w:sz w:val="21"/>
          <w:szCs w:val="21"/>
          <w:highlight w:val="none"/>
          <w:lang w:val="en-US"/>
        </w:rPr>
      </w:pPr>
      <w:r>
        <w:rPr>
          <w:rFonts w:hint="eastAsia" w:ascii="宋体" w:hAnsi="宋体" w:eastAsia="宋体" w:cs="宋体"/>
          <w:bCs/>
          <w:color w:val="auto"/>
          <w:sz w:val="21"/>
          <w:szCs w:val="21"/>
          <w:highlight w:val="none"/>
        </w:rPr>
        <w:t>1.招标人权属子公司每月安排相关人员对中标人进行服务质量跟踪，一个月为一个考核期，各个食堂填写“</w:t>
      </w:r>
      <w:r>
        <w:rPr>
          <w:rFonts w:hint="eastAsia" w:ascii="宋体" w:hAnsi="宋体" w:eastAsia="宋体" w:cs="宋体"/>
          <w:bCs/>
          <w:color w:val="auto"/>
          <w:sz w:val="21"/>
          <w:szCs w:val="21"/>
          <w:highlight w:val="none"/>
          <w:lang w:val="en-US" w:eastAsia="zh-CN"/>
        </w:rPr>
        <w:t>厂区</w:t>
      </w:r>
      <w:r>
        <w:rPr>
          <w:rFonts w:hint="eastAsia" w:ascii="宋体" w:hAnsi="宋体" w:eastAsia="宋体" w:cs="宋体"/>
          <w:bCs/>
          <w:color w:val="auto"/>
          <w:sz w:val="21"/>
          <w:szCs w:val="21"/>
          <w:highlight w:val="none"/>
        </w:rPr>
        <w:t>对供货商考核评分表”（附件2）具体如下：</w:t>
      </w:r>
      <w:r>
        <w:rPr>
          <w:rFonts w:hint="eastAsia" w:ascii="宋体" w:hAnsi="宋体" w:eastAsia="宋体" w:cs="宋体"/>
          <w:b/>
          <w:bCs w:val="0"/>
          <w:color w:val="auto"/>
          <w:sz w:val="21"/>
          <w:szCs w:val="21"/>
          <w:highlight w:val="none"/>
        </w:rPr>
        <w:t>对中标人分别配送的食堂考核调查，考核成绩90分（含）以上</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当月配送费用按100%支付；对考核成绩低于90分的，下达整改意见书，同时对考核成绩为80分（含）-90分的，当月配送费用按90%支付；对考核成绩70分（含）-80分的，当月配送费用按80%支付；对考核成绩为70分以下的，当月配送费用按70%支付；</w:t>
      </w:r>
      <w:r>
        <w:rPr>
          <w:rFonts w:hint="eastAsia" w:ascii="宋体" w:hAnsi="宋体" w:eastAsia="宋体" w:cs="宋体"/>
          <w:b/>
          <w:bCs w:val="0"/>
          <w:color w:val="auto"/>
          <w:sz w:val="21"/>
          <w:szCs w:val="21"/>
          <w:highlight w:val="none"/>
          <w:lang w:val="en-US" w:eastAsia="zh-CN"/>
        </w:rPr>
        <w:t>若出现下述情况之一，将采取</w:t>
      </w:r>
      <w:r>
        <w:rPr>
          <w:rFonts w:hint="eastAsia" w:ascii="宋体" w:hAnsi="宋体" w:eastAsia="宋体" w:cs="宋体"/>
          <w:b/>
          <w:bCs w:val="0"/>
          <w:color w:val="auto"/>
          <w:sz w:val="21"/>
          <w:szCs w:val="21"/>
          <w:highlight w:val="none"/>
        </w:rPr>
        <w:t>一票否决</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只支付当月实际配送费用的70%，并且</w:t>
      </w:r>
      <w:r>
        <w:rPr>
          <w:rFonts w:hint="eastAsia" w:ascii="宋体" w:hAnsi="宋体" w:eastAsia="宋体" w:cs="宋体"/>
          <w:b/>
          <w:bCs w:val="0"/>
          <w:color w:val="auto"/>
          <w:sz w:val="21"/>
          <w:szCs w:val="21"/>
          <w:highlight w:val="none"/>
        </w:rPr>
        <w:t>招标人权属子公司</w:t>
      </w:r>
      <w:r>
        <w:rPr>
          <w:rFonts w:hint="eastAsia" w:ascii="宋体" w:hAnsi="宋体" w:eastAsia="宋体" w:cs="宋体"/>
          <w:b/>
          <w:bCs w:val="0"/>
          <w:color w:val="auto"/>
          <w:sz w:val="21"/>
          <w:szCs w:val="21"/>
          <w:highlight w:val="none"/>
          <w:lang w:val="en-US" w:eastAsia="zh-CN"/>
        </w:rPr>
        <w:t>有权终止</w:t>
      </w:r>
      <w:r>
        <w:rPr>
          <w:rFonts w:hint="eastAsia" w:ascii="宋体" w:hAnsi="宋体" w:eastAsia="宋体" w:cs="宋体"/>
          <w:b/>
          <w:bCs w:val="0"/>
          <w:color w:val="auto"/>
          <w:sz w:val="21"/>
          <w:szCs w:val="21"/>
          <w:highlight w:val="none"/>
        </w:rPr>
        <w:t>中标人</w:t>
      </w:r>
      <w:r>
        <w:rPr>
          <w:rFonts w:hint="eastAsia" w:ascii="宋体" w:hAnsi="宋体" w:eastAsia="宋体" w:cs="宋体"/>
          <w:b/>
          <w:bCs w:val="0"/>
          <w:color w:val="auto"/>
          <w:sz w:val="21"/>
          <w:szCs w:val="21"/>
          <w:highlight w:val="none"/>
          <w:lang w:val="en-US" w:eastAsia="zh-CN"/>
        </w:rPr>
        <w:t>的</w:t>
      </w:r>
      <w:r>
        <w:rPr>
          <w:rFonts w:hint="eastAsia" w:ascii="宋体" w:hAnsi="宋体" w:eastAsia="宋体" w:cs="宋体"/>
          <w:b/>
          <w:bCs w:val="0"/>
          <w:color w:val="auto"/>
          <w:sz w:val="21"/>
          <w:szCs w:val="21"/>
          <w:highlight w:val="none"/>
        </w:rPr>
        <w:t>配送合同</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同一食堂连续两个月考核低于80分，下达整改通知书且整改后仍未达90分；（2）中标人未经招标人权属子公司同意违规转包由第三方配进行配送；（3）因中标人原因导致招标人权属子公司有人员出现食物中毒。</w:t>
      </w:r>
    </w:p>
    <w:p w14:paraId="74D719FF">
      <w:pPr>
        <w:keepNext w:val="0"/>
        <w:keepLines w:val="0"/>
        <w:pageBreakBefore w:val="0"/>
        <w:kinsoku/>
        <w:overflowPunct/>
        <w:topLinePunct w:val="0"/>
        <w:bidi w:val="0"/>
        <w:adjustRightInd/>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2.中标人按照招标人提出的物品订货清单，不论数量多少，必须保证在规定的时间、地点送货。</w:t>
      </w:r>
    </w:p>
    <w:p w14:paraId="4E6CA287">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3.中标人对招标人提出的临时性服务要求应按招标人要求按时、按质、按量将货品送到指定地点。</w:t>
      </w:r>
    </w:p>
    <w:p w14:paraId="4E05D3B2">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4.中标人提供的货品必须符合国家食品卫生法规相关标准，保质、保量。不合格的货品，中标人必须包退包换。</w:t>
      </w:r>
    </w:p>
    <w:p w14:paraId="31655A39">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5.中标人提供的货品必须出示真实有效的合格证书、检验报告。</w:t>
      </w:r>
    </w:p>
    <w:p w14:paraId="6331D24B">
      <w:pPr>
        <w:keepNext w:val="0"/>
        <w:keepLines w:val="0"/>
        <w:pageBreakBefore w:val="0"/>
        <w:kinsoku/>
        <w:overflowPunct/>
        <w:topLinePunct w:val="0"/>
        <w:bidi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A类：食品材料按招标人要求定期提供有效检验合格报告；B类、C类食品要提交所有相关检验、检测证明报告；D类食品验收时需要剩余效期为保质期</w:t>
      </w:r>
      <w:r>
        <w:rPr>
          <w:rFonts w:hint="eastAsia" w:ascii="宋体" w:hAnsi="宋体" w:eastAsia="宋体" w:cs="宋体"/>
          <w:color w:val="auto"/>
          <w:sz w:val="21"/>
          <w:szCs w:val="21"/>
          <w:highlight w:val="none"/>
          <w:lang w:val="en-US" w:eastAsia="zh-CN"/>
        </w:rPr>
        <w:t>三分之二</w:t>
      </w:r>
      <w:r>
        <w:rPr>
          <w:rFonts w:hint="eastAsia" w:ascii="宋体" w:hAnsi="宋体" w:eastAsia="宋体" w:cs="宋体"/>
          <w:color w:val="auto"/>
          <w:sz w:val="21"/>
          <w:szCs w:val="21"/>
          <w:highlight w:val="none"/>
        </w:rPr>
        <w:t>以上，符合国家规定的质量卫生标准。</w:t>
      </w:r>
    </w:p>
    <w:p w14:paraId="71E1C353">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凡国家有明文规定的必须提供产品检验报告交饭堂存档，符合国家溯源制度规定。</w:t>
      </w:r>
    </w:p>
    <w:p w14:paraId="2C26E45C">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6.中标人每次送货应有相应的送货清单（盖有中标人的有效公章），且必须时提供合法的进货单据。</w:t>
      </w:r>
    </w:p>
    <w:p w14:paraId="2A056A92">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7.中标人提供的货品导致招标人有任何食物安全事件出现，由中标人承担全部责任及赔偿招标人一切损失，招标人保留法律追究权利。</w:t>
      </w:r>
    </w:p>
    <w:p w14:paraId="1A8C365B">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8.中标人应按照招标人指定时间内对下月供货价格进行签字确认。</w:t>
      </w:r>
    </w:p>
    <w:p w14:paraId="0DA902B0">
      <w:pPr>
        <w:keepNext w:val="0"/>
        <w:keepLines w:val="0"/>
        <w:pageBreakBefore w:val="0"/>
        <w:kinsoku/>
        <w:overflowPunct/>
        <w:topLinePunct w:val="0"/>
        <w:bidi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9.中标人的供货价应包括货物的采购费、运至合同指定地点的运输费、装卸费、检验费、储存费、合理利润、保险费等，并承担送货途中的一切风险。</w:t>
      </w:r>
    </w:p>
    <w:p w14:paraId="086BDF98">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10.未列入物资明细表内又需要购买的货品，其单价由双方以本用户需求书规定的定价原则确定供货价格。</w:t>
      </w:r>
    </w:p>
    <w:p w14:paraId="4D9F59C2">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11.中标人进入招标人范围内必须遵守招标人有关规定，不得影响招标人的正常工作，由于中标人的过失造成招标人直接经济损失则要负全部责任及赔偿招标人一切损失。</w:t>
      </w:r>
    </w:p>
    <w:p w14:paraId="1345E452">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12.中标人须提供以往交易记录。</w:t>
      </w:r>
    </w:p>
    <w:p w14:paraId="65CD8B22">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13.中标人须有固定分割肉加工场所，具备空调作业环境，配套设备设施齐全，有相应加工作业流程及相关管理制度。</w:t>
      </w:r>
    </w:p>
    <w:p w14:paraId="13FD2B51">
      <w:pPr>
        <w:keepNext w:val="0"/>
        <w:keepLines w:val="0"/>
        <w:pageBreakBefore w:val="0"/>
        <w:kinsoku/>
        <w:overflowPunct/>
        <w:topLinePunct w:val="0"/>
        <w:bidi w:val="0"/>
        <w:snapToGrid/>
        <w:spacing w:line="360" w:lineRule="auto"/>
        <w:ind w:firstLine="420" w:firstLineChars="200"/>
        <w:contextualSpacing/>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★14.</w:t>
      </w:r>
      <w:r>
        <w:rPr>
          <w:rFonts w:hint="eastAsia" w:ascii="宋体" w:hAnsi="宋体" w:eastAsia="宋体" w:cs="宋体"/>
          <w:b/>
          <w:bCs/>
          <w:color w:val="auto"/>
          <w:sz w:val="21"/>
          <w:szCs w:val="21"/>
          <w:highlight w:val="none"/>
        </w:rPr>
        <w:t>投标人须承诺中标后为招标人</w:t>
      </w:r>
      <w:r>
        <w:rPr>
          <w:rFonts w:hint="eastAsia" w:ascii="宋体" w:hAnsi="宋体" w:eastAsia="宋体" w:cs="宋体"/>
          <w:b/>
          <w:bCs/>
          <w:color w:val="auto"/>
          <w:sz w:val="21"/>
          <w:szCs w:val="21"/>
          <w:highlight w:val="none"/>
          <w:lang w:eastAsia="zh-CN"/>
        </w:rPr>
        <w:t>（东莞市水务集团净水有限公司）</w:t>
      </w:r>
      <w:r>
        <w:rPr>
          <w:rFonts w:hint="eastAsia" w:ascii="宋体" w:hAnsi="宋体" w:eastAsia="宋体" w:cs="宋体"/>
          <w:b/>
          <w:bCs/>
          <w:color w:val="auto"/>
          <w:sz w:val="21"/>
          <w:szCs w:val="21"/>
          <w:highlight w:val="none"/>
          <w:lang w:val="en-US" w:eastAsia="zh-CN"/>
        </w:rPr>
        <w:t>及其</w:t>
      </w:r>
      <w:r>
        <w:rPr>
          <w:rFonts w:hint="eastAsia" w:ascii="宋体" w:hAnsi="宋体" w:eastAsia="宋体" w:cs="宋体"/>
          <w:b/>
          <w:bCs/>
          <w:color w:val="auto"/>
          <w:sz w:val="21"/>
          <w:szCs w:val="21"/>
          <w:highlight w:val="none"/>
        </w:rPr>
        <w:t>权属子公司</w:t>
      </w:r>
      <w:r>
        <w:rPr>
          <w:rFonts w:hint="eastAsia" w:ascii="宋体" w:hAnsi="宋体" w:eastAsia="宋体" w:cs="宋体"/>
          <w:b/>
          <w:bCs/>
          <w:color w:val="auto"/>
          <w:sz w:val="21"/>
          <w:szCs w:val="21"/>
          <w:highlight w:val="none"/>
          <w:lang w:eastAsia="zh-CN"/>
        </w:rPr>
        <w:t>（东莞市石鼓净水有限公司、东莞市清源净水科技有限公司）</w:t>
      </w:r>
      <w:r>
        <w:rPr>
          <w:rFonts w:hint="eastAsia" w:ascii="宋体" w:hAnsi="宋体" w:eastAsia="宋体" w:cs="宋体"/>
          <w:b/>
          <w:bCs/>
          <w:color w:val="auto"/>
          <w:sz w:val="21"/>
          <w:szCs w:val="21"/>
          <w:highlight w:val="none"/>
        </w:rPr>
        <w:t>提供额度为</w:t>
      </w:r>
      <w:r>
        <w:rPr>
          <w:rFonts w:hint="eastAsia" w:ascii="宋体" w:hAnsi="宋体" w:eastAsia="宋体" w:cs="宋体"/>
          <w:b/>
          <w:bCs/>
          <w:color w:val="auto"/>
          <w:sz w:val="21"/>
          <w:szCs w:val="21"/>
          <w:highlight w:val="none"/>
          <w:lang w:val="en-US" w:eastAsia="zh-CN"/>
        </w:rPr>
        <w:t>20,000.00</w:t>
      </w:r>
      <w:r>
        <w:rPr>
          <w:rFonts w:hint="eastAsia" w:ascii="宋体" w:hAnsi="宋体" w:eastAsia="宋体" w:cs="宋体"/>
          <w:b/>
          <w:bCs/>
          <w:color w:val="auto"/>
          <w:sz w:val="21"/>
          <w:szCs w:val="21"/>
          <w:highlight w:val="none"/>
        </w:rPr>
        <w:t>万元的保险（食品安全责任险），各受益人均享有同等受益权，保险承保期限不短于配送时间（</w:t>
      </w:r>
      <w:r>
        <w:rPr>
          <w:rFonts w:hint="eastAsia" w:ascii="宋体" w:hAnsi="宋体" w:eastAsia="宋体" w:cs="宋体"/>
          <w:b/>
          <w:bCs/>
          <w:color w:val="auto"/>
          <w:sz w:val="21"/>
          <w:szCs w:val="21"/>
          <w:highlight w:val="none"/>
          <w:lang w:val="en-US" w:eastAsia="zh-CN"/>
        </w:rPr>
        <w:t>18个月</w:t>
      </w:r>
      <w:r>
        <w:rPr>
          <w:rFonts w:hint="eastAsia" w:ascii="宋体" w:hAnsi="宋体" w:eastAsia="宋体" w:cs="宋体"/>
          <w:b/>
          <w:bCs/>
          <w:color w:val="auto"/>
          <w:sz w:val="21"/>
          <w:szCs w:val="21"/>
          <w:highlight w:val="none"/>
        </w:rPr>
        <w:t>，如配送服务合同延期，保险承保期需同步延期）；且应在签订合同当日向招标人提供相关保险凭证、单据原件核实，并提供复印件给招标人备查。受益人为</w:t>
      </w:r>
      <w:r>
        <w:rPr>
          <w:rFonts w:hint="eastAsia" w:ascii="宋体" w:hAnsi="宋体" w:eastAsia="宋体" w:cs="宋体"/>
          <w:b/>
          <w:bCs/>
          <w:color w:val="auto"/>
          <w:sz w:val="21"/>
          <w:szCs w:val="21"/>
          <w:highlight w:val="none"/>
          <w:lang w:val="en-US" w:eastAsia="zh-CN"/>
        </w:rPr>
        <w:t>招标人（</w:t>
      </w:r>
      <w:r>
        <w:rPr>
          <w:rFonts w:hint="eastAsia" w:ascii="宋体" w:hAnsi="宋体" w:eastAsia="宋体" w:cs="宋体"/>
          <w:b/>
          <w:bCs/>
          <w:color w:val="auto"/>
          <w:sz w:val="21"/>
          <w:szCs w:val="21"/>
          <w:highlight w:val="none"/>
        </w:rPr>
        <w:t>东莞市水务集团净水有限公司</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及其权属子公司（东莞市石鼓净水有限公司、东莞市清源净水科技有限公司）。承诺函格式自拟。</w:t>
      </w:r>
    </w:p>
    <w:p w14:paraId="603EE8A7">
      <w:pPr>
        <w:keepNext w:val="0"/>
        <w:keepLines w:val="0"/>
        <w:pageBreakBefore w:val="0"/>
        <w:kinsoku/>
        <w:overflowPunct/>
        <w:topLinePunct w:val="0"/>
        <w:bidi w:val="0"/>
        <w:adjustRightInd w:val="0"/>
        <w:snapToGrid/>
        <w:spacing w:line="360" w:lineRule="auto"/>
        <w:ind w:firstLine="211" w:firstLineChars="1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（六）验收标准</w:t>
      </w:r>
    </w:p>
    <w:p w14:paraId="6D160796">
      <w:pPr>
        <w:keepNext w:val="0"/>
        <w:keepLines w:val="0"/>
        <w:pageBreakBefore w:val="0"/>
        <w:kinsoku/>
        <w:overflowPunct/>
        <w:topLinePunct w:val="0"/>
        <w:bidi w:val="0"/>
        <w:adjustRightInd w:val="0"/>
        <w:snapToGrid/>
        <w:spacing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A类（粮油干货类）</w:t>
      </w:r>
    </w:p>
    <w:p w14:paraId="6F9E1975">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1.粮食大米类</w:t>
      </w:r>
    </w:p>
    <w:p w14:paraId="01FCAB49">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由正规厂家出厂、颜色品质纯正，米粒形均匀、整齐、重量大没有碎米和爆腰。</w:t>
      </w:r>
    </w:p>
    <w:p w14:paraId="13EF70C0">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有清香味和光泽，无米糠和其它杂质、无虫害、无异味、无霉味，用手摸时滑爽、干燥。</w:t>
      </w:r>
    </w:p>
    <w:p w14:paraId="7D24DDE7">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符合食品卫生标准，无毒、无污染。</w:t>
      </w:r>
    </w:p>
    <w:p w14:paraId="770B9B2B">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2.食用油类</w:t>
      </w:r>
    </w:p>
    <w:p w14:paraId="7383ADCC">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由知名正规厂家生产的植物油，非转基因类。</w:t>
      </w:r>
    </w:p>
    <w:p w14:paraId="2E612040">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色泽纯正，透明度好。</w:t>
      </w:r>
    </w:p>
    <w:p w14:paraId="4AEC0C43">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3.调味品类</w:t>
      </w:r>
    </w:p>
    <w:p w14:paraId="3CFAED06">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由正规厂家生产、颜色品质纯正。</w:t>
      </w:r>
    </w:p>
    <w:p w14:paraId="213BA1EF">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4.干货、杂货、副食品类</w:t>
      </w:r>
    </w:p>
    <w:p w14:paraId="2A7CD36F">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必须选用符合国家食品卫生法规相关标准的商品，选用无毒、无害、无污染、可</w:t>
      </w:r>
      <w:r>
        <w:rPr>
          <w:rFonts w:hint="eastAsia" w:ascii="宋体" w:hAnsi="宋体" w:eastAsia="宋体" w:cs="宋体"/>
          <w:color w:val="auto"/>
          <w:sz w:val="21"/>
          <w:szCs w:val="21"/>
          <w:highlight w:val="none"/>
          <w:lang w:eastAsia="zh-CN"/>
        </w:rPr>
        <w:t>溯源</w:t>
      </w:r>
      <w:r>
        <w:rPr>
          <w:rFonts w:hint="eastAsia" w:ascii="宋体" w:hAnsi="宋体" w:eastAsia="宋体" w:cs="宋体"/>
          <w:color w:val="auto"/>
          <w:sz w:val="21"/>
          <w:szCs w:val="21"/>
          <w:highlight w:val="none"/>
        </w:rPr>
        <w:t>的食品。掺假、掺杂食品坚决不能使用。</w:t>
      </w:r>
    </w:p>
    <w:p w14:paraId="5605A2FD">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副食品等级标准要相符，其包装盒或标签上须注明食品名称、生产厂家、厂址、生产日期、食品的主要原料成份和食品保质期等信息，注明不详或没有注明的商品不予验收。</w:t>
      </w:r>
    </w:p>
    <w:p w14:paraId="65EF8AC4">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 副食品表面外观新鲜、完整，无霉变异味，无砂粒杂质，无虫尸鼠粪等不洁卫生问题。</w:t>
      </w:r>
    </w:p>
    <w:p w14:paraId="1331B154">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5.米粉面粉类</w:t>
      </w:r>
    </w:p>
    <w:p w14:paraId="3BFC4497">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米粉面粉类及其制品颜色品质要纯正，不掺假、掺杂。</w:t>
      </w:r>
    </w:p>
    <w:p w14:paraId="1C7524F3">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符合食品卫生标准，粉质细腻干爽无异物、无毒、无污染。</w:t>
      </w:r>
    </w:p>
    <w:p w14:paraId="451DC388">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 制成品不能出现异味、霉变结块、虫尸鼠粪等不洁的卫生问题。</w:t>
      </w:r>
    </w:p>
    <w:p w14:paraId="1F2BB67D">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上述货品必须符合国家食品卫生法规相关标准，符合招标人使用要求，货品必须保证有三分之二以上保质期（如货品有保质期）。</w:t>
      </w:r>
    </w:p>
    <w:p w14:paraId="6006ECEC">
      <w:pPr>
        <w:keepNext w:val="0"/>
        <w:keepLines w:val="0"/>
        <w:pageBreakBefore w:val="0"/>
        <w:kinsoku/>
        <w:overflowPunct/>
        <w:topLinePunct w:val="0"/>
        <w:bidi w:val="0"/>
        <w:adjustRightInd w:val="0"/>
        <w:snapToGrid/>
        <w:spacing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B类（肉类）</w:t>
      </w:r>
    </w:p>
    <w:p w14:paraId="715E5B47">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1.猪肉类</w:t>
      </w:r>
    </w:p>
    <w:p w14:paraId="419C92C3">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具有当天卫生监督部门发放的“动物检疫合格证明”，肉体印有检疫章。</w:t>
      </w:r>
    </w:p>
    <w:p w14:paraId="27289552">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表皮干爽、肌体结实、肉质紧密、肉色淡红新鲜，肥肉洁白而细腻。</w:t>
      </w:r>
    </w:p>
    <w:p w14:paraId="43DB917D">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外观检测无异味、无寄生虫、无粘液、无渗出液体、指压反弹迅速、具有猪肉自然气味。</w:t>
      </w:r>
    </w:p>
    <w:p w14:paraId="7F83D4BB">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运输设备具备恒温保鲜（5℃），存放容器保持清洁卫生，包装合理且材料无污染。</w:t>
      </w:r>
    </w:p>
    <w:p w14:paraId="08F2EF4A">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2.牛肉类</w:t>
      </w:r>
    </w:p>
    <w:p w14:paraId="6ED6123D">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具有当天卫生监督部门发放的“动物检疫合格证明”，外观检测新鲜肉质柔软有光泽、无腐臭变质异味、无寄生虫、无粘液、无渗出液体。</w:t>
      </w:r>
    </w:p>
    <w:p w14:paraId="1AD1E02C">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牛肉色泽棕红，脂肪呈淡黄色或深黄色，肉质坚硬，弹性足。</w:t>
      </w:r>
    </w:p>
    <w:p w14:paraId="75FD34EE">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2.3运输设备具备恒温保鲜（5℃），存放容器保持清洁卫生，包装合理且材料无污染。</w:t>
      </w:r>
    </w:p>
    <w:p w14:paraId="4C317B8A">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3.羊肉类</w:t>
      </w:r>
    </w:p>
    <w:p w14:paraId="163549BD">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具有当天卫生监督部门发放的“动物检疫合格证明”。</w:t>
      </w:r>
    </w:p>
    <w:p w14:paraId="2DA16FFE">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羊肉色泽暗红，纤维细而软，肌间少脂肪。</w:t>
      </w:r>
    </w:p>
    <w:p w14:paraId="1F736E58">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3.3运输设备具备恒温保鲜（5℃），存放容器保持清洁卫生，包装合理且材料无污染。</w:t>
      </w:r>
    </w:p>
    <w:p w14:paraId="10FE75BD">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4.水产品类</w:t>
      </w:r>
    </w:p>
    <w:p w14:paraId="7E88A3B6">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必须鲜活。</w:t>
      </w:r>
    </w:p>
    <w:p w14:paraId="1A0661FB">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鲜鱼鳞片完整，有光泽无脱落，鳃口紧闭，眼球光亮透明，鱼鳃鲜红，鳍尾完整，确保新鲜。</w:t>
      </w:r>
    </w:p>
    <w:p w14:paraId="62C81F13">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 身体饱满结实，无腐烂异味，肉质紧密有弹性，无离骨脱刺现象。</w:t>
      </w:r>
    </w:p>
    <w:p w14:paraId="4E1E0195">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 来源可靠放心，无毒、无害、无污染。</w:t>
      </w:r>
    </w:p>
    <w:p w14:paraId="0C0F5B8B">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5.三鸟类（已经屠杀完成）</w:t>
      </w:r>
    </w:p>
    <w:p w14:paraId="6F77156E">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5.1</w:t>
      </w:r>
      <w:r>
        <w:rPr>
          <w:rFonts w:hint="eastAsia" w:ascii="宋体" w:hAnsi="宋体" w:eastAsia="宋体" w:cs="宋体"/>
          <w:color w:val="auto"/>
          <w:sz w:val="21"/>
          <w:szCs w:val="21"/>
          <w:highlight w:val="none"/>
        </w:rPr>
        <w:t>具有当天卫生监督部门发放的“动物检疫合格证明”。</w:t>
      </w:r>
    </w:p>
    <w:p w14:paraId="2CFDDE9B">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5.2</w:t>
      </w:r>
      <w:r>
        <w:rPr>
          <w:rFonts w:hint="eastAsia" w:ascii="宋体" w:hAnsi="宋体" w:eastAsia="宋体" w:cs="宋体"/>
          <w:color w:val="auto"/>
          <w:sz w:val="21"/>
          <w:szCs w:val="21"/>
          <w:highlight w:val="none"/>
        </w:rPr>
        <w:t>肉质新鲜柔软有光泽，质地紧密，脂肪呈白色或淡黄色，肉质细腻、无腐烂异味， 肉体结实，内脏清掏干净，肉质弹性足无明显渗出液体，总体无粘液。</w:t>
      </w:r>
    </w:p>
    <w:p w14:paraId="14CC3DC0">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5.3</w:t>
      </w:r>
      <w:r>
        <w:rPr>
          <w:rFonts w:hint="eastAsia" w:ascii="宋体" w:hAnsi="宋体" w:eastAsia="宋体" w:cs="宋体"/>
          <w:color w:val="auto"/>
          <w:sz w:val="21"/>
          <w:szCs w:val="21"/>
          <w:highlight w:val="none"/>
        </w:rPr>
        <w:t>运输设备具备恒温保鲜（5℃），存放容器保持清洁卫生，包装合理，来源可靠放心，无毒、无害、无污染。</w:t>
      </w:r>
    </w:p>
    <w:p w14:paraId="5FAEBC8F">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6.零星冻品、加工副食品类</w:t>
      </w:r>
    </w:p>
    <w:p w14:paraId="726F5B7F">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 必须选用符合国家食品卫生法规相关标准的商品，选用无毒、无害、无污染、可</w:t>
      </w:r>
      <w:r>
        <w:rPr>
          <w:rFonts w:hint="eastAsia" w:ascii="宋体" w:hAnsi="宋体" w:eastAsia="宋体" w:cs="宋体"/>
          <w:color w:val="auto"/>
          <w:sz w:val="21"/>
          <w:szCs w:val="21"/>
          <w:highlight w:val="none"/>
          <w:lang w:eastAsia="zh-CN"/>
        </w:rPr>
        <w:t>溯源</w:t>
      </w:r>
      <w:r>
        <w:rPr>
          <w:rFonts w:hint="eastAsia" w:ascii="宋体" w:hAnsi="宋体" w:eastAsia="宋体" w:cs="宋体"/>
          <w:color w:val="auto"/>
          <w:sz w:val="21"/>
          <w:szCs w:val="21"/>
          <w:highlight w:val="none"/>
        </w:rPr>
        <w:t>的副食品。掺假、掺杂副食品坚决不能使用。</w:t>
      </w:r>
    </w:p>
    <w:p w14:paraId="2AFE6864">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 食品等级标准要相符，其包装盒或标签上须注明食品名称，生产厂家、厂址、生产日期、食品的主要原料成份和食品保质期等信息，注明不详或没有注明的商品不予验收。</w:t>
      </w:r>
    </w:p>
    <w:p w14:paraId="209EBEED">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 冻肉类产品中间不能有过多冰块，重量必须和包装箱上标明的重量一致。</w:t>
      </w:r>
    </w:p>
    <w:p w14:paraId="1933ACF1">
      <w:pPr>
        <w:keepNext w:val="0"/>
        <w:keepLines w:val="0"/>
        <w:pageBreakBefore w:val="0"/>
        <w:kinsoku/>
        <w:overflowPunct/>
        <w:topLinePunct w:val="0"/>
        <w:bidi w:val="0"/>
        <w:adjustRightInd w:val="0"/>
        <w:snapToGrid/>
        <w:spacing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C类：蔬果类</w:t>
      </w:r>
    </w:p>
    <w:p w14:paraId="116CDDA3">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1.应保持较好的色泽和新鲜度。</w:t>
      </w:r>
    </w:p>
    <w:p w14:paraId="1F71CB82">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2.符合国家食品卫生标准，蔬菜不得有黄叶；不得腐烂和泥沙等现象。</w:t>
      </w:r>
    </w:p>
    <w:p w14:paraId="37E34B48">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3.无公害、农药残留不得超标，提供农药残留检测证明。</w:t>
      </w:r>
    </w:p>
    <w:p w14:paraId="541628E4">
      <w:pPr>
        <w:keepNext w:val="0"/>
        <w:keepLines w:val="0"/>
        <w:pageBreakBefore w:val="0"/>
        <w:kinsoku/>
        <w:overflowPunct/>
        <w:topLinePunct w:val="0"/>
        <w:bidi w:val="0"/>
        <w:adjustRightInd w:val="0"/>
        <w:snapToGrid/>
        <w:spacing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D类：奶制品雪糕饮料类</w:t>
      </w:r>
    </w:p>
    <w:p w14:paraId="2EE6E570">
      <w:pPr>
        <w:keepNext w:val="0"/>
        <w:keepLines w:val="0"/>
        <w:pageBreakBefore w:val="0"/>
        <w:numPr>
          <w:ilvl w:val="-1"/>
          <w:numId w:val="0"/>
        </w:numPr>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1.由正规厂家生产，必须选用符合国家食品卫生法规相关标准的商品，选用无毒、无害、无污染、可溯源的产品。</w:t>
      </w:r>
    </w:p>
    <w:p w14:paraId="36799C5D">
      <w:pPr>
        <w:keepNext w:val="0"/>
        <w:keepLines w:val="0"/>
        <w:pageBreakBefore w:val="0"/>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2.食品等级标准要相符，其包装盒或标签上须注明食品名称，生产厂家、厂址、生产日期、食品的主要原料成份和食品保质期等信息，注明不详或没有注明的商品不予验收。</w:t>
      </w:r>
    </w:p>
    <w:p w14:paraId="3E25B271">
      <w:pPr>
        <w:keepNext w:val="0"/>
        <w:keepLines w:val="0"/>
        <w:pageBreakBefore w:val="0"/>
        <w:numPr>
          <w:ilvl w:val="255"/>
          <w:numId w:val="0"/>
        </w:numPr>
        <w:kinsoku/>
        <w:overflowPunct/>
        <w:topLinePunct w:val="0"/>
        <w:bidi w:val="0"/>
        <w:adjustRightInd w:val="0"/>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3.奶制品色泽乳白，口味鲜香，包装完整，无破损；为保证新鲜度，产品不低于有效期保质期内三分之二的天数，并符合国家规定的质量卫生标准。</w:t>
      </w:r>
    </w:p>
    <w:p w14:paraId="0BCF7E97">
      <w:pPr>
        <w:keepNext w:val="0"/>
        <w:keepLines w:val="0"/>
        <w:pageBreakBefore w:val="0"/>
        <w:kinsoku/>
        <w:overflowPunct/>
        <w:topLinePunct w:val="0"/>
        <w:bidi w:val="0"/>
        <w:snapToGrid/>
        <w:spacing w:line="360" w:lineRule="auto"/>
        <w:ind w:firstLine="420" w:firstLineChars="200"/>
        <w:contextualSpacing/>
        <w:rPr>
          <w:rFonts w:hint="eastAsia" w:ascii="宋体" w:hAnsi="宋体" w:eastAsia="宋体" w:cs="宋体"/>
          <w:color w:val="auto"/>
          <w:sz w:val="21"/>
          <w:szCs w:val="21"/>
          <w:highlight w:val="none"/>
        </w:rPr>
      </w:pPr>
    </w:p>
    <w:p w14:paraId="59CB2A3B">
      <w:pPr>
        <w:pStyle w:val="8"/>
        <w:keepNext w:val="0"/>
        <w:keepLines w:val="0"/>
        <w:pageBreakBefore w:val="0"/>
        <w:kinsoku/>
        <w:overflowPunct/>
        <w:topLinePunct w:val="0"/>
        <w:bidi w:val="0"/>
        <w:snapToGrid/>
        <w:spacing w:before="0" w:after="0" w:line="360" w:lineRule="auto"/>
        <w:ind w:left="0" w:righ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、其他</w:t>
      </w:r>
    </w:p>
    <w:p w14:paraId="6642F8C1">
      <w:pPr>
        <w:keepNext w:val="0"/>
        <w:keepLines w:val="0"/>
        <w:pageBreakBefore w:val="0"/>
        <w:tabs>
          <w:tab w:val="left" w:pos="1800"/>
        </w:tabs>
        <w:kinsoku/>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合同履约过程中，如招标人新增运营厂食堂需要食材配送服务，可按中标合同约定条款与中标人签订补充协议。</w:t>
      </w:r>
    </w:p>
    <w:p w14:paraId="19858466">
      <w:pPr>
        <w:keepNext w:val="0"/>
        <w:keepLines w:val="0"/>
        <w:pageBreakBefore w:val="0"/>
        <w:tabs>
          <w:tab w:val="left" w:pos="1800"/>
        </w:tabs>
        <w:kinsoku/>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本次招标</w:t>
      </w:r>
      <w:r>
        <w:rPr>
          <w:rFonts w:hint="eastAsia" w:ascii="宋体" w:hAnsi="宋体" w:eastAsia="宋体" w:cs="宋体"/>
          <w:b w:val="0"/>
          <w:bCs w:val="0"/>
          <w:color w:val="auto"/>
          <w:sz w:val="21"/>
          <w:szCs w:val="21"/>
          <w:highlight w:val="none"/>
          <w:shd w:val="clear" w:color="auto" w:fill="FFFFFF"/>
        </w:rPr>
        <w:t>由招标人权属子公司委托招标人进行采购，确定中标单位后，由招标人及其权属子公司与中标单位签订服务合同。</w:t>
      </w:r>
    </w:p>
    <w:p w14:paraId="0BD62001">
      <w:pPr>
        <w:keepNext w:val="0"/>
        <w:keepLines w:val="0"/>
        <w:pageBreakBefore w:val="0"/>
        <w:tabs>
          <w:tab w:val="left" w:pos="1800"/>
        </w:tabs>
        <w:kinsoku/>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招标文件未尽事宜，将在合同签订或项目执行过程中双方协商确定，中标人须无条件满足招标人的合理要求。</w:t>
      </w:r>
    </w:p>
    <w:p w14:paraId="002723E2">
      <w:pPr>
        <w:pStyle w:val="2"/>
        <w:keepNext w:val="0"/>
        <w:keepLines w:val="0"/>
        <w:pageBreakBefore w:val="0"/>
        <w:kinsoku/>
        <w:overflowPunct/>
        <w:topLinePunct w:val="0"/>
        <w:bidi w:val="0"/>
        <w:snapToGrid/>
        <w:spacing w:line="360" w:lineRule="auto"/>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br w:type="page"/>
      </w:r>
      <w:r>
        <w:rPr>
          <w:rFonts w:hint="eastAsia" w:ascii="宋体" w:hAnsi="宋体" w:eastAsia="宋体" w:cs="宋体"/>
          <w:b/>
          <w:bCs/>
          <w:color w:val="auto"/>
          <w:sz w:val="21"/>
          <w:szCs w:val="21"/>
          <w:highlight w:val="none"/>
          <w:lang w:val="en-US"/>
        </w:rPr>
        <w:t>附件1：</w:t>
      </w:r>
    </w:p>
    <w:tbl>
      <w:tblPr>
        <w:tblStyle w:val="6"/>
        <w:tblW w:w="5000" w:type="pct"/>
        <w:tblInd w:w="0" w:type="dxa"/>
        <w:shd w:val="clear" w:color="auto" w:fill="auto"/>
        <w:tblLayout w:type="autofit"/>
        <w:tblCellMar>
          <w:top w:w="0" w:type="dxa"/>
          <w:left w:w="108" w:type="dxa"/>
          <w:bottom w:w="0" w:type="dxa"/>
          <w:right w:w="108" w:type="dxa"/>
        </w:tblCellMar>
      </w:tblPr>
      <w:tblGrid>
        <w:gridCol w:w="606"/>
        <w:gridCol w:w="1341"/>
        <w:gridCol w:w="846"/>
        <w:gridCol w:w="4123"/>
        <w:gridCol w:w="1606"/>
      </w:tblGrid>
      <w:tr w14:paraId="69CD1CBE">
        <w:tblPrEx>
          <w:shd w:val="clear" w:color="auto" w:fill="auto"/>
          <w:tblCellMar>
            <w:top w:w="0" w:type="dxa"/>
            <w:left w:w="108" w:type="dxa"/>
            <w:bottom w:w="0" w:type="dxa"/>
            <w:right w:w="108" w:type="dxa"/>
          </w:tblCellMar>
        </w:tblPrEx>
        <w:trPr>
          <w:trHeight w:val="500" w:hRule="atLeast"/>
        </w:trPr>
        <w:tc>
          <w:tcPr>
            <w:tcW w:w="5000" w:type="pct"/>
            <w:gridSpan w:val="5"/>
            <w:tcBorders>
              <w:top w:val="nil"/>
              <w:left w:val="nil"/>
              <w:bottom w:val="single" w:color="auto" w:sz="4" w:space="0"/>
              <w:right w:val="nil"/>
            </w:tcBorders>
            <w:shd w:val="clear" w:color="auto" w:fill="auto"/>
            <w:vAlign w:val="center"/>
          </w:tcPr>
          <w:p w14:paraId="2B1CB681">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bidi="ar"/>
              </w:rPr>
              <w:t>202</w:t>
            </w: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bidi="ar"/>
              </w:rPr>
              <w:t>年</w:t>
            </w:r>
            <w:r>
              <w:rPr>
                <w:rFonts w:hint="eastAsia" w:ascii="宋体" w:hAnsi="宋体" w:eastAsia="宋体" w:cs="宋体"/>
                <w:color w:val="auto"/>
                <w:kern w:val="0"/>
                <w:sz w:val="21"/>
                <w:szCs w:val="21"/>
                <w:highlight w:val="none"/>
                <w:lang w:val="en-US" w:eastAsia="zh-CN" w:bidi="ar"/>
              </w:rPr>
              <w:t>-2027年6月份</w:t>
            </w:r>
            <w:r>
              <w:rPr>
                <w:rFonts w:hint="eastAsia" w:ascii="宋体" w:hAnsi="宋体" w:eastAsia="宋体" w:cs="宋体"/>
                <w:color w:val="auto"/>
                <w:kern w:val="0"/>
                <w:sz w:val="21"/>
                <w:szCs w:val="21"/>
                <w:highlight w:val="none"/>
                <w:lang w:bidi="ar"/>
              </w:rPr>
              <w:t>净水公司及下属厂区员工食堂用餐人数及详细地址</w:t>
            </w:r>
          </w:p>
        </w:tc>
      </w:tr>
      <w:tr w14:paraId="5464F9B6">
        <w:tblPrEx>
          <w:shd w:val="clear" w:color="auto" w:fill="auto"/>
          <w:tblCellMar>
            <w:top w:w="0" w:type="dxa"/>
            <w:left w:w="108" w:type="dxa"/>
            <w:bottom w:w="0" w:type="dxa"/>
            <w:right w:w="108" w:type="dxa"/>
          </w:tblCellMar>
        </w:tblPrEx>
        <w:trPr>
          <w:trHeight w:val="23"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18103A37">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bidi="ar"/>
              </w:rPr>
              <w:t>序号</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33D85C5A">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bidi="ar"/>
              </w:rPr>
              <w:t>食堂名称</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5E7C34F2">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bidi="ar"/>
              </w:rPr>
              <w:t>用餐人数（人）</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08C0D494">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bidi="ar"/>
              </w:rPr>
              <w:t>详细地址</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23CA3701">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bidi="ar"/>
              </w:rPr>
              <w:t>备注</w:t>
            </w:r>
          </w:p>
        </w:tc>
      </w:tr>
      <w:tr w14:paraId="1075EF8C">
        <w:tblPrEx>
          <w:tblCellMar>
            <w:top w:w="0" w:type="dxa"/>
            <w:left w:w="108" w:type="dxa"/>
            <w:bottom w:w="0" w:type="dxa"/>
            <w:right w:w="108" w:type="dxa"/>
          </w:tblCellMar>
        </w:tblPrEx>
        <w:trPr>
          <w:trHeight w:val="23"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56A168B9">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bidi="ar"/>
              </w:rPr>
              <w:t>1</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7E83BB46">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大朗松南厂</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227C8E63">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26</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1393D262">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广东省东莞市大朗镇杨沙路153号13栋101室</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536E953F">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预计用餐人数</w:t>
            </w:r>
          </w:p>
        </w:tc>
      </w:tr>
      <w:tr w14:paraId="326FEEA7">
        <w:tblPrEx>
          <w:shd w:val="clear" w:color="auto" w:fill="auto"/>
          <w:tblCellMar>
            <w:top w:w="0" w:type="dxa"/>
            <w:left w:w="108" w:type="dxa"/>
            <w:bottom w:w="0" w:type="dxa"/>
            <w:right w:w="108" w:type="dxa"/>
          </w:tblCellMar>
        </w:tblPrEx>
        <w:trPr>
          <w:trHeight w:val="23"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2AECB635">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bidi="ar"/>
              </w:rPr>
              <w:t>2</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1C6EE9A0">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松北厂</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58864A1A">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26</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36B9810D">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东莞市松山湖工业西三路3号</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36124443">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294EC2C7">
        <w:tblPrEx>
          <w:shd w:val="clear" w:color="auto" w:fill="auto"/>
          <w:tblCellMar>
            <w:top w:w="0" w:type="dxa"/>
            <w:left w:w="108" w:type="dxa"/>
            <w:bottom w:w="0" w:type="dxa"/>
            <w:right w:w="108" w:type="dxa"/>
          </w:tblCellMar>
        </w:tblPrEx>
        <w:trPr>
          <w:trHeight w:val="23"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22FEA663">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bidi="ar"/>
              </w:rPr>
              <w:t>3</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2A903378">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东城温塘厂</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16DF6744">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41</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21DCB4BE">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广东省东莞市东城街道创盈路东城段86号</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4F3B1B56">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6BFC5CCB">
        <w:tblPrEx>
          <w:shd w:val="clear" w:color="auto" w:fill="auto"/>
          <w:tblCellMar>
            <w:top w:w="0" w:type="dxa"/>
            <w:left w:w="108" w:type="dxa"/>
            <w:bottom w:w="0" w:type="dxa"/>
            <w:right w:w="108" w:type="dxa"/>
          </w:tblCellMar>
        </w:tblPrEx>
        <w:trPr>
          <w:trHeight w:val="23"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2FB13BAC">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bidi="ar"/>
              </w:rPr>
              <w:t>4</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69D01F56">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黄江厂</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20916D8E">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25</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7167B636">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东莞市黄江镇合路村创业一路1号之103号</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277AFBB1">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2FD33270">
        <w:tblPrEx>
          <w:tblCellMar>
            <w:top w:w="0" w:type="dxa"/>
            <w:left w:w="108" w:type="dxa"/>
            <w:bottom w:w="0" w:type="dxa"/>
            <w:right w:w="108" w:type="dxa"/>
          </w:tblCellMar>
        </w:tblPrEx>
        <w:trPr>
          <w:trHeight w:val="385"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3DAFBD81">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5</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0D2112ED">
            <w:pPr>
              <w:pStyle w:val="2"/>
              <w:keepNext w:val="0"/>
              <w:keepLines w:val="0"/>
              <w:pageBreakBefore w:val="0"/>
              <w:suppressLineNumbers w:val="0"/>
              <w:kinsoku/>
              <w:overflowPunct/>
              <w:topLinePunct w:val="0"/>
              <w:bidi w:val="0"/>
              <w:snapToGrid/>
              <w:spacing w:before="0" w:beforeAutospacing="0" w:after="0" w:afterAutospacing="0" w:line="360" w:lineRule="auto"/>
              <w:ind w:left="0"/>
              <w:rPr>
                <w:rFonts w:hint="eastAsia" w:ascii="宋体" w:hAnsi="宋体" w:eastAsia="宋体" w:cs="宋体"/>
                <w:b w:val="0"/>
                <w:bCs w:val="0"/>
                <w:color w:val="auto"/>
                <w:kern w:val="2"/>
                <w:sz w:val="21"/>
                <w:szCs w:val="21"/>
                <w:highlight w:val="none"/>
                <w:lang w:val="en-US"/>
              </w:rPr>
            </w:pPr>
            <w:r>
              <w:rPr>
                <w:rFonts w:hint="eastAsia" w:ascii="宋体" w:hAnsi="宋体" w:eastAsia="宋体" w:cs="宋体"/>
                <w:b w:val="0"/>
                <w:bCs w:val="0"/>
                <w:color w:val="auto"/>
                <w:kern w:val="2"/>
                <w:sz w:val="21"/>
                <w:szCs w:val="21"/>
                <w:highlight w:val="none"/>
                <w:lang w:val="en-US"/>
              </w:rPr>
              <w:t>市区厂及提标</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729480B7">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FF0000"/>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1</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15133862">
            <w:pPr>
              <w:keepNext w:val="0"/>
              <w:keepLines w:val="0"/>
              <w:pageBreakBefore w:val="0"/>
              <w:suppressLineNumbers w:val="0"/>
              <w:kinsoku/>
              <w:overflowPunct/>
              <w:topLinePunct w:val="0"/>
              <w:bidi w:val="0"/>
              <w:snapToGrid/>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东莞市南城街道滨河路100号东莞市水务集团净水有限公司</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4FC759D0">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预计用餐人数（含外来进驻单位）</w:t>
            </w:r>
          </w:p>
        </w:tc>
      </w:tr>
      <w:tr w14:paraId="4D3AE0FB">
        <w:tblPrEx>
          <w:shd w:val="clear" w:color="auto" w:fill="auto"/>
          <w:tblCellMar>
            <w:top w:w="0" w:type="dxa"/>
            <w:left w:w="108" w:type="dxa"/>
            <w:bottom w:w="0" w:type="dxa"/>
            <w:right w:w="108" w:type="dxa"/>
          </w:tblCellMar>
        </w:tblPrEx>
        <w:trPr>
          <w:trHeight w:val="313"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187DA207">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6</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28340AAF">
            <w:pPr>
              <w:pStyle w:val="2"/>
              <w:keepNext w:val="0"/>
              <w:keepLines w:val="0"/>
              <w:pageBreakBefore w:val="0"/>
              <w:suppressLineNumbers w:val="0"/>
              <w:kinsoku/>
              <w:overflowPunct/>
              <w:topLinePunct w:val="0"/>
              <w:bidi w:val="0"/>
              <w:snapToGrid/>
              <w:spacing w:before="0" w:beforeAutospacing="0" w:after="0" w:afterAutospacing="0" w:line="360" w:lineRule="auto"/>
              <w:ind w:left="0"/>
              <w:rPr>
                <w:rFonts w:hint="eastAsia" w:ascii="宋体" w:hAnsi="宋体" w:eastAsia="宋体" w:cs="宋体"/>
                <w:b w:val="0"/>
                <w:bCs w:val="0"/>
                <w:color w:val="auto"/>
                <w:kern w:val="2"/>
                <w:sz w:val="21"/>
                <w:szCs w:val="21"/>
                <w:highlight w:val="none"/>
                <w:lang w:val="en-US"/>
              </w:rPr>
            </w:pPr>
            <w:r>
              <w:rPr>
                <w:rFonts w:hint="eastAsia" w:ascii="宋体" w:hAnsi="宋体" w:eastAsia="宋体" w:cs="宋体"/>
                <w:b w:val="0"/>
                <w:bCs w:val="0"/>
                <w:color w:val="auto"/>
                <w:kern w:val="2"/>
                <w:sz w:val="21"/>
                <w:szCs w:val="21"/>
                <w:highlight w:val="none"/>
                <w:lang w:val="en-US"/>
              </w:rPr>
              <w:t>石碣厂</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4DCCD44F">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25</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651CF7F8">
            <w:pPr>
              <w:keepNext w:val="0"/>
              <w:keepLines w:val="0"/>
              <w:pageBreakBefore w:val="0"/>
              <w:suppressLineNumbers w:val="0"/>
              <w:kinsoku/>
              <w:overflowPunct/>
              <w:topLinePunct w:val="0"/>
              <w:bidi w:val="0"/>
              <w:snapToGrid/>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东莞市石碣镇沿江西路沙腰污水处理厂二期</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7C36B00E">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2"/>
                <w:sz w:val="21"/>
                <w:szCs w:val="21"/>
                <w:highlight w:val="none"/>
                <w:lang w:val="en-US" w:eastAsia="zh-CN"/>
              </w:rPr>
              <w:t>预计用餐人数</w:t>
            </w:r>
          </w:p>
        </w:tc>
      </w:tr>
      <w:tr w14:paraId="356C3A32">
        <w:tblPrEx>
          <w:tblCellMar>
            <w:top w:w="0" w:type="dxa"/>
            <w:left w:w="108" w:type="dxa"/>
            <w:bottom w:w="0" w:type="dxa"/>
            <w:right w:w="108" w:type="dxa"/>
          </w:tblCellMar>
        </w:tblPrEx>
        <w:trPr>
          <w:trHeight w:val="402"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0A81B0FC">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7</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166D4CA8">
            <w:pPr>
              <w:pStyle w:val="2"/>
              <w:keepNext w:val="0"/>
              <w:keepLines w:val="0"/>
              <w:pageBreakBefore w:val="0"/>
              <w:suppressLineNumbers w:val="0"/>
              <w:kinsoku/>
              <w:overflowPunct/>
              <w:topLinePunct w:val="0"/>
              <w:bidi w:val="0"/>
              <w:snapToGrid/>
              <w:spacing w:before="0" w:beforeAutospacing="0" w:after="0" w:afterAutospacing="0" w:line="360" w:lineRule="auto"/>
              <w:ind w:left="0"/>
              <w:rPr>
                <w:rFonts w:hint="eastAsia" w:ascii="宋体" w:hAnsi="宋体" w:eastAsia="宋体" w:cs="宋体"/>
                <w:b w:val="0"/>
                <w:bCs w:val="0"/>
                <w:color w:val="auto"/>
                <w:kern w:val="2"/>
                <w:sz w:val="21"/>
                <w:szCs w:val="21"/>
                <w:highlight w:val="none"/>
                <w:lang w:val="en-US"/>
              </w:rPr>
            </w:pPr>
            <w:r>
              <w:rPr>
                <w:rFonts w:hint="eastAsia" w:ascii="宋体" w:hAnsi="宋体" w:eastAsia="宋体" w:cs="宋体"/>
                <w:b w:val="0"/>
                <w:bCs w:val="0"/>
                <w:color w:val="auto"/>
                <w:kern w:val="2"/>
                <w:sz w:val="21"/>
                <w:szCs w:val="21"/>
                <w:highlight w:val="none"/>
                <w:lang w:val="en-US"/>
              </w:rPr>
              <w:t>万江厂</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2ADB519E">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23</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572FAB16">
            <w:pPr>
              <w:keepNext w:val="0"/>
              <w:keepLines w:val="0"/>
              <w:pageBreakBefore w:val="0"/>
              <w:suppressLineNumbers w:val="0"/>
              <w:kinsoku/>
              <w:overflowPunct/>
              <w:topLinePunct w:val="0"/>
              <w:bidi w:val="0"/>
              <w:snapToGrid/>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东莞市万江街道流涌尾社区白水涡桥万江污水厂二期</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34BCD67E">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2"/>
                <w:sz w:val="21"/>
                <w:szCs w:val="21"/>
                <w:highlight w:val="none"/>
                <w:lang w:val="en-US" w:eastAsia="zh-CN"/>
              </w:rPr>
              <w:t>预计用餐人数</w:t>
            </w:r>
          </w:p>
        </w:tc>
      </w:tr>
      <w:tr w14:paraId="7BB1FA98">
        <w:tblPrEx>
          <w:tblCellMar>
            <w:top w:w="0" w:type="dxa"/>
            <w:left w:w="108" w:type="dxa"/>
            <w:bottom w:w="0" w:type="dxa"/>
            <w:right w:w="108" w:type="dxa"/>
          </w:tblCellMar>
        </w:tblPrEx>
        <w:trPr>
          <w:trHeight w:val="558"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02A53499">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8</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0AC8D2AB">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中堂厂</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42C4F5D5">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26</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2EE30A90">
            <w:pPr>
              <w:keepNext w:val="0"/>
              <w:keepLines w:val="0"/>
              <w:pageBreakBefore w:val="0"/>
              <w:suppressLineNumbers w:val="0"/>
              <w:kinsoku/>
              <w:overflowPunct/>
              <w:topLinePunct w:val="0"/>
              <w:bidi w:val="0"/>
              <w:snapToGrid/>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东莞市中堂镇东向村滨河东路68号101室中堂污水处理厂二期</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5E0E4690">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2"/>
                <w:sz w:val="21"/>
                <w:szCs w:val="21"/>
                <w:highlight w:val="none"/>
                <w:lang w:val="en-US" w:eastAsia="zh-CN"/>
              </w:rPr>
              <w:t>预计用餐人数</w:t>
            </w:r>
          </w:p>
        </w:tc>
      </w:tr>
      <w:tr w14:paraId="0A961C26">
        <w:tblPrEx>
          <w:shd w:val="clear" w:color="auto" w:fill="auto"/>
          <w:tblCellMar>
            <w:top w:w="0" w:type="dxa"/>
            <w:left w:w="108" w:type="dxa"/>
            <w:bottom w:w="0" w:type="dxa"/>
            <w:right w:w="108" w:type="dxa"/>
          </w:tblCellMar>
        </w:tblPrEx>
        <w:trPr>
          <w:trHeight w:val="23"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0D2A7778">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0"/>
                <w:sz w:val="21"/>
                <w:szCs w:val="21"/>
                <w:highlight w:val="none"/>
                <w:lang w:val="en-US" w:eastAsia="zh-CN" w:bidi="ar"/>
              </w:rPr>
              <w:t>9</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1BCD2E5B">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麻涌厂</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43C4F91D">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23</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1FDA19F1">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东莞市麻涌镇新沙公园南一路9号202室麻涌污水处理厂二期</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1EEEEB15">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3860CE2A">
        <w:tblPrEx>
          <w:shd w:val="clear" w:color="auto" w:fill="auto"/>
          <w:tblCellMar>
            <w:top w:w="0" w:type="dxa"/>
            <w:left w:w="108" w:type="dxa"/>
            <w:bottom w:w="0" w:type="dxa"/>
            <w:right w:w="108" w:type="dxa"/>
          </w:tblCellMar>
        </w:tblPrEx>
        <w:trPr>
          <w:trHeight w:val="23"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7573F661">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10</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51F0FC53">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虾公潭厂</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3DAAA47D">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23</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4814EE20">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东莞市凤岗镇油甘埔同兴路3号101（由油甘埔文化体育中心停车场进）</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2AEA4C61">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2D2A8DB0">
        <w:tblPrEx>
          <w:shd w:val="clear" w:color="auto" w:fill="auto"/>
          <w:tblCellMar>
            <w:top w:w="0" w:type="dxa"/>
            <w:left w:w="108" w:type="dxa"/>
            <w:bottom w:w="0" w:type="dxa"/>
            <w:right w:w="108" w:type="dxa"/>
          </w:tblCellMar>
        </w:tblPrEx>
        <w:trPr>
          <w:trHeight w:val="23"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07F77CEB">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11</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4AB87674">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桥头厂</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5BE4E39E">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26</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20516837">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东莞市桥头镇东深路桥头段6号2号楼</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579D5B1C">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1E18B582">
        <w:tblPrEx>
          <w:shd w:val="clear" w:color="auto" w:fill="auto"/>
          <w:tblCellMar>
            <w:top w:w="0" w:type="dxa"/>
            <w:left w:w="108" w:type="dxa"/>
            <w:bottom w:w="0" w:type="dxa"/>
            <w:right w:w="108" w:type="dxa"/>
          </w:tblCellMar>
        </w:tblPrEx>
        <w:trPr>
          <w:trHeight w:val="23"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53D14AE9">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12</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2939B189">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谢岗厂</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7E8C7C39">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26</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39208A04">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东莞市谢岗镇谢岗村乌舅湖谢岗污水厂二期</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40A5DBFF">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3F3AA21C">
        <w:tblPrEx>
          <w:tblCellMar>
            <w:top w:w="0" w:type="dxa"/>
            <w:left w:w="108" w:type="dxa"/>
            <w:bottom w:w="0" w:type="dxa"/>
            <w:right w:w="108" w:type="dxa"/>
          </w:tblCellMar>
        </w:tblPrEx>
        <w:trPr>
          <w:trHeight w:val="65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5CD426E5">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13</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510725A4">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凤岗竹塘厂</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1CF0D027">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41</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5710D417">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东莞市凤岗镇竹塘村浸校塘环村路凤岗污水处理厂二期</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7DABAAEA">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4729D777">
        <w:tblPrEx>
          <w:tblCellMar>
            <w:top w:w="0" w:type="dxa"/>
            <w:left w:w="108" w:type="dxa"/>
            <w:bottom w:w="0" w:type="dxa"/>
            <w:right w:w="108" w:type="dxa"/>
          </w:tblCellMar>
        </w:tblPrEx>
        <w:trPr>
          <w:trHeight w:val="296"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60E3062F">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14</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33B186FF">
            <w:pPr>
              <w:pStyle w:val="2"/>
              <w:keepNext w:val="0"/>
              <w:keepLines w:val="0"/>
              <w:pageBreakBefore w:val="0"/>
              <w:suppressLineNumbers w:val="0"/>
              <w:kinsoku/>
              <w:overflowPunct/>
              <w:topLinePunct w:val="0"/>
              <w:bidi w:val="0"/>
              <w:snapToGrid/>
              <w:spacing w:before="0" w:beforeAutospacing="0" w:after="0" w:afterAutospacing="0" w:line="360" w:lineRule="auto"/>
              <w:ind w:left="0"/>
              <w:rPr>
                <w:rFonts w:hint="eastAsia" w:ascii="宋体" w:hAnsi="宋体" w:eastAsia="宋体" w:cs="宋体"/>
                <w:color w:val="auto"/>
                <w:kern w:val="0"/>
                <w:sz w:val="21"/>
                <w:szCs w:val="21"/>
                <w:highlight w:val="none"/>
                <w:lang w:val="en-US" w:bidi="ar"/>
              </w:rPr>
            </w:pPr>
            <w:r>
              <w:rPr>
                <w:rFonts w:hint="eastAsia" w:ascii="宋体" w:hAnsi="宋体" w:eastAsia="宋体" w:cs="宋体"/>
                <w:b w:val="0"/>
                <w:bCs w:val="0"/>
                <w:color w:val="auto"/>
                <w:kern w:val="0"/>
                <w:sz w:val="21"/>
                <w:szCs w:val="21"/>
                <w:highlight w:val="none"/>
                <w:lang w:val="en-US" w:bidi="ar"/>
              </w:rPr>
              <w:t>塘厦厂</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1E0B95ED">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29</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6A0B3047">
            <w:pPr>
              <w:keepNext w:val="0"/>
              <w:keepLines w:val="0"/>
              <w:pageBreakBefore w:val="0"/>
              <w:suppressLineNumbers w:val="0"/>
              <w:kinsoku/>
              <w:overflowPunct/>
              <w:topLinePunct w:val="0"/>
              <w:bidi w:val="0"/>
              <w:snapToGrid/>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东莞市塘厦镇林村林东路64号塘厦林村二期</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48B6EABC">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2"/>
                <w:sz w:val="21"/>
                <w:szCs w:val="21"/>
                <w:highlight w:val="none"/>
                <w:lang w:val="en-US" w:eastAsia="zh-CN"/>
              </w:rPr>
              <w:t>预计用餐人数</w:t>
            </w:r>
          </w:p>
        </w:tc>
      </w:tr>
      <w:tr w14:paraId="2AD5B652">
        <w:tblPrEx>
          <w:shd w:val="clear" w:color="auto" w:fill="auto"/>
          <w:tblCellMar>
            <w:top w:w="0" w:type="dxa"/>
            <w:left w:w="108" w:type="dxa"/>
            <w:bottom w:w="0" w:type="dxa"/>
            <w:right w:w="108" w:type="dxa"/>
          </w:tblCellMar>
        </w:tblPrEx>
        <w:trPr>
          <w:trHeight w:val="182"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278E22B5">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15</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3786A7B6">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樟木头厂</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582BCE7A">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24</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1DE51DB3">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东莞市樟木头镇柏峰路169号之一樟木头污水处理厂三期</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67E82459">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45981D2D">
        <w:tblPrEx>
          <w:tblCellMar>
            <w:top w:w="0" w:type="dxa"/>
            <w:left w:w="108" w:type="dxa"/>
            <w:bottom w:w="0" w:type="dxa"/>
            <w:right w:w="108" w:type="dxa"/>
          </w:tblCellMar>
        </w:tblPrEx>
        <w:trPr>
          <w:trHeight w:val="23"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46BA6D1B">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16</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0BF720EE">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长安厂</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1E8F1608">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38</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0CC7E420">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东莞市长安镇乌沙社区兴发南路长安新区污水处理厂</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313CD2CB">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4550C84F">
        <w:tblPrEx>
          <w:shd w:val="clear" w:color="auto" w:fill="auto"/>
          <w:tblCellMar>
            <w:top w:w="0" w:type="dxa"/>
            <w:left w:w="108" w:type="dxa"/>
            <w:bottom w:w="0" w:type="dxa"/>
            <w:right w:w="108" w:type="dxa"/>
          </w:tblCellMar>
        </w:tblPrEx>
        <w:trPr>
          <w:trHeight w:val="23"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236CB3F6">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17</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773FD683">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厚街厂</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4E550F31">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29</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7C346695">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东莞市厚街镇沙塘社区沙隆路39号</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22532F62">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461D6D96">
        <w:tblPrEx>
          <w:tblCellMar>
            <w:top w:w="0" w:type="dxa"/>
            <w:left w:w="108" w:type="dxa"/>
            <w:bottom w:w="0" w:type="dxa"/>
            <w:right w:w="108" w:type="dxa"/>
          </w:tblCellMar>
        </w:tblPrEx>
        <w:trPr>
          <w:trHeight w:val="648"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71116CEC">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18</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5EFAD542">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虎门宁洲厂</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19F88EC0">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33</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183C8371">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东莞市虎门镇南栅社区虎门宁洲厂2期</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4704765D">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100FFC91">
        <w:tblPrEx>
          <w:tblCellMar>
            <w:top w:w="0" w:type="dxa"/>
            <w:left w:w="108" w:type="dxa"/>
            <w:bottom w:w="0" w:type="dxa"/>
            <w:right w:w="108" w:type="dxa"/>
          </w:tblCellMar>
        </w:tblPrEx>
        <w:trPr>
          <w:trHeight w:val="66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2F9CC6D9">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19</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4886A381">
            <w:pPr>
              <w:pStyle w:val="2"/>
              <w:keepNext w:val="0"/>
              <w:keepLines w:val="0"/>
              <w:pageBreakBefore w:val="0"/>
              <w:suppressLineNumbers w:val="0"/>
              <w:kinsoku/>
              <w:overflowPunct/>
              <w:topLinePunct w:val="0"/>
              <w:bidi w:val="0"/>
              <w:snapToGrid/>
              <w:spacing w:before="0" w:beforeAutospacing="0" w:after="0" w:afterAutospacing="0" w:line="360" w:lineRule="auto"/>
              <w:ind w:left="0"/>
              <w:jc w:val="center"/>
              <w:rPr>
                <w:rFonts w:hint="eastAsia" w:ascii="宋体" w:hAnsi="宋体" w:eastAsia="宋体" w:cs="宋体"/>
                <w:b w:val="0"/>
                <w:bCs w:val="0"/>
                <w:color w:val="auto"/>
                <w:kern w:val="0"/>
                <w:sz w:val="21"/>
                <w:szCs w:val="21"/>
                <w:highlight w:val="none"/>
                <w:lang w:val="en-US" w:bidi="ar"/>
              </w:rPr>
            </w:pPr>
            <w:r>
              <w:rPr>
                <w:rFonts w:hint="eastAsia" w:ascii="宋体" w:hAnsi="宋体" w:eastAsia="宋体" w:cs="宋体"/>
                <w:b w:val="0"/>
                <w:bCs w:val="0"/>
                <w:color w:val="auto"/>
                <w:kern w:val="0"/>
                <w:sz w:val="21"/>
                <w:szCs w:val="21"/>
                <w:highlight w:val="none"/>
                <w:lang w:val="en-US" w:bidi="ar"/>
              </w:rPr>
              <w:t>东城牛山厂</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7ACA9704">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21</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12CF9AF3">
            <w:pPr>
              <w:keepNext w:val="0"/>
              <w:keepLines w:val="0"/>
              <w:pageBreakBefore w:val="0"/>
              <w:suppressLineNumbers w:val="0"/>
              <w:kinsoku/>
              <w:overflowPunct/>
              <w:topLinePunct w:val="0"/>
              <w:bidi w:val="0"/>
              <w:snapToGrid/>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东莞市东城街道牛山社区象牙路</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4195DD7C">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2"/>
                <w:sz w:val="21"/>
                <w:szCs w:val="21"/>
                <w:highlight w:val="none"/>
                <w:lang w:val="en-US" w:eastAsia="zh-CN"/>
              </w:rPr>
              <w:t>预计用餐人数</w:t>
            </w:r>
          </w:p>
        </w:tc>
      </w:tr>
      <w:tr w14:paraId="1CA4CFFA">
        <w:tblPrEx>
          <w:shd w:val="clear" w:color="auto" w:fill="auto"/>
          <w:tblCellMar>
            <w:top w:w="0" w:type="dxa"/>
            <w:left w:w="108" w:type="dxa"/>
            <w:bottom w:w="0" w:type="dxa"/>
            <w:right w:w="108" w:type="dxa"/>
          </w:tblCellMar>
        </w:tblPrEx>
        <w:trPr>
          <w:trHeight w:val="286"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26751C6C">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20</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55AFD316">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沙田立沙岛厂</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3CC8FA59">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20</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0D38ACDE">
            <w:pPr>
              <w:keepNext w:val="0"/>
              <w:keepLines w:val="0"/>
              <w:pageBreakBefore w:val="0"/>
              <w:suppressLineNumbers w:val="0"/>
              <w:kinsoku/>
              <w:overflowPunct/>
              <w:topLinePunct w:val="0"/>
              <w:bidi w:val="0"/>
              <w:snapToGrid/>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东莞市沙田镇立沙岛立沙中路76号（虎门港立沙岛污水处理厂）</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34DF4903">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1428191A">
        <w:tblPrEx>
          <w:shd w:val="clear" w:color="auto" w:fill="auto"/>
          <w:tblCellMar>
            <w:top w:w="0" w:type="dxa"/>
            <w:left w:w="108" w:type="dxa"/>
            <w:bottom w:w="0" w:type="dxa"/>
            <w:right w:w="108" w:type="dxa"/>
          </w:tblCellMar>
        </w:tblPrEx>
        <w:trPr>
          <w:trHeight w:val="264"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5CF15A3F">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21</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0F6CF71D">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常平东二期项目</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55B7B43C">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21</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5B76C415">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东莞市常平镇沙湖口村</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053B6F25">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5762472B">
        <w:tblPrEx>
          <w:shd w:val="clear" w:color="auto" w:fill="auto"/>
          <w:tblCellMar>
            <w:top w:w="0" w:type="dxa"/>
            <w:left w:w="108" w:type="dxa"/>
            <w:bottom w:w="0" w:type="dxa"/>
            <w:right w:w="108" w:type="dxa"/>
          </w:tblCellMar>
        </w:tblPrEx>
        <w:trPr>
          <w:trHeight w:val="23"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6406ECD7">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22</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1458BB66">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塘厦白泥湖项目</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63F1C645">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22</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7D55BB1D">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东莞市塘厦镇塘厦南一路21号1栋101室</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25400FCD">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37C252B2">
        <w:tblPrEx>
          <w:shd w:val="clear" w:color="auto" w:fill="auto"/>
          <w:tblCellMar>
            <w:top w:w="0" w:type="dxa"/>
            <w:left w:w="108" w:type="dxa"/>
            <w:bottom w:w="0" w:type="dxa"/>
            <w:right w:w="108" w:type="dxa"/>
          </w:tblCellMar>
        </w:tblPrEx>
        <w:trPr>
          <w:trHeight w:val="23"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719A7858">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23</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33D3EC96">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高埗二期项目</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12C5389F">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24</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2F08EC69">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东莞市高埗镇低涌村三塘路边</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76C9E00D">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7D209407">
        <w:tblPrEx>
          <w:shd w:val="clear" w:color="auto" w:fill="auto"/>
          <w:tblCellMar>
            <w:top w:w="0" w:type="dxa"/>
            <w:left w:w="108" w:type="dxa"/>
            <w:bottom w:w="0" w:type="dxa"/>
            <w:right w:w="108" w:type="dxa"/>
          </w:tblCellMar>
        </w:tblPrEx>
        <w:trPr>
          <w:trHeight w:val="23"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50E6FC6A">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24</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54835DBE">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沙田福禄沙二期项目</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32923680">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75</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0F084AA5">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东莞市沙田镇福禄沙洲仔围村</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73E99A8D">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3A55CAF1">
        <w:tblPrEx>
          <w:tblCellMar>
            <w:top w:w="0" w:type="dxa"/>
            <w:left w:w="108" w:type="dxa"/>
            <w:bottom w:w="0" w:type="dxa"/>
            <w:right w:w="108" w:type="dxa"/>
          </w:tblCellMar>
        </w:tblPrEx>
        <w:trPr>
          <w:trHeight w:val="23"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219A4B10">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25</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385E9ED7">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常平西二期项目</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7432EF4D">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default" w:ascii="宋体" w:hAnsi="宋体" w:eastAsia="宋体" w:cs="宋体"/>
                <w:color w:val="auto"/>
                <w:kern w:val="2"/>
                <w:sz w:val="21"/>
                <w:szCs w:val="21"/>
                <w:highlight w:val="none"/>
                <w:lang w:val="en-US" w:eastAsia="zh-CN"/>
              </w:rPr>
            </w:pPr>
            <w:r>
              <w:rPr>
                <w:rFonts w:hint="default" w:ascii="宋体" w:hAnsi="宋体" w:eastAsia="宋体" w:cs="宋体"/>
                <w:color w:val="auto"/>
                <w:kern w:val="2"/>
                <w:sz w:val="21"/>
                <w:szCs w:val="21"/>
                <w:highlight w:val="none"/>
                <w:lang w:val="en-US" w:eastAsia="zh-CN"/>
              </w:rPr>
              <w:t>21</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7D2D9A16">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东莞市常平镇岗梓村</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0AFF15A0">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06C64A99">
        <w:tblPrEx>
          <w:shd w:val="clear" w:color="auto" w:fill="auto"/>
          <w:tblCellMar>
            <w:top w:w="0" w:type="dxa"/>
            <w:left w:w="108" w:type="dxa"/>
            <w:bottom w:w="0" w:type="dxa"/>
            <w:right w:w="108" w:type="dxa"/>
          </w:tblCellMar>
        </w:tblPrEx>
        <w:trPr>
          <w:trHeight w:val="23"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531D2A85">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26</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185D7418">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横沥东坑二期项目</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1C7C948B">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86</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2F512619">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东莞市横沥镇神山工业区与东坑镇丁屋交界处（北控一期旁）</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443E1CD0">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05C60055">
        <w:tblPrEx>
          <w:shd w:val="clear" w:color="auto" w:fill="auto"/>
          <w:tblCellMar>
            <w:top w:w="0" w:type="dxa"/>
            <w:left w:w="108" w:type="dxa"/>
            <w:bottom w:w="0" w:type="dxa"/>
            <w:right w:w="108" w:type="dxa"/>
          </w:tblCellMar>
        </w:tblPrEx>
        <w:trPr>
          <w:trHeight w:val="23"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47AD8536">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27</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4CBB699D">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清溪厦坭二期项目</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4D34146F">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22</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66D0A4D2">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东莞市清溪镇厦坭村江背路北</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01055ADD">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56BA267C">
        <w:tblPrEx>
          <w:shd w:val="clear" w:color="auto" w:fill="auto"/>
          <w:tblCellMar>
            <w:top w:w="0" w:type="dxa"/>
            <w:left w:w="108" w:type="dxa"/>
            <w:bottom w:w="0" w:type="dxa"/>
            <w:right w:w="108" w:type="dxa"/>
          </w:tblCellMar>
        </w:tblPrEx>
        <w:trPr>
          <w:trHeight w:val="23"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60FD7D39">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28</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26DDF6A9">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大岭山连马二期项目</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1BB50CD3">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21</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17FBE273">
            <w:pPr>
              <w:keepNext w:val="0"/>
              <w:keepLines w:val="0"/>
              <w:pageBreakBefore w:val="0"/>
              <w:suppressLineNumbers w:val="0"/>
              <w:kinsoku/>
              <w:overflowPunct/>
              <w:topLinePunct w:val="0"/>
              <w:bidi w:val="0"/>
              <w:snapToGrid/>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东莞市大岭山镇连马路中段北侧与同沙水库相接处</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0095B927">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41A0096E">
        <w:tblPrEx>
          <w:shd w:val="clear" w:color="auto" w:fill="auto"/>
          <w:tblCellMar>
            <w:top w:w="0" w:type="dxa"/>
            <w:left w:w="108" w:type="dxa"/>
            <w:bottom w:w="0" w:type="dxa"/>
            <w:right w:w="108" w:type="dxa"/>
          </w:tblCellMar>
        </w:tblPrEx>
        <w:trPr>
          <w:trHeight w:val="23"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65E87A2B">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29</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7C485966">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黄江梅塘南部项目</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4B4ECD9D">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19</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32D6EAE0">
            <w:pPr>
              <w:keepNext w:val="0"/>
              <w:keepLines w:val="0"/>
              <w:pageBreakBefore w:val="0"/>
              <w:suppressLineNumbers w:val="0"/>
              <w:kinsoku/>
              <w:overflowPunct/>
              <w:topLinePunct w:val="0"/>
              <w:bidi w:val="0"/>
              <w:snapToGrid/>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东莞市黄江镇梅塘社区星光村富兴路</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4FF20773">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23FCEFB6">
        <w:tblPrEx>
          <w:shd w:val="clear" w:color="auto" w:fill="auto"/>
          <w:tblCellMar>
            <w:top w:w="0" w:type="dxa"/>
            <w:left w:w="108" w:type="dxa"/>
            <w:bottom w:w="0" w:type="dxa"/>
            <w:right w:w="108" w:type="dxa"/>
          </w:tblCellMar>
        </w:tblPrEx>
        <w:trPr>
          <w:trHeight w:val="23"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28CAA874">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30</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698D4C1C">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bidi="ar"/>
              </w:rPr>
              <w:t>塘厦大坪工业污水处理厂</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13080CFF">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0"/>
                <w:sz w:val="21"/>
                <w:szCs w:val="21"/>
                <w:highlight w:val="none"/>
                <w:lang w:val="en-US" w:eastAsia="zh-CN" w:bidi="ar"/>
              </w:rPr>
              <w:t>17</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48ABC247">
            <w:pPr>
              <w:keepNext w:val="0"/>
              <w:keepLines w:val="0"/>
              <w:pageBreakBefore w:val="0"/>
              <w:suppressLineNumbers w:val="0"/>
              <w:kinsoku/>
              <w:overflowPunct/>
              <w:topLinePunct w:val="0"/>
              <w:bidi w:val="0"/>
              <w:snapToGrid/>
              <w:spacing w:before="0" w:beforeAutospacing="0" w:after="0" w:afterAutospacing="0" w:line="36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val="0"/>
                <w:bCs w:val="0"/>
                <w:color w:val="auto"/>
                <w:kern w:val="2"/>
                <w:sz w:val="21"/>
                <w:szCs w:val="21"/>
                <w:highlight w:val="none"/>
              </w:rPr>
              <w:t>东莞市塘厦镇大坪村</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5D31A5E5">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预计用餐人数</w:t>
            </w:r>
          </w:p>
        </w:tc>
      </w:tr>
      <w:tr w14:paraId="0D94468C">
        <w:tblPrEx>
          <w:tblCellMar>
            <w:top w:w="0" w:type="dxa"/>
            <w:left w:w="108" w:type="dxa"/>
            <w:bottom w:w="0" w:type="dxa"/>
            <w:right w:w="108" w:type="dxa"/>
          </w:tblCellMar>
        </w:tblPrEx>
        <w:trPr>
          <w:trHeight w:val="23"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4E168519">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31</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36C0228A">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松山湖工业厂改造项目</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18E13A63">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17</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148ECB09">
            <w:pPr>
              <w:keepNext w:val="0"/>
              <w:keepLines w:val="0"/>
              <w:pageBreakBefore w:val="0"/>
              <w:suppressLineNumbers w:val="0"/>
              <w:kinsoku/>
              <w:overflowPunct/>
              <w:topLinePunct w:val="0"/>
              <w:bidi w:val="0"/>
              <w:snapToGrid/>
              <w:spacing w:before="0" w:beforeAutospacing="0" w:after="0" w:afterAutospacing="0" w:line="360" w:lineRule="auto"/>
              <w:ind w:left="0" w:right="0"/>
              <w:jc w:val="left"/>
              <w:rPr>
                <w:rFonts w:hint="eastAsia" w:ascii="宋体" w:hAnsi="宋体" w:eastAsia="宋体" w:cs="宋体"/>
                <w:b w:val="0"/>
                <w:bCs w:val="0"/>
                <w:color w:val="auto"/>
                <w:kern w:val="2"/>
                <w:sz w:val="21"/>
                <w:szCs w:val="21"/>
                <w:highlight w:val="none"/>
              </w:rPr>
            </w:pPr>
            <w:r>
              <w:rPr>
                <w:rFonts w:hint="eastAsia" w:ascii="宋体" w:hAnsi="宋体" w:eastAsia="宋体" w:cs="宋体"/>
                <w:color w:val="auto"/>
                <w:kern w:val="2"/>
                <w:sz w:val="21"/>
                <w:szCs w:val="21"/>
                <w:highlight w:val="none"/>
                <w:u w:val="none"/>
                <w:lang w:bidi="ar"/>
              </w:rPr>
              <w:t>东莞市松山湖高新区阿里山路12号</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61FCD786">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预计用餐人数</w:t>
            </w:r>
          </w:p>
        </w:tc>
      </w:tr>
      <w:tr w14:paraId="23FD2CEE">
        <w:tblPrEx>
          <w:shd w:val="clear" w:color="auto" w:fill="auto"/>
          <w:tblCellMar>
            <w:top w:w="0" w:type="dxa"/>
            <w:left w:w="108" w:type="dxa"/>
            <w:bottom w:w="0" w:type="dxa"/>
            <w:right w:w="108" w:type="dxa"/>
          </w:tblCellMar>
        </w:tblPrEx>
        <w:trPr>
          <w:trHeight w:val="23"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08AF2D11">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32</w:t>
            </w: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1EF97FDC">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望洪二期项目</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6E45C0E7">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23</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62496B9B">
            <w:pPr>
              <w:keepNext w:val="0"/>
              <w:keepLines w:val="0"/>
              <w:pageBreakBefore w:val="0"/>
              <w:suppressLineNumbers w:val="0"/>
              <w:kinsoku/>
              <w:overflowPunct/>
              <w:topLinePunct w:val="0"/>
              <w:bidi w:val="0"/>
              <w:snapToGrid/>
              <w:spacing w:before="0" w:beforeAutospacing="0" w:after="0" w:afterAutospacing="0" w:line="360" w:lineRule="auto"/>
              <w:ind w:left="0" w:right="0"/>
              <w:jc w:val="left"/>
              <w:rPr>
                <w:rFonts w:hint="default" w:ascii="宋体" w:hAnsi="宋体" w:eastAsia="宋体" w:cs="宋体"/>
                <w:color w:val="auto"/>
                <w:kern w:val="2"/>
                <w:sz w:val="21"/>
                <w:szCs w:val="21"/>
                <w:highlight w:val="none"/>
                <w:u w:val="none"/>
                <w:lang w:val="en-US" w:eastAsia="zh-CN" w:bidi="ar"/>
              </w:rPr>
            </w:pPr>
            <w:r>
              <w:rPr>
                <w:rFonts w:hint="eastAsia" w:ascii="宋体" w:hAnsi="宋体" w:eastAsia="宋体" w:cs="宋体"/>
                <w:color w:val="auto"/>
                <w:kern w:val="2"/>
                <w:sz w:val="21"/>
                <w:szCs w:val="21"/>
                <w:highlight w:val="none"/>
                <w:u w:val="none"/>
                <w:lang w:val="en-US" w:eastAsia="zh-CN" w:bidi="ar"/>
              </w:rPr>
              <w:t>待定</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1EB75037">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预计用餐人数</w:t>
            </w:r>
          </w:p>
        </w:tc>
      </w:tr>
      <w:tr w14:paraId="6DCE4990">
        <w:tblPrEx>
          <w:shd w:val="clear" w:color="auto" w:fill="auto"/>
          <w:tblCellMar>
            <w:top w:w="0" w:type="dxa"/>
            <w:left w:w="108" w:type="dxa"/>
            <w:bottom w:w="0" w:type="dxa"/>
            <w:right w:w="108" w:type="dxa"/>
          </w:tblCellMar>
        </w:tblPrEx>
        <w:trPr>
          <w:trHeight w:val="23"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2E064531">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14:paraId="61DB7237">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合计</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1EAD0C23">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1344</w:t>
            </w:r>
          </w:p>
        </w:tc>
        <w:tc>
          <w:tcPr>
            <w:tcW w:w="2419" w:type="pct"/>
            <w:tcBorders>
              <w:top w:val="single" w:color="auto" w:sz="4" w:space="0"/>
              <w:left w:val="single" w:color="auto" w:sz="4" w:space="0"/>
              <w:bottom w:val="single" w:color="auto" w:sz="4" w:space="0"/>
              <w:right w:val="single" w:color="auto" w:sz="4" w:space="0"/>
            </w:tcBorders>
            <w:shd w:val="clear" w:color="auto" w:fill="auto"/>
            <w:vAlign w:val="center"/>
          </w:tcPr>
          <w:p w14:paraId="1A9293FF">
            <w:pPr>
              <w:keepNext w:val="0"/>
              <w:keepLines w:val="0"/>
              <w:pageBreakBefore w:val="0"/>
              <w:suppressLineNumbers w:val="0"/>
              <w:kinsoku/>
              <w:overflowPunct/>
              <w:topLinePunct w:val="0"/>
              <w:bidi w:val="0"/>
              <w:snapToGrid/>
              <w:spacing w:before="0" w:beforeAutospacing="0" w:after="0" w:afterAutospacing="0" w:line="360" w:lineRule="auto"/>
              <w:ind w:left="0" w:right="0"/>
              <w:jc w:val="left"/>
              <w:rPr>
                <w:rFonts w:hint="eastAsia" w:ascii="宋体" w:hAnsi="宋体" w:eastAsia="宋体" w:cs="宋体"/>
                <w:b/>
                <w:bCs/>
                <w:color w:val="auto"/>
                <w:kern w:val="2"/>
                <w:sz w:val="21"/>
                <w:szCs w:val="21"/>
                <w:highlight w:val="none"/>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79C2892A">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r>
    </w:tbl>
    <w:p w14:paraId="119BA17B">
      <w:pPr>
        <w:keepNext w:val="0"/>
        <w:keepLines w:val="0"/>
        <w:pageBreakBefore w:val="0"/>
        <w:kinsoku/>
        <w:overflowPunct/>
        <w:topLinePunct w:val="0"/>
        <w:bidi w:val="0"/>
        <w:snapToGrid/>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附件2：</w:t>
      </w:r>
    </w:p>
    <w:p w14:paraId="7EAE94DA">
      <w:pPr>
        <w:keepNext w:val="0"/>
        <w:keepLines w:val="0"/>
        <w:pageBreakBefore w:val="0"/>
        <w:kinsoku/>
        <w:overflowPunct/>
        <w:topLinePunct w:val="0"/>
        <w:bidi w:val="0"/>
        <w:snapToGrid/>
        <w:spacing w:line="360" w:lineRule="auto"/>
        <w:rPr>
          <w:rFonts w:hint="eastAsia" w:ascii="宋体" w:hAnsi="宋体" w:eastAsia="宋体" w:cs="宋体"/>
          <w:color w:val="auto"/>
          <w:sz w:val="21"/>
          <w:szCs w:val="21"/>
          <w:highlight w:val="none"/>
        </w:rPr>
      </w:pPr>
    </w:p>
    <w:p w14:paraId="7DF87290">
      <w:pPr>
        <w:keepNext w:val="0"/>
        <w:keepLines w:val="0"/>
        <w:pageBreakBefore w:val="0"/>
        <w:kinsoku/>
        <w:overflowPunct/>
        <w:topLinePunct w:val="0"/>
        <w:bidi w:val="0"/>
        <w:snapToGrid/>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厂区</w:t>
      </w:r>
      <w:r>
        <w:rPr>
          <w:rFonts w:hint="eastAsia" w:ascii="宋体" w:hAnsi="宋体" w:eastAsia="宋体" w:cs="宋体"/>
          <w:b/>
          <w:bCs/>
          <w:color w:val="auto"/>
          <w:sz w:val="21"/>
          <w:szCs w:val="21"/>
          <w:highlight w:val="none"/>
        </w:rPr>
        <w:t>对供货商考核评分表</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622"/>
        <w:gridCol w:w="1395"/>
        <w:gridCol w:w="2075"/>
        <w:gridCol w:w="809"/>
        <w:gridCol w:w="721"/>
        <w:gridCol w:w="165"/>
        <w:gridCol w:w="762"/>
        <w:gridCol w:w="987"/>
      </w:tblGrid>
      <w:tr w14:paraId="23B89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7" w:type="pct"/>
            <w:vMerge w:val="restart"/>
            <w:vAlign w:val="center"/>
          </w:tcPr>
          <w:p w14:paraId="4662AE24">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考核指标</w:t>
            </w:r>
          </w:p>
        </w:tc>
        <w:tc>
          <w:tcPr>
            <w:tcW w:w="365" w:type="pct"/>
            <w:vMerge w:val="restart"/>
            <w:vAlign w:val="center"/>
          </w:tcPr>
          <w:p w14:paraId="030CF7FB">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分值</w:t>
            </w:r>
          </w:p>
        </w:tc>
        <w:tc>
          <w:tcPr>
            <w:tcW w:w="2037" w:type="pct"/>
            <w:gridSpan w:val="2"/>
            <w:vMerge w:val="restart"/>
            <w:vAlign w:val="center"/>
          </w:tcPr>
          <w:p w14:paraId="584957FF">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考核要素和评估内容及其标准</w:t>
            </w:r>
          </w:p>
        </w:tc>
        <w:tc>
          <w:tcPr>
            <w:tcW w:w="475" w:type="pct"/>
            <w:vAlign w:val="center"/>
          </w:tcPr>
          <w:p w14:paraId="33BBE5CD">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优秀</w:t>
            </w:r>
          </w:p>
        </w:tc>
        <w:tc>
          <w:tcPr>
            <w:tcW w:w="423" w:type="pct"/>
            <w:vAlign w:val="center"/>
          </w:tcPr>
          <w:p w14:paraId="6DE9BA28">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良好</w:t>
            </w:r>
          </w:p>
        </w:tc>
        <w:tc>
          <w:tcPr>
            <w:tcW w:w="541" w:type="pct"/>
            <w:gridSpan w:val="2"/>
            <w:vAlign w:val="center"/>
          </w:tcPr>
          <w:p w14:paraId="03C35C8E">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不合格</w:t>
            </w:r>
          </w:p>
        </w:tc>
        <w:tc>
          <w:tcPr>
            <w:tcW w:w="578" w:type="pct"/>
            <w:vMerge w:val="restart"/>
            <w:vAlign w:val="center"/>
          </w:tcPr>
          <w:p w14:paraId="304DB1AD">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扣分情况</w:t>
            </w:r>
          </w:p>
        </w:tc>
      </w:tr>
      <w:tr w14:paraId="2375D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7" w:type="pct"/>
            <w:vMerge w:val="continue"/>
            <w:vAlign w:val="center"/>
          </w:tcPr>
          <w:p w14:paraId="0575773E">
            <w:pPr>
              <w:keepNext w:val="0"/>
              <w:keepLines w:val="0"/>
              <w:pageBreakBefore w:val="0"/>
              <w:suppressLineNumbers w:val="0"/>
              <w:kinsoku/>
              <w:overflowPunct/>
              <w:topLinePunct w:val="0"/>
              <w:bidi w:val="0"/>
              <w:snapToGrid/>
              <w:spacing w:before="0" w:beforeAutospacing="0" w:after="0" w:afterAutospacing="0" w:line="360" w:lineRule="auto"/>
              <w:ind w:left="0" w:right="0"/>
              <w:rPr>
                <w:rFonts w:hint="eastAsia" w:ascii="宋体" w:hAnsi="宋体" w:eastAsia="宋体" w:cs="宋体"/>
                <w:color w:val="auto"/>
                <w:kern w:val="2"/>
                <w:sz w:val="21"/>
                <w:szCs w:val="21"/>
                <w:highlight w:val="none"/>
              </w:rPr>
            </w:pPr>
          </w:p>
        </w:tc>
        <w:tc>
          <w:tcPr>
            <w:tcW w:w="365" w:type="pct"/>
            <w:vMerge w:val="continue"/>
            <w:vAlign w:val="center"/>
          </w:tcPr>
          <w:p w14:paraId="06F371C4">
            <w:pPr>
              <w:keepNext w:val="0"/>
              <w:keepLines w:val="0"/>
              <w:pageBreakBefore w:val="0"/>
              <w:suppressLineNumbers w:val="0"/>
              <w:kinsoku/>
              <w:overflowPunct/>
              <w:topLinePunct w:val="0"/>
              <w:bidi w:val="0"/>
              <w:snapToGrid/>
              <w:spacing w:before="0" w:beforeAutospacing="0" w:after="0" w:afterAutospacing="0" w:line="360" w:lineRule="auto"/>
              <w:ind w:left="0" w:right="0"/>
              <w:rPr>
                <w:rFonts w:hint="eastAsia" w:ascii="宋体" w:hAnsi="宋体" w:eastAsia="宋体" w:cs="宋体"/>
                <w:color w:val="auto"/>
                <w:kern w:val="2"/>
                <w:sz w:val="21"/>
                <w:szCs w:val="21"/>
                <w:highlight w:val="none"/>
              </w:rPr>
            </w:pPr>
          </w:p>
        </w:tc>
        <w:tc>
          <w:tcPr>
            <w:tcW w:w="2037" w:type="pct"/>
            <w:gridSpan w:val="2"/>
            <w:vMerge w:val="continue"/>
            <w:vAlign w:val="center"/>
          </w:tcPr>
          <w:p w14:paraId="7DCC37BC">
            <w:pPr>
              <w:keepNext w:val="0"/>
              <w:keepLines w:val="0"/>
              <w:pageBreakBefore w:val="0"/>
              <w:suppressLineNumbers w:val="0"/>
              <w:kinsoku/>
              <w:overflowPunct/>
              <w:topLinePunct w:val="0"/>
              <w:bidi w:val="0"/>
              <w:snapToGrid/>
              <w:spacing w:before="0" w:beforeAutospacing="0" w:after="0" w:afterAutospacing="0" w:line="360" w:lineRule="auto"/>
              <w:ind w:left="0" w:right="0"/>
              <w:rPr>
                <w:rFonts w:hint="eastAsia" w:ascii="宋体" w:hAnsi="宋体" w:eastAsia="宋体" w:cs="宋体"/>
                <w:color w:val="auto"/>
                <w:kern w:val="2"/>
                <w:sz w:val="21"/>
                <w:szCs w:val="21"/>
                <w:highlight w:val="none"/>
              </w:rPr>
            </w:pPr>
          </w:p>
        </w:tc>
        <w:tc>
          <w:tcPr>
            <w:tcW w:w="475" w:type="pct"/>
            <w:vAlign w:val="center"/>
          </w:tcPr>
          <w:p w14:paraId="3BC74213">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8-10分</w:t>
            </w:r>
          </w:p>
        </w:tc>
        <w:tc>
          <w:tcPr>
            <w:tcW w:w="423" w:type="pct"/>
            <w:vAlign w:val="center"/>
          </w:tcPr>
          <w:p w14:paraId="29DFD500">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5-7分</w:t>
            </w:r>
          </w:p>
        </w:tc>
        <w:tc>
          <w:tcPr>
            <w:tcW w:w="541" w:type="pct"/>
            <w:gridSpan w:val="2"/>
            <w:vAlign w:val="center"/>
          </w:tcPr>
          <w:p w14:paraId="72F4C1C0">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5分以下</w:t>
            </w:r>
          </w:p>
        </w:tc>
        <w:tc>
          <w:tcPr>
            <w:tcW w:w="578" w:type="pct"/>
            <w:vMerge w:val="continue"/>
            <w:vAlign w:val="center"/>
          </w:tcPr>
          <w:p w14:paraId="2609CF71">
            <w:pPr>
              <w:keepNext w:val="0"/>
              <w:keepLines w:val="0"/>
              <w:pageBreakBefore w:val="0"/>
              <w:suppressLineNumbers w:val="0"/>
              <w:kinsoku/>
              <w:overflowPunct/>
              <w:topLinePunct w:val="0"/>
              <w:bidi w:val="0"/>
              <w:snapToGrid/>
              <w:spacing w:before="0" w:beforeAutospacing="0" w:after="0" w:afterAutospacing="0" w:line="360" w:lineRule="auto"/>
              <w:ind w:left="0" w:right="0"/>
              <w:rPr>
                <w:rFonts w:hint="eastAsia" w:ascii="宋体" w:hAnsi="宋体" w:eastAsia="宋体" w:cs="宋体"/>
                <w:color w:val="auto"/>
                <w:kern w:val="2"/>
                <w:sz w:val="21"/>
                <w:szCs w:val="21"/>
                <w:highlight w:val="none"/>
              </w:rPr>
            </w:pPr>
          </w:p>
        </w:tc>
      </w:tr>
      <w:tr w14:paraId="5969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77" w:type="pct"/>
            <w:vAlign w:val="center"/>
          </w:tcPr>
          <w:p w14:paraId="6F71A404">
            <w:pPr>
              <w:keepNext w:val="0"/>
              <w:keepLines w:val="0"/>
              <w:pageBreakBefore w:val="0"/>
              <w:suppressLineNumbers w:val="0"/>
              <w:kinsoku/>
              <w:overflowPunct/>
              <w:topLinePunct w:val="0"/>
              <w:bidi w:val="0"/>
              <w:snapToGrid/>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一、送货时间</w:t>
            </w:r>
          </w:p>
        </w:tc>
        <w:tc>
          <w:tcPr>
            <w:tcW w:w="365" w:type="pct"/>
            <w:vAlign w:val="center"/>
          </w:tcPr>
          <w:p w14:paraId="28C1C255">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w:t>
            </w:r>
          </w:p>
        </w:tc>
        <w:tc>
          <w:tcPr>
            <w:tcW w:w="2037" w:type="pct"/>
            <w:gridSpan w:val="2"/>
            <w:vAlign w:val="center"/>
          </w:tcPr>
          <w:p w14:paraId="6689283F">
            <w:pPr>
              <w:keepNext w:val="0"/>
              <w:keepLines w:val="0"/>
              <w:pageBreakBefore w:val="0"/>
              <w:suppressLineNumbers w:val="0"/>
              <w:kinsoku/>
              <w:overflowPunct/>
              <w:topLinePunct w:val="0"/>
              <w:bidi w:val="0"/>
              <w:snapToGrid/>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非不可抗拒情况下：本月内每次送货准时得 8-10 分；本月内2次不准时但能与饭堂方及时沟通得 5-7 分，不沟通或沟通不及时3次得 5 分以下。</w:t>
            </w:r>
          </w:p>
        </w:tc>
        <w:tc>
          <w:tcPr>
            <w:tcW w:w="475" w:type="pct"/>
            <w:vAlign w:val="center"/>
          </w:tcPr>
          <w:p w14:paraId="091D87E1">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423" w:type="pct"/>
            <w:vAlign w:val="center"/>
          </w:tcPr>
          <w:p w14:paraId="482700AC">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541" w:type="pct"/>
            <w:gridSpan w:val="2"/>
            <w:vAlign w:val="center"/>
          </w:tcPr>
          <w:p w14:paraId="7F386942">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578" w:type="pct"/>
            <w:vAlign w:val="center"/>
          </w:tcPr>
          <w:p w14:paraId="7EA40FA2">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r>
      <w:tr w14:paraId="3D911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77" w:type="pct"/>
            <w:vAlign w:val="center"/>
          </w:tcPr>
          <w:p w14:paraId="1C64E635">
            <w:pPr>
              <w:keepNext w:val="0"/>
              <w:keepLines w:val="0"/>
              <w:pageBreakBefore w:val="0"/>
              <w:suppressLineNumbers w:val="0"/>
              <w:kinsoku/>
              <w:overflowPunct/>
              <w:topLinePunct w:val="0"/>
              <w:bidi w:val="0"/>
              <w:snapToGrid/>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二、服务态度</w:t>
            </w:r>
          </w:p>
        </w:tc>
        <w:tc>
          <w:tcPr>
            <w:tcW w:w="365" w:type="pct"/>
            <w:vAlign w:val="center"/>
          </w:tcPr>
          <w:p w14:paraId="558C0705">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w:t>
            </w:r>
          </w:p>
        </w:tc>
        <w:tc>
          <w:tcPr>
            <w:tcW w:w="2037" w:type="pct"/>
            <w:gridSpan w:val="2"/>
            <w:vAlign w:val="center"/>
          </w:tcPr>
          <w:p w14:paraId="32F3B8E1">
            <w:pPr>
              <w:keepNext w:val="0"/>
              <w:keepLines w:val="0"/>
              <w:pageBreakBefore w:val="0"/>
              <w:suppressLineNumbers w:val="0"/>
              <w:kinsoku/>
              <w:overflowPunct/>
              <w:topLinePunct w:val="0"/>
              <w:bidi w:val="0"/>
              <w:snapToGrid/>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工作人员工作认真，服务热情周到，运送搬装文明得 8-10 分；本月内发现因搬装等原因造成食物污染、破损2次得 5-7 分；发生3次以上情况 5 分以下。</w:t>
            </w:r>
          </w:p>
        </w:tc>
        <w:tc>
          <w:tcPr>
            <w:tcW w:w="475" w:type="pct"/>
            <w:vAlign w:val="center"/>
          </w:tcPr>
          <w:p w14:paraId="5334C8A6">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423" w:type="pct"/>
            <w:vAlign w:val="center"/>
          </w:tcPr>
          <w:p w14:paraId="4826EEDF">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541" w:type="pct"/>
            <w:gridSpan w:val="2"/>
            <w:vAlign w:val="center"/>
          </w:tcPr>
          <w:p w14:paraId="3E6DF6FB">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578" w:type="pct"/>
            <w:vAlign w:val="center"/>
          </w:tcPr>
          <w:p w14:paraId="03B09CD3">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r>
      <w:tr w14:paraId="554A2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77" w:type="pct"/>
            <w:vAlign w:val="center"/>
          </w:tcPr>
          <w:p w14:paraId="268865F7">
            <w:pPr>
              <w:keepNext w:val="0"/>
              <w:keepLines w:val="0"/>
              <w:pageBreakBefore w:val="0"/>
              <w:suppressLineNumbers w:val="0"/>
              <w:kinsoku/>
              <w:overflowPunct/>
              <w:topLinePunct w:val="0"/>
              <w:bidi w:val="0"/>
              <w:snapToGrid/>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三、差错情况</w:t>
            </w:r>
          </w:p>
        </w:tc>
        <w:tc>
          <w:tcPr>
            <w:tcW w:w="365" w:type="pct"/>
            <w:vAlign w:val="center"/>
          </w:tcPr>
          <w:p w14:paraId="5EDABE98">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w:t>
            </w:r>
          </w:p>
        </w:tc>
        <w:tc>
          <w:tcPr>
            <w:tcW w:w="2037" w:type="pct"/>
            <w:gridSpan w:val="2"/>
            <w:vAlign w:val="center"/>
          </w:tcPr>
          <w:p w14:paraId="359F0C63">
            <w:pPr>
              <w:keepNext w:val="0"/>
              <w:keepLines w:val="0"/>
              <w:pageBreakBefore w:val="0"/>
              <w:suppressLineNumbers w:val="0"/>
              <w:kinsoku/>
              <w:overflowPunct/>
              <w:topLinePunct w:val="0"/>
              <w:bidi w:val="0"/>
              <w:snapToGrid/>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本月内每次送货无差错得 8-10 分；有2次差错但能及时补救得 5-7 分；4次出错且补救不及时5 分以下。</w:t>
            </w:r>
          </w:p>
        </w:tc>
        <w:tc>
          <w:tcPr>
            <w:tcW w:w="475" w:type="pct"/>
            <w:vAlign w:val="center"/>
          </w:tcPr>
          <w:p w14:paraId="33042B9D">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423" w:type="pct"/>
            <w:vAlign w:val="center"/>
          </w:tcPr>
          <w:p w14:paraId="34FFD165">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541" w:type="pct"/>
            <w:gridSpan w:val="2"/>
            <w:vAlign w:val="center"/>
          </w:tcPr>
          <w:p w14:paraId="07C701C9">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578" w:type="pct"/>
            <w:vAlign w:val="center"/>
          </w:tcPr>
          <w:p w14:paraId="792D7EDF">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r>
      <w:tr w14:paraId="60BB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7" w:type="pct"/>
            <w:vAlign w:val="center"/>
          </w:tcPr>
          <w:p w14:paraId="0AAC1054">
            <w:pPr>
              <w:keepNext w:val="0"/>
              <w:keepLines w:val="0"/>
              <w:pageBreakBefore w:val="0"/>
              <w:suppressLineNumbers w:val="0"/>
              <w:kinsoku/>
              <w:overflowPunct/>
              <w:topLinePunct w:val="0"/>
              <w:bidi w:val="0"/>
              <w:snapToGrid/>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四、足斤足两</w:t>
            </w:r>
          </w:p>
        </w:tc>
        <w:tc>
          <w:tcPr>
            <w:tcW w:w="365" w:type="pct"/>
            <w:vAlign w:val="center"/>
          </w:tcPr>
          <w:p w14:paraId="5CFEC9FA">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w:t>
            </w:r>
          </w:p>
        </w:tc>
        <w:tc>
          <w:tcPr>
            <w:tcW w:w="2037" w:type="pct"/>
            <w:gridSpan w:val="2"/>
            <w:vAlign w:val="center"/>
          </w:tcPr>
          <w:p w14:paraId="0A5349B9">
            <w:pPr>
              <w:keepNext w:val="0"/>
              <w:keepLines w:val="0"/>
              <w:pageBreakBefore w:val="0"/>
              <w:suppressLineNumbers w:val="0"/>
              <w:kinsoku/>
              <w:overflowPunct/>
              <w:topLinePunct w:val="0"/>
              <w:bidi w:val="0"/>
              <w:snapToGrid/>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本月内送货没有出现短斤缺两现象得 8-10 分；2次出现短近缺两但能及时更正得 5-7 分；上述情况发生且不能及时更正3次得 5 分以下。</w:t>
            </w:r>
          </w:p>
        </w:tc>
        <w:tc>
          <w:tcPr>
            <w:tcW w:w="475" w:type="pct"/>
            <w:vAlign w:val="center"/>
          </w:tcPr>
          <w:p w14:paraId="687BCF4D">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423" w:type="pct"/>
            <w:vAlign w:val="center"/>
          </w:tcPr>
          <w:p w14:paraId="201AEB95">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541" w:type="pct"/>
            <w:gridSpan w:val="2"/>
            <w:vAlign w:val="center"/>
          </w:tcPr>
          <w:p w14:paraId="43B395EC">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578" w:type="pct"/>
            <w:vAlign w:val="center"/>
          </w:tcPr>
          <w:p w14:paraId="54034A49">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r>
      <w:tr w14:paraId="6A54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77" w:type="pct"/>
            <w:vAlign w:val="center"/>
          </w:tcPr>
          <w:p w14:paraId="0B340D45">
            <w:pPr>
              <w:keepNext w:val="0"/>
              <w:keepLines w:val="0"/>
              <w:pageBreakBefore w:val="0"/>
              <w:suppressLineNumbers w:val="0"/>
              <w:kinsoku/>
              <w:overflowPunct/>
              <w:topLinePunct w:val="0"/>
              <w:bidi w:val="0"/>
              <w:snapToGrid/>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五、价格与质量合理性</w:t>
            </w:r>
          </w:p>
        </w:tc>
        <w:tc>
          <w:tcPr>
            <w:tcW w:w="365" w:type="pct"/>
            <w:vAlign w:val="center"/>
          </w:tcPr>
          <w:p w14:paraId="775CAADB">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w:t>
            </w:r>
          </w:p>
        </w:tc>
        <w:tc>
          <w:tcPr>
            <w:tcW w:w="2037" w:type="pct"/>
            <w:gridSpan w:val="2"/>
            <w:vAlign w:val="center"/>
          </w:tcPr>
          <w:p w14:paraId="79FCB1B8">
            <w:pPr>
              <w:keepNext w:val="0"/>
              <w:keepLines w:val="0"/>
              <w:pageBreakBefore w:val="0"/>
              <w:suppressLineNumbers w:val="0"/>
              <w:kinsoku/>
              <w:overflowPunct/>
              <w:topLinePunct w:val="0"/>
              <w:bidi w:val="0"/>
              <w:snapToGrid/>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按照菜篮子价格与指定市场的同等价格品种的质量相比较,价格合理下浮得 8 -10分；对比市场价，价格有偏高20％，得 5-7 分；价格高于市场价30％，得 5 分以下。</w:t>
            </w:r>
          </w:p>
        </w:tc>
        <w:tc>
          <w:tcPr>
            <w:tcW w:w="475" w:type="pct"/>
            <w:vAlign w:val="center"/>
          </w:tcPr>
          <w:p w14:paraId="71D0A8B3">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423" w:type="pct"/>
            <w:vAlign w:val="center"/>
          </w:tcPr>
          <w:p w14:paraId="39CE1003">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541" w:type="pct"/>
            <w:gridSpan w:val="2"/>
            <w:vAlign w:val="center"/>
          </w:tcPr>
          <w:p w14:paraId="0A3CE059">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578" w:type="pct"/>
            <w:vAlign w:val="center"/>
          </w:tcPr>
          <w:p w14:paraId="06A7CDA2">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r>
      <w:tr w14:paraId="4326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577" w:type="pct"/>
            <w:vAlign w:val="center"/>
          </w:tcPr>
          <w:p w14:paraId="015FAF1F">
            <w:pPr>
              <w:keepNext w:val="0"/>
              <w:keepLines w:val="0"/>
              <w:pageBreakBefore w:val="0"/>
              <w:suppressLineNumbers w:val="0"/>
              <w:kinsoku/>
              <w:overflowPunct/>
              <w:topLinePunct w:val="0"/>
              <w:bidi w:val="0"/>
              <w:snapToGrid/>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六、质量服务</w:t>
            </w:r>
          </w:p>
        </w:tc>
        <w:tc>
          <w:tcPr>
            <w:tcW w:w="365" w:type="pct"/>
            <w:vAlign w:val="center"/>
          </w:tcPr>
          <w:p w14:paraId="4DE35561">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w:t>
            </w:r>
          </w:p>
        </w:tc>
        <w:tc>
          <w:tcPr>
            <w:tcW w:w="2037" w:type="pct"/>
            <w:gridSpan w:val="2"/>
            <w:vAlign w:val="center"/>
          </w:tcPr>
          <w:p w14:paraId="41DCAC8A">
            <w:pPr>
              <w:keepNext w:val="0"/>
              <w:keepLines w:val="0"/>
              <w:pageBreakBefore w:val="0"/>
              <w:suppressLineNumbers w:val="0"/>
              <w:kinsoku/>
              <w:overflowPunct/>
              <w:topLinePunct w:val="0"/>
              <w:bidi w:val="0"/>
              <w:snapToGrid/>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所供商品经过挑选后利用率达到 98%得 8-10 分，本月内3次发现商品利用率在 97%-90%，得5-7 分；4次发现未经挑选并有腐烂情况的质量问题得 5 分以下。</w:t>
            </w:r>
          </w:p>
        </w:tc>
        <w:tc>
          <w:tcPr>
            <w:tcW w:w="475" w:type="pct"/>
            <w:vAlign w:val="center"/>
          </w:tcPr>
          <w:p w14:paraId="6D485569">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423" w:type="pct"/>
            <w:vAlign w:val="center"/>
          </w:tcPr>
          <w:p w14:paraId="743D15BE">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541" w:type="pct"/>
            <w:gridSpan w:val="2"/>
            <w:vAlign w:val="center"/>
          </w:tcPr>
          <w:p w14:paraId="61B2BDDE">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578" w:type="pct"/>
            <w:vAlign w:val="center"/>
          </w:tcPr>
          <w:p w14:paraId="03681BC4">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r>
      <w:tr w14:paraId="0E6F0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577" w:type="pct"/>
            <w:vAlign w:val="center"/>
          </w:tcPr>
          <w:p w14:paraId="3CFF154F">
            <w:pPr>
              <w:keepNext w:val="0"/>
              <w:keepLines w:val="0"/>
              <w:pageBreakBefore w:val="0"/>
              <w:suppressLineNumbers w:val="0"/>
              <w:kinsoku/>
              <w:overflowPunct/>
              <w:topLinePunct w:val="0"/>
              <w:bidi w:val="0"/>
              <w:snapToGrid/>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七、品牌意识</w:t>
            </w:r>
          </w:p>
        </w:tc>
        <w:tc>
          <w:tcPr>
            <w:tcW w:w="365" w:type="pct"/>
            <w:vAlign w:val="center"/>
          </w:tcPr>
          <w:p w14:paraId="7B5C7740">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w:t>
            </w:r>
          </w:p>
        </w:tc>
        <w:tc>
          <w:tcPr>
            <w:tcW w:w="2037" w:type="pct"/>
            <w:gridSpan w:val="2"/>
            <w:vAlign w:val="center"/>
          </w:tcPr>
          <w:p w14:paraId="540D50EF">
            <w:pPr>
              <w:keepNext w:val="0"/>
              <w:keepLines w:val="0"/>
              <w:pageBreakBefore w:val="0"/>
              <w:suppressLineNumbers w:val="0"/>
              <w:kinsoku/>
              <w:overflowPunct/>
              <w:topLinePunct w:val="0"/>
              <w:bidi w:val="0"/>
              <w:snapToGrid/>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按饭堂发出的订单品种采购，无擅自更换商品品种现象 8-10 分；本月内发现有3次擅自更换商品品种现象得5-7 分，发现 4 次擅自更换商品品种现象得 5 分以下。</w:t>
            </w:r>
          </w:p>
        </w:tc>
        <w:tc>
          <w:tcPr>
            <w:tcW w:w="475" w:type="pct"/>
            <w:vAlign w:val="center"/>
          </w:tcPr>
          <w:p w14:paraId="25ECFC7F">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423" w:type="pct"/>
            <w:vAlign w:val="center"/>
          </w:tcPr>
          <w:p w14:paraId="0C235489">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541" w:type="pct"/>
            <w:gridSpan w:val="2"/>
            <w:vAlign w:val="center"/>
          </w:tcPr>
          <w:p w14:paraId="688E1613">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578" w:type="pct"/>
            <w:vAlign w:val="center"/>
          </w:tcPr>
          <w:p w14:paraId="663F5001">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r>
      <w:tr w14:paraId="7C5F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577" w:type="pct"/>
            <w:vAlign w:val="center"/>
          </w:tcPr>
          <w:p w14:paraId="2367B86F">
            <w:pPr>
              <w:keepNext w:val="0"/>
              <w:keepLines w:val="0"/>
              <w:pageBreakBefore w:val="0"/>
              <w:suppressLineNumbers w:val="0"/>
              <w:kinsoku/>
              <w:overflowPunct/>
              <w:topLinePunct w:val="0"/>
              <w:bidi w:val="0"/>
              <w:snapToGrid/>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八、联系制度</w:t>
            </w:r>
          </w:p>
        </w:tc>
        <w:tc>
          <w:tcPr>
            <w:tcW w:w="365" w:type="pct"/>
            <w:vAlign w:val="center"/>
          </w:tcPr>
          <w:p w14:paraId="5EBA31B6">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w:t>
            </w:r>
          </w:p>
        </w:tc>
        <w:tc>
          <w:tcPr>
            <w:tcW w:w="2037" w:type="pct"/>
            <w:gridSpan w:val="2"/>
            <w:vAlign w:val="center"/>
          </w:tcPr>
          <w:p w14:paraId="6ACED817">
            <w:pPr>
              <w:keepNext w:val="0"/>
              <w:keepLines w:val="0"/>
              <w:pageBreakBefore w:val="0"/>
              <w:suppressLineNumbers w:val="0"/>
              <w:kinsoku/>
              <w:overflowPunct/>
              <w:topLinePunct w:val="0"/>
              <w:bidi w:val="0"/>
              <w:snapToGrid/>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更换商品前，与饭堂联系并谈妥商事项，得 8-10 分；本月内2次更改商品单方定价得 5-7 分；本月内3次出现更改商品单方定价得 5 分以下。</w:t>
            </w:r>
          </w:p>
        </w:tc>
        <w:tc>
          <w:tcPr>
            <w:tcW w:w="475" w:type="pct"/>
            <w:vAlign w:val="center"/>
          </w:tcPr>
          <w:p w14:paraId="55569075">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423" w:type="pct"/>
            <w:vAlign w:val="center"/>
          </w:tcPr>
          <w:p w14:paraId="2C469818">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541" w:type="pct"/>
            <w:gridSpan w:val="2"/>
            <w:vAlign w:val="center"/>
          </w:tcPr>
          <w:p w14:paraId="7FA9E004">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578" w:type="pct"/>
            <w:vAlign w:val="center"/>
          </w:tcPr>
          <w:p w14:paraId="27172A1D">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r>
      <w:tr w14:paraId="19B31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577" w:type="pct"/>
            <w:vAlign w:val="center"/>
          </w:tcPr>
          <w:p w14:paraId="10A39F32">
            <w:pPr>
              <w:keepNext w:val="0"/>
              <w:keepLines w:val="0"/>
              <w:pageBreakBefore w:val="0"/>
              <w:suppressLineNumbers w:val="0"/>
              <w:kinsoku/>
              <w:overflowPunct/>
              <w:topLinePunct w:val="0"/>
              <w:bidi w:val="0"/>
              <w:snapToGrid/>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九、跟踪随访</w:t>
            </w:r>
          </w:p>
        </w:tc>
        <w:tc>
          <w:tcPr>
            <w:tcW w:w="365" w:type="pct"/>
            <w:vAlign w:val="center"/>
          </w:tcPr>
          <w:p w14:paraId="23E0A589">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w:t>
            </w:r>
          </w:p>
        </w:tc>
        <w:tc>
          <w:tcPr>
            <w:tcW w:w="2037" w:type="pct"/>
            <w:gridSpan w:val="2"/>
            <w:vAlign w:val="center"/>
          </w:tcPr>
          <w:p w14:paraId="6167008A">
            <w:pPr>
              <w:keepNext w:val="0"/>
              <w:keepLines w:val="0"/>
              <w:pageBreakBefore w:val="0"/>
              <w:suppressLineNumbers w:val="0"/>
              <w:kinsoku/>
              <w:overflowPunct/>
              <w:topLinePunct w:val="0"/>
              <w:bidi w:val="0"/>
              <w:snapToGrid/>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供货商能主动到饭堂随访，倾听饭堂意见，每月2次得8-10 分，供货商每月回访饭堂1次得 5-0 分。</w:t>
            </w:r>
          </w:p>
        </w:tc>
        <w:tc>
          <w:tcPr>
            <w:tcW w:w="475" w:type="pct"/>
            <w:vAlign w:val="center"/>
          </w:tcPr>
          <w:p w14:paraId="3F68448A">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423" w:type="pct"/>
            <w:vAlign w:val="center"/>
          </w:tcPr>
          <w:p w14:paraId="22952D62">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541" w:type="pct"/>
            <w:gridSpan w:val="2"/>
            <w:vAlign w:val="center"/>
          </w:tcPr>
          <w:p w14:paraId="01A501CB">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578" w:type="pct"/>
            <w:vAlign w:val="center"/>
          </w:tcPr>
          <w:p w14:paraId="4F5BE34A">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r>
      <w:tr w14:paraId="265D5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577" w:type="pct"/>
            <w:vAlign w:val="center"/>
          </w:tcPr>
          <w:p w14:paraId="6244525A">
            <w:pPr>
              <w:keepNext w:val="0"/>
              <w:keepLines w:val="0"/>
              <w:pageBreakBefore w:val="0"/>
              <w:suppressLineNumbers w:val="0"/>
              <w:kinsoku/>
              <w:overflowPunct/>
              <w:topLinePunct w:val="0"/>
              <w:bidi w:val="0"/>
              <w:snapToGrid/>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十、检测资料</w:t>
            </w:r>
          </w:p>
        </w:tc>
        <w:tc>
          <w:tcPr>
            <w:tcW w:w="365" w:type="pct"/>
            <w:vAlign w:val="center"/>
          </w:tcPr>
          <w:p w14:paraId="073391E2">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w:t>
            </w:r>
          </w:p>
        </w:tc>
        <w:tc>
          <w:tcPr>
            <w:tcW w:w="2037" w:type="pct"/>
            <w:gridSpan w:val="2"/>
            <w:vAlign w:val="center"/>
          </w:tcPr>
          <w:p w14:paraId="425A52DB">
            <w:pPr>
              <w:keepNext w:val="0"/>
              <w:keepLines w:val="0"/>
              <w:pageBreakBefore w:val="0"/>
              <w:suppressLineNumbers w:val="0"/>
              <w:kinsoku/>
              <w:overflowPunct/>
              <w:topLinePunct w:val="0"/>
              <w:bidi w:val="0"/>
              <w:snapToGrid/>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本月内向食堂提供全部有关商品的检测资料得 8-10 分；遗漏2次但当月内可以及时补交的 得5分，遗漏 2 次以上没有在当月份补充的得 3分以下。</w:t>
            </w:r>
          </w:p>
        </w:tc>
        <w:tc>
          <w:tcPr>
            <w:tcW w:w="475" w:type="pct"/>
            <w:vAlign w:val="center"/>
          </w:tcPr>
          <w:p w14:paraId="507A2DF5">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423" w:type="pct"/>
            <w:vAlign w:val="center"/>
          </w:tcPr>
          <w:p w14:paraId="3B7ACF34">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541" w:type="pct"/>
            <w:gridSpan w:val="2"/>
            <w:vAlign w:val="center"/>
          </w:tcPr>
          <w:p w14:paraId="026D25B2">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578" w:type="pct"/>
            <w:vAlign w:val="center"/>
          </w:tcPr>
          <w:p w14:paraId="79E04352">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r>
      <w:tr w14:paraId="29140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42" w:type="pct"/>
            <w:gridSpan w:val="2"/>
            <w:vAlign w:val="center"/>
          </w:tcPr>
          <w:p w14:paraId="3BB5E235">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一票否决项</w:t>
            </w:r>
          </w:p>
        </w:tc>
        <w:tc>
          <w:tcPr>
            <w:tcW w:w="2037" w:type="pct"/>
            <w:gridSpan w:val="2"/>
            <w:vAlign w:val="center"/>
          </w:tcPr>
          <w:p w14:paraId="65E21703">
            <w:pPr>
              <w:keepNext w:val="0"/>
              <w:keepLines w:val="0"/>
              <w:pageBreakBefore w:val="0"/>
              <w:suppressLineNumbers w:val="0"/>
              <w:kinsoku/>
              <w:overflowPunct/>
              <w:topLinePunct w:val="0"/>
              <w:bidi w:val="0"/>
              <w:snapToGrid/>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同一食堂连续两个月考核低于80分，下达整改通知书且整改后仍未达90分；</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中标人未经招标人权属子公司同意违规转包由第三方配进行配送；</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因中标</w:t>
            </w:r>
            <w:r>
              <w:rPr>
                <w:rFonts w:hint="eastAsia" w:ascii="宋体" w:hAnsi="宋体" w:eastAsia="宋体" w:cs="宋体"/>
                <w:color w:val="auto"/>
                <w:kern w:val="2"/>
                <w:sz w:val="21"/>
                <w:szCs w:val="21"/>
                <w:highlight w:val="none"/>
                <w:lang w:val="en-US" w:eastAsia="zh-CN"/>
              </w:rPr>
              <w:t>人</w:t>
            </w:r>
            <w:r>
              <w:rPr>
                <w:rFonts w:hint="eastAsia" w:ascii="宋体" w:hAnsi="宋体" w:eastAsia="宋体" w:cs="宋体"/>
                <w:color w:val="auto"/>
                <w:kern w:val="2"/>
                <w:sz w:val="21"/>
                <w:szCs w:val="21"/>
                <w:highlight w:val="none"/>
              </w:rPr>
              <w:t>原因导致招标</w:t>
            </w:r>
            <w:r>
              <w:rPr>
                <w:rFonts w:hint="eastAsia" w:ascii="宋体" w:hAnsi="宋体" w:eastAsia="宋体" w:cs="宋体"/>
                <w:color w:val="auto"/>
                <w:kern w:val="2"/>
                <w:sz w:val="21"/>
                <w:szCs w:val="21"/>
                <w:highlight w:val="none"/>
                <w:lang w:val="en-US" w:eastAsia="zh-CN"/>
              </w:rPr>
              <w:t>人权属子公司</w:t>
            </w:r>
            <w:r>
              <w:rPr>
                <w:rFonts w:hint="eastAsia" w:ascii="宋体" w:hAnsi="宋体" w:eastAsia="宋体" w:cs="宋体"/>
                <w:color w:val="auto"/>
                <w:kern w:val="2"/>
                <w:sz w:val="21"/>
                <w:szCs w:val="21"/>
                <w:highlight w:val="none"/>
              </w:rPr>
              <w:t>有人员出现食物中毒。</w:t>
            </w:r>
          </w:p>
        </w:tc>
        <w:tc>
          <w:tcPr>
            <w:tcW w:w="475" w:type="pct"/>
            <w:vAlign w:val="center"/>
          </w:tcPr>
          <w:p w14:paraId="7D21CB81">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423" w:type="pct"/>
            <w:vAlign w:val="center"/>
          </w:tcPr>
          <w:p w14:paraId="4807A79C">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541" w:type="pct"/>
            <w:gridSpan w:val="2"/>
            <w:vAlign w:val="center"/>
          </w:tcPr>
          <w:p w14:paraId="6D0342D7">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578" w:type="pct"/>
            <w:vAlign w:val="center"/>
          </w:tcPr>
          <w:p w14:paraId="6161D523">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r>
      <w:tr w14:paraId="2356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21" w:type="pct"/>
            <w:gridSpan w:val="8"/>
            <w:vAlign w:val="center"/>
          </w:tcPr>
          <w:p w14:paraId="3424A045">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总分</w:t>
            </w:r>
          </w:p>
        </w:tc>
        <w:tc>
          <w:tcPr>
            <w:tcW w:w="578" w:type="pct"/>
            <w:vAlign w:val="center"/>
          </w:tcPr>
          <w:p w14:paraId="72DD077B">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r>
      <w:tr w14:paraId="32E9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2" w:type="pct"/>
            <w:gridSpan w:val="2"/>
            <w:vAlign w:val="center"/>
          </w:tcPr>
          <w:p w14:paraId="4460766E">
            <w:pPr>
              <w:keepNext w:val="0"/>
              <w:keepLines w:val="0"/>
              <w:pageBreakBefore w:val="0"/>
              <w:suppressLineNumbers w:val="0"/>
              <w:kinsoku/>
              <w:overflowPunct/>
              <w:topLinePunct w:val="0"/>
              <w:bidi w:val="0"/>
              <w:snapToGrid/>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考核结果：</w:t>
            </w:r>
          </w:p>
        </w:tc>
        <w:tc>
          <w:tcPr>
            <w:tcW w:w="819" w:type="pct"/>
            <w:vAlign w:val="center"/>
          </w:tcPr>
          <w:p w14:paraId="73C87DA0">
            <w:pPr>
              <w:keepNext w:val="0"/>
              <w:keepLines w:val="0"/>
              <w:pageBreakBefore w:val="0"/>
              <w:suppressLineNumbers w:val="0"/>
              <w:kinsoku/>
              <w:overflowPunct/>
              <w:topLinePunct w:val="0"/>
              <w:bidi w:val="0"/>
              <w:snapToGrid/>
              <w:spacing w:before="0" w:beforeAutospacing="0" w:after="0" w:afterAutospacing="0" w:line="360" w:lineRule="auto"/>
              <w:ind w:left="0" w:right="0"/>
              <w:rPr>
                <w:rFonts w:hint="eastAsia" w:ascii="宋体" w:hAnsi="宋体" w:eastAsia="宋体" w:cs="宋体"/>
                <w:color w:val="auto"/>
                <w:kern w:val="2"/>
                <w:sz w:val="21"/>
                <w:szCs w:val="21"/>
                <w:highlight w:val="none"/>
              </w:rPr>
            </w:pPr>
          </w:p>
        </w:tc>
        <w:tc>
          <w:tcPr>
            <w:tcW w:w="1217" w:type="pct"/>
            <w:vAlign w:val="center"/>
          </w:tcPr>
          <w:p w14:paraId="5C516BC6">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合格</w:t>
            </w:r>
          </w:p>
        </w:tc>
        <w:tc>
          <w:tcPr>
            <w:tcW w:w="995" w:type="pct"/>
            <w:gridSpan w:val="3"/>
            <w:vAlign w:val="center"/>
          </w:tcPr>
          <w:p w14:paraId="7AAB262C">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c>
          <w:tcPr>
            <w:tcW w:w="445" w:type="pct"/>
            <w:vAlign w:val="center"/>
          </w:tcPr>
          <w:p w14:paraId="028DA9F8">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不合格</w:t>
            </w:r>
          </w:p>
        </w:tc>
        <w:tc>
          <w:tcPr>
            <w:tcW w:w="578" w:type="pct"/>
            <w:vAlign w:val="center"/>
          </w:tcPr>
          <w:p w14:paraId="6614C122">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tc>
      </w:tr>
      <w:tr w14:paraId="47BB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5000" w:type="pct"/>
            <w:gridSpan w:val="9"/>
            <w:vAlign w:val="center"/>
          </w:tcPr>
          <w:p w14:paraId="1A42EE50">
            <w:pPr>
              <w:keepNext w:val="0"/>
              <w:keepLines w:val="0"/>
              <w:pageBreakBefore w:val="0"/>
              <w:suppressLineNumbers w:val="0"/>
              <w:kinsoku/>
              <w:overflowPunct/>
              <w:topLinePunct w:val="0"/>
              <w:bidi w:val="0"/>
              <w:snapToGrid/>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意见及建议：</w:t>
            </w:r>
          </w:p>
        </w:tc>
      </w:tr>
    </w:tbl>
    <w:p w14:paraId="4288A733">
      <w:pPr>
        <w:keepNext w:val="0"/>
        <w:keepLines w:val="0"/>
        <w:pageBreakBefore w:val="0"/>
        <w:kinsoku/>
        <w:overflowPunct/>
        <w:topLinePunct w:val="0"/>
        <w:bidi w:val="0"/>
        <w:snapToGrid/>
        <w:spacing w:line="360" w:lineRule="auto"/>
        <w:rPr>
          <w:rFonts w:hint="eastAsia" w:ascii="宋体" w:hAnsi="宋体" w:eastAsia="宋体" w:cs="宋体"/>
          <w:b/>
          <w:bCs/>
          <w:color w:val="auto"/>
          <w:sz w:val="21"/>
          <w:szCs w:val="21"/>
          <w:highlight w:val="none"/>
        </w:rPr>
      </w:pPr>
    </w:p>
    <w:p w14:paraId="1DB9453B">
      <w:pPr>
        <w:keepNext w:val="0"/>
        <w:keepLines w:val="0"/>
        <w:pageBreakBefore w:val="0"/>
        <w:tabs>
          <w:tab w:val="left" w:pos="4712"/>
        </w:tabs>
        <w:kinsoku/>
        <w:overflowPunct/>
        <w:topLinePunct w:val="0"/>
        <w:bidi w:val="0"/>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考核人：</w:t>
      </w:r>
    </w:p>
    <w:p w14:paraId="11EFBA1D">
      <w:pPr>
        <w:keepNext w:val="0"/>
        <w:keepLines w:val="0"/>
        <w:pageBreakBefore w:val="0"/>
        <w:kinsoku/>
        <w:overflowPunct/>
        <w:topLinePunct w:val="0"/>
        <w:bidi w:val="0"/>
        <w:snapToGrid/>
        <w:spacing w:line="360" w:lineRule="auto"/>
        <w:rPr>
          <w:rFonts w:hint="eastAsia" w:ascii="宋体" w:hAnsi="宋体" w:eastAsia="宋体" w:cs="宋体"/>
          <w:b/>
          <w:bCs/>
          <w:color w:val="auto"/>
          <w:sz w:val="21"/>
          <w:szCs w:val="21"/>
          <w:highlight w:val="none"/>
        </w:rPr>
      </w:pPr>
    </w:p>
    <w:p w14:paraId="1B47E3EA">
      <w:pPr>
        <w:keepNext w:val="0"/>
        <w:keepLines w:val="0"/>
        <w:pageBreakBefore w:val="0"/>
        <w:kinsoku/>
        <w:overflowPunct/>
        <w:topLinePunct w:val="0"/>
        <w:bidi w:val="0"/>
        <w:snapToGrid/>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考核时间：</w:t>
      </w:r>
    </w:p>
    <w:p w14:paraId="6947A9EA">
      <w:pPr>
        <w:pStyle w:val="5"/>
        <w:rPr>
          <w:color w:val="auto"/>
          <w:highlight w:val="none"/>
        </w:rPr>
      </w:pPr>
    </w:p>
    <w:p w14:paraId="4FFB86D1">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1FF344E9">
      <w:pPr>
        <w:pStyle w:val="2"/>
        <w:rPr>
          <w:rFonts w:ascii="宋体" w:hAnsi="宋体" w:eastAsia="宋体" w:cs="Times New Roman"/>
          <w:color w:val="auto"/>
          <w:kern w:val="0"/>
          <w:sz w:val="24"/>
          <w:szCs w:val="24"/>
          <w:highlight w:val="none"/>
        </w:rPr>
      </w:pPr>
    </w:p>
    <w:p w14:paraId="4AFF9F66">
      <w:pPr>
        <w:pStyle w:val="2"/>
        <w:keepNext w:val="0"/>
        <w:keepLines w:val="0"/>
        <w:pageBreakBefore w:val="0"/>
        <w:kinsoku/>
        <w:overflowPunct/>
        <w:topLinePunct w:val="0"/>
        <w:bidi w:val="0"/>
        <w:snapToGrid/>
        <w:spacing w:line="360" w:lineRule="auto"/>
        <w:jc w:val="both"/>
        <w:rPr>
          <w:rFonts w:hint="eastAsia" w:ascii="宋体" w:hAnsi="宋体" w:eastAsia="宋体" w:cs="宋体"/>
          <w:color w:val="auto"/>
          <w:sz w:val="21"/>
          <w:szCs w:val="21"/>
          <w:highlight w:val="none"/>
          <w:lang w:val="en-US"/>
        </w:rPr>
      </w:pPr>
    </w:p>
    <w:p w14:paraId="1A6D0A08">
      <w:pPr>
        <w:pStyle w:val="2"/>
        <w:keepNext w:val="0"/>
        <w:keepLines w:val="0"/>
        <w:pageBreakBefore w:val="0"/>
        <w:kinsoku/>
        <w:overflowPunct/>
        <w:topLinePunct w:val="0"/>
        <w:bidi w:val="0"/>
        <w:snapToGrid/>
        <w:spacing w:line="360" w:lineRule="auto"/>
        <w:jc w:val="both"/>
        <w:rPr>
          <w:rFonts w:hint="eastAsia" w:ascii="宋体" w:hAnsi="宋体" w:eastAsia="宋体" w:cs="宋体"/>
          <w:color w:val="auto"/>
          <w:sz w:val="21"/>
          <w:szCs w:val="21"/>
          <w:highlight w:val="none"/>
          <w:lang w:val="en-US"/>
        </w:rPr>
      </w:pPr>
    </w:p>
    <w:p w14:paraId="52FAF369">
      <w:pPr>
        <w:pageBreakBefore w:val="0"/>
        <w:spacing w:line="240" w:lineRule="auto"/>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Cs w:val="21"/>
          <w:highlight w:val="none"/>
          <w:lang w:val="en-US" w:eastAsia="zh-CN"/>
        </w:rPr>
        <w:t>附件3：</w:t>
      </w:r>
      <w:r>
        <w:rPr>
          <w:rFonts w:hint="eastAsia" w:ascii="宋体" w:hAnsi="宋体" w:eastAsia="宋体" w:cs="宋体"/>
          <w:b/>
          <w:bCs/>
          <w:color w:val="auto"/>
          <w:szCs w:val="21"/>
          <w:highlight w:val="none"/>
        </w:rPr>
        <w:t>食堂供应商考核登记表</w:t>
      </w:r>
    </w:p>
    <w:p w14:paraId="0546B84E">
      <w:pPr>
        <w:spacing w:line="360" w:lineRule="auto"/>
        <w:jc w:val="center"/>
        <w:rPr>
          <w:rFonts w:hint="eastAsia" w:ascii="宋体" w:hAnsi="宋体" w:eastAsia="宋体" w:cs="宋体"/>
          <w:b/>
          <w:bCs/>
          <w:color w:val="auto"/>
          <w:szCs w:val="21"/>
          <w:highlight w:val="none"/>
        </w:rPr>
      </w:pPr>
    </w:p>
    <w:p w14:paraId="4C35477A">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食堂供应商考核登记表</w:t>
      </w:r>
    </w:p>
    <w:p w14:paraId="1B52950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考核单位：                                                 考核日期：  年  月  日</w:t>
      </w:r>
    </w:p>
    <w:tbl>
      <w:tblPr>
        <w:tblStyle w:val="6"/>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1"/>
        <w:gridCol w:w="2995"/>
        <w:gridCol w:w="1725"/>
        <w:gridCol w:w="2389"/>
      </w:tblGrid>
      <w:tr w14:paraId="6E978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828" w:type="pct"/>
            <w:noWrap w:val="0"/>
            <w:vAlign w:val="center"/>
          </w:tcPr>
          <w:p w14:paraId="0480D8E2">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kern w:val="2"/>
                <w:szCs w:val="21"/>
                <w:highlight w:val="none"/>
              </w:rPr>
            </w:pPr>
            <w:r>
              <w:rPr>
                <w:rFonts w:hint="eastAsia" w:ascii="宋体" w:hAnsi="宋体" w:eastAsia="宋体" w:cs="宋体"/>
                <w:bCs/>
                <w:color w:val="auto"/>
                <w:kern w:val="2"/>
                <w:szCs w:val="21"/>
                <w:highlight w:val="none"/>
              </w:rPr>
              <w:t>供应商名称</w:t>
            </w:r>
          </w:p>
        </w:tc>
        <w:tc>
          <w:tcPr>
            <w:tcW w:w="1757" w:type="pct"/>
            <w:noWrap w:val="0"/>
            <w:vAlign w:val="center"/>
          </w:tcPr>
          <w:p w14:paraId="2BED0472">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kern w:val="2"/>
                <w:szCs w:val="21"/>
                <w:highlight w:val="none"/>
              </w:rPr>
            </w:pPr>
          </w:p>
        </w:tc>
        <w:tc>
          <w:tcPr>
            <w:tcW w:w="1012" w:type="pct"/>
            <w:noWrap w:val="0"/>
            <w:vAlign w:val="center"/>
          </w:tcPr>
          <w:p w14:paraId="0D6CDD09">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kern w:val="2"/>
                <w:szCs w:val="21"/>
                <w:highlight w:val="none"/>
              </w:rPr>
            </w:pPr>
            <w:r>
              <w:rPr>
                <w:rFonts w:hint="eastAsia" w:ascii="宋体" w:hAnsi="宋体" w:eastAsia="宋体" w:cs="宋体"/>
                <w:bCs/>
                <w:color w:val="auto"/>
                <w:kern w:val="2"/>
                <w:szCs w:val="21"/>
                <w:highlight w:val="none"/>
              </w:rPr>
              <w:t>供应期限</w:t>
            </w:r>
          </w:p>
        </w:tc>
        <w:tc>
          <w:tcPr>
            <w:tcW w:w="1401" w:type="pct"/>
            <w:noWrap w:val="0"/>
            <w:vAlign w:val="center"/>
          </w:tcPr>
          <w:p w14:paraId="1D363259">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p>
        </w:tc>
      </w:tr>
      <w:tr w14:paraId="27936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28" w:type="pct"/>
            <w:noWrap w:val="0"/>
            <w:vAlign w:val="center"/>
          </w:tcPr>
          <w:p w14:paraId="4CD106F0">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kern w:val="2"/>
                <w:szCs w:val="21"/>
                <w:highlight w:val="none"/>
              </w:rPr>
            </w:pPr>
            <w:r>
              <w:rPr>
                <w:rFonts w:hint="eastAsia" w:ascii="宋体" w:hAnsi="宋体" w:eastAsia="宋体" w:cs="宋体"/>
                <w:bCs/>
                <w:color w:val="auto"/>
                <w:kern w:val="2"/>
                <w:szCs w:val="21"/>
                <w:highlight w:val="none"/>
              </w:rPr>
              <w:t>序号</w:t>
            </w:r>
          </w:p>
        </w:tc>
        <w:tc>
          <w:tcPr>
            <w:tcW w:w="1757" w:type="pct"/>
            <w:noWrap w:val="0"/>
            <w:vAlign w:val="center"/>
          </w:tcPr>
          <w:p w14:paraId="7B27383E">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kern w:val="2"/>
                <w:szCs w:val="21"/>
                <w:highlight w:val="none"/>
              </w:rPr>
            </w:pPr>
            <w:r>
              <w:rPr>
                <w:rFonts w:hint="eastAsia" w:ascii="宋体" w:hAnsi="宋体" w:eastAsia="宋体" w:cs="宋体"/>
                <w:bCs/>
                <w:color w:val="auto"/>
                <w:kern w:val="2"/>
                <w:szCs w:val="21"/>
                <w:highlight w:val="none"/>
              </w:rPr>
              <w:t>扣分事由</w:t>
            </w:r>
          </w:p>
        </w:tc>
        <w:tc>
          <w:tcPr>
            <w:tcW w:w="1012" w:type="pct"/>
            <w:noWrap w:val="0"/>
            <w:vAlign w:val="center"/>
          </w:tcPr>
          <w:p w14:paraId="411FF9A1">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kern w:val="2"/>
                <w:szCs w:val="21"/>
                <w:highlight w:val="none"/>
              </w:rPr>
            </w:pPr>
            <w:r>
              <w:rPr>
                <w:rFonts w:hint="eastAsia" w:ascii="宋体" w:hAnsi="宋体" w:eastAsia="宋体" w:cs="宋体"/>
                <w:bCs/>
                <w:color w:val="auto"/>
                <w:kern w:val="2"/>
                <w:szCs w:val="21"/>
                <w:highlight w:val="none"/>
              </w:rPr>
              <w:t>扣分值</w:t>
            </w:r>
          </w:p>
        </w:tc>
        <w:tc>
          <w:tcPr>
            <w:tcW w:w="1401" w:type="pct"/>
            <w:noWrap w:val="0"/>
            <w:vAlign w:val="center"/>
          </w:tcPr>
          <w:p w14:paraId="5E366674">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kern w:val="2"/>
                <w:szCs w:val="21"/>
                <w:highlight w:val="none"/>
              </w:rPr>
            </w:pPr>
            <w:r>
              <w:rPr>
                <w:rFonts w:hint="eastAsia" w:ascii="宋体" w:hAnsi="宋体" w:eastAsia="宋体" w:cs="宋体"/>
                <w:bCs/>
                <w:color w:val="auto"/>
                <w:kern w:val="2"/>
                <w:szCs w:val="21"/>
                <w:highlight w:val="none"/>
              </w:rPr>
              <w:t>备注</w:t>
            </w:r>
          </w:p>
        </w:tc>
      </w:tr>
      <w:tr w14:paraId="68930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828" w:type="pct"/>
            <w:noWrap w:val="0"/>
            <w:vAlign w:val="center"/>
          </w:tcPr>
          <w:p w14:paraId="380ADEEE">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p>
        </w:tc>
        <w:tc>
          <w:tcPr>
            <w:tcW w:w="1757" w:type="pct"/>
            <w:noWrap w:val="0"/>
            <w:vAlign w:val="center"/>
          </w:tcPr>
          <w:p w14:paraId="73C01AB9">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p>
        </w:tc>
        <w:tc>
          <w:tcPr>
            <w:tcW w:w="1012" w:type="pct"/>
            <w:noWrap w:val="0"/>
            <w:vAlign w:val="center"/>
          </w:tcPr>
          <w:p w14:paraId="6435A2E0">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p>
        </w:tc>
        <w:tc>
          <w:tcPr>
            <w:tcW w:w="1401" w:type="pct"/>
            <w:noWrap w:val="0"/>
            <w:vAlign w:val="center"/>
          </w:tcPr>
          <w:p w14:paraId="45CDF4D3">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p>
        </w:tc>
      </w:tr>
      <w:tr w14:paraId="439B2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828" w:type="pct"/>
            <w:noWrap w:val="0"/>
            <w:vAlign w:val="center"/>
          </w:tcPr>
          <w:p w14:paraId="7B276465">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p>
        </w:tc>
        <w:tc>
          <w:tcPr>
            <w:tcW w:w="1757" w:type="pct"/>
            <w:noWrap w:val="0"/>
            <w:vAlign w:val="center"/>
          </w:tcPr>
          <w:p w14:paraId="244E6ABD">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p>
        </w:tc>
        <w:tc>
          <w:tcPr>
            <w:tcW w:w="1012" w:type="pct"/>
            <w:noWrap w:val="0"/>
            <w:vAlign w:val="center"/>
          </w:tcPr>
          <w:p w14:paraId="17B48D38">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p>
        </w:tc>
        <w:tc>
          <w:tcPr>
            <w:tcW w:w="1401" w:type="pct"/>
            <w:noWrap w:val="0"/>
            <w:vAlign w:val="center"/>
          </w:tcPr>
          <w:p w14:paraId="571349F8">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p>
        </w:tc>
      </w:tr>
      <w:tr w14:paraId="62021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828" w:type="pct"/>
            <w:noWrap w:val="0"/>
            <w:vAlign w:val="center"/>
          </w:tcPr>
          <w:p w14:paraId="30868FB2">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p>
        </w:tc>
        <w:tc>
          <w:tcPr>
            <w:tcW w:w="1757" w:type="pct"/>
            <w:noWrap w:val="0"/>
            <w:vAlign w:val="center"/>
          </w:tcPr>
          <w:p w14:paraId="6EA143F3">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p>
        </w:tc>
        <w:tc>
          <w:tcPr>
            <w:tcW w:w="1012" w:type="pct"/>
            <w:noWrap w:val="0"/>
            <w:vAlign w:val="center"/>
          </w:tcPr>
          <w:p w14:paraId="593F5B8D">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p>
        </w:tc>
        <w:tc>
          <w:tcPr>
            <w:tcW w:w="1401" w:type="pct"/>
            <w:noWrap w:val="0"/>
            <w:vAlign w:val="center"/>
          </w:tcPr>
          <w:p w14:paraId="320A1E4C">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p>
        </w:tc>
      </w:tr>
      <w:tr w14:paraId="7C29E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828" w:type="pct"/>
            <w:noWrap w:val="0"/>
            <w:vAlign w:val="center"/>
          </w:tcPr>
          <w:p w14:paraId="698D9AE2">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p>
        </w:tc>
        <w:tc>
          <w:tcPr>
            <w:tcW w:w="1757" w:type="pct"/>
            <w:noWrap w:val="0"/>
            <w:vAlign w:val="center"/>
          </w:tcPr>
          <w:p w14:paraId="1CB06730">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p>
        </w:tc>
        <w:tc>
          <w:tcPr>
            <w:tcW w:w="1012" w:type="pct"/>
            <w:noWrap w:val="0"/>
            <w:vAlign w:val="center"/>
          </w:tcPr>
          <w:p w14:paraId="0D84FC84">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p>
        </w:tc>
        <w:tc>
          <w:tcPr>
            <w:tcW w:w="1401" w:type="pct"/>
            <w:noWrap w:val="0"/>
            <w:vAlign w:val="center"/>
          </w:tcPr>
          <w:p w14:paraId="1262EB35">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p>
        </w:tc>
      </w:tr>
      <w:tr w14:paraId="74B7E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828" w:type="pct"/>
            <w:noWrap w:val="0"/>
            <w:vAlign w:val="center"/>
          </w:tcPr>
          <w:p w14:paraId="723EADE7">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p>
        </w:tc>
        <w:tc>
          <w:tcPr>
            <w:tcW w:w="1757" w:type="pct"/>
            <w:noWrap w:val="0"/>
            <w:vAlign w:val="center"/>
          </w:tcPr>
          <w:p w14:paraId="654D8356">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p>
        </w:tc>
        <w:tc>
          <w:tcPr>
            <w:tcW w:w="1012" w:type="pct"/>
            <w:noWrap w:val="0"/>
            <w:vAlign w:val="center"/>
          </w:tcPr>
          <w:p w14:paraId="2B577C72">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p>
        </w:tc>
        <w:tc>
          <w:tcPr>
            <w:tcW w:w="1401" w:type="pct"/>
            <w:noWrap w:val="0"/>
            <w:vAlign w:val="center"/>
          </w:tcPr>
          <w:p w14:paraId="3BBC2D31">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2"/>
                <w:szCs w:val="21"/>
                <w:highlight w:val="none"/>
              </w:rPr>
            </w:pPr>
          </w:p>
        </w:tc>
      </w:tr>
    </w:tbl>
    <w:p w14:paraId="6254CC46">
      <w:pPr>
        <w:pStyle w:val="2"/>
        <w:rPr>
          <w:rFonts w:hint="eastAsia"/>
          <w:color w:val="auto"/>
          <w:highlight w:val="none"/>
        </w:rPr>
      </w:pPr>
    </w:p>
    <w:p w14:paraId="6110C061">
      <w:pPr>
        <w:pStyle w:val="2"/>
        <w:rPr>
          <w:color w:val="auto"/>
          <w:highlight w:val="none"/>
        </w:rPr>
      </w:pPr>
    </w:p>
    <w:p w14:paraId="5D59D0CB">
      <w:pPr>
        <w:rPr>
          <w:color w:val="auto"/>
          <w:highlight w:val="none"/>
        </w:rPr>
      </w:pPr>
      <w:r>
        <w:rPr>
          <w:color w:val="auto"/>
          <w:highlight w:val="none"/>
        </w:rPr>
        <w:br w:type="page"/>
      </w:r>
    </w:p>
    <w:p w14:paraId="50D7F2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F2D6E"/>
    <w:rsid w:val="0D1F2D6E"/>
    <w:rsid w:val="0EE95727"/>
    <w:rsid w:val="176436BD"/>
    <w:rsid w:val="1B4F0BDE"/>
    <w:rsid w:val="1EC64A9D"/>
    <w:rsid w:val="65492981"/>
    <w:rsid w:val="70F41714"/>
    <w:rsid w:val="7E1C6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autoSpaceDE w:val="0"/>
      <w:autoSpaceDN w:val="0"/>
      <w:adjustRightInd w:val="0"/>
      <w:ind w:right="-26"/>
      <w:jc w:val="center"/>
    </w:pPr>
    <w:rPr>
      <w:rFonts w:ascii="宋体" w:eastAsia="宋体"/>
      <w:b/>
      <w:bCs/>
      <w:sz w:val="84"/>
      <w:szCs w:val="84"/>
      <w:lang w:val="zh-CN"/>
    </w:rPr>
  </w:style>
  <w:style w:type="paragraph" w:styleId="3">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4">
    <w:name w:val="Body Text Indent"/>
    <w:basedOn w:val="1"/>
    <w:next w:val="5"/>
    <w:qFormat/>
    <w:uiPriority w:val="0"/>
    <w:pPr>
      <w:ind w:left="567" w:leftChars="270"/>
    </w:pPr>
    <w:rPr>
      <w:rFonts w:ascii="Times New Roman" w:hAnsi="Times New Roman" w:eastAsia="宋体" w:cs="Times New Roman"/>
      <w:szCs w:val="20"/>
    </w:rPr>
  </w:style>
  <w:style w:type="paragraph" w:styleId="5">
    <w:name w:val="Body Text First Indent 2"/>
    <w:basedOn w:val="4"/>
    <w:next w:val="3"/>
    <w:unhideWhenUsed/>
    <w:qFormat/>
    <w:uiPriority w:val="99"/>
    <w:pPr>
      <w:tabs>
        <w:tab w:val="left" w:pos="0"/>
        <w:tab w:val="left" w:pos="540"/>
        <w:tab w:val="left" w:pos="630"/>
        <w:tab w:val="left" w:pos="1440"/>
      </w:tabs>
      <w:adjustRightInd/>
      <w:spacing w:after="120" w:line="360" w:lineRule="auto"/>
      <w:ind w:left="420" w:leftChars="200" w:firstLine="420" w:firstLineChars="200"/>
      <w:textAlignment w:val="auto"/>
    </w:pPr>
    <w:rPr>
      <w:kern w:val="0"/>
      <w:sz w:val="20"/>
      <w:szCs w:val="20"/>
    </w:rPr>
  </w:style>
  <w:style w:type="paragraph" w:customStyle="1" w:styleId="8">
    <w:name w:val="Blockquote"/>
    <w:basedOn w:val="1"/>
    <w:autoRedefine/>
    <w:qFormat/>
    <w:uiPriority w:val="0"/>
    <w:pPr>
      <w:spacing w:before="100" w:after="100"/>
      <w:ind w:left="360" w:right="360"/>
    </w:pPr>
    <w:rPr>
      <w:rFonts w:ascii="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4857</Words>
  <Characters>5058</Characters>
  <Lines>0</Lines>
  <Paragraphs>0</Paragraphs>
  <TotalTime>122</TotalTime>
  <ScaleCrop>false</ScaleCrop>
  <LinksUpToDate>false</LinksUpToDate>
  <CharactersWithSpaces>5105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2025-05-29T02:06:00Z</dcterms:created>
  <dc:creator>mqq</dc:creator>
  <cp:lastModifiedBy>莫俏琴</cp:lastModifiedBy>
  <dcterms:modified xsi:type="dcterms:W3CDTF">2025-07-15T03:24:08Z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22F5FBA55975413080E25572312D475C_11</vt:lpwstr>
  </property>
  <property fmtid="{D5CDD505-2E9C-101B-9397-08002B2CF9AE}" pid="4" name="KSOTemplateDocerSaveRecord">
    <vt:lpwstr>eyJoZGlkIjoiNzU0OThlNmJiM2Y3ZWViMWVmMGViNDExNWE3N2UyNmIiLCJ1c2VySWQiOiIxNzE2Mjg2NjUzIn0=</vt:lpwstr>
  </property>
</Properties>
</file>