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DCF32">
      <w:pPr>
        <w:autoSpaceDE w:val="0"/>
        <w:autoSpaceDN w:val="0"/>
        <w:adjustRightInd w:val="0"/>
        <w:spacing w:line="276" w:lineRule="auto"/>
        <w:ind w:left="357" w:leftChars="170" w:right="-23" w:rightChars="-11"/>
        <w:jc w:val="center"/>
        <w:rPr>
          <w:rFonts w:hint="eastAsia" w:ascii="宋体" w:hAnsi="宋体" w:eastAsia="宋体" w:cs="宋体"/>
          <w:b/>
          <w:bCs/>
          <w:color w:val="000000" w:themeColor="text1"/>
          <w:kern w:val="0"/>
          <w:sz w:val="52"/>
          <w:szCs w:val="52"/>
          <w:highlight w:val="none"/>
          <w:lang w:val="zh-CN"/>
          <w14:textFill>
            <w14:solidFill>
              <w14:schemeClr w14:val="tx1"/>
            </w14:solidFill>
          </w14:textFill>
        </w:rPr>
      </w:pPr>
    </w:p>
    <w:p w14:paraId="4ADE0022">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东莞市供水计量设施更新项目(2025年计量仪表采购)－螺翼式远传水表</w:t>
      </w:r>
    </w:p>
    <w:p w14:paraId="15F15E37">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14:paraId="6E7ADA1E">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14:paraId="59EFCC38">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p>
    <w:p w14:paraId="64EAE2F5">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14:paraId="122B790C">
      <w:pPr>
        <w:autoSpaceDE w:val="0"/>
        <w:autoSpaceDN w:val="0"/>
        <w:adjustRightInd w:val="0"/>
        <w:ind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14:paraId="732DB814">
      <w:pPr>
        <w:autoSpaceDE w:val="0"/>
        <w:autoSpaceDN w:val="0"/>
        <w:adjustRightInd w:val="0"/>
        <w:ind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14:paraId="7BB866B1">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14:paraId="36F6EF2A">
      <w:pPr>
        <w:tabs>
          <w:tab w:val="left" w:pos="9240"/>
        </w:tabs>
        <w:autoSpaceDE w:val="0"/>
        <w:autoSpaceDN w:val="0"/>
        <w:adjustRightInd w:val="0"/>
        <w:spacing w:line="700" w:lineRule="exact"/>
        <w:ind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14:paraId="0F488987">
      <w:pPr>
        <w:autoSpaceDE w:val="0"/>
        <w:autoSpaceDN w:val="0"/>
        <w:adjustRightInd w:val="0"/>
        <w:spacing w:line="480" w:lineRule="auto"/>
        <w:ind w:left="1842" w:leftChars="877" w:firstLine="19" w:firstLineChars="6"/>
        <w:jc w:val="left"/>
        <w:rPr>
          <w:rFonts w:hint="eastAsia" w:ascii="宋体" w:hAnsi="宋体" w:eastAsia="宋体" w:cs="Times New Roman"/>
          <w:b/>
          <w:bCs/>
          <w:color w:val="000000" w:themeColor="text1"/>
          <w:sz w:val="32"/>
          <w:szCs w:val="32"/>
          <w:highlight w:val="none"/>
          <w:u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号：SSWSSZ12501140</w:t>
      </w:r>
    </w:p>
    <w:p w14:paraId="6D5298EE">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人：东莞市水务集团供水有限公司</w:t>
      </w:r>
    </w:p>
    <w:p w14:paraId="61E97A48">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招标代理机构：建成工程咨询股份有限公司</w:t>
      </w:r>
    </w:p>
    <w:p w14:paraId="7B1406C0">
      <w:pPr>
        <w:autoSpaceDE w:val="0"/>
        <w:autoSpaceDN w:val="0"/>
        <w:adjustRightInd w:val="0"/>
        <w:ind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p w14:paraId="0F9BE5AE">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p>
    <w:p w14:paraId="1C986FB3">
      <w:pPr>
        <w:autoSpaceDE w:val="0"/>
        <w:autoSpaceDN w:val="0"/>
        <w:adjustRightInd w:val="0"/>
        <w:ind w:right="-23" w:rightChars="-11"/>
        <w:jc w:val="center"/>
        <w:rPr>
          <w:rFonts w:ascii="宋体" w:hAnsi="宋体" w:eastAsia="宋体" w:cs="Times New Roman"/>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
          <w:bCs/>
          <w:color w:val="000000" w:themeColor="text1"/>
          <w:sz w:val="32"/>
          <w:szCs w:val="32"/>
          <w:highlight w:val="none"/>
          <w:lang w:val="zh-CN"/>
          <w14:textFill>
            <w14:solidFill>
              <w14:schemeClr w14:val="tx1"/>
            </w14:solidFill>
          </w14:textFill>
        </w:rPr>
        <w:t xml:space="preserve">年 </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7</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 xml:space="preserve">月 </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14:paraId="7EF644ED">
      <w:pPr>
        <w:spacing w:line="240" w:lineRule="auto"/>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r>
        <w:rPr>
          <w:rFonts w:ascii="宋体" w:hAnsi="宋体" w:eastAsia="宋体" w:cs="Times New Roman"/>
          <w:b/>
          <w:bCs/>
          <w:color w:val="000000" w:themeColor="text1"/>
          <w:kern w:val="0"/>
          <w:sz w:val="32"/>
          <w:szCs w:val="32"/>
          <w:highlight w:val="none"/>
          <w:lang w:val="zh-CN"/>
          <w14:textFill>
            <w14:solidFill>
              <w14:schemeClr w14:val="tx1"/>
            </w14:solidFill>
          </w14:textFill>
        </w:rPr>
        <w:br w:type="page"/>
      </w:r>
    </w:p>
    <w:p w14:paraId="6A17960A">
      <w:pPr>
        <w:spacing w:line="360" w:lineRule="auto"/>
        <w:jc w:val="center"/>
        <w:rPr>
          <w:rFonts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bidi="ar"/>
          <w14:textFill>
            <w14:solidFill>
              <w14:schemeClr w14:val="tx1"/>
            </w14:solidFill>
          </w14:textFill>
        </w:rPr>
        <w:t>重要提示</w:t>
      </w:r>
    </w:p>
    <w:p w14:paraId="16C12862">
      <w:pPr>
        <w:pStyle w:val="39"/>
        <w:widowControl w:val="0"/>
        <w:spacing w:before="0" w:beforeAutospacing="0" w:after="0" w:afterAutospacing="0" w:line="360" w:lineRule="auto"/>
        <w:ind w:firstLine="480" w:firstLineChars="200"/>
        <w:jc w:val="both"/>
        <w:rPr>
          <w:rFonts w:eastAsia="宋体" w:cs="宋体"/>
          <w:color w:val="000000" w:themeColor="text1"/>
          <w:sz w:val="24"/>
          <w:szCs w:val="24"/>
          <w:highlight w:val="none"/>
          <w:lang w:bidi="ar"/>
          <w14:textFill>
            <w14:solidFill>
              <w14:schemeClr w14:val="tx1"/>
            </w14:solidFill>
          </w14:textFill>
        </w:rPr>
      </w:pPr>
      <w:r>
        <w:rPr>
          <w:rFonts w:hint="eastAsia" w:eastAsia="宋体" w:cs="宋体"/>
          <w:color w:val="000000" w:themeColor="text1"/>
          <w:sz w:val="24"/>
          <w:szCs w:val="24"/>
          <w:highlight w:val="none"/>
          <w:lang w:bidi="ar"/>
          <w14:textFill>
            <w14:solidFill>
              <w14:schemeClr w14:val="tx1"/>
            </w14:solidFill>
          </w14:textFill>
        </w:rPr>
        <w:t>1. 本次招标项目采用电子标书。</w:t>
      </w:r>
    </w:p>
    <w:p w14:paraId="37B24857">
      <w:pPr>
        <w:pStyle w:val="39"/>
        <w:widowControl w:val="0"/>
        <w:spacing w:before="0" w:beforeAutospacing="0" w:after="0" w:afterAutospacing="0" w:line="360" w:lineRule="auto"/>
        <w:ind w:firstLine="480" w:firstLineChars="200"/>
        <w:jc w:val="both"/>
        <w:rPr>
          <w:rFonts w:eastAsia="宋体" w:cs="宋体"/>
          <w:color w:val="000000" w:themeColor="text1"/>
          <w:sz w:val="24"/>
          <w:szCs w:val="24"/>
          <w:highlight w:val="none"/>
          <w:lang w:bidi="ar"/>
          <w14:textFill>
            <w14:solidFill>
              <w14:schemeClr w14:val="tx1"/>
            </w14:solidFill>
          </w14:textFill>
        </w:rPr>
      </w:pPr>
      <w:r>
        <w:rPr>
          <w:rFonts w:hint="eastAsia" w:eastAsia="宋体" w:cs="宋体"/>
          <w:color w:val="000000" w:themeColor="text1"/>
          <w:sz w:val="24"/>
          <w:szCs w:val="24"/>
          <w:highlight w:val="none"/>
          <w:lang w:bidi="ar"/>
          <w14:textFill>
            <w14:solidFill>
              <w14:schemeClr w14:val="tx1"/>
            </w14:solidFill>
          </w14:textFill>
        </w:rPr>
        <w:t>2. 投标人将被要求递交具备法律效力的电子投标文件。为此，投标人应当具备使用依法设立的电子认证服务提供者签发的电子签名认证证书对电子投标文件进行电子签名的能力。投标人可向依法设立的电子认证服务提供者申请办理电子签名认证证书（简称：数字证书，包括企业数字证书和个人数字证书）。</w:t>
      </w:r>
    </w:p>
    <w:p w14:paraId="63596072">
      <w:pPr>
        <w:pStyle w:val="39"/>
        <w:widowControl w:val="0"/>
        <w:spacing w:before="0" w:beforeAutospacing="0" w:after="0" w:afterAutospacing="0" w:line="360" w:lineRule="auto"/>
        <w:ind w:firstLine="480" w:firstLineChars="200"/>
        <w:jc w:val="both"/>
        <w:rPr>
          <w:rFonts w:eastAsia="宋体" w:cs="宋体"/>
          <w:color w:val="000000" w:themeColor="text1"/>
          <w:sz w:val="24"/>
          <w:szCs w:val="24"/>
          <w:highlight w:val="none"/>
          <w:lang w:bidi="ar"/>
          <w14:textFill>
            <w14:solidFill>
              <w14:schemeClr w14:val="tx1"/>
            </w14:solidFill>
          </w14:textFill>
        </w:rPr>
      </w:pPr>
      <w:r>
        <w:rPr>
          <w:rFonts w:hint="eastAsia" w:eastAsia="宋体" w:cs="宋体"/>
          <w:color w:val="000000" w:themeColor="text1"/>
          <w:sz w:val="24"/>
          <w:szCs w:val="24"/>
          <w:highlight w:val="none"/>
          <w:lang w:bidi="ar"/>
          <w14:textFill>
            <w14:solidFill>
              <w14:schemeClr w14:val="tx1"/>
            </w14:solidFill>
          </w14:textFill>
        </w:rPr>
        <w:t>3. 除特别说明外，招标文件相关条款中提及的以及第六篇“投标文件格式”中包括但不限于“企业数字证书电子签名”及“电子签名”等要求</w:t>
      </w:r>
      <w:r>
        <w:rPr>
          <w:rFonts w:hint="eastAsia" w:eastAsia="宋体" w:cs="宋体"/>
          <w:color w:val="000000" w:themeColor="text1"/>
          <w:sz w:val="24"/>
          <w:szCs w:val="24"/>
          <w:highlight w:val="none"/>
          <w:lang w:val="en-US" w:eastAsia="zh-CN" w:bidi="ar"/>
          <w14:textFill>
            <w14:solidFill>
              <w14:schemeClr w14:val="tx1"/>
            </w14:solidFill>
          </w14:textFill>
        </w:rPr>
        <w:t>签名</w:t>
      </w:r>
      <w:r>
        <w:rPr>
          <w:rFonts w:hint="eastAsia" w:eastAsia="宋体" w:cs="宋体"/>
          <w:color w:val="000000" w:themeColor="text1"/>
          <w:sz w:val="24"/>
          <w:szCs w:val="24"/>
          <w:highlight w:val="none"/>
          <w:lang w:bidi="ar"/>
          <w14:textFill>
            <w14:solidFill>
              <w14:schemeClr w14:val="tx1"/>
            </w14:solidFill>
          </w14:textFill>
        </w:rPr>
        <w:t>的均指由数字证书电子</w:t>
      </w:r>
      <w:r>
        <w:rPr>
          <w:rFonts w:hint="eastAsia" w:eastAsia="宋体" w:cs="宋体"/>
          <w:color w:val="000000" w:themeColor="text1"/>
          <w:sz w:val="24"/>
          <w:szCs w:val="24"/>
          <w:highlight w:val="none"/>
          <w:lang w:val="en-US" w:eastAsia="zh-CN" w:bidi="ar"/>
          <w14:textFill>
            <w14:solidFill>
              <w14:schemeClr w14:val="tx1"/>
            </w14:solidFill>
          </w14:textFill>
        </w:rPr>
        <w:t>签章或电子签名。</w:t>
      </w:r>
    </w:p>
    <w:p w14:paraId="79420AF1">
      <w:pPr>
        <w:pStyle w:val="39"/>
        <w:widowControl w:val="0"/>
        <w:spacing w:before="0" w:beforeAutospacing="0" w:after="0" w:afterAutospacing="0" w:line="360" w:lineRule="auto"/>
        <w:ind w:firstLine="480" w:firstLineChars="200"/>
        <w:jc w:val="both"/>
        <w:rPr>
          <w:rFonts w:eastAsia="宋体" w:cs="宋体"/>
          <w:color w:val="000000" w:themeColor="text1"/>
          <w:sz w:val="24"/>
          <w:szCs w:val="24"/>
          <w:highlight w:val="none"/>
          <w:lang w:bidi="ar"/>
          <w14:textFill>
            <w14:solidFill>
              <w14:schemeClr w14:val="tx1"/>
            </w14:solidFill>
          </w14:textFill>
        </w:rPr>
      </w:pPr>
      <w:r>
        <w:rPr>
          <w:rFonts w:hint="eastAsia" w:eastAsia="宋体" w:cs="宋体"/>
          <w:color w:val="000000" w:themeColor="text1"/>
          <w:sz w:val="24"/>
          <w:szCs w:val="24"/>
          <w:highlight w:val="none"/>
          <w:lang w:bidi="ar"/>
          <w14:textFill>
            <w14:solidFill>
              <w14:schemeClr w14:val="tx1"/>
            </w14:solidFill>
          </w14:textFill>
        </w:rPr>
        <w:t>4. 投标人必须使用计算机互联网络（以下简称网络）将投标文件以jjb格式上传提交至东莞市公共资源交易E网通管理平台建设工程交易系统（以下简称交易系统），并在网上签到时，关联到对应的投标项目中。</w:t>
      </w:r>
    </w:p>
    <w:p w14:paraId="6D40B495">
      <w:pPr>
        <w:pStyle w:val="39"/>
        <w:widowControl w:val="0"/>
        <w:spacing w:before="0" w:beforeAutospacing="0" w:after="0" w:afterAutospacing="0" w:line="360" w:lineRule="auto"/>
        <w:ind w:firstLine="480" w:firstLineChars="200"/>
        <w:jc w:val="both"/>
        <w:rPr>
          <w:rFonts w:eastAsia="宋体" w:cs="宋体"/>
          <w:color w:val="000000" w:themeColor="text1"/>
          <w:sz w:val="24"/>
          <w:szCs w:val="24"/>
          <w:highlight w:val="none"/>
          <w:lang w:bidi="ar"/>
          <w14:textFill>
            <w14:solidFill>
              <w14:schemeClr w14:val="tx1"/>
            </w14:solidFill>
          </w14:textFill>
        </w:rPr>
      </w:pPr>
      <w:r>
        <w:rPr>
          <w:rFonts w:hint="eastAsia" w:eastAsia="宋体" w:cs="宋体"/>
          <w:color w:val="000000" w:themeColor="text1"/>
          <w:sz w:val="24"/>
          <w:szCs w:val="24"/>
          <w:highlight w:val="none"/>
          <w:lang w:bidi="ar"/>
          <w14:textFill>
            <w14:solidFill>
              <w14:schemeClr w14:val="tx1"/>
            </w14:solidFill>
          </w14:textFill>
        </w:rPr>
        <w:t>5. 投标人在交易系统中对投标文件进行解密的电子</w:t>
      </w:r>
      <w:r>
        <w:rPr>
          <w:rFonts w:hint="default" w:eastAsia="宋体" w:cs="宋体"/>
          <w:color w:val="000000" w:themeColor="text1"/>
          <w:sz w:val="24"/>
          <w:szCs w:val="24"/>
          <w:highlight w:val="none"/>
          <w:lang w:val="en-US" w:bidi="ar"/>
          <w14:textFill>
            <w14:solidFill>
              <w14:schemeClr w14:val="tx1"/>
            </w14:solidFill>
          </w14:textFill>
        </w:rPr>
        <w:t>签名</w:t>
      </w:r>
      <w:r>
        <w:rPr>
          <w:rFonts w:hint="eastAsia" w:eastAsia="宋体" w:cs="宋体"/>
          <w:color w:val="000000" w:themeColor="text1"/>
          <w:sz w:val="24"/>
          <w:szCs w:val="24"/>
          <w:highlight w:val="none"/>
          <w:lang w:bidi="ar"/>
          <w14:textFill>
            <w14:solidFill>
              <w14:schemeClr w14:val="tx1"/>
            </w14:solidFill>
          </w14:textFill>
        </w:rPr>
        <w:t>认证证书必须为机构证书或制作本项目投标文件的业务证书。</w:t>
      </w:r>
    </w:p>
    <w:p w14:paraId="71B2E9E4">
      <w:pPr>
        <w:pStyle w:val="39"/>
        <w:widowControl w:val="0"/>
        <w:spacing w:before="0" w:beforeAutospacing="0" w:after="0" w:afterAutospacing="0" w:line="360" w:lineRule="auto"/>
        <w:ind w:firstLine="480" w:firstLineChars="200"/>
        <w:jc w:val="both"/>
        <w:rPr>
          <w:rFonts w:eastAsia="宋体" w:cs="宋体"/>
          <w:color w:val="000000" w:themeColor="text1"/>
          <w:sz w:val="24"/>
          <w:szCs w:val="24"/>
          <w:highlight w:val="none"/>
          <w:lang w:bidi="ar"/>
          <w14:textFill>
            <w14:solidFill>
              <w14:schemeClr w14:val="tx1"/>
            </w14:solidFill>
          </w14:textFill>
        </w:rPr>
      </w:pPr>
      <w:r>
        <w:rPr>
          <w:rFonts w:hint="eastAsia" w:eastAsia="宋体" w:cs="宋体"/>
          <w:color w:val="000000" w:themeColor="text1"/>
          <w:sz w:val="24"/>
          <w:szCs w:val="24"/>
          <w:highlight w:val="none"/>
          <w:lang w:bidi="ar"/>
          <w14:textFill>
            <w14:solidFill>
              <w14:schemeClr w14:val="tx1"/>
            </w14:solidFill>
          </w14:textFill>
        </w:rPr>
        <w:t>6. 投标人应及时提交投标文件，如在投标文件截止时间前因网络等任何原因未能成功上传投标文件，相关后果由投标人自行承担。</w:t>
      </w:r>
    </w:p>
    <w:p w14:paraId="54F0D392">
      <w:pPr>
        <w:pStyle w:val="39"/>
        <w:widowControl w:val="0"/>
        <w:spacing w:before="0" w:beforeAutospacing="0" w:after="0" w:afterAutospacing="0" w:line="360" w:lineRule="auto"/>
        <w:ind w:firstLine="480" w:firstLineChars="200"/>
        <w:jc w:val="both"/>
        <w:rPr>
          <w:rFonts w:eastAsia="宋体" w:cs="宋体"/>
          <w:color w:val="000000" w:themeColor="text1"/>
          <w:sz w:val="24"/>
          <w:szCs w:val="24"/>
          <w:highlight w:val="none"/>
          <w:lang w:bidi="ar"/>
          <w14:textFill>
            <w14:solidFill>
              <w14:schemeClr w14:val="tx1"/>
            </w14:solidFill>
          </w14:textFill>
        </w:rPr>
      </w:pPr>
      <w:r>
        <w:rPr>
          <w:rFonts w:hint="eastAsia" w:eastAsia="宋体" w:cs="宋体"/>
          <w:color w:val="000000" w:themeColor="text1"/>
          <w:sz w:val="24"/>
          <w:szCs w:val="24"/>
          <w:highlight w:val="none"/>
          <w:lang w:bidi="ar"/>
          <w14:textFill>
            <w14:solidFill>
              <w14:schemeClr w14:val="tx1"/>
            </w14:solidFill>
          </w14:textFill>
        </w:rPr>
        <w:t>7.投标人上传投标文件时，需设置投标文件查询密码（用于查询投标文件递交情况、撤销投标文件及签到时匹配对应的招标文件）。成功上传投标文件后，交易系统将自动随机生成投标文件识别码。识别码是交易系统确认投标人提交投标文件的唯一凭证，投标人须妥善保管。识别码丢失后，投标人将无法找回投标文件，需重新上传提交。</w:t>
      </w:r>
    </w:p>
    <w:p w14:paraId="11124725">
      <w:pPr>
        <w:pStyle w:val="39"/>
        <w:widowControl w:val="0"/>
        <w:spacing w:before="0" w:beforeAutospacing="0" w:after="0" w:afterAutospacing="0" w:line="360" w:lineRule="auto"/>
        <w:ind w:firstLine="480" w:firstLineChars="200"/>
        <w:jc w:val="both"/>
        <w:rPr>
          <w:rFonts w:eastAsia="宋体" w:cs="宋体"/>
          <w:color w:val="000000" w:themeColor="text1"/>
          <w:sz w:val="24"/>
          <w:szCs w:val="24"/>
          <w:highlight w:val="none"/>
          <w:lang w:bidi="ar"/>
          <w14:textFill>
            <w14:solidFill>
              <w14:schemeClr w14:val="tx1"/>
            </w14:solidFill>
          </w14:textFill>
        </w:rPr>
      </w:pPr>
      <w:r>
        <w:rPr>
          <w:rFonts w:hint="eastAsia" w:eastAsia="宋体" w:cs="宋体"/>
          <w:color w:val="000000" w:themeColor="text1"/>
          <w:sz w:val="24"/>
          <w:szCs w:val="24"/>
          <w:highlight w:val="none"/>
          <w:lang w:bidi="ar"/>
          <w14:textFill>
            <w14:solidFill>
              <w14:schemeClr w14:val="tx1"/>
            </w14:solidFill>
          </w14:textFill>
        </w:rPr>
        <w:t>8.如未在投标文件递交截止时间前匹配对应的投标文件，视为投标人未提交。本招标文件中签到、投标文件匹配、投标保证金</w:t>
      </w:r>
      <w:r>
        <w:rPr>
          <w:rFonts w:hint="eastAsia" w:eastAsia="宋体" w:cs="宋体"/>
          <w:color w:val="000000" w:themeColor="text1"/>
          <w:sz w:val="24"/>
          <w:szCs w:val="24"/>
          <w:highlight w:val="none"/>
          <w:lang w:val="en-US" w:eastAsia="zh-CN" w:bidi="ar"/>
          <w14:textFill>
            <w14:solidFill>
              <w14:schemeClr w14:val="tx1"/>
            </w14:solidFill>
          </w14:textFill>
        </w:rPr>
        <w:t>关联</w:t>
      </w:r>
      <w:r>
        <w:rPr>
          <w:rFonts w:hint="eastAsia" w:eastAsia="宋体" w:cs="宋体"/>
          <w:color w:val="000000" w:themeColor="text1"/>
          <w:sz w:val="24"/>
          <w:szCs w:val="24"/>
          <w:highlight w:val="none"/>
          <w:lang w:bidi="ar"/>
          <w14:textFill>
            <w14:solidFill>
              <w14:schemeClr w14:val="tx1"/>
            </w14:solidFill>
          </w14:textFill>
        </w:rPr>
        <w:t>等时间均以东莞市公共资源交易E网通管理平台时间为准。</w:t>
      </w:r>
    </w:p>
    <w:p w14:paraId="5EAB68C2">
      <w:pPr>
        <w:pStyle w:val="39"/>
        <w:widowControl w:val="0"/>
        <w:spacing w:before="0" w:beforeAutospacing="0" w:after="0" w:afterAutospacing="0" w:line="360" w:lineRule="auto"/>
        <w:ind w:firstLine="480" w:firstLineChars="200"/>
        <w:jc w:val="both"/>
        <w:rPr>
          <w:rFonts w:eastAsia="宋体" w:cs="宋体"/>
          <w:color w:val="000000" w:themeColor="text1"/>
          <w:sz w:val="24"/>
          <w:szCs w:val="24"/>
          <w:highlight w:val="none"/>
          <w:lang w:bidi="ar"/>
          <w14:textFill>
            <w14:solidFill>
              <w14:schemeClr w14:val="tx1"/>
            </w14:solidFill>
          </w14:textFill>
        </w:rPr>
      </w:pPr>
      <w:r>
        <w:rPr>
          <w:rFonts w:hint="eastAsia" w:eastAsia="宋体" w:cs="宋体"/>
          <w:color w:val="000000" w:themeColor="text1"/>
          <w:sz w:val="24"/>
          <w:szCs w:val="24"/>
          <w:highlight w:val="none"/>
          <w:lang w:bidi="ar"/>
          <w14:textFill>
            <w14:solidFill>
              <w14:schemeClr w14:val="tx1"/>
            </w14:solidFill>
          </w14:textFill>
        </w:rPr>
        <w:t>9.本招标项目在全国公共资源交易平台（广东省·东莞市）（https://ygp.gdzwfw.gov.cn/#/441900/index）等媒体发布招标公告，本项目招标公告及招标文件的修改、补充在全国公共资源交易平台（广东省·东莞市）发布。发布内容在其他媒体发布的文本如有不同之处，以在全国公共资源交易平台（广东省·东莞市）发布的文本为准。</w:t>
      </w:r>
    </w:p>
    <w:p w14:paraId="6045CE01">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13172E29">
      <w:pPr>
        <w:rPr>
          <w:rFonts w:ascii="宋体" w:hAnsi="宋体" w:eastAsia="宋体" w:cs="Times New Roman"/>
          <w:b/>
          <w:bCs/>
          <w:color w:val="000000" w:themeColor="text1"/>
          <w:kern w:val="0"/>
          <w:sz w:val="32"/>
          <w:szCs w:val="32"/>
          <w:highlight w:val="none"/>
          <w:lang w:val="zh-CN"/>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br w:type="page"/>
      </w:r>
    </w:p>
    <w:p w14:paraId="3B6DC0C0">
      <w:pPr>
        <w:autoSpaceDE w:val="0"/>
        <w:autoSpaceDN w:val="0"/>
        <w:adjustRightInd w:val="0"/>
        <w:ind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sdt>
      <w:sdtPr>
        <w:rPr>
          <w:rFonts w:ascii="宋体" w:hAnsi="宋体" w:eastAsia="宋体" w:cstheme="minorBidi"/>
          <w:color w:val="000000" w:themeColor="text1"/>
          <w:kern w:val="2"/>
          <w:sz w:val="21"/>
          <w:szCs w:val="22"/>
          <w:highlight w:val="none"/>
          <w:lang w:val="en-US" w:eastAsia="zh-CN" w:bidi="ar-SA"/>
          <w14:textFill>
            <w14:solidFill>
              <w14:schemeClr w14:val="tx1"/>
            </w14:solidFill>
          </w14:textFill>
        </w:rPr>
        <w:id w:val="147481920"/>
        <w15:color w:val="DBDBDB"/>
        <w:docPartObj>
          <w:docPartGallery w:val="Table of Contents"/>
          <w:docPartUnique/>
        </w:docPartObj>
      </w:sdtPr>
      <w:sdtEndP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sdtEndPr>
      <w:sdtContent>
        <w:p w14:paraId="1628647E">
          <w:pPr>
            <w:spacing w:before="0" w:beforeLines="0" w:after="0" w:afterLines="0" w:line="240" w:lineRule="auto"/>
            <w:ind w:left="0" w:leftChars="0" w:right="0" w:rightChars="0" w:firstLine="0" w:firstLineChars="0"/>
            <w:jc w:val="center"/>
            <w:rPr>
              <w:b/>
              <w:bCs/>
              <w:color w:val="000000" w:themeColor="text1"/>
              <w:sz w:val="28"/>
              <w:szCs w:val="28"/>
              <w:highlight w:val="none"/>
              <w14:textFill>
                <w14:solidFill>
                  <w14:schemeClr w14:val="tx1"/>
                </w14:solidFill>
              </w14:textFill>
            </w:rPr>
          </w:pPr>
          <w:bookmarkStart w:id="0" w:name="_Toc17326"/>
          <w:bookmarkStart w:id="1" w:name="_Toc450662846"/>
          <w:bookmarkStart w:id="2" w:name="_Toc486167660"/>
          <w:bookmarkStart w:id="3" w:name="_Toc4869"/>
          <w:bookmarkStart w:id="4" w:name="_Toc195714214"/>
          <w:bookmarkStart w:id="5" w:name="_Toc12024"/>
          <w:bookmarkStart w:id="6" w:name="_Toc20957"/>
          <w:bookmarkStart w:id="7" w:name="_Toc2723_WPSOffice_Level1"/>
          <w:bookmarkStart w:id="8" w:name="_Toc142508310"/>
          <w:r>
            <w:rPr>
              <w:rFonts w:ascii="宋体" w:hAnsi="宋体" w:eastAsia="宋体"/>
              <w:b/>
              <w:bCs/>
              <w:color w:val="000000" w:themeColor="text1"/>
              <w:sz w:val="28"/>
              <w:szCs w:val="28"/>
              <w:highlight w:val="none"/>
              <w14:textFill>
                <w14:solidFill>
                  <w14:schemeClr w14:val="tx1"/>
                </w14:solidFill>
              </w14:textFill>
            </w:rPr>
            <w:t>目录</w:t>
          </w:r>
        </w:p>
        <w:p w14:paraId="20050E29">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TOC \o "1-3" \h \u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_Toc17801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第一篇 招标公告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_Toc17801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E4F1B55">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_Toc24865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第二篇</w:t>
          </w:r>
          <w:r>
            <w:rPr>
              <w:rFonts w:hint="eastAsia" w:ascii="宋体" w:hAnsi="宋体" w:eastAsia="宋体" w:cs="宋体"/>
              <w:bCs/>
              <w:color w:val="000000" w:themeColor="text1"/>
              <w:kern w:val="44"/>
              <w:szCs w:val="32"/>
              <w:highlight w:val="none"/>
              <w14:textFill>
                <w14:solidFill>
                  <w14:schemeClr w14:val="tx1"/>
                </w14:solidFill>
              </w14:textFill>
            </w:rPr>
            <w:t xml:space="preserve"> </w:t>
          </w:r>
          <w:r>
            <w:rPr>
              <w:rFonts w:hint="eastAsia" w:ascii="宋体" w:hAnsi="宋体" w:eastAsia="宋体" w:cs="宋体"/>
              <w:bCs/>
              <w:color w:val="000000" w:themeColor="text1"/>
              <w:kern w:val="44"/>
              <w:szCs w:val="32"/>
              <w:highlight w:val="none"/>
              <w:lang w:val="zh-CN"/>
              <w14:textFill>
                <w14:solidFill>
                  <w14:schemeClr w14:val="tx1"/>
                </w14:solidFill>
              </w14:textFill>
            </w:rPr>
            <w:t>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_Toc24865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B3F7695">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_Toc11999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一、总则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_Toc11999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740FEA5">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_Toc27775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 资金来源：企业自筹资金。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_Toc27775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FBA7A11">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_Toc26051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 合格的投标人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_Toc26051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59193B6">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_Toc3551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 合格的货物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_Toc3551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9F0883F">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_Toc27508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4 其它说明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_Toc27508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42C1019">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_Toc9801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二、招标文件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_Toc9801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1FE1011">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_Toc509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5 招标文件的构成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_Toc509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AB5CD76">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_Toc30078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6 招标文件的异议</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_Toc30078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2382434">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_Toc17812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7 招标文件的澄清及修改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_Toc17812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C4BDE1B">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_Toc23093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三、投标文件的编制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_Toc23093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1106DAD">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_Toc16277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8 投标使用的文字及度量衡单位</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_Toc16277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D0908C1">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_Toc20439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_Toc20439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23F4F9F">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_Toc8030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10 投标函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_Toc8030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8587D00">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_Toc11159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11 投标报价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_Toc11159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006448B">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_Toc25456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12 投标报价货币</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_Toc25456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2E08984">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_Toc32649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13 证明投标人的合格性和资格的声明文件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_Toc32649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236E087">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_Toc5318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14 证明货物的合格性并符合招标文件规定的声明文件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_Toc5318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ED380B7">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_Toc15139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15 投标保证金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_Toc15139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5643857">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_Toc28094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16 投标有效期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_Toc28094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1D03735">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_Toc7434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17 投标文件的编制和签署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_Toc7434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0C86323">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_Toc20793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四、投标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_Toc20793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5EEFD59">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_Toc26662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18 投标文件的加密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_Toc26662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806EBD9">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_Toc23526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19 </w:t>
          </w:r>
          <w:r>
            <w:rPr>
              <w:rFonts w:hint="eastAsia" w:ascii="宋体" w:hAnsi="宋体" w:eastAsia="宋体" w:cs="宋体"/>
              <w:color w:val="000000" w:themeColor="text1"/>
              <w:szCs w:val="21"/>
              <w:highlight w:val="none"/>
              <w:lang w:val="zh-CN"/>
              <w14:textFill>
                <w14:solidFill>
                  <w14:schemeClr w14:val="tx1"/>
                </w14:solidFill>
              </w14:textFill>
            </w:rPr>
            <w:t>投标文件的提交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_Toc23526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53E48DC">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_Toc7743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20 </w:t>
          </w:r>
          <w:r>
            <w:rPr>
              <w:rFonts w:hint="eastAsia" w:ascii="宋体" w:hAnsi="宋体" w:eastAsia="宋体" w:cs="宋体"/>
              <w:color w:val="000000" w:themeColor="text1"/>
              <w:szCs w:val="21"/>
              <w:highlight w:val="none"/>
              <w:lang w:val="zh-CN"/>
              <w14:textFill>
                <w14:solidFill>
                  <w14:schemeClr w14:val="tx1"/>
                </w14:solidFill>
              </w14:textFill>
            </w:rPr>
            <w:t>投标会时间、地点及投标文件提交的截止时间</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_Toc7743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A8D3A1C">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_Toc26843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szCs w:val="21"/>
              <w:highlight w:val="none"/>
              <w:lang w:val="zh-CN"/>
              <w14:textFill>
                <w14:solidFill>
                  <w14:schemeClr w14:val="tx1"/>
                </w14:solidFill>
              </w14:textFill>
            </w:rPr>
            <w:t>投标文件的拒绝</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_Toc26843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A2829FA">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_Toc21695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lang w:val="zh-CN"/>
              <w14:textFill>
                <w14:solidFill>
                  <w14:schemeClr w14:val="tx1"/>
                </w14:solidFill>
              </w14:textFill>
            </w:rPr>
            <w:t>投标文件的补充、修改与撤回</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_Toc21695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9205BF5">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_Toc27615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五、开标与评标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_Toc27615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19AB1D9">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_Toc7242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val="zh-CN"/>
              <w14:textFill>
                <w14:solidFill>
                  <w14:schemeClr w14:val="tx1"/>
                </w14:solidFill>
              </w14:textFill>
            </w:rPr>
            <w:t>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_Toc7242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183E5E3">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_Toc22291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24</w:t>
          </w: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_Toc22291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E79083F">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_Toc31307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25</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_Toc31307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1046647">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_Toc11997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26</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投标文件的有效性</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_Toc11997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D3ECE39">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_Toc11172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投标文件的初审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_Toc11172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6CBA444">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_Toc17993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投标文件的澄清</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_Toc17993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31B876F">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_Toc25121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 xml:space="preserve"> 对投标文件的比较和评价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_Toc25121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66B10EF">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_Toc12081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 xml:space="preserve"> 评标原则及方法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_Toc12081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245C62A">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_Toc31339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31 </w:t>
          </w:r>
          <w:r>
            <w:rPr>
              <w:rFonts w:hint="eastAsia" w:ascii="宋体" w:hAnsi="宋体" w:eastAsia="宋体" w:cs="宋体"/>
              <w:color w:val="000000" w:themeColor="text1"/>
              <w:szCs w:val="21"/>
              <w:highlight w:val="none"/>
              <w:lang w:val="zh-CN"/>
              <w14:textFill>
                <w14:solidFill>
                  <w14:schemeClr w14:val="tx1"/>
                </w14:solidFill>
              </w14:textFill>
            </w:rPr>
            <w:t>评标结果公示及异议、投诉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_Toc31339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DF06DC1">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_Toc1262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 xml:space="preserve"> 真实性审查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_Toc1262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7AD4EF8">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_Toc22144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33</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_Toc22144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16AAB77">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_Toc11626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六、授予合同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_Toc11626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C1799DD">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_Toc10493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 xml:space="preserve"> 授予合同的准则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_Toc10493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C2817C3">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_Toc19389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35</w:t>
          </w:r>
          <w:r>
            <w:rPr>
              <w:rFonts w:hint="eastAsia" w:ascii="宋体" w:hAnsi="宋体" w:eastAsia="宋体" w:cs="宋体"/>
              <w:color w:val="000000" w:themeColor="text1"/>
              <w:szCs w:val="21"/>
              <w:highlight w:val="none"/>
              <w:lang w:val="zh-CN"/>
              <w14:textFill>
                <w14:solidFill>
                  <w14:schemeClr w14:val="tx1"/>
                </w14:solidFill>
              </w14:textFill>
            </w:rPr>
            <w:t xml:space="preserve"> 中标通知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_Toc19389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31B32B4">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_Toc8133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签署合同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_Toc8133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42BDFA0">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_Toc14529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37 </w:t>
          </w:r>
          <w:r>
            <w:rPr>
              <w:rFonts w:hint="eastAsia" w:ascii="宋体" w:hAnsi="宋体" w:eastAsia="宋体" w:cs="宋体"/>
              <w:color w:val="000000" w:themeColor="text1"/>
              <w:szCs w:val="21"/>
              <w:highlight w:val="none"/>
              <w:lang w:val="zh-CN"/>
              <w14:textFill>
                <w14:solidFill>
                  <w14:schemeClr w14:val="tx1"/>
                </w14:solidFill>
              </w14:textFill>
            </w:rPr>
            <w:t>履约担保</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_Toc14529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2E5F1EA">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_Toc4293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_Toc4293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CC1EF77">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_Toc14657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39</w:t>
          </w:r>
          <w:r>
            <w:rPr>
              <w:rFonts w:hint="eastAsia" w:ascii="宋体" w:hAnsi="宋体" w:eastAsia="宋体" w:cs="宋体"/>
              <w:color w:val="000000" w:themeColor="text1"/>
              <w:szCs w:val="21"/>
              <w:highlight w:val="none"/>
              <w:lang w:val="zh-CN"/>
              <w14:textFill>
                <w14:solidFill>
                  <w14:schemeClr w14:val="tx1"/>
                </w14:solidFill>
              </w14:textFill>
            </w:rPr>
            <w:t xml:space="preserve"> 中标服务费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_Toc14657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F562A8F">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_Toc8673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_Toc8673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3EA4352">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_Toc9908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41 招标相关补充约定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_Toc9908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87E66EB">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_Toc27989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42 本次招标活动的最终解释权归招标代理机构及招标人所有。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_Toc27989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539909E">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_Toc9880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第三篇 用户需求书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_Toc9880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32EEA54">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_Toc450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第四篇 合同条款格式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_Toc450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72925D0">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_Toc21204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第五篇 相关保函格式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_Toc21204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918E9C2">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_Toc4035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第六篇 投标文件格式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_Toc4035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56930F1">
          <w:pPr>
            <w:pStyle w:val="31"/>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_Toc2831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附件一：评标工作大纲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_Toc2831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34CCE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end"/>
          </w:r>
        </w:p>
      </w:sdtContent>
    </w:sdt>
    <w:p w14:paraId="1FBF36FD">
      <w:pPr>
        <w:rPr>
          <w:color w:val="000000" w:themeColor="text1"/>
          <w:highlight w:val="none"/>
          <w14:textFill>
            <w14:solidFill>
              <w14:schemeClr w14:val="tx1"/>
            </w14:solidFill>
          </w14:textFill>
        </w:rPr>
      </w:pPr>
    </w:p>
    <w:p w14:paraId="426DABEA">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bookmarkStart w:id="9" w:name="_Toc17801"/>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0"/>
      <w:bookmarkEnd w:id="1"/>
      <w:bookmarkEnd w:id="2"/>
      <w:bookmarkEnd w:id="3"/>
      <w:bookmarkEnd w:id="4"/>
      <w:bookmarkEnd w:id="5"/>
      <w:bookmarkEnd w:id="6"/>
      <w:bookmarkEnd w:id="7"/>
      <w:bookmarkEnd w:id="8"/>
      <w:bookmarkEnd w:id="9"/>
    </w:p>
    <w:p w14:paraId="12514132">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东莞市水务集团供水有限公司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10" w:name="_Hlk41903390"/>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东莞市供水计量设施更新项目(2025年计量仪表采购)－螺翼式远传水表</w:t>
      </w:r>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u w:val="single"/>
          <w:lang w:val="zh-CN"/>
          <w14:textFill>
            <w14:solidFill>
              <w14:schemeClr w14:val="tx1"/>
            </w14:solidFill>
          </w14:textFill>
        </w:rPr>
        <w:t>SSWSSZ12501140</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ascii="宋体" w:hAnsi="宋体" w:eastAsia="宋体" w:cs="Times New Roman"/>
          <w:color w:val="000000" w:themeColor="text1"/>
          <w:szCs w:val="21"/>
          <w:highlight w:val="none"/>
          <w:lang w:val="zh-CN"/>
          <w14:textFill>
            <w14:solidFill>
              <w14:schemeClr w14:val="tx1"/>
            </w14:solidFill>
          </w14:textFill>
        </w:rPr>
        <w:t>)</w:t>
      </w:r>
      <w:bookmarkEnd w:id="10"/>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p w14:paraId="2836CF22">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179FD1AD">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招标范围：</w:t>
      </w:r>
    </w:p>
    <w:p w14:paraId="5B634D44">
      <w:pPr>
        <w:autoSpaceDE w:val="0"/>
        <w:autoSpaceDN w:val="0"/>
        <w:adjustRightInd w:val="0"/>
        <w:snapToGrid w:val="0"/>
        <w:spacing w:line="360" w:lineRule="auto"/>
        <w:ind w:right="-34" w:firstLine="420" w:firstLineChars="20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东莞市供水计量设施更新项目(2025年计量仪表采购)－螺翼式远传水表。（具体内容详见：第三篇用户需求书）</w:t>
      </w:r>
    </w:p>
    <w:p w14:paraId="5E4DE28A">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p>
    <w:p w14:paraId="4B8F3DE3">
      <w:pPr>
        <w:numPr>
          <w:ilvl w:val="0"/>
          <w:numId w:val="1"/>
        </w:numPr>
        <w:autoSpaceDE w:val="0"/>
        <w:autoSpaceDN w:val="0"/>
        <w:adjustRightInd w:val="0"/>
        <w:snapToGrid w:val="0"/>
        <w:spacing w:line="360" w:lineRule="auto"/>
        <w:ind w:right="-34"/>
        <w:jc w:val="left"/>
        <w:rPr>
          <w:rFonts w:ascii="宋体" w:hAnsi="宋体" w:eastAsia="宋体" w:cs="Times New Roman"/>
          <w:b/>
          <w:color w:val="000000" w:themeColor="text1"/>
          <w:szCs w:val="21"/>
          <w:highlight w:val="none"/>
          <w:lang w:val="zh-CN"/>
          <w14:textFill>
            <w14:solidFill>
              <w14:schemeClr w14:val="tx1"/>
            </w14:solidFill>
          </w14:textFill>
        </w:rPr>
      </w:pPr>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p>
    <w:p w14:paraId="392C3126">
      <w:pPr>
        <w:pStyle w:val="165"/>
        <w:spacing w:line="360" w:lineRule="auto"/>
        <w:ind w:left="422" w:right="-29" w:rightChars="-14" w:hanging="422" w:hangingChars="20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Ansi="宋体" w:eastAsia="宋体"/>
          <w:b/>
          <w:color w:val="000000" w:themeColor="text1"/>
          <w:sz w:val="21"/>
          <w:szCs w:val="21"/>
          <w:highlight w:val="none"/>
          <w:lang w:val="zh-CN"/>
          <w14:textFill>
            <w14:solidFill>
              <w14:schemeClr w14:val="tx1"/>
            </w14:solidFill>
          </w14:textFill>
        </w:rPr>
        <w:t xml:space="preserve">.1 </w:t>
      </w:r>
      <w:r>
        <w:rPr>
          <w:rFonts w:hint="eastAsia" w:hAnsi="宋体" w:eastAsia="宋体"/>
          <w:b/>
          <w:color w:val="000000" w:themeColor="text1"/>
          <w:sz w:val="21"/>
          <w:szCs w:val="21"/>
          <w:highlight w:val="none"/>
          <w:lang w:val="zh-CN"/>
          <w14:textFill>
            <w14:solidFill>
              <w14:schemeClr w14:val="tx1"/>
            </w14:solidFill>
          </w14:textFill>
        </w:rPr>
        <w:t>在中华人民共和国境内登记注册、合法存续、正常经营且具有独立承担民事责任能力的法人或其他组织</w:t>
      </w:r>
      <w:r>
        <w:rPr>
          <w:rFonts w:hAnsi="宋体" w:eastAsia="宋体"/>
          <w:b/>
          <w:color w:val="000000" w:themeColor="text1"/>
          <w:sz w:val="21"/>
          <w:szCs w:val="21"/>
          <w:highlight w:val="none"/>
          <w:lang w:val="zh-CN"/>
          <w14:textFill>
            <w14:solidFill>
              <w14:schemeClr w14:val="tx1"/>
            </w14:solidFill>
          </w14:textFill>
        </w:rPr>
        <w:t>；</w:t>
      </w:r>
    </w:p>
    <w:p w14:paraId="701FEF89">
      <w:pPr>
        <w:pStyle w:val="165"/>
        <w:spacing w:line="360" w:lineRule="auto"/>
        <w:ind w:left="422" w:right="-29" w:rightChars="-14" w:hanging="422" w:hangingChars="200"/>
        <w:jc w:val="both"/>
        <w:rPr>
          <w:rFonts w:hint="eastAsia" w:hAnsi="宋体" w:eastAsia="宋体"/>
          <w:b/>
          <w:color w:val="000000" w:themeColor="text1"/>
          <w:sz w:val="21"/>
          <w:szCs w:val="21"/>
          <w:highlight w:val="none"/>
          <w:lang w:val="zh-CN"/>
          <w14:textFill>
            <w14:solidFill>
              <w14:schemeClr w14:val="tx1"/>
            </w14:solidFill>
          </w14:textFill>
        </w:rPr>
      </w:pPr>
      <w:bookmarkStart w:id="11" w:name="_Toc25819"/>
      <w:r>
        <w:rPr>
          <w:rFonts w:hint="eastAsia" w:hAnsi="宋体" w:eastAsia="宋体"/>
          <w:b/>
          <w:color w:val="000000" w:themeColor="text1"/>
          <w:sz w:val="21"/>
          <w:szCs w:val="21"/>
          <w:highlight w:val="none"/>
          <w:lang w:val="zh-CN"/>
          <w14:textFill>
            <w14:solidFill>
              <w14:schemeClr w14:val="tx1"/>
            </w14:solidFill>
          </w14:textFill>
        </w:rPr>
        <w:t>2.2 投标人须为所投</w:t>
      </w:r>
      <w:r>
        <w:rPr>
          <w:rFonts w:hint="eastAsia" w:hAnsi="宋体" w:eastAsia="宋体"/>
          <w:b/>
          <w:color w:val="000000" w:themeColor="text1"/>
          <w:sz w:val="21"/>
          <w:szCs w:val="21"/>
          <w:highlight w:val="none"/>
          <w:lang w:val="en-US" w:eastAsia="zh-CN"/>
          <w14:textFill>
            <w14:solidFill>
              <w14:schemeClr w14:val="tx1"/>
            </w14:solidFill>
          </w14:textFill>
        </w:rPr>
        <w:t>产品</w:t>
      </w:r>
      <w:r>
        <w:rPr>
          <w:rFonts w:hint="eastAsia" w:hAnsi="宋体" w:eastAsia="宋体"/>
          <w:b/>
          <w:color w:val="000000" w:themeColor="text1"/>
          <w:sz w:val="21"/>
          <w:szCs w:val="21"/>
          <w:highlight w:val="none"/>
          <w:lang w:val="zh-CN"/>
          <w14:textFill>
            <w14:solidFill>
              <w14:schemeClr w14:val="tx1"/>
            </w14:solidFill>
          </w14:textFill>
        </w:rPr>
        <w:t>螺翼式远传水表的制造商，或为所投</w:t>
      </w:r>
      <w:r>
        <w:rPr>
          <w:rFonts w:hint="eastAsia" w:hAnsi="宋体" w:eastAsia="宋体"/>
          <w:b/>
          <w:color w:val="000000" w:themeColor="text1"/>
          <w:sz w:val="21"/>
          <w:szCs w:val="21"/>
          <w:highlight w:val="none"/>
          <w:lang w:val="en-US" w:eastAsia="zh-CN"/>
          <w14:textFill>
            <w14:solidFill>
              <w14:schemeClr w14:val="tx1"/>
            </w14:solidFill>
          </w14:textFill>
        </w:rPr>
        <w:t>产品螺翼式远传水表</w:t>
      </w:r>
      <w:r>
        <w:rPr>
          <w:rFonts w:hint="eastAsia" w:hAnsi="宋体" w:eastAsia="宋体"/>
          <w:b/>
          <w:color w:val="000000" w:themeColor="text1"/>
          <w:sz w:val="21"/>
          <w:szCs w:val="21"/>
          <w:highlight w:val="none"/>
          <w:lang w:val="zh-CN"/>
          <w14:textFill>
            <w14:solidFill>
              <w14:schemeClr w14:val="tx1"/>
            </w14:solidFill>
          </w14:textFill>
        </w:rPr>
        <w:t>的制造商就本次投标独家授权的经销商；</w:t>
      </w:r>
    </w:p>
    <w:p w14:paraId="403DB147">
      <w:pPr>
        <w:pStyle w:val="165"/>
        <w:spacing w:line="360" w:lineRule="auto"/>
        <w:ind w:left="422" w:right="-29" w:rightChars="-14" w:hanging="422" w:hangingChars="200"/>
        <w:jc w:val="both"/>
        <w:rPr>
          <w:rFonts w:hint="eastAsia"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2.3 投标人2022年1月1日以来具有一份螺翼式远传水表在国内的</w:t>
      </w:r>
      <w:r>
        <w:rPr>
          <w:rFonts w:hint="eastAsia" w:hAnsi="宋体" w:eastAsia="宋体"/>
          <w:b/>
          <w:color w:val="000000" w:themeColor="text1"/>
          <w:sz w:val="21"/>
          <w:szCs w:val="21"/>
          <w:highlight w:val="none"/>
          <w:lang w:val="en-US" w:eastAsia="zh-CN"/>
          <w14:textFill>
            <w14:solidFill>
              <w14:schemeClr w14:val="tx1"/>
            </w14:solidFill>
          </w14:textFill>
        </w:rPr>
        <w:t>销售</w:t>
      </w:r>
      <w:r>
        <w:rPr>
          <w:rFonts w:hint="eastAsia" w:hAnsi="宋体" w:eastAsia="宋体"/>
          <w:b/>
          <w:color w:val="000000" w:themeColor="text1"/>
          <w:sz w:val="21"/>
          <w:szCs w:val="21"/>
          <w:highlight w:val="none"/>
          <w:lang w:val="zh-CN"/>
          <w14:textFill>
            <w14:solidFill>
              <w14:schemeClr w14:val="tx1"/>
            </w14:solidFill>
          </w14:textFill>
        </w:rPr>
        <w:t>业绩（合同签订日期为2022年1月1日或以后）；</w:t>
      </w:r>
    </w:p>
    <w:p w14:paraId="72C0993B">
      <w:pPr>
        <w:pStyle w:val="165"/>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2.</w:t>
      </w:r>
      <w:r>
        <w:rPr>
          <w:rFonts w:hint="eastAsia" w:hAnsi="宋体" w:eastAsia="宋体"/>
          <w:b/>
          <w:color w:val="000000" w:themeColor="text1"/>
          <w:sz w:val="21"/>
          <w:szCs w:val="21"/>
          <w:highlight w:val="none"/>
          <w:lang w:val="en-US" w:eastAsia="zh-CN"/>
          <w14:textFill>
            <w14:solidFill>
              <w14:schemeClr w14:val="tx1"/>
            </w14:solidFill>
          </w14:textFill>
        </w:rPr>
        <w:t>4</w:t>
      </w:r>
      <w:r>
        <w:rPr>
          <w:rFonts w:hint="eastAsia" w:hAnsi="宋体" w:eastAsia="宋体"/>
          <w:b/>
          <w:color w:val="000000" w:themeColor="text1"/>
          <w:sz w:val="21"/>
          <w:szCs w:val="21"/>
          <w:highlight w:val="none"/>
          <w:lang w:val="zh-CN"/>
          <w14:textFill>
            <w14:solidFill>
              <w14:schemeClr w14:val="tx1"/>
            </w14:solidFill>
          </w14:textFill>
        </w:rPr>
        <w:t>本项目不接受联合体投标</w:t>
      </w:r>
      <w:bookmarkEnd w:id="11"/>
      <w:r>
        <w:rPr>
          <w:rFonts w:hint="eastAsia" w:hAnsi="宋体" w:eastAsia="宋体"/>
          <w:b/>
          <w:color w:val="000000" w:themeColor="text1"/>
          <w:sz w:val="21"/>
          <w:szCs w:val="21"/>
          <w:highlight w:val="none"/>
          <w:lang w:val="zh-CN"/>
          <w14:textFill>
            <w14:solidFill>
              <w14:schemeClr w14:val="tx1"/>
            </w14:solidFill>
          </w14:textFill>
        </w:rPr>
        <w:t>；</w:t>
      </w:r>
    </w:p>
    <w:p w14:paraId="382C0584">
      <w:pPr>
        <w:pStyle w:val="165"/>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2</w:t>
      </w:r>
      <w:r>
        <w:rPr>
          <w:rFonts w:hint="eastAsia" w:hAnsi="宋体" w:eastAsia="宋体"/>
          <w:b/>
          <w:color w:val="000000" w:themeColor="text1"/>
          <w:sz w:val="21"/>
          <w:szCs w:val="21"/>
          <w:highlight w:val="none"/>
          <w:lang w:val="zh-CN"/>
          <w14:textFill>
            <w14:solidFill>
              <w14:schemeClr w14:val="tx1"/>
            </w14:solidFill>
          </w14:textFill>
        </w:rPr>
        <w:t>.</w:t>
      </w:r>
      <w:r>
        <w:rPr>
          <w:rFonts w:hint="eastAsia" w:hAnsi="宋体" w:eastAsia="宋体"/>
          <w:b/>
          <w:color w:val="000000" w:themeColor="text1"/>
          <w:sz w:val="21"/>
          <w:szCs w:val="21"/>
          <w:highlight w:val="none"/>
          <w:lang w:val="en-US" w:eastAsia="zh-CN"/>
          <w14:textFill>
            <w14:solidFill>
              <w14:schemeClr w14:val="tx1"/>
            </w14:solidFill>
          </w14:textFill>
        </w:rPr>
        <w:t>5</w:t>
      </w:r>
      <w:r>
        <w:rPr>
          <w:rFonts w:hint="eastAsia" w:hAnsi="宋体" w:eastAsia="宋体"/>
          <w:b/>
          <w:color w:val="000000" w:themeColor="text1"/>
          <w:sz w:val="21"/>
          <w:szCs w:val="21"/>
          <w:highlight w:val="none"/>
          <w:lang w:val="zh-CN"/>
          <w14:textFill>
            <w14:solidFill>
              <w14:schemeClr w14:val="tx1"/>
            </w14:solidFill>
          </w14:textFill>
        </w:rPr>
        <w:t>其他要求：</w:t>
      </w:r>
    </w:p>
    <w:p w14:paraId="53B287A5">
      <w:pPr>
        <w:pStyle w:val="165"/>
        <w:autoSpaceDE/>
        <w:autoSpaceDN/>
        <w:spacing w:line="360" w:lineRule="auto"/>
        <w:ind w:left="420" w:leftChars="200"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（1）投标人应在东莞市公共资源交易企业库建档；</w:t>
      </w:r>
    </w:p>
    <w:p w14:paraId="2927190E">
      <w:pPr>
        <w:pStyle w:val="165"/>
        <w:autoSpaceDE/>
        <w:autoSpaceDN/>
        <w:spacing w:line="360" w:lineRule="auto"/>
        <w:ind w:left="420" w:leftChars="200"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在招标文件规定的东莞市公共资源交易E网通管理平台建设工程交易系统（以下简称交易系统）信息数据采集时间前，投标人已在东莞市公共资源交易企业库建档，且法人、法定代表人名称或企业、人员资质证书等与本次招标项目密切相关的信息发生变更时已办结该变更的登记手续，投标人应登录交易系统核实企业填报数据真实有效。</w:t>
      </w:r>
    </w:p>
    <w:p w14:paraId="4D0507E9">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1EBDFBC6">
      <w:pPr>
        <w:pStyle w:val="183"/>
        <w:numPr>
          <w:ilvl w:val="0"/>
          <w:numId w:val="1"/>
        </w:numPr>
        <w:spacing w:line="360" w:lineRule="auto"/>
        <w:ind w:left="426" w:right="-34" w:hanging="426"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获取招标文件的方式：凡有意参加投标者，可于</w:t>
      </w:r>
      <w:r>
        <w:rPr>
          <w:rFonts w:hint="eastAsia" w:ascii="宋体" w:hAnsi="宋体" w:cs="宋体"/>
          <w:color w:val="000000" w:themeColor="text1"/>
          <w:szCs w:val="21"/>
          <w:highlight w:val="none"/>
          <w:u w:val="single"/>
          <w:lang w:val="zh-CN"/>
          <w14:textFill>
            <w14:solidFill>
              <w14:schemeClr w14:val="tx1"/>
            </w14:solidFill>
          </w14:textFill>
        </w:rPr>
        <w:t>2025年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7</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zh-CN"/>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zh-CN"/>
          <w14:textFill>
            <w14:solidFill>
              <w14:schemeClr w14:val="tx1"/>
            </w14:solidFill>
          </w14:textFill>
        </w:rPr>
        <w:t>日</w:t>
      </w:r>
      <w:r>
        <w:rPr>
          <w:rFonts w:hint="eastAsia" w:ascii="宋体" w:hAnsi="宋体" w:cs="宋体"/>
          <w:color w:val="000000" w:themeColor="text1"/>
          <w:szCs w:val="21"/>
          <w:highlight w:val="none"/>
          <w:lang w:val="zh-CN"/>
          <w14:textFill>
            <w14:solidFill>
              <w14:schemeClr w14:val="tx1"/>
            </w14:solidFill>
          </w14:textFill>
        </w:rPr>
        <w:t>至投标截止时间前登录交易系统下载本次招标项目的招标文件等资料。</w:t>
      </w:r>
    </w:p>
    <w:p w14:paraId="7BDB5F91">
      <w:pPr>
        <w:autoSpaceDE w:val="0"/>
        <w:autoSpaceDN w:val="0"/>
        <w:adjustRightInd w:val="0"/>
        <w:spacing w:line="360" w:lineRule="auto"/>
        <w:ind w:left="630" w:leftChars="100" w:right="-29" w:rightChars="-14" w:hanging="420" w:hangingChars="200"/>
        <w:rPr>
          <w:rFonts w:ascii="宋体" w:hAnsi="宋体" w:eastAsia="宋体" w:cs="Times New Roman"/>
          <w:color w:val="000000" w:themeColor="text1"/>
          <w:szCs w:val="21"/>
          <w:highlight w:val="none"/>
          <w:lang w:val="zh-CN"/>
          <w14:textFill>
            <w14:solidFill>
              <w14:schemeClr w14:val="tx1"/>
            </w14:solidFill>
          </w14:textFill>
        </w:rPr>
      </w:pPr>
    </w:p>
    <w:p w14:paraId="311726DD">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000000" w:themeColor="text1"/>
          <w:szCs w:val="21"/>
          <w:highlight w:val="none"/>
          <w14:textFill>
            <w14:solidFill>
              <w14:schemeClr w14:val="tx1"/>
            </w14:solidFill>
          </w14:textFill>
        </w:rPr>
        <w:t>政府采购</w:t>
      </w:r>
      <w:r>
        <w:rPr>
          <w:rFonts w:hint="eastAsia" w:ascii="宋体" w:hAnsi="宋体" w:eastAsia="宋体" w:cs="Times New Roman"/>
          <w:color w:val="000000" w:themeColor="text1"/>
          <w:szCs w:val="21"/>
          <w:highlight w:val="none"/>
          <w:lang w:val="zh-CN"/>
          <w14:textFill>
            <w14:solidFill>
              <w14:schemeClr w14:val="tx1"/>
            </w14:solidFill>
          </w14:textFill>
        </w:rPr>
        <w:t>严重违法失信行为记录名单的投标人，做好相关记录（处罚期限届满的除外）</w:t>
      </w:r>
      <w:r>
        <w:rPr>
          <w:rFonts w:ascii="宋体" w:hAnsi="宋体" w:eastAsia="宋体" w:cs="Times New Roman"/>
          <w:color w:val="000000" w:themeColor="text1"/>
          <w:szCs w:val="21"/>
          <w:highlight w:val="none"/>
          <w:lang w:val="zh-CN"/>
          <w14:textFill>
            <w14:solidFill>
              <w14:schemeClr w14:val="tx1"/>
            </w14:solidFill>
          </w14:textFill>
        </w:rPr>
        <w:t>。</w:t>
      </w:r>
    </w:p>
    <w:p w14:paraId="4B79AAF2">
      <w:pPr>
        <w:autoSpaceDE w:val="0"/>
        <w:autoSpaceDN w:val="0"/>
        <w:adjustRightInd w:val="0"/>
        <w:spacing w:line="360" w:lineRule="auto"/>
        <w:ind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14:paraId="2A9214B6">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投标会时间、地点及投标文件提交截止时间</w:t>
      </w:r>
      <w:r>
        <w:rPr>
          <w:rFonts w:ascii="宋体" w:hAnsi="宋体" w:eastAsia="宋体" w:cs="Times New Roman"/>
          <w:color w:val="000000" w:themeColor="text1"/>
          <w:szCs w:val="21"/>
          <w:highlight w:val="none"/>
          <w:lang w:val="zh-CN"/>
          <w14:textFill>
            <w14:solidFill>
              <w14:schemeClr w14:val="tx1"/>
            </w14:solidFill>
          </w14:textFill>
        </w:rPr>
        <w:t>：</w:t>
      </w:r>
    </w:p>
    <w:p w14:paraId="3998AB62">
      <w:pPr>
        <w:pStyle w:val="165"/>
        <w:spacing w:line="360" w:lineRule="auto"/>
        <w:ind w:left="420" w:hanging="420" w:hangingChars="200"/>
        <w:jc w:val="both"/>
        <w:rPr>
          <w:rFonts w:hint="eastAsia" w:hAnsi="宋体" w:eastAsia="宋体"/>
          <w:bCs/>
          <w:color w:val="000000" w:themeColor="text1"/>
          <w:sz w:val="21"/>
          <w:szCs w:val="21"/>
          <w:highlight w:val="none"/>
          <w:lang w:val="zh-CN"/>
          <w14:textFill>
            <w14:solidFill>
              <w14:schemeClr w14:val="tx1"/>
            </w14:solidFill>
          </w14:textFill>
        </w:rPr>
      </w:pPr>
      <w:r>
        <w:rPr>
          <w:rFonts w:hint="eastAsia" w:hAnsi="宋体" w:eastAsia="宋体"/>
          <w:bCs/>
          <w:color w:val="000000" w:themeColor="text1"/>
          <w:sz w:val="21"/>
          <w:szCs w:val="21"/>
          <w:highlight w:val="none"/>
          <w:lang w:val="en-US" w:eastAsia="zh-CN"/>
          <w14:textFill>
            <w14:solidFill>
              <w14:schemeClr w14:val="tx1"/>
            </w14:solidFill>
          </w14:textFill>
        </w:rPr>
        <w:t xml:space="preserve">5.1 </w:t>
      </w:r>
      <w:r>
        <w:rPr>
          <w:rFonts w:hint="eastAsia" w:hAnsi="宋体" w:eastAsia="宋体"/>
          <w:bCs/>
          <w:color w:val="000000" w:themeColor="text1"/>
          <w:sz w:val="21"/>
          <w:szCs w:val="21"/>
          <w:highlight w:val="none"/>
          <w:lang w:val="zh-CN"/>
          <w14:textFill>
            <w14:solidFill>
              <w14:schemeClr w14:val="tx1"/>
            </w14:solidFill>
          </w14:textFill>
        </w:rPr>
        <w:t>投标会召开时间：</w:t>
      </w:r>
      <w:r>
        <w:rPr>
          <w:rFonts w:hint="eastAsia" w:hAnsi="宋体" w:eastAsia="宋体"/>
          <w:bCs/>
          <w:color w:val="000000" w:themeColor="text1"/>
          <w:sz w:val="21"/>
          <w:szCs w:val="21"/>
          <w:highlight w:val="none"/>
          <w:u w:val="single"/>
          <w:lang w:val="zh-CN"/>
          <w14:textFill>
            <w14:solidFill>
              <w14:schemeClr w14:val="tx1"/>
            </w14:solidFill>
          </w14:textFill>
        </w:rPr>
        <w:t xml:space="preserve">2025年 </w:t>
      </w:r>
      <w:r>
        <w:rPr>
          <w:rFonts w:hint="eastAsia" w:hAnsi="宋体" w:eastAsia="宋体"/>
          <w:bCs/>
          <w:color w:val="000000" w:themeColor="text1"/>
          <w:sz w:val="21"/>
          <w:szCs w:val="21"/>
          <w:highlight w:val="none"/>
          <w:u w:val="single"/>
          <w:lang w:val="en-US" w:eastAsia="zh-CN"/>
          <w14:textFill>
            <w14:solidFill>
              <w14:schemeClr w14:val="tx1"/>
            </w14:solidFill>
          </w14:textFill>
        </w:rPr>
        <w:t xml:space="preserve">7 </w:t>
      </w:r>
      <w:r>
        <w:rPr>
          <w:rFonts w:hint="eastAsia" w:hAnsi="宋体" w:eastAsia="宋体"/>
          <w:bCs/>
          <w:color w:val="000000" w:themeColor="text1"/>
          <w:sz w:val="21"/>
          <w:szCs w:val="21"/>
          <w:highlight w:val="none"/>
          <w:u w:val="single"/>
          <w:lang w:val="zh-CN"/>
          <w14:textFill>
            <w14:solidFill>
              <w14:schemeClr w14:val="tx1"/>
            </w14:solidFill>
          </w14:textFill>
        </w:rPr>
        <w:t>月</w:t>
      </w:r>
      <w:r>
        <w:rPr>
          <w:rFonts w:hint="eastAsia" w:hAnsi="宋体" w:eastAsia="宋体"/>
          <w:bCs/>
          <w:color w:val="000000" w:themeColor="text1"/>
          <w:sz w:val="21"/>
          <w:szCs w:val="21"/>
          <w:highlight w:val="none"/>
          <w:u w:val="single"/>
          <w:lang w:val="en-US" w:eastAsia="zh-CN"/>
          <w14:textFill>
            <w14:solidFill>
              <w14:schemeClr w14:val="tx1"/>
            </w14:solidFill>
          </w14:textFill>
        </w:rPr>
        <w:t xml:space="preserve"> 25</w:t>
      </w:r>
      <w:r>
        <w:rPr>
          <w:rFonts w:hint="eastAsia" w:hAnsi="宋体" w:eastAsia="宋体"/>
          <w:bCs/>
          <w:color w:val="000000" w:themeColor="text1"/>
          <w:sz w:val="21"/>
          <w:szCs w:val="21"/>
          <w:highlight w:val="none"/>
          <w:u w:val="single"/>
          <w:lang w:val="zh-CN"/>
          <w14:textFill>
            <w14:solidFill>
              <w14:schemeClr w14:val="tx1"/>
            </w14:solidFill>
          </w14:textFill>
        </w:rPr>
        <w:t xml:space="preserve"> 日 </w:t>
      </w:r>
      <w:r>
        <w:rPr>
          <w:rFonts w:hint="eastAsia" w:hAnsi="宋体" w:eastAsia="宋体"/>
          <w:bCs/>
          <w:color w:val="000000" w:themeColor="text1"/>
          <w:sz w:val="21"/>
          <w:szCs w:val="21"/>
          <w:highlight w:val="none"/>
          <w:u w:val="single"/>
          <w:lang w:val="en-US" w:eastAsia="zh-CN"/>
          <w14:textFill>
            <w14:solidFill>
              <w14:schemeClr w14:val="tx1"/>
            </w14:solidFill>
          </w14:textFill>
        </w:rPr>
        <w:t>09</w:t>
      </w:r>
      <w:r>
        <w:rPr>
          <w:rFonts w:hint="eastAsia" w:hAnsi="宋体" w:eastAsia="宋体"/>
          <w:bCs/>
          <w:color w:val="000000" w:themeColor="text1"/>
          <w:sz w:val="21"/>
          <w:szCs w:val="21"/>
          <w:highlight w:val="none"/>
          <w:u w:val="single"/>
          <w:lang w:val="zh-CN"/>
          <w14:textFill>
            <w14:solidFill>
              <w14:schemeClr w14:val="tx1"/>
            </w14:solidFill>
          </w14:textFill>
        </w:rPr>
        <w:t>时</w:t>
      </w:r>
      <w:r>
        <w:rPr>
          <w:rFonts w:hint="eastAsia" w:hAnsi="宋体" w:eastAsia="宋体"/>
          <w:bCs/>
          <w:color w:val="000000" w:themeColor="text1"/>
          <w:sz w:val="21"/>
          <w:szCs w:val="21"/>
          <w:highlight w:val="none"/>
          <w:u w:val="single"/>
          <w:lang w:val="en-US" w:eastAsia="zh-CN"/>
          <w14:textFill>
            <w14:solidFill>
              <w14:schemeClr w14:val="tx1"/>
            </w14:solidFill>
          </w14:textFill>
        </w:rPr>
        <w:t>30</w:t>
      </w:r>
      <w:r>
        <w:rPr>
          <w:rFonts w:hint="eastAsia" w:hAnsi="宋体" w:eastAsia="宋体"/>
          <w:bCs/>
          <w:color w:val="000000" w:themeColor="text1"/>
          <w:sz w:val="21"/>
          <w:szCs w:val="21"/>
          <w:highlight w:val="none"/>
          <w:u w:val="single"/>
          <w:lang w:val="zh-CN"/>
          <w14:textFill>
            <w14:solidFill>
              <w14:schemeClr w14:val="tx1"/>
            </w14:solidFill>
          </w14:textFill>
        </w:rPr>
        <w:t>分</w:t>
      </w:r>
      <w:r>
        <w:rPr>
          <w:rFonts w:hint="eastAsia" w:hAnsi="宋体" w:eastAsia="宋体"/>
          <w:bCs/>
          <w:color w:val="000000" w:themeColor="text1"/>
          <w:sz w:val="21"/>
          <w:szCs w:val="21"/>
          <w:highlight w:val="none"/>
          <w:lang w:val="zh-CN"/>
          <w14:textFill>
            <w14:solidFill>
              <w14:schemeClr w14:val="tx1"/>
            </w14:solidFill>
          </w14:textFill>
        </w:rPr>
        <w:t>，投标会召开地点：东莞市南城</w:t>
      </w:r>
      <w:r>
        <w:rPr>
          <w:rFonts w:hint="eastAsia" w:hAnsi="宋体" w:eastAsia="宋体"/>
          <w:bCs/>
          <w:color w:val="000000" w:themeColor="text1"/>
          <w:sz w:val="21"/>
          <w:szCs w:val="21"/>
          <w:highlight w:val="none"/>
          <w:lang w:val="en-US" w:eastAsia="zh-CN"/>
          <w14:textFill>
            <w14:solidFill>
              <w14:schemeClr w14:val="tx1"/>
            </w14:solidFill>
          </w14:textFill>
        </w:rPr>
        <w:t>街道</w:t>
      </w:r>
      <w:r>
        <w:rPr>
          <w:rFonts w:hint="eastAsia" w:hAnsi="宋体" w:eastAsia="宋体"/>
          <w:bCs/>
          <w:color w:val="000000" w:themeColor="text1"/>
          <w:sz w:val="21"/>
          <w:szCs w:val="21"/>
          <w:highlight w:val="none"/>
          <w:lang w:val="zh-CN"/>
          <w14:textFill>
            <w14:solidFill>
              <w14:schemeClr w14:val="tx1"/>
            </w14:solidFill>
          </w14:textFill>
        </w:rPr>
        <w:t>西平社区宏伟三路45号东莞市公共资源交易中心开标室（</w:t>
      </w:r>
      <w:r>
        <w:rPr>
          <w:rFonts w:hint="eastAsia" w:hAnsi="宋体" w:eastAsia="宋体"/>
          <w:bCs/>
          <w:color w:val="000000" w:themeColor="text1"/>
          <w:sz w:val="21"/>
          <w:szCs w:val="21"/>
          <w:highlight w:val="none"/>
          <w:lang w:val="en-US" w:eastAsia="zh-CN"/>
          <w14:textFill>
            <w14:solidFill>
              <w14:schemeClr w14:val="tx1"/>
            </w14:solidFill>
          </w14:textFill>
        </w:rPr>
        <w:t xml:space="preserve"> 6 </w:t>
      </w:r>
      <w:r>
        <w:rPr>
          <w:rFonts w:hint="eastAsia" w:hAnsi="宋体" w:eastAsia="宋体"/>
          <w:bCs/>
          <w:color w:val="000000" w:themeColor="text1"/>
          <w:sz w:val="21"/>
          <w:szCs w:val="21"/>
          <w:highlight w:val="none"/>
          <w:lang w:val="zh-CN"/>
          <w14:textFill>
            <w14:solidFill>
              <w14:schemeClr w14:val="tx1"/>
            </w14:solidFill>
          </w14:textFill>
        </w:rPr>
        <w:t>）；</w:t>
      </w:r>
    </w:p>
    <w:p w14:paraId="4B25D9A9">
      <w:pPr>
        <w:pStyle w:val="165"/>
        <w:spacing w:line="360" w:lineRule="auto"/>
        <w:ind w:left="420" w:hanging="420" w:hangingChars="200"/>
        <w:jc w:val="both"/>
        <w:rPr>
          <w:rFonts w:hAnsi="宋体" w:eastAsia="宋体"/>
          <w:bCs/>
          <w:color w:val="000000" w:themeColor="text1"/>
          <w:sz w:val="21"/>
          <w:szCs w:val="21"/>
          <w:highlight w:val="none"/>
          <w:lang w:val="zh-CN"/>
          <w14:textFill>
            <w14:solidFill>
              <w14:schemeClr w14:val="tx1"/>
            </w14:solidFill>
          </w14:textFill>
        </w:rPr>
      </w:pPr>
      <w:r>
        <w:rPr>
          <w:rFonts w:hint="eastAsia" w:hAnsi="宋体" w:eastAsia="宋体"/>
          <w:bCs/>
          <w:color w:val="000000" w:themeColor="text1"/>
          <w:sz w:val="21"/>
          <w:szCs w:val="21"/>
          <w:highlight w:val="none"/>
          <w:lang w:val="zh-CN"/>
          <w14:textFill>
            <w14:solidFill>
              <w14:schemeClr w14:val="tx1"/>
            </w14:solidFill>
          </w14:textFill>
        </w:rPr>
        <w:t>5.</w:t>
      </w:r>
      <w:r>
        <w:rPr>
          <w:rFonts w:hint="eastAsia" w:hAnsi="宋体" w:eastAsia="宋体"/>
          <w:bCs/>
          <w:color w:val="000000" w:themeColor="text1"/>
          <w:sz w:val="21"/>
          <w:szCs w:val="21"/>
          <w:highlight w:val="none"/>
          <w:lang w:val="en-US" w:eastAsia="zh-CN"/>
          <w14:textFill>
            <w14:solidFill>
              <w14:schemeClr w14:val="tx1"/>
            </w14:solidFill>
          </w14:textFill>
        </w:rPr>
        <w:t>2</w:t>
      </w:r>
      <w:r>
        <w:rPr>
          <w:rFonts w:hint="eastAsia" w:hAnsi="宋体" w:eastAsia="宋体"/>
          <w:bCs/>
          <w:color w:val="000000" w:themeColor="text1"/>
          <w:sz w:val="21"/>
          <w:szCs w:val="21"/>
          <w:highlight w:val="none"/>
          <w:lang w:val="zh-CN"/>
          <w14:textFill>
            <w14:solidFill>
              <w14:schemeClr w14:val="tx1"/>
            </w14:solidFill>
          </w14:textFill>
        </w:rPr>
        <w:t xml:space="preserve"> 投标文件递交的截止时间（投标截止时间，下同）：</w:t>
      </w:r>
      <w:r>
        <w:rPr>
          <w:rFonts w:hint="eastAsia" w:hAnsi="宋体" w:eastAsia="宋体"/>
          <w:bCs/>
          <w:color w:val="000000" w:themeColor="text1"/>
          <w:sz w:val="21"/>
          <w:szCs w:val="21"/>
          <w:highlight w:val="none"/>
          <w:u w:val="single"/>
          <w:lang w:val="zh-CN"/>
          <w14:textFill>
            <w14:solidFill>
              <w14:schemeClr w14:val="tx1"/>
            </w14:solidFill>
          </w14:textFill>
        </w:rPr>
        <w:t xml:space="preserve">2025年 </w:t>
      </w:r>
      <w:r>
        <w:rPr>
          <w:rFonts w:hint="eastAsia" w:hAnsi="宋体" w:eastAsia="宋体"/>
          <w:bCs/>
          <w:color w:val="000000" w:themeColor="text1"/>
          <w:sz w:val="21"/>
          <w:szCs w:val="21"/>
          <w:highlight w:val="none"/>
          <w:u w:val="single"/>
          <w:lang w:val="en-US" w:eastAsia="zh-CN"/>
          <w14:textFill>
            <w14:solidFill>
              <w14:schemeClr w14:val="tx1"/>
            </w14:solidFill>
          </w14:textFill>
        </w:rPr>
        <w:t>7</w:t>
      </w:r>
      <w:r>
        <w:rPr>
          <w:rFonts w:hint="eastAsia" w:hAnsi="宋体" w:eastAsia="宋体"/>
          <w:bCs/>
          <w:color w:val="000000" w:themeColor="text1"/>
          <w:sz w:val="21"/>
          <w:szCs w:val="21"/>
          <w:highlight w:val="none"/>
          <w:u w:val="single"/>
          <w:lang w:val="zh-CN"/>
          <w14:textFill>
            <w14:solidFill>
              <w14:schemeClr w14:val="tx1"/>
            </w14:solidFill>
          </w14:textFill>
        </w:rPr>
        <w:t xml:space="preserve"> 月 </w:t>
      </w:r>
      <w:r>
        <w:rPr>
          <w:rFonts w:hint="eastAsia" w:hAnsi="宋体" w:eastAsia="宋体"/>
          <w:bCs/>
          <w:color w:val="000000" w:themeColor="text1"/>
          <w:sz w:val="21"/>
          <w:szCs w:val="21"/>
          <w:highlight w:val="none"/>
          <w:u w:val="single"/>
          <w:lang w:val="en-US" w:eastAsia="zh-CN"/>
          <w14:textFill>
            <w14:solidFill>
              <w14:schemeClr w14:val="tx1"/>
            </w14:solidFill>
          </w14:textFill>
        </w:rPr>
        <w:t>25</w:t>
      </w:r>
      <w:r>
        <w:rPr>
          <w:rFonts w:hint="eastAsia" w:hAnsi="宋体" w:eastAsia="宋体"/>
          <w:bCs/>
          <w:color w:val="000000" w:themeColor="text1"/>
          <w:sz w:val="21"/>
          <w:szCs w:val="21"/>
          <w:highlight w:val="none"/>
          <w:u w:val="single"/>
          <w:lang w:val="zh-CN"/>
          <w14:textFill>
            <w14:solidFill>
              <w14:schemeClr w14:val="tx1"/>
            </w14:solidFill>
          </w14:textFill>
        </w:rPr>
        <w:t xml:space="preserve"> 日 </w:t>
      </w:r>
      <w:r>
        <w:rPr>
          <w:rFonts w:hint="eastAsia" w:hAnsi="宋体" w:eastAsia="宋体"/>
          <w:bCs/>
          <w:color w:val="000000" w:themeColor="text1"/>
          <w:sz w:val="21"/>
          <w:szCs w:val="21"/>
          <w:highlight w:val="none"/>
          <w:u w:val="single"/>
          <w:lang w:val="en-US" w:eastAsia="zh-CN"/>
          <w14:textFill>
            <w14:solidFill>
              <w14:schemeClr w14:val="tx1"/>
            </w14:solidFill>
          </w14:textFill>
        </w:rPr>
        <w:t>09</w:t>
      </w:r>
      <w:r>
        <w:rPr>
          <w:rFonts w:hint="eastAsia" w:hAnsi="宋体" w:eastAsia="宋体"/>
          <w:bCs/>
          <w:color w:val="000000" w:themeColor="text1"/>
          <w:sz w:val="21"/>
          <w:szCs w:val="21"/>
          <w:highlight w:val="none"/>
          <w:u w:val="single"/>
          <w:lang w:val="zh-CN"/>
          <w14:textFill>
            <w14:solidFill>
              <w14:schemeClr w14:val="tx1"/>
            </w14:solidFill>
          </w14:textFill>
        </w:rPr>
        <w:t>时</w:t>
      </w:r>
      <w:r>
        <w:rPr>
          <w:rFonts w:hint="eastAsia" w:hAnsi="宋体" w:eastAsia="宋体"/>
          <w:bCs/>
          <w:color w:val="000000" w:themeColor="text1"/>
          <w:sz w:val="21"/>
          <w:szCs w:val="21"/>
          <w:highlight w:val="none"/>
          <w:u w:val="single"/>
          <w:lang w:val="en-US" w:eastAsia="zh-CN"/>
          <w14:textFill>
            <w14:solidFill>
              <w14:schemeClr w14:val="tx1"/>
            </w14:solidFill>
          </w14:textFill>
        </w:rPr>
        <w:t>30</w:t>
      </w:r>
      <w:r>
        <w:rPr>
          <w:rFonts w:hint="eastAsia" w:hAnsi="宋体" w:eastAsia="宋体"/>
          <w:bCs/>
          <w:color w:val="000000" w:themeColor="text1"/>
          <w:sz w:val="21"/>
          <w:szCs w:val="21"/>
          <w:highlight w:val="none"/>
          <w:u w:val="single"/>
          <w:lang w:val="zh-CN"/>
          <w14:textFill>
            <w14:solidFill>
              <w14:schemeClr w14:val="tx1"/>
            </w14:solidFill>
          </w14:textFill>
        </w:rPr>
        <w:t>分，</w:t>
      </w:r>
      <w:r>
        <w:rPr>
          <w:rFonts w:hint="eastAsia" w:hAnsi="宋体" w:eastAsia="宋体"/>
          <w:bCs/>
          <w:color w:val="000000" w:themeColor="text1"/>
          <w:sz w:val="21"/>
          <w:szCs w:val="21"/>
          <w:highlight w:val="none"/>
          <w:lang w:val="zh-CN"/>
          <w14:textFill>
            <w14:solidFill>
              <w14:schemeClr w14:val="tx1"/>
            </w14:solidFill>
          </w14:textFill>
        </w:rPr>
        <w:t>地点：通过东莞市公共资源交易E网通管理平台建设工程交易系统网上提交；</w:t>
      </w:r>
    </w:p>
    <w:p w14:paraId="2EF9C298">
      <w:pPr>
        <w:pStyle w:val="165"/>
        <w:spacing w:line="360" w:lineRule="auto"/>
        <w:ind w:left="420" w:hanging="420" w:hangingChars="200"/>
        <w:rPr>
          <w:rFonts w:hint="eastAsia" w:hAnsi="宋体" w:eastAsia="宋体"/>
          <w:bCs/>
          <w:color w:val="000000" w:themeColor="text1"/>
          <w:sz w:val="21"/>
          <w:szCs w:val="21"/>
          <w:highlight w:val="none"/>
          <w:lang w:val="zh-CN"/>
          <w14:textFill>
            <w14:solidFill>
              <w14:schemeClr w14:val="tx1"/>
            </w14:solidFill>
          </w14:textFill>
        </w:rPr>
      </w:pPr>
      <w:r>
        <w:rPr>
          <w:rFonts w:hint="eastAsia" w:hAnsi="宋体" w:eastAsia="宋体"/>
          <w:bCs/>
          <w:color w:val="000000" w:themeColor="text1"/>
          <w:sz w:val="21"/>
          <w:szCs w:val="21"/>
          <w:highlight w:val="none"/>
          <w:lang w:val="zh-CN"/>
          <w14:textFill>
            <w14:solidFill>
              <w14:schemeClr w14:val="tx1"/>
            </w14:solidFill>
          </w14:textFill>
        </w:rPr>
        <w:t>5.</w:t>
      </w:r>
      <w:r>
        <w:rPr>
          <w:rFonts w:hint="eastAsia" w:hAnsi="宋体" w:eastAsia="宋体"/>
          <w:bCs/>
          <w:color w:val="000000" w:themeColor="text1"/>
          <w:sz w:val="21"/>
          <w:szCs w:val="21"/>
          <w:highlight w:val="none"/>
          <w:lang w:val="en-US" w:eastAsia="zh-CN"/>
          <w14:textFill>
            <w14:solidFill>
              <w14:schemeClr w14:val="tx1"/>
            </w14:solidFill>
          </w14:textFill>
        </w:rPr>
        <w:t>3</w:t>
      </w:r>
      <w:r>
        <w:rPr>
          <w:rFonts w:hint="eastAsia" w:hAnsi="宋体" w:eastAsia="宋体"/>
          <w:bCs/>
          <w:color w:val="000000" w:themeColor="text1"/>
          <w:sz w:val="21"/>
          <w:szCs w:val="21"/>
          <w:highlight w:val="none"/>
          <w:lang w:val="zh-CN"/>
          <w14:textFill>
            <w14:solidFill>
              <w14:schemeClr w14:val="tx1"/>
            </w14:solidFill>
          </w14:textFill>
        </w:rPr>
        <w:t xml:space="preserve"> 投标人必须通过交易系统在线上传投标文件，上述方式外提交的投标文件及逾期通过网络上传的电子投标文件，招标人不予受理。</w:t>
      </w:r>
    </w:p>
    <w:p w14:paraId="236869E0">
      <w:pPr>
        <w:pStyle w:val="165"/>
        <w:spacing w:line="360" w:lineRule="auto"/>
        <w:ind w:left="420" w:hanging="420" w:hangingChars="200"/>
        <w:rPr>
          <w:rFonts w:hint="eastAsia" w:hAnsi="宋体" w:eastAsia="宋体"/>
          <w:bCs/>
          <w:color w:val="000000" w:themeColor="text1"/>
          <w:sz w:val="21"/>
          <w:szCs w:val="21"/>
          <w:highlight w:val="none"/>
          <w:lang w:val="zh-CN"/>
          <w14:textFill>
            <w14:solidFill>
              <w14:schemeClr w14:val="tx1"/>
            </w14:solidFill>
          </w14:textFill>
        </w:rPr>
      </w:pPr>
    </w:p>
    <w:p w14:paraId="1B8C4ABC">
      <w:pPr>
        <w:numPr>
          <w:ilvl w:val="0"/>
          <w:numId w:val="1"/>
        </w:numPr>
        <w:snapToGrid w:val="0"/>
        <w:ind w:right="-34"/>
        <w:rPr>
          <w:rFonts w:hint="eastAsia" w:hAnsi="宋体" w:eastAsia="宋体"/>
          <w:bCs/>
          <w:color w:val="000000" w:themeColor="text1"/>
          <w:sz w:val="21"/>
          <w:szCs w:val="21"/>
          <w:highlight w:val="none"/>
          <w:lang w:val="zh-CN"/>
          <w14:textFill>
            <w14:solidFill>
              <w14:schemeClr w14:val="tx1"/>
            </w14:solidFill>
          </w14:textFill>
        </w:rPr>
      </w:pPr>
      <w:r>
        <w:rPr>
          <w:rFonts w:hint="eastAsia" w:hAnsi="宋体" w:eastAsia="宋体"/>
          <w:bCs/>
          <w:color w:val="000000" w:themeColor="text1"/>
          <w:sz w:val="21"/>
          <w:szCs w:val="21"/>
          <w:highlight w:val="none"/>
          <w:lang w:val="zh-CN"/>
          <w14:textFill>
            <w14:solidFill>
              <w14:schemeClr w14:val="tx1"/>
            </w14:solidFill>
          </w14:textFill>
        </w:rPr>
        <w:t>开标时间和地点：</w:t>
      </w:r>
    </w:p>
    <w:p w14:paraId="37C91A6C">
      <w:pPr>
        <w:pStyle w:val="165"/>
        <w:spacing w:line="360" w:lineRule="auto"/>
        <w:ind w:left="420" w:hanging="420" w:hangingChars="200"/>
        <w:rPr>
          <w:rFonts w:hint="eastAsia" w:hAnsi="宋体" w:eastAsia="宋体"/>
          <w:bCs/>
          <w:color w:val="000000" w:themeColor="text1"/>
          <w:sz w:val="21"/>
          <w:szCs w:val="21"/>
          <w:highlight w:val="none"/>
          <w:lang w:val="zh-CN"/>
          <w14:textFill>
            <w14:solidFill>
              <w14:schemeClr w14:val="tx1"/>
            </w14:solidFill>
          </w14:textFill>
        </w:rPr>
      </w:pPr>
      <w:r>
        <w:rPr>
          <w:rFonts w:hint="eastAsia" w:hAnsi="宋体" w:eastAsia="宋体"/>
          <w:bCs/>
          <w:color w:val="000000" w:themeColor="text1"/>
          <w:sz w:val="21"/>
          <w:szCs w:val="21"/>
          <w:highlight w:val="none"/>
          <w:lang w:val="zh-CN" w:eastAsia="zh-CN"/>
          <w14:textFill>
            <w14:solidFill>
              <w14:schemeClr w14:val="tx1"/>
            </w14:solidFill>
          </w14:textFill>
        </w:rPr>
        <w:t xml:space="preserve">6.1 </w:t>
      </w:r>
      <w:r>
        <w:rPr>
          <w:rFonts w:hint="eastAsia" w:hAnsi="宋体" w:eastAsia="宋体"/>
          <w:bCs/>
          <w:color w:val="000000" w:themeColor="text1"/>
          <w:sz w:val="21"/>
          <w:szCs w:val="21"/>
          <w:highlight w:val="none"/>
          <w:lang w:val="zh-CN"/>
          <w14:textFill>
            <w14:solidFill>
              <w14:schemeClr w14:val="tx1"/>
            </w14:solidFill>
          </w14:textFill>
        </w:rPr>
        <w:t>开标时间：同投标截止时间；</w:t>
      </w:r>
    </w:p>
    <w:p w14:paraId="1F530129">
      <w:pPr>
        <w:pStyle w:val="165"/>
        <w:spacing w:line="360" w:lineRule="auto"/>
        <w:ind w:left="420" w:hanging="420" w:hangingChars="200"/>
        <w:rPr>
          <w:rFonts w:hint="eastAsia" w:hAnsi="宋体" w:eastAsia="宋体"/>
          <w:bCs/>
          <w:color w:val="000000" w:themeColor="text1"/>
          <w:sz w:val="21"/>
          <w:szCs w:val="21"/>
          <w:highlight w:val="none"/>
          <w:lang w:val="zh-CN"/>
          <w14:textFill>
            <w14:solidFill>
              <w14:schemeClr w14:val="tx1"/>
            </w14:solidFill>
          </w14:textFill>
        </w:rPr>
      </w:pPr>
      <w:r>
        <w:rPr>
          <w:rFonts w:hint="eastAsia" w:hAnsi="宋体" w:eastAsia="宋体"/>
          <w:bCs/>
          <w:color w:val="000000" w:themeColor="text1"/>
          <w:sz w:val="21"/>
          <w:szCs w:val="21"/>
          <w:highlight w:val="none"/>
          <w:lang w:val="zh-CN" w:eastAsia="zh-CN"/>
          <w14:textFill>
            <w14:solidFill>
              <w14:schemeClr w14:val="tx1"/>
            </w14:solidFill>
          </w14:textFill>
        </w:rPr>
        <w:t xml:space="preserve">6.2 </w:t>
      </w:r>
      <w:r>
        <w:rPr>
          <w:rFonts w:hint="eastAsia" w:hAnsi="宋体" w:eastAsia="宋体"/>
          <w:bCs/>
          <w:color w:val="000000" w:themeColor="text1"/>
          <w:sz w:val="21"/>
          <w:szCs w:val="21"/>
          <w:highlight w:val="none"/>
          <w:lang w:val="zh-CN"/>
          <w14:textFill>
            <w14:solidFill>
              <w14:schemeClr w14:val="tx1"/>
            </w14:solidFill>
          </w14:textFill>
        </w:rPr>
        <w:t>开标地点：东莞市南城</w:t>
      </w:r>
      <w:r>
        <w:rPr>
          <w:rFonts w:hint="eastAsia" w:hAnsi="宋体" w:eastAsia="宋体"/>
          <w:bCs/>
          <w:color w:val="000000" w:themeColor="text1"/>
          <w:sz w:val="21"/>
          <w:szCs w:val="21"/>
          <w:highlight w:val="none"/>
          <w:lang w:val="en-US" w:eastAsia="zh-CN"/>
          <w14:textFill>
            <w14:solidFill>
              <w14:schemeClr w14:val="tx1"/>
            </w14:solidFill>
          </w14:textFill>
        </w:rPr>
        <w:t>街道</w:t>
      </w:r>
      <w:r>
        <w:rPr>
          <w:rFonts w:hint="eastAsia" w:hAnsi="宋体" w:eastAsia="宋体"/>
          <w:bCs/>
          <w:color w:val="000000" w:themeColor="text1"/>
          <w:sz w:val="21"/>
          <w:szCs w:val="21"/>
          <w:highlight w:val="none"/>
          <w:lang w:val="zh-CN"/>
          <w14:textFill>
            <w14:solidFill>
              <w14:schemeClr w14:val="tx1"/>
            </w14:solidFill>
          </w14:textFill>
        </w:rPr>
        <w:t>西平社区宏伟三路45号东莞市公共资源交易中心开标室（</w:t>
      </w:r>
      <w:r>
        <w:rPr>
          <w:rFonts w:hint="eastAsia" w:hAnsi="宋体" w:eastAsia="宋体"/>
          <w:bCs/>
          <w:color w:val="000000" w:themeColor="text1"/>
          <w:sz w:val="21"/>
          <w:szCs w:val="21"/>
          <w:highlight w:val="none"/>
          <w:lang w:val="en-US" w:eastAsia="zh-CN"/>
          <w14:textFill>
            <w14:solidFill>
              <w14:schemeClr w14:val="tx1"/>
            </w14:solidFill>
          </w14:textFill>
        </w:rPr>
        <w:t xml:space="preserve"> 6</w:t>
      </w:r>
      <w:bookmarkStart w:id="1196" w:name="_GoBack"/>
      <w:bookmarkEnd w:id="1196"/>
      <w:r>
        <w:rPr>
          <w:rFonts w:hint="eastAsia" w:hAnsi="宋体" w:eastAsia="宋体"/>
          <w:bCs/>
          <w:color w:val="000000" w:themeColor="text1"/>
          <w:sz w:val="21"/>
          <w:szCs w:val="21"/>
          <w:highlight w:val="none"/>
          <w:lang w:val="en-US" w:eastAsia="zh-CN"/>
          <w14:textFill>
            <w14:solidFill>
              <w14:schemeClr w14:val="tx1"/>
            </w14:solidFill>
          </w14:textFill>
        </w:rPr>
        <w:t xml:space="preserve"> </w:t>
      </w:r>
      <w:r>
        <w:rPr>
          <w:rFonts w:hint="eastAsia" w:hAnsi="宋体" w:eastAsia="宋体"/>
          <w:bCs/>
          <w:color w:val="000000" w:themeColor="text1"/>
          <w:sz w:val="21"/>
          <w:szCs w:val="21"/>
          <w:highlight w:val="none"/>
          <w:lang w:val="zh-CN"/>
          <w14:textFill>
            <w14:solidFill>
              <w14:schemeClr w14:val="tx1"/>
            </w14:solidFill>
          </w14:textFill>
        </w:rPr>
        <w:t>）。</w:t>
      </w:r>
    </w:p>
    <w:p w14:paraId="0E66931B">
      <w:pPr>
        <w:pStyle w:val="165"/>
        <w:spacing w:line="360" w:lineRule="auto"/>
        <w:ind w:left="420" w:hanging="420" w:hangingChars="200"/>
        <w:rPr>
          <w:rFonts w:hAnsi="宋体" w:eastAsia="宋体"/>
          <w:bCs/>
          <w:color w:val="000000" w:themeColor="text1"/>
          <w:sz w:val="21"/>
          <w:szCs w:val="21"/>
          <w:highlight w:val="none"/>
          <w:lang w:val="zh-CN"/>
          <w14:textFill>
            <w14:solidFill>
              <w14:schemeClr w14:val="tx1"/>
            </w14:solidFill>
          </w14:textFill>
        </w:rPr>
      </w:pPr>
      <w:r>
        <w:rPr>
          <w:rFonts w:hint="eastAsia" w:hAnsi="宋体" w:eastAsia="宋体"/>
          <w:bCs/>
          <w:color w:val="000000" w:themeColor="text1"/>
          <w:sz w:val="21"/>
          <w:szCs w:val="21"/>
          <w:highlight w:val="none"/>
          <w:lang w:val="en-US" w:eastAsia="zh-CN"/>
          <w14:textFill>
            <w14:solidFill>
              <w14:schemeClr w14:val="tx1"/>
            </w14:solidFill>
          </w14:textFill>
        </w:rPr>
        <w:t xml:space="preserve">6.3 </w:t>
      </w:r>
      <w:r>
        <w:rPr>
          <w:rFonts w:hint="eastAsia" w:hAnsi="宋体" w:eastAsia="宋体"/>
          <w:bCs/>
          <w:color w:val="000000" w:themeColor="text1"/>
          <w:sz w:val="21"/>
          <w:szCs w:val="21"/>
          <w:highlight w:val="none"/>
          <w:lang w:val="zh-CN"/>
          <w14:textFill>
            <w14:solidFill>
              <w14:schemeClr w14:val="tx1"/>
            </w14:solidFill>
          </w14:textFill>
        </w:rPr>
        <w:t>对投标人提示如下：开标视频网上直播，建议投标人可通过投标人企业数字证书登录到东莞市公共资源交易中心的E网通管理平台后，可通过“建设工程”栏目，点击“开标直播”、“标室列表”，查看标室直播画面。</w:t>
      </w:r>
    </w:p>
    <w:p w14:paraId="4BDE04C3">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14:paraId="7F8B0E70">
      <w:pPr>
        <w:numPr>
          <w:ilvl w:val="0"/>
          <w:numId w:val="1"/>
        </w:numPr>
        <w:wordWrap w:val="0"/>
        <w:autoSpaceDE w:val="0"/>
        <w:autoSpaceDN w:val="0"/>
        <w:adjustRightInd w:val="0"/>
        <w:snapToGrid w:val="0"/>
        <w:spacing w:line="360" w:lineRule="auto"/>
        <w:ind w:left="363" w:right="-34" w:hanging="363"/>
        <w:jc w:val="left"/>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本项目相关公告在以下媒介发布：全国公共资源交易平台（广东省·东莞市）（https://ygp.gdzwfw.gov.cn/#/441900/index）、中国招标投标公共服务平台（www.cebpubservice.com）、东莞市水务集团有限公司网</w:t>
      </w:r>
      <w:r>
        <w:rPr>
          <w:rFonts w:hint="eastAsia" w:ascii="宋体" w:hAnsi="宋体" w:eastAsia="宋体" w:cs="Times New Roman"/>
          <w:bCs/>
          <w:color w:val="000000" w:themeColor="text1"/>
          <w:szCs w:val="21"/>
          <w:highlight w:val="none"/>
          <w:lang w:val="en-US" w:eastAsia="zh-CN"/>
          <w14:textFill>
            <w14:solidFill>
              <w14:schemeClr w14:val="tx1"/>
            </w14:solidFill>
          </w14:textFill>
        </w:rPr>
        <w:t>站</w:t>
      </w:r>
      <w:r>
        <w:rPr>
          <w:rFonts w:hint="eastAsia" w:ascii="宋体" w:hAnsi="宋体" w:eastAsia="宋体" w:cs="Times New Roman"/>
          <w:bCs/>
          <w:color w:val="000000" w:themeColor="text1"/>
          <w:szCs w:val="21"/>
          <w:highlight w:val="none"/>
          <w14:textFill>
            <w14:solidFill>
              <w14:schemeClr w14:val="tx1"/>
            </w14:solidFill>
          </w14:textFill>
        </w:rPr>
        <w:t>（www.dgswjt.cn）、招标代理机构网站（</w:t>
      </w:r>
      <w:r>
        <w:rPr>
          <w:rFonts w:hint="eastAsia" w:ascii="宋体" w:hAnsi="宋体" w:eastAsia="宋体" w:cs="Times New Roman"/>
          <w:bCs/>
          <w:color w:val="000000" w:themeColor="text1"/>
          <w:szCs w:val="21"/>
          <w:highlight w:val="none"/>
          <w:u w:val="none"/>
          <w:lang w:eastAsia="zh-CN"/>
          <w14:textFill>
            <w14:solidFill>
              <w14:schemeClr w14:val="tx1"/>
            </w14:solidFill>
          </w14:textFill>
        </w:rPr>
        <w:t>www.gzjc.com.cn</w:t>
      </w:r>
      <w:r>
        <w:rPr>
          <w:rFonts w:ascii="宋体" w:hAnsi="宋体" w:eastAsia="宋体" w:cs="Times New Roman"/>
          <w:bCs/>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p>
    <w:p w14:paraId="67AF4C2A">
      <w:pPr>
        <w:autoSpaceDE w:val="0"/>
        <w:autoSpaceDN w:val="0"/>
        <w:adjustRightInd w:val="0"/>
        <w:snapToGrid w:val="0"/>
        <w:spacing w:line="360" w:lineRule="auto"/>
        <w:ind w:right="-34"/>
        <w:jc w:val="left"/>
        <w:rPr>
          <w:rFonts w:ascii="宋体" w:hAnsi="宋体" w:eastAsia="宋体" w:cs="Times New Roman"/>
          <w:bCs/>
          <w:color w:val="000000" w:themeColor="text1"/>
          <w:szCs w:val="21"/>
          <w:highlight w:val="none"/>
          <w14:textFill>
            <w14:solidFill>
              <w14:schemeClr w14:val="tx1"/>
            </w14:solidFill>
          </w14:textFill>
        </w:rPr>
      </w:pPr>
    </w:p>
    <w:p w14:paraId="08537CAB">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投标保证金</w:t>
      </w:r>
    </w:p>
    <w:p w14:paraId="5EF37056">
      <w:pPr>
        <w:pStyle w:val="165"/>
        <w:spacing w:line="360" w:lineRule="auto"/>
        <w:ind w:left="420" w:hanging="420" w:hangingChars="200"/>
        <w:rPr>
          <w:rFonts w:hint="eastAsia" w:ascii="宋体" w:hAnsi="宋体" w:eastAsia="宋体"/>
          <w:bCs/>
          <w:color w:val="000000" w:themeColor="text1"/>
          <w:sz w:val="21"/>
          <w:szCs w:val="21"/>
          <w:highlight w:val="none"/>
          <w:lang w:val="zh-CN"/>
          <w14:textFill>
            <w14:solidFill>
              <w14:schemeClr w14:val="tx1"/>
            </w14:solidFill>
          </w14:textFill>
        </w:rPr>
      </w:pPr>
      <w:r>
        <w:rPr>
          <w:rFonts w:hint="eastAsia" w:ascii="宋体" w:hAnsi="宋体" w:eastAsia="宋体"/>
          <w:bCs/>
          <w:color w:val="000000" w:themeColor="text1"/>
          <w:sz w:val="21"/>
          <w:szCs w:val="21"/>
          <w:highlight w:val="none"/>
          <w:lang w:val="en-US" w:eastAsia="zh-CN"/>
          <w14:textFill>
            <w14:solidFill>
              <w14:schemeClr w14:val="tx1"/>
            </w14:solidFill>
          </w14:textFill>
        </w:rPr>
        <w:t>8</w:t>
      </w:r>
      <w:r>
        <w:rPr>
          <w:rFonts w:hint="eastAsia" w:ascii="宋体" w:hAnsi="宋体" w:eastAsia="宋体"/>
          <w:bCs/>
          <w:color w:val="000000" w:themeColor="text1"/>
          <w:sz w:val="21"/>
          <w:szCs w:val="21"/>
          <w:highlight w:val="none"/>
          <w:lang w:val="zh-CN"/>
          <w14:textFill>
            <w14:solidFill>
              <w14:schemeClr w14:val="tx1"/>
            </w14:solidFill>
          </w14:textFill>
        </w:rPr>
        <w:t>.1 本次招标投标人须提交投标保证金金额：</w:t>
      </w:r>
      <w:r>
        <w:rPr>
          <w:rFonts w:hint="eastAsia" w:hAnsi="宋体" w:eastAsia="宋体"/>
          <w:bCs/>
          <w:color w:val="000000" w:themeColor="text1"/>
          <w:sz w:val="21"/>
          <w:szCs w:val="21"/>
          <w:highlight w:val="none"/>
          <w:lang w:val="zh-CN"/>
          <w14:textFill>
            <w14:solidFill>
              <w14:schemeClr w14:val="tx1"/>
            </w14:solidFill>
          </w14:textFill>
        </w:rPr>
        <w:t>2</w:t>
      </w:r>
      <w:r>
        <w:rPr>
          <w:rFonts w:hint="eastAsia" w:hAnsi="宋体" w:eastAsia="宋体"/>
          <w:bCs/>
          <w:color w:val="000000" w:themeColor="text1"/>
          <w:sz w:val="21"/>
          <w:szCs w:val="21"/>
          <w:highlight w:val="none"/>
          <w:lang w:val="en-US" w:eastAsia="zh-CN"/>
          <w14:textFill>
            <w14:solidFill>
              <w14:schemeClr w14:val="tx1"/>
            </w14:solidFill>
          </w14:textFill>
        </w:rPr>
        <w:t>0</w:t>
      </w:r>
      <w:r>
        <w:rPr>
          <w:rFonts w:hint="eastAsia" w:hAnsi="宋体" w:eastAsia="宋体"/>
          <w:bCs/>
          <w:color w:val="000000" w:themeColor="text1"/>
          <w:sz w:val="21"/>
          <w:szCs w:val="21"/>
          <w:highlight w:val="none"/>
          <w:lang w:val="zh-CN"/>
          <w14:textFill>
            <w14:solidFill>
              <w14:schemeClr w14:val="tx1"/>
            </w14:solidFill>
          </w14:textFill>
        </w:rPr>
        <w:t>0</w:t>
      </w:r>
      <w:r>
        <w:rPr>
          <w:rFonts w:hint="eastAsia" w:hAnsi="宋体" w:eastAsia="宋体"/>
          <w:bCs/>
          <w:color w:val="000000" w:themeColor="text1"/>
          <w:sz w:val="21"/>
          <w:szCs w:val="21"/>
          <w:highlight w:val="none"/>
          <w:lang w:val="en-US" w:eastAsia="zh-CN"/>
          <w14:textFill>
            <w14:solidFill>
              <w14:schemeClr w14:val="tx1"/>
            </w14:solidFill>
          </w14:textFill>
        </w:rPr>
        <w:t>,</w:t>
      </w:r>
      <w:r>
        <w:rPr>
          <w:rFonts w:hint="eastAsia" w:hAnsi="宋体" w:eastAsia="宋体"/>
          <w:bCs/>
          <w:color w:val="000000" w:themeColor="text1"/>
          <w:sz w:val="21"/>
          <w:szCs w:val="21"/>
          <w:highlight w:val="none"/>
          <w:lang w:val="zh-CN"/>
          <w14:textFill>
            <w14:solidFill>
              <w14:schemeClr w14:val="tx1"/>
            </w14:solidFill>
          </w14:textFill>
        </w:rPr>
        <w:t>000</w:t>
      </w:r>
      <w:r>
        <w:rPr>
          <w:rFonts w:hint="eastAsia" w:hAnsi="宋体" w:eastAsia="宋体"/>
          <w:bCs/>
          <w:color w:val="000000" w:themeColor="text1"/>
          <w:sz w:val="21"/>
          <w:szCs w:val="21"/>
          <w:highlight w:val="none"/>
          <w:lang w:val="en-US" w:eastAsia="zh-CN"/>
          <w14:textFill>
            <w14:solidFill>
              <w14:schemeClr w14:val="tx1"/>
            </w14:solidFill>
          </w14:textFill>
        </w:rPr>
        <w:t>.00</w:t>
      </w:r>
      <w:r>
        <w:rPr>
          <w:rFonts w:hint="eastAsia" w:ascii="宋体" w:hAnsi="宋体" w:eastAsia="宋体"/>
          <w:bCs/>
          <w:color w:val="000000" w:themeColor="text1"/>
          <w:sz w:val="21"/>
          <w:szCs w:val="21"/>
          <w:highlight w:val="none"/>
          <w:lang w:val="zh-CN"/>
          <w14:textFill>
            <w14:solidFill>
              <w14:schemeClr w14:val="tx1"/>
            </w14:solidFill>
          </w14:textFill>
        </w:rPr>
        <w:t>元。</w:t>
      </w:r>
    </w:p>
    <w:p w14:paraId="23A15F1D">
      <w:pPr>
        <w:pStyle w:val="165"/>
        <w:spacing w:line="360" w:lineRule="auto"/>
        <w:ind w:left="420" w:hanging="420" w:hangingChars="200"/>
        <w:rPr>
          <w:rFonts w:hint="eastAsia" w:ascii="宋体" w:hAnsi="宋体" w:eastAsia="宋体"/>
          <w:bCs/>
          <w:color w:val="000000" w:themeColor="text1"/>
          <w:sz w:val="21"/>
          <w:szCs w:val="21"/>
          <w:highlight w:val="none"/>
          <w:lang w:val="zh-CN"/>
          <w14:textFill>
            <w14:solidFill>
              <w14:schemeClr w14:val="tx1"/>
            </w14:solidFill>
          </w14:textFill>
        </w:rPr>
      </w:pPr>
      <w:r>
        <w:rPr>
          <w:rFonts w:hint="eastAsia" w:ascii="宋体" w:hAnsi="宋体" w:eastAsia="宋体"/>
          <w:bCs/>
          <w:color w:val="000000" w:themeColor="text1"/>
          <w:sz w:val="21"/>
          <w:szCs w:val="21"/>
          <w:highlight w:val="none"/>
          <w:lang w:val="en-US" w:eastAsia="zh-CN"/>
          <w14:textFill>
            <w14:solidFill>
              <w14:schemeClr w14:val="tx1"/>
            </w14:solidFill>
          </w14:textFill>
        </w:rPr>
        <w:t>8</w:t>
      </w:r>
      <w:r>
        <w:rPr>
          <w:rFonts w:hint="eastAsia" w:ascii="宋体" w:hAnsi="宋体" w:eastAsia="宋体"/>
          <w:bCs/>
          <w:color w:val="000000" w:themeColor="text1"/>
          <w:sz w:val="21"/>
          <w:szCs w:val="21"/>
          <w:highlight w:val="none"/>
          <w:lang w:val="zh-CN"/>
          <w14:textFill>
            <w14:solidFill>
              <w14:schemeClr w14:val="tx1"/>
            </w14:solidFill>
          </w14:textFill>
        </w:rPr>
        <w:t>.</w:t>
      </w:r>
      <w:r>
        <w:rPr>
          <w:rFonts w:hint="eastAsia" w:hAnsi="宋体" w:eastAsia="宋体"/>
          <w:bCs/>
          <w:color w:val="000000" w:themeColor="text1"/>
          <w:sz w:val="21"/>
          <w:szCs w:val="21"/>
          <w:highlight w:val="none"/>
          <w:lang w:val="en-US" w:eastAsia="zh-CN"/>
          <w14:textFill>
            <w14:solidFill>
              <w14:schemeClr w14:val="tx1"/>
            </w14:solidFill>
          </w14:textFill>
        </w:rPr>
        <w:t xml:space="preserve">2 </w:t>
      </w:r>
      <w:r>
        <w:rPr>
          <w:rFonts w:hint="eastAsia" w:ascii="宋体" w:hAnsi="宋体" w:eastAsia="宋体"/>
          <w:bCs/>
          <w:color w:val="000000" w:themeColor="text1"/>
          <w:sz w:val="21"/>
          <w:szCs w:val="21"/>
          <w:highlight w:val="none"/>
          <w:lang w:val="zh-CN"/>
          <w14:textFill>
            <w14:solidFill>
              <w14:schemeClr w14:val="tx1"/>
            </w14:solidFill>
          </w14:textFill>
        </w:rPr>
        <w:t>投标保证金形式：单项投标保证金；银行电子保函；保险电子保单；</w:t>
      </w:r>
    </w:p>
    <w:p w14:paraId="795F92E9">
      <w:pPr>
        <w:pStyle w:val="165"/>
        <w:spacing w:line="360" w:lineRule="auto"/>
        <w:ind w:left="420" w:hanging="420" w:hangingChars="200"/>
        <w:rPr>
          <w:rFonts w:hint="eastAsia" w:ascii="宋体" w:hAnsi="宋体" w:eastAsia="宋体"/>
          <w:bCs/>
          <w:color w:val="000000" w:themeColor="text1"/>
          <w:sz w:val="21"/>
          <w:szCs w:val="21"/>
          <w:highlight w:val="none"/>
          <w:lang w:val="zh-CN"/>
          <w14:textFill>
            <w14:solidFill>
              <w14:schemeClr w14:val="tx1"/>
            </w14:solidFill>
          </w14:textFill>
        </w:rPr>
      </w:pPr>
      <w:r>
        <w:rPr>
          <w:rFonts w:hint="eastAsia" w:ascii="宋体" w:hAnsi="宋体" w:eastAsia="宋体"/>
          <w:bCs/>
          <w:color w:val="000000" w:themeColor="text1"/>
          <w:sz w:val="21"/>
          <w:szCs w:val="21"/>
          <w:highlight w:val="none"/>
          <w:lang w:val="zh-CN"/>
          <w14:textFill>
            <w14:solidFill>
              <w14:schemeClr w14:val="tx1"/>
            </w14:solidFill>
          </w14:textFill>
        </w:rPr>
        <w:t>其它：      /       。</w:t>
      </w:r>
    </w:p>
    <w:p w14:paraId="725AF825">
      <w:pPr>
        <w:pStyle w:val="165"/>
        <w:spacing w:line="360" w:lineRule="auto"/>
        <w:ind w:left="420" w:hanging="420" w:hangingChars="200"/>
        <w:rPr>
          <w:rFonts w:hint="eastAsia" w:ascii="宋体" w:hAnsi="宋体" w:eastAsia="宋体"/>
          <w:bCs/>
          <w:color w:val="000000" w:themeColor="text1"/>
          <w:sz w:val="21"/>
          <w:szCs w:val="21"/>
          <w:highlight w:val="none"/>
          <w:lang w:val="zh-CN"/>
          <w14:textFill>
            <w14:solidFill>
              <w14:schemeClr w14:val="tx1"/>
            </w14:solidFill>
          </w14:textFill>
        </w:rPr>
      </w:pPr>
      <w:r>
        <w:rPr>
          <w:rFonts w:hint="eastAsia" w:ascii="宋体" w:hAnsi="宋体" w:eastAsia="宋体"/>
          <w:bCs/>
          <w:color w:val="000000" w:themeColor="text1"/>
          <w:sz w:val="21"/>
          <w:szCs w:val="21"/>
          <w:highlight w:val="none"/>
          <w:lang w:val="en-US" w:eastAsia="zh-CN"/>
          <w14:textFill>
            <w14:solidFill>
              <w14:schemeClr w14:val="tx1"/>
            </w14:solidFill>
          </w14:textFill>
        </w:rPr>
        <w:t>8</w:t>
      </w:r>
      <w:r>
        <w:rPr>
          <w:rFonts w:hint="eastAsia" w:ascii="宋体" w:hAnsi="宋体" w:eastAsia="宋体"/>
          <w:bCs/>
          <w:color w:val="000000" w:themeColor="text1"/>
          <w:sz w:val="21"/>
          <w:szCs w:val="21"/>
          <w:highlight w:val="none"/>
          <w:lang w:val="zh-CN"/>
          <w14:textFill>
            <w14:solidFill>
              <w14:schemeClr w14:val="tx1"/>
            </w14:solidFill>
          </w14:textFill>
        </w:rPr>
        <w:t>.</w:t>
      </w:r>
      <w:r>
        <w:rPr>
          <w:rFonts w:hint="eastAsia" w:hAnsi="宋体" w:eastAsia="宋体"/>
          <w:bCs/>
          <w:color w:val="000000" w:themeColor="text1"/>
          <w:sz w:val="21"/>
          <w:szCs w:val="21"/>
          <w:highlight w:val="none"/>
          <w:lang w:val="en-US" w:eastAsia="zh-CN"/>
          <w14:textFill>
            <w14:solidFill>
              <w14:schemeClr w14:val="tx1"/>
            </w14:solidFill>
          </w14:textFill>
        </w:rPr>
        <w:t xml:space="preserve">3 </w:t>
      </w:r>
      <w:r>
        <w:rPr>
          <w:rFonts w:hint="eastAsia" w:ascii="宋体" w:hAnsi="宋体" w:eastAsia="宋体"/>
          <w:bCs/>
          <w:color w:val="000000" w:themeColor="text1"/>
          <w:sz w:val="21"/>
          <w:szCs w:val="21"/>
          <w:highlight w:val="none"/>
          <w:lang w:val="zh-CN"/>
          <w14:textFill>
            <w14:solidFill>
              <w14:schemeClr w14:val="tx1"/>
            </w14:solidFill>
          </w14:textFill>
        </w:rPr>
        <w:t>投标保证金形式注意事项：</w:t>
      </w:r>
    </w:p>
    <w:p w14:paraId="4667A9B5">
      <w:pPr>
        <w:pStyle w:val="165"/>
        <w:spacing w:line="360" w:lineRule="auto"/>
        <w:ind w:left="420" w:hanging="420" w:hangingChars="200"/>
        <w:rPr>
          <w:rFonts w:hint="eastAsia" w:ascii="宋体" w:hAnsi="宋体" w:eastAsia="宋体"/>
          <w:bCs/>
          <w:color w:val="000000" w:themeColor="text1"/>
          <w:sz w:val="21"/>
          <w:szCs w:val="21"/>
          <w:highlight w:val="none"/>
          <w:lang w:val="zh-CN"/>
          <w14:textFill>
            <w14:solidFill>
              <w14:schemeClr w14:val="tx1"/>
            </w14:solidFill>
          </w14:textFill>
        </w:rPr>
      </w:pPr>
      <w:r>
        <w:rPr>
          <w:rFonts w:hint="eastAsia" w:ascii="宋体" w:hAnsi="宋体" w:eastAsia="宋体"/>
          <w:bCs/>
          <w:color w:val="000000" w:themeColor="text1"/>
          <w:sz w:val="21"/>
          <w:szCs w:val="21"/>
          <w:highlight w:val="none"/>
          <w:lang w:val="zh-CN"/>
          <w14:textFill>
            <w14:solidFill>
              <w14:schemeClr w14:val="tx1"/>
            </w14:solidFill>
          </w14:textFill>
        </w:rPr>
        <w:t>（1）投标保证金到账时间应为投标保证金的关联时间。</w:t>
      </w:r>
    </w:p>
    <w:p w14:paraId="532877F2">
      <w:pPr>
        <w:pStyle w:val="165"/>
        <w:spacing w:line="360" w:lineRule="auto"/>
        <w:ind w:left="420" w:hanging="420" w:hangingChars="200"/>
        <w:rPr>
          <w:rFonts w:hint="eastAsia" w:ascii="宋体" w:hAnsi="宋体" w:eastAsia="宋体"/>
          <w:bCs/>
          <w:color w:val="000000" w:themeColor="text1"/>
          <w:sz w:val="21"/>
          <w:szCs w:val="21"/>
          <w:highlight w:val="none"/>
          <w:lang w:val="zh-CN"/>
          <w14:textFill>
            <w14:solidFill>
              <w14:schemeClr w14:val="tx1"/>
            </w14:solidFill>
          </w14:textFill>
        </w:rPr>
      </w:pPr>
      <w:r>
        <w:rPr>
          <w:rFonts w:hint="eastAsia" w:ascii="宋体" w:hAnsi="宋体" w:eastAsia="宋体"/>
          <w:bCs/>
          <w:color w:val="000000" w:themeColor="text1"/>
          <w:sz w:val="21"/>
          <w:szCs w:val="21"/>
          <w:highlight w:val="none"/>
          <w:lang w:val="zh-CN"/>
          <w14:textFill>
            <w14:solidFill>
              <w14:schemeClr w14:val="tx1"/>
            </w14:solidFill>
          </w14:textFill>
        </w:rPr>
        <w:t>（2）投标保证金数据超过投标截止时间后到达交易系统的，无法关联。</w:t>
      </w:r>
    </w:p>
    <w:p w14:paraId="56057659">
      <w:pPr>
        <w:pStyle w:val="165"/>
        <w:spacing w:line="360" w:lineRule="auto"/>
        <w:ind w:left="420" w:hanging="420" w:hangingChars="200"/>
        <w:rPr>
          <w:rFonts w:hint="eastAsia" w:ascii="宋体" w:hAnsi="宋体" w:eastAsia="宋体"/>
          <w:bCs/>
          <w:color w:val="000000" w:themeColor="text1"/>
          <w:sz w:val="21"/>
          <w:szCs w:val="21"/>
          <w:highlight w:val="none"/>
          <w:lang w:val="zh-CN"/>
          <w14:textFill>
            <w14:solidFill>
              <w14:schemeClr w14:val="tx1"/>
            </w14:solidFill>
          </w14:textFill>
        </w:rPr>
      </w:pPr>
      <w:r>
        <w:rPr>
          <w:rFonts w:hint="eastAsia" w:ascii="宋体" w:hAnsi="宋体" w:eastAsia="宋体"/>
          <w:bCs/>
          <w:color w:val="000000" w:themeColor="text1"/>
          <w:sz w:val="21"/>
          <w:szCs w:val="21"/>
          <w:highlight w:val="none"/>
          <w:lang w:val="zh-CN"/>
          <w14:textFill>
            <w14:solidFill>
              <w14:schemeClr w14:val="tx1"/>
            </w14:solidFill>
          </w14:textFill>
        </w:rPr>
        <w:t>（3）投标人应提前办理投标保证金手续，自行承担数据延误风险。</w:t>
      </w:r>
    </w:p>
    <w:p w14:paraId="0956C5A5">
      <w:pPr>
        <w:autoSpaceDE w:val="0"/>
        <w:autoSpaceDN w:val="0"/>
        <w:adjustRightInd w:val="0"/>
        <w:snapToGrid w:val="0"/>
        <w:spacing w:line="360" w:lineRule="auto"/>
        <w:ind w:right="-34"/>
        <w:jc w:val="left"/>
        <w:rPr>
          <w:rFonts w:ascii="宋体" w:hAnsi="宋体" w:eastAsia="宋体" w:cs="Times New Roman"/>
          <w:bCs/>
          <w:color w:val="000000" w:themeColor="text1"/>
          <w:szCs w:val="21"/>
          <w:highlight w:val="none"/>
          <w14:textFill>
            <w14:solidFill>
              <w14:schemeClr w14:val="tx1"/>
            </w14:solidFill>
          </w14:textFill>
        </w:rPr>
      </w:pPr>
    </w:p>
    <w:p w14:paraId="70A8A128">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lang w:val="zh-CN"/>
          <w14:textFill>
            <w14:solidFill>
              <w14:schemeClr w14:val="tx1"/>
            </w14:solidFill>
          </w14:textFill>
        </w:rPr>
        <w:t>招标人联系方式</w:t>
      </w:r>
    </w:p>
    <w:p w14:paraId="7ED9F4E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东莞市水务集团供水有限公司</w:t>
      </w:r>
    </w:p>
    <w:p w14:paraId="4DF5C3A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Times New Roman"/>
          <w:color w:val="000000" w:themeColor="text1"/>
          <w:kern w:val="0"/>
          <w:szCs w:val="21"/>
          <w:highlight w:val="none"/>
          <w14:textFill>
            <w14:solidFill>
              <w14:schemeClr w14:val="tx1"/>
            </w14:solidFill>
          </w14:textFill>
        </w:rPr>
        <w:t>东莞市莞城街道莞龙路141号</w:t>
      </w:r>
    </w:p>
    <w:p w14:paraId="296DAB0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：陈先生</w:t>
      </w:r>
    </w:p>
    <w:p w14:paraId="6644DC4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电  话：</w:t>
      </w:r>
      <w:r>
        <w:rPr>
          <w:rFonts w:hint="eastAsia" w:ascii="宋体" w:hAnsi="宋体" w:eastAsia="宋体" w:cs="Times New Roman"/>
          <w:color w:val="000000" w:themeColor="text1"/>
          <w:kern w:val="0"/>
          <w:szCs w:val="21"/>
          <w:highlight w:val="none"/>
          <w14:textFill>
            <w14:solidFill>
              <w14:schemeClr w14:val="tx1"/>
            </w14:solidFill>
          </w14:textFill>
        </w:rPr>
        <w:t>0769-22628713</w:t>
      </w:r>
    </w:p>
    <w:p w14:paraId="4FC584A4">
      <w:pPr>
        <w:autoSpaceDE w:val="0"/>
        <w:autoSpaceDN w:val="0"/>
        <w:adjustRightInd w:val="0"/>
        <w:spacing w:line="360" w:lineRule="auto"/>
        <w:ind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14:paraId="54AFD455">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招标代理机构</w:t>
      </w:r>
      <w:r>
        <w:rPr>
          <w:rFonts w:hint="eastAsia" w:ascii="宋体" w:hAnsi="宋体" w:eastAsia="宋体" w:cs="Times New Roman"/>
          <w:color w:val="000000" w:themeColor="text1"/>
          <w:szCs w:val="21"/>
          <w:highlight w:val="none"/>
          <w14:textFill>
            <w14:solidFill>
              <w14:schemeClr w14:val="tx1"/>
            </w14:solidFill>
          </w14:textFill>
        </w:rPr>
        <w:t>及异议受理</w:t>
      </w:r>
      <w:r>
        <w:rPr>
          <w:rFonts w:ascii="宋体" w:hAnsi="宋体" w:eastAsia="宋体" w:cs="Times New Roman"/>
          <w:color w:val="000000" w:themeColor="text1"/>
          <w:szCs w:val="21"/>
          <w:highlight w:val="none"/>
          <w14:textFill>
            <w14:solidFill>
              <w14:schemeClr w14:val="tx1"/>
            </w14:solidFill>
          </w14:textFill>
        </w:rPr>
        <w:t>联系方式</w:t>
      </w:r>
    </w:p>
    <w:p w14:paraId="41412A4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bookmarkStart w:id="12" w:name="_Toc31764_WPSOffice_Level1"/>
      <w:bookmarkStart w:id="13" w:name="_Toc486167661"/>
      <w:bookmarkStart w:id="14" w:name="_Toc450662847"/>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p>
    <w:p w14:paraId="2440553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kern w:val="0"/>
          <w:szCs w:val="21"/>
          <w:highlight w:val="none"/>
          <w:lang w:eastAsia="zh-CN"/>
          <w14:textFill>
            <w14:solidFill>
              <w14:schemeClr w14:val="tx1"/>
            </w14:solidFill>
          </w14:textFill>
        </w:rPr>
        <w:t>广东省东莞市南城街道西平宏伟三路39号联景商业大厦16层</w:t>
      </w:r>
    </w:p>
    <w:p w14:paraId="4991F5E8">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000000" w:themeColor="text1"/>
          <w:kern w:val="0"/>
          <w:szCs w:val="21"/>
          <w:highlight w:val="none"/>
          <w:lang w:val="en-US"/>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叶沛琳</w:t>
      </w:r>
    </w:p>
    <w:p w14:paraId="07B6CA2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0769-22801999</w:t>
      </w:r>
    </w:p>
    <w:p w14:paraId="2D857544">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15" w:name="_Toc195714215"/>
      <w:bookmarkStart w:id="16" w:name="_Toc21384"/>
      <w:bookmarkStart w:id="17" w:name="_Toc142508311"/>
      <w:bookmarkStart w:id="18" w:name="_Toc24865"/>
      <w:bookmarkStart w:id="19" w:name="_Toc18212"/>
      <w:bookmarkStart w:id="20" w:name="_Toc31849"/>
      <w:bookmarkStart w:id="21" w:name="_Toc1511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12"/>
      <w:bookmarkEnd w:id="13"/>
      <w:bookmarkEnd w:id="14"/>
      <w:bookmarkEnd w:id="15"/>
      <w:bookmarkEnd w:id="16"/>
      <w:bookmarkEnd w:id="17"/>
      <w:bookmarkEnd w:id="18"/>
      <w:bookmarkEnd w:id="19"/>
      <w:bookmarkEnd w:id="20"/>
      <w:bookmarkEnd w:id="21"/>
    </w:p>
    <w:p w14:paraId="2CDE15DD">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2" w:name="_Toc24479"/>
      <w:bookmarkStart w:id="23" w:name="_Toc26584"/>
      <w:bookmarkStart w:id="24" w:name="_Toc486167662"/>
      <w:bookmarkStart w:id="25" w:name="_Toc142508312"/>
      <w:bookmarkStart w:id="26" w:name="_Toc11999"/>
      <w:bookmarkStart w:id="27" w:name="_Toc140596871"/>
      <w:bookmarkStart w:id="28" w:name="_Toc450662848"/>
      <w:bookmarkStart w:id="29" w:name="_Toc9555"/>
      <w:bookmarkStart w:id="30" w:name="_Toc195714216"/>
      <w:bookmarkStart w:id="31" w:name="_Toc15366_WPSOffice_Level2"/>
      <w:bookmarkStart w:id="32" w:name="_Toc23880"/>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22"/>
      <w:bookmarkEnd w:id="23"/>
      <w:bookmarkEnd w:id="24"/>
      <w:bookmarkEnd w:id="25"/>
      <w:bookmarkEnd w:id="26"/>
      <w:bookmarkEnd w:id="27"/>
      <w:bookmarkEnd w:id="28"/>
      <w:bookmarkEnd w:id="29"/>
      <w:bookmarkEnd w:id="30"/>
      <w:bookmarkEnd w:id="31"/>
      <w:bookmarkEnd w:id="32"/>
    </w:p>
    <w:p w14:paraId="6889FC4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3" w:name="_Toc195714217"/>
      <w:bookmarkStart w:id="34" w:name="_Toc19338"/>
      <w:bookmarkStart w:id="35" w:name="_Toc20001"/>
      <w:bookmarkStart w:id="36" w:name="_Toc23333"/>
      <w:bookmarkStart w:id="37" w:name="_Toc21710_WPSOffice_Level3"/>
      <w:bookmarkStart w:id="38" w:name="_Toc450662849"/>
      <w:bookmarkStart w:id="39" w:name="_Toc9608"/>
      <w:bookmarkStart w:id="40" w:name="_Toc27775"/>
      <w:bookmarkStart w:id="41" w:name="_Toc142508313"/>
      <w:bookmarkStart w:id="42" w:name="_Toc486167663"/>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33"/>
      <w:bookmarkEnd w:id="34"/>
      <w:bookmarkEnd w:id="35"/>
      <w:bookmarkEnd w:id="36"/>
      <w:bookmarkEnd w:id="37"/>
      <w:bookmarkEnd w:id="38"/>
      <w:bookmarkEnd w:id="39"/>
      <w:bookmarkEnd w:id="40"/>
      <w:bookmarkEnd w:id="41"/>
      <w:bookmarkEnd w:id="42"/>
    </w:p>
    <w:p w14:paraId="29DFFAD9">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36236CF">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43" w:name="_Toc18647"/>
      <w:bookmarkStart w:id="44" w:name="_Toc32244"/>
      <w:bookmarkStart w:id="45" w:name="_Toc450662850"/>
      <w:bookmarkStart w:id="46" w:name="_Toc26051"/>
      <w:bookmarkStart w:id="47" w:name="_Toc18557"/>
      <w:bookmarkStart w:id="48" w:name="_Toc80_WPSOffice_Level3"/>
      <w:bookmarkStart w:id="49" w:name="_Toc486167664"/>
      <w:bookmarkStart w:id="50" w:name="_Toc142508314"/>
      <w:bookmarkStart w:id="51" w:name="_Toc9225"/>
      <w:bookmarkStart w:id="52" w:name="_Toc195714218"/>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合格的投标人</w:t>
      </w:r>
      <w:bookmarkEnd w:id="43"/>
      <w:bookmarkEnd w:id="44"/>
      <w:bookmarkEnd w:id="45"/>
      <w:bookmarkEnd w:id="46"/>
      <w:bookmarkEnd w:id="47"/>
      <w:bookmarkEnd w:id="48"/>
      <w:bookmarkEnd w:id="49"/>
      <w:bookmarkEnd w:id="50"/>
      <w:bookmarkEnd w:id="51"/>
      <w:bookmarkEnd w:id="52"/>
    </w:p>
    <w:p w14:paraId="6DF22A92">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w:t>
      </w:r>
      <w:r>
        <w:rPr>
          <w:rFonts w:hint="eastAsia" w:ascii="宋体" w:hAnsi="宋体" w:eastAsia="宋体" w:cs="宋体"/>
          <w:b/>
          <w:color w:val="000000" w:themeColor="text1"/>
          <w:szCs w:val="21"/>
          <w:highlight w:val="none"/>
          <w14:textFill>
            <w14:solidFill>
              <w14:schemeClr w14:val="tx1"/>
            </w14:solidFill>
          </w14:textFill>
        </w:rPr>
        <w:t>2.5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14:paraId="2847791B">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14:paraId="4A33E4D3">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14:paraId="2CC80DCC">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6EA17B7D">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14:paraId="0668C90A">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14:paraId="52E143DC">
      <w:pPr>
        <w:tabs>
          <w:tab w:val="left" w:pos="570"/>
        </w:tabs>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53" w:name="_Toc4066"/>
      <w:bookmarkStart w:id="54" w:name="_Toc8199"/>
      <w:bookmarkStart w:id="55" w:name="_Toc3551"/>
      <w:bookmarkStart w:id="56" w:name="_Toc195714219"/>
      <w:bookmarkStart w:id="57" w:name="_Toc28856"/>
      <w:bookmarkStart w:id="58" w:name="_Toc18598"/>
      <w:bookmarkStart w:id="59" w:name="_Toc23847_WPSOffice_Level3"/>
      <w:bookmarkStart w:id="60" w:name="_Toc142508315"/>
      <w:bookmarkStart w:id="61" w:name="_Toc11689"/>
      <w:bookmarkStart w:id="62" w:name="_Toc19774"/>
      <w:bookmarkStart w:id="63" w:name="_Toc486167665"/>
      <w:bookmarkStart w:id="64" w:name="_Toc450662851"/>
      <w:r>
        <w:rPr>
          <w:rFonts w:hint="eastAsia" w:ascii="宋体" w:hAnsi="宋体" w:eastAsia="宋体" w:cs="宋体"/>
          <w:b/>
          <w:color w:val="000000" w:themeColor="text1"/>
          <w:szCs w:val="21"/>
          <w:highlight w:val="none"/>
          <w:lang w:val="zh-CN"/>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w:t>
      </w:r>
      <w:bookmarkEnd w:id="53"/>
      <w:bookmarkEnd w:id="54"/>
      <w:r>
        <w:rPr>
          <w:rFonts w:hint="eastAsia" w:ascii="宋体" w:hAnsi="宋体" w:eastAsia="宋体" w:cs="宋体"/>
          <w:b/>
          <w:color w:val="000000" w:themeColor="text1"/>
          <w:szCs w:val="21"/>
          <w:highlight w:val="none"/>
          <w:lang w:val="zh-CN"/>
          <w14:textFill>
            <w14:solidFill>
              <w14:schemeClr w14:val="tx1"/>
            </w14:solidFill>
          </w14:textFill>
        </w:rPr>
        <w:t>货物</w:t>
      </w:r>
      <w:bookmarkEnd w:id="55"/>
      <w:bookmarkEnd w:id="56"/>
      <w:bookmarkEnd w:id="57"/>
      <w:bookmarkEnd w:id="58"/>
    </w:p>
    <w:p w14:paraId="47D7F4D2">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0370EE75">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  投标人</w:t>
      </w:r>
      <w:r>
        <w:rPr>
          <w:rFonts w:hint="eastAsia" w:ascii="宋体" w:hAnsi="宋体" w:eastAsia="宋体" w:cs="Times New Roman"/>
          <w:color w:val="000000" w:themeColor="text1"/>
          <w:szCs w:val="21"/>
          <w:highlight w:val="none"/>
          <w:lang w:val="zh-CN"/>
          <w14:textFill>
            <w14:solidFill>
              <w14:schemeClr w14:val="tx1"/>
            </w14:solidFill>
          </w14:textFill>
        </w:rPr>
        <w:t>中标后提供的货物</w:t>
      </w:r>
      <w:r>
        <w:rPr>
          <w:rFonts w:hint="eastAsia" w:ascii="宋体" w:hAnsi="宋体" w:eastAsia="宋体" w:cs="Times New Roman"/>
          <w:color w:val="000000" w:themeColor="text1"/>
          <w:kern w:val="0"/>
          <w:szCs w:val="21"/>
          <w:highlight w:val="none"/>
          <w14:textFill>
            <w14:solidFill>
              <w14:schemeClr w14:val="tx1"/>
            </w14:solidFill>
          </w14:textFill>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000000" w:themeColor="text1"/>
          <w:kern w:val="0"/>
          <w:szCs w:val="21"/>
          <w:highlight w:val="none"/>
          <w14:textFill>
            <w14:solidFill>
              <w14:schemeClr w14:val="tx1"/>
            </w14:solidFill>
          </w14:textFill>
        </w:rPr>
        <w:t>负责办理所有货物的进口及商检手续</w:t>
      </w:r>
      <w:r>
        <w:rPr>
          <w:rFonts w:hint="eastAsia" w:ascii="宋体" w:hAnsi="宋体" w:eastAsia="宋体" w:cs="Times New Roman"/>
          <w:color w:val="000000" w:themeColor="text1"/>
          <w:kern w:val="0"/>
          <w:szCs w:val="21"/>
          <w:highlight w:val="none"/>
          <w14:textFill>
            <w14:solidFill>
              <w14:schemeClr w14:val="tx1"/>
            </w14:solidFill>
          </w14:textFill>
        </w:rPr>
        <w:t>，并承担相关费用</w:t>
      </w:r>
      <w:r>
        <w:rPr>
          <w:rFonts w:hint="eastAsia" w:ascii="宋体" w:hAnsi="宋体" w:eastAsia="宋体" w:cs="宋体"/>
          <w:color w:val="000000" w:themeColor="text1"/>
          <w:szCs w:val="21"/>
          <w:highlight w:val="none"/>
          <w:lang w:val="zh-CN"/>
          <w14:textFill>
            <w14:solidFill>
              <w14:schemeClr w14:val="tx1"/>
            </w14:solidFill>
          </w14:textFill>
        </w:rPr>
        <w:t>。</w:t>
      </w:r>
    </w:p>
    <w:p w14:paraId="6CE54550">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5" w:name="_Toc533708064"/>
      <w:bookmarkStart w:id="66" w:name="_Toc1977664"/>
      <w:r>
        <w:rPr>
          <w:rFonts w:hint="eastAsia" w:ascii="宋体" w:hAnsi="宋体" w:eastAsia="宋体" w:cs="宋体"/>
          <w:color w:val="000000" w:themeColor="text1"/>
          <w:szCs w:val="21"/>
          <w:highlight w:val="none"/>
          <w:lang w:val="zh-CN"/>
          <w14:textFill>
            <w14:solidFill>
              <w14:schemeClr w14:val="tx1"/>
            </w14:solidFill>
          </w14:textFill>
        </w:rPr>
        <w:t>3.</w:t>
      </w:r>
      <w:bookmarkEnd w:id="65"/>
      <w:bookmarkEnd w:id="66"/>
      <w:r>
        <w:rPr>
          <w:rFonts w:hint="eastAsia" w:ascii="宋体" w:hAnsi="宋体" w:eastAsia="宋体" w:cs="宋体"/>
          <w:color w:val="000000" w:themeColor="text1"/>
          <w:szCs w:val="21"/>
          <w:highlight w:val="none"/>
          <w:lang w:val="zh-CN"/>
          <w14:textFill>
            <w14:solidFill>
              <w14:schemeClr w14:val="tx1"/>
            </w14:solidFill>
          </w14:textFill>
        </w:rPr>
        <w:t>3  投标人</w:t>
      </w:r>
      <w:r>
        <w:rPr>
          <w:rFonts w:hint="eastAsia" w:ascii="宋体" w:hAnsi="宋体" w:eastAsia="宋体" w:cs="Times New Roman"/>
          <w:color w:val="000000" w:themeColor="text1"/>
          <w:szCs w:val="21"/>
          <w:highlight w:val="none"/>
          <w:lang w:val="zh-CN"/>
          <w14:textFill>
            <w14:solidFill>
              <w14:schemeClr w14:val="tx1"/>
            </w14:solidFill>
          </w14:textFill>
        </w:rPr>
        <w:t>必须保证提供的所有货物或货物的任何部分均为最新正式版本</w:t>
      </w:r>
      <w:r>
        <w:rPr>
          <w:rFonts w:hint="eastAsia" w:ascii="宋体" w:hAnsi="宋体" w:eastAsia="宋体" w:cs="宋体"/>
          <w:color w:val="000000" w:themeColor="text1"/>
          <w:szCs w:val="21"/>
          <w:highlight w:val="none"/>
          <w:lang w:val="zh-CN"/>
          <w14:textFill>
            <w14:solidFill>
              <w14:schemeClr w14:val="tx1"/>
            </w14:solidFill>
          </w14:textFill>
        </w:rPr>
        <w:t>。</w:t>
      </w:r>
    </w:p>
    <w:p w14:paraId="0016BC4F">
      <w:pPr>
        <w:autoSpaceDE w:val="0"/>
        <w:autoSpaceDN w:val="0"/>
        <w:adjustRightInd w:val="0"/>
        <w:spacing w:line="360" w:lineRule="auto"/>
        <w:ind w:left="315" w:leftChars="-100" w:hanging="525" w:hangingChars="250"/>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14:paraId="7B44B051">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 xml:space="preserve">  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p>
    <w:p w14:paraId="3313274D">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 xml:space="preserve">  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p>
    <w:bookmarkEnd w:id="59"/>
    <w:bookmarkEnd w:id="60"/>
    <w:bookmarkEnd w:id="61"/>
    <w:bookmarkEnd w:id="62"/>
    <w:p w14:paraId="79904180">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p>
    <w:p w14:paraId="637C7E8D">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67" w:name="_Toc11533"/>
      <w:bookmarkStart w:id="68" w:name="_Toc3404"/>
      <w:bookmarkStart w:id="69" w:name="_Toc142508316"/>
      <w:bookmarkStart w:id="70" w:name="_Toc9658_WPSOffice_Level3"/>
      <w:bookmarkStart w:id="71" w:name="_Toc12869"/>
      <w:bookmarkStart w:id="72" w:name="_Toc27508"/>
      <w:bookmarkStart w:id="73" w:name="_Toc9570"/>
      <w:bookmarkStart w:id="74" w:name="_Toc195714220"/>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67"/>
      <w:bookmarkEnd w:id="68"/>
      <w:bookmarkEnd w:id="69"/>
      <w:bookmarkEnd w:id="70"/>
      <w:bookmarkEnd w:id="71"/>
      <w:bookmarkEnd w:id="72"/>
      <w:bookmarkEnd w:id="73"/>
      <w:bookmarkEnd w:id="74"/>
    </w:p>
    <w:p w14:paraId="5C602526">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75" w:name="_Toc533708070"/>
      <w:bookmarkStart w:id="76" w:name="_Toc19776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75"/>
      <w:bookmarkEnd w:id="76"/>
    </w:p>
    <w:p w14:paraId="3D5FCAAE">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77" w:name="_Toc1977672"/>
      <w:bookmarkStart w:id="78" w:name="_Toc5337080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77"/>
      <w:bookmarkEnd w:id="78"/>
    </w:p>
    <w:p w14:paraId="15848065">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79" w:name="_Toc533708073"/>
      <w:bookmarkStart w:id="80" w:name="_Toc19776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79"/>
      <w:bookmarkEnd w:id="80"/>
    </w:p>
    <w:p w14:paraId="25DC27D0">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81" w:name="_Toc533708076"/>
      <w:bookmarkStart w:id="82" w:name="_Toc1977676"/>
      <w:r>
        <w:rPr>
          <w:rFonts w:hint="eastAsia" w:ascii="宋体" w:hAnsi="宋体" w:eastAsia="宋体" w:cs="Times New Roman"/>
          <w:color w:val="000000" w:themeColor="text1"/>
          <w:kern w:val="0"/>
          <w:szCs w:val="21"/>
          <w:highlight w:val="none"/>
          <w14:textFill>
            <w14:solidFill>
              <w14:schemeClr w14:val="tx1"/>
            </w14:solidFill>
          </w14:textFill>
        </w:rPr>
        <w:t>（1）本项目不组织集中踏勘现场和答疑，投标人应自行到实地踏勘考察。</w:t>
      </w:r>
    </w:p>
    <w:p w14:paraId="38FBC226">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14:paraId="7256EAA2">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14:paraId="4F78AD63">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14:paraId="3A9E7181">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63"/>
      <w:bookmarkEnd w:id="64"/>
      <w:bookmarkEnd w:id="81"/>
      <w:bookmarkEnd w:id="82"/>
    </w:p>
    <w:p w14:paraId="55215741">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14:paraId="763D839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14:paraId="1599FBDF">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（3）开标后，直至向中标人授予合同期间，凡与审查、澄清、评价和比较报价的有关资料以及授标意见等，参与评标工作的有关人员均不得向投标人及与评标无关的其他人透露。</w:t>
      </w:r>
    </w:p>
    <w:p w14:paraId="399AC89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14:paraId="133E628B">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342F9A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14:paraId="0F611BCE">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14:paraId="70230C3A">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83" w:name="_Toc450662853"/>
      <w:bookmarkStart w:id="84" w:name="_Toc142508317"/>
      <w:bookmarkStart w:id="85" w:name="_Toc9801"/>
      <w:bookmarkStart w:id="86" w:name="_Toc2480"/>
      <w:bookmarkStart w:id="87" w:name="_Toc1565"/>
      <w:bookmarkStart w:id="88" w:name="_Toc5395"/>
      <w:bookmarkStart w:id="89" w:name="_Toc486167667"/>
      <w:bookmarkStart w:id="90" w:name="_Toc25972"/>
      <w:bookmarkStart w:id="91" w:name="_Toc30507_WPSOffice_Level2"/>
      <w:bookmarkStart w:id="92" w:name="_Toc140596876"/>
      <w:bookmarkStart w:id="93" w:name="_Toc195714221"/>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83"/>
      <w:bookmarkEnd w:id="84"/>
      <w:bookmarkEnd w:id="85"/>
      <w:bookmarkEnd w:id="86"/>
      <w:bookmarkEnd w:id="87"/>
      <w:bookmarkEnd w:id="88"/>
      <w:bookmarkEnd w:id="89"/>
      <w:bookmarkEnd w:id="90"/>
      <w:bookmarkEnd w:id="91"/>
      <w:bookmarkEnd w:id="92"/>
      <w:bookmarkEnd w:id="93"/>
    </w:p>
    <w:p w14:paraId="790D512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94" w:name="_Toc142508318"/>
      <w:bookmarkStart w:id="95" w:name="_Toc486167668"/>
      <w:bookmarkStart w:id="96" w:name="_Toc195714222"/>
      <w:bookmarkStart w:id="97" w:name="_Toc509"/>
      <w:bookmarkStart w:id="98" w:name="_Toc26635_WPSOffice_Level3"/>
      <w:bookmarkStart w:id="99" w:name="_Toc450662854"/>
      <w:bookmarkStart w:id="100" w:name="_Toc16514"/>
      <w:bookmarkStart w:id="101" w:name="_Toc28893"/>
      <w:bookmarkStart w:id="102" w:name="_Toc6214"/>
      <w:bookmarkStart w:id="103" w:name="_Toc2406"/>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94"/>
      <w:bookmarkEnd w:id="95"/>
      <w:bookmarkEnd w:id="96"/>
      <w:bookmarkEnd w:id="97"/>
      <w:bookmarkEnd w:id="98"/>
      <w:bookmarkEnd w:id="99"/>
      <w:bookmarkEnd w:id="100"/>
      <w:bookmarkEnd w:id="101"/>
      <w:bookmarkEnd w:id="102"/>
      <w:bookmarkEnd w:id="103"/>
    </w:p>
    <w:p w14:paraId="600F6C60">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14:paraId="115D58D7">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14:paraId="340DBBCF">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p>
    <w:p w14:paraId="596A92EB">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14:paraId="3A713A78">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p>
    <w:p w14:paraId="580D2131">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14:paraId="7887260E">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14:paraId="630472FD">
      <w:pPr>
        <w:tabs>
          <w:tab w:val="left" w:pos="1890"/>
        </w:tabs>
        <w:autoSpaceDE w:val="0"/>
        <w:autoSpaceDN w:val="0"/>
        <w:adjustRightInd w:val="0"/>
        <w:spacing w:line="360" w:lineRule="auto"/>
        <w:ind w:firstLine="424" w:firstLineChars="202"/>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附件一：评标工作大纲</w:t>
      </w:r>
    </w:p>
    <w:p w14:paraId="50761702">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标志的部分为投标人、投标拟供货物必备的条件或重要指示），那么投标人的投标文件将有可能被拒绝接收或评审为无效投标文件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p>
    <w:p w14:paraId="1EC656C6">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14:paraId="4876ACDE">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东莞市水务集团供水有限公司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1CBCA3B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28BD4CE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）“投标人”指参加</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东莞市供水计量设施更新项目(2025年计量仪表采购)－螺翼式远传水表</w:t>
      </w:r>
      <w:r>
        <w:rPr>
          <w:rFonts w:hint="eastAsia" w:ascii="宋体" w:hAnsi="宋体" w:eastAsia="宋体" w:cs="Times New Roman"/>
          <w:color w:val="000000" w:themeColor="text1"/>
          <w:kern w:val="0"/>
          <w:szCs w:val="21"/>
          <w:highlight w:val="none"/>
          <w14:textFill>
            <w14:solidFill>
              <w14:schemeClr w14:val="tx1"/>
            </w14:solidFill>
          </w14:textFill>
        </w:rPr>
        <w:t>所需的货物及有关服务的投标，并向交易系统在线上传投标文件的当事人；</w:t>
      </w:r>
    </w:p>
    <w:p w14:paraId="7EC73651">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14:paraId="1F6E372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）“中标人”指其投标被招标人接受，并与招标人签订合同的当事人；</w:t>
      </w:r>
    </w:p>
    <w:p w14:paraId="657CC10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）“甲方”指在合同条款中指明的购买货物及有关服务的单位，即</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东莞市水务集团供水有限公司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45AC12EB">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）“乙方”指在合同条款中指明的本合同项下提供货物及有关服务的公司或实体；</w:t>
      </w:r>
    </w:p>
    <w:p w14:paraId="32703A9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）“招标文件”指包括招标公告和招标文件及其补充、变更和澄清等一系列文件；</w:t>
      </w:r>
    </w:p>
    <w:p w14:paraId="6A15B08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）“投标文件”指投标人根据本招标文件向交易系统在线上传的全部文件；</w:t>
      </w:r>
    </w:p>
    <w:p w14:paraId="47B95D4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14:paraId="1ED7874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14:paraId="0D36A05B">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14:paraId="13C6D353">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14:paraId="3C95AC8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）不含税价，即为《中华人民共和国增值税暂行条例》（国务院令第6</w:t>
      </w:r>
      <w:r>
        <w:rPr>
          <w:rFonts w:ascii="宋体" w:hAnsi="宋体" w:eastAsia="宋体" w:cs="Times New Roman"/>
          <w:color w:val="000000" w:themeColor="text1"/>
          <w:kern w:val="0"/>
          <w:szCs w:val="21"/>
          <w:highlight w:val="none"/>
          <w14:textFill>
            <w14:solidFill>
              <w14:schemeClr w14:val="tx1"/>
            </w14:solidFill>
          </w14:textFill>
        </w:rPr>
        <w:t>91</w:t>
      </w:r>
      <w:r>
        <w:rPr>
          <w:rFonts w:hint="eastAsia" w:ascii="宋体" w:hAnsi="宋体" w:eastAsia="宋体" w:cs="Times New Roman"/>
          <w:color w:val="000000" w:themeColor="text1"/>
          <w:kern w:val="0"/>
          <w:szCs w:val="21"/>
          <w:highlight w:val="none"/>
          <w14:textFill>
            <w14:solidFill>
              <w14:schemeClr w14:val="tx1"/>
            </w14:solidFill>
          </w14:textFill>
        </w:rPr>
        <w:t>号修订版）规定的销售额。本招标文件所称的不含税价和不含税合同价是指不含本采购项目投标人的销项税额，包含了投标人完成合同义务（含投标人代缴代扣、分包及委外服务、</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安装</w:t>
      </w:r>
      <w:r>
        <w:rPr>
          <w:rFonts w:hint="eastAsia" w:ascii="宋体" w:hAnsi="宋体" w:eastAsia="宋体" w:cs="Times New Roman"/>
          <w:color w:val="000000" w:themeColor="text1"/>
          <w:kern w:val="0"/>
          <w:szCs w:val="21"/>
          <w:highlight w:val="none"/>
          <w14:textFill>
            <w14:solidFill>
              <w14:schemeClr w14:val="tx1"/>
            </w14:solidFill>
          </w14:textFill>
        </w:rPr>
        <w:t>、采购货物等所产生的价税）的其他全部费用。本采购项目投标人的销项税额由招标人承担，不计入投标报价。</w:t>
      </w:r>
    </w:p>
    <w:p w14:paraId="4F157280">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14:paraId="4426517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04" w:name="_Toc30964"/>
      <w:bookmarkStart w:id="105" w:name="_Toc30078"/>
      <w:bookmarkStart w:id="106" w:name="_Toc142508319"/>
      <w:bookmarkStart w:id="107" w:name="_Toc11346"/>
      <w:bookmarkStart w:id="108" w:name="_Toc32057"/>
      <w:bookmarkStart w:id="109" w:name="_Toc195714223"/>
      <w:bookmarkStart w:id="110" w:name="_Toc450662855"/>
      <w:bookmarkStart w:id="111" w:name="_Toc29125_WPSOffice_Level3"/>
      <w:bookmarkStart w:id="112" w:name="_Toc3727"/>
      <w:bookmarkStart w:id="113" w:name="_Toc486167669"/>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104"/>
      <w:bookmarkEnd w:id="105"/>
      <w:bookmarkEnd w:id="106"/>
      <w:bookmarkEnd w:id="107"/>
      <w:bookmarkEnd w:id="108"/>
      <w:bookmarkEnd w:id="109"/>
      <w:bookmarkEnd w:id="110"/>
      <w:bookmarkEnd w:id="111"/>
      <w:bookmarkEnd w:id="112"/>
      <w:bookmarkEnd w:id="113"/>
    </w:p>
    <w:p w14:paraId="23C3D63D">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投标人或者其他利害关系人对招标文件有异议的，应当在投标截止时间10日前以书面形式</w:t>
      </w:r>
      <w:r>
        <w:rPr>
          <w:rFonts w:ascii="宋体" w:hAnsi="宋体" w:eastAsia="宋体" w:cs="Times New Roman"/>
          <w:color w:val="000000" w:themeColor="text1"/>
          <w:szCs w:val="21"/>
          <w:highlight w:val="none"/>
          <w:lang w:val="zh-CN"/>
          <w14:textFill>
            <w14:solidFill>
              <w14:schemeClr w14:val="tx1"/>
            </w14:solidFill>
          </w14:textFill>
        </w:rPr>
        <w:t>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 w:val="0"/>
          <w:bCs w:val="0"/>
          <w:color w:val="000000" w:themeColor="text1"/>
          <w:szCs w:val="21"/>
          <w:highlight w:val="none"/>
          <w:lang w:val="zh-CN"/>
          <w14:textFill>
            <w14:solidFill>
              <w14:schemeClr w14:val="tx1"/>
            </w14:solidFill>
          </w14:textFill>
        </w:rPr>
        <w:t>并将材料原件送达招标代理机构，逾期则视为对招标文件所有内容无异议。异议书面材料必须加盖投标人法人公章，并注明联系人、联系电话、联系地址。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3BE169DA">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14:paraId="50147AC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14" w:name="_Toc450662856"/>
      <w:bookmarkStart w:id="115" w:name="_Toc17812"/>
      <w:bookmarkStart w:id="116" w:name="_Toc486167670"/>
      <w:bookmarkStart w:id="117" w:name="_Toc4303"/>
      <w:bookmarkStart w:id="118" w:name="_Toc15962"/>
      <w:bookmarkStart w:id="119" w:name="_Toc142508320"/>
      <w:bookmarkStart w:id="120" w:name="_Toc29864"/>
      <w:bookmarkStart w:id="121" w:name="_Toc23483_WPSOffice_Level3"/>
      <w:bookmarkStart w:id="122" w:name="_Toc17145"/>
      <w:bookmarkStart w:id="123" w:name="_Toc195714224"/>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114"/>
      <w:bookmarkEnd w:id="115"/>
      <w:bookmarkEnd w:id="116"/>
      <w:bookmarkEnd w:id="117"/>
      <w:bookmarkEnd w:id="118"/>
      <w:bookmarkEnd w:id="119"/>
      <w:bookmarkEnd w:id="120"/>
      <w:bookmarkEnd w:id="121"/>
      <w:bookmarkEnd w:id="122"/>
      <w:bookmarkEnd w:id="123"/>
    </w:p>
    <w:p w14:paraId="0590F2D1">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14:paraId="5390DF9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14:paraId="15B36FCE">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hint="eastAsia" w:ascii="宋体" w:hAnsi="宋体" w:eastAsia="宋体" w:cs="Times New Roman"/>
          <w:bCs/>
          <w:color w:val="000000" w:themeColor="text1"/>
          <w:szCs w:val="21"/>
          <w:highlight w:val="none"/>
          <w14:textFill>
            <w14:solidFill>
              <w14:schemeClr w14:val="tx1"/>
            </w14:solidFill>
          </w14:textFill>
        </w:rPr>
        <w:t>全国公共资源交易平台（广东省·东莞市）（https://ygp.gdzwfw.gov.cn/#/441900/index）、</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ascii="宋体" w:hAnsi="宋体" w:eastAsia="宋体" w:cs="Times New Roman"/>
          <w:color w:val="000000" w:themeColor="text1"/>
          <w:szCs w:val="21"/>
          <w:highlight w:val="none"/>
          <w:lang w:val="zh-CN"/>
          <w14:textFill>
            <w14:solidFill>
              <w14:schemeClr w14:val="tx1"/>
            </w14:solidFill>
          </w14:textFill>
        </w:rPr>
        <w:t>东莞市水务集团有限公司网</w:t>
      </w:r>
      <w:r>
        <w:rPr>
          <w:rFonts w:hint="eastAsia" w:ascii="宋体" w:hAnsi="宋体" w:eastAsia="宋体" w:cs="Times New Roman"/>
          <w:color w:val="000000" w:themeColor="text1"/>
          <w:szCs w:val="21"/>
          <w:highlight w:val="none"/>
          <w:lang w:val="en-US" w:eastAsia="zh-CN"/>
          <w14:textFill>
            <w14:solidFill>
              <w14:schemeClr w14:val="tx1"/>
            </w14:solidFill>
          </w14:textFill>
        </w:rPr>
        <w:t>站</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"www.dgswjt.cn）、招标代理公司网站（http://%20%20%20%20%20%20%20%20%20%20%20%20%20%20）" </w:instrText>
      </w:r>
      <w:r>
        <w:rPr>
          <w:color w:val="000000" w:themeColor="text1"/>
          <w:highlight w:val="none"/>
          <w14:textFill>
            <w14:solidFill>
              <w14:schemeClr w14:val="tx1"/>
            </w14:solidFill>
          </w14:textFill>
        </w:rPr>
        <w:fldChar w:fldCharType="separate"/>
      </w:r>
      <w:r>
        <w:rPr>
          <w:rStyle w:val="50"/>
          <w:rFonts w:ascii="宋体" w:hAnsi="宋体" w:eastAsia="宋体" w:cs="Times New Roman"/>
          <w:color w:val="000000" w:themeColor="text1"/>
          <w:sz w:val="21"/>
          <w:szCs w:val="21"/>
          <w:highlight w:val="none"/>
          <w14:textFill>
            <w14:solidFill>
              <w14:schemeClr w14:val="tx1"/>
            </w14:solidFill>
          </w14:textFill>
        </w:rPr>
        <w:t>www.dgswjt.cn）</w:t>
      </w:r>
      <w:r>
        <w:rPr>
          <w:rStyle w:val="50"/>
          <w:rFonts w:ascii="宋体" w:hAnsi="宋体" w:eastAsia="宋体" w:cs="Times New Roman"/>
          <w:color w:val="000000" w:themeColor="text1"/>
          <w:sz w:val="21"/>
          <w:szCs w:val="21"/>
          <w:highlight w:val="none"/>
          <w:lang w:val="zh-CN"/>
          <w14:textFill>
            <w14:solidFill>
              <w14:schemeClr w14:val="tx1"/>
            </w14:solidFill>
          </w14:textFill>
        </w:rPr>
        <w:t>、</w:t>
      </w:r>
      <w:r>
        <w:rPr>
          <w:rStyle w:val="50"/>
          <w:rFonts w:hint="eastAsia" w:ascii="宋体" w:hAnsi="宋体" w:eastAsia="宋体" w:cs="Times New Roman"/>
          <w:bCs/>
          <w:color w:val="000000" w:themeColor="text1"/>
          <w:kern w:val="0"/>
          <w:sz w:val="21"/>
          <w:szCs w:val="21"/>
          <w:highlight w:val="none"/>
          <w14:textFill>
            <w14:solidFill>
              <w14:schemeClr w14:val="tx1"/>
            </w14:solidFill>
          </w14:textFill>
        </w:rPr>
        <w:t>招标代理机构网站（</w:t>
      </w:r>
      <w:r>
        <w:rPr>
          <w:rStyle w:val="50"/>
          <w:rFonts w:hint="eastAsia" w:ascii="宋体" w:hAnsi="宋体" w:eastAsia="宋体" w:cs="Times New Roman"/>
          <w:bCs/>
          <w:color w:val="000000" w:themeColor="text1"/>
          <w:kern w:val="0"/>
          <w:sz w:val="21"/>
          <w:szCs w:val="21"/>
          <w:highlight w:val="none"/>
          <w:u w:val="none"/>
          <w:lang w:eastAsia="zh-CN"/>
          <w14:textFill>
            <w14:solidFill>
              <w14:schemeClr w14:val="tx1"/>
            </w14:solidFill>
          </w14:textFill>
        </w:rPr>
        <w:t>www.gzjc.com.cn</w:t>
      </w:r>
      <w:r>
        <w:rPr>
          <w:rStyle w:val="50"/>
          <w:rFonts w:ascii="宋体" w:hAnsi="宋体" w:eastAsia="宋体" w:cs="Times New Roman"/>
          <w:bCs/>
          <w:color w:val="000000" w:themeColor="text1"/>
          <w:kern w:val="0"/>
          <w:sz w:val="21"/>
          <w:szCs w:val="21"/>
          <w:highlight w:val="none"/>
          <w14:textFill>
            <w14:solidFill>
              <w14:schemeClr w14:val="tx1"/>
            </w14:solidFill>
          </w14:textFill>
        </w:rPr>
        <w:t>）</w:t>
      </w:r>
      <w:r>
        <w:rPr>
          <w:rStyle w:val="50"/>
          <w:rFonts w:ascii="宋体" w:hAnsi="宋体" w:eastAsia="宋体" w:cs="Times New Roman"/>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p w14:paraId="16A28025">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14:paraId="21619261">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24" w:name="_Toc15867"/>
      <w:bookmarkStart w:id="125" w:name="_Toc23093"/>
      <w:bookmarkStart w:id="126" w:name="_Toc140596880"/>
      <w:bookmarkStart w:id="127" w:name="_Toc450662857"/>
      <w:bookmarkStart w:id="128" w:name="_Toc486167671"/>
      <w:bookmarkStart w:id="129" w:name="_Toc23342"/>
      <w:bookmarkStart w:id="130" w:name="_Toc12888"/>
      <w:bookmarkStart w:id="131" w:name="_Toc142508321"/>
      <w:bookmarkStart w:id="132" w:name="_Toc8711"/>
      <w:bookmarkStart w:id="133" w:name="_Toc195714225"/>
      <w:bookmarkStart w:id="134" w:name="_Toc29659_WPSOffice_Level2"/>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124"/>
      <w:bookmarkEnd w:id="125"/>
      <w:bookmarkEnd w:id="126"/>
      <w:bookmarkEnd w:id="127"/>
      <w:bookmarkEnd w:id="128"/>
      <w:bookmarkEnd w:id="129"/>
      <w:bookmarkEnd w:id="130"/>
      <w:bookmarkEnd w:id="131"/>
      <w:bookmarkEnd w:id="132"/>
      <w:bookmarkEnd w:id="133"/>
      <w:bookmarkEnd w:id="134"/>
    </w:p>
    <w:p w14:paraId="3129D3AC">
      <w:pPr>
        <w:tabs>
          <w:tab w:val="left" w:pos="67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35" w:name="_Toc142508322"/>
      <w:bookmarkStart w:id="136" w:name="_Toc31162"/>
      <w:bookmarkStart w:id="137" w:name="_Toc6244"/>
      <w:bookmarkStart w:id="138" w:name="_Toc450662858"/>
      <w:bookmarkStart w:id="139" w:name="_Toc16277"/>
      <w:bookmarkStart w:id="140" w:name="_Toc195714226"/>
      <w:bookmarkStart w:id="141" w:name="_Toc486167672"/>
      <w:bookmarkStart w:id="142" w:name="_Toc12523"/>
      <w:bookmarkStart w:id="143" w:name="_Toc6318"/>
      <w:bookmarkStart w:id="144" w:name="_Toc10015_WPSOffice_Level3"/>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35"/>
      <w:bookmarkEnd w:id="136"/>
      <w:bookmarkEnd w:id="137"/>
      <w:bookmarkEnd w:id="138"/>
      <w:bookmarkEnd w:id="139"/>
      <w:bookmarkEnd w:id="140"/>
      <w:bookmarkEnd w:id="141"/>
      <w:bookmarkEnd w:id="142"/>
      <w:bookmarkEnd w:id="143"/>
      <w:bookmarkEnd w:id="144"/>
    </w:p>
    <w:p w14:paraId="070C4273">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14:paraId="16E7BACD">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14:paraId="07C0AE7D">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27FAC944">
      <w:pPr>
        <w:tabs>
          <w:tab w:val="left" w:pos="540"/>
        </w:tabs>
        <w:autoSpaceDE w:val="0"/>
        <w:autoSpaceDN w:val="0"/>
        <w:adjustRightInd w:val="0"/>
        <w:spacing w:line="360" w:lineRule="auto"/>
        <w:ind w:left="357" w:leftChars="-100" w:hanging="567"/>
        <w:jc w:val="left"/>
        <w:outlineLvl w:val="2"/>
        <w:rPr>
          <w:rFonts w:ascii="宋体" w:hAnsi="宋体" w:eastAsia="宋体" w:cs="宋体"/>
          <w:color w:val="000000" w:themeColor="text1"/>
          <w:sz w:val="24"/>
          <w:szCs w:val="24"/>
          <w:highlight w:val="none"/>
          <w:lang w:val="zh-CN"/>
          <w14:textFill>
            <w14:solidFill>
              <w14:schemeClr w14:val="tx1"/>
            </w14:solidFill>
          </w14:textFill>
        </w:rPr>
      </w:pPr>
      <w:bookmarkStart w:id="145" w:name="_Toc450662859"/>
      <w:bookmarkStart w:id="146" w:name="_Toc14943"/>
      <w:bookmarkStart w:id="147" w:name="_Toc7853"/>
      <w:bookmarkStart w:id="148" w:name="_Toc7348"/>
      <w:bookmarkStart w:id="149" w:name="_Toc195714227"/>
      <w:bookmarkStart w:id="150" w:name="_Toc24916_WPSOffice_Level3"/>
      <w:bookmarkStart w:id="151" w:name="_Toc9575"/>
      <w:bookmarkStart w:id="152" w:name="_Toc20439"/>
      <w:bookmarkStart w:id="153" w:name="_Toc142508323"/>
      <w:bookmarkStart w:id="154" w:name="_Toc486167673"/>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45"/>
      <w:bookmarkEnd w:id="146"/>
      <w:bookmarkEnd w:id="147"/>
      <w:bookmarkEnd w:id="148"/>
      <w:bookmarkEnd w:id="149"/>
      <w:bookmarkEnd w:id="150"/>
      <w:bookmarkEnd w:id="151"/>
      <w:bookmarkEnd w:id="152"/>
      <w:bookmarkEnd w:id="153"/>
      <w:bookmarkEnd w:id="154"/>
    </w:p>
    <w:p w14:paraId="5ABF78E2">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商务标、技术标、报价信封三部分组成。</w:t>
      </w:r>
    </w:p>
    <w:p w14:paraId="0183D08E">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商务标：</w:t>
      </w:r>
    </w:p>
    <w:p w14:paraId="6EE525B3">
      <w:pPr>
        <w:autoSpaceDE w:val="0"/>
        <w:autoSpaceDN w:val="0"/>
        <w:adjustRightInd w:val="0"/>
        <w:spacing w:line="360" w:lineRule="auto"/>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14:paraId="0DDB5FF5">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14:paraId="7062EEB8">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14:paraId="31B507CE">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14:paraId="49ED7F21">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14:paraId="2C1199ED">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hint="eastAsia" w:ascii="宋体" w:hAnsi="宋体" w:eastAsia="宋体" w:cs="Times New Roman"/>
          <w:color w:val="000000" w:themeColor="text1"/>
          <w:szCs w:val="21"/>
          <w:highlight w:val="none"/>
          <w:lang w:val="zh-CN"/>
          <w14:textFill>
            <w14:solidFill>
              <w14:schemeClr w14:val="tx1"/>
            </w14:solidFill>
          </w14:textFill>
        </w:rPr>
        <w:t>原件扫描件</w:t>
      </w:r>
      <w:r>
        <w:rPr>
          <w:rFonts w:ascii="宋体" w:hAnsi="宋体" w:eastAsia="宋体" w:cs="Times New Roman"/>
          <w:color w:val="000000" w:themeColor="text1"/>
          <w:szCs w:val="21"/>
          <w:highlight w:val="none"/>
          <w:lang w:val="zh-CN"/>
          <w14:textFill>
            <w14:solidFill>
              <w14:schemeClr w14:val="tx1"/>
            </w14:solidFill>
          </w14:textFill>
        </w:rPr>
        <w:t>；</w:t>
      </w:r>
    </w:p>
    <w:p w14:paraId="3C8AB985">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开户许可证</w:t>
      </w:r>
      <w:r>
        <w:rPr>
          <w:rFonts w:hint="eastAsia" w:ascii="宋体" w:hAnsi="宋体" w:eastAsia="宋体" w:cs="Times New Roman"/>
          <w:color w:val="000000" w:themeColor="text1"/>
          <w:szCs w:val="21"/>
          <w:highlight w:val="none"/>
          <w:lang w:val="zh-CN"/>
          <w14:textFill>
            <w14:solidFill>
              <w14:schemeClr w14:val="tx1"/>
            </w14:solidFill>
          </w14:textFill>
        </w:rPr>
        <w:t>原件扫描件</w:t>
      </w:r>
      <w:r>
        <w:rPr>
          <w:rFonts w:ascii="宋体" w:hAnsi="宋体" w:eastAsia="宋体" w:cs="Times New Roman"/>
          <w:color w:val="000000" w:themeColor="text1"/>
          <w:szCs w:val="21"/>
          <w:highlight w:val="none"/>
          <w:lang w:val="zh-CN"/>
          <w14:textFill>
            <w14:solidFill>
              <w14:schemeClr w14:val="tx1"/>
            </w14:solidFill>
          </w14:textFill>
        </w:rPr>
        <w:t>（基本存款账户）</w:t>
      </w:r>
      <w:r>
        <w:rPr>
          <w:rFonts w:hint="eastAsia" w:ascii="宋体" w:hAnsi="宋体" w:eastAsia="宋体" w:cs="Times New Roman"/>
          <w:color w:val="000000" w:themeColor="text1"/>
          <w:szCs w:val="21"/>
          <w:highlight w:val="none"/>
          <w:lang w:val="zh-CN"/>
          <w14:textFill>
            <w14:solidFill>
              <w14:schemeClr w14:val="tx1"/>
            </w14:solidFill>
          </w14:textFill>
        </w:rPr>
        <w:t>，如投标人企业银行账户开户所在地区已取消企业银行账户许可，投标人应提供基本存款账户开户名称、开户银行、账号、编号等信息及相关备案证明（如有）或其他能证明其为基本存款账户的资料原件扫描件</w:t>
      </w:r>
      <w:r>
        <w:rPr>
          <w:rFonts w:ascii="宋体" w:hAnsi="宋体" w:eastAsia="宋体" w:cs="Times New Roman"/>
          <w:color w:val="000000" w:themeColor="text1"/>
          <w:szCs w:val="21"/>
          <w:highlight w:val="none"/>
          <w:lang w:val="zh-CN"/>
          <w14:textFill>
            <w14:solidFill>
              <w14:schemeClr w14:val="tx1"/>
            </w14:solidFill>
          </w14:textFill>
        </w:rPr>
        <w:t>；</w:t>
      </w:r>
    </w:p>
    <w:p w14:paraId="2AFD99A5">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w:t>
      </w:r>
      <w:r>
        <w:rPr>
          <w:rFonts w:hint="eastAsia" w:ascii="宋体" w:hAnsi="宋体" w:eastAsia="宋体" w:cs="Times New Roman"/>
          <w:color w:val="000000" w:themeColor="text1"/>
          <w:szCs w:val="21"/>
          <w:highlight w:val="none"/>
          <w:lang w:val="zh-CN"/>
          <w14:textFill>
            <w14:solidFill>
              <w14:schemeClr w14:val="tx1"/>
            </w14:solidFill>
          </w14:textFill>
        </w:rPr>
        <w:t>或签署投标文件时需</w:t>
      </w:r>
      <w:r>
        <w:rPr>
          <w:rFonts w:ascii="宋体" w:hAnsi="宋体" w:eastAsia="宋体" w:cs="Times New Roman"/>
          <w:color w:val="000000" w:themeColor="text1"/>
          <w:szCs w:val="21"/>
          <w:highlight w:val="none"/>
          <w:lang w:val="zh-CN"/>
          <w14:textFill>
            <w14:solidFill>
              <w14:schemeClr w14:val="tx1"/>
            </w14:solidFill>
          </w14:textFill>
        </w:rPr>
        <w:t>同时提供法定代表人授权书）；</w:t>
      </w:r>
    </w:p>
    <w:p w14:paraId="2E6C0CE8">
      <w:pPr>
        <w:autoSpaceDE w:val="0"/>
        <w:autoSpaceDN w:val="0"/>
        <w:adjustRightInd w:val="0"/>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 制造商资格声明和制造商售后服务承诺函及独家授权书；</w:t>
      </w:r>
    </w:p>
    <w:p w14:paraId="135F32FB">
      <w:pPr>
        <w:autoSpaceDE w:val="0"/>
        <w:autoSpaceDN w:val="0"/>
        <w:adjustRightInd w:val="0"/>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a、投标人为在境内依法登记注册、能独立承担民事责任能力，具有生产制造所投螺翼式远传水表能力的制造商时，提供制造商资格声明和制造商售后服务承诺函；</w:t>
      </w:r>
    </w:p>
    <w:p w14:paraId="2A915D8A">
      <w:pPr>
        <w:autoSpaceDE w:val="0"/>
        <w:autoSpaceDN w:val="0"/>
        <w:adjustRightInd w:val="0"/>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b、投标人为所投螺翼式远传水表制造商直接就本次投标独家授权在境内依法登记注册成立、能独立承担民事责任能力的经销商时，提供所投螺翼式远传水表制造商独家授权书和制造商资格声明；</w:t>
      </w:r>
    </w:p>
    <w:p w14:paraId="7604BDE0">
      <w:pPr>
        <w:autoSpaceDE w:val="0"/>
        <w:autoSpaceDN w:val="0"/>
        <w:adjustRightInd w:val="0"/>
        <w:spacing w:line="360" w:lineRule="auto"/>
        <w:ind w:left="283" w:hanging="283" w:hangingChars="135"/>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c、当前述制造商资格声明和制造商独家授权书是由境外品牌境外生产的所投螺翼式远传水表制造商通过境内的办事机构出具时，同时还须提供证明该机构作为境外品牌境外生产的所投螺翼式远传水表制造商在境内的办事机构的证明文件原件扫描件[该证明文件可为显示其作为境外所投螺翼式远传水表制造商分公司的营业执照、或反映其作为境外所投螺翼式远传水表制造商子公司的章程（或出资证明、或反映出资人为境外所投螺翼式远传水表制造商的营业执照）或境外所投所投螺翼式远传水表制造商的书面证明或官网显示其关系的打印件]；</w:t>
      </w:r>
    </w:p>
    <w:p w14:paraId="242B62EE">
      <w:pPr>
        <w:tabs>
          <w:tab w:val="left" w:pos="1276"/>
        </w:tabs>
        <w:spacing w:line="360" w:lineRule="auto"/>
        <w:ind w:left="283" w:hanging="283" w:hangingChars="1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资格业绩【</w:t>
      </w:r>
      <w:r>
        <w:rPr>
          <w:rFonts w:hint="eastAsia" w:ascii="宋体" w:hAnsi="宋体" w:eastAsia="宋体"/>
          <w:color w:val="000000" w:themeColor="text1"/>
          <w:szCs w:val="21"/>
          <w:highlight w:val="none"/>
          <w:lang w:val="zh-CN"/>
          <w14:textFill>
            <w14:solidFill>
              <w14:schemeClr w14:val="tx1"/>
            </w14:solidFill>
          </w14:textFill>
        </w:rPr>
        <w:t>投标人提供一份2022年1月1日以来（合同签订日期为2022年1月1日或以后）螺翼式远传水表在国内的</w:t>
      </w:r>
      <w:r>
        <w:rPr>
          <w:rFonts w:hint="eastAsia" w:ascii="宋体" w:hAnsi="宋体" w:eastAsia="宋体"/>
          <w:color w:val="000000" w:themeColor="text1"/>
          <w:szCs w:val="21"/>
          <w:highlight w:val="none"/>
          <w:lang w:val="en-US" w:eastAsia="zh-CN"/>
          <w14:textFill>
            <w14:solidFill>
              <w14:schemeClr w14:val="tx1"/>
            </w14:solidFill>
          </w14:textFill>
        </w:rPr>
        <w:t>销售</w:t>
      </w:r>
      <w:r>
        <w:rPr>
          <w:rFonts w:hint="eastAsia" w:ascii="宋体" w:hAnsi="宋体" w:eastAsia="宋体"/>
          <w:color w:val="000000" w:themeColor="text1"/>
          <w:szCs w:val="21"/>
          <w:highlight w:val="none"/>
          <w:lang w:val="zh-CN"/>
          <w14:textFill>
            <w14:solidFill>
              <w14:schemeClr w14:val="tx1"/>
            </w14:solidFill>
          </w14:textFill>
        </w:rPr>
        <w:t>业绩</w:t>
      </w:r>
      <w:r>
        <w:rPr>
          <w:rFonts w:hint="eastAsia" w:ascii="宋体" w:hAnsi="宋体" w:eastAsia="宋体"/>
          <w:color w:val="000000" w:themeColor="text1"/>
          <w:szCs w:val="21"/>
          <w:highlight w:val="none"/>
          <w14:textFill>
            <w14:solidFill>
              <w14:schemeClr w14:val="tx1"/>
            </w14:solidFill>
          </w14:textFill>
        </w:rPr>
        <w:t>，资格业绩证明材料提交要求详见招标文件第六篇投标文件格式</w:t>
      </w:r>
      <w:r>
        <w:rPr>
          <w:rFonts w:hint="eastAsia" w:ascii="宋体" w:hAnsi="宋体" w:eastAsia="宋体"/>
          <w:color w:val="000000" w:themeColor="text1"/>
          <w:szCs w:val="21"/>
          <w:highlight w:val="none"/>
          <w:u w:val="single"/>
          <w:lang w:val="en-US" w:eastAsia="zh-CN"/>
          <w14:textFill>
            <w14:solidFill>
              <w14:schemeClr w14:val="tx1"/>
            </w14:solidFill>
          </w14:textFill>
        </w:rPr>
        <w:t>4</w:t>
      </w:r>
      <w:r>
        <w:rPr>
          <w:rFonts w:hint="eastAsia" w:ascii="宋体" w:hAnsi="宋体" w:eastAsia="宋体"/>
          <w:color w:val="000000" w:themeColor="text1"/>
          <w:szCs w:val="21"/>
          <w:highlight w:val="none"/>
          <w:u w:val="single"/>
          <w14:textFill>
            <w14:solidFill>
              <w14:schemeClr w14:val="tx1"/>
            </w14:solidFill>
          </w14:textFill>
        </w:rPr>
        <w:t>.</w:t>
      </w:r>
      <w:r>
        <w:rPr>
          <w:rFonts w:hint="eastAsia" w:ascii="宋体" w:hAnsi="宋体" w:eastAsia="宋体"/>
          <w:color w:val="000000" w:themeColor="text1"/>
          <w:szCs w:val="21"/>
          <w:highlight w:val="none"/>
          <w:u w:val="single"/>
          <w:lang w:val="en-US" w:eastAsia="zh-CN"/>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w:t>
      </w:r>
    </w:p>
    <w:p w14:paraId="7C8A64D5">
      <w:pPr>
        <w:autoSpaceDE w:val="0"/>
        <w:autoSpaceDN w:val="0"/>
        <w:adjustRightInd w:val="0"/>
        <w:spacing w:line="360" w:lineRule="auto"/>
        <w:ind w:left="913" w:hanging="913" w:hangingChars="43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14:paraId="0DD9B2DA">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14:paraId="779EA381">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14:paraId="3F4F3173">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）合同条款响应程度（合同条款偏离表）；</w:t>
      </w:r>
    </w:p>
    <w:p w14:paraId="18B4836E">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zh-CN"/>
          <w14:textFill>
            <w14:solidFill>
              <w14:schemeClr w14:val="tx1"/>
            </w14:solidFill>
          </w14:textFill>
        </w:rPr>
        <w:t>）业绩表；</w:t>
      </w:r>
    </w:p>
    <w:p w14:paraId="34C7A4F1">
      <w:pPr>
        <w:tabs>
          <w:tab w:val="left" w:pos="567"/>
        </w:tabs>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4337821E">
      <w:pPr>
        <w:autoSpaceDE w:val="0"/>
        <w:autoSpaceDN w:val="0"/>
        <w:adjustRightInd w:val="0"/>
        <w:spacing w:line="360" w:lineRule="auto"/>
        <w:ind w:left="422" w:leftChars="-100" w:hanging="632" w:hangingChars="300"/>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技术标：</w:t>
      </w:r>
    </w:p>
    <w:p w14:paraId="5F41ACD7">
      <w:pPr>
        <w:autoSpaceDE w:val="0"/>
        <w:autoSpaceDN w:val="0"/>
        <w:adjustRightInd w:val="0"/>
        <w:spacing w:line="360" w:lineRule="auto"/>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14:paraId="3EFA915C">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w:t>
      </w:r>
    </w:p>
    <w:p w14:paraId="430FED1D">
      <w:pPr>
        <w:spacing w:line="360" w:lineRule="auto"/>
        <w:ind w:left="105" w:leftChars="-100" w:hanging="315" w:hangingChars="15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（2）供货货物清单表</w:t>
      </w:r>
      <w:r>
        <w:rPr>
          <w:rFonts w:hint="eastAsia" w:ascii="宋体" w:hAnsi="宋体" w:eastAsia="宋体" w:cs="宋体"/>
          <w:color w:val="000000" w:themeColor="text1"/>
          <w:kern w:val="0"/>
          <w:szCs w:val="21"/>
          <w:highlight w:val="none"/>
          <w:lang w:val="zh-CN"/>
          <w14:textFill>
            <w14:solidFill>
              <w14:schemeClr w14:val="tx1"/>
            </w14:solidFill>
          </w14:textFill>
        </w:rPr>
        <w:t>（货物明细中</w:t>
      </w:r>
      <w:r>
        <w:rPr>
          <w:rFonts w:hint="eastAsia" w:ascii="宋体" w:hAnsi="宋体" w:eastAsia="宋体" w:cs="宋体"/>
          <w:color w:val="000000" w:themeColor="text1"/>
          <w:kern w:val="0"/>
          <w:szCs w:val="21"/>
          <w:highlight w:val="none"/>
          <w:lang w:val="en-US" w:eastAsia="zh-CN"/>
          <w14:textFill>
            <w14:solidFill>
              <w14:schemeClr w14:val="tx1"/>
            </w14:solidFill>
          </w14:textFill>
        </w:rPr>
        <w:t>包含</w:t>
      </w:r>
      <w:r>
        <w:rPr>
          <w:rFonts w:hint="eastAsia" w:ascii="宋体" w:hAnsi="宋体" w:eastAsia="宋体" w:cs="宋体"/>
          <w:color w:val="000000" w:themeColor="text1"/>
          <w:kern w:val="0"/>
          <w:szCs w:val="21"/>
          <w:highlight w:val="none"/>
          <w:lang w:val="zh-CN"/>
          <w14:textFill>
            <w14:solidFill>
              <w14:schemeClr w14:val="tx1"/>
            </w14:solidFill>
          </w14:textFill>
        </w:rPr>
        <w:t>的货物名称、品牌、产地、规格、型号、数量的内容</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14:paraId="2566CC28">
      <w:pPr>
        <w:spacing w:line="360" w:lineRule="auto"/>
        <w:ind w:left="105" w:leftChars="-100" w:hanging="315" w:hangingChars="15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研发能力及产品先进性的证明材料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6A3E5C15">
      <w:pPr>
        <w:numPr>
          <w:ilvl w:val="-1"/>
          <w:numId w:val="0"/>
        </w:numPr>
        <w:spacing w:line="360" w:lineRule="auto"/>
        <w:ind w:left="105" w:leftChars="-100" w:hanging="315" w:hangingChars="15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投标产品的设计及性能的证明材料</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p>
    <w:p w14:paraId="26AC556D">
      <w:pPr>
        <w:numPr>
          <w:ilvl w:val="-1"/>
          <w:numId w:val="0"/>
        </w:numPr>
        <w:spacing w:line="360" w:lineRule="auto"/>
        <w:ind w:left="105" w:leftChars="-100" w:hanging="315" w:hangingChars="15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生产制造能力的证明材料</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31F6046C">
      <w:pPr>
        <w:spacing w:line="360" w:lineRule="auto"/>
        <w:ind w:left="105" w:leftChars="-100" w:hanging="315" w:hangingChars="15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售后服务方案；</w:t>
      </w:r>
    </w:p>
    <w:p w14:paraId="591E684E">
      <w:pPr>
        <w:numPr>
          <w:ilvl w:val="-1"/>
          <w:numId w:val="0"/>
        </w:numPr>
        <w:spacing w:line="360" w:lineRule="auto"/>
        <w:ind w:left="105" w:leftChars="-100" w:hanging="315" w:hangingChars="1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1E30D8FE">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w:t>
      </w:r>
      <w:r>
        <w:rPr>
          <w:rFonts w:hint="eastAsia" w:ascii="宋体" w:hAnsi="宋体" w:eastAsia="宋体" w:cs="宋体"/>
          <w:b/>
          <w:bCs/>
          <w:color w:val="000000" w:themeColor="text1"/>
          <w:szCs w:val="21"/>
          <w:highlight w:val="none"/>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 xml:space="preserve"> 报价信封</w:t>
      </w:r>
    </w:p>
    <w:p w14:paraId="04BB8CCC">
      <w:pPr>
        <w:autoSpaceDE w:val="0"/>
        <w:autoSpaceDN w:val="0"/>
        <w:adjustRightInd w:val="0"/>
        <w:spacing w:line="360" w:lineRule="auto"/>
        <w:ind w:left="420" w:left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按照投标文件格式中的要求进行编制。</w:t>
      </w:r>
    </w:p>
    <w:p w14:paraId="6005E617">
      <w:pPr>
        <w:autoSpaceDE w:val="0"/>
        <w:autoSpaceDN w:val="0"/>
        <w:adjustRightInd w:val="0"/>
        <w:spacing w:line="360" w:lineRule="auto"/>
        <w:ind w:left="317" w:leftChars="-100" w:hanging="527" w:hangingChars="250"/>
        <w:rPr>
          <w:rFonts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 xml:space="preserve">9.2  </w:t>
      </w:r>
      <w:r>
        <w:rPr>
          <w:rFonts w:hint="eastAsia" w:ascii="宋体" w:hAnsi="宋体" w:eastAsia="宋体" w:cs="宋体"/>
          <w:b/>
          <w:bCs/>
          <w:color w:val="000000" w:themeColor="text1"/>
          <w:szCs w:val="21"/>
          <w:highlight w:val="none"/>
          <w14:textFill>
            <w14:solidFill>
              <w14:schemeClr w14:val="tx1"/>
            </w14:solidFill>
          </w14:textFill>
        </w:rPr>
        <w:t>投标文件格式</w:t>
      </w:r>
      <w:r>
        <w:rPr>
          <w:rFonts w:ascii="宋体" w:hAnsi="宋体" w:eastAsia="宋体" w:cs="宋体"/>
          <w:b/>
          <w:bCs/>
          <w:color w:val="000000" w:themeColor="text1"/>
          <w:szCs w:val="21"/>
          <w:highlight w:val="none"/>
          <w14:textFill>
            <w14:solidFill>
              <w14:schemeClr w14:val="tx1"/>
            </w14:solidFill>
          </w14:textFill>
        </w:rPr>
        <w:t xml:space="preserve"> </w:t>
      </w:r>
    </w:p>
    <w:p w14:paraId="1D3672C3">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）商务标必须按招标文件所附的商务标格式编制（参见第六篇）。</w:t>
      </w:r>
    </w:p>
    <w:p w14:paraId="6C964976">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）技术标必须按招标文件所附的技术标格式编制（参见第六篇）。</w:t>
      </w:r>
    </w:p>
    <w:p w14:paraId="3BC68D26">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）报价信封由投标人使用电子标书制作软件编制（参见第六篇）。</w:t>
      </w:r>
    </w:p>
    <w:p w14:paraId="5DF94D13">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 xml:space="preserve">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w:t>
      </w:r>
    </w:p>
    <w:p w14:paraId="37F2492A">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14:paraId="7CCAEE2C">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14:paraId="4709DCF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55" w:name="_Toc8675_WPSOffice_Level3"/>
      <w:bookmarkStart w:id="156" w:name="_Toc142508324"/>
      <w:bookmarkStart w:id="157" w:name="_Toc486167674"/>
      <w:bookmarkStart w:id="158" w:name="_Toc8162"/>
      <w:bookmarkStart w:id="159" w:name="_Toc11170"/>
      <w:bookmarkStart w:id="160" w:name="_Toc27646"/>
      <w:bookmarkStart w:id="161" w:name="_Toc13214"/>
      <w:bookmarkStart w:id="162" w:name="_Toc450662860"/>
      <w:bookmarkStart w:id="163" w:name="_Toc8030"/>
      <w:bookmarkStart w:id="164" w:name="_Toc195714228"/>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55"/>
      <w:bookmarkEnd w:id="156"/>
      <w:bookmarkEnd w:id="157"/>
      <w:bookmarkEnd w:id="158"/>
      <w:bookmarkEnd w:id="159"/>
      <w:bookmarkEnd w:id="160"/>
      <w:bookmarkEnd w:id="161"/>
      <w:bookmarkEnd w:id="162"/>
      <w:bookmarkEnd w:id="163"/>
      <w:bookmarkEnd w:id="164"/>
    </w:p>
    <w:p w14:paraId="59104AA3">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14:paraId="3E0DCBD3">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14:paraId="51B50A3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65" w:name="_Toc486167675"/>
      <w:bookmarkStart w:id="166" w:name="_Toc4385_WPSOffice_Level3"/>
      <w:bookmarkStart w:id="167" w:name="_Toc11159"/>
      <w:bookmarkStart w:id="168" w:name="_Toc142508325"/>
      <w:bookmarkStart w:id="169" w:name="_Toc3621"/>
      <w:bookmarkStart w:id="170" w:name="_Toc24311"/>
      <w:bookmarkStart w:id="171" w:name="_Toc8771"/>
      <w:bookmarkStart w:id="172" w:name="_Toc195714229"/>
      <w:bookmarkStart w:id="173" w:name="_Toc15427"/>
      <w:bookmarkStart w:id="174" w:name="_Toc450662861"/>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165"/>
      <w:bookmarkEnd w:id="166"/>
      <w:bookmarkEnd w:id="167"/>
      <w:bookmarkEnd w:id="168"/>
      <w:bookmarkEnd w:id="169"/>
      <w:bookmarkEnd w:id="170"/>
      <w:bookmarkEnd w:id="171"/>
      <w:bookmarkEnd w:id="172"/>
      <w:bookmarkEnd w:id="173"/>
      <w:bookmarkEnd w:id="174"/>
    </w:p>
    <w:p w14:paraId="53070389">
      <w:pPr>
        <w:tabs>
          <w:tab w:val="left" w:pos="567"/>
        </w:tabs>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 xml:space="preserve">11.1 </w:t>
      </w:r>
      <w:r>
        <w:rPr>
          <w:rFonts w:hint="eastAsia" w:ascii="宋体" w:hAnsi="宋体" w:eastAsia="宋体" w:cs="Times New Roman"/>
          <w:b/>
          <w:color w:val="000000" w:themeColor="text1"/>
          <w:szCs w:val="21"/>
          <w:highlight w:val="none"/>
          <w:lang w:val="zh-CN"/>
          <w14:textFill>
            <w14:solidFill>
              <w14:schemeClr w14:val="tx1"/>
            </w14:solidFill>
          </w14:textFill>
        </w:rPr>
        <w:t>本项目的投标报价采用填报投标折扣系数的方式，任何有选择的或</w:t>
      </w:r>
      <w:r>
        <w:rPr>
          <w:rFonts w:hint="eastAsia" w:ascii="宋体" w:hAnsi="宋体" w:eastAsia="宋体" w:cs="Times New Roman"/>
          <w:b/>
          <w:color w:val="000000" w:themeColor="text1"/>
          <w:kern w:val="0"/>
          <w:szCs w:val="21"/>
          <w:highlight w:val="none"/>
          <w:lang w:val="zh-CN"/>
          <w14:textFill>
            <w14:solidFill>
              <w14:schemeClr w14:val="tx1"/>
            </w14:solidFill>
          </w14:textFill>
        </w:rPr>
        <w:t>不是固定价的</w:t>
      </w:r>
      <w:r>
        <w:rPr>
          <w:rFonts w:hint="eastAsia" w:ascii="宋体" w:hAnsi="宋体" w:eastAsia="宋体" w:cs="Times New Roman"/>
          <w:b/>
          <w:color w:val="000000" w:themeColor="text1"/>
          <w:szCs w:val="21"/>
          <w:highlight w:val="none"/>
          <w:lang w:val="zh-CN"/>
          <w14:textFill>
            <w14:solidFill>
              <w14:schemeClr w14:val="tx1"/>
            </w14:solidFill>
          </w14:textFill>
        </w:rPr>
        <w:t>投标报价将不予接受，</w:t>
      </w:r>
      <w:r>
        <w:rPr>
          <w:rFonts w:hint="eastAsia" w:ascii="宋体" w:hAnsi="宋体" w:eastAsia="宋体" w:cs="Times New Roman"/>
          <w:b/>
          <w:color w:val="000000" w:themeColor="text1"/>
          <w:kern w:val="0"/>
          <w:szCs w:val="21"/>
          <w:highlight w:val="none"/>
          <w:lang w:val="zh-CN"/>
          <w14:textFill>
            <w14:solidFill>
              <w14:schemeClr w14:val="tx1"/>
            </w14:solidFill>
          </w14:textFill>
        </w:rPr>
        <w:t>作为非实质性响应投标而予以拒绝。</w:t>
      </w:r>
      <w:r>
        <w:rPr>
          <w:rFonts w:hint="eastAsia" w:ascii="宋体" w:hAnsi="宋体" w:eastAsia="宋体" w:cs="Times New Roman"/>
          <w:b/>
          <w:color w:val="000000" w:themeColor="text1"/>
          <w:kern w:val="0"/>
          <w:szCs w:val="21"/>
          <w:highlight w:val="none"/>
          <w14:textFill>
            <w14:solidFill>
              <w14:schemeClr w14:val="tx1"/>
            </w14:solidFill>
          </w14:textFill>
        </w:rPr>
        <w:t>投标人不得以低于企业自身成本的价格竞投</w:t>
      </w:r>
      <w:r>
        <w:rPr>
          <w:rFonts w:hint="eastAsia" w:ascii="宋体" w:hAnsi="宋体" w:eastAsia="宋体" w:cs="宋体"/>
          <w:b/>
          <w:color w:val="000000" w:themeColor="text1"/>
          <w:szCs w:val="21"/>
          <w:highlight w:val="none"/>
          <w:lang w:val="zh-CN"/>
          <w14:textFill>
            <w14:solidFill>
              <w14:schemeClr w14:val="tx1"/>
            </w14:solidFill>
          </w14:textFill>
        </w:rPr>
        <w:t>。</w:t>
      </w:r>
    </w:p>
    <w:p w14:paraId="3A3ABFFE">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5012837A">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对是否低于企业成本价报价的事宜有争议的投标文件，评标委员会成员将以记名方式表决，</w:t>
      </w:r>
      <w:r>
        <w:rPr>
          <w:rFonts w:hint="eastAsia" w:ascii="宋体" w:hAnsi="宋体" w:eastAsia="宋体" w:cs="宋体"/>
          <w:b/>
          <w:color w:val="000000" w:themeColor="text1"/>
          <w:szCs w:val="21"/>
          <w:highlight w:val="none"/>
          <w14:textFill>
            <w14:solidFill>
              <w14:schemeClr w14:val="tx1"/>
            </w14:solidFill>
          </w14:textFill>
        </w:rPr>
        <w:t>根据少数服从多数的原则，获多数表决通过</w:t>
      </w:r>
      <w:r>
        <w:rPr>
          <w:rFonts w:hint="eastAsia" w:ascii="宋体" w:hAnsi="宋体" w:eastAsia="宋体" w:cs="宋体"/>
          <w:b/>
          <w:color w:val="000000" w:themeColor="text1"/>
          <w:szCs w:val="21"/>
          <w:highlight w:val="none"/>
          <w:lang w:val="zh-CN"/>
          <w14:textFill>
            <w14:solidFill>
              <w14:schemeClr w14:val="tx1"/>
            </w14:solidFill>
          </w14:textFill>
        </w:rPr>
        <w:t>的投标人才有资格进入下一阶段的评审，否则将按无效投标处理。</w:t>
      </w:r>
    </w:p>
    <w:p w14:paraId="792D1D9B">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本项目的投标报价采用统一折扣系数报价，合同履约过程中，按货物清单中不含税中标综合单价以实际供货数量进行结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000000" w:themeColor="text1"/>
          <w:szCs w:val="21"/>
          <w:highlight w:val="none"/>
          <w:u w:val="single"/>
          <w:lang w:val="zh-CN"/>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szCs w:val="21"/>
          <w:highlight w:val="none"/>
          <w:u w:val="single"/>
          <w:lang w:val="zh-CN"/>
          <w14:textFill>
            <w14:solidFill>
              <w14:schemeClr w14:val="tx1"/>
            </w14:solidFill>
          </w14:textFill>
        </w:rPr>
        <w:t>91</w:t>
      </w:r>
      <w:r>
        <w:rPr>
          <w:rFonts w:hint="eastAsia" w:ascii="宋体" w:hAnsi="宋体" w:eastAsia="宋体" w:cs="Times New Roman"/>
          <w:b/>
          <w:color w:val="000000" w:themeColor="text1"/>
          <w:szCs w:val="21"/>
          <w:highlight w:val="none"/>
          <w:u w:val="single"/>
          <w:lang w:val="zh-CN"/>
          <w14:textFill>
            <w14:solidFill>
              <w14:schemeClr w14:val="tx1"/>
            </w14:solidFill>
          </w14:textFill>
        </w:rPr>
        <w:t>号修订版）规定的销售额</w:t>
      </w:r>
      <w:r>
        <w:rPr>
          <w:rFonts w:hint="eastAsia" w:ascii="宋体" w:hAnsi="宋体" w:eastAsia="宋体" w:cs="Times New Roman"/>
          <w:color w:val="000000" w:themeColor="text1"/>
          <w:szCs w:val="21"/>
          <w:highlight w:val="none"/>
          <w:lang w:val="zh-CN"/>
          <w14:textFill>
            <w14:solidFill>
              <w14:schemeClr w14:val="tx1"/>
            </w14:solidFill>
          </w14:textFill>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000000" w:themeColor="text1"/>
          <w:kern w:val="0"/>
          <w:szCs w:val="21"/>
          <w:highlight w:val="none"/>
          <w14:textFill>
            <w14:solidFill>
              <w14:schemeClr w14:val="tx1"/>
            </w14:solidFill>
          </w14:textFill>
        </w:rPr>
        <w:t>本采购项目投标报价已含投标人履行本招标内容全部义务的一切费用，包括但不限于：</w:t>
      </w:r>
    </w:p>
    <w:p w14:paraId="5DC01DBB">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招标</w:t>
      </w:r>
      <w:r>
        <w:rPr>
          <w:rFonts w:hint="eastAsia" w:ascii="宋体" w:hAnsi="宋体" w:eastAsia="宋体" w:cs="宋体"/>
          <w:color w:val="000000" w:themeColor="text1"/>
          <w:szCs w:val="21"/>
          <w:highlight w:val="none"/>
          <w:lang w:val="zh-CN"/>
          <w14:textFill>
            <w14:solidFill>
              <w14:schemeClr w14:val="tx1"/>
            </w14:solidFill>
          </w14:textFill>
        </w:rPr>
        <w:t>范围内所有水表及其附件的制造及系统集成、印刷费、检定、运输（至招标人指定的仓库或项目现场）、保险、装卸、远传调试，验收等费用；</w:t>
      </w:r>
    </w:p>
    <w:p w14:paraId="742FBE98">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（2）按招标文件及合同要求提供各阶段的纸质和电子版技术资料，包括货物及其工艺所有制造方、使用方应支付的对商标权、专利权和版权、设计或其他知识产权而需要向其他方支付的版税及其他相关费用；</w:t>
      </w:r>
    </w:p>
    <w:p w14:paraId="1A115129">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（3）验收时为达到相关标准而可能增加的、不合格货物更换、零配件更换等费用；</w:t>
      </w:r>
    </w:p>
    <w:p w14:paraId="786E5678">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（4）设备备品备件（含零配件）、设备拆装维修所需特殊专用工具购置费；</w:t>
      </w:r>
    </w:p>
    <w:p w14:paraId="6C429CF8">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（5）日常技术指导，免费的质保期保修服务，包括但不限于对设备的运行指导，免费维修、保修或更换配件，在设备出现严重故障、影响正常运行、修复有困难的情况下，对设备进行免费更换的费用；</w:t>
      </w:r>
    </w:p>
    <w:p w14:paraId="5D66C010">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（6）招标供货清单虽未列出，但根据设计图纸或为满足设计功能所必需的设备材料购置费；</w:t>
      </w:r>
    </w:p>
    <w:p w14:paraId="62D27D3B">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（7）合理利润、投标人销项税额以外的税费、</w:t>
      </w:r>
      <w:r>
        <w:rPr>
          <w:rFonts w:hint="eastAsia" w:ascii="宋体" w:hAnsi="宋体" w:eastAsia="宋体" w:cs="宋体"/>
          <w:color w:val="000000" w:themeColor="text1"/>
          <w:szCs w:val="21"/>
          <w:highlight w:val="none"/>
          <w:lang w:val="en-US" w:eastAsia="zh-CN"/>
          <w14:textFill>
            <w14:solidFill>
              <w14:schemeClr w14:val="tx1"/>
            </w14:solidFill>
          </w14:textFill>
        </w:rPr>
        <w:t>中标服务费</w:t>
      </w:r>
      <w:r>
        <w:rPr>
          <w:rFonts w:hint="eastAsia" w:ascii="宋体" w:hAnsi="宋体" w:eastAsia="宋体" w:cs="宋体"/>
          <w:color w:val="000000" w:themeColor="text1"/>
          <w:szCs w:val="21"/>
          <w:highlight w:val="none"/>
          <w:lang w:val="zh-CN"/>
          <w14:textFill>
            <w14:solidFill>
              <w14:schemeClr w14:val="tx1"/>
            </w14:solidFill>
          </w14:textFill>
        </w:rPr>
        <w:t>等；</w:t>
      </w:r>
    </w:p>
    <w:p w14:paraId="71F4E12F">
      <w:pPr>
        <w:autoSpaceDE w:val="0"/>
        <w:autoSpaceDN w:val="0"/>
        <w:adjustRightInd w:val="0"/>
        <w:spacing w:line="360" w:lineRule="auto"/>
        <w:ind w:left="357" w:leftChars="-100" w:hanging="567"/>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（8）法律法规、商业公认、招标文件规定由投标人承担的其他费用。</w:t>
      </w:r>
    </w:p>
    <w:p w14:paraId="705F6E2C">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投标人根据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000000" w:themeColor="text1"/>
          <w:highlight w:val="none"/>
          <w14:textFill>
            <w14:solidFill>
              <w14:schemeClr w14:val="tx1"/>
            </w14:solidFill>
          </w14:textFill>
        </w:rPr>
        <w:fldChar w:fldCharType="separate"/>
      </w:r>
      <w:r>
        <w:rPr>
          <w:rFonts w:hint="eastAsia" w:ascii="宋体" w:hAnsi="宋体" w:eastAsia="宋体" w:cs="Times New Roman"/>
          <w:color w:val="000000" w:themeColor="text1"/>
          <w:szCs w:val="21"/>
          <w:highlight w:val="none"/>
          <w:lang w:val="zh-CN"/>
          <w14:textFill>
            <w14:solidFill>
              <w14:schemeClr w14:val="tx1"/>
            </w14:solidFill>
          </w14:textFill>
        </w:rPr>
        <w:t>第</w:t>
      </w:r>
      <w:r>
        <w:rPr>
          <w:rFonts w:ascii="宋体" w:hAnsi="宋体" w:eastAsia="宋体" w:cs="Times New Roman"/>
          <w:color w:val="000000" w:themeColor="text1"/>
          <w:szCs w:val="21"/>
          <w:highlight w:val="none"/>
          <w:lang w:val="zh-CN"/>
          <w14:textFill>
            <w14:solidFill>
              <w14:schemeClr w14:val="tx1"/>
            </w14:solidFill>
          </w14:textFill>
        </w:rPr>
        <w:t>11.</w:t>
      </w: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款</w:t>
      </w:r>
      <w:r>
        <w:rPr>
          <w:rFonts w:hint="eastAsia" w:ascii="宋体" w:hAnsi="宋体" w:eastAsia="宋体" w:cs="Times New Roman"/>
          <w:color w:val="000000" w:themeColor="text1"/>
          <w:szCs w:val="21"/>
          <w:highlight w:val="none"/>
          <w:lang w:val="zh-CN"/>
          <w14:textFill>
            <w14:solidFill>
              <w14:schemeClr w14:val="tx1"/>
            </w14:solidFill>
          </w14:textFill>
        </w:rPr>
        <w:fldChar w:fldCharType="end"/>
      </w:r>
      <w:r>
        <w:rPr>
          <w:rFonts w:hint="eastAsia" w:ascii="宋体" w:hAnsi="宋体" w:eastAsia="宋体" w:cs="Times New Roman"/>
          <w:color w:val="000000" w:themeColor="text1"/>
          <w:szCs w:val="21"/>
          <w:highlight w:val="none"/>
          <w:lang w:val="zh-CN"/>
          <w14:textFill>
            <w14:solidFill>
              <w14:schemeClr w14:val="tx1"/>
            </w14:solidFill>
          </w14:textFill>
        </w:rPr>
        <w:t>所报的价格仅供评标委员会评审时使用；在任何情况下不限制投标人以不同的条件中标的权利。</w:t>
      </w:r>
    </w:p>
    <w:p w14:paraId="1D25B167">
      <w:pPr>
        <w:autoSpaceDE w:val="0"/>
        <w:autoSpaceDN w:val="0"/>
        <w:adjustRightInd w:val="0"/>
        <w:spacing w:line="360" w:lineRule="auto"/>
        <w:ind w:left="268" w:leftChars="-100" w:hanging="478" w:hangingChars="228"/>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 在合同期间，投标报价不随国家政策或法规、标准、市场因素及采购数量的变化而进行调整</w:t>
      </w:r>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23FC0DCF">
      <w:pPr>
        <w:autoSpaceDE w:val="0"/>
        <w:autoSpaceDN w:val="0"/>
        <w:adjustRightInd w:val="0"/>
        <w:spacing w:line="360" w:lineRule="auto"/>
        <w:ind w:left="357" w:leftChars="-100" w:hanging="567"/>
        <w:rPr>
          <w:rFonts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11.5 </w:t>
      </w:r>
      <w:r>
        <w:rPr>
          <w:rFonts w:hint="eastAsia" w:ascii="宋体" w:hAnsi="宋体" w:eastAsia="宋体" w:cs="Times New Roman"/>
          <w:b/>
          <w:bCs/>
          <w:color w:val="000000" w:themeColor="text1"/>
          <w:szCs w:val="21"/>
          <w:highlight w:val="none"/>
          <w:lang w:val="zh-CN"/>
          <w14:textFill>
            <w14:solidFill>
              <w14:schemeClr w14:val="tx1"/>
            </w14:solidFill>
          </w14:textFill>
        </w:rPr>
        <w:t>合同项下，招标人需要的</w:t>
      </w:r>
      <w:r>
        <w:rPr>
          <w:rFonts w:hint="eastAsia" w:ascii="宋体" w:hAnsi="宋体" w:eastAsia="宋体" w:cs="Times New Roman"/>
          <w:b/>
          <w:bCs/>
          <w:color w:val="000000" w:themeColor="text1"/>
          <w:szCs w:val="21"/>
          <w:highlight w:val="none"/>
          <w14:textFill>
            <w14:solidFill>
              <w14:schemeClr w14:val="tx1"/>
            </w14:solidFill>
          </w14:textFill>
        </w:rPr>
        <w:t>货物及有关</w:t>
      </w:r>
      <w:r>
        <w:rPr>
          <w:rFonts w:hint="eastAsia" w:ascii="宋体" w:hAnsi="宋体" w:eastAsia="宋体" w:cs="Times New Roman"/>
          <w:b/>
          <w:bCs/>
          <w:color w:val="000000" w:themeColor="text1"/>
          <w:szCs w:val="21"/>
          <w:highlight w:val="none"/>
          <w:lang w:val="zh-CN"/>
          <w14:textFill>
            <w14:solidFill>
              <w14:schemeClr w14:val="tx1"/>
            </w14:solidFill>
          </w14:textFill>
        </w:rPr>
        <w:t>服务所需的费用，投标人都应计入投标报价总价。</w:t>
      </w:r>
    </w:p>
    <w:p w14:paraId="43C36B20">
      <w:pPr>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11.6</w:t>
      </w:r>
      <w:r>
        <w:rPr>
          <w:rFonts w:hint="eastAsia" w:ascii="宋体" w:hAnsi="宋体" w:eastAsia="宋体" w:cs="Times New Roman"/>
          <w:b/>
          <w:bCs/>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zh-CN"/>
          <w14:textFill>
            <w14:solidFill>
              <w14:schemeClr w14:val="tx1"/>
            </w14:solidFill>
          </w14:textFill>
        </w:rPr>
        <w:t>投标人的投标折扣系数报价不得超过1</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.00</w:t>
      </w:r>
      <w:r>
        <w:rPr>
          <w:rFonts w:hint="eastAsia" w:ascii="宋体" w:hAnsi="宋体" w:eastAsia="宋体" w:cs="宋体"/>
          <w:b/>
          <w:color w:val="000000" w:themeColor="text1"/>
          <w:szCs w:val="21"/>
          <w:highlight w:val="none"/>
          <w:u w:val="single"/>
          <w:lang w:val="zh-CN"/>
          <w14:textFill>
            <w14:solidFill>
              <w14:schemeClr w14:val="tx1"/>
            </w14:solidFill>
          </w14:textFill>
        </w:rPr>
        <w:t>，且不能为0</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.00</w:t>
      </w:r>
      <w:r>
        <w:rPr>
          <w:rFonts w:hint="eastAsia" w:ascii="宋体" w:hAnsi="宋体" w:eastAsia="宋体" w:cs="宋体"/>
          <w:b/>
          <w:color w:val="000000" w:themeColor="text1"/>
          <w:szCs w:val="21"/>
          <w:highlight w:val="none"/>
          <w:u w:val="single"/>
          <w:lang w:val="zh-CN"/>
          <w14:textFill>
            <w14:solidFill>
              <w14:schemeClr w14:val="tx1"/>
            </w14:solidFill>
          </w14:textFill>
        </w:rPr>
        <w:t>或负数，投标折扣系数报价最多保留小数点后两位。投标人未按招标文件要求进行投标折扣系数报价的，该投标人的投标文件将被视为无效投标。本项目的不含税最高投标限价</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为11</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559</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304.54</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元</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（大写</w:t>
      </w:r>
      <w:r>
        <w:rPr>
          <w:rFonts w:hint="eastAsia" w:ascii="宋体" w:hAnsi="宋体" w:eastAsia="宋体" w:cs="宋体"/>
          <w:b/>
          <w:color w:val="000000" w:themeColor="text1"/>
          <w:szCs w:val="21"/>
          <w:highlight w:val="none"/>
          <w:u w:val="single"/>
          <w:lang w:val="zh-CN"/>
          <w14:textFill>
            <w14:solidFill>
              <w14:schemeClr w14:val="tx1"/>
            </w14:solidFill>
          </w14:textFill>
        </w:rPr>
        <w:t>：人民币</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壹仟壹佰伍拾伍万玖仟叁佰零肆元伍角肆分</w:t>
      </w:r>
      <w:r>
        <w:rPr>
          <w:rFonts w:hint="eastAsia" w:ascii="宋体" w:hAnsi="宋体" w:eastAsia="宋体" w:cs="宋体"/>
          <w:b/>
          <w:color w:val="000000" w:themeColor="text1"/>
          <w:szCs w:val="21"/>
          <w:highlight w:val="none"/>
          <w:u w:val="single"/>
          <w:lang w:val="zh-CN"/>
          <w14:textFill>
            <w14:solidFill>
              <w14:schemeClr w14:val="tx1"/>
            </w14:solidFill>
          </w14:textFill>
        </w:rPr>
        <w:t>）。</w:t>
      </w:r>
    </w:p>
    <w:p w14:paraId="561D6C0E">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14:paraId="32C26EAC">
      <w:pPr>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175" w:name="_Toc20827"/>
      <w:bookmarkStart w:id="176" w:name="_Toc20312"/>
      <w:bookmarkStart w:id="177" w:name="_Toc450662862"/>
      <w:bookmarkStart w:id="178" w:name="_Toc195714230"/>
      <w:bookmarkStart w:id="179" w:name="_Toc30042_WPSOffice_Level3"/>
      <w:bookmarkStart w:id="180" w:name="_Toc3469"/>
      <w:bookmarkStart w:id="181" w:name="_Toc25456"/>
      <w:bookmarkStart w:id="182" w:name="_Toc142508326"/>
      <w:bookmarkStart w:id="183" w:name="_Toc486167676"/>
      <w:bookmarkStart w:id="184" w:name="_Toc6353"/>
      <w:r>
        <w:rPr>
          <w:rFonts w:hint="eastAsia" w:ascii="宋体" w:hAnsi="宋体" w:eastAsia="宋体" w:cs="宋体"/>
          <w:b/>
          <w:color w:val="000000" w:themeColor="text1"/>
          <w:szCs w:val="21"/>
          <w:highlight w:val="none"/>
          <w:lang w:val="zh-CN"/>
          <w14:textFill>
            <w14:solidFill>
              <w14:schemeClr w14:val="tx1"/>
            </w14:solidFill>
          </w14:textFill>
        </w:rPr>
        <w:t>12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投标报价货币</w:t>
      </w:r>
      <w:bookmarkEnd w:id="175"/>
      <w:bookmarkEnd w:id="176"/>
      <w:bookmarkEnd w:id="177"/>
      <w:bookmarkEnd w:id="178"/>
      <w:bookmarkEnd w:id="179"/>
      <w:bookmarkEnd w:id="180"/>
      <w:bookmarkEnd w:id="181"/>
      <w:bookmarkEnd w:id="182"/>
      <w:bookmarkEnd w:id="183"/>
      <w:bookmarkEnd w:id="184"/>
    </w:p>
    <w:p w14:paraId="75C5C608">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报价表上的价格须以人民币报价，以其</w:t>
      </w:r>
      <w:r>
        <w:rPr>
          <w:rFonts w:hint="eastAsia" w:ascii="宋体" w:hAnsi="宋体" w:eastAsia="宋体" w:cs="Times New Roman"/>
          <w:b/>
          <w:color w:val="000000" w:themeColor="text1"/>
          <w:szCs w:val="21"/>
          <w:highlight w:val="none"/>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14:paraId="391BE8E4">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14:paraId="6085C700">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85" w:name="_Toc9411_WPSOffice_Level3"/>
      <w:bookmarkStart w:id="186" w:name="_Toc32649"/>
      <w:bookmarkStart w:id="187" w:name="_Toc142508327"/>
      <w:bookmarkStart w:id="188" w:name="_Toc450662863"/>
      <w:bookmarkStart w:id="189" w:name="_Toc10342"/>
      <w:bookmarkStart w:id="190" w:name="_Toc20031"/>
      <w:bookmarkStart w:id="191" w:name="_Toc195714231"/>
      <w:bookmarkStart w:id="192" w:name="_Toc3961"/>
      <w:bookmarkStart w:id="193" w:name="_Toc19719"/>
      <w:bookmarkStart w:id="194" w:name="_Toc486167677"/>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185"/>
      <w:bookmarkEnd w:id="186"/>
      <w:bookmarkEnd w:id="187"/>
      <w:bookmarkEnd w:id="188"/>
      <w:bookmarkEnd w:id="189"/>
      <w:bookmarkEnd w:id="190"/>
      <w:bookmarkEnd w:id="191"/>
      <w:bookmarkEnd w:id="192"/>
      <w:bookmarkEnd w:id="193"/>
      <w:bookmarkEnd w:id="194"/>
    </w:p>
    <w:p w14:paraId="67D83F40">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14:paraId="0C8EC7AE">
      <w:pPr>
        <w:autoSpaceDE w:val="0"/>
        <w:autoSpaceDN w:val="0"/>
        <w:adjustRightInd w:val="0"/>
        <w:spacing w:line="360" w:lineRule="auto"/>
        <w:ind w:left="357" w:leftChars="-100" w:hanging="567"/>
        <w:rPr>
          <w:rFonts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14:paraId="74A40DE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14:paraId="708A0A1E">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14:paraId="3F094F6E">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14:paraId="453A9131">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14:paraId="3C0CB44C">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14:paraId="1C9DE65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95" w:name="_Toc450662864"/>
      <w:bookmarkStart w:id="196" w:name="_Toc29754"/>
      <w:bookmarkStart w:id="197" w:name="_Toc5318"/>
      <w:bookmarkStart w:id="198" w:name="_Toc195714232"/>
      <w:bookmarkStart w:id="199" w:name="_Toc8615"/>
      <w:bookmarkStart w:id="200" w:name="_Toc142508328"/>
      <w:bookmarkStart w:id="201" w:name="_Toc10286"/>
      <w:bookmarkStart w:id="202" w:name="_Toc27771_WPSOffice_Level3"/>
      <w:bookmarkStart w:id="203" w:name="_Toc486167678"/>
      <w:bookmarkStart w:id="204" w:name="_Toc30193"/>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证明货物的合格性并符合招标文件规定的声明文件</w:t>
      </w:r>
      <w:bookmarkEnd w:id="195"/>
      <w:bookmarkEnd w:id="196"/>
      <w:bookmarkEnd w:id="197"/>
      <w:bookmarkEnd w:id="198"/>
      <w:bookmarkEnd w:id="199"/>
      <w:bookmarkEnd w:id="200"/>
      <w:bookmarkEnd w:id="201"/>
      <w:bookmarkEnd w:id="202"/>
      <w:bookmarkEnd w:id="203"/>
      <w:bookmarkEnd w:id="204"/>
    </w:p>
    <w:p w14:paraId="3CC91A77">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w:t>
      </w:r>
      <w:r>
        <w:rPr>
          <w:rFonts w:hint="eastAsia" w:ascii="宋体" w:hAnsi="宋体" w:eastAsia="宋体" w:cs="宋体"/>
          <w:color w:val="000000" w:themeColor="text1"/>
          <w:szCs w:val="21"/>
          <w:highlight w:val="none"/>
          <w14:textFill>
            <w14:solidFill>
              <w14:schemeClr w14:val="tx1"/>
            </w14:solidFill>
          </w14:textFill>
        </w:rPr>
        <w:t>货物</w:t>
      </w:r>
      <w:r>
        <w:rPr>
          <w:rFonts w:hint="eastAsia" w:ascii="宋体" w:hAnsi="宋体" w:eastAsia="宋体" w:cs="宋体"/>
          <w:color w:val="000000" w:themeColor="text1"/>
          <w:szCs w:val="21"/>
          <w:highlight w:val="none"/>
          <w:lang w:val="zh-CN"/>
          <w14:textFill>
            <w14:solidFill>
              <w14:schemeClr w14:val="tx1"/>
            </w14:solidFill>
          </w14:textFill>
        </w:rPr>
        <w:t>的合格性并符合招标文件规定的声明文件，作为投标文件的一部分。</w:t>
      </w:r>
    </w:p>
    <w:p w14:paraId="38004623">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14:textFill>
            <w14:solidFill>
              <w14:schemeClr w14:val="tx1"/>
            </w14:solidFill>
          </w14:textFill>
        </w:rPr>
        <w:t>货物及有关服务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14:paraId="2D16273C">
      <w:pPr>
        <w:autoSpaceDE w:val="0"/>
        <w:autoSpaceDN w:val="0"/>
        <w:adjustRightInd w:val="0"/>
        <w:spacing w:line="360" w:lineRule="auto"/>
        <w:ind w:left="317" w:leftChars="-100" w:hanging="527" w:hangingChars="25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凡标有“▲”标志的条款为评审的重要指标，投标人若有“▲”条款未响应或负偏离，将导致其响应性评审扣分，并不会按无效响应处理。投标人若有非“▲”条款未响应或负偏离，将导致其响应性评审扣分，并不会按无效响应处理。</w:t>
      </w:r>
    </w:p>
    <w:p w14:paraId="2AE9C38E">
      <w:pPr>
        <w:autoSpaceDE w:val="0"/>
        <w:autoSpaceDN w:val="0"/>
        <w:adjustRightInd w:val="0"/>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p>
    <w:p w14:paraId="3F07724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05" w:name="_Toc8644"/>
      <w:bookmarkStart w:id="206" w:name="_Toc486167679"/>
      <w:bookmarkStart w:id="207" w:name="_Toc142508329"/>
      <w:bookmarkStart w:id="208" w:name="_Toc15139"/>
      <w:bookmarkStart w:id="209" w:name="_Toc30555"/>
      <w:bookmarkStart w:id="210" w:name="_Toc17153"/>
      <w:bookmarkStart w:id="211" w:name="_Toc195714233"/>
      <w:bookmarkStart w:id="212" w:name="_Toc5356_WPSOffice_Level3"/>
      <w:bookmarkStart w:id="213" w:name="_Toc9548"/>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205"/>
      <w:bookmarkEnd w:id="206"/>
      <w:bookmarkEnd w:id="207"/>
      <w:bookmarkEnd w:id="208"/>
      <w:bookmarkEnd w:id="209"/>
      <w:bookmarkEnd w:id="210"/>
      <w:bookmarkEnd w:id="211"/>
      <w:bookmarkEnd w:id="212"/>
      <w:bookmarkEnd w:id="213"/>
    </w:p>
    <w:p w14:paraId="3FB2DCD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zh-CN"/>
          <w14:textFill>
            <w14:solidFill>
              <w14:schemeClr w14:val="tx1"/>
            </w14:solidFill>
          </w14:textFill>
        </w:rPr>
        <w:t>.1 投标人在投标截止时间前，应按第一篇《招标公告》中规定的形式和金额提交投标保证金。投标保证金到账时间应为投标保证金的关联时间。投标保证金数据超过投标截止时间后到达交易系统的，无法关联。投标人应提前办理投标保证金手续，自行承担数据延误风险。投标人如发现到账异常情况，须在投标截止时间前向东莞市公共资源交易中心（以下简称交易中心）工作人员提出投标保证金到账异常处理申请。投标人必须在招标人接受的方式中任选一种提交投标保证金。对应于各种方式的投标保证金的提交要求如下：</w:t>
      </w:r>
    </w:p>
    <w:p w14:paraId="64DF5BF8">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（1）若采用单项投标保证金，投标人必须按全国公共资源交易平台（广东省·东莞市）办事指南的规定及时向交易中心缴存单项投标保证金，并确保上述款项在投标文件提交截止时间前匹配到本</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项目</w:t>
      </w:r>
      <w:r>
        <w:rPr>
          <w:rFonts w:hint="eastAsia" w:ascii="宋体" w:hAnsi="宋体" w:eastAsia="宋体" w:cs="宋体"/>
          <w:bCs/>
          <w:color w:val="000000" w:themeColor="text1"/>
          <w:kern w:val="0"/>
          <w:szCs w:val="21"/>
          <w:highlight w:val="none"/>
          <w:lang w:val="zh-CN"/>
          <w14:textFill>
            <w14:solidFill>
              <w14:schemeClr w14:val="tx1"/>
            </w14:solidFill>
          </w14:textFill>
        </w:rPr>
        <w:t>，否则，其投标保证金视为无效。</w:t>
      </w:r>
    </w:p>
    <w:p w14:paraId="18127A94">
      <w:pPr>
        <w:autoSpaceDE w:val="0"/>
        <w:autoSpaceDN w:val="0"/>
        <w:adjustRightInd w:val="0"/>
        <w:spacing w:line="360" w:lineRule="auto"/>
        <w:ind w:left="225" w:leftChars="107" w:firstLine="489" w:firstLineChars="233"/>
        <w:jc w:val="left"/>
        <w:rPr>
          <w:rFonts w:hint="eastAsia" w:ascii="宋体" w:hAnsi="宋体" w:eastAsia="宋体" w:cs="Times New Roman"/>
          <w:bCs w:val="0"/>
          <w:color w:val="000000" w:themeColor="text1"/>
          <w:kern w:val="0"/>
          <w:szCs w:val="21"/>
          <w:highlight w:val="none"/>
          <w:lang w:val="zh-CN"/>
          <w14:textFill>
            <w14:solidFill>
              <w14:schemeClr w14:val="tx1"/>
            </w14:solidFill>
          </w14:textFill>
        </w:rPr>
      </w:pPr>
      <w:r>
        <w:rPr>
          <w:rFonts w:hint="eastAsia" w:ascii="宋体" w:hAnsi="宋体" w:eastAsia="宋体" w:cs="Times New Roman"/>
          <w:bCs w:val="0"/>
          <w:color w:val="000000" w:themeColor="text1"/>
          <w:kern w:val="0"/>
          <w:szCs w:val="21"/>
          <w:highlight w:val="none"/>
          <w:lang w:val="zh-CN"/>
          <w14:textFill>
            <w14:solidFill>
              <w14:schemeClr w14:val="tx1"/>
            </w14:solidFill>
          </w14:textFill>
        </w:rPr>
        <w:t>投标截止时间前，已在公共资源交易企业库建档的投标人应将保证金关联至本</w:t>
      </w:r>
      <w:r>
        <w:rPr>
          <w:rFonts w:hint="eastAsia" w:ascii="宋体" w:hAnsi="宋体" w:eastAsia="宋体" w:cs="Times New Roman"/>
          <w:bCs w:val="0"/>
          <w:color w:val="000000" w:themeColor="text1"/>
          <w:kern w:val="0"/>
          <w:szCs w:val="21"/>
          <w:highlight w:val="none"/>
          <w:lang w:val="en-US" w:eastAsia="zh-CN"/>
          <w14:textFill>
            <w14:solidFill>
              <w14:schemeClr w14:val="tx1"/>
            </w14:solidFill>
          </w14:textFill>
        </w:rPr>
        <w:t>项目</w:t>
      </w:r>
      <w:r>
        <w:rPr>
          <w:rFonts w:hint="eastAsia" w:ascii="宋体" w:hAnsi="宋体" w:eastAsia="宋体" w:cs="Times New Roman"/>
          <w:bCs w:val="0"/>
          <w:color w:val="000000" w:themeColor="text1"/>
          <w:kern w:val="0"/>
          <w:szCs w:val="21"/>
          <w:highlight w:val="none"/>
          <w:lang w:val="zh-CN"/>
          <w14:textFill>
            <w14:solidFill>
              <w14:schemeClr w14:val="tx1"/>
            </w14:solidFill>
          </w14:textFill>
        </w:rPr>
        <w:t>。具体要求详见全国公共资源交易平台（广东省·东莞市）（网址：https://ygp.gdzwfw.gov.cn/#/441900/index）办事指南中的相关规定。</w:t>
      </w:r>
    </w:p>
    <w:p w14:paraId="09CEBD5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2）按《关于实行投标保证金企业基本账户备案制度的通知》(东建市〔2014〕18号)要求，缴纳的投标保证金须由投标人基本账户转出。投标人开具银行电子保函或保险电子保单存入的保证金（如有）及相关费用须从基本账户转出。投标保证金或相关费用不由其基本账户转入的，交易中心一律不予认定，无法参与投标的相关责任由投标人自行承担。</w:t>
      </w:r>
    </w:p>
    <w:p w14:paraId="370974E8">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（3）若采用银行电子保函或保险电子保单，投标人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参照</w:t>
      </w:r>
      <w:r>
        <w:rPr>
          <w:rFonts w:hint="eastAsia" w:ascii="宋体" w:hAnsi="宋体" w:eastAsia="宋体" w:cs="宋体"/>
          <w:bCs/>
          <w:color w:val="000000" w:themeColor="text1"/>
          <w:kern w:val="0"/>
          <w:szCs w:val="21"/>
          <w:highlight w:val="none"/>
          <w:lang w:val="zh-CN"/>
          <w14:textFill>
            <w14:solidFill>
              <w14:schemeClr w14:val="tx1"/>
            </w14:solidFill>
          </w14:textFill>
        </w:rPr>
        <w:t>《东莞市住房和城乡建设局关于我市房屋建筑和市政基础设施工程建设项目投标保证金使用银行电子保函及保险电子保单的通知》(东建市〔2022〕6号)规定办理，保证出具的保函或保单有效。保函或保单在投标人签到时关联。</w:t>
      </w:r>
    </w:p>
    <w:p w14:paraId="6956482D">
      <w:pPr>
        <w:autoSpaceDE w:val="0"/>
        <w:autoSpaceDN w:val="0"/>
        <w:adjustRightInd w:val="0"/>
        <w:spacing w:line="360" w:lineRule="auto"/>
        <w:ind w:left="225" w:leftChars="107" w:firstLine="489" w:firstLineChars="233"/>
        <w:jc w:val="left"/>
        <w:rPr>
          <w:rFonts w:hint="eastAsia" w:ascii="宋体" w:hAnsi="宋体" w:eastAsia="宋体" w:cs="Times New Roman"/>
          <w:bCs w:val="0"/>
          <w:color w:val="000000" w:themeColor="text1"/>
          <w:kern w:val="0"/>
          <w:szCs w:val="21"/>
          <w:highlight w:val="none"/>
          <w:lang w:val="zh-CN"/>
          <w14:textFill>
            <w14:solidFill>
              <w14:schemeClr w14:val="tx1"/>
            </w14:solidFill>
          </w14:textFill>
        </w:rPr>
      </w:pPr>
      <w:r>
        <w:rPr>
          <w:rFonts w:hint="eastAsia" w:ascii="宋体" w:hAnsi="宋体" w:eastAsia="宋体" w:cs="Times New Roman"/>
          <w:bCs w:val="0"/>
          <w:color w:val="000000" w:themeColor="text1"/>
          <w:kern w:val="0"/>
          <w:szCs w:val="21"/>
          <w:highlight w:val="none"/>
          <w:lang w:val="zh-CN"/>
          <w14:textFill>
            <w14:solidFill>
              <w14:schemeClr w14:val="tx1"/>
            </w14:solidFill>
          </w14:textFill>
        </w:rPr>
        <w:t>银行电子保函参考样式按照《住房和城乡建设部关于印发工程保函示范文本的通知》（建市〔2021〕11号）执行。保险公司所提供的保证保险条款应当经国家金融监督管理总局批准、备案或注册，并在本公司门户网站主动公开单位信息、投保单（范本）以及保险合同含条款（范本）。</w:t>
      </w:r>
    </w:p>
    <w:p w14:paraId="54C5B3CB">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zh-CN"/>
          <w14:textFill>
            <w14:solidFill>
              <w14:schemeClr w14:val="tx1"/>
            </w14:solidFill>
          </w14:textFill>
        </w:rPr>
        <w:t>.2 投标人签到时应按本投标人须知第</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zh-CN"/>
          <w14:textFill>
            <w14:solidFill>
              <w14:schemeClr w14:val="tx1"/>
            </w14:solidFill>
          </w14:textFill>
        </w:rPr>
        <w:t>.1</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款</w:t>
      </w:r>
      <w:r>
        <w:rPr>
          <w:rFonts w:hint="eastAsia" w:ascii="宋体" w:hAnsi="宋体" w:eastAsia="宋体" w:cs="宋体"/>
          <w:bCs/>
          <w:color w:val="000000" w:themeColor="text1"/>
          <w:kern w:val="0"/>
          <w:szCs w:val="21"/>
          <w:highlight w:val="none"/>
          <w:lang w:val="zh-CN"/>
          <w14:textFill>
            <w14:solidFill>
              <w14:schemeClr w14:val="tx1"/>
            </w14:solidFill>
          </w14:textFill>
        </w:rPr>
        <w:t>要求提交投标保证金。投标截止时间前，投标人如果撤销签到，已关联的投标保证金同步取消关联；撤销签到的投标人可以重新签到并关联保证金。投标截止后，已关联的投标保证金不能取消关联。</w:t>
      </w:r>
    </w:p>
    <w:p w14:paraId="4A173E09">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zh-CN"/>
          <w14:textFill>
            <w14:solidFill>
              <w14:schemeClr w14:val="tx1"/>
            </w14:solidFill>
          </w14:textFill>
        </w:rPr>
        <w:t>.3 投标保证金退还程序。</w:t>
      </w:r>
    </w:p>
    <w:p w14:paraId="4C0FC23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（1）对未通过资格</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性</w:t>
      </w:r>
      <w:r>
        <w:rPr>
          <w:rFonts w:hint="eastAsia" w:ascii="宋体" w:hAnsi="宋体" w:eastAsia="宋体" w:cs="宋体"/>
          <w:bCs/>
          <w:color w:val="000000" w:themeColor="text1"/>
          <w:kern w:val="0"/>
          <w:szCs w:val="21"/>
          <w:highlight w:val="none"/>
          <w:lang w:val="zh-CN"/>
          <w14:textFill>
            <w14:solidFill>
              <w14:schemeClr w14:val="tx1"/>
            </w14:solidFill>
          </w14:textFill>
        </w:rPr>
        <w:t>审查或未通过</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符合性检查</w:t>
      </w:r>
      <w:r>
        <w:rPr>
          <w:rFonts w:hint="eastAsia" w:ascii="宋体" w:hAnsi="宋体" w:eastAsia="宋体" w:cs="宋体"/>
          <w:bCs/>
          <w:color w:val="000000" w:themeColor="text1"/>
          <w:kern w:val="0"/>
          <w:szCs w:val="21"/>
          <w:highlight w:val="none"/>
          <w:lang w:val="zh-CN"/>
          <w14:textFill>
            <w14:solidFill>
              <w14:schemeClr w14:val="tx1"/>
            </w14:solidFill>
          </w14:textFill>
        </w:rPr>
        <w:t>的投标人，招标人在</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评标会</w:t>
      </w:r>
      <w:r>
        <w:rPr>
          <w:rFonts w:hint="eastAsia" w:ascii="宋体" w:hAnsi="宋体" w:eastAsia="宋体" w:cs="宋体"/>
          <w:bCs/>
          <w:color w:val="000000" w:themeColor="text1"/>
          <w:kern w:val="0"/>
          <w:szCs w:val="21"/>
          <w:highlight w:val="none"/>
          <w:lang w:val="zh-CN"/>
          <w14:textFill>
            <w14:solidFill>
              <w14:schemeClr w14:val="tx1"/>
            </w14:solidFill>
          </w14:textFill>
        </w:rPr>
        <w:t>结束后第一个工作日向交易中心发送退还指令；</w:t>
      </w:r>
    </w:p>
    <w:p w14:paraId="45A9CE14">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（2）对除中标候选人外的投标人，招标人在发布评标结果公示后3个工作日内向交易中心发送退还指令；</w:t>
      </w:r>
    </w:p>
    <w:p w14:paraId="6776B743">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（3）招标人与中标人在签订书面合同后3个工作日内向交易中心对中标人及其余中标候选人投标保证金发送退还指令。</w:t>
      </w:r>
    </w:p>
    <w:p w14:paraId="565C976B">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（4）若</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项目</w:t>
      </w:r>
      <w:r>
        <w:rPr>
          <w:rFonts w:hint="eastAsia" w:ascii="宋体" w:hAnsi="宋体" w:eastAsia="宋体" w:cs="宋体"/>
          <w:bCs/>
          <w:color w:val="000000" w:themeColor="text1"/>
          <w:kern w:val="0"/>
          <w:szCs w:val="21"/>
          <w:highlight w:val="none"/>
          <w:lang w:val="zh-CN"/>
          <w14:textFill>
            <w14:solidFill>
              <w14:schemeClr w14:val="tx1"/>
            </w14:solidFill>
          </w14:textFill>
        </w:rPr>
        <w:t>受到监督部门调查时，招标人根据实际情况处理投标保证金退回有关工作。招标人将按调查结果处理涉事投标保证金。</w:t>
      </w:r>
    </w:p>
    <w:p w14:paraId="75B6F33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（5）如因投诉等异常情况不能正常签发中标通知书，招标人可以退回未中标的且不涉及异常情况处理投标人的投标保证金发送退还指令。</w:t>
      </w:r>
    </w:p>
    <w:p w14:paraId="7806928C">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zh-CN"/>
          <w14:textFill>
            <w14:solidFill>
              <w14:schemeClr w14:val="tx1"/>
            </w14:solidFill>
          </w14:textFill>
        </w:rPr>
        <w:t>.4 投标保证金有效期应当与投标有效期一致。招标人如果按本</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bCs/>
          <w:color w:val="000000" w:themeColor="text1"/>
          <w:kern w:val="0"/>
          <w:szCs w:val="21"/>
          <w:highlight w:val="none"/>
          <w:lang w:val="zh-CN"/>
          <w14:textFill>
            <w14:solidFill>
              <w14:schemeClr w14:val="tx1"/>
            </w14:solidFill>
          </w14:textFill>
        </w:rPr>
        <w:t>须知第</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16.3款</w:t>
      </w:r>
      <w:r>
        <w:rPr>
          <w:rFonts w:hint="eastAsia" w:ascii="宋体" w:hAnsi="宋体" w:eastAsia="宋体" w:cs="宋体"/>
          <w:bCs/>
          <w:color w:val="000000" w:themeColor="text1"/>
          <w:kern w:val="0"/>
          <w:szCs w:val="21"/>
          <w:highlight w:val="none"/>
          <w:lang w:val="zh-CN"/>
          <w14:textFill>
            <w14:solidFill>
              <w14:schemeClr w14:val="tx1"/>
            </w14:solidFill>
          </w14:textFill>
        </w:rPr>
        <w:t>的规定延长了投标文件有效期，则投标保证金的有效期也相应延长。</w:t>
      </w:r>
    </w:p>
    <w:p w14:paraId="71B8966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.5 若发生下列情况，招标人在书面通知投标人（或中标人）后有权不予退还投标保证金： </w:t>
      </w:r>
    </w:p>
    <w:p w14:paraId="390A0EC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（1）投标人在规定的投标截止时间后至投标有效期满之前撤销或修改其投标文件；</w:t>
      </w:r>
    </w:p>
    <w:p w14:paraId="078E9FF3">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（2）中标人未能在规定期限内提交履约担保；</w:t>
      </w:r>
    </w:p>
    <w:p w14:paraId="34EA0BBB">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（3）未根据</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本投标人须知</w:t>
      </w:r>
      <w:r>
        <w:rPr>
          <w:rFonts w:hint="eastAsia" w:ascii="宋体" w:hAnsi="宋体" w:eastAsia="宋体" w:cs="宋体"/>
          <w:bCs/>
          <w:color w:val="000000" w:themeColor="text1"/>
          <w:kern w:val="0"/>
          <w:szCs w:val="21"/>
          <w:highlight w:val="none"/>
          <w:lang w:val="zh-CN"/>
          <w14:textFill>
            <w14:solidFill>
              <w14:schemeClr w14:val="tx1"/>
            </w14:solidFill>
          </w14:textFill>
        </w:rPr>
        <w:t>第34条规定签署合同；</w:t>
      </w:r>
    </w:p>
    <w:p w14:paraId="4BFF911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（4）将中标项目转让给他人，或者在投标文件中未说明，且未经招标人同意，将中标项目的合同的权利义务转让给第三方的；</w:t>
      </w:r>
    </w:p>
    <w:p w14:paraId="2A5A930A">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（5）提供虚假投标文件或虚假补充文件的，或违反《中华人民共和国招标投标法》等有关法律、法规、规章及招标投标相关规定的行为。</w:t>
      </w:r>
    </w:p>
    <w:p w14:paraId="6CD1424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en-US"/>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en-US"/>
          <w14:textFill>
            <w14:solidFill>
              <w14:schemeClr w14:val="tx1"/>
            </w14:solidFill>
          </w14:textFill>
        </w:rPr>
        <w:t>.6对于提交银行电子保函（保险电子保单）的有关注意事项：</w:t>
      </w:r>
    </w:p>
    <w:p w14:paraId="61C25E5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zh-CN"/>
          <w14:textFill>
            <w14:solidFill>
              <w14:schemeClr w14:val="tx1"/>
            </w14:solidFill>
          </w14:textFill>
        </w:rPr>
        <w:t>6.1投标人所提交的银行电子保函（保险电子保单）经核实出现以下情况的，作自动弃权处理：①担保的有效期或金额不符合要求的；②出现不符合招标文件要求或招标人不能接受的条款。</w:t>
      </w:r>
    </w:p>
    <w:p w14:paraId="5EAF765A">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zh-CN"/>
          <w14:textFill>
            <w14:solidFill>
              <w14:schemeClr w14:val="tx1"/>
            </w14:solidFill>
          </w14:textFill>
        </w:rPr>
        <w:t>.6.2投标人应当选择具备银行电子保函（保险电子保单）相关业务的银行（保险公司）开具投标保函（保单）。具备相关业务的银行（保险公司）应满足能与交易中心端口对接、关联基本账户、退款等条件，以保证电子指令的正常发送与接收。</w:t>
      </w:r>
    </w:p>
    <w:p w14:paraId="74E50F8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zh-CN"/>
          <w14:textFill>
            <w14:solidFill>
              <w14:schemeClr w14:val="tx1"/>
            </w14:solidFill>
          </w14:textFill>
        </w:rPr>
        <w:t>.6.3银行电子保函采用“电子保函+电子指令”模式，保险电子保单采用“电子保单+电子指令”模式，即银行（保险公司）向投标人开具电子保函（保单）的同时向交易中心发送经加密的电子指令，投标人自行登录交易系统进行确认。</w:t>
      </w:r>
    </w:p>
    <w:p w14:paraId="1E6770C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zh-CN"/>
          <w14:textFill>
            <w14:solidFill>
              <w14:schemeClr w14:val="tx1"/>
            </w14:solidFill>
          </w14:textFill>
        </w:rPr>
        <w:t>.6.4投标人需预留足够的时间，提前办理好银行电子保函或保险电子保单，自行查询确认电子指令是否已经送到交易中心，并核对相关资料和信息的准确性。若投标人未预留足够的时间办理相关手续，因网络或系统等原因导致电子指令超过投标文件递交截止时间未能到达交易系统导致招标人拒绝其投标的，其后果由投标人自行负责。</w:t>
      </w:r>
    </w:p>
    <w:p w14:paraId="77079018">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Cs w:val="21"/>
          <w:highlight w:val="none"/>
          <w:lang w:val="zh-CN"/>
          <w14:textFill>
            <w14:solidFill>
              <w14:schemeClr w14:val="tx1"/>
            </w14:solidFill>
          </w14:textFill>
        </w:rPr>
        <w:t>7投标保证金缴存银行帐户见全国公共资源交易平台（广东省·东莞市）办事指南。</w:t>
      </w:r>
    </w:p>
    <w:p w14:paraId="06B37292">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14:paraId="11F7BF5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14" w:name="_Toc22274"/>
      <w:bookmarkStart w:id="215" w:name="_Toc31511"/>
      <w:bookmarkStart w:id="216" w:name="_Toc29607"/>
      <w:bookmarkStart w:id="217" w:name="_Toc1458"/>
      <w:bookmarkStart w:id="218" w:name="_Toc195714234"/>
      <w:bookmarkStart w:id="219" w:name="_Toc142508330"/>
      <w:bookmarkStart w:id="220" w:name="_Toc486167680"/>
      <w:bookmarkStart w:id="221" w:name="_Toc28094"/>
      <w:bookmarkStart w:id="222" w:name="_Toc450662865"/>
      <w:bookmarkStart w:id="223" w:name="_Toc22649_WPSOffice_Level3"/>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214"/>
      <w:bookmarkEnd w:id="215"/>
      <w:bookmarkEnd w:id="216"/>
      <w:bookmarkEnd w:id="217"/>
      <w:bookmarkEnd w:id="218"/>
      <w:bookmarkEnd w:id="219"/>
      <w:bookmarkEnd w:id="220"/>
      <w:bookmarkEnd w:id="221"/>
      <w:bookmarkEnd w:id="222"/>
      <w:bookmarkEnd w:id="223"/>
    </w:p>
    <w:p w14:paraId="29D72071">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07256AFE">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14:paraId="0127768B">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14:paraId="25723F9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7C0FB5D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24" w:name="_Toc25637_WPSOffice_Level3"/>
      <w:bookmarkStart w:id="225" w:name="_Toc11099"/>
      <w:bookmarkStart w:id="226" w:name="_Toc486167681"/>
      <w:bookmarkStart w:id="227" w:name="_Toc142508331"/>
      <w:bookmarkStart w:id="228" w:name="_Toc195714235"/>
      <w:bookmarkStart w:id="229" w:name="_Toc450662866"/>
      <w:bookmarkStart w:id="230" w:name="_Toc932"/>
      <w:bookmarkStart w:id="231" w:name="_Toc20422"/>
      <w:bookmarkStart w:id="232" w:name="_Toc20724"/>
      <w:bookmarkStart w:id="233" w:name="_Toc7434"/>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投标文件的编制和签署</w:t>
      </w:r>
      <w:bookmarkEnd w:id="224"/>
      <w:bookmarkEnd w:id="225"/>
      <w:bookmarkEnd w:id="226"/>
      <w:bookmarkEnd w:id="227"/>
      <w:bookmarkEnd w:id="228"/>
      <w:bookmarkEnd w:id="229"/>
      <w:bookmarkEnd w:id="230"/>
      <w:bookmarkEnd w:id="231"/>
      <w:bookmarkEnd w:id="232"/>
      <w:bookmarkEnd w:id="233"/>
    </w:p>
    <w:p w14:paraId="51EB738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投标文件采用电子标书形式编制。投标人使用网络上传投标文件。</w:t>
      </w:r>
    </w:p>
    <w:p w14:paraId="05A91F24">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投标人应使用全国公共资源交易平台（广东省·东莞市发布的投标文件电子标书制作软件（以下简称“电子标书制作软件”）进行投标文件的合成、电子</w:t>
      </w:r>
      <w:r>
        <w:rPr>
          <w:rFonts w:hint="default" w:ascii="宋体" w:hAnsi="宋体" w:eastAsia="宋体" w:cs="宋体"/>
          <w:color w:val="000000" w:themeColor="text1"/>
          <w:szCs w:val="21"/>
          <w:highlight w:val="none"/>
          <w:lang w:val="en-US"/>
          <w14:textFill>
            <w14:solidFill>
              <w14:schemeClr w14:val="tx1"/>
            </w14:solidFill>
          </w14:textFill>
        </w:rPr>
        <w:t>签名</w:t>
      </w:r>
      <w:r>
        <w:rPr>
          <w:rFonts w:hint="eastAsia" w:ascii="宋体" w:hAnsi="宋体" w:eastAsia="宋体" w:cs="宋体"/>
          <w:color w:val="000000" w:themeColor="text1"/>
          <w:szCs w:val="21"/>
          <w:highlight w:val="none"/>
          <w:lang w:val="zh-CN"/>
          <w14:textFill>
            <w14:solidFill>
              <w14:schemeClr w14:val="tx1"/>
            </w14:solidFill>
          </w14:textFill>
        </w:rPr>
        <w:t>工作。</w:t>
      </w:r>
    </w:p>
    <w:p w14:paraId="2D306662">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投标人应使用依法设立的电子认证服务提供者签发的电子签名认证证书对电子投标文件进行电子签名。该电子</w:t>
      </w:r>
      <w:r>
        <w:rPr>
          <w:rFonts w:hint="default" w:ascii="宋体" w:hAnsi="宋体" w:eastAsia="宋体" w:cs="宋体"/>
          <w:color w:val="000000" w:themeColor="text1"/>
          <w:szCs w:val="21"/>
          <w:highlight w:val="none"/>
          <w:lang w:val="en-US"/>
          <w14:textFill>
            <w14:solidFill>
              <w14:schemeClr w14:val="tx1"/>
            </w14:solidFill>
          </w14:textFill>
        </w:rPr>
        <w:t>签名</w:t>
      </w:r>
      <w:r>
        <w:rPr>
          <w:rFonts w:hint="eastAsia" w:ascii="宋体" w:hAnsi="宋体" w:eastAsia="宋体" w:cs="宋体"/>
          <w:color w:val="000000" w:themeColor="text1"/>
          <w:szCs w:val="21"/>
          <w:highlight w:val="none"/>
          <w:lang w:val="zh-CN"/>
          <w14:textFill>
            <w14:solidFill>
              <w14:schemeClr w14:val="tx1"/>
            </w14:solidFill>
          </w14:textFill>
        </w:rPr>
        <w:t>与手写签名或者盖章具有同等的法律效力。</w:t>
      </w:r>
    </w:p>
    <w:p w14:paraId="6E0DCA0B">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投标人使用电子标书制作软件编制电子投标文件时必须按招标文件相关条款及投标文件格式中的要求进行编制。</w:t>
      </w:r>
    </w:p>
    <w:p w14:paraId="27EE6053">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投标文件应按上述编制的要求编制电子标书。如投标文件未按上述编制要求编制的，所引起交易系统无法检索、读取相关信息时，其结果将由投标人自行承担。</w:t>
      </w:r>
    </w:p>
    <w:p w14:paraId="369EE4D4">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投标文件必须按下列要求编制、使用数字证书电子</w:t>
      </w:r>
      <w:r>
        <w:rPr>
          <w:rFonts w:hint="default" w:ascii="宋体" w:hAnsi="宋体" w:eastAsia="宋体" w:cs="宋体"/>
          <w:color w:val="000000" w:themeColor="text1"/>
          <w:szCs w:val="21"/>
          <w:highlight w:val="none"/>
          <w:lang w:val="en-US"/>
          <w14:textFill>
            <w14:solidFill>
              <w14:schemeClr w14:val="tx1"/>
            </w14:solidFill>
          </w14:textFill>
        </w:rPr>
        <w:t>签名</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5BC59DF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.6.1按本投标人须知第</w:t>
      </w: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14</w:t>
      </w:r>
      <w:r>
        <w:rPr>
          <w:rFonts w:hint="eastAsia" w:ascii="宋体" w:hAnsi="宋体" w:eastAsia="宋体" w:cs="宋体"/>
          <w:color w:val="000000" w:themeColor="text1"/>
          <w:szCs w:val="21"/>
          <w:highlight w:val="none"/>
          <w:lang w:val="zh-CN"/>
          <w14:textFill>
            <w14:solidFill>
              <w14:schemeClr w14:val="tx1"/>
            </w14:solidFill>
          </w14:textFill>
        </w:rPr>
        <w:t>条的规定编制，按本投标人须知第1</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条的规定填报投标报价，“投标文件的组成”中列明的内容在投标文件中不能有漏缺。</w:t>
      </w:r>
    </w:p>
    <w:p w14:paraId="6CCD3D6B">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.6.2投标文件商务标、技术标编制要求：</w:t>
      </w:r>
    </w:p>
    <w:p w14:paraId="05CB3112">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（1）投标文件必须按招标文件中规定的投标文件格式编制，并转换成PDF格式合成到电子投标文件中；</w:t>
      </w:r>
    </w:p>
    <w:p w14:paraId="111D5280">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（2）投标文件商务标、技术标必须按招标文件的规定填写； </w:t>
      </w:r>
    </w:p>
    <w:p w14:paraId="6A0860EA">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（3）投标文件商务标、技术标应按其格式要求由投标人的法定代表人或其授权代表电子签名、企业数字证书电子签名；</w:t>
      </w:r>
    </w:p>
    <w:p w14:paraId="715B1DEF">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）严格按照第六篇投标文件格式内的要求完整、真实的填写《合同条款偏离表》《用户需求偏离表》；</w:t>
      </w:r>
    </w:p>
    <w:p w14:paraId="04615A04">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）投标人要特别加以注意，必须严格按照第六篇商务标格式的要求完整、真实的填写《资格业绩》及提供对应证明资料；</w:t>
      </w:r>
    </w:p>
    <w:p w14:paraId="4B9EECAC">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）投标文件技术标部分必须按招标文件第六篇“技术标格式”编制。</w:t>
      </w:r>
    </w:p>
    <w:p w14:paraId="3FBBA2F1">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.6.3投标文件报价信封编制要求：</w:t>
      </w:r>
    </w:p>
    <w:p w14:paraId="6274CB57">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（1）投标人应使用电子标书制作软件编制并生成报价信封，内容根据招标文件设置的报价信封内容按实填报。</w:t>
      </w:r>
    </w:p>
    <w:p w14:paraId="470B5124">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（2）大写金额数字用“零、壹、贰、叁、肆、伍、陆、柒、捌、玖、拾、佰、仟、万、亿”填写。投标值大写与小写不一致时，以大写数额为准，修正小写数额。</w:t>
      </w:r>
    </w:p>
    <w:p w14:paraId="0461D1DE">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（3）投标文件价格部分应按其格式要求使用依法设立的电子认证服务提供者签发的电子签名认证证书对电子投标文件进行电子签名。该电子签名与手写签名或者盖章具有同等的法律效力。</w:t>
      </w:r>
    </w:p>
    <w:p w14:paraId="51AE8C92">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bookmarkStart w:id="234" w:name="_Toc450662867"/>
    </w:p>
    <w:p w14:paraId="42B8C161">
      <w:pPr>
        <w:keepNext/>
        <w:keepLines/>
        <w:tabs>
          <w:tab w:val="left" w:pos="509"/>
        </w:tabs>
        <w:autoSpaceDE w:val="0"/>
        <w:autoSpaceDN w:val="0"/>
        <w:adjustRightInd w:val="0"/>
        <w:spacing w:line="360" w:lineRule="auto"/>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235" w:name="_Toc26605"/>
      <w:bookmarkStart w:id="236" w:name="_Toc974"/>
      <w:bookmarkStart w:id="237" w:name="_Toc309"/>
      <w:bookmarkStart w:id="238" w:name="_Toc195714236"/>
      <w:bookmarkStart w:id="239" w:name="_Toc17199"/>
      <w:bookmarkStart w:id="240" w:name="_Toc142508332"/>
      <w:bookmarkStart w:id="241" w:name="_Toc486167682"/>
      <w:bookmarkStart w:id="242" w:name="_Toc140596891"/>
      <w:bookmarkStart w:id="243" w:name="_Toc22356_WPSOffice_Level2"/>
      <w:bookmarkStart w:id="244" w:name="_Toc20793"/>
      <w:r>
        <w:rPr>
          <w:rFonts w:hint="eastAsia" w:ascii="宋体" w:hAnsi="宋体" w:eastAsia="宋体" w:cs="宋体"/>
          <w:b/>
          <w:bCs/>
          <w:color w:val="000000" w:themeColor="text1"/>
          <w:kern w:val="44"/>
          <w:szCs w:val="21"/>
          <w:highlight w:val="none"/>
          <w:lang w:val="zh-CN"/>
          <w14:textFill>
            <w14:solidFill>
              <w14:schemeClr w14:val="tx1"/>
            </w14:solidFill>
          </w14:textFill>
        </w:rPr>
        <w:t>四、投标</w:t>
      </w:r>
      <w:bookmarkEnd w:id="234"/>
      <w:bookmarkEnd w:id="235"/>
      <w:bookmarkEnd w:id="236"/>
      <w:bookmarkEnd w:id="237"/>
      <w:bookmarkEnd w:id="238"/>
      <w:bookmarkEnd w:id="239"/>
      <w:bookmarkEnd w:id="240"/>
      <w:bookmarkEnd w:id="241"/>
      <w:bookmarkEnd w:id="242"/>
      <w:bookmarkEnd w:id="243"/>
      <w:bookmarkEnd w:id="244"/>
    </w:p>
    <w:p w14:paraId="69F3598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45" w:name="_Toc486167683"/>
      <w:bookmarkStart w:id="246" w:name="_Toc450662868"/>
      <w:bookmarkStart w:id="247" w:name="_Toc195714237"/>
      <w:bookmarkStart w:id="248" w:name="_Toc1072"/>
      <w:bookmarkStart w:id="249" w:name="_Toc31551"/>
      <w:bookmarkStart w:id="250" w:name="_Toc12192_WPSOffice_Level3"/>
      <w:bookmarkStart w:id="251" w:name="_Toc142508333"/>
      <w:bookmarkStart w:id="252" w:name="_Toc29885"/>
      <w:bookmarkStart w:id="253" w:name="_Toc26662"/>
      <w:bookmarkStart w:id="254" w:name="_Toc5721"/>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bookmarkEnd w:id="245"/>
      <w:bookmarkEnd w:id="246"/>
      <w:bookmarkEnd w:id="247"/>
      <w:bookmarkEnd w:id="248"/>
      <w:bookmarkEnd w:id="249"/>
      <w:bookmarkEnd w:id="250"/>
      <w:bookmarkEnd w:id="251"/>
      <w:bookmarkEnd w:id="252"/>
      <w:r>
        <w:rPr>
          <w:rFonts w:hint="eastAsia" w:ascii="宋体" w:hAnsi="宋体" w:eastAsia="宋体" w:cs="宋体"/>
          <w:color w:val="000000" w:themeColor="text1"/>
          <w:szCs w:val="21"/>
          <w:highlight w:val="none"/>
          <w:lang w:val="zh-CN"/>
          <w14:textFill>
            <w14:solidFill>
              <w14:schemeClr w14:val="tx1"/>
            </w14:solidFill>
          </w14:textFill>
        </w:rPr>
        <w:t>投标文件的加密</w:t>
      </w:r>
      <w:bookmarkEnd w:id="253"/>
      <w:bookmarkEnd w:id="254"/>
    </w:p>
    <w:p w14:paraId="248A4877">
      <w:pPr>
        <w:tabs>
          <w:tab w:val="left" w:pos="567"/>
        </w:tabs>
        <w:adjustRightInd w:val="0"/>
        <w:spacing w:line="360" w:lineRule="auto"/>
        <w:ind w:firstLine="144" w:firstLineChars="69"/>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投标人应使用依法设立的电子认证服务提供者签发的电子签章认证证书对电子投标文件进行电子签章并加密。</w:t>
      </w:r>
    </w:p>
    <w:p w14:paraId="582868F2">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14:textFill>
            <w14:solidFill>
              <w14:schemeClr w14:val="tx1"/>
            </w14:solidFill>
          </w14:textFill>
        </w:rPr>
      </w:pPr>
    </w:p>
    <w:p w14:paraId="5A9995A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5" w:name="_Toc195714238"/>
      <w:bookmarkStart w:id="256" w:name="_Toc1869"/>
      <w:bookmarkStart w:id="257" w:name="_Toc29413"/>
      <w:bookmarkStart w:id="258" w:name="_Toc23526"/>
      <w:r>
        <w:rPr>
          <w:rFonts w:hint="eastAsia" w:ascii="宋体" w:hAnsi="宋体" w:eastAsia="宋体" w:cs="宋体"/>
          <w:color w:val="000000" w:themeColor="text1"/>
          <w:szCs w:val="21"/>
          <w:highlight w:val="none"/>
          <w14:textFill>
            <w14:solidFill>
              <w14:schemeClr w14:val="tx1"/>
            </w14:solidFill>
          </w14:textFill>
        </w:rPr>
        <w:t xml:space="preserve">19 </w:t>
      </w:r>
      <w:r>
        <w:rPr>
          <w:rFonts w:hint="eastAsia" w:ascii="宋体" w:hAnsi="宋体" w:eastAsia="宋体" w:cs="宋体"/>
          <w:color w:val="000000" w:themeColor="text1"/>
          <w:szCs w:val="21"/>
          <w:highlight w:val="none"/>
          <w:lang w:val="zh-CN"/>
          <w14:textFill>
            <w14:solidFill>
              <w14:schemeClr w14:val="tx1"/>
            </w14:solidFill>
          </w14:textFill>
        </w:rPr>
        <w:t>投标文件的提交</w:t>
      </w:r>
      <w:bookmarkEnd w:id="255"/>
      <w:bookmarkEnd w:id="256"/>
      <w:bookmarkEnd w:id="257"/>
      <w:bookmarkEnd w:id="258"/>
    </w:p>
    <w:p w14:paraId="298242F7">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投标人应在本招标公告规定的投标截止时间前通过交易系统在线上传投标文件。上述方式外提交的投标文件，招标人将不予受理。</w:t>
      </w:r>
    </w:p>
    <w:p w14:paraId="23AC1037">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在通过交易系统在线上传投标文件时，需设置投标文件查询密码（用于查询投标文件递交情况、撤销投标文件及签到时匹配对应的招标文件）。上传成功后，投标人应打印“电子标书网站上传回执”作为成功上传的凭证。</w:t>
      </w:r>
    </w:p>
    <w:p w14:paraId="1D262953">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投标文件成功上传后，交易系统将生成投标文件识别码。本识别码是投标人提交投标文件的唯一凭证，投标人须妥善保管。识别码丢失后，投标人将无法找回投标文件，需重新上传提交。</w:t>
      </w:r>
    </w:p>
    <w:p w14:paraId="16A813E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投标会议</w:t>
      </w:r>
      <w:r>
        <w:rPr>
          <w:rFonts w:hint="eastAsia" w:ascii="宋体" w:hAnsi="宋体" w:eastAsia="宋体" w:cs="宋体"/>
          <w:color w:val="000000" w:themeColor="text1"/>
          <w:szCs w:val="21"/>
          <w:highlight w:val="none"/>
          <w:lang w:val="en-US" w:eastAsia="zh-CN"/>
          <w14:textFill>
            <w14:solidFill>
              <w14:schemeClr w14:val="tx1"/>
            </w14:solidFill>
          </w14:textFill>
        </w:rPr>
        <w:t>时间及</w:t>
      </w:r>
      <w:r>
        <w:rPr>
          <w:rFonts w:hint="eastAsia" w:ascii="宋体" w:hAnsi="宋体" w:eastAsia="宋体" w:cs="宋体"/>
          <w:color w:val="000000" w:themeColor="text1"/>
          <w:szCs w:val="21"/>
          <w:highlight w:val="none"/>
          <w:lang w:val="zh-CN"/>
          <w14:textFill>
            <w14:solidFill>
              <w14:schemeClr w14:val="tx1"/>
            </w14:solidFill>
          </w14:textFill>
        </w:rPr>
        <w:t>地点：见招标公告。</w:t>
      </w:r>
    </w:p>
    <w:p w14:paraId="225AB77C">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逾期送达的或者未按指定方式提交的投标文件，招标人不予受理。</w:t>
      </w:r>
    </w:p>
    <w:p w14:paraId="2B2DEF41">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12A5AC9F">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14:textFill>
            <w14:solidFill>
              <w14:schemeClr w14:val="tx1"/>
            </w14:solidFill>
          </w14:textFill>
        </w:rPr>
      </w:pPr>
    </w:p>
    <w:p w14:paraId="68DA1F3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9" w:name="_Toc195714239"/>
      <w:bookmarkStart w:id="260" w:name="_Toc19676"/>
      <w:bookmarkStart w:id="261" w:name="_Toc7743"/>
      <w:bookmarkStart w:id="262" w:name="_Toc8262"/>
      <w:r>
        <w:rPr>
          <w:rFonts w:hint="eastAsia" w:ascii="宋体" w:hAnsi="宋体" w:eastAsia="宋体" w:cs="宋体"/>
          <w:color w:val="000000" w:themeColor="text1"/>
          <w:szCs w:val="21"/>
          <w:highlight w:val="none"/>
          <w14:textFill>
            <w14:solidFill>
              <w14:schemeClr w14:val="tx1"/>
            </w14:solidFill>
          </w14:textFill>
        </w:rPr>
        <w:t xml:space="preserve">20 </w:t>
      </w:r>
      <w:r>
        <w:rPr>
          <w:rFonts w:hint="eastAsia" w:ascii="宋体" w:hAnsi="宋体" w:eastAsia="宋体" w:cs="宋体"/>
          <w:color w:val="000000" w:themeColor="text1"/>
          <w:szCs w:val="21"/>
          <w:highlight w:val="none"/>
          <w:lang w:val="zh-CN"/>
          <w14:textFill>
            <w14:solidFill>
              <w14:schemeClr w14:val="tx1"/>
            </w14:solidFill>
          </w14:textFill>
        </w:rPr>
        <w:t>投标会时间、地点及投标文件提交的截止时间</w:t>
      </w:r>
      <w:bookmarkEnd w:id="259"/>
      <w:bookmarkEnd w:id="260"/>
      <w:bookmarkEnd w:id="261"/>
      <w:bookmarkEnd w:id="262"/>
    </w:p>
    <w:p w14:paraId="2FD0873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投标人应按招标公告的时间、地点，或根据本投标人须知第</w:t>
      </w:r>
      <w:r>
        <w:rPr>
          <w:rFonts w:hint="eastAsia" w:ascii="宋体" w:hAnsi="宋体" w:eastAsia="宋体" w:cs="宋体"/>
          <w:color w:val="000000" w:themeColor="text1"/>
          <w:szCs w:val="21"/>
          <w:highlight w:val="none"/>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 xml:space="preserve">款规定所延长的日期和时间之前通过交易系统在线上传投标文件。 </w:t>
      </w:r>
    </w:p>
    <w:p w14:paraId="2281E48C">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w:t>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招标人有权按本投标人须知第</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条的规定发出补充通知书，延长投标文件递交的截止时间。这时，原截止时间前，招标人与投标人的权利和义务相应延长至新的投标截止时间。</w:t>
      </w:r>
    </w:p>
    <w:p w14:paraId="6E6F7E1C">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7B3D296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3" w:name="_Toc15468"/>
      <w:bookmarkStart w:id="264" w:name="_Toc26843"/>
      <w:bookmarkStart w:id="265" w:name="_Toc19012"/>
      <w:bookmarkStart w:id="266" w:name="_Toc195714240"/>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szCs w:val="21"/>
          <w:highlight w:val="none"/>
          <w:lang w:val="zh-CN"/>
          <w14:textFill>
            <w14:solidFill>
              <w14:schemeClr w14:val="tx1"/>
            </w14:solidFill>
          </w14:textFill>
        </w:rPr>
        <w:t>投标文件的拒绝</w:t>
      </w:r>
      <w:bookmarkEnd w:id="263"/>
      <w:bookmarkEnd w:id="264"/>
      <w:bookmarkEnd w:id="265"/>
      <w:bookmarkEnd w:id="266"/>
    </w:p>
    <w:p w14:paraId="2773C50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投标会上，出现下列情形之一的投标文件，将被招标人拒绝：</w:t>
      </w:r>
    </w:p>
    <w:p w14:paraId="28094283">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.1.1招标人在本投标人须知第</w:t>
      </w: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.4款规定的投标截止时间以后或指定方式以外收到的投标文件。</w:t>
      </w:r>
    </w:p>
    <w:p w14:paraId="089D586E">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.1.2投标人未按本投标人须知第</w:t>
      </w: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.4款规定提交的投标文件。</w:t>
      </w:r>
    </w:p>
    <w:p w14:paraId="255259E5">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47E915FC">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7139313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7" w:name="_Toc195714241"/>
      <w:bookmarkStart w:id="268" w:name="_Toc1112"/>
      <w:bookmarkStart w:id="269" w:name="_Toc26167"/>
      <w:bookmarkStart w:id="270" w:name="_Toc21695"/>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lang w:val="zh-CN"/>
          <w14:textFill>
            <w14:solidFill>
              <w14:schemeClr w14:val="tx1"/>
            </w14:solidFill>
          </w14:textFill>
        </w:rPr>
        <w:t>投标文件的补充、修改与撤回</w:t>
      </w:r>
      <w:bookmarkEnd w:id="267"/>
      <w:bookmarkEnd w:id="268"/>
      <w:bookmarkEnd w:id="269"/>
      <w:bookmarkEnd w:id="270"/>
    </w:p>
    <w:p w14:paraId="1151F539">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在本投标人须知第</w:t>
      </w: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.1款规定的投标截止时间前，投标人可以修改或撤回已递交的投标文件。在投标截止时间之后，投标人不得补充、修改投标文件。</w:t>
      </w:r>
    </w:p>
    <w:p w14:paraId="368640AA">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投标人应使用企业数字证书、投标文件识别码及投标文件查询密码通过网络撤回已递交投标文件。</w:t>
      </w:r>
    </w:p>
    <w:p w14:paraId="79511E9A">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在投标截止时间至投标有效期满之前，投标人不得撤销其投标文件。投标截止后投标人撤销投标文件的，招标人没收其投标保证金（逾期未解密投标文件的除外）。</w:t>
      </w:r>
    </w:p>
    <w:p w14:paraId="603FECFC">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11237CAC">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71" w:name="_Toc140596896"/>
      <w:bookmarkStart w:id="272" w:name="_Toc27615"/>
      <w:bookmarkStart w:id="273" w:name="_Toc142508337"/>
      <w:bookmarkStart w:id="274" w:name="_Toc28824"/>
      <w:bookmarkStart w:id="275" w:name="_Toc486167687"/>
      <w:bookmarkStart w:id="276" w:name="_Toc1049_WPSOffice_Level2"/>
      <w:bookmarkStart w:id="277" w:name="_Toc450662872"/>
      <w:bookmarkStart w:id="278" w:name="_Toc676"/>
      <w:bookmarkStart w:id="279" w:name="_Toc195714242"/>
      <w:bookmarkStart w:id="280" w:name="_Toc5078"/>
      <w:bookmarkStart w:id="281" w:name="_Toc30428"/>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271"/>
      <w:bookmarkEnd w:id="272"/>
      <w:bookmarkEnd w:id="273"/>
      <w:bookmarkEnd w:id="274"/>
      <w:bookmarkEnd w:id="275"/>
      <w:bookmarkEnd w:id="276"/>
      <w:bookmarkEnd w:id="277"/>
      <w:bookmarkEnd w:id="278"/>
      <w:bookmarkEnd w:id="279"/>
      <w:bookmarkEnd w:id="280"/>
      <w:bookmarkEnd w:id="281"/>
    </w:p>
    <w:p w14:paraId="5CF0233D">
      <w:pPr>
        <w:tabs>
          <w:tab w:val="left" w:pos="567"/>
        </w:tabs>
        <w:autoSpaceDE w:val="0"/>
        <w:autoSpaceDN w:val="0"/>
        <w:adjustRightInd w:val="0"/>
        <w:spacing w:line="360" w:lineRule="auto"/>
        <w:ind w:left="357" w:leftChars="-100" w:right="15" w:rightChars="7" w:hanging="567"/>
        <w:outlineLvl w:val="2"/>
        <w:rPr>
          <w:rFonts w:ascii="宋体" w:hAnsi="宋体" w:eastAsia="宋体" w:cs="宋体"/>
          <w:color w:val="000000" w:themeColor="text1"/>
          <w:szCs w:val="21"/>
          <w:highlight w:val="none"/>
          <w:lang w:val="zh-CN"/>
          <w14:textFill>
            <w14:solidFill>
              <w14:schemeClr w14:val="tx1"/>
            </w14:solidFill>
          </w14:textFill>
        </w:rPr>
      </w:pPr>
      <w:bookmarkStart w:id="282" w:name="_Toc17431"/>
      <w:bookmarkStart w:id="283" w:name="_Toc3237"/>
      <w:bookmarkStart w:id="284" w:name="_Toc195714243"/>
      <w:bookmarkStart w:id="285" w:name="_Toc7242"/>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282"/>
      <w:bookmarkEnd w:id="283"/>
      <w:bookmarkEnd w:id="284"/>
      <w:bookmarkEnd w:id="285"/>
    </w:p>
    <w:p w14:paraId="6153C10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招标人在19.1款规定的投标截止时间（开标时间）和19.4款规定的地点召开投标会并公开开标，投标人可在规定的时间和地点参加投标会或通过登录交易系统在线查看开标过程相关信息。</w:t>
      </w:r>
    </w:p>
    <w:p w14:paraId="7A3E361C">
      <w:pPr>
        <w:tabs>
          <w:tab w:val="left" w:pos="567"/>
        </w:tabs>
        <w:autoSpaceDE w:val="0"/>
        <w:autoSpaceDN w:val="0"/>
        <w:adjustRightInd w:val="0"/>
        <w:spacing w:line="360" w:lineRule="auto"/>
        <w:ind w:left="357" w:leftChars="-100" w:right="15" w:rightChars="7" w:hanging="567"/>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23.2 </w:t>
      </w:r>
      <w:r>
        <w:rPr>
          <w:rFonts w:hint="eastAsia" w:ascii="宋体" w:hAnsi="宋体" w:eastAsia="宋体" w:cs="宋体"/>
          <w:b/>
          <w:bCs/>
          <w:color w:val="000000" w:themeColor="text1"/>
          <w:szCs w:val="21"/>
          <w:highlight w:val="none"/>
          <w:lang w:val="en-US" w:eastAsia="zh-CN"/>
          <w14:textFill>
            <w14:solidFill>
              <w14:schemeClr w14:val="tx1"/>
            </w14:solidFill>
          </w14:textFill>
        </w:rPr>
        <w:t>投标人网上签到时间为开标当天上午6时至投标截止时间</w:t>
      </w:r>
      <w:r>
        <w:rPr>
          <w:rFonts w:hint="eastAsia" w:ascii="宋体" w:hAnsi="宋体" w:eastAsia="宋体" w:cs="宋体"/>
          <w:color w:val="000000" w:themeColor="text1"/>
          <w:szCs w:val="21"/>
          <w:highlight w:val="none"/>
          <w:lang w:val="en-US" w:eastAsia="zh-CN"/>
          <w14:textFill>
            <w14:solidFill>
              <w14:schemeClr w14:val="tx1"/>
            </w14:solidFill>
          </w14:textFill>
        </w:rPr>
        <w:t>，使用企业数字证书（机构证书或业务证书）登录交易系统在线完成投标保证金关联及电子投标文件关联等的网上签到手续。招标人在投标会现场不受理投标人签到事项，因投标人原因造成投标人签到失败、关联相关投标信息错误及不完整的，视为其投标文件无效，招标人将否决其投标。</w:t>
      </w:r>
    </w:p>
    <w:p w14:paraId="308283FC">
      <w:pPr>
        <w:tabs>
          <w:tab w:val="left" w:pos="567"/>
        </w:tabs>
        <w:autoSpaceDE w:val="0"/>
        <w:autoSpaceDN w:val="0"/>
        <w:adjustRightInd w:val="0"/>
        <w:spacing w:line="360" w:lineRule="auto"/>
        <w:ind w:left="357" w:leftChars="-100" w:right="15" w:rightChars="7" w:hanging="567"/>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23.3 投标人网上签到需要由法定代表人或</w:t>
      </w:r>
      <w:r>
        <w:rPr>
          <w:rFonts w:hint="eastAsia" w:ascii="宋体" w:hAnsi="宋体" w:eastAsia="宋体" w:cs="宋体"/>
          <w:color w:val="000000" w:themeColor="text1"/>
          <w:szCs w:val="21"/>
          <w:highlight w:val="none"/>
          <w:lang w:val="zh-CN"/>
          <w14:textFill>
            <w14:solidFill>
              <w14:schemeClr w14:val="tx1"/>
            </w14:solidFill>
          </w14:textFill>
        </w:rPr>
        <w:t>其授权代表</w:t>
      </w:r>
      <w:r>
        <w:rPr>
          <w:rFonts w:hint="eastAsia" w:ascii="宋体" w:hAnsi="宋体" w:eastAsia="宋体" w:cs="宋体"/>
          <w:color w:val="000000" w:themeColor="text1"/>
          <w:szCs w:val="21"/>
          <w:highlight w:val="none"/>
          <w:lang w:val="en-US" w:eastAsia="zh-CN"/>
          <w14:textFill>
            <w14:solidFill>
              <w14:schemeClr w14:val="tx1"/>
            </w14:solidFill>
          </w14:textFill>
        </w:rPr>
        <w:t>进行人脸识别完成签到。（注：投标人在网上签到时须关联的法定代表人</w:t>
      </w:r>
      <w:r>
        <w:rPr>
          <w:rFonts w:hint="eastAsia" w:ascii="宋体" w:hAnsi="宋体" w:eastAsia="宋体" w:cs="宋体"/>
          <w:color w:val="000000" w:themeColor="text1"/>
          <w:szCs w:val="21"/>
          <w:highlight w:val="none"/>
          <w:lang w:val="zh-CN"/>
          <w14:textFill>
            <w14:solidFill>
              <w14:schemeClr w14:val="tx1"/>
            </w14:solidFill>
          </w14:textFill>
        </w:rPr>
        <w:t>授权代表</w:t>
      </w:r>
      <w:r>
        <w:rPr>
          <w:rFonts w:hint="eastAsia" w:ascii="宋体" w:hAnsi="宋体" w:eastAsia="宋体" w:cs="宋体"/>
          <w:color w:val="000000" w:themeColor="text1"/>
          <w:szCs w:val="21"/>
          <w:highlight w:val="none"/>
          <w:lang w:val="en-US" w:eastAsia="zh-CN"/>
          <w14:textFill>
            <w14:solidFill>
              <w14:schemeClr w14:val="tx1"/>
            </w14:solidFill>
          </w14:textFill>
        </w:rPr>
        <w:t>为本项目法定代表人授权书列明的被授权人。）</w:t>
      </w:r>
    </w:p>
    <w:p w14:paraId="33529708">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投标文件提交截止时间后，招标人按本投标人须知第2</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.1款规定拒绝不符合要求的投标文件。</w:t>
      </w:r>
    </w:p>
    <w:p w14:paraId="4914A00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b/>
          <w:bCs/>
          <w:color w:val="000000" w:themeColor="text1"/>
          <w:szCs w:val="21"/>
          <w:highlight w:val="none"/>
          <w:lang w:val="zh-CN"/>
          <w14:textFill>
            <w14:solidFill>
              <w14:schemeClr w14:val="tx1"/>
            </w14:solidFill>
          </w14:textFill>
        </w:rPr>
        <w:t>解密投标文件的时间：投标文件提交截止时间后60分钟内</w:t>
      </w:r>
      <w:r>
        <w:rPr>
          <w:rFonts w:hint="eastAsia" w:ascii="宋体" w:hAnsi="宋体" w:eastAsia="宋体" w:cs="宋体"/>
          <w:b w:val="0"/>
          <w:bCs w:val="0"/>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若全部投标文件均在解密时间内完成解密，经招标人确认，可以提前进入下一环节。投标会现场不受理投标人的投标文件解密等事项。因投标人原因造成投标文件未解密的，视为撤销其投标文件；因投标人</w:t>
      </w:r>
      <w:r>
        <w:rPr>
          <w:rFonts w:hint="eastAsia" w:ascii="宋体" w:hAnsi="宋体" w:eastAsia="宋体" w:cs="宋体"/>
          <w:color w:val="000000" w:themeColor="text1"/>
          <w:szCs w:val="21"/>
          <w:highlight w:val="none"/>
          <w:lang w:val="en-US" w:eastAsia="zh-CN"/>
          <w14:textFill>
            <w14:solidFill>
              <w14:schemeClr w14:val="tx1"/>
            </w14:solidFill>
          </w14:textFill>
        </w:rPr>
        <w:t>之外的</w:t>
      </w:r>
      <w:r>
        <w:rPr>
          <w:rFonts w:hint="eastAsia" w:ascii="宋体" w:hAnsi="宋体" w:eastAsia="宋体" w:cs="宋体"/>
          <w:color w:val="000000" w:themeColor="text1"/>
          <w:szCs w:val="21"/>
          <w:highlight w:val="none"/>
          <w:lang w:val="zh-CN"/>
          <w14:textFill>
            <w14:solidFill>
              <w14:schemeClr w14:val="tx1"/>
            </w14:solidFill>
          </w14:textFill>
        </w:rPr>
        <w:t>原因造成投标文件未解密的，视为撤回其投标文件。投标文件解密需要由法定代表人或其授权代表进行人脸识别完成解密。</w:t>
      </w:r>
      <w:r>
        <w:rPr>
          <w:rFonts w:hint="eastAsia" w:ascii="宋体" w:hAnsi="宋体" w:eastAsia="宋体" w:cs="宋体"/>
          <w:color w:val="000000" w:themeColor="text1"/>
          <w:szCs w:val="21"/>
          <w:highlight w:val="none"/>
          <w:lang w:val="en-US" w:eastAsia="zh-CN"/>
          <w14:textFill>
            <w14:solidFill>
              <w14:schemeClr w14:val="tx1"/>
            </w14:solidFill>
          </w14:textFill>
        </w:rPr>
        <w:t>（注：投标人在网上签到时须关联的法定代表人</w:t>
      </w:r>
      <w:r>
        <w:rPr>
          <w:rFonts w:hint="eastAsia" w:ascii="宋体" w:hAnsi="宋体" w:eastAsia="宋体" w:cs="宋体"/>
          <w:color w:val="000000" w:themeColor="text1"/>
          <w:szCs w:val="21"/>
          <w:highlight w:val="none"/>
          <w:lang w:val="zh-CN"/>
          <w14:textFill>
            <w14:solidFill>
              <w14:schemeClr w14:val="tx1"/>
            </w14:solidFill>
          </w14:textFill>
        </w:rPr>
        <w:t>授权代表</w:t>
      </w:r>
      <w:r>
        <w:rPr>
          <w:rFonts w:hint="eastAsia" w:ascii="宋体" w:hAnsi="宋体" w:eastAsia="宋体" w:cs="宋体"/>
          <w:color w:val="000000" w:themeColor="text1"/>
          <w:szCs w:val="21"/>
          <w:highlight w:val="none"/>
          <w:lang w:val="en-US" w:eastAsia="zh-CN"/>
          <w14:textFill>
            <w14:solidFill>
              <w14:schemeClr w14:val="tx1"/>
            </w14:solidFill>
          </w14:textFill>
        </w:rPr>
        <w:t>为本项目法定代表人授权书列明的被授权人。）</w:t>
      </w:r>
    </w:p>
    <w:p w14:paraId="374021A7">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招标人将所有已解密的电子投标文件，按要求通过开标系统将进入评标环节的投标文件打包并导入评标系统。</w:t>
      </w:r>
    </w:p>
    <w:p w14:paraId="5C298E86">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招标人、招标代理工作人员、监督部门（如有）等有关人员在开标记录上签字确认，开标记录封存。</w:t>
      </w:r>
    </w:p>
    <w:p w14:paraId="636BA363">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14:paraId="3AF2AC1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86" w:name="_Toc195714244"/>
      <w:bookmarkStart w:id="287" w:name="_Toc450662874"/>
      <w:bookmarkStart w:id="288" w:name="_Toc22291"/>
      <w:bookmarkStart w:id="289" w:name="_Toc142508339"/>
      <w:bookmarkStart w:id="290" w:name="_Toc12165_WPSOffice_Level3"/>
      <w:bookmarkStart w:id="291" w:name="_Toc17637"/>
      <w:bookmarkStart w:id="292" w:name="_Toc486167689"/>
      <w:bookmarkStart w:id="293" w:name="_Toc23059"/>
      <w:bookmarkStart w:id="294" w:name="_Toc21794"/>
      <w:bookmarkStart w:id="295" w:name="_Toc32534"/>
      <w:r>
        <w:rPr>
          <w:rFonts w:hint="eastAsia" w:ascii="宋体" w:hAnsi="宋体" w:eastAsia="宋体" w:cs="宋体"/>
          <w:color w:val="000000" w:themeColor="text1"/>
          <w:szCs w:val="21"/>
          <w:highlight w:val="none"/>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286"/>
      <w:bookmarkEnd w:id="287"/>
      <w:bookmarkEnd w:id="288"/>
      <w:bookmarkEnd w:id="289"/>
      <w:bookmarkEnd w:id="290"/>
      <w:bookmarkEnd w:id="291"/>
      <w:bookmarkEnd w:id="292"/>
      <w:bookmarkEnd w:id="293"/>
      <w:bookmarkEnd w:id="294"/>
      <w:bookmarkEnd w:id="295"/>
    </w:p>
    <w:p w14:paraId="44A6FE75">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14:paraId="08D32B77">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w:t>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14:paraId="149B2D3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20B9E6C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96" w:name="_Toc17530"/>
      <w:bookmarkStart w:id="297" w:name="_Toc142508340"/>
      <w:bookmarkStart w:id="298" w:name="_Toc800"/>
      <w:bookmarkStart w:id="299" w:name="_Toc16920"/>
      <w:bookmarkStart w:id="300" w:name="_Toc450662875"/>
      <w:bookmarkStart w:id="301" w:name="_Toc31307"/>
      <w:bookmarkStart w:id="302" w:name="_Toc31520"/>
      <w:bookmarkStart w:id="303" w:name="_Toc486167690"/>
      <w:bookmarkStart w:id="304" w:name="_Toc195714245"/>
      <w:bookmarkStart w:id="305" w:name="_Toc15565_WPSOffice_Level3"/>
      <w:r>
        <w:rPr>
          <w:rFonts w:hint="eastAsia" w:ascii="宋体" w:hAnsi="宋体" w:eastAsia="宋体" w:cs="宋体"/>
          <w:color w:val="000000" w:themeColor="text1"/>
          <w:szCs w:val="21"/>
          <w:highlight w:val="none"/>
          <w14:textFill>
            <w14:solidFill>
              <w14:schemeClr w14:val="tx1"/>
            </w14:solidFill>
          </w14:textFill>
        </w:rPr>
        <w:t>25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296"/>
      <w:bookmarkEnd w:id="297"/>
      <w:bookmarkEnd w:id="298"/>
      <w:bookmarkEnd w:id="299"/>
      <w:bookmarkEnd w:id="300"/>
      <w:bookmarkEnd w:id="301"/>
      <w:bookmarkEnd w:id="302"/>
      <w:bookmarkEnd w:id="303"/>
      <w:bookmarkEnd w:id="304"/>
      <w:bookmarkEnd w:id="305"/>
    </w:p>
    <w:p w14:paraId="2CA9620D">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14:paraId="76B7629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w:t>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14:paraId="34F9D996">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59D39A39">
      <w:pPr>
        <w:autoSpaceDE w:val="0"/>
        <w:autoSpaceDN w:val="0"/>
        <w:adjustRightInd w:val="0"/>
        <w:spacing w:line="360" w:lineRule="auto"/>
        <w:ind w:left="357" w:leftChars="-100" w:hanging="567"/>
        <w:outlineLvl w:val="2"/>
        <w:rPr>
          <w:rFonts w:ascii="宋体" w:hAnsi="宋体" w:eastAsia="宋体" w:cs="宋体"/>
          <w:color w:val="000000" w:themeColor="text1"/>
          <w:szCs w:val="21"/>
          <w:highlight w:val="none"/>
          <w:lang w:val="zh-CN"/>
          <w14:textFill>
            <w14:solidFill>
              <w14:schemeClr w14:val="tx1"/>
            </w14:solidFill>
          </w14:textFill>
        </w:rPr>
      </w:pPr>
      <w:bookmarkStart w:id="306" w:name="_Toc2927"/>
      <w:bookmarkStart w:id="307" w:name="_Toc562"/>
      <w:bookmarkStart w:id="308" w:name="_Toc11997"/>
      <w:bookmarkStart w:id="309" w:name="_Toc195714246"/>
      <w:r>
        <w:rPr>
          <w:rFonts w:hint="eastAsia" w:ascii="宋体" w:hAnsi="宋体" w:eastAsia="宋体" w:cs="宋体"/>
          <w:color w:val="000000" w:themeColor="text1"/>
          <w:szCs w:val="21"/>
          <w:highlight w:val="none"/>
          <w:lang w:val="zh-CN"/>
          <w14:textFill>
            <w14:solidFill>
              <w14:schemeClr w14:val="tx1"/>
            </w14:solidFill>
          </w14:textFill>
        </w:rPr>
        <w:t>26</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投标文件的有效性</w:t>
      </w:r>
      <w:bookmarkEnd w:id="306"/>
      <w:bookmarkEnd w:id="307"/>
      <w:bookmarkEnd w:id="308"/>
      <w:bookmarkEnd w:id="309"/>
    </w:p>
    <w:p w14:paraId="4424969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26.1开标（评标）时，投标文件出现下列情形之一的，应当作为无效投标文件：</w:t>
      </w:r>
    </w:p>
    <w:p w14:paraId="05CD7C0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上传的投标文件损坏或无法读取的；</w:t>
      </w:r>
    </w:p>
    <w:p w14:paraId="3E0AC9A3">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经招标人确认，投标人在公共资源交易企业库填报的与本项目密切相关的信息与事实不相符的；</w:t>
      </w:r>
    </w:p>
    <w:p w14:paraId="7CFB74E4">
      <w:pPr>
        <w:autoSpaceDE w:val="0"/>
        <w:autoSpaceDN w:val="0"/>
        <w:adjustRightInd w:val="0"/>
        <w:spacing w:line="360" w:lineRule="auto"/>
        <w:ind w:left="357" w:leftChars="-100" w:hanging="567"/>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26.1.3投标文件中使用的本项目招标文件版本，与交易系统上发布的本项目招标文件的最新版本不一致的；</w:t>
      </w:r>
    </w:p>
    <w:p w14:paraId="1BEAE0E2">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26.1.4</w:t>
      </w:r>
      <w:r>
        <w:rPr>
          <w:rFonts w:hint="eastAsia" w:ascii="宋体" w:hAnsi="宋体" w:eastAsia="宋体" w:cs="宋体"/>
          <w:color w:val="000000" w:themeColor="text1"/>
          <w:szCs w:val="21"/>
          <w:highlight w:val="none"/>
          <w:lang w:val="zh-CN"/>
          <w14:textFill>
            <w14:solidFill>
              <w14:schemeClr w14:val="tx1"/>
            </w14:solidFill>
          </w14:textFill>
        </w:rPr>
        <w:t>投标产品的制造商及取得投标产品制造商就本次投标独家授权的经销商同时参与本项目投标的；</w:t>
      </w:r>
    </w:p>
    <w:p w14:paraId="39BF196A">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同一投标产品的制造商通过两家或以上就本次投标独家授权的经销商同时参与本项目投标的；</w:t>
      </w:r>
    </w:p>
    <w:p w14:paraId="2CE5803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26.1.6</w:t>
      </w:r>
      <w:r>
        <w:rPr>
          <w:rFonts w:hint="eastAsia" w:ascii="宋体" w:hAnsi="宋体" w:eastAsia="宋体" w:cs="宋体"/>
          <w:color w:val="000000" w:themeColor="text1"/>
          <w:szCs w:val="21"/>
          <w:highlight w:val="none"/>
          <w:lang w:val="zh-CN"/>
          <w14:textFill>
            <w14:solidFill>
              <w14:schemeClr w14:val="tx1"/>
            </w14:solidFill>
          </w14:textFill>
        </w:rPr>
        <w:t>投标文件签名使用的数字证书与签到的投标人名称不一致的；</w:t>
      </w:r>
    </w:p>
    <w:p w14:paraId="68AA098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投标人的投标编制MAC信息、投标编制CPU序列号、投标编制硬盘序列号均与其他投标人相同的；</w:t>
      </w:r>
    </w:p>
    <w:p w14:paraId="1FEF57D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zh-CN"/>
          <w14:textFill>
            <w14:solidFill>
              <w14:schemeClr w14:val="tx1"/>
            </w14:solidFill>
          </w14:textFill>
        </w:rPr>
        <w:t>投标文件附有招标人不能接受的条件的；</w:t>
      </w:r>
    </w:p>
    <w:p w14:paraId="495C898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投标人资格不满足本投标人须知第</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款的要求；</w:t>
      </w:r>
    </w:p>
    <w:p w14:paraId="67EB647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val="zh-CN"/>
          <w14:textFill>
            <w14:solidFill>
              <w14:schemeClr w14:val="tx1"/>
            </w14:solidFill>
          </w14:textFill>
        </w:rPr>
        <w:t>投标人未按招标文件要求交纳投标保证金的；</w:t>
      </w:r>
    </w:p>
    <w:p w14:paraId="7706206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投标文件报价信封中填报的投标报价未按照招标文件要求进行折扣系数报价的；</w:t>
      </w:r>
    </w:p>
    <w:p w14:paraId="694ECB9E">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lang w:val="zh-CN"/>
          <w14:textFill>
            <w14:solidFill>
              <w14:schemeClr w14:val="tx1"/>
            </w14:solidFill>
          </w14:textFill>
        </w:rPr>
        <w:t>投标人以低于企业成本价报价，且投标人不能合理说明或不能提供相关证明材料；</w:t>
      </w:r>
    </w:p>
    <w:p w14:paraId="12A6ED58">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13</w:t>
      </w:r>
      <w:r>
        <w:rPr>
          <w:rFonts w:hint="eastAsia" w:ascii="宋体" w:hAnsi="宋体" w:eastAsia="宋体" w:cs="宋体"/>
          <w:color w:val="000000" w:themeColor="text1"/>
          <w:szCs w:val="21"/>
          <w:highlight w:val="none"/>
          <w:lang w:val="zh-CN"/>
          <w14:textFill>
            <w14:solidFill>
              <w14:schemeClr w14:val="tx1"/>
            </w14:solidFill>
          </w14:textFill>
        </w:rPr>
        <w:t>投标人递交两份或多份内容不同的投标文件，或在一份投标文件中报有两个或多个报价，且未书面声明哪一个有效；</w:t>
      </w:r>
    </w:p>
    <w:p w14:paraId="21CF79A0">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14</w:t>
      </w:r>
      <w:r>
        <w:rPr>
          <w:rFonts w:hint="eastAsia" w:ascii="宋体" w:hAnsi="宋体" w:eastAsia="宋体" w:cs="宋体"/>
          <w:color w:val="000000" w:themeColor="text1"/>
          <w:szCs w:val="21"/>
          <w:highlight w:val="none"/>
          <w:lang w:val="zh-CN"/>
          <w14:textFill>
            <w14:solidFill>
              <w14:schemeClr w14:val="tx1"/>
            </w14:solidFill>
          </w14:textFill>
        </w:rPr>
        <w:t xml:space="preserve">投标文件未使用企业数字证书或个人数字证书电子签名的； </w:t>
      </w:r>
    </w:p>
    <w:p w14:paraId="2C3F5006">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lang w:val="zh-CN"/>
          <w14:textFill>
            <w14:solidFill>
              <w14:schemeClr w14:val="tx1"/>
            </w14:solidFill>
          </w14:textFill>
        </w:rPr>
        <w:t>投标有效期限不符合要求；</w:t>
      </w:r>
    </w:p>
    <w:p w14:paraId="236C82E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lang w:val="zh-CN"/>
          <w14:textFill>
            <w14:solidFill>
              <w14:schemeClr w14:val="tx1"/>
            </w14:solidFill>
          </w14:textFill>
        </w:rPr>
        <w:t>投标文件未对招标范围内的全部内容进行投标报价或投标方案不是唯一；</w:t>
      </w:r>
    </w:p>
    <w:p w14:paraId="5747C3F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17</w:t>
      </w:r>
      <w:r>
        <w:rPr>
          <w:rFonts w:hint="eastAsia" w:ascii="宋体" w:hAnsi="宋体" w:eastAsia="宋体" w:cs="宋体"/>
          <w:color w:val="000000" w:themeColor="text1"/>
          <w:szCs w:val="21"/>
          <w:highlight w:val="none"/>
          <w:lang w:val="zh-CN"/>
          <w14:textFill>
            <w14:solidFill>
              <w14:schemeClr w14:val="tx1"/>
            </w14:solidFill>
          </w14:textFill>
        </w:rPr>
        <w:t>未提供或虚假填写《合同条款偏离表》，或对《合同条款偏离表》有负偏离的；</w:t>
      </w:r>
    </w:p>
    <w:p w14:paraId="46A1400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18</w:t>
      </w:r>
      <w:r>
        <w:rPr>
          <w:rFonts w:hint="eastAsia" w:ascii="宋体" w:hAnsi="宋体" w:eastAsia="宋体" w:cs="宋体"/>
          <w:color w:val="000000" w:themeColor="text1"/>
          <w:szCs w:val="21"/>
          <w:highlight w:val="none"/>
          <w:lang w:val="zh-CN"/>
          <w14:textFill>
            <w14:solidFill>
              <w14:schemeClr w14:val="tx1"/>
            </w14:solidFill>
          </w14:textFill>
        </w:rPr>
        <w:t>未填写或虚假填写《用户需求偏离表》的；</w:t>
      </w:r>
    </w:p>
    <w:p w14:paraId="15137DB0">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19</w:t>
      </w:r>
      <w:r>
        <w:rPr>
          <w:rFonts w:hint="eastAsia" w:ascii="宋体" w:hAnsi="宋体" w:eastAsia="宋体" w:cs="宋体"/>
          <w:color w:val="000000" w:themeColor="text1"/>
          <w:szCs w:val="21"/>
          <w:highlight w:val="none"/>
          <w:lang w:val="zh-CN"/>
          <w14:textFill>
            <w14:solidFill>
              <w14:schemeClr w14:val="tx1"/>
            </w14:solidFill>
          </w14:textFill>
        </w:rPr>
        <w:t>未响应招标文件提出的实质性要求和条件（标注★的条款）。</w:t>
      </w:r>
    </w:p>
    <w:p w14:paraId="304C768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lang w:val="zh-CN"/>
          <w14:textFill>
            <w14:solidFill>
              <w14:schemeClr w14:val="tx1"/>
            </w14:solidFill>
          </w14:textFill>
        </w:rPr>
        <w:t>属于招标文件中规定为无效标的；属于法律、法规、规章规定的应作无效投标文件处理的。</w:t>
      </w:r>
    </w:p>
    <w:p w14:paraId="35EDC80C">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499455D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310" w:name="_Toc486167691"/>
      <w:bookmarkStart w:id="311" w:name="_Toc18668"/>
      <w:bookmarkStart w:id="312" w:name="_Toc12715"/>
      <w:bookmarkStart w:id="313" w:name="_Toc450662876"/>
      <w:bookmarkStart w:id="314" w:name="_Toc11172"/>
      <w:bookmarkStart w:id="315" w:name="_Toc17000"/>
      <w:bookmarkStart w:id="316" w:name="_Toc142508341"/>
      <w:bookmarkStart w:id="317" w:name="_Toc195714247"/>
      <w:bookmarkStart w:id="318" w:name="_Toc23436"/>
      <w:bookmarkStart w:id="319" w:name="_Toc28910_WPSOffice_Level3"/>
      <w:r>
        <w:rPr>
          <w:rFonts w:hint="eastAsia"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14:textFill>
            <w14:solidFill>
              <w14:schemeClr w14:val="tx1"/>
            </w14:solidFill>
          </w14:textFill>
        </w:rPr>
        <w:t>7</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投标文件的初审</w:t>
      </w:r>
      <w:bookmarkEnd w:id="310"/>
      <w:bookmarkEnd w:id="311"/>
      <w:bookmarkEnd w:id="312"/>
      <w:bookmarkEnd w:id="313"/>
      <w:bookmarkEnd w:id="314"/>
      <w:bookmarkEnd w:id="315"/>
      <w:bookmarkEnd w:id="316"/>
      <w:bookmarkEnd w:id="317"/>
      <w:bookmarkEnd w:id="318"/>
      <w:bookmarkEnd w:id="319"/>
    </w:p>
    <w:p w14:paraId="4B84DEAD">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.1 资格性检查：依据法律法规和招标文件的规定，对投标文件中的资格证明、投标保证金等进行审查，以确定投标人是否具备投标资格。</w:t>
      </w:r>
    </w:p>
    <w:p w14:paraId="543AB658">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.2 符合性检查：依据招标文件的规定，从投标文件的有效性、完整性和对招标文件的响应程度进行审查，以确定是否对招标文件的实质性要求作出响应。</w:t>
      </w:r>
    </w:p>
    <w:p w14:paraId="1DEA8B38">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14:paraId="796EAEDE">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20" w:name="_Toc486167692"/>
      <w:bookmarkStart w:id="321" w:name="_Toc17993"/>
      <w:bookmarkStart w:id="322" w:name="_Toc338_WPSOffice_Level3"/>
      <w:bookmarkStart w:id="323" w:name="_Toc8995"/>
      <w:bookmarkStart w:id="324" w:name="_Toc4837"/>
      <w:bookmarkStart w:id="325" w:name="_Toc30225"/>
      <w:bookmarkStart w:id="326" w:name="_Toc14014"/>
      <w:bookmarkStart w:id="327" w:name="_Toc142508342"/>
      <w:bookmarkStart w:id="328" w:name="_Toc195714248"/>
      <w:bookmarkStart w:id="329" w:name="_Toc450662877"/>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320"/>
      <w:bookmarkEnd w:id="321"/>
      <w:bookmarkEnd w:id="322"/>
      <w:bookmarkEnd w:id="323"/>
      <w:bookmarkEnd w:id="324"/>
      <w:bookmarkEnd w:id="325"/>
      <w:bookmarkEnd w:id="326"/>
      <w:bookmarkEnd w:id="327"/>
      <w:bookmarkEnd w:id="328"/>
      <w:bookmarkEnd w:id="329"/>
    </w:p>
    <w:p w14:paraId="1ED5D02A">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val="zh-CN"/>
          <w14:textFill>
            <w14:solidFill>
              <w14:schemeClr w14:val="tx1"/>
            </w14:solidFill>
          </w14:textFill>
        </w:rPr>
        <w:t>.1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1AAA7FE6">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330" w:name="_Toc450662879"/>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val="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因此温馨提示各投标人：编制投标文件时，请认真填写本项目递交投标文件时法定代表人或法定代表人授权书列明的被授权人的联系电话，如招标文件</w:t>
      </w:r>
      <w:r>
        <w:rPr>
          <w:rFonts w:hint="eastAsia" w:ascii="宋体" w:hAnsi="宋体" w:eastAsia="宋体" w:cs="宋体"/>
          <w:color w:val="000000" w:themeColor="text1"/>
          <w:szCs w:val="21"/>
          <w:highlight w:val="none"/>
          <w:lang w:val="en-US" w:eastAsia="zh-CN"/>
          <w14:textFill>
            <w14:solidFill>
              <w14:schemeClr w14:val="tx1"/>
            </w14:solidFill>
          </w14:textFill>
        </w:rPr>
        <w:t>第六篇</w:t>
      </w:r>
      <w:r>
        <w:rPr>
          <w:rFonts w:hint="eastAsia" w:ascii="宋体" w:hAnsi="宋体" w:eastAsia="宋体" w:cs="宋体"/>
          <w:color w:val="000000" w:themeColor="text1"/>
          <w:szCs w:val="21"/>
          <w:highlight w:val="none"/>
          <w:lang w:val="zh-CN"/>
          <w14:textFill>
            <w14:solidFill>
              <w14:schemeClr w14:val="tx1"/>
            </w14:solidFill>
          </w14:textFill>
        </w:rPr>
        <w:t>投标文件格式“投标函”</w:t>
      </w:r>
      <w:r>
        <w:rPr>
          <w:rFonts w:hint="eastAsia" w:ascii="宋体" w:hAnsi="宋体" w:eastAsia="宋体" w:cs="宋体"/>
          <w:color w:val="000000" w:themeColor="text1"/>
          <w:szCs w:val="21"/>
          <w:highlight w:val="none"/>
          <w:lang w:val="en-US" w:eastAsia="zh-CN"/>
          <w14:textFill>
            <w14:solidFill>
              <w14:schemeClr w14:val="tx1"/>
            </w14:solidFill>
          </w14:textFill>
        </w:rPr>
        <w:t>和“法定代表人授权书”</w:t>
      </w:r>
      <w:r>
        <w:rPr>
          <w:rFonts w:hint="eastAsia" w:ascii="宋体" w:hAnsi="宋体" w:eastAsia="宋体" w:cs="宋体"/>
          <w:color w:val="000000" w:themeColor="text1"/>
          <w:szCs w:val="21"/>
          <w:highlight w:val="none"/>
          <w:lang w:val="zh-CN"/>
          <w14:textFill>
            <w14:solidFill>
              <w14:schemeClr w14:val="tx1"/>
            </w14:solidFill>
          </w14:textFill>
        </w:rPr>
        <w:t>中的</w:t>
      </w:r>
      <w:r>
        <w:rPr>
          <w:rFonts w:hint="eastAsia" w:ascii="宋体" w:hAnsi="宋体" w:eastAsia="宋体" w:cs="宋体"/>
          <w:color w:val="000000" w:themeColor="text1"/>
          <w:szCs w:val="21"/>
          <w:highlight w:val="none"/>
          <w:lang w:val="en-US" w:eastAsia="zh-CN"/>
          <w14:textFill>
            <w14:solidFill>
              <w14:schemeClr w14:val="tx1"/>
            </w14:solidFill>
          </w14:textFill>
        </w:rPr>
        <w:t>联系方式及电子邮箱</w:t>
      </w:r>
      <w:r>
        <w:rPr>
          <w:rFonts w:hint="eastAsia" w:ascii="宋体" w:hAnsi="宋体" w:eastAsia="宋体" w:cs="宋体"/>
          <w:color w:val="000000" w:themeColor="text1"/>
          <w:szCs w:val="21"/>
          <w:highlight w:val="none"/>
          <w:lang w:val="zh-CN"/>
          <w14:textFill>
            <w14:solidFill>
              <w14:schemeClr w14:val="tx1"/>
            </w14:solidFill>
          </w14:textFill>
        </w:rPr>
        <w:t>，以便能及时收到澄清通知。</w:t>
      </w:r>
    </w:p>
    <w:p w14:paraId="6CD70F3C">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p>
    <w:bookmarkEnd w:id="330"/>
    <w:p w14:paraId="236F5E94">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31" w:name="_Toc13423"/>
      <w:bookmarkStart w:id="332" w:name="_Toc22065"/>
      <w:bookmarkStart w:id="333" w:name="_Toc10967"/>
      <w:bookmarkStart w:id="334" w:name="_Toc522047355"/>
      <w:bookmarkStart w:id="335" w:name="_Toc521918096"/>
      <w:bookmarkStart w:id="336" w:name="_Toc5783"/>
      <w:bookmarkStart w:id="337" w:name="_Toc142508343"/>
      <w:bookmarkStart w:id="338" w:name="_Toc195714249"/>
      <w:bookmarkStart w:id="339" w:name="_Toc18368_WPSOffice_Level3"/>
      <w:bookmarkStart w:id="340" w:name="_Toc25121"/>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331"/>
      <w:bookmarkEnd w:id="332"/>
      <w:bookmarkEnd w:id="333"/>
      <w:bookmarkEnd w:id="334"/>
      <w:bookmarkEnd w:id="335"/>
      <w:bookmarkEnd w:id="336"/>
      <w:bookmarkEnd w:id="337"/>
      <w:bookmarkEnd w:id="338"/>
      <w:bookmarkEnd w:id="339"/>
      <w:bookmarkEnd w:id="340"/>
    </w:p>
    <w:p w14:paraId="7B2D2D39">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评标委员会将对资格性检查和符合性检查合格的投标文件进行比较和评价，包括商务、技术和价格的详细评审。</w:t>
      </w:r>
    </w:p>
    <w:p w14:paraId="544DCCA0">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14:paraId="36A4F7D0">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14:paraId="13537E5C">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对投标价格的评审详见评标工作大纲。</w:t>
      </w:r>
    </w:p>
    <w:p w14:paraId="2F7B0CA4">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14:paraId="2BF90470">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根据上述商务、技术及价格综合评价的权重分配计算出各投标人的综合得分。</w:t>
      </w:r>
    </w:p>
    <w:p w14:paraId="2DC82245">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341" w:name="_Toc522047356"/>
      <w:bookmarkStart w:id="342" w:name="_Toc521918097"/>
    </w:p>
    <w:p w14:paraId="131AA2F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43" w:name="_Toc142508344"/>
      <w:bookmarkStart w:id="344" w:name="_Toc195714250"/>
      <w:bookmarkStart w:id="345" w:name="_Toc27950"/>
      <w:bookmarkStart w:id="346" w:name="_Toc27026"/>
      <w:bookmarkStart w:id="347" w:name="_Toc21460_WPSOffice_Level3"/>
      <w:bookmarkStart w:id="348" w:name="_Toc14804"/>
      <w:bookmarkStart w:id="349" w:name="_Toc12081"/>
      <w:bookmarkStart w:id="350" w:name="_Toc22724"/>
      <w:r>
        <w:rPr>
          <w:rFonts w:hint="eastAsia" w:ascii="宋体" w:hAnsi="宋体" w:eastAsia="宋体" w:cs="宋体"/>
          <w:color w:val="000000" w:themeColor="text1"/>
          <w:szCs w:val="21"/>
          <w:highlight w:val="none"/>
          <w14:textFill>
            <w14:solidFill>
              <w14:schemeClr w14:val="tx1"/>
            </w14:solidFill>
          </w14:textFill>
        </w:rPr>
        <w:t>30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341"/>
      <w:bookmarkEnd w:id="342"/>
      <w:bookmarkEnd w:id="343"/>
      <w:bookmarkEnd w:id="344"/>
      <w:bookmarkEnd w:id="345"/>
      <w:bookmarkEnd w:id="346"/>
      <w:bookmarkEnd w:id="347"/>
      <w:bookmarkEnd w:id="348"/>
      <w:bookmarkEnd w:id="349"/>
      <w:bookmarkEnd w:id="350"/>
    </w:p>
    <w:p w14:paraId="77C7739C">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对所有投标文件的评审，都采用相同的程序和标准。按步骤先进行初步评审，再进行商务、技术、价格评审。</w:t>
      </w:r>
    </w:p>
    <w:p w14:paraId="20FE53AA">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.2 评标严格按照招标文件的要求和条件进行。</w:t>
      </w:r>
    </w:p>
    <w:p w14:paraId="157B1E9D">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w:t>
      </w:r>
      <w:r>
        <w:rPr>
          <w:rFonts w:hint="eastAsia" w:ascii="宋体" w:hAnsi="宋体" w:eastAsia="宋体" w:cs="宋体"/>
          <w:color w:val="000000" w:themeColor="text1"/>
          <w:szCs w:val="21"/>
          <w:highlight w:val="none"/>
          <w14:textFill>
            <w14:solidFill>
              <w14:schemeClr w14:val="tx1"/>
            </w14:solidFill>
          </w14:textFill>
        </w:rPr>
        <w:t>29</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14:paraId="52B53262">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 xml:space="preserve">.3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w:t>
      </w:r>
    </w:p>
    <w:p w14:paraId="311F6673">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p>
    <w:p w14:paraId="4C987F4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51" w:name="_Toc486167694"/>
      <w:bookmarkStart w:id="352" w:name="_Toc32498_WPSOffice_Level3"/>
      <w:bookmarkStart w:id="353" w:name="_Toc26551"/>
      <w:bookmarkStart w:id="354" w:name="_Toc11615"/>
      <w:bookmarkStart w:id="355" w:name="_Toc31339"/>
      <w:bookmarkStart w:id="356" w:name="_Toc465358969"/>
      <w:bookmarkStart w:id="357" w:name="_Toc466882017"/>
      <w:bookmarkStart w:id="358" w:name="_Toc4819"/>
      <w:bookmarkStart w:id="359" w:name="_Toc195714251"/>
      <w:bookmarkStart w:id="360" w:name="_Toc142508345"/>
      <w:bookmarkStart w:id="361" w:name="_Toc19208"/>
      <w:r>
        <w:rPr>
          <w:rFonts w:hint="eastAsia" w:ascii="宋体" w:hAnsi="宋体" w:eastAsia="宋体" w:cs="宋体"/>
          <w:color w:val="000000" w:themeColor="text1"/>
          <w:szCs w:val="21"/>
          <w:highlight w:val="none"/>
          <w14:textFill>
            <w14:solidFill>
              <w14:schemeClr w14:val="tx1"/>
            </w14:solidFill>
          </w14:textFill>
        </w:rPr>
        <w:t xml:space="preserve">31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351"/>
      <w:bookmarkEnd w:id="352"/>
      <w:bookmarkEnd w:id="353"/>
      <w:bookmarkEnd w:id="354"/>
      <w:bookmarkEnd w:id="355"/>
      <w:bookmarkEnd w:id="356"/>
      <w:bookmarkEnd w:id="357"/>
      <w:bookmarkEnd w:id="358"/>
      <w:bookmarkEnd w:id="359"/>
      <w:bookmarkEnd w:id="360"/>
      <w:bookmarkEnd w:id="361"/>
    </w:p>
    <w:p w14:paraId="61495ADA">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14:paraId="494C0282">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7A922A93">
      <w:pPr>
        <w:autoSpaceDE w:val="0"/>
        <w:autoSpaceDN w:val="0"/>
        <w:adjustRightInd w:val="0"/>
        <w:spacing w:line="360" w:lineRule="auto"/>
        <w:ind w:left="284"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31.2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14:paraId="56B5E899">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14:paraId="4023748B">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4201B298">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14:paraId="1BEA0B93">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14:paraId="5D296294">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14:paraId="37C5DD7C">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14:paraId="5AFE9347">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14:paraId="0B5EC621">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14:paraId="16576450">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14:paraId="17AF4D25">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14:paraId="180276BA">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监督部门：东莞市水务集团有限公司，联系人：莫先生，联系电话：0769-28823251。</w:t>
      </w:r>
    </w:p>
    <w:p w14:paraId="17E00E6A">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14:paraId="226D4781">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000000" w:themeColor="text1"/>
          <w:szCs w:val="21"/>
          <w:highlight w:val="none"/>
          <w:lang w:val="zh-CN"/>
          <w14:textFill>
            <w14:solidFill>
              <w14:schemeClr w14:val="tx1"/>
            </w14:solidFill>
          </w14:textFill>
        </w:rPr>
      </w:pPr>
      <w:bookmarkStart w:id="362" w:name="_Toc26354"/>
      <w:bookmarkStart w:id="363" w:name="_Toc24224"/>
      <w:bookmarkStart w:id="364" w:name="_Toc142508346"/>
      <w:bookmarkStart w:id="365" w:name="_Toc486167695"/>
      <w:bookmarkStart w:id="366" w:name="_Toc465358970"/>
      <w:bookmarkStart w:id="367" w:name="_Toc195714252"/>
      <w:bookmarkStart w:id="368" w:name="_Toc1848_WPSOffice_Level3"/>
      <w:bookmarkStart w:id="369" w:name="_Toc6945"/>
      <w:bookmarkStart w:id="370" w:name="_Toc466882018"/>
      <w:bookmarkStart w:id="371" w:name="_Toc3154"/>
      <w:bookmarkStart w:id="372" w:name="_Toc1262"/>
      <w:r>
        <w:rPr>
          <w:rFonts w:hint="eastAsia" w:ascii="宋体" w:hAnsi="宋体" w:eastAsia="宋体" w:cs="宋体"/>
          <w:b/>
          <w:color w:val="000000" w:themeColor="text1"/>
          <w:szCs w:val="21"/>
          <w:highlight w:val="none"/>
          <w14:textFill>
            <w14:solidFill>
              <w14:schemeClr w14:val="tx1"/>
            </w14:solidFill>
          </w14:textFill>
        </w:rPr>
        <w:t>32</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362"/>
      <w:bookmarkEnd w:id="363"/>
      <w:bookmarkEnd w:id="364"/>
      <w:bookmarkEnd w:id="365"/>
      <w:bookmarkEnd w:id="366"/>
      <w:bookmarkEnd w:id="367"/>
      <w:bookmarkEnd w:id="368"/>
      <w:bookmarkEnd w:id="369"/>
      <w:bookmarkEnd w:id="370"/>
      <w:bookmarkEnd w:id="371"/>
      <w:bookmarkEnd w:id="372"/>
    </w:p>
    <w:p w14:paraId="4B877C22">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32.1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3512EC43">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32.2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1453B885">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32.3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w:t>
      </w:r>
      <w:r>
        <w:rPr>
          <w:rFonts w:hint="eastAsia" w:ascii="宋体" w:hAnsi="宋体" w:eastAsia="宋体" w:cs="宋体"/>
          <w:b/>
          <w:color w:val="000000" w:themeColor="text1"/>
          <w:szCs w:val="21"/>
          <w:highlight w:val="none"/>
          <w:lang w:eastAsia="zh-CN"/>
          <w14:textFill>
            <w14:solidFill>
              <w14:schemeClr w14:val="tx1"/>
            </w14:solidFill>
          </w14:textFill>
        </w:rPr>
        <w:t>本投标人须知</w:t>
      </w:r>
      <w:r>
        <w:rPr>
          <w:rFonts w:hint="eastAsia" w:ascii="宋体" w:hAnsi="宋体" w:eastAsia="宋体" w:cs="宋体"/>
          <w:b/>
          <w:color w:val="000000" w:themeColor="text1"/>
          <w:szCs w:val="21"/>
          <w:highlight w:val="none"/>
          <w14:textFill>
            <w14:solidFill>
              <w14:schemeClr w14:val="tx1"/>
            </w14:solidFill>
          </w14:textFill>
        </w:rPr>
        <w:t>31</w:t>
      </w:r>
      <w:r>
        <w:rPr>
          <w:rFonts w:ascii="宋体" w:hAnsi="宋体" w:eastAsia="宋体" w:cs="宋体"/>
          <w:b/>
          <w:color w:val="000000" w:themeColor="text1"/>
          <w:szCs w:val="21"/>
          <w:highlight w:val="none"/>
          <w14:textFill>
            <w14:solidFill>
              <w14:schemeClr w14:val="tx1"/>
            </w14:solidFill>
          </w14:textFill>
        </w:rPr>
        <w:t>.2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w:t>
      </w:r>
      <w:r>
        <w:rPr>
          <w:rFonts w:hint="eastAsia" w:ascii="宋体" w:hAnsi="宋体" w:eastAsia="宋体" w:cs="宋体"/>
          <w:b/>
          <w:color w:val="000000" w:themeColor="text1"/>
          <w:szCs w:val="21"/>
          <w:highlight w:val="none"/>
          <w:lang w:eastAsia="zh-CN"/>
          <w14:textFill>
            <w14:solidFill>
              <w14:schemeClr w14:val="tx1"/>
            </w14:solidFill>
          </w14:textFill>
        </w:rPr>
        <w:t>撤销</w:t>
      </w:r>
      <w:r>
        <w:rPr>
          <w:rFonts w:hint="eastAsia" w:ascii="宋体" w:hAnsi="宋体" w:eastAsia="宋体" w:cs="宋体"/>
          <w:b/>
          <w:color w:val="000000" w:themeColor="text1"/>
          <w:szCs w:val="21"/>
          <w:highlight w:val="none"/>
          <w14:textFill>
            <w14:solidFill>
              <w14:schemeClr w14:val="tx1"/>
            </w14:solidFill>
          </w14:textFill>
        </w:rPr>
        <w:t>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，因此导致投标人无法参与东莞市水务集团有限公司相关招标采购等活动的，由投标人自行承担全部后果。</w:t>
      </w:r>
    </w:p>
    <w:p w14:paraId="6B942C6C">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bookmarkStart w:id="373" w:name="_Toc466882019"/>
      <w:bookmarkStart w:id="374" w:name="_Toc465358971"/>
    </w:p>
    <w:p w14:paraId="4CAFF3E8">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000000" w:themeColor="text1"/>
          <w:szCs w:val="21"/>
          <w:highlight w:val="none"/>
          <w:lang w:val="zh-CN"/>
          <w14:textFill>
            <w14:solidFill>
              <w14:schemeClr w14:val="tx1"/>
            </w14:solidFill>
          </w14:textFill>
        </w:rPr>
      </w:pPr>
      <w:bookmarkStart w:id="375" w:name="_Toc195714253"/>
      <w:bookmarkStart w:id="376" w:name="_Toc8654"/>
      <w:bookmarkStart w:id="377" w:name="_Toc3102"/>
      <w:bookmarkStart w:id="378" w:name="_Toc32262"/>
      <w:bookmarkStart w:id="379" w:name="_Toc486167696"/>
      <w:bookmarkStart w:id="380" w:name="_Toc142508347"/>
      <w:bookmarkStart w:id="381" w:name="_Toc10867_WPSOffice_Level3"/>
      <w:bookmarkStart w:id="382" w:name="_Toc23672"/>
      <w:bookmarkStart w:id="383" w:name="_Toc22144"/>
      <w:r>
        <w:rPr>
          <w:rFonts w:hint="eastAsia" w:ascii="宋体" w:hAnsi="宋体" w:eastAsia="宋体" w:cs="宋体"/>
          <w:color w:val="000000" w:themeColor="text1"/>
          <w:szCs w:val="21"/>
          <w:highlight w:val="none"/>
          <w14:textFill>
            <w14:solidFill>
              <w14:schemeClr w14:val="tx1"/>
            </w14:solidFill>
          </w14:textFill>
        </w:rPr>
        <w:t>33</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373"/>
      <w:bookmarkEnd w:id="374"/>
      <w:bookmarkEnd w:id="375"/>
      <w:bookmarkEnd w:id="376"/>
      <w:bookmarkEnd w:id="377"/>
      <w:bookmarkEnd w:id="378"/>
      <w:bookmarkEnd w:id="379"/>
      <w:bookmarkEnd w:id="380"/>
      <w:bookmarkEnd w:id="381"/>
      <w:bookmarkEnd w:id="382"/>
      <w:bookmarkEnd w:id="383"/>
    </w:p>
    <w:p w14:paraId="5D5811B1">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14:paraId="125DC6D7">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384" w:name="_Toc450662880"/>
    </w:p>
    <w:p w14:paraId="06D72769">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385" w:name="_Toc27480"/>
      <w:bookmarkStart w:id="386" w:name="_Toc195714254"/>
      <w:bookmarkStart w:id="387" w:name="_Toc5248"/>
      <w:bookmarkStart w:id="388" w:name="_Toc16848_WPSOffice_Level2"/>
      <w:bookmarkStart w:id="389" w:name="_Toc27936"/>
      <w:bookmarkStart w:id="390" w:name="_Toc140596907"/>
      <w:bookmarkStart w:id="391" w:name="_Toc11626"/>
      <w:bookmarkStart w:id="392" w:name="_Toc16789"/>
      <w:bookmarkStart w:id="393" w:name="_Toc142508348"/>
      <w:bookmarkStart w:id="394" w:name="_Toc486167697"/>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384"/>
      <w:bookmarkEnd w:id="385"/>
      <w:bookmarkEnd w:id="386"/>
      <w:bookmarkEnd w:id="387"/>
      <w:bookmarkEnd w:id="388"/>
      <w:bookmarkEnd w:id="389"/>
      <w:bookmarkEnd w:id="390"/>
      <w:bookmarkEnd w:id="391"/>
      <w:bookmarkEnd w:id="392"/>
      <w:bookmarkEnd w:id="393"/>
      <w:bookmarkEnd w:id="394"/>
    </w:p>
    <w:p w14:paraId="1D5FE30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95" w:name="_Toc30988"/>
      <w:bookmarkStart w:id="396" w:name="_Toc29383"/>
      <w:bookmarkStart w:id="397" w:name="_Toc195714255"/>
      <w:bookmarkStart w:id="398" w:name="_Toc11192"/>
      <w:bookmarkStart w:id="399" w:name="_Toc486167698"/>
      <w:bookmarkStart w:id="400" w:name="_Toc10493"/>
      <w:bookmarkStart w:id="401" w:name="_Toc6401_WPSOffice_Level3"/>
      <w:bookmarkStart w:id="402" w:name="_Toc142508349"/>
      <w:bookmarkStart w:id="403" w:name="_Toc31713"/>
      <w:bookmarkStart w:id="404" w:name="_Toc450662881"/>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395"/>
      <w:bookmarkEnd w:id="396"/>
      <w:bookmarkEnd w:id="397"/>
      <w:bookmarkEnd w:id="398"/>
      <w:bookmarkEnd w:id="399"/>
      <w:bookmarkEnd w:id="400"/>
      <w:bookmarkEnd w:id="401"/>
      <w:bookmarkEnd w:id="402"/>
      <w:bookmarkEnd w:id="403"/>
      <w:bookmarkEnd w:id="404"/>
    </w:p>
    <w:p w14:paraId="03656254">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w:t>
      </w: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33</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14:paraId="2B47D4AD">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14:paraId="76117A8B">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14:paraId="14640048">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05" w:name="_Toc450662885"/>
    </w:p>
    <w:p w14:paraId="42D2ECED">
      <w:pPr>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06" w:name="_Toc142508350"/>
      <w:bookmarkStart w:id="407" w:name="_Toc18984"/>
      <w:bookmarkStart w:id="408" w:name="_Toc486167699"/>
      <w:bookmarkStart w:id="409" w:name="_Toc19389"/>
      <w:bookmarkStart w:id="410" w:name="_Toc195714256"/>
      <w:bookmarkStart w:id="411" w:name="_Toc27692"/>
      <w:bookmarkStart w:id="412" w:name="_Toc8196"/>
      <w:bookmarkStart w:id="413" w:name="_Toc6726_WPSOffice_Level3"/>
      <w:bookmarkStart w:id="414" w:name="_Toc18405"/>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405"/>
      <w:bookmarkEnd w:id="406"/>
      <w:bookmarkEnd w:id="407"/>
      <w:bookmarkEnd w:id="408"/>
      <w:bookmarkEnd w:id="409"/>
      <w:bookmarkEnd w:id="410"/>
      <w:bookmarkEnd w:id="411"/>
      <w:bookmarkEnd w:id="412"/>
      <w:bookmarkEnd w:id="413"/>
      <w:bookmarkEnd w:id="414"/>
    </w:p>
    <w:p w14:paraId="1E7AC220">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15" w:name="_Toc450662886"/>
      <w:r>
        <w:rPr>
          <w:rFonts w:hint="eastAsia" w:ascii="宋体" w:hAnsi="宋体" w:eastAsia="宋体" w:cs="宋体"/>
          <w:color w:val="000000" w:themeColor="text1"/>
          <w:szCs w:val="21"/>
          <w:highlight w:val="none"/>
          <w14:textFill>
            <w14:solidFill>
              <w14:schemeClr w14:val="tx1"/>
            </w14:solidFill>
          </w14:textFill>
        </w:rPr>
        <w:t>35</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14:paraId="3AED0D52">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w:t>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14:paraId="6B8EAAC2">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1C0C93F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16" w:name="_Toc8133"/>
      <w:bookmarkStart w:id="417" w:name="_Toc9694_WPSOffice_Level3"/>
      <w:bookmarkStart w:id="418" w:name="_Toc19127"/>
      <w:bookmarkStart w:id="419" w:name="_Toc142508351"/>
      <w:bookmarkStart w:id="420" w:name="_Toc4843"/>
      <w:bookmarkStart w:id="421" w:name="_Toc486167700"/>
      <w:bookmarkStart w:id="422" w:name="_Toc18607"/>
      <w:bookmarkStart w:id="423" w:name="_Toc195714257"/>
      <w:bookmarkStart w:id="424" w:name="_Toc28020"/>
      <w:r>
        <w:rPr>
          <w:rFonts w:hint="eastAsia" w:ascii="宋体" w:hAnsi="宋体" w:eastAsia="宋体" w:cs="宋体"/>
          <w:color w:val="000000" w:themeColor="text1"/>
          <w:szCs w:val="21"/>
          <w:highlight w:val="none"/>
          <w14:textFill>
            <w14:solidFill>
              <w14:schemeClr w14:val="tx1"/>
            </w14:solidFill>
          </w14:textFill>
        </w:rPr>
        <w:t>36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415"/>
      <w:bookmarkEnd w:id="416"/>
      <w:bookmarkEnd w:id="417"/>
      <w:bookmarkEnd w:id="418"/>
      <w:bookmarkEnd w:id="419"/>
      <w:bookmarkEnd w:id="420"/>
      <w:bookmarkEnd w:id="421"/>
      <w:bookmarkEnd w:id="422"/>
      <w:bookmarkEnd w:id="423"/>
      <w:bookmarkEnd w:id="424"/>
    </w:p>
    <w:p w14:paraId="720ECEC6">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14:paraId="61F75CA9">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3A4DCD9E">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25" w:name="_Toc5304"/>
      <w:bookmarkStart w:id="426" w:name="_Toc486167701"/>
      <w:bookmarkStart w:id="427" w:name="_Toc195714258"/>
      <w:bookmarkStart w:id="428" w:name="_Toc142508352"/>
      <w:bookmarkStart w:id="429" w:name="_Toc10513_WPSOffice_Level3"/>
      <w:bookmarkStart w:id="430" w:name="_Toc8181"/>
      <w:bookmarkStart w:id="431" w:name="_Toc450662887"/>
      <w:bookmarkStart w:id="432" w:name="_Toc14090"/>
      <w:bookmarkStart w:id="433" w:name="_Toc14529"/>
      <w:bookmarkStart w:id="434" w:name="_Toc16066"/>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425"/>
      <w:bookmarkEnd w:id="426"/>
      <w:bookmarkEnd w:id="427"/>
      <w:bookmarkEnd w:id="428"/>
      <w:bookmarkEnd w:id="429"/>
      <w:bookmarkEnd w:id="430"/>
      <w:bookmarkEnd w:id="431"/>
      <w:bookmarkEnd w:id="432"/>
      <w:bookmarkEnd w:id="433"/>
      <w:bookmarkEnd w:id="434"/>
    </w:p>
    <w:p w14:paraId="47D143DF">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000000" w:themeColor="text1"/>
          <w:szCs w:val="21"/>
          <w:highlight w:val="none"/>
          <w:lang w:val="zh-CN"/>
          <w14:textFill>
            <w14:solidFill>
              <w14:schemeClr w14:val="tx1"/>
            </w14:solidFill>
          </w14:textFill>
        </w:rPr>
      </w:pPr>
      <w:bookmarkStart w:id="435" w:name="_Toc466882025"/>
      <w:bookmarkStart w:id="436" w:name="_Toc465358977"/>
      <w:r>
        <w:rPr>
          <w:rFonts w:hint="eastAsia" w:ascii="宋体" w:hAnsi="宋体" w:eastAsia="宋体" w:cs="宋体"/>
          <w:bCs/>
          <w:color w:val="000000" w:themeColor="text1"/>
          <w:szCs w:val="21"/>
          <w:highlight w:val="none"/>
          <w14:textFill>
            <w14:solidFill>
              <w14:schemeClr w14:val="tx1"/>
            </w14:solidFill>
          </w14:textFill>
        </w:rPr>
        <w:t>37</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中标人应在签订合同前，按本招标文件规定金额及形式要求，向招标人提交不可撤销银行履约保函（或履约保证金</w:t>
      </w:r>
      <w:r>
        <w:rPr>
          <w:rFonts w:hint="eastAsia" w:ascii="宋体" w:hAnsi="宋体" w:eastAsia="宋体" w:cs="Times New Roman"/>
          <w:b/>
          <w:bCs/>
          <w:color w:val="000000" w:themeColor="text1"/>
          <w:szCs w:val="21"/>
          <w:highlight w:val="none"/>
          <w:u w:val="single"/>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其中，采用履约保证金（银行转账形式）的金额为合同</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暂定</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价的5%，采用不可撤销银行履约保函形式的金额为合同</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暂定</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价的8%，采用</w:t>
      </w:r>
      <w:r>
        <w:rPr>
          <w:rFonts w:hint="eastAsia" w:ascii="宋体" w:hAnsi="宋体" w:eastAsia="宋体" w:cs="Times New Roman"/>
          <w:b/>
          <w:bCs/>
          <w:color w:val="000000" w:themeColor="text1"/>
          <w:szCs w:val="21"/>
          <w:highlight w:val="none"/>
          <w:u w:val="single"/>
          <w14:textFill>
            <w14:solidFill>
              <w14:schemeClr w14:val="tx1"/>
            </w14:solidFill>
          </w14:textFill>
        </w:rPr>
        <w:t>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形式的金额为合同</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暂定</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价的8%，采用担保公司履约担保书形式的金额为合同</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暂定</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价的</w:t>
      </w:r>
      <w:r>
        <w:rPr>
          <w:rFonts w:ascii="宋体" w:hAnsi="宋体" w:eastAsia="宋体" w:cs="Times New Roman"/>
          <w:b/>
          <w:bCs/>
          <w:color w:val="000000" w:themeColor="text1"/>
          <w:szCs w:val="21"/>
          <w:highlight w:val="none"/>
          <w:u w:val="single"/>
          <w:lang w:val="zh-CN"/>
          <w14:textFill>
            <w14:solidFill>
              <w14:schemeClr w14:val="tx1"/>
            </w14:solidFill>
          </w14:textFill>
        </w:rPr>
        <w:t>10</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w:t>
      </w:r>
      <w:r>
        <w:rPr>
          <w:rFonts w:hint="eastAsia" w:ascii="宋体" w:hAnsi="宋体" w:eastAsia="宋体" w:cs="Arial"/>
          <w:bCs/>
          <w:color w:val="000000" w:themeColor="text1"/>
          <w:kern w:val="0"/>
          <w:szCs w:val="24"/>
          <w:highlight w:val="non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14:textFill>
            <w14:solidFill>
              <w14:schemeClr w14:val="tx1"/>
            </w14:solidFill>
          </w14:textFill>
        </w:rPr>
        <w:t>给招标人造成的损失超过履约担保数额的，中标人还应当对超过部分予以赔偿，招标人并依法追究中标人的相应责任。</w:t>
      </w:r>
    </w:p>
    <w:p w14:paraId="7BEA073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37.2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14:paraId="687F1C9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中标人将合同项下中标人的权利义务全部转让给第三方，或未经招标人书面同意将部分权利义务转让给第三方的，招标人有权没收其履约担保。</w:t>
      </w:r>
    </w:p>
    <w:p w14:paraId="5E6DE1F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怠于履行合同义务，经招标人通知或要求承担违约金后仍拒不改正的，招标人可依法没收或适当扣除其履约担保。</w:t>
      </w:r>
    </w:p>
    <w:p w14:paraId="52F932A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招标人有权使用履约担保予以支付或作出相应处理，由此产生的一切法律后果由中标人承担。</w:t>
      </w:r>
    </w:p>
    <w:p w14:paraId="52D1E2B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14:paraId="765E02C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14:paraId="5B8A519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14:paraId="7E4AB89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37.3  履约担保应符合如下规定：</w:t>
      </w:r>
    </w:p>
    <w:p w14:paraId="66CB408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14:paraId="5A4D4A1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（或履约保证保险或担保公司履约担保书）</w:t>
      </w:r>
      <w:r>
        <w:rPr>
          <w:rFonts w:ascii="宋体" w:hAnsi="宋体" w:eastAsia="宋体" w:cs="Times New Roman"/>
          <w:color w:val="000000" w:themeColor="text1"/>
          <w:kern w:val="0"/>
          <w:szCs w:val="21"/>
          <w:highlight w:val="none"/>
          <w14:textFill>
            <w14:solidFill>
              <w14:schemeClr w14:val="tx1"/>
            </w14:solidFill>
          </w14:textFill>
        </w:rPr>
        <w:t>，须事先经招标人的书面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235B006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14:paraId="14CF7C9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未按招标人要求重新提供的，招标人有权要求中标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14:paraId="2B7B623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招标人有权按需补足的金额要求中标人承担违约金，并要求限期补足。如中标人仍不补足的，招标人有权单方解除合同，违约金可直接从未付合同款或履约担保中扣除。</w:t>
      </w:r>
    </w:p>
    <w:p w14:paraId="336584D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（6）不可撤销银行履约保函（或履约保证保险或担保公司履约担保书）应从合同签订之日起至合同期限届满并完成全部供货验收合格后二十八（28）日内保持有效。</w:t>
      </w:r>
    </w:p>
    <w:p w14:paraId="6B4BF52A">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37.4  履约保证金应用本合同货币。</w:t>
      </w:r>
    </w:p>
    <w:p w14:paraId="4DCBF10A">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。履约保证金应以存入招标人指定的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14:paraId="6CFCAB29">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p>
    <w:p w14:paraId="59E5799C">
      <w:pPr>
        <w:autoSpaceDE w:val="0"/>
        <w:autoSpaceDN w:val="0"/>
        <w:adjustRightInd w:val="0"/>
        <w:snapToGrid w:val="0"/>
        <w:spacing w:line="360" w:lineRule="auto"/>
        <w:ind w:firstLine="632" w:firstLineChars="300"/>
        <w:jc w:val="left"/>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w:t>
      </w:r>
      <w:r>
        <w:rPr>
          <w:rFonts w:hint="eastAsia" w:ascii="宋体" w:hAnsi="宋体" w:eastAsia="宋体" w:cs="Times New Roman"/>
          <w:b/>
          <w:color w:val="000000" w:themeColor="text1"/>
          <w:kern w:val="0"/>
          <w:szCs w:val="21"/>
          <w:highlight w:val="none"/>
          <w:lang w:eastAsia="zh-CN"/>
          <w14:textFill>
            <w14:solidFill>
              <w14:schemeClr w14:val="tx1"/>
            </w14:solidFill>
          </w14:textFill>
        </w:rPr>
        <w:t>东莞市水务集团供水有限公司</w:t>
      </w:r>
    </w:p>
    <w:p w14:paraId="0C51071D">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银行账号：44001778808059999998</w:t>
      </w:r>
    </w:p>
    <w:p w14:paraId="1D75F5F2">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开户银行：建行东莞分行营业部</w:t>
      </w:r>
    </w:p>
    <w:p w14:paraId="5579D8AE">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单位提交了履约担保后，当履约保证金转达招标人履约保证金账户后，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交给招标人，由招标人在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14:paraId="40EBE21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37.7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合同期限届满并完成全部供货验收合格，招标人向中标人支付全部款项二十八（28）日后，经招标人确认，中标人可向招标人提交退回履约担保的申请。招标人审核无异议后，办理履约担保退还手续，退回时一律以银行转账的形式无息退回到中标人的账户。</w:t>
      </w:r>
    </w:p>
    <w:p w14:paraId="00344AC5">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14:paraId="37FF76F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37" w:name="_Toc486167702"/>
      <w:bookmarkStart w:id="438" w:name="_Toc195714259"/>
      <w:bookmarkStart w:id="439" w:name="_Toc4293"/>
      <w:bookmarkStart w:id="440" w:name="_Toc27162"/>
      <w:bookmarkStart w:id="441" w:name="_Toc29161"/>
      <w:bookmarkStart w:id="442" w:name="_Toc142508353"/>
      <w:bookmarkStart w:id="443" w:name="_Toc20364"/>
      <w:bookmarkStart w:id="444" w:name="_Toc10548"/>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435"/>
      <w:bookmarkEnd w:id="436"/>
      <w:bookmarkEnd w:id="437"/>
      <w:bookmarkEnd w:id="438"/>
      <w:bookmarkEnd w:id="439"/>
      <w:bookmarkEnd w:id="440"/>
      <w:bookmarkEnd w:id="441"/>
      <w:bookmarkEnd w:id="442"/>
      <w:bookmarkEnd w:id="443"/>
      <w:bookmarkEnd w:id="444"/>
    </w:p>
    <w:p w14:paraId="6FE2C5EF">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38.1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在合同约定的范围内，招标人有权根据项目实际情况及有关法律法规、政策的规定对采购范围进行变更调整，变更采购范围后，投标人应遵照执行。</w:t>
      </w:r>
    </w:p>
    <w:p w14:paraId="7B876476">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45" w:name="_Toc450662888"/>
    </w:p>
    <w:p w14:paraId="6E4473E4">
      <w:pPr>
        <w:tabs>
          <w:tab w:val="left" w:pos="46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46" w:name="_Toc19862"/>
      <w:bookmarkStart w:id="447" w:name="_Toc142508354"/>
      <w:bookmarkStart w:id="448" w:name="_Toc23619"/>
      <w:bookmarkStart w:id="449" w:name="_Toc14657"/>
      <w:bookmarkStart w:id="450" w:name="_Toc2401"/>
      <w:bookmarkStart w:id="451" w:name="_Toc28921_WPSOffice_Level3"/>
      <w:bookmarkStart w:id="452" w:name="_Toc486167703"/>
      <w:bookmarkStart w:id="453" w:name="_Toc195714260"/>
      <w:bookmarkStart w:id="454" w:name="_Toc23218"/>
      <w:r>
        <w:rPr>
          <w:rFonts w:hint="eastAsia" w:ascii="宋体" w:hAnsi="宋体" w:eastAsia="宋体" w:cs="宋体"/>
          <w:color w:val="000000" w:themeColor="text1"/>
          <w:szCs w:val="21"/>
          <w:highlight w:val="none"/>
          <w14:textFill>
            <w14:solidFill>
              <w14:schemeClr w14:val="tx1"/>
            </w14:solidFill>
          </w14:textFill>
        </w:rPr>
        <w:t>39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445"/>
      <w:bookmarkEnd w:id="446"/>
      <w:bookmarkEnd w:id="447"/>
      <w:bookmarkEnd w:id="448"/>
      <w:bookmarkEnd w:id="449"/>
      <w:bookmarkEnd w:id="450"/>
      <w:bookmarkEnd w:id="451"/>
      <w:bookmarkEnd w:id="452"/>
      <w:bookmarkEnd w:id="453"/>
      <w:bookmarkEnd w:id="454"/>
    </w:p>
    <w:p w14:paraId="6867CEEE">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中标人应向招标代理机构一次性交纳中标服务费（中标服务费参照国家计委《关于印发〈招标代理服务收费管理暂行办法〉的通知》（计价格〔2002〕1980号）及《国家发展改革委关于降低部分建设项目收费标准规范收费行为等有关问题的通知》（发改价格〔2011〕534号）等标准的80%计算。本项目以中标折扣系数计算得出的不含税合同</w:t>
      </w:r>
      <w:r>
        <w:rPr>
          <w:rFonts w:hint="eastAsia" w:ascii="宋体" w:hAnsi="宋体" w:eastAsia="宋体" w:cs="宋体"/>
          <w:color w:val="000000" w:themeColor="text1"/>
          <w:szCs w:val="21"/>
          <w:highlight w:val="none"/>
          <w:lang w:val="en-US" w:eastAsia="zh-CN"/>
          <w14:textFill>
            <w14:solidFill>
              <w14:schemeClr w14:val="tx1"/>
            </w14:solidFill>
          </w14:textFill>
        </w:rPr>
        <w:t>暂定</w:t>
      </w:r>
      <w:r>
        <w:rPr>
          <w:rFonts w:hint="eastAsia" w:ascii="宋体" w:hAnsi="宋体" w:eastAsia="宋体" w:cs="宋体"/>
          <w:color w:val="000000" w:themeColor="text1"/>
          <w:szCs w:val="21"/>
          <w:highlight w:val="none"/>
          <w14:textFill>
            <w14:solidFill>
              <w14:schemeClr w14:val="tx1"/>
            </w14:solidFill>
          </w14:textFill>
        </w:rPr>
        <w:t>价为计费额，本项目业务性质：按货物类招标代理服务收费）。</w:t>
      </w:r>
    </w:p>
    <w:p w14:paraId="44DED5E4">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.2 中标人收到中标通知后，须在15日内向招标代理机构交纳中标服务费用。</w:t>
      </w:r>
    </w:p>
    <w:p w14:paraId="5D0C70E6">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中标服务费只接受以银行转账、电汇方式交纳。</w:t>
      </w:r>
    </w:p>
    <w:p w14:paraId="7F1D7359">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中标服务费汇入账号（特别提醒，本账户非投标保证金汇入账户)：</w:t>
      </w:r>
    </w:p>
    <w:p w14:paraId="7813ECAB">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开户名称：建成工程咨询股份有限公司东莞分公司</w:t>
      </w:r>
    </w:p>
    <w:p w14:paraId="1DC054E2">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银行帐号：7016 5805 9503   </w:t>
      </w:r>
    </w:p>
    <w:p w14:paraId="3C791BFB">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开户银行：中国银行东莞东城大道支行           </w:t>
      </w:r>
    </w:p>
    <w:p w14:paraId="5C2E8677">
      <w:pPr>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.4 中标人如未按第3</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.1款、第3</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.2款规定办理，将不予退还其投标保证金。</w:t>
      </w:r>
    </w:p>
    <w:p w14:paraId="30DF02E5">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55" w:name="_Toc450662889"/>
    </w:p>
    <w:p w14:paraId="71A25955">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56" w:name="_Toc8673"/>
      <w:bookmarkStart w:id="457" w:name="_Toc1528"/>
      <w:bookmarkStart w:id="458" w:name="_Toc142508355"/>
      <w:bookmarkStart w:id="459" w:name="_Toc14901"/>
      <w:bookmarkStart w:id="460" w:name="_Toc6764_WPSOffice_Level3"/>
      <w:bookmarkStart w:id="461" w:name="_Toc21985"/>
      <w:bookmarkStart w:id="462" w:name="_Toc195714261"/>
      <w:bookmarkStart w:id="463" w:name="_Toc6796"/>
      <w:bookmarkStart w:id="464" w:name="_Toc486167704"/>
      <w:r>
        <w:rPr>
          <w:rFonts w:hint="eastAsia"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455"/>
      <w:bookmarkEnd w:id="456"/>
      <w:bookmarkEnd w:id="457"/>
      <w:bookmarkEnd w:id="458"/>
      <w:bookmarkEnd w:id="459"/>
      <w:bookmarkEnd w:id="460"/>
      <w:bookmarkEnd w:id="461"/>
      <w:bookmarkEnd w:id="462"/>
      <w:bookmarkEnd w:id="463"/>
      <w:bookmarkEnd w:id="464"/>
    </w:p>
    <w:p w14:paraId="7FAE5CA8">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lang w:val="zh-CN"/>
          <w14:textFill>
            <w14:solidFill>
              <w14:schemeClr w14:val="tx1"/>
            </w14:solidFill>
          </w14:textFill>
        </w:rPr>
        <w:t>.1</w:t>
      </w:r>
      <w:bookmarkStart w:id="465" w:name="_Toc31106_WPSOffice_Level3"/>
      <w:bookmarkStart w:id="466" w:name="_Toc486167705"/>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该项目获得中标的中标人在执行合同过程中，向招标人出具的发票必须是由中标人开具，不得以其他单位或个人名义出具，本项目中标人向招标人出具的发票类型为增值税专用发票。</w:t>
      </w:r>
    </w:p>
    <w:p w14:paraId="275DB725">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177A9AEA">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467" w:name="_Toc9908"/>
      <w:bookmarkStart w:id="468" w:name="_Toc18382"/>
      <w:bookmarkStart w:id="469" w:name="_Toc8619"/>
      <w:bookmarkStart w:id="470" w:name="_Toc24547"/>
      <w:bookmarkStart w:id="471" w:name="_Toc142508356"/>
      <w:bookmarkStart w:id="472" w:name="_Toc12802"/>
      <w:bookmarkStart w:id="473" w:name="_Toc195714262"/>
      <w:r>
        <w:rPr>
          <w:rFonts w:hint="eastAsia" w:ascii="宋体" w:hAnsi="宋体" w:eastAsia="宋体" w:cs="宋体"/>
          <w:b/>
          <w:color w:val="000000" w:themeColor="text1"/>
          <w:szCs w:val="21"/>
          <w:highlight w:val="none"/>
          <w14:textFill>
            <w14:solidFill>
              <w14:schemeClr w14:val="tx1"/>
            </w14:solidFill>
          </w14:textFill>
        </w:rPr>
        <w:t>41</w:t>
      </w:r>
      <w:r>
        <w:rPr>
          <w:rFonts w:ascii="宋体" w:hAnsi="宋体" w:eastAsia="宋体" w:cs="宋体"/>
          <w:b/>
          <w:color w:val="000000" w:themeColor="text1"/>
          <w:szCs w:val="21"/>
          <w:highlight w:val="none"/>
          <w14:textFill>
            <w14:solidFill>
              <w14:schemeClr w14:val="tx1"/>
            </w14:solidFill>
          </w14:textFill>
        </w:rPr>
        <w:t xml:space="preserve"> 招标相关补充约定</w:t>
      </w:r>
      <w:bookmarkEnd w:id="467"/>
      <w:bookmarkEnd w:id="468"/>
      <w:bookmarkEnd w:id="469"/>
      <w:bookmarkEnd w:id="470"/>
      <w:bookmarkEnd w:id="471"/>
      <w:bookmarkEnd w:id="472"/>
      <w:bookmarkEnd w:id="473"/>
    </w:p>
    <w:p w14:paraId="2E7D80CB">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41</w:t>
      </w:r>
      <w:r>
        <w:rPr>
          <w:rFonts w:ascii="宋体" w:hAnsi="宋体" w:eastAsia="宋体" w:cs="Times New Roman"/>
          <w:b/>
          <w:color w:val="000000" w:themeColor="text1"/>
          <w:szCs w:val="21"/>
          <w:highlight w:val="none"/>
          <w14:textFill>
            <w14:solidFill>
              <w14:schemeClr w14:val="tx1"/>
            </w14:solidFill>
          </w14:textFill>
        </w:rPr>
        <w:t>.1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14:paraId="2140DD23">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1AAA376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14:textFill>
            <w14:solidFill>
              <w14:schemeClr w14:val="tx1"/>
            </w14:solidFill>
          </w14:textFill>
        </w:rPr>
      </w:pPr>
      <w:bookmarkStart w:id="474" w:name="_Toc29758"/>
      <w:bookmarkStart w:id="475" w:name="_Toc195714263"/>
      <w:bookmarkStart w:id="476" w:name="_Toc27989"/>
      <w:bookmarkStart w:id="477" w:name="_Toc142508357"/>
      <w:bookmarkStart w:id="478" w:name="_Toc18453"/>
      <w:bookmarkStart w:id="479" w:name="_Toc19860"/>
      <w:bookmarkStart w:id="480" w:name="_Toc26594"/>
      <w:r>
        <w:rPr>
          <w:rFonts w:hint="eastAsia" w:ascii="宋体" w:hAnsi="宋体" w:eastAsia="宋体" w:cs="宋体"/>
          <w:color w:val="000000" w:themeColor="text1"/>
          <w:szCs w:val="21"/>
          <w:highlight w:val="none"/>
          <w14:textFill>
            <w14:solidFill>
              <w14:schemeClr w14:val="tx1"/>
            </w14:solidFill>
          </w14:textFill>
        </w:rPr>
        <w:t>42 本次招标活动的最终解释权归招标代理机构及招标人所有。</w:t>
      </w:r>
      <w:bookmarkEnd w:id="465"/>
      <w:bookmarkEnd w:id="466"/>
      <w:bookmarkEnd w:id="474"/>
      <w:bookmarkEnd w:id="475"/>
      <w:bookmarkEnd w:id="476"/>
      <w:bookmarkEnd w:id="477"/>
      <w:bookmarkEnd w:id="478"/>
      <w:bookmarkEnd w:id="479"/>
      <w:bookmarkEnd w:id="480"/>
    </w:p>
    <w:p w14:paraId="15589DF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481" w:name="_Toc486167706"/>
      <w:bookmarkStart w:id="482" w:name="_Toc27939_WPSOffice_Level1"/>
      <w:bookmarkStart w:id="483" w:name="_Toc142508358"/>
      <w:bookmarkStart w:id="484" w:name="_Toc195714264"/>
      <w:bookmarkStart w:id="485" w:name="_Toc13875"/>
      <w:bookmarkStart w:id="486" w:name="_Toc450662891"/>
      <w:bookmarkStart w:id="487" w:name="_Toc9880"/>
      <w:bookmarkStart w:id="488" w:name="_Toc14879"/>
      <w:bookmarkStart w:id="489" w:name="_Toc30146"/>
      <w:bookmarkStart w:id="490" w:name="_Toc21446"/>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481"/>
      <w:bookmarkEnd w:id="482"/>
      <w:bookmarkEnd w:id="483"/>
      <w:bookmarkEnd w:id="484"/>
      <w:bookmarkEnd w:id="485"/>
      <w:bookmarkEnd w:id="486"/>
      <w:bookmarkEnd w:id="487"/>
      <w:bookmarkEnd w:id="488"/>
      <w:bookmarkEnd w:id="489"/>
      <w:bookmarkEnd w:id="490"/>
    </w:p>
    <w:p w14:paraId="5592A2A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color w:val="000000" w:themeColor="text1"/>
          <w:kern w:val="2"/>
          <w:sz w:val="21"/>
          <w:szCs w:val="21"/>
          <w:highlight w:val="none"/>
          <w:lang w:val="zh-CN"/>
          <w14:textFill>
            <w14:solidFill>
              <w14:schemeClr w14:val="tx1"/>
            </w14:solidFill>
          </w14:textFill>
        </w:rPr>
        <w:t>项目概况</w:t>
      </w:r>
    </w:p>
    <w:p w14:paraId="3E442A3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根据《中华人民共和国计量法》《饮用冷水水表检定规程》《东莞市城市供水管理办法》等法律法规要求，为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保障供水计量合法依规，提升智能水表覆盖率，推进水表轮换及供水计量智能化</w:t>
      </w:r>
      <w:r>
        <w:rPr>
          <w:rFonts w:hint="eastAsia" w:ascii="宋体" w:hAnsi="宋体" w:eastAsia="宋体" w:cs="宋体"/>
          <w:color w:val="000000" w:themeColor="text1"/>
          <w:kern w:val="2"/>
          <w:sz w:val="21"/>
          <w:szCs w:val="21"/>
          <w:highlight w:val="none"/>
          <w:lang w:val="zh-CN"/>
          <w14:textFill>
            <w14:solidFill>
              <w14:schemeClr w14:val="tx1"/>
            </w14:solidFill>
          </w14:textFill>
        </w:rPr>
        <w:t>，东莞市水务集团供水有限公司现开展东莞市供水计量设施更新项目-2025年计量仪表采购（螺翼式远传水表），通过公开招标的方式采购DN</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80</w:t>
      </w:r>
      <w:r>
        <w:rPr>
          <w:rFonts w:hint="eastAsia" w:ascii="宋体" w:hAnsi="宋体" w:eastAsia="宋体" w:cs="宋体"/>
          <w:color w:val="000000" w:themeColor="text1"/>
          <w:kern w:val="2"/>
          <w:sz w:val="21"/>
          <w:szCs w:val="21"/>
          <w:highlight w:val="none"/>
          <w:lang w:val="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DN</w:t>
      </w:r>
      <w:r>
        <w:rPr>
          <w:rFonts w:hint="eastAsia" w:ascii="宋体" w:hAnsi="宋体" w:eastAsia="宋体" w:cs="宋体"/>
          <w:color w:val="000000" w:themeColor="text1"/>
          <w:kern w:val="2"/>
          <w:sz w:val="21"/>
          <w:szCs w:val="21"/>
          <w:highlight w:val="none"/>
          <w:lang w:val="zh-CN"/>
          <w14:textFill>
            <w14:solidFill>
              <w14:schemeClr w14:val="tx1"/>
            </w14:solidFill>
          </w14:textFill>
        </w:rPr>
        <w:t>200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螺翼式远传水表</w:t>
      </w:r>
      <w:r>
        <w:rPr>
          <w:rFonts w:hint="eastAsia" w:ascii="宋体" w:hAnsi="宋体" w:eastAsia="宋体" w:cs="宋体"/>
          <w:color w:val="000000" w:themeColor="text1"/>
          <w:kern w:val="2"/>
          <w:sz w:val="21"/>
          <w:szCs w:val="21"/>
          <w:highlight w:val="none"/>
          <w:lang w:val="zh-CN"/>
          <w14:textFill>
            <w14:solidFill>
              <w14:schemeClr w14:val="tx1"/>
            </w14:solidFill>
          </w14:textFill>
        </w:rPr>
        <w:t>一批，暂定数量为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8521</w:t>
      </w:r>
      <w:r>
        <w:rPr>
          <w:rFonts w:hint="eastAsia" w:ascii="宋体" w:hAnsi="宋体" w:eastAsia="宋体" w:cs="宋体"/>
          <w:color w:val="000000" w:themeColor="text1"/>
          <w:kern w:val="2"/>
          <w:sz w:val="21"/>
          <w:szCs w:val="21"/>
          <w:highlight w:val="none"/>
          <w:lang w:val="zh-CN"/>
          <w14:textFill>
            <w14:solidFill>
              <w14:schemeClr w14:val="tx1"/>
            </w14:solidFill>
          </w14:textFill>
        </w:rPr>
        <w:t>台</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w:t>
      </w:r>
    </w:p>
    <w:p w14:paraId="5A2905D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14:textFill>
            <w14:solidFill>
              <w14:schemeClr w14:val="tx1"/>
            </w14:solidFill>
          </w14:textFill>
        </w:rPr>
        <w:t>本用户需求书采购清单中的货物数量为暂定数量，仅为便于投标人投标报价使用，不作为招标人最终采购数量的保证。中标人的实际供货量以实际数量为准，按实结算。供货期为合同签订之日起</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val="en-US"/>
          <w14:textFill>
            <w14:solidFill>
              <w14:schemeClr w14:val="tx1"/>
            </w14:solidFill>
          </w14:textFill>
        </w:rPr>
        <w:t>年。在供货期内，中标人不得因招标人实际采购数量的减少或增加而要求提供任何形式的补偿或赔偿，或要求招标人按暂定数量采购相应货物。</w:t>
      </w:r>
    </w:p>
    <w:p w14:paraId="1446C22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p>
    <w:p w14:paraId="294ECEE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一、总体要求</w:t>
      </w:r>
    </w:p>
    <w:p w14:paraId="1AC58B8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1.1 </w:t>
      </w:r>
      <w:r>
        <w:rPr>
          <w:rFonts w:hint="eastAsia" w:ascii="宋体" w:hAnsi="宋体" w:eastAsia="宋体" w:cs="宋体"/>
          <w:color w:val="000000" w:themeColor="text1"/>
          <w:kern w:val="2"/>
          <w:sz w:val="21"/>
          <w:szCs w:val="21"/>
          <w:highlight w:val="none"/>
          <w:lang w:val="en-US"/>
          <w14:textFill>
            <w14:solidFill>
              <w14:schemeClr w14:val="tx1"/>
            </w14:solidFill>
          </w14:textFill>
        </w:rPr>
        <w:t>本次采购项目的水表为全新产品，在中国境内可依常规安全合法使用，符合中华人民共和国国家安全质量标准、环保标准或行业标准，适用于自来水行业的居民饮用水计量使用。</w:t>
      </w:r>
    </w:p>
    <w:p w14:paraId="0896021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1.2 须遵循的法律、法规、标准和规范（包含但不局限于以下内容，另本要求中提及的规范标准等如非最新版本，应以最新版本为准）：</w:t>
      </w:r>
    </w:p>
    <w:p w14:paraId="3549088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GB/T778-2018《饮用冷水水表和热水水表》标准</w:t>
      </w:r>
    </w:p>
    <w:p w14:paraId="70502FA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JJG162-2019中华人民共和国国家计量检定规程《冷水水表》</w:t>
      </w:r>
    </w:p>
    <w:p w14:paraId="2565633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GB/T 17219《生活饮用水输配水设备及防护材料的安全性评价标准》</w:t>
      </w:r>
    </w:p>
    <w:p w14:paraId="5155807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CJ266-2008《饮用水冷水水表安全规则》</w:t>
      </w:r>
    </w:p>
    <w:p w14:paraId="5B7F9D9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CJ/T188-2018《户用计量仪表数据传输技术条件》 </w:t>
      </w:r>
    </w:p>
    <w:p w14:paraId="2A7AE65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GB/T 25480-2010《仪器仪表运输、贮存基本环境条件及试验方法》</w:t>
      </w:r>
    </w:p>
    <w:p w14:paraId="2F42B2C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CJ/T224-2012《电子远传水表》</w:t>
      </w:r>
    </w:p>
    <w:p w14:paraId="33F040E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CJ/T535《物联网水表》</w:t>
      </w:r>
    </w:p>
    <w:p w14:paraId="6568CED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GB/T4208-2017《外壳防护等级（IP代码）》</w:t>
      </w:r>
    </w:p>
    <w:p w14:paraId="3EE6646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1.3 供货清单</w:t>
      </w:r>
    </w:p>
    <w:tbl>
      <w:tblPr>
        <w:tblStyle w:val="44"/>
        <w:tblW w:w="50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0"/>
        <w:gridCol w:w="1510"/>
        <w:gridCol w:w="1510"/>
        <w:gridCol w:w="1510"/>
        <w:gridCol w:w="1510"/>
        <w:gridCol w:w="2912"/>
      </w:tblGrid>
      <w:tr w14:paraId="4BB7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21" w:type="pct"/>
            <w:tcBorders>
              <w:top w:val="single" w:color="000000" w:sz="4" w:space="0"/>
              <w:left w:val="single" w:color="000000" w:sz="4" w:space="0"/>
              <w:bottom w:val="single" w:color="000000" w:sz="4" w:space="0"/>
              <w:right w:val="single" w:color="000000" w:sz="4" w:space="0"/>
            </w:tcBorders>
            <w:noWrap w:val="0"/>
            <w:vAlign w:val="center"/>
          </w:tcPr>
          <w:p w14:paraId="2DAEB1A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14:paraId="04DBE32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货物名称</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4EBFADE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口径规格</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14:paraId="6B437C8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14:paraId="5B50BAE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数量</w:t>
            </w:r>
          </w:p>
        </w:tc>
        <w:tc>
          <w:tcPr>
            <w:tcW w:w="1391" w:type="pct"/>
            <w:tcBorders>
              <w:top w:val="single" w:color="000000" w:sz="4" w:space="0"/>
              <w:left w:val="single" w:color="000000" w:sz="4" w:space="0"/>
              <w:bottom w:val="single" w:color="000000" w:sz="4" w:space="0"/>
              <w:right w:val="single" w:color="000000" w:sz="4" w:space="0"/>
            </w:tcBorders>
            <w:noWrap w:val="0"/>
            <w:vAlign w:val="center"/>
          </w:tcPr>
          <w:p w14:paraId="30095B91">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备注</w:t>
            </w:r>
          </w:p>
        </w:tc>
      </w:tr>
      <w:tr w14:paraId="17BD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1" w:type="pct"/>
            <w:tcBorders>
              <w:top w:val="single" w:color="000000" w:sz="4" w:space="0"/>
              <w:left w:val="single" w:color="000000" w:sz="4" w:space="0"/>
              <w:bottom w:val="single" w:color="000000" w:sz="4" w:space="0"/>
              <w:right w:val="single" w:color="000000" w:sz="4" w:space="0"/>
            </w:tcBorders>
            <w:noWrap/>
            <w:vAlign w:val="center"/>
          </w:tcPr>
          <w:p w14:paraId="2FC334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14:paraId="493D83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垂直螺翼式水表 </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51261C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DN80</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76AFEE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3062C675">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2737</w:t>
            </w:r>
          </w:p>
        </w:tc>
        <w:tc>
          <w:tcPr>
            <w:tcW w:w="1391" w:type="pct"/>
            <w:vMerge w:val="restart"/>
            <w:tcBorders>
              <w:top w:val="single" w:color="000000" w:sz="4" w:space="0"/>
              <w:left w:val="single" w:color="000000" w:sz="4" w:space="0"/>
              <w:right w:val="single" w:color="000000" w:sz="4" w:space="0"/>
            </w:tcBorders>
            <w:noWrap/>
            <w:vAlign w:val="center"/>
          </w:tcPr>
          <w:p w14:paraId="2DD70CBA">
            <w:pPr>
              <w:keepNext w:val="0"/>
              <w:keepLines w:val="0"/>
              <w:widowControl/>
              <w:suppressLineNumbers w:val="0"/>
              <w:jc w:val="left"/>
              <w:textAlignment w:val="cente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1.配件要求：</w:t>
            </w:r>
          </w:p>
          <w:p w14:paraId="7A188243">
            <w:pPr>
              <w:keepNext w:val="0"/>
              <w:keepLines w:val="0"/>
              <w:widowControl/>
              <w:suppressLineNumbers w:val="0"/>
              <w:jc w:val="left"/>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每台</w:t>
            </w:r>
            <w:r>
              <w:rPr>
                <w:rFonts w:hint="eastAsia" w:ascii="宋体" w:hAnsi="宋体" w:eastAsia="宋体" w:cs="宋体"/>
                <w:b/>
                <w:bCs/>
                <w:color w:val="000000" w:themeColor="text1"/>
                <w:kern w:val="0"/>
                <w:sz w:val="18"/>
                <w:szCs w:val="18"/>
                <w:highlight w:val="none"/>
                <w:lang w:bidi="ar"/>
                <w14:textFill>
                  <w14:solidFill>
                    <w14:schemeClr w14:val="tx1"/>
                  </w14:solidFill>
                </w14:textFill>
              </w:rPr>
              <w:t>垂直螺翼式水表</w:t>
            </w:r>
            <w:r>
              <w:rPr>
                <w:rFonts w:hint="eastAsia" w:ascii="宋体" w:hAnsi="宋体" w:eastAsia="宋体" w:cs="宋体"/>
                <w:color w:val="000000" w:themeColor="text1"/>
                <w:kern w:val="0"/>
                <w:sz w:val="18"/>
                <w:szCs w:val="18"/>
                <w:highlight w:val="none"/>
                <w:lang w:bidi="ar"/>
                <w14:textFill>
                  <w14:solidFill>
                    <w14:schemeClr w14:val="tx1"/>
                  </w14:solidFill>
                </w14:textFill>
              </w:rPr>
              <w:t>需</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配套</w:t>
            </w:r>
            <w:r>
              <w:rPr>
                <w:rFonts w:hint="eastAsia" w:ascii="宋体" w:hAnsi="宋体" w:eastAsia="宋体" w:cs="宋体"/>
                <w:color w:val="000000" w:themeColor="text1"/>
                <w:kern w:val="0"/>
                <w:sz w:val="18"/>
                <w:szCs w:val="18"/>
                <w:highlight w:val="none"/>
                <w:lang w:bidi="ar"/>
                <w14:textFill>
                  <w14:solidFill>
                    <w14:schemeClr w14:val="tx1"/>
                  </w14:solidFill>
                </w14:textFill>
              </w:rPr>
              <w:t>1套远传模块和2个垫圈，不含法兰；</w:t>
            </w:r>
          </w:p>
          <w:p w14:paraId="362775D2">
            <w:pPr>
              <w:keepNext w:val="0"/>
              <w:keepLines w:val="0"/>
              <w:widowControl/>
              <w:suppressLineNumbers w:val="0"/>
              <w:jc w:val="left"/>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每台</w:t>
            </w:r>
            <w:r>
              <w:rPr>
                <w:rFonts w:hint="eastAsia" w:ascii="宋体" w:hAnsi="宋体" w:eastAsia="宋体" w:cs="宋体"/>
                <w:b/>
                <w:bCs/>
                <w:color w:val="000000" w:themeColor="text1"/>
                <w:kern w:val="0"/>
                <w:sz w:val="18"/>
                <w:szCs w:val="18"/>
                <w:highlight w:val="none"/>
                <w:lang w:bidi="ar"/>
                <w14:textFill>
                  <w14:solidFill>
                    <w14:schemeClr w14:val="tx1"/>
                  </w14:solidFill>
                </w14:textFill>
              </w:rPr>
              <w:t>水平螺翼式水表</w:t>
            </w:r>
            <w:r>
              <w:rPr>
                <w:rFonts w:hint="eastAsia" w:ascii="宋体" w:hAnsi="宋体" w:eastAsia="宋体" w:cs="宋体"/>
                <w:color w:val="000000" w:themeColor="text1"/>
                <w:kern w:val="0"/>
                <w:sz w:val="18"/>
                <w:szCs w:val="18"/>
                <w:highlight w:val="none"/>
                <w:lang w:bidi="ar"/>
                <w14:textFill>
                  <w14:solidFill>
                    <w14:schemeClr w14:val="tx1"/>
                  </w14:solidFill>
                </w14:textFill>
              </w:rPr>
              <w:t>需</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配套</w:t>
            </w:r>
            <w:r>
              <w:rPr>
                <w:rFonts w:hint="eastAsia" w:ascii="宋体" w:hAnsi="宋体" w:eastAsia="宋体" w:cs="宋体"/>
                <w:color w:val="000000" w:themeColor="text1"/>
                <w:kern w:val="0"/>
                <w:sz w:val="18"/>
                <w:szCs w:val="18"/>
                <w:highlight w:val="none"/>
                <w:lang w:bidi="ar"/>
                <w14:textFill>
                  <w14:solidFill>
                    <w14:schemeClr w14:val="tx1"/>
                  </w14:solidFill>
                </w14:textFill>
              </w:rPr>
              <w:t>1套远传模块、4个垫圈和</w:t>
            </w:r>
            <w:r>
              <w:rPr>
                <w:rFonts w:hint="eastAsia" w:ascii="宋体" w:hAnsi="宋体" w:eastAsia="宋体" w:cs="宋体"/>
                <w:b/>
                <w:bCs/>
                <w:color w:val="000000" w:themeColor="text1"/>
                <w:kern w:val="0"/>
                <w:sz w:val="18"/>
                <w:szCs w:val="18"/>
                <w:highlight w:val="none"/>
                <w:lang w:bidi="ar"/>
                <w14:textFill>
                  <w14:solidFill>
                    <w14:schemeClr w14:val="tx1"/>
                  </w14:solidFill>
                </w14:textFill>
              </w:rPr>
              <w:t>1套前置过滤器</w:t>
            </w:r>
            <w:r>
              <w:rPr>
                <w:rFonts w:hint="eastAsia" w:ascii="宋体" w:hAnsi="宋体" w:eastAsia="宋体" w:cs="宋体"/>
                <w:b/>
                <w:bCs/>
                <w:color w:val="000000" w:themeColor="text1"/>
                <w:kern w:val="0"/>
                <w:sz w:val="18"/>
                <w:szCs w:val="18"/>
                <w:highlight w:val="none"/>
                <w:lang w:val="en-US" w:eastAsia="zh-CN" w:bidi="ar"/>
                <w14:textFill>
                  <w14:solidFill>
                    <w14:schemeClr w14:val="tx1"/>
                  </w14:solidFill>
                </w14:textFill>
              </w:rPr>
              <w:t>，不含法兰；</w:t>
            </w:r>
          </w:p>
          <w:p w14:paraId="0EBC2F67">
            <w:pPr>
              <w:keepNext w:val="0"/>
              <w:keepLines w:val="0"/>
              <w:widowControl/>
              <w:suppressLineNumbers w:val="0"/>
              <w:jc w:val="left"/>
              <w:textAlignment w:val="cente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 xml:space="preserve"> </w:t>
            </w:r>
          </w:p>
          <w:p w14:paraId="33D3AD96">
            <w:pPr>
              <w:keepNext w:val="0"/>
              <w:keepLines w:val="0"/>
              <w:widowControl/>
              <w:suppressLineNumbers w:val="0"/>
              <w:jc w:val="left"/>
              <w:textAlignment w:val="center"/>
              <w:rPr>
                <w:rFonts w:hint="default"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2.由中标人负责执行首次检定工作，含运输费、装卸费和水表检定费。</w:t>
            </w:r>
          </w:p>
        </w:tc>
      </w:tr>
      <w:tr w14:paraId="165C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1" w:type="pct"/>
            <w:tcBorders>
              <w:top w:val="single" w:color="000000" w:sz="4" w:space="0"/>
              <w:left w:val="single" w:color="000000" w:sz="4" w:space="0"/>
              <w:bottom w:val="single" w:color="000000" w:sz="4" w:space="0"/>
              <w:right w:val="single" w:color="000000" w:sz="4" w:space="0"/>
            </w:tcBorders>
            <w:noWrap/>
            <w:vAlign w:val="center"/>
          </w:tcPr>
          <w:p w14:paraId="1ED77E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A32E4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265ECA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DN100</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7E7078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5658ADAA">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3410</w:t>
            </w:r>
          </w:p>
        </w:tc>
        <w:tc>
          <w:tcPr>
            <w:tcW w:w="1391" w:type="pct"/>
            <w:vMerge w:val="continue"/>
            <w:tcBorders>
              <w:left w:val="single" w:color="000000" w:sz="4" w:space="0"/>
              <w:right w:val="single" w:color="000000" w:sz="4" w:space="0"/>
            </w:tcBorders>
            <w:noWrap/>
            <w:vAlign w:val="center"/>
          </w:tcPr>
          <w:p w14:paraId="7137BF4D">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r>
      <w:tr w14:paraId="416C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1" w:type="pct"/>
            <w:tcBorders>
              <w:top w:val="single" w:color="000000" w:sz="4" w:space="0"/>
              <w:left w:val="single" w:color="000000" w:sz="4" w:space="0"/>
              <w:bottom w:val="single" w:color="000000" w:sz="4" w:space="0"/>
              <w:right w:val="single" w:color="000000" w:sz="4" w:space="0"/>
            </w:tcBorders>
            <w:noWrap/>
            <w:vAlign w:val="center"/>
          </w:tcPr>
          <w:p w14:paraId="3164B6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79EE4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151FC2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DN150</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1562E6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5A9AA0A9">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648</w:t>
            </w:r>
          </w:p>
        </w:tc>
        <w:tc>
          <w:tcPr>
            <w:tcW w:w="1391" w:type="pct"/>
            <w:vMerge w:val="continue"/>
            <w:tcBorders>
              <w:left w:val="single" w:color="000000" w:sz="4" w:space="0"/>
              <w:right w:val="single" w:color="000000" w:sz="4" w:space="0"/>
            </w:tcBorders>
            <w:noWrap/>
            <w:vAlign w:val="center"/>
          </w:tcPr>
          <w:p w14:paraId="3173FC42">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r>
      <w:tr w14:paraId="65BA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1" w:type="pct"/>
            <w:tcBorders>
              <w:top w:val="single" w:color="000000" w:sz="4" w:space="0"/>
              <w:left w:val="single" w:color="000000" w:sz="4" w:space="0"/>
              <w:bottom w:val="single" w:color="000000" w:sz="4" w:space="0"/>
              <w:right w:val="single" w:color="000000" w:sz="4" w:space="0"/>
            </w:tcBorders>
            <w:noWrap/>
            <w:vAlign w:val="center"/>
          </w:tcPr>
          <w:p w14:paraId="1D661A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30EF9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00F0D4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DN200</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3E1AEF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3295D342">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194</w:t>
            </w:r>
          </w:p>
        </w:tc>
        <w:tc>
          <w:tcPr>
            <w:tcW w:w="1391" w:type="pct"/>
            <w:vMerge w:val="continue"/>
            <w:tcBorders>
              <w:left w:val="single" w:color="000000" w:sz="4" w:space="0"/>
              <w:right w:val="single" w:color="000000" w:sz="4" w:space="0"/>
            </w:tcBorders>
            <w:noWrap/>
            <w:vAlign w:val="center"/>
          </w:tcPr>
          <w:p w14:paraId="64B4AC91">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r>
      <w:tr w14:paraId="348F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1" w:type="pct"/>
            <w:tcBorders>
              <w:top w:val="single" w:color="000000" w:sz="4" w:space="0"/>
              <w:left w:val="single" w:color="000000" w:sz="4" w:space="0"/>
              <w:bottom w:val="single" w:color="000000" w:sz="4" w:space="0"/>
              <w:right w:val="single" w:color="000000" w:sz="4" w:space="0"/>
            </w:tcBorders>
            <w:noWrap/>
            <w:vAlign w:val="center"/>
          </w:tcPr>
          <w:p w14:paraId="50283EA7">
            <w:pPr>
              <w:keepNext w:val="0"/>
              <w:keepLines w:val="0"/>
              <w:widowControl/>
              <w:suppressLineNumbers w:val="0"/>
              <w:jc w:val="center"/>
              <w:textAlignment w:val="center"/>
              <w:rPr>
                <w:rFonts w:hint="eastAsia" w:eastAsia="宋体" w:cs="Times New Roman"/>
                <w:color w:val="000000" w:themeColor="text1"/>
                <w:highlight w:val="none"/>
                <w:lang w:val="en-US" w:eastAsia="zh-CN"/>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5</w:t>
            </w:r>
          </w:p>
        </w:tc>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14:paraId="0EB57DE7">
            <w:pPr>
              <w:keepNext w:val="0"/>
              <w:keepLines w:val="0"/>
              <w:widowControl/>
              <w:suppressLineNumbers w:val="0"/>
              <w:jc w:val="center"/>
              <w:textAlignment w:val="center"/>
              <w:rPr>
                <w:rFonts w:hint="eastAsia" w:eastAsia="宋体" w:cs="Times New Roman"/>
                <w:color w:val="000000" w:themeColor="text1"/>
                <w:highlight w:val="none"/>
                <w:lang w:val="en-US" w:eastAsia="zh-CN"/>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 xml:space="preserve">水平螺翼式水表 </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38006E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DN80</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455D49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20EC14C2">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574</w:t>
            </w:r>
          </w:p>
        </w:tc>
        <w:tc>
          <w:tcPr>
            <w:tcW w:w="1391" w:type="pct"/>
            <w:vMerge w:val="continue"/>
            <w:tcBorders>
              <w:left w:val="single" w:color="000000" w:sz="4" w:space="0"/>
              <w:right w:val="single" w:color="000000" w:sz="4" w:space="0"/>
            </w:tcBorders>
            <w:noWrap/>
            <w:vAlign w:val="center"/>
          </w:tcPr>
          <w:p w14:paraId="0E539986">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r>
      <w:tr w14:paraId="250D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1" w:type="pct"/>
            <w:tcBorders>
              <w:top w:val="single" w:color="000000" w:sz="4" w:space="0"/>
              <w:left w:val="single" w:color="000000" w:sz="4" w:space="0"/>
              <w:bottom w:val="single" w:color="000000" w:sz="4" w:space="0"/>
              <w:right w:val="single" w:color="000000" w:sz="4" w:space="0"/>
            </w:tcBorders>
            <w:noWrap/>
            <w:vAlign w:val="center"/>
          </w:tcPr>
          <w:p w14:paraId="1F2B69DE">
            <w:pPr>
              <w:keepNext w:val="0"/>
              <w:keepLines w:val="0"/>
              <w:widowControl/>
              <w:suppressLineNumbers w:val="0"/>
              <w:jc w:val="center"/>
              <w:textAlignment w:val="center"/>
              <w:rPr>
                <w:rFonts w:hint="eastAsia" w:eastAsia="宋体" w:cs="Times New Roman"/>
                <w:color w:val="000000" w:themeColor="text1"/>
                <w:highlight w:val="none"/>
                <w:lang w:val="en-US" w:eastAsia="zh-CN"/>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6</w:t>
            </w:r>
          </w:p>
        </w:tc>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A0FFBE">
            <w:pPr>
              <w:keepNext w:val="0"/>
              <w:keepLines w:val="0"/>
              <w:widowControl/>
              <w:suppressLineNumbers w:val="0"/>
              <w:jc w:val="center"/>
              <w:textAlignment w:val="center"/>
              <w:rPr>
                <w:rFonts w:hint="eastAsia" w:eastAsia="宋体" w:cs="Times New Roman"/>
                <w:color w:val="000000" w:themeColor="text1"/>
                <w:highlight w:val="none"/>
                <w:lang w:val="en-US" w:eastAsia="zh-CN"/>
                <w14:textFill>
                  <w14:solidFill>
                    <w14:schemeClr w14:val="tx1"/>
                  </w14:solidFill>
                </w14:textFill>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362766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DN100</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136F42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66192672">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700</w:t>
            </w:r>
          </w:p>
        </w:tc>
        <w:tc>
          <w:tcPr>
            <w:tcW w:w="1391" w:type="pct"/>
            <w:vMerge w:val="continue"/>
            <w:tcBorders>
              <w:left w:val="single" w:color="000000" w:sz="4" w:space="0"/>
              <w:right w:val="single" w:color="000000" w:sz="4" w:space="0"/>
            </w:tcBorders>
            <w:noWrap/>
            <w:vAlign w:val="center"/>
          </w:tcPr>
          <w:p w14:paraId="24532331">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r>
      <w:tr w14:paraId="04AB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1" w:type="pct"/>
            <w:tcBorders>
              <w:top w:val="single" w:color="000000" w:sz="4" w:space="0"/>
              <w:left w:val="single" w:color="000000" w:sz="4" w:space="0"/>
              <w:bottom w:val="single" w:color="000000" w:sz="4" w:space="0"/>
              <w:right w:val="single" w:color="000000" w:sz="4" w:space="0"/>
            </w:tcBorders>
            <w:noWrap/>
            <w:vAlign w:val="center"/>
          </w:tcPr>
          <w:p w14:paraId="65E9F1D5">
            <w:pPr>
              <w:keepNext w:val="0"/>
              <w:keepLines w:val="0"/>
              <w:widowControl/>
              <w:suppressLineNumbers w:val="0"/>
              <w:jc w:val="center"/>
              <w:textAlignment w:val="center"/>
              <w:rPr>
                <w:rFonts w:hint="eastAsia" w:eastAsia="宋体" w:cs="Times New Roman"/>
                <w:color w:val="000000" w:themeColor="text1"/>
                <w:highlight w:val="none"/>
                <w:lang w:val="en-US" w:eastAsia="zh-CN"/>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7</w:t>
            </w:r>
          </w:p>
        </w:tc>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CB152C">
            <w:pPr>
              <w:keepNext w:val="0"/>
              <w:keepLines w:val="0"/>
              <w:widowControl/>
              <w:suppressLineNumbers w:val="0"/>
              <w:jc w:val="center"/>
              <w:textAlignment w:val="center"/>
              <w:rPr>
                <w:rFonts w:hint="eastAsia" w:eastAsia="宋体" w:cs="Times New Roman"/>
                <w:color w:val="000000" w:themeColor="text1"/>
                <w:highlight w:val="none"/>
                <w:lang w:val="en-US" w:eastAsia="zh-CN"/>
                <w14:textFill>
                  <w14:solidFill>
                    <w14:schemeClr w14:val="tx1"/>
                  </w14:solidFill>
                </w14:textFill>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7F399F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DN150</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20F492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44A53FDE">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215</w:t>
            </w:r>
          </w:p>
        </w:tc>
        <w:tc>
          <w:tcPr>
            <w:tcW w:w="1391" w:type="pct"/>
            <w:vMerge w:val="continue"/>
            <w:tcBorders>
              <w:left w:val="single" w:color="000000" w:sz="4" w:space="0"/>
              <w:right w:val="single" w:color="000000" w:sz="4" w:space="0"/>
            </w:tcBorders>
            <w:noWrap/>
            <w:vAlign w:val="center"/>
          </w:tcPr>
          <w:p w14:paraId="394F5DF7">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r>
      <w:tr w14:paraId="1CF0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1" w:type="pct"/>
            <w:tcBorders>
              <w:top w:val="single" w:color="000000" w:sz="4" w:space="0"/>
              <w:left w:val="single" w:color="000000" w:sz="4" w:space="0"/>
              <w:bottom w:val="single" w:color="000000" w:sz="4" w:space="0"/>
              <w:right w:val="single" w:color="000000" w:sz="4" w:space="0"/>
            </w:tcBorders>
            <w:noWrap/>
            <w:vAlign w:val="center"/>
          </w:tcPr>
          <w:p w14:paraId="6DA75F0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4F93A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3C74D70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DN200</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46FB13C7">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1D5CEC8E">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43</w:t>
            </w:r>
          </w:p>
        </w:tc>
        <w:tc>
          <w:tcPr>
            <w:tcW w:w="1391" w:type="pct"/>
            <w:vMerge w:val="continue"/>
            <w:tcBorders>
              <w:left w:val="single" w:color="000000" w:sz="4" w:space="0"/>
              <w:bottom w:val="single" w:color="auto" w:sz="4" w:space="0"/>
              <w:right w:val="single" w:color="000000" w:sz="4" w:space="0"/>
            </w:tcBorders>
            <w:noWrap/>
            <w:vAlign w:val="center"/>
          </w:tcPr>
          <w:p w14:paraId="1B164E59">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r>
      <w:tr w14:paraId="2065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1" w:type="pct"/>
            <w:tcBorders>
              <w:top w:val="single" w:color="000000" w:sz="4" w:space="0"/>
              <w:left w:val="single" w:color="000000" w:sz="4" w:space="0"/>
              <w:bottom w:val="single" w:color="000000" w:sz="4" w:space="0"/>
              <w:right w:val="single" w:color="000000" w:sz="4" w:space="0"/>
            </w:tcBorders>
            <w:noWrap/>
            <w:vAlign w:val="center"/>
          </w:tcPr>
          <w:p w14:paraId="0B6E315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443" w:type="pct"/>
            <w:gridSpan w:val="2"/>
            <w:tcBorders>
              <w:top w:val="single" w:color="000000" w:sz="4" w:space="0"/>
              <w:left w:val="single" w:color="000000" w:sz="4" w:space="0"/>
              <w:bottom w:val="single" w:color="000000" w:sz="4" w:space="0"/>
              <w:right w:val="single" w:color="000000" w:sz="4" w:space="0"/>
            </w:tcBorders>
            <w:noWrap w:val="0"/>
            <w:vAlign w:val="center"/>
          </w:tcPr>
          <w:p w14:paraId="5B7062F8">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汇总</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429F169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60FEF01D">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8521</w:t>
            </w:r>
          </w:p>
        </w:tc>
        <w:tc>
          <w:tcPr>
            <w:tcW w:w="1391" w:type="pct"/>
            <w:tcBorders>
              <w:left w:val="single" w:color="000000" w:sz="4" w:space="0"/>
              <w:bottom w:val="single" w:color="auto" w:sz="4" w:space="0"/>
              <w:right w:val="single" w:color="000000" w:sz="4" w:space="0"/>
            </w:tcBorders>
            <w:noWrap/>
            <w:vAlign w:val="center"/>
          </w:tcPr>
          <w:p w14:paraId="139F0333">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r>
    </w:tbl>
    <w:p w14:paraId="3931F5EC">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p>
    <w:p w14:paraId="7D9BC87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二、水表技术要求</w:t>
      </w:r>
    </w:p>
    <w:p w14:paraId="435BB43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2.1 基本要求：</w:t>
      </w:r>
    </w:p>
    <w:p w14:paraId="7C9E049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2.1.1 介质温度范围：0-30℃。</w:t>
      </w:r>
    </w:p>
    <w:p w14:paraId="1B99D03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2.1.2 工作环境温度范围：0-55℃。</w:t>
      </w:r>
    </w:p>
    <w:p w14:paraId="15C83A4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★2.1.3 防护等级：IP68。</w:t>
      </w:r>
    </w:p>
    <w:p w14:paraId="322256F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▲2.1.4 电磁环境等级：</w:t>
      </w:r>
      <w:r>
        <w:rPr>
          <w:rFonts w:hint="eastAsia" w:ascii="宋体" w:hAnsi="宋体" w:eastAsia="宋体" w:cs="宋体"/>
          <w:color w:val="000000" w:themeColor="text1"/>
          <w:kern w:val="2"/>
          <w:sz w:val="21"/>
          <w:szCs w:val="21"/>
          <w:highlight w:val="none"/>
          <w:lang w:bidi="ar"/>
          <w14:textFill>
            <w14:solidFill>
              <w14:schemeClr w14:val="tx1"/>
            </w14:solidFill>
          </w14:textFill>
        </w:rPr>
        <w:t>不低于E1</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级。</w:t>
      </w:r>
    </w:p>
    <w:p w14:paraId="6B5B4E3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 基表：</w:t>
      </w:r>
    </w:p>
    <w:p w14:paraId="58E2DC4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2.2.1 压力等级：不低于MAP10。</w:t>
      </w:r>
    </w:p>
    <w:p w14:paraId="58DF360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★2.2.2 水表准确度等级：2级。</w:t>
      </w:r>
    </w:p>
    <w:p w14:paraId="086AFC8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2.2.3 采用干式设计的垂直螺翼式水表和水平螺翼式水表。</w:t>
      </w:r>
    </w:p>
    <w:p w14:paraId="1CD3342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★2.2.4 流量参数要求</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402"/>
        <w:gridCol w:w="2058"/>
        <w:gridCol w:w="2260"/>
        <w:gridCol w:w="1978"/>
      </w:tblGrid>
      <w:tr w14:paraId="5FAA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noWrap/>
            <w:vAlign w:val="center"/>
          </w:tcPr>
          <w:p w14:paraId="13BF8FA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水表类型</w:t>
            </w:r>
          </w:p>
        </w:tc>
        <w:tc>
          <w:tcPr>
            <w:tcW w:w="1402" w:type="dxa"/>
            <w:noWrap/>
            <w:vAlign w:val="center"/>
          </w:tcPr>
          <w:p w14:paraId="71A2BC5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公称口径</w:t>
            </w:r>
          </w:p>
          <w:p w14:paraId="3ACFF32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DN(mm)</w:t>
            </w:r>
          </w:p>
        </w:tc>
        <w:tc>
          <w:tcPr>
            <w:tcW w:w="2058" w:type="dxa"/>
            <w:noWrap/>
            <w:vAlign w:val="center"/>
          </w:tcPr>
          <w:p w14:paraId="19AB597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常用流量</w:t>
            </w:r>
          </w:p>
          <w:p w14:paraId="30765E5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Q3（m³/h）</w:t>
            </w:r>
          </w:p>
        </w:tc>
        <w:tc>
          <w:tcPr>
            <w:tcW w:w="2260" w:type="dxa"/>
            <w:noWrap/>
            <w:vAlign w:val="center"/>
          </w:tcPr>
          <w:p w14:paraId="41781CC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常用流量/最小流量</w:t>
            </w:r>
          </w:p>
          <w:p w14:paraId="1191614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Q3/Q1</w:t>
            </w:r>
          </w:p>
        </w:tc>
        <w:tc>
          <w:tcPr>
            <w:tcW w:w="1978" w:type="dxa"/>
            <w:noWrap/>
            <w:vAlign w:val="center"/>
          </w:tcPr>
          <w:p w14:paraId="20A3B4C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分界流量/最小流量Q2/Q1</w:t>
            </w:r>
          </w:p>
        </w:tc>
      </w:tr>
      <w:tr w14:paraId="5763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restart"/>
            <w:noWrap/>
            <w:vAlign w:val="center"/>
          </w:tcPr>
          <w:p w14:paraId="6B6EB24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垂直螺翼式远传水表</w:t>
            </w:r>
          </w:p>
        </w:tc>
        <w:tc>
          <w:tcPr>
            <w:tcW w:w="1402" w:type="dxa"/>
            <w:noWrap/>
            <w:vAlign w:val="center"/>
          </w:tcPr>
          <w:p w14:paraId="2378920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2058" w:type="dxa"/>
            <w:noWrap/>
            <w:vAlign w:val="center"/>
          </w:tcPr>
          <w:p w14:paraId="6E9479B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w:t>
            </w:r>
          </w:p>
        </w:tc>
        <w:tc>
          <w:tcPr>
            <w:tcW w:w="2260" w:type="dxa"/>
            <w:noWrap/>
            <w:vAlign w:val="center"/>
          </w:tcPr>
          <w:p w14:paraId="57DF491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5EB3367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07D9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center"/>
          </w:tcPr>
          <w:p w14:paraId="402A0A9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035D354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058" w:type="dxa"/>
            <w:noWrap/>
            <w:vAlign w:val="center"/>
          </w:tcPr>
          <w:p w14:paraId="04D4F1D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260" w:type="dxa"/>
            <w:noWrap/>
            <w:vAlign w:val="center"/>
          </w:tcPr>
          <w:p w14:paraId="5ACBC23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1C27637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1625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center"/>
          </w:tcPr>
          <w:p w14:paraId="5F757D0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36EBFD3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150</w:t>
            </w:r>
          </w:p>
        </w:tc>
        <w:tc>
          <w:tcPr>
            <w:tcW w:w="2058" w:type="dxa"/>
            <w:noWrap/>
            <w:vAlign w:val="center"/>
          </w:tcPr>
          <w:p w14:paraId="08CB483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250</w:t>
            </w:r>
          </w:p>
        </w:tc>
        <w:tc>
          <w:tcPr>
            <w:tcW w:w="2260" w:type="dxa"/>
            <w:noWrap/>
            <w:vAlign w:val="center"/>
          </w:tcPr>
          <w:p w14:paraId="004213C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13BA631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5ED9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center"/>
          </w:tcPr>
          <w:p w14:paraId="155F68A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547434D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w:t>
            </w:r>
          </w:p>
        </w:tc>
        <w:tc>
          <w:tcPr>
            <w:tcW w:w="2058" w:type="dxa"/>
            <w:noWrap/>
            <w:vAlign w:val="center"/>
          </w:tcPr>
          <w:p w14:paraId="385EDD4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w:t>
            </w:r>
          </w:p>
        </w:tc>
        <w:tc>
          <w:tcPr>
            <w:tcW w:w="2260" w:type="dxa"/>
            <w:noWrap/>
            <w:vAlign w:val="center"/>
          </w:tcPr>
          <w:p w14:paraId="2D8C99F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650A63A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40D0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restart"/>
            <w:noWrap/>
            <w:vAlign w:val="center"/>
          </w:tcPr>
          <w:p w14:paraId="351B81B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水平螺翼式远传水表</w:t>
            </w:r>
          </w:p>
        </w:tc>
        <w:tc>
          <w:tcPr>
            <w:tcW w:w="1402" w:type="dxa"/>
            <w:noWrap/>
            <w:vAlign w:val="center"/>
          </w:tcPr>
          <w:p w14:paraId="106113A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2058" w:type="dxa"/>
            <w:noWrap/>
            <w:vAlign w:val="center"/>
          </w:tcPr>
          <w:p w14:paraId="2E116DA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260" w:type="dxa"/>
            <w:noWrap/>
            <w:vAlign w:val="center"/>
          </w:tcPr>
          <w:p w14:paraId="0385F16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0D27CA6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49B1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top"/>
          </w:tcPr>
          <w:p w14:paraId="77DBFA2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487B987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058" w:type="dxa"/>
            <w:noWrap/>
            <w:vAlign w:val="center"/>
          </w:tcPr>
          <w:p w14:paraId="77C5F66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2260" w:type="dxa"/>
            <w:noWrap/>
            <w:vAlign w:val="center"/>
          </w:tcPr>
          <w:p w14:paraId="20CBBFD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26B358A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3F84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top"/>
          </w:tcPr>
          <w:p w14:paraId="27D10BF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12F8518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150</w:t>
            </w:r>
          </w:p>
        </w:tc>
        <w:tc>
          <w:tcPr>
            <w:tcW w:w="2058" w:type="dxa"/>
            <w:noWrap/>
            <w:vAlign w:val="center"/>
          </w:tcPr>
          <w:p w14:paraId="0F63DCE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w:t>
            </w:r>
          </w:p>
        </w:tc>
        <w:tc>
          <w:tcPr>
            <w:tcW w:w="2260" w:type="dxa"/>
            <w:noWrap/>
            <w:vAlign w:val="center"/>
          </w:tcPr>
          <w:p w14:paraId="2B3D469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059B780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2145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top"/>
          </w:tcPr>
          <w:p w14:paraId="26C72B0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71D8397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w:t>
            </w:r>
          </w:p>
        </w:tc>
        <w:tc>
          <w:tcPr>
            <w:tcW w:w="2058" w:type="dxa"/>
            <w:noWrap/>
            <w:vAlign w:val="center"/>
          </w:tcPr>
          <w:p w14:paraId="2B938FB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630</w:t>
            </w:r>
          </w:p>
        </w:tc>
        <w:tc>
          <w:tcPr>
            <w:tcW w:w="2260" w:type="dxa"/>
            <w:noWrap/>
            <w:vAlign w:val="center"/>
          </w:tcPr>
          <w:p w14:paraId="1D672ED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67D75FE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bl>
    <w:p w14:paraId="31EC4E6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2.2.5 与饮用水接触的水表设备和防护材料不得污染水质，须符合《生活饮用水输配水设备及防护材料卫生安全评价标准》的卫生安全要求。</w:t>
      </w:r>
    </w:p>
    <w:p w14:paraId="661CDC3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★2.2.6 水表应印有有“东莞水务集团供水公司L0G0+客服热线96968”字样（具体样式中标后由招标人提供），其中印刷费计入投标报价。水表外壳、指示装置或铭牌、不可分离的表盖上，应集中或分散标明计量参数、流向箭头、公称口径、制造年月和编号等信息。</w:t>
      </w:r>
    </w:p>
    <w:p w14:paraId="257839D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2.2.7 尺寸要求：</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1"/>
        <w:gridCol w:w="2489"/>
        <w:gridCol w:w="1323"/>
        <w:gridCol w:w="2433"/>
      </w:tblGrid>
      <w:tr w14:paraId="34CE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noWrap w:val="0"/>
            <w:vAlign w:val="center"/>
          </w:tcPr>
          <w:p w14:paraId="0D9ECD6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类型</w:t>
            </w:r>
          </w:p>
        </w:tc>
        <w:tc>
          <w:tcPr>
            <w:tcW w:w="1200" w:type="pct"/>
            <w:noWrap w:val="0"/>
            <w:vAlign w:val="center"/>
          </w:tcPr>
          <w:p w14:paraId="740B7BA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公称口径</w:t>
            </w:r>
          </w:p>
          <w:p w14:paraId="0E5717C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DN(mm)</w:t>
            </w:r>
          </w:p>
        </w:tc>
        <w:tc>
          <w:tcPr>
            <w:tcW w:w="638" w:type="pct"/>
            <w:noWrap w:val="0"/>
            <w:vAlign w:val="center"/>
          </w:tcPr>
          <w:p w14:paraId="2A95E90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长度(mm)</w:t>
            </w:r>
          </w:p>
        </w:tc>
        <w:tc>
          <w:tcPr>
            <w:tcW w:w="1173" w:type="pct"/>
            <w:noWrap w:val="0"/>
            <w:vAlign w:val="center"/>
          </w:tcPr>
          <w:p w14:paraId="40274F4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法兰连接</w:t>
            </w:r>
          </w:p>
          <w:p w14:paraId="3495117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螺栓孔数</w:t>
            </w:r>
          </w:p>
        </w:tc>
      </w:tr>
      <w:tr w14:paraId="154D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restart"/>
            <w:noWrap w:val="0"/>
            <w:vAlign w:val="center"/>
          </w:tcPr>
          <w:p w14:paraId="651B06F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垂直螺翼式远传水表</w:t>
            </w:r>
          </w:p>
        </w:tc>
        <w:tc>
          <w:tcPr>
            <w:tcW w:w="1200" w:type="pct"/>
            <w:noWrap w:val="0"/>
            <w:vAlign w:val="center"/>
          </w:tcPr>
          <w:p w14:paraId="222B8FE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38" w:type="pct"/>
            <w:noWrap w:val="0"/>
            <w:vAlign w:val="center"/>
          </w:tcPr>
          <w:p w14:paraId="2A728F9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370</w:t>
            </w:r>
          </w:p>
        </w:tc>
        <w:tc>
          <w:tcPr>
            <w:tcW w:w="1173" w:type="pct"/>
            <w:noWrap w:val="0"/>
            <w:vAlign w:val="center"/>
          </w:tcPr>
          <w:p w14:paraId="7045386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r w14:paraId="21CC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14:paraId="2D0F196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00" w:type="pct"/>
            <w:noWrap w:val="0"/>
            <w:vAlign w:val="center"/>
          </w:tcPr>
          <w:p w14:paraId="0612951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638" w:type="pct"/>
            <w:noWrap w:val="0"/>
            <w:vAlign w:val="center"/>
          </w:tcPr>
          <w:p w14:paraId="17E7B2C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370</w:t>
            </w:r>
          </w:p>
        </w:tc>
        <w:tc>
          <w:tcPr>
            <w:tcW w:w="1173" w:type="pct"/>
            <w:noWrap w:val="0"/>
            <w:vAlign w:val="center"/>
          </w:tcPr>
          <w:p w14:paraId="7E78190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r w14:paraId="29E4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14:paraId="1D632FF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00" w:type="pct"/>
            <w:noWrap w:val="0"/>
            <w:vAlign w:val="center"/>
          </w:tcPr>
          <w:p w14:paraId="162943C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150</w:t>
            </w:r>
          </w:p>
        </w:tc>
        <w:tc>
          <w:tcPr>
            <w:tcW w:w="638" w:type="pct"/>
            <w:noWrap w:val="0"/>
            <w:vAlign w:val="center"/>
          </w:tcPr>
          <w:p w14:paraId="74D9737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500</w:t>
            </w:r>
          </w:p>
        </w:tc>
        <w:tc>
          <w:tcPr>
            <w:tcW w:w="1173" w:type="pct"/>
            <w:noWrap w:val="0"/>
            <w:vAlign w:val="center"/>
          </w:tcPr>
          <w:p w14:paraId="01C3C79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r w14:paraId="7A45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14:paraId="55DF2CD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00" w:type="pct"/>
            <w:noWrap w:val="0"/>
            <w:vAlign w:val="center"/>
          </w:tcPr>
          <w:p w14:paraId="1141103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w:t>
            </w:r>
          </w:p>
        </w:tc>
        <w:tc>
          <w:tcPr>
            <w:tcW w:w="638" w:type="pct"/>
            <w:noWrap w:val="0"/>
            <w:vAlign w:val="center"/>
          </w:tcPr>
          <w:p w14:paraId="67330E3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500</w:t>
            </w:r>
          </w:p>
        </w:tc>
        <w:tc>
          <w:tcPr>
            <w:tcW w:w="1173" w:type="pct"/>
            <w:noWrap w:val="0"/>
            <w:vAlign w:val="center"/>
          </w:tcPr>
          <w:p w14:paraId="451BD06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r w14:paraId="72CE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restart"/>
            <w:noWrap w:val="0"/>
            <w:vAlign w:val="center"/>
          </w:tcPr>
          <w:p w14:paraId="02DC43A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水平螺翼式远传水表</w:t>
            </w:r>
          </w:p>
        </w:tc>
        <w:tc>
          <w:tcPr>
            <w:tcW w:w="1200" w:type="pct"/>
            <w:noWrap w:val="0"/>
            <w:vAlign w:val="center"/>
          </w:tcPr>
          <w:p w14:paraId="5BAEE57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38" w:type="pct"/>
            <w:noWrap w:val="0"/>
            <w:vAlign w:val="center"/>
          </w:tcPr>
          <w:p w14:paraId="1ED6D42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225</w:t>
            </w:r>
          </w:p>
        </w:tc>
        <w:tc>
          <w:tcPr>
            <w:tcW w:w="1173" w:type="pct"/>
            <w:noWrap w:val="0"/>
            <w:vAlign w:val="center"/>
          </w:tcPr>
          <w:p w14:paraId="7E7A905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r w14:paraId="5567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14:paraId="4E17C8E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00" w:type="pct"/>
            <w:noWrap w:val="0"/>
            <w:vAlign w:val="center"/>
          </w:tcPr>
          <w:p w14:paraId="36B14D2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638" w:type="pct"/>
            <w:noWrap w:val="0"/>
            <w:vAlign w:val="center"/>
          </w:tcPr>
          <w:p w14:paraId="6406259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250</w:t>
            </w:r>
          </w:p>
        </w:tc>
        <w:tc>
          <w:tcPr>
            <w:tcW w:w="1173" w:type="pct"/>
            <w:noWrap w:val="0"/>
            <w:vAlign w:val="center"/>
          </w:tcPr>
          <w:p w14:paraId="322A9C1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r w14:paraId="3360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14:paraId="7EF6614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00" w:type="pct"/>
            <w:noWrap w:val="0"/>
            <w:vAlign w:val="center"/>
          </w:tcPr>
          <w:p w14:paraId="429672D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150</w:t>
            </w:r>
          </w:p>
        </w:tc>
        <w:tc>
          <w:tcPr>
            <w:tcW w:w="638" w:type="pct"/>
            <w:noWrap w:val="0"/>
            <w:vAlign w:val="center"/>
          </w:tcPr>
          <w:p w14:paraId="0864F31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1173" w:type="pct"/>
            <w:noWrap w:val="0"/>
            <w:vAlign w:val="center"/>
          </w:tcPr>
          <w:p w14:paraId="3DC2744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r w14:paraId="1EDA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14:paraId="3224513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00" w:type="pct"/>
            <w:noWrap w:val="0"/>
            <w:vAlign w:val="center"/>
          </w:tcPr>
          <w:p w14:paraId="45A4036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w:t>
            </w:r>
          </w:p>
        </w:tc>
        <w:tc>
          <w:tcPr>
            <w:tcW w:w="638" w:type="pct"/>
            <w:noWrap w:val="0"/>
            <w:vAlign w:val="center"/>
          </w:tcPr>
          <w:p w14:paraId="00B935F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350</w:t>
            </w:r>
          </w:p>
        </w:tc>
        <w:tc>
          <w:tcPr>
            <w:tcW w:w="1173" w:type="pct"/>
            <w:noWrap w:val="0"/>
            <w:vAlign w:val="center"/>
          </w:tcPr>
          <w:p w14:paraId="47E9EB6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r w14:paraId="0235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restart"/>
            <w:noWrap w:val="0"/>
            <w:vAlign w:val="center"/>
          </w:tcPr>
          <w:p w14:paraId="3889339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适配水平螺翼式远传水表的前置过滤器（配件）</w:t>
            </w:r>
          </w:p>
        </w:tc>
        <w:tc>
          <w:tcPr>
            <w:tcW w:w="1200" w:type="pct"/>
            <w:noWrap w:val="0"/>
            <w:vAlign w:val="center"/>
          </w:tcPr>
          <w:p w14:paraId="7F63534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38" w:type="pct"/>
            <w:noWrap w:val="0"/>
            <w:vAlign w:val="center"/>
          </w:tcPr>
          <w:p w14:paraId="4365D1F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145</w:t>
            </w:r>
          </w:p>
        </w:tc>
        <w:tc>
          <w:tcPr>
            <w:tcW w:w="1173" w:type="pct"/>
            <w:noWrap w:val="0"/>
            <w:vAlign w:val="center"/>
          </w:tcPr>
          <w:p w14:paraId="77AEABA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r w14:paraId="5923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14:paraId="14F8EC0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00" w:type="pct"/>
            <w:noWrap w:val="0"/>
            <w:vAlign w:val="center"/>
          </w:tcPr>
          <w:p w14:paraId="02DAF0B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638" w:type="pct"/>
            <w:noWrap w:val="0"/>
            <w:vAlign w:val="center"/>
          </w:tcPr>
          <w:p w14:paraId="34BE3EF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120</w:t>
            </w:r>
          </w:p>
        </w:tc>
        <w:tc>
          <w:tcPr>
            <w:tcW w:w="1173" w:type="pct"/>
            <w:noWrap w:val="0"/>
            <w:vAlign w:val="center"/>
          </w:tcPr>
          <w:p w14:paraId="3A4E88D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r w14:paraId="012E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14:paraId="6687856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00" w:type="pct"/>
            <w:noWrap w:val="0"/>
            <w:vAlign w:val="center"/>
          </w:tcPr>
          <w:p w14:paraId="62F502E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150</w:t>
            </w:r>
          </w:p>
        </w:tc>
        <w:tc>
          <w:tcPr>
            <w:tcW w:w="638" w:type="pct"/>
            <w:noWrap w:val="0"/>
            <w:vAlign w:val="center"/>
          </w:tcPr>
          <w:p w14:paraId="25E4ECD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w:t>
            </w:r>
          </w:p>
        </w:tc>
        <w:tc>
          <w:tcPr>
            <w:tcW w:w="1173" w:type="pct"/>
            <w:noWrap w:val="0"/>
            <w:vAlign w:val="center"/>
          </w:tcPr>
          <w:p w14:paraId="36A229A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r w14:paraId="680F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7" w:type="pct"/>
            <w:vMerge w:val="continue"/>
            <w:noWrap w:val="0"/>
            <w:vAlign w:val="center"/>
          </w:tcPr>
          <w:p w14:paraId="6262626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00" w:type="pct"/>
            <w:noWrap w:val="0"/>
            <w:vAlign w:val="center"/>
          </w:tcPr>
          <w:p w14:paraId="4D23F61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w:t>
            </w:r>
          </w:p>
        </w:tc>
        <w:tc>
          <w:tcPr>
            <w:tcW w:w="638" w:type="pct"/>
            <w:noWrap w:val="0"/>
            <w:vAlign w:val="center"/>
          </w:tcPr>
          <w:p w14:paraId="504D05D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150</w:t>
            </w:r>
          </w:p>
        </w:tc>
        <w:tc>
          <w:tcPr>
            <w:tcW w:w="1173" w:type="pct"/>
            <w:noWrap w:val="0"/>
            <w:vAlign w:val="center"/>
          </w:tcPr>
          <w:p w14:paraId="55A777D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r>
    </w:tbl>
    <w:p w14:paraId="6F3E5DB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2.2.8 环境等级：C级或O级（安装在室外的固定水表），水表须完全防磁，在任何外磁场干扰下不影响水表的正常计量性能。</w:t>
      </w:r>
    </w:p>
    <w:p w14:paraId="0FEDE99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2.2.9 采用法兰连接，连接件必须符合建设部CJ266-2008承压件尺寸和重量要求。</w:t>
      </w:r>
    </w:p>
    <w:p w14:paraId="4EF8D47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2.2.10 水表制造材料：</w:t>
      </w:r>
    </w:p>
    <w:p w14:paraId="6991CDA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(1)表壳材料选用符合国家标准要求的球墨铸铁，内外表面经静电喷塑处理，不允许有气泡或漆块堆积；</w:t>
      </w:r>
    </w:p>
    <w:p w14:paraId="591C0B3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(2)水表机芯主要材料应选用高强度塑料，顶尖轴、叶轮轴均应采用不锈钢材料；</w:t>
      </w:r>
    </w:p>
    <w:p w14:paraId="0DB4828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(3)垂直螺翼式水表的内置滤网材质为不锈钢，水平螺翼式水表适配的前置过滤器滤网材料为不锈钢。</w:t>
      </w:r>
    </w:p>
    <w:p w14:paraId="442A447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2.2.11 水表的流量累计指示装置应为数字和模拟指示相结合，其立方米和立方米以上单位的累计部分应是数字式。水表的读数应显示清晰、美观，能长期保持指示清晰。</w:t>
      </w:r>
    </w:p>
    <w:p w14:paraId="7A14AF8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2.2.12 基表具备数据输出接口，机电转换技术采取无磁传感技术。</w:t>
      </w:r>
    </w:p>
    <w:p w14:paraId="141C925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2.2.13 水表要具有的防护装置，有效的封印，表罩需有有效的防拆措施（表罩需采用防晒抗雨材质，确保质保期内不能出现非人为的损坏），能够有效防止未经许可的改变读数显示行为，另需有安装铅封的小孔。</w:t>
      </w:r>
    </w:p>
    <w:p w14:paraId="08145BF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★2.2.14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（投标阶段需就上述事项提供相关承诺文件）</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w:t>
      </w:r>
    </w:p>
    <w:p w14:paraId="188DE83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2.3 远传模块要求：</w:t>
      </w:r>
    </w:p>
    <w:p w14:paraId="1633B3F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2.3.1 远传模块可拆卸，直接安装在水表上，要求安装牢固可靠，远传模块与基表的安装结合应无妨碍检定和读数的缺陷，拆除远传模块应不影响水表固有的计量性能。</w:t>
      </w:r>
    </w:p>
    <w:p w14:paraId="4990C06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▲2.3.2 数据采集：支持采集累计正、反向累计流量数据，数据采集精确到0.1m³或1m³，支持时钟同步功能和低电压报警功能。默认上报频次为2次/日，水量数据采集周期为15分钟/次。可通过应用平台进行高频率上报周期设置，最小做到15分钟周期上报，最小数据采集和存储时间间隔为1分钟。</w:t>
      </w:r>
    </w:p>
    <w:p w14:paraId="71A3426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2.3.3 通讯电池：锂电池，在上报频次为2次/日时，保证可连续使用≥5年，且必须采取安全保护措施，保证电池不发生爆炸或自燃，使用寿命未达到5年的，由供商应负责免费更换电池。</w:t>
      </w:r>
    </w:p>
    <w:p w14:paraId="2CFB609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2.3.4 数据存储：采集周期为15分钟/次时，可存储数据≥30天，当存储介质存满时，新采集的数据自动覆盖最早数据。</w:t>
      </w:r>
    </w:p>
    <w:p w14:paraId="182B68A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▲2.3.5 日数据传输成功率≥99% ，抄读准确率≥99%</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（投标人提供相关水表用户使用情况及证明材料）。</w:t>
      </w:r>
    </w:p>
    <w:p w14:paraId="6AA7288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2.3.6 远程模块须印有统一的识别标识及设备编号，其组件、外壳和连接线材应采用阻燃材质。</w:t>
      </w:r>
    </w:p>
    <w:p w14:paraId="45B2890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★2.3.7 水表远传模块采用无线通讯，应取得工信部颁发的入网许可证、无线电核准证书，通讯方式：支持NB-IoT无线物联网远传通讯。采用东莞本地通信运营商的通讯网络实现数据传输，并提供属地化日常通信运维服务</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（需提供产品说明书和相关承诺文件）</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w:t>
      </w:r>
    </w:p>
    <w:p w14:paraId="3B4C308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2.3.8 若处于NB-IOT信号接收不利点，投标人应采取措施，例如与运营商协调网络优化、转用4G移动通讯网络等方法，提升网络性能质量，确保数据传输成功率达到要求。采取措施所发生的所有费用，由投标人负责。</w:t>
      </w:r>
    </w:p>
    <w:p w14:paraId="200F25E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2.3.9 远传参数设置：可通过有线连接、手机蓝牙连接或近端手持终端设备进行参数设置和远传设备调试。</w:t>
      </w:r>
    </w:p>
    <w:p w14:paraId="2AF8639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★2.3.10 远传模块的通讯协议需符合招标人物联网终端传输规约的有关要求</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（需提供相关承诺文件）</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w:t>
      </w:r>
    </w:p>
    <w:p w14:paraId="5118310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★2.3.11 平台对接：所有数据按招标人要求无缝融合到招标人智能水表管理系统，中标人需无偿配合远传水表的接入工作</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（需提供可无缝接入招标人所指定的系统管理平台的承诺函）</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w:t>
      </w:r>
    </w:p>
    <w:p w14:paraId="02048EB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p>
    <w:p w14:paraId="6B19085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三、物联网终端传输规约要求</w:t>
      </w:r>
    </w:p>
    <w:p w14:paraId="0E875B9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投标人的投标产品需符合招标人物联网终端传输规约要求，包括但不限于以下协议框架、应用数据结构等，其他相关要求可于中标后咨询招标人。</w:t>
      </w:r>
    </w:p>
    <w:p w14:paraId="4667D0E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491" w:name="_Toc17515"/>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3.1 协议框架</w:t>
      </w:r>
      <w:bookmarkEnd w:id="491"/>
    </w:p>
    <w:p w14:paraId="4035CE1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492" w:name="_Toc29643"/>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3.1.1 上行框架</w:t>
      </w:r>
      <w:bookmarkEnd w:id="492"/>
    </w:p>
    <w:p w14:paraId="66A4CF8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上行框架规定了所有从设备端发往平台端的数据帧的基础格式，结构如下：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20"/>
        <w:gridCol w:w="1095"/>
        <w:gridCol w:w="4730"/>
      </w:tblGrid>
      <w:tr w14:paraId="6310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61F0B451">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帧起始符（</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68H</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w:t>
            </w:r>
          </w:p>
        </w:tc>
        <w:tc>
          <w:tcPr>
            <w:tcW w:w="1095" w:type="dxa"/>
            <w:noWrap w:val="0"/>
            <w:vAlign w:val="center"/>
          </w:tcPr>
          <w:p w14:paraId="03D84D70">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1B9343C9">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固定值</w:t>
            </w:r>
          </w:p>
        </w:tc>
      </w:tr>
      <w:tr w14:paraId="2C03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4805ABA2">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帧长度</w:t>
            </w:r>
          </w:p>
        </w:tc>
        <w:tc>
          <w:tcPr>
            <w:tcW w:w="1095" w:type="dxa"/>
            <w:noWrap w:val="0"/>
            <w:vAlign w:val="center"/>
          </w:tcPr>
          <w:p w14:paraId="33AA9700">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2Byte</w:t>
            </w:r>
          </w:p>
        </w:tc>
        <w:tc>
          <w:tcPr>
            <w:tcW w:w="4730" w:type="dxa"/>
            <w:noWrap w:val="0"/>
            <w:vAlign w:val="center"/>
          </w:tcPr>
          <w:p w14:paraId="1F6ECA30">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从</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帧起始符（</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68H</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）至帧结束符（</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16H</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）之间的字节总数，</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不含68H和16H。</w:t>
            </w:r>
          </w:p>
        </w:tc>
      </w:tr>
      <w:tr w14:paraId="3359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793A5867">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帧标识</w:t>
            </w:r>
          </w:p>
        </w:tc>
        <w:tc>
          <w:tcPr>
            <w:tcW w:w="1095" w:type="dxa"/>
            <w:noWrap w:val="0"/>
            <w:vAlign w:val="center"/>
          </w:tcPr>
          <w:p w14:paraId="124F6173">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65D45997">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是否加密</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1bit、是否分帧2bit、帧序号4bit、是否包含运行参数段1bit</w:t>
            </w:r>
          </w:p>
        </w:tc>
      </w:tr>
      <w:tr w14:paraId="47C8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49338443">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 xml:space="preserve">协议版本 </w:t>
            </w:r>
          </w:p>
        </w:tc>
        <w:tc>
          <w:tcPr>
            <w:tcW w:w="1095" w:type="dxa"/>
            <w:noWrap w:val="0"/>
            <w:vAlign w:val="center"/>
          </w:tcPr>
          <w:p w14:paraId="1115696C">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19882A90">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主版本</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4bit、子版本4bit</w:t>
            </w:r>
          </w:p>
        </w:tc>
      </w:tr>
      <w:tr w14:paraId="730A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5FEBDA3D">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设备地址</w:t>
            </w:r>
          </w:p>
        </w:tc>
        <w:tc>
          <w:tcPr>
            <w:tcW w:w="1095" w:type="dxa"/>
            <w:noWrap w:val="0"/>
            <w:vAlign w:val="center"/>
          </w:tcPr>
          <w:p w14:paraId="1FB98676">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8Byte</w:t>
            </w:r>
          </w:p>
        </w:tc>
        <w:tc>
          <w:tcPr>
            <w:tcW w:w="4730" w:type="dxa"/>
            <w:noWrap w:val="0"/>
            <w:vAlign w:val="center"/>
          </w:tcPr>
          <w:p w14:paraId="157AEA1F">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表码</w:t>
            </w:r>
          </w:p>
        </w:tc>
      </w:tr>
      <w:tr w14:paraId="2340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696FBF9E">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功能码</w:t>
            </w:r>
          </w:p>
        </w:tc>
        <w:tc>
          <w:tcPr>
            <w:tcW w:w="1095" w:type="dxa"/>
            <w:noWrap w:val="0"/>
            <w:vAlign w:val="center"/>
          </w:tcPr>
          <w:p w14:paraId="60B59E63">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089EED32">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功能码</w:t>
            </w:r>
          </w:p>
        </w:tc>
      </w:tr>
      <w:tr w14:paraId="1393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7811C07D">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帧确认符（</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68H</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w:t>
            </w:r>
          </w:p>
        </w:tc>
        <w:tc>
          <w:tcPr>
            <w:tcW w:w="1095" w:type="dxa"/>
            <w:noWrap w:val="0"/>
            <w:vAlign w:val="center"/>
          </w:tcPr>
          <w:p w14:paraId="65AD1502">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4DA6C10E">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固定值</w:t>
            </w:r>
          </w:p>
        </w:tc>
      </w:tr>
      <w:tr w14:paraId="45EA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restart"/>
            <w:noWrap w:val="0"/>
            <w:vAlign w:val="center"/>
          </w:tcPr>
          <w:p w14:paraId="3F949BBA">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运行参数段</w:t>
            </w:r>
          </w:p>
        </w:tc>
        <w:tc>
          <w:tcPr>
            <w:tcW w:w="2820" w:type="dxa"/>
            <w:noWrap w:val="0"/>
            <w:vAlign w:val="center"/>
          </w:tcPr>
          <w:p w14:paraId="3AAFD345">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设备标识</w:t>
            </w:r>
          </w:p>
        </w:tc>
        <w:tc>
          <w:tcPr>
            <w:tcW w:w="1095" w:type="dxa"/>
            <w:noWrap w:val="0"/>
            <w:vAlign w:val="center"/>
          </w:tcPr>
          <w:p w14:paraId="3281BEC2">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360F42F6">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包含设备工作模式（1Bit）、设备类型（7Bit）</w:t>
            </w:r>
          </w:p>
        </w:tc>
      </w:tr>
      <w:tr w14:paraId="293E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155B044B">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2820" w:type="dxa"/>
            <w:noWrap w:val="0"/>
            <w:vAlign w:val="center"/>
          </w:tcPr>
          <w:p w14:paraId="39778D1B">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设备电压</w:t>
            </w:r>
          </w:p>
        </w:tc>
        <w:tc>
          <w:tcPr>
            <w:tcW w:w="1095" w:type="dxa"/>
            <w:noWrap w:val="0"/>
            <w:vAlign w:val="center"/>
          </w:tcPr>
          <w:p w14:paraId="721D472D">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2Byte</w:t>
            </w:r>
          </w:p>
        </w:tc>
        <w:tc>
          <w:tcPr>
            <w:tcW w:w="4730" w:type="dxa"/>
            <w:noWrap w:val="0"/>
            <w:vAlign w:val="center"/>
          </w:tcPr>
          <w:p w14:paraId="1481FBF8">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6100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66C1D0FD">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820" w:type="dxa"/>
            <w:noWrap w:val="0"/>
            <w:vAlign w:val="center"/>
          </w:tcPr>
          <w:p w14:paraId="6B77B699">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信号强度</w:t>
            </w:r>
          </w:p>
        </w:tc>
        <w:tc>
          <w:tcPr>
            <w:tcW w:w="1095" w:type="dxa"/>
            <w:noWrap w:val="0"/>
            <w:vAlign w:val="center"/>
          </w:tcPr>
          <w:p w14:paraId="5E6D5F02">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4121DA1D">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1626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3BCFBF48">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820" w:type="dxa"/>
            <w:noWrap w:val="0"/>
            <w:vAlign w:val="center"/>
          </w:tcPr>
          <w:p w14:paraId="0CA5290E">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接收功率</w:t>
            </w:r>
          </w:p>
        </w:tc>
        <w:tc>
          <w:tcPr>
            <w:tcW w:w="1095" w:type="dxa"/>
            <w:noWrap w:val="0"/>
            <w:vAlign w:val="center"/>
          </w:tcPr>
          <w:p w14:paraId="631ED09D">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2Byte</w:t>
            </w:r>
          </w:p>
        </w:tc>
        <w:tc>
          <w:tcPr>
            <w:tcW w:w="4730" w:type="dxa"/>
            <w:noWrap w:val="0"/>
            <w:vAlign w:val="center"/>
          </w:tcPr>
          <w:p w14:paraId="22B159AB">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2B82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218F53A2">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820" w:type="dxa"/>
            <w:noWrap w:val="0"/>
            <w:vAlign w:val="center"/>
          </w:tcPr>
          <w:p w14:paraId="7758B191">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信噪比</w:t>
            </w:r>
          </w:p>
        </w:tc>
        <w:tc>
          <w:tcPr>
            <w:tcW w:w="1095" w:type="dxa"/>
            <w:noWrap w:val="0"/>
            <w:vAlign w:val="center"/>
          </w:tcPr>
          <w:p w14:paraId="5ADC5012">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2Byte</w:t>
            </w:r>
          </w:p>
        </w:tc>
        <w:tc>
          <w:tcPr>
            <w:tcW w:w="4730" w:type="dxa"/>
            <w:noWrap w:val="0"/>
            <w:vAlign w:val="center"/>
          </w:tcPr>
          <w:p w14:paraId="6040D1E5">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28A1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26922415">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820" w:type="dxa"/>
            <w:noWrap w:val="0"/>
            <w:vAlign w:val="center"/>
          </w:tcPr>
          <w:p w14:paraId="7B8127CD">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覆盖等级</w:t>
            </w:r>
          </w:p>
        </w:tc>
        <w:tc>
          <w:tcPr>
            <w:tcW w:w="1095" w:type="dxa"/>
            <w:noWrap w:val="0"/>
            <w:vAlign w:val="center"/>
          </w:tcPr>
          <w:p w14:paraId="37CF3ECD">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0D1F47F9">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6AF1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4CABDE67">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820" w:type="dxa"/>
            <w:noWrap w:val="0"/>
            <w:vAlign w:val="center"/>
          </w:tcPr>
          <w:p w14:paraId="1112D672">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小区ID</w:t>
            </w:r>
          </w:p>
        </w:tc>
        <w:tc>
          <w:tcPr>
            <w:tcW w:w="1095" w:type="dxa"/>
            <w:noWrap w:val="0"/>
            <w:vAlign w:val="center"/>
          </w:tcPr>
          <w:p w14:paraId="5DD29CDE">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4Byte</w:t>
            </w:r>
          </w:p>
        </w:tc>
        <w:tc>
          <w:tcPr>
            <w:tcW w:w="4730" w:type="dxa"/>
            <w:noWrap w:val="0"/>
            <w:vAlign w:val="center"/>
          </w:tcPr>
          <w:p w14:paraId="73490597">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5726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08B81981">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820" w:type="dxa"/>
            <w:noWrap w:val="0"/>
            <w:vAlign w:val="center"/>
          </w:tcPr>
          <w:p w14:paraId="1A2F4604">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IMEI标识</w:t>
            </w:r>
          </w:p>
        </w:tc>
        <w:tc>
          <w:tcPr>
            <w:tcW w:w="1095" w:type="dxa"/>
            <w:noWrap w:val="0"/>
            <w:vAlign w:val="center"/>
          </w:tcPr>
          <w:p w14:paraId="48532169">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8Byte</w:t>
            </w:r>
          </w:p>
        </w:tc>
        <w:tc>
          <w:tcPr>
            <w:tcW w:w="4730" w:type="dxa"/>
            <w:noWrap w:val="0"/>
            <w:vAlign w:val="center"/>
          </w:tcPr>
          <w:p w14:paraId="1A70525B">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BCD</w:t>
            </w:r>
          </w:p>
        </w:tc>
      </w:tr>
      <w:tr w14:paraId="295A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5339BD2C">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820" w:type="dxa"/>
            <w:noWrap w:val="0"/>
            <w:vAlign w:val="center"/>
          </w:tcPr>
          <w:p w14:paraId="1AA8709F">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SIM标识</w:t>
            </w:r>
          </w:p>
        </w:tc>
        <w:tc>
          <w:tcPr>
            <w:tcW w:w="1095" w:type="dxa"/>
            <w:noWrap w:val="0"/>
            <w:vAlign w:val="center"/>
          </w:tcPr>
          <w:p w14:paraId="017A1113">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10Byte</w:t>
            </w:r>
          </w:p>
        </w:tc>
        <w:tc>
          <w:tcPr>
            <w:tcW w:w="4730" w:type="dxa"/>
            <w:noWrap w:val="0"/>
            <w:vAlign w:val="center"/>
          </w:tcPr>
          <w:p w14:paraId="26D49E9A">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BCD</w:t>
            </w:r>
          </w:p>
        </w:tc>
      </w:tr>
      <w:tr w14:paraId="1448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7D43293A">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指令MID</w:t>
            </w:r>
          </w:p>
        </w:tc>
        <w:tc>
          <w:tcPr>
            <w:tcW w:w="1095" w:type="dxa"/>
            <w:noWrap w:val="0"/>
            <w:vAlign w:val="center"/>
          </w:tcPr>
          <w:p w14:paraId="36C4A23D">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2Byte</w:t>
            </w:r>
          </w:p>
        </w:tc>
        <w:tc>
          <w:tcPr>
            <w:tcW w:w="4730" w:type="dxa"/>
            <w:noWrap w:val="0"/>
            <w:vAlign w:val="center"/>
          </w:tcPr>
          <w:p w14:paraId="1DAEEBA5">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指令标识，高字节在前，发起方生成，接收方原码返回</w:t>
            </w:r>
          </w:p>
        </w:tc>
      </w:tr>
      <w:tr w14:paraId="29E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413BBAC8">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功能数据段</w:t>
            </w:r>
          </w:p>
        </w:tc>
        <w:tc>
          <w:tcPr>
            <w:tcW w:w="1095" w:type="dxa"/>
            <w:noWrap w:val="0"/>
            <w:vAlign w:val="center"/>
          </w:tcPr>
          <w:p w14:paraId="34463306">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变长</w:t>
            </w:r>
          </w:p>
        </w:tc>
        <w:tc>
          <w:tcPr>
            <w:tcW w:w="4730" w:type="dxa"/>
            <w:noWrap w:val="0"/>
            <w:vAlign w:val="center"/>
          </w:tcPr>
          <w:p w14:paraId="31016714">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由功能码决定</w:t>
            </w:r>
          </w:p>
        </w:tc>
      </w:tr>
      <w:tr w14:paraId="4C4F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76DA50B9">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帧校验</w:t>
            </w:r>
          </w:p>
        </w:tc>
        <w:tc>
          <w:tcPr>
            <w:tcW w:w="1095" w:type="dxa"/>
            <w:noWrap w:val="0"/>
            <w:vAlign w:val="center"/>
          </w:tcPr>
          <w:p w14:paraId="5628AE2A">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349DA2EF">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3B57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15EEA23A">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帧结束符（16H）</w:t>
            </w:r>
          </w:p>
        </w:tc>
        <w:tc>
          <w:tcPr>
            <w:tcW w:w="1095" w:type="dxa"/>
            <w:noWrap w:val="0"/>
            <w:vAlign w:val="center"/>
          </w:tcPr>
          <w:p w14:paraId="67AE5780">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508CA45A">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固定值</w:t>
            </w:r>
          </w:p>
        </w:tc>
      </w:tr>
    </w:tbl>
    <w:p w14:paraId="1E83917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493" w:name="_Toc26382"/>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3.1.2 下行框架</w:t>
      </w:r>
      <w:bookmarkEnd w:id="493"/>
    </w:p>
    <w:p w14:paraId="13E6C6A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下行框架规定了所有从平台端发往设备端的数据帧的基础格式，结构如下：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1095"/>
        <w:gridCol w:w="4730"/>
      </w:tblGrid>
      <w:tr w14:paraId="7274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29561BE6">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帧起始符（</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68H</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w:t>
            </w:r>
          </w:p>
        </w:tc>
        <w:tc>
          <w:tcPr>
            <w:tcW w:w="1095" w:type="dxa"/>
            <w:noWrap w:val="0"/>
            <w:vAlign w:val="center"/>
          </w:tcPr>
          <w:p w14:paraId="1CBC765A">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76A37452">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固定值</w:t>
            </w:r>
          </w:p>
        </w:tc>
      </w:tr>
      <w:tr w14:paraId="42F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6BCE6506">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帧长度</w:t>
            </w:r>
          </w:p>
        </w:tc>
        <w:tc>
          <w:tcPr>
            <w:tcW w:w="1095" w:type="dxa"/>
            <w:noWrap w:val="0"/>
            <w:vAlign w:val="center"/>
          </w:tcPr>
          <w:p w14:paraId="658D1B65">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2Byte</w:t>
            </w:r>
          </w:p>
        </w:tc>
        <w:tc>
          <w:tcPr>
            <w:tcW w:w="4730" w:type="dxa"/>
            <w:noWrap w:val="0"/>
            <w:vAlign w:val="center"/>
          </w:tcPr>
          <w:p w14:paraId="7D2CB8F2">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从</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帧起始符（</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68H</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）开始至帧结束符（</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16H</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）之间的字节总数</w:t>
            </w:r>
          </w:p>
        </w:tc>
      </w:tr>
      <w:tr w14:paraId="5FD5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60FC77F1">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帧标识</w:t>
            </w:r>
          </w:p>
        </w:tc>
        <w:tc>
          <w:tcPr>
            <w:tcW w:w="1095" w:type="dxa"/>
            <w:noWrap w:val="0"/>
            <w:vAlign w:val="center"/>
          </w:tcPr>
          <w:p w14:paraId="13EADBD6">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2B8ABD28">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4968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289B3449">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 xml:space="preserve">协议版本 </w:t>
            </w:r>
          </w:p>
        </w:tc>
        <w:tc>
          <w:tcPr>
            <w:tcW w:w="1095" w:type="dxa"/>
            <w:noWrap w:val="0"/>
            <w:vAlign w:val="center"/>
          </w:tcPr>
          <w:p w14:paraId="6C87CA5F">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618AF95F">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5313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2F32212C">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设备地址</w:t>
            </w:r>
          </w:p>
        </w:tc>
        <w:tc>
          <w:tcPr>
            <w:tcW w:w="1095" w:type="dxa"/>
            <w:noWrap w:val="0"/>
            <w:vAlign w:val="center"/>
          </w:tcPr>
          <w:p w14:paraId="1C2F9BE7">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8Byte</w:t>
            </w:r>
          </w:p>
        </w:tc>
        <w:tc>
          <w:tcPr>
            <w:tcW w:w="4730" w:type="dxa"/>
            <w:noWrap w:val="0"/>
            <w:vAlign w:val="center"/>
          </w:tcPr>
          <w:p w14:paraId="297531C0">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62B2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3AE53E14">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功能码</w:t>
            </w:r>
          </w:p>
        </w:tc>
        <w:tc>
          <w:tcPr>
            <w:tcW w:w="1095" w:type="dxa"/>
            <w:noWrap w:val="0"/>
            <w:vAlign w:val="center"/>
          </w:tcPr>
          <w:p w14:paraId="61384310">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5AB71512">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功能码</w:t>
            </w:r>
          </w:p>
        </w:tc>
      </w:tr>
      <w:tr w14:paraId="58A7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tcBorders>
              <w:bottom w:val="single" w:color="auto" w:sz="4" w:space="0"/>
            </w:tcBorders>
            <w:noWrap w:val="0"/>
            <w:vAlign w:val="center"/>
          </w:tcPr>
          <w:p w14:paraId="2B986B03">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帧确认符（</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68H</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w:t>
            </w:r>
          </w:p>
        </w:tc>
        <w:tc>
          <w:tcPr>
            <w:tcW w:w="1095" w:type="dxa"/>
            <w:tcBorders>
              <w:bottom w:val="single" w:color="auto" w:sz="4" w:space="0"/>
            </w:tcBorders>
            <w:noWrap w:val="0"/>
            <w:vAlign w:val="center"/>
          </w:tcPr>
          <w:p w14:paraId="2ABD3FD2">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tcBorders>
              <w:bottom w:val="single" w:color="auto" w:sz="4" w:space="0"/>
            </w:tcBorders>
            <w:noWrap w:val="0"/>
            <w:vAlign w:val="center"/>
          </w:tcPr>
          <w:p w14:paraId="0F667291">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固定值</w:t>
            </w:r>
          </w:p>
        </w:tc>
      </w:tr>
      <w:tr w14:paraId="71FF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tcBorders>
              <w:bottom w:val="single" w:color="auto" w:sz="4" w:space="0"/>
            </w:tcBorders>
            <w:noWrap w:val="0"/>
            <w:vAlign w:val="center"/>
          </w:tcPr>
          <w:p w14:paraId="18DE1B91">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指令MID</w:t>
            </w:r>
          </w:p>
        </w:tc>
        <w:tc>
          <w:tcPr>
            <w:tcW w:w="1095" w:type="dxa"/>
            <w:tcBorders>
              <w:bottom w:val="single" w:color="auto" w:sz="4" w:space="0"/>
            </w:tcBorders>
            <w:noWrap w:val="0"/>
            <w:vAlign w:val="center"/>
          </w:tcPr>
          <w:p w14:paraId="02CCEA95">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2Byte</w:t>
            </w:r>
          </w:p>
        </w:tc>
        <w:tc>
          <w:tcPr>
            <w:tcW w:w="4730" w:type="dxa"/>
            <w:tcBorders>
              <w:bottom w:val="single" w:color="auto" w:sz="4" w:space="0"/>
            </w:tcBorders>
            <w:noWrap w:val="0"/>
            <w:vAlign w:val="center"/>
          </w:tcPr>
          <w:p w14:paraId="47614A0F">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指令标识，高字节在前，发起方生成，接收方原码返回</w:t>
            </w:r>
          </w:p>
        </w:tc>
      </w:tr>
      <w:tr w14:paraId="6AA6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tcBorders>
              <w:top w:val="single" w:color="auto" w:sz="4" w:space="0"/>
            </w:tcBorders>
            <w:noWrap w:val="0"/>
            <w:vAlign w:val="center"/>
          </w:tcPr>
          <w:p w14:paraId="19C43EBB">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功能数据段</w:t>
            </w:r>
          </w:p>
        </w:tc>
        <w:tc>
          <w:tcPr>
            <w:tcW w:w="1095" w:type="dxa"/>
            <w:tcBorders>
              <w:top w:val="single" w:color="auto" w:sz="4" w:space="0"/>
            </w:tcBorders>
            <w:noWrap w:val="0"/>
            <w:vAlign w:val="center"/>
          </w:tcPr>
          <w:p w14:paraId="4E557B64">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变长</w:t>
            </w:r>
          </w:p>
        </w:tc>
        <w:tc>
          <w:tcPr>
            <w:tcW w:w="4730" w:type="dxa"/>
            <w:tcBorders>
              <w:top w:val="single" w:color="auto" w:sz="4" w:space="0"/>
            </w:tcBorders>
            <w:noWrap w:val="0"/>
            <w:vAlign w:val="center"/>
          </w:tcPr>
          <w:p w14:paraId="432A52DB">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由功能码决定</w:t>
            </w:r>
          </w:p>
        </w:tc>
      </w:tr>
      <w:tr w14:paraId="0371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09E060E4">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帧校验</w:t>
            </w:r>
          </w:p>
        </w:tc>
        <w:tc>
          <w:tcPr>
            <w:tcW w:w="1095" w:type="dxa"/>
            <w:noWrap w:val="0"/>
            <w:vAlign w:val="center"/>
          </w:tcPr>
          <w:p w14:paraId="78125A9D">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43F7A222">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339D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7B4FDF49">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帧结束符（16H）</w:t>
            </w:r>
          </w:p>
        </w:tc>
        <w:tc>
          <w:tcPr>
            <w:tcW w:w="1095" w:type="dxa"/>
            <w:noWrap w:val="0"/>
            <w:vAlign w:val="center"/>
          </w:tcPr>
          <w:p w14:paraId="2A93DD68">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1Byte</w:t>
            </w:r>
          </w:p>
        </w:tc>
        <w:tc>
          <w:tcPr>
            <w:tcW w:w="4730" w:type="dxa"/>
            <w:noWrap w:val="0"/>
            <w:vAlign w:val="center"/>
          </w:tcPr>
          <w:p w14:paraId="48B62F5C">
            <w:pPr>
              <w:pStyle w:val="19"/>
              <w:keepNext w:val="0"/>
              <w:keepLines w:val="0"/>
              <w:pageBreakBefore w:val="0"/>
              <w:widowControl w:val="0"/>
              <w:kinsoku/>
              <w:wordWrap/>
              <w:overflowPunct/>
              <w:topLinePunct w:val="0"/>
              <w:autoSpaceDE/>
              <w:autoSpaceDN/>
              <w:bidi w:val="0"/>
              <w:adjustRightInd w:val="0"/>
              <w:snapToGrid w:val="0"/>
              <w:spacing w:before="157" w:beforeLines="5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固定值</w:t>
            </w:r>
          </w:p>
        </w:tc>
      </w:tr>
    </w:tbl>
    <w:p w14:paraId="241000F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3.1.3 帧长度</w:t>
      </w:r>
    </w:p>
    <w:p w14:paraId="1278722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帧长度由2字节表示，高字节在前，低字节在后。帧长度包含从帧起始符（68H，不含）开始至帧结束符（16H，不含）之间的字节总数。</w:t>
      </w:r>
    </w:p>
    <w:p w14:paraId="6214E31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494" w:name="_Toc28655"/>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3.1.4 帧标识</w:t>
      </w:r>
      <w:bookmarkEnd w:id="494"/>
    </w:p>
    <w:p w14:paraId="109CBD5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帧标识由1个字节表示，各二进制位组织格式如下：</w:t>
      </w:r>
    </w:p>
    <w:tbl>
      <w:tblPr>
        <w:tblStyle w:val="4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14:paraId="3DEE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2" w:type="dxa"/>
            <w:noWrap w:val="0"/>
            <w:vAlign w:val="center"/>
          </w:tcPr>
          <w:p w14:paraId="4C8097C0">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7</w:t>
            </w:r>
          </w:p>
        </w:tc>
        <w:tc>
          <w:tcPr>
            <w:tcW w:w="1152" w:type="dxa"/>
            <w:noWrap w:val="0"/>
            <w:vAlign w:val="center"/>
          </w:tcPr>
          <w:p w14:paraId="792C767B">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1152" w:type="dxa"/>
            <w:noWrap w:val="0"/>
            <w:vAlign w:val="center"/>
          </w:tcPr>
          <w:p w14:paraId="2D148FD3">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1152" w:type="dxa"/>
            <w:noWrap w:val="0"/>
            <w:vAlign w:val="center"/>
          </w:tcPr>
          <w:p w14:paraId="60900DE6">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1152" w:type="dxa"/>
            <w:noWrap w:val="0"/>
            <w:vAlign w:val="center"/>
          </w:tcPr>
          <w:p w14:paraId="551016E8">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152" w:type="dxa"/>
            <w:noWrap w:val="0"/>
            <w:vAlign w:val="center"/>
          </w:tcPr>
          <w:p w14:paraId="08871B96">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w:t>
            </w:r>
          </w:p>
        </w:tc>
        <w:tc>
          <w:tcPr>
            <w:tcW w:w="1152" w:type="dxa"/>
            <w:noWrap w:val="0"/>
            <w:vAlign w:val="center"/>
          </w:tcPr>
          <w:p w14:paraId="2635375B">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1152" w:type="dxa"/>
            <w:noWrap w:val="0"/>
            <w:vAlign w:val="center"/>
          </w:tcPr>
          <w:p w14:paraId="2936D0DB">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w:t>
            </w:r>
          </w:p>
        </w:tc>
      </w:tr>
      <w:tr w14:paraId="4417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2" w:type="dxa"/>
            <w:noWrap w:val="0"/>
            <w:vAlign w:val="center"/>
          </w:tcPr>
          <w:p w14:paraId="354F26B1">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运行参数段标志</w:t>
            </w:r>
          </w:p>
        </w:tc>
        <w:tc>
          <w:tcPr>
            <w:tcW w:w="1152" w:type="dxa"/>
            <w:noWrap w:val="0"/>
            <w:vAlign w:val="center"/>
          </w:tcPr>
          <w:p w14:paraId="7AE9B3A8">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是否加密标志</w:t>
            </w:r>
          </w:p>
        </w:tc>
        <w:tc>
          <w:tcPr>
            <w:tcW w:w="1152" w:type="dxa"/>
            <w:noWrap w:val="0"/>
            <w:vAlign w:val="center"/>
          </w:tcPr>
          <w:p w14:paraId="6F7BE4F9">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分帧标识1</w:t>
            </w:r>
          </w:p>
        </w:tc>
        <w:tc>
          <w:tcPr>
            <w:tcW w:w="1152" w:type="dxa"/>
            <w:noWrap w:val="0"/>
            <w:vAlign w:val="center"/>
          </w:tcPr>
          <w:p w14:paraId="39194017">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分帧标识2</w:t>
            </w:r>
          </w:p>
        </w:tc>
        <w:tc>
          <w:tcPr>
            <w:tcW w:w="4608" w:type="dxa"/>
            <w:gridSpan w:val="4"/>
            <w:noWrap w:val="0"/>
            <w:vAlign w:val="center"/>
          </w:tcPr>
          <w:p w14:paraId="49FEE8E1">
            <w:pPr>
              <w:pStyle w:val="19"/>
              <w:keepNext w:val="0"/>
              <w:keepLines w:val="0"/>
              <w:pageBreakBefore w:val="0"/>
              <w:widowControl w:val="0"/>
              <w:kinsoku/>
              <w:wordWrap/>
              <w:overflowPunct/>
              <w:topLinePunct w:val="0"/>
              <w:autoSpaceDE/>
              <w:autoSpaceDN/>
              <w:bidi w:val="0"/>
              <w:adjustRightInd w:val="0"/>
              <w:snapToGrid w:val="0"/>
              <w:ind w:right="-28"/>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帧流水号</w:t>
            </w:r>
          </w:p>
        </w:tc>
      </w:tr>
    </w:tbl>
    <w:p w14:paraId="2BCCA7B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运行参数段标志：1表示该帧数据包含运行参数数据段，0表示不含运行参数数据段。运行参数段中包含设备信息和信号信息等，详见运行参数段章节。</w:t>
      </w:r>
    </w:p>
    <w:p w14:paraId="4BD3698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是否加密标志：1表示功能数据段已加密，0表示未加密。本协议规定使用AES-128/ECB/PKCS7Padding对数据进行加解密。</w:t>
      </w:r>
    </w:p>
    <w:p w14:paraId="08F3E12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分帧标识：由2个位组成，当数据量较大需要拆分为多帧传输时，每一帧都必须包含完整的帧组织框架（即每一帧都必须能够被独立解析）。</w:t>
      </w:r>
    </w:p>
    <w:p w14:paraId="01ED90D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分帧标识组合含义见下表：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320"/>
        <w:gridCol w:w="3615"/>
      </w:tblGrid>
      <w:tr w14:paraId="5179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14:paraId="554E0C0B">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分帧标识1</w:t>
            </w:r>
          </w:p>
        </w:tc>
        <w:tc>
          <w:tcPr>
            <w:tcW w:w="1320" w:type="dxa"/>
            <w:noWrap w:val="0"/>
            <w:vAlign w:val="center"/>
          </w:tcPr>
          <w:p w14:paraId="4B8FC310">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分帧标识2</w:t>
            </w:r>
          </w:p>
        </w:tc>
        <w:tc>
          <w:tcPr>
            <w:tcW w:w="3615" w:type="dxa"/>
            <w:noWrap w:val="0"/>
            <w:vAlign w:val="center"/>
          </w:tcPr>
          <w:p w14:paraId="12582AF4">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含义</w:t>
            </w:r>
          </w:p>
        </w:tc>
      </w:tr>
      <w:tr w14:paraId="4D72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14:paraId="030B5A77">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w:t>
            </w:r>
          </w:p>
        </w:tc>
        <w:tc>
          <w:tcPr>
            <w:tcW w:w="1320" w:type="dxa"/>
            <w:noWrap w:val="0"/>
            <w:vAlign w:val="center"/>
          </w:tcPr>
          <w:p w14:paraId="610E29FC">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w:t>
            </w:r>
          </w:p>
        </w:tc>
        <w:tc>
          <w:tcPr>
            <w:tcW w:w="3615" w:type="dxa"/>
            <w:noWrap w:val="0"/>
            <w:vAlign w:val="center"/>
          </w:tcPr>
          <w:p w14:paraId="50ACDBC0">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传输分为多帧，当前为中间帧</w:t>
            </w:r>
          </w:p>
        </w:tc>
      </w:tr>
      <w:tr w14:paraId="16C0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14:paraId="3E3C3CBB">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w:t>
            </w:r>
          </w:p>
        </w:tc>
        <w:tc>
          <w:tcPr>
            <w:tcW w:w="1320" w:type="dxa"/>
            <w:noWrap w:val="0"/>
            <w:vAlign w:val="center"/>
          </w:tcPr>
          <w:p w14:paraId="5329CCB9">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3615" w:type="dxa"/>
            <w:noWrap w:val="0"/>
            <w:vAlign w:val="center"/>
          </w:tcPr>
          <w:p w14:paraId="63D091FE">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传输分为多帧，当前为结束帧</w:t>
            </w:r>
          </w:p>
        </w:tc>
      </w:tr>
      <w:tr w14:paraId="68ED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14:paraId="211EBB6B">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1320" w:type="dxa"/>
            <w:noWrap w:val="0"/>
            <w:vAlign w:val="center"/>
          </w:tcPr>
          <w:p w14:paraId="275E2847">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w:t>
            </w:r>
          </w:p>
        </w:tc>
        <w:tc>
          <w:tcPr>
            <w:tcW w:w="3615" w:type="dxa"/>
            <w:noWrap w:val="0"/>
            <w:vAlign w:val="center"/>
          </w:tcPr>
          <w:p w14:paraId="1146E890">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传输分为多帧，当前为第1帧，还有后续帧</w:t>
            </w:r>
          </w:p>
        </w:tc>
      </w:tr>
      <w:tr w14:paraId="236C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14:paraId="627867BB">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1320" w:type="dxa"/>
            <w:noWrap w:val="0"/>
            <w:vAlign w:val="center"/>
          </w:tcPr>
          <w:p w14:paraId="77C94EAE">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3615" w:type="dxa"/>
            <w:noWrap w:val="0"/>
            <w:vAlign w:val="center"/>
          </w:tcPr>
          <w:p w14:paraId="0FCF9EA7">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未分帧</w:t>
            </w:r>
          </w:p>
        </w:tc>
      </w:tr>
    </w:tbl>
    <w:p w14:paraId="436950A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帧流水号：由4个位组成，取值0~15。用于标识数据帧通信流水号，终端每执行一次发送流水号加1，超过15后归0。</w:t>
      </w:r>
    </w:p>
    <w:p w14:paraId="1495EC3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注意：重发数据帧流水号也应该加1，数据帧应使用指令MID来进行标识。</w:t>
      </w:r>
    </w:p>
    <w:p w14:paraId="510A732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495" w:name="_Toc13342"/>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3.1.5 协议版本</w:t>
      </w:r>
      <w:bookmarkEnd w:id="495"/>
    </w:p>
    <w:p w14:paraId="77F9959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协议版本号用于兼容性识别，版本号由1个字节组成，其中高4位表示主版本号，低4位表示子版本号。</w:t>
      </w:r>
    </w:p>
    <w:p w14:paraId="7D43DA5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必须正确上报该版本号信息，通信帧中版本号应使用该协议当前版本号。</w:t>
      </w:r>
    </w:p>
    <w:tbl>
      <w:tblPr>
        <w:tblStyle w:val="4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14:paraId="30D6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2" w:type="dxa"/>
            <w:noWrap w:val="0"/>
            <w:vAlign w:val="center"/>
          </w:tcPr>
          <w:p w14:paraId="441389F8">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7</w:t>
            </w:r>
          </w:p>
        </w:tc>
        <w:tc>
          <w:tcPr>
            <w:tcW w:w="1152" w:type="dxa"/>
            <w:noWrap w:val="0"/>
            <w:vAlign w:val="center"/>
          </w:tcPr>
          <w:p w14:paraId="75F606A0">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1152" w:type="dxa"/>
            <w:noWrap w:val="0"/>
            <w:vAlign w:val="center"/>
          </w:tcPr>
          <w:p w14:paraId="1DB23C4D">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1152" w:type="dxa"/>
            <w:noWrap w:val="0"/>
            <w:vAlign w:val="center"/>
          </w:tcPr>
          <w:p w14:paraId="7426635A">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1152" w:type="dxa"/>
            <w:noWrap w:val="0"/>
            <w:vAlign w:val="center"/>
          </w:tcPr>
          <w:p w14:paraId="1C068AF4">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152" w:type="dxa"/>
            <w:noWrap w:val="0"/>
            <w:vAlign w:val="center"/>
          </w:tcPr>
          <w:p w14:paraId="3AD84A5F">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w:t>
            </w:r>
          </w:p>
        </w:tc>
        <w:tc>
          <w:tcPr>
            <w:tcW w:w="1152" w:type="dxa"/>
            <w:noWrap w:val="0"/>
            <w:vAlign w:val="center"/>
          </w:tcPr>
          <w:p w14:paraId="16DE9390">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1152" w:type="dxa"/>
            <w:noWrap w:val="0"/>
            <w:vAlign w:val="center"/>
          </w:tcPr>
          <w:p w14:paraId="6F1F8D5E">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w:t>
            </w:r>
          </w:p>
        </w:tc>
      </w:tr>
      <w:tr w14:paraId="7590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8" w:type="dxa"/>
            <w:gridSpan w:val="4"/>
            <w:noWrap w:val="0"/>
            <w:vAlign w:val="center"/>
          </w:tcPr>
          <w:p w14:paraId="0844D64B">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主版本号</w:t>
            </w:r>
          </w:p>
        </w:tc>
        <w:tc>
          <w:tcPr>
            <w:tcW w:w="4608" w:type="dxa"/>
            <w:gridSpan w:val="4"/>
            <w:noWrap w:val="0"/>
            <w:vAlign w:val="center"/>
          </w:tcPr>
          <w:p w14:paraId="3E986CD1">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子版本号</w:t>
            </w:r>
          </w:p>
        </w:tc>
      </w:tr>
    </w:tbl>
    <w:p w14:paraId="731BE6C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在协议版本更新和修订时涉及到原数据结构调整的将更新主版本号，不影响原数据结构或不影响原主要指令的修订将更新子版本号。</w:t>
      </w:r>
    </w:p>
    <w:p w14:paraId="09FE586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496" w:name="_Toc7863"/>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3.1.6 设备地址</w:t>
      </w:r>
      <w:bookmarkEnd w:id="496"/>
    </w:p>
    <w:p w14:paraId="579E608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设备地址由8字节的BCD码组成，设备地址规范如下图所示，不同类型设备需注意各部分代表不同含义。</w:t>
      </w:r>
    </w:p>
    <w:p w14:paraId="06A3635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厂商代码（1字节BCD）+年份（1字节BCD）+6字节BCD</w:t>
      </w:r>
    </w:p>
    <w:p w14:paraId="0341DD0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drawing>
          <wp:inline distT="0" distB="0" distL="114300" distR="114300">
            <wp:extent cx="4248150" cy="4311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rcRect t="31413"/>
                    <a:stretch>
                      <a:fillRect/>
                    </a:stretch>
                  </pic:blipFill>
                  <pic:spPr>
                    <a:xfrm>
                      <a:off x="0" y="0"/>
                      <a:ext cx="4248150" cy="431165"/>
                    </a:xfrm>
                    <a:prstGeom prst="rect">
                      <a:avLst/>
                    </a:prstGeom>
                    <a:noFill/>
                    <a:ln>
                      <a:noFill/>
                    </a:ln>
                  </pic:spPr>
                </pic:pic>
              </a:graphicData>
            </a:graphic>
          </wp:inline>
        </w:drawing>
      </w:r>
    </w:p>
    <w:p w14:paraId="2E13A74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设备为一体式水表（设备类型代码：1、2）：</w:t>
      </w:r>
    </w:p>
    <w:p w14:paraId="2CA1AF3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【2位厂商代码】：水表厂商代码，由信息部统一管理和分配；</w:t>
      </w:r>
    </w:p>
    <w:p w14:paraId="05ADB84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【2位年份】：水表出厂年份；</w:t>
      </w:r>
    </w:p>
    <w:p w14:paraId="04753B6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【12位厂家自编BCD码】：水表表码，与表身码、表头显示码一致；</w:t>
      </w:r>
    </w:p>
    <w:p w14:paraId="118E8CC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设备为分体式远传终端（采集智能水表）（设备类型代码：5）：</w:t>
      </w:r>
    </w:p>
    <w:p w14:paraId="6234FA0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【2位厂商代码】：远传终端厂商代码，由信息部统一管理和分配；</w:t>
      </w:r>
    </w:p>
    <w:p w14:paraId="308F8D3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【2位年份】：远传终端出厂年份；</w:t>
      </w:r>
    </w:p>
    <w:p w14:paraId="604627C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12位厂家自编BCD码】：水表表码，与表身码、表头显示码一致（可以理解为将水表表码透传到平台。具备表码输出的表头建议动态读取表头输出的表码做为此部分内容，尽量不要配置为常量值，也必须避免出现上传平台的表码与现场水表表码不符）；</w:t>
      </w:r>
    </w:p>
    <w:p w14:paraId="3E56C41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其它远传设备：</w:t>
      </w:r>
    </w:p>
    <w:p w14:paraId="37AA3B4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【2位厂商代码】：设备厂商代码，由信息部统一管理和分配；</w:t>
      </w:r>
    </w:p>
    <w:p w14:paraId="4F9D86E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【2位年份】：设备出厂年份；</w:t>
      </w:r>
    </w:p>
    <w:p w14:paraId="616F47A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【12位厂家自编BCD码】：设备出厂编号；</w:t>
      </w:r>
    </w:p>
    <w:p w14:paraId="6E82772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497" w:name="_Toc17516"/>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3.1.7 功能码</w:t>
      </w:r>
      <w:bookmarkEnd w:id="497"/>
    </w:p>
    <w:p w14:paraId="4289DE9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功能码由1个字节组成，功能码决定数据段内容。部分功能码没有数据段。下表中的功能代码为十进制表示值。</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892"/>
        <w:gridCol w:w="2011"/>
      </w:tblGrid>
      <w:tr w14:paraId="4A65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41ED9F98">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功能码</w:t>
            </w:r>
          </w:p>
        </w:tc>
        <w:tc>
          <w:tcPr>
            <w:tcW w:w="5892" w:type="dxa"/>
            <w:noWrap w:val="0"/>
            <w:vAlign w:val="center"/>
          </w:tcPr>
          <w:p w14:paraId="10EE2049">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功能码用途</w:t>
            </w:r>
          </w:p>
        </w:tc>
        <w:tc>
          <w:tcPr>
            <w:tcW w:w="2011" w:type="dxa"/>
            <w:noWrap w:val="0"/>
            <w:vAlign w:val="center"/>
          </w:tcPr>
          <w:p w14:paraId="24235AB2">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方向</w:t>
            </w:r>
          </w:p>
        </w:tc>
      </w:tr>
      <w:tr w14:paraId="7054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0459CC98">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w:t>
            </w:r>
          </w:p>
        </w:tc>
        <w:tc>
          <w:tcPr>
            <w:tcW w:w="5892" w:type="dxa"/>
            <w:noWrap w:val="0"/>
            <w:vAlign w:val="center"/>
          </w:tcPr>
          <w:p w14:paraId="0DD9A587">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保留</w:t>
            </w:r>
          </w:p>
        </w:tc>
        <w:tc>
          <w:tcPr>
            <w:tcW w:w="2011" w:type="dxa"/>
            <w:noWrap w:val="0"/>
            <w:vAlign w:val="center"/>
          </w:tcPr>
          <w:p w14:paraId="4F50D4F8">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4881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1402C7A2">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5892" w:type="dxa"/>
            <w:noWrap w:val="0"/>
            <w:vAlign w:val="center"/>
          </w:tcPr>
          <w:p w14:paraId="7E643F86">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主动上报数据指令</w:t>
            </w:r>
          </w:p>
        </w:tc>
        <w:tc>
          <w:tcPr>
            <w:tcW w:w="2011" w:type="dxa"/>
            <w:noWrap w:val="0"/>
            <w:vAlign w:val="center"/>
          </w:tcPr>
          <w:p w14:paraId="7E2A44CB">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设备发起</w:t>
            </w:r>
          </w:p>
        </w:tc>
      </w:tr>
      <w:tr w14:paraId="759C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38E7D956">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w:t>
            </w:r>
          </w:p>
        </w:tc>
        <w:tc>
          <w:tcPr>
            <w:tcW w:w="5892" w:type="dxa"/>
            <w:noWrap w:val="0"/>
            <w:vAlign w:val="center"/>
          </w:tcPr>
          <w:p w14:paraId="512E5742">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数据查询指令</w:t>
            </w:r>
          </w:p>
        </w:tc>
        <w:tc>
          <w:tcPr>
            <w:tcW w:w="2011" w:type="dxa"/>
            <w:noWrap w:val="0"/>
            <w:vAlign w:val="center"/>
          </w:tcPr>
          <w:p w14:paraId="283C99EC">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平台发起</w:t>
            </w:r>
          </w:p>
        </w:tc>
      </w:tr>
      <w:tr w14:paraId="2360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23493A21">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5892" w:type="dxa"/>
            <w:noWrap w:val="0"/>
            <w:vAlign w:val="center"/>
          </w:tcPr>
          <w:p w14:paraId="39221342">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告警上报指令</w:t>
            </w:r>
          </w:p>
        </w:tc>
        <w:tc>
          <w:tcPr>
            <w:tcW w:w="2011" w:type="dxa"/>
            <w:noWrap w:val="0"/>
            <w:vAlign w:val="center"/>
          </w:tcPr>
          <w:p w14:paraId="37D3EE8E">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设备发起</w:t>
            </w:r>
          </w:p>
        </w:tc>
      </w:tr>
      <w:tr w14:paraId="0F2B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70DE49F5">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5892" w:type="dxa"/>
            <w:noWrap w:val="0"/>
            <w:vAlign w:val="center"/>
          </w:tcPr>
          <w:p w14:paraId="1E432D44">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设置终端时钟</w:t>
            </w:r>
          </w:p>
        </w:tc>
        <w:tc>
          <w:tcPr>
            <w:tcW w:w="2011" w:type="dxa"/>
            <w:noWrap w:val="0"/>
            <w:vAlign w:val="center"/>
          </w:tcPr>
          <w:p w14:paraId="63A14292">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平台发起</w:t>
            </w:r>
          </w:p>
        </w:tc>
      </w:tr>
      <w:tr w14:paraId="7C91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6EA7B8DE">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5892" w:type="dxa"/>
            <w:noWrap w:val="0"/>
            <w:vAlign w:val="center"/>
          </w:tcPr>
          <w:p w14:paraId="105584A6">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设置历史数据存盘间隔</w:t>
            </w:r>
          </w:p>
        </w:tc>
        <w:tc>
          <w:tcPr>
            <w:tcW w:w="2011" w:type="dxa"/>
            <w:noWrap w:val="0"/>
            <w:vAlign w:val="center"/>
          </w:tcPr>
          <w:p w14:paraId="33503681">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平台发起</w:t>
            </w:r>
          </w:p>
        </w:tc>
      </w:tr>
      <w:tr w14:paraId="14B0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6FB71A27">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5892" w:type="dxa"/>
            <w:noWrap w:val="0"/>
            <w:vAlign w:val="center"/>
          </w:tcPr>
          <w:p w14:paraId="20E21B49">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设置主动上报参数</w:t>
            </w:r>
          </w:p>
        </w:tc>
        <w:tc>
          <w:tcPr>
            <w:tcW w:w="2011" w:type="dxa"/>
            <w:noWrap w:val="0"/>
            <w:vAlign w:val="center"/>
          </w:tcPr>
          <w:p w14:paraId="6F403572">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平台发起</w:t>
            </w:r>
          </w:p>
        </w:tc>
      </w:tr>
      <w:tr w14:paraId="3137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noWrap w:val="0"/>
            <w:vAlign w:val="center"/>
          </w:tcPr>
          <w:p w14:paraId="1D242D53">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7</w:t>
            </w:r>
          </w:p>
        </w:tc>
        <w:tc>
          <w:tcPr>
            <w:tcW w:w="5892" w:type="dxa"/>
            <w:noWrap w:val="0"/>
            <w:vAlign w:val="center"/>
          </w:tcPr>
          <w:p w14:paraId="10272BB8">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设置数据中心地址</w:t>
            </w:r>
          </w:p>
        </w:tc>
        <w:tc>
          <w:tcPr>
            <w:tcW w:w="2011" w:type="dxa"/>
            <w:noWrap w:val="0"/>
            <w:vAlign w:val="center"/>
          </w:tcPr>
          <w:p w14:paraId="06BF4E39">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平台发起</w:t>
            </w:r>
          </w:p>
        </w:tc>
      </w:tr>
      <w:tr w14:paraId="7F73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18A9705A">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w:t>
            </w:r>
          </w:p>
        </w:tc>
        <w:tc>
          <w:tcPr>
            <w:tcW w:w="5892" w:type="dxa"/>
            <w:noWrap w:val="0"/>
            <w:vAlign w:val="center"/>
          </w:tcPr>
          <w:p w14:paraId="7A81CE91">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设置终端工作模式</w:t>
            </w:r>
          </w:p>
        </w:tc>
        <w:tc>
          <w:tcPr>
            <w:tcW w:w="2011" w:type="dxa"/>
            <w:noWrap w:val="0"/>
            <w:vAlign w:val="center"/>
          </w:tcPr>
          <w:p w14:paraId="41F41580">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平台发起</w:t>
            </w:r>
          </w:p>
        </w:tc>
      </w:tr>
      <w:tr w14:paraId="2071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5803388B">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9</w:t>
            </w:r>
          </w:p>
        </w:tc>
        <w:tc>
          <w:tcPr>
            <w:tcW w:w="5892" w:type="dxa"/>
            <w:noWrap w:val="0"/>
            <w:vAlign w:val="center"/>
          </w:tcPr>
          <w:p w14:paraId="1598AD38">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设置终端地址</w:t>
            </w:r>
          </w:p>
        </w:tc>
        <w:tc>
          <w:tcPr>
            <w:tcW w:w="2011" w:type="dxa"/>
            <w:noWrap w:val="0"/>
            <w:vAlign w:val="center"/>
          </w:tcPr>
          <w:p w14:paraId="30A2DC61">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平台发起</w:t>
            </w:r>
          </w:p>
        </w:tc>
      </w:tr>
      <w:tr w14:paraId="022E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2C42337D">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10</w:t>
            </w:r>
          </w:p>
        </w:tc>
        <w:tc>
          <w:tcPr>
            <w:tcW w:w="5892" w:type="dxa"/>
            <w:noWrap w:val="0"/>
            <w:vAlign w:val="center"/>
          </w:tcPr>
          <w:p w14:paraId="34A1A9F9">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设置加密标志</w:t>
            </w:r>
          </w:p>
        </w:tc>
        <w:tc>
          <w:tcPr>
            <w:tcW w:w="2011" w:type="dxa"/>
            <w:noWrap w:val="0"/>
            <w:vAlign w:val="center"/>
          </w:tcPr>
          <w:p w14:paraId="77A4BB66">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平台发起</w:t>
            </w:r>
          </w:p>
        </w:tc>
      </w:tr>
      <w:tr w14:paraId="30D9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65D9362E">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11</w:t>
            </w:r>
          </w:p>
        </w:tc>
        <w:tc>
          <w:tcPr>
            <w:tcW w:w="5892" w:type="dxa"/>
            <w:noWrap w:val="0"/>
            <w:vAlign w:val="center"/>
          </w:tcPr>
          <w:p w14:paraId="12A14640">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查询历史数据存盘间隔</w:t>
            </w:r>
          </w:p>
        </w:tc>
        <w:tc>
          <w:tcPr>
            <w:tcW w:w="2011" w:type="dxa"/>
            <w:noWrap w:val="0"/>
            <w:vAlign w:val="center"/>
          </w:tcPr>
          <w:p w14:paraId="5FB25D92">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平台发起</w:t>
            </w:r>
          </w:p>
        </w:tc>
      </w:tr>
      <w:tr w14:paraId="21B7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78CBAE57">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12</w:t>
            </w:r>
          </w:p>
        </w:tc>
        <w:tc>
          <w:tcPr>
            <w:tcW w:w="5892" w:type="dxa"/>
            <w:noWrap w:val="0"/>
            <w:vAlign w:val="center"/>
          </w:tcPr>
          <w:p w14:paraId="5A02B2BC">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查询主动上报参数</w:t>
            </w:r>
          </w:p>
        </w:tc>
        <w:tc>
          <w:tcPr>
            <w:tcW w:w="2011" w:type="dxa"/>
            <w:noWrap w:val="0"/>
            <w:vAlign w:val="center"/>
          </w:tcPr>
          <w:p w14:paraId="748FBA37">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平台发起</w:t>
            </w:r>
          </w:p>
        </w:tc>
      </w:tr>
      <w:tr w14:paraId="6980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6FB670BF">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13</w:t>
            </w:r>
          </w:p>
        </w:tc>
        <w:tc>
          <w:tcPr>
            <w:tcW w:w="5892" w:type="dxa"/>
            <w:noWrap w:val="0"/>
            <w:vAlign w:val="center"/>
          </w:tcPr>
          <w:p w14:paraId="24ECB58A">
            <w:pPr>
              <w:pStyle w:val="19"/>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查询数据中心地址</w:t>
            </w:r>
          </w:p>
        </w:tc>
        <w:tc>
          <w:tcPr>
            <w:tcW w:w="2011" w:type="dxa"/>
            <w:noWrap w:val="0"/>
            <w:vAlign w:val="center"/>
          </w:tcPr>
          <w:p w14:paraId="4E5D9C4A">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平台发起</w:t>
            </w:r>
          </w:p>
        </w:tc>
      </w:tr>
    </w:tbl>
    <w:p w14:paraId="1AF24CB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498" w:name="_Toc16898"/>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3.1.8 运行参数段</w:t>
      </w:r>
      <w:bookmarkEnd w:id="498"/>
    </w:p>
    <w:p w14:paraId="72B83C6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运行参数段用于传输设备当前工作参数数据，包括电压、信号等数据。运行参数段是一个可选数据段，是否包含运行参数段由帧标识字节中的最高位进行标识。</w:t>
      </w:r>
    </w:p>
    <w:p w14:paraId="6EA221F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在分帧传输时首帧必须包含运行参数段，后续帧可以不包含运行参数段。</w:t>
      </w:r>
    </w:p>
    <w:p w14:paraId="16E9A58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运行参数段中，设备不具备条件的参数信息使用0填充。</w:t>
      </w:r>
    </w:p>
    <w:p w14:paraId="496670E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499" w:name="_Toc24461"/>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（1）设备标识</w:t>
      </w:r>
      <w:bookmarkEnd w:id="499"/>
    </w:p>
    <w:p w14:paraId="42F03B3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设备标识由1个字节组成，其中最高位表示设备工作模式，低7位表示设备类型。</w:t>
      </w:r>
    </w:p>
    <w:tbl>
      <w:tblPr>
        <w:tblStyle w:val="4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14:paraId="4CD4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2" w:type="dxa"/>
            <w:noWrap w:val="0"/>
            <w:vAlign w:val="center"/>
          </w:tcPr>
          <w:p w14:paraId="636B084A">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7</w:t>
            </w:r>
          </w:p>
        </w:tc>
        <w:tc>
          <w:tcPr>
            <w:tcW w:w="1152" w:type="dxa"/>
            <w:noWrap w:val="0"/>
            <w:vAlign w:val="center"/>
          </w:tcPr>
          <w:p w14:paraId="00F205B6">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1152" w:type="dxa"/>
            <w:noWrap w:val="0"/>
            <w:vAlign w:val="center"/>
          </w:tcPr>
          <w:p w14:paraId="21DD9C6C">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1152" w:type="dxa"/>
            <w:noWrap w:val="0"/>
            <w:vAlign w:val="center"/>
          </w:tcPr>
          <w:p w14:paraId="245296FB">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1152" w:type="dxa"/>
            <w:noWrap w:val="0"/>
            <w:vAlign w:val="center"/>
          </w:tcPr>
          <w:p w14:paraId="72A6CE51">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152" w:type="dxa"/>
            <w:noWrap w:val="0"/>
            <w:vAlign w:val="center"/>
          </w:tcPr>
          <w:p w14:paraId="5DD38FED">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w:t>
            </w:r>
          </w:p>
        </w:tc>
        <w:tc>
          <w:tcPr>
            <w:tcW w:w="1152" w:type="dxa"/>
            <w:noWrap w:val="0"/>
            <w:vAlign w:val="center"/>
          </w:tcPr>
          <w:p w14:paraId="630F37C9">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1152" w:type="dxa"/>
            <w:noWrap w:val="0"/>
            <w:vAlign w:val="center"/>
          </w:tcPr>
          <w:p w14:paraId="7F20B5C8">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w:t>
            </w:r>
          </w:p>
        </w:tc>
      </w:tr>
      <w:tr w14:paraId="511C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2" w:type="dxa"/>
            <w:noWrap w:val="0"/>
            <w:vAlign w:val="center"/>
          </w:tcPr>
          <w:p w14:paraId="67C4699C">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工作模式</w:t>
            </w:r>
          </w:p>
        </w:tc>
        <w:tc>
          <w:tcPr>
            <w:tcW w:w="8064" w:type="dxa"/>
            <w:gridSpan w:val="7"/>
            <w:noWrap w:val="0"/>
            <w:vAlign w:val="center"/>
          </w:tcPr>
          <w:p w14:paraId="52FB98E2">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设备类型代码</w:t>
            </w:r>
          </w:p>
        </w:tc>
      </w:tr>
    </w:tbl>
    <w:p w14:paraId="0B5B654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工作模式：0表示设备处于休眠工作模式，1表示设备处于长期在线待命状态。</w:t>
      </w:r>
    </w:p>
    <w:p w14:paraId="240359B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设备类型代码：表示设备种类代码，代码表见附录A。</w:t>
      </w:r>
    </w:p>
    <w:p w14:paraId="63A0D48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（2）设备电压</w:t>
      </w:r>
    </w:p>
    <w:p w14:paraId="38D0BBF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由2字节组成，高字节在前，低字节在后。设备上发时将电压放大100倍后使用整型传输，上位机解码时将数值还原。对于存在表芯电压与远传模块电压的设备，此处应为远传模块电压，表芯电压放在32H数据段。对于只有一个电压的设备，此处为32H数据段中的最新值。</w:t>
      </w:r>
    </w:p>
    <w:p w14:paraId="7EA3EB2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示例： 02H E8H = 744 * 0.01 =7.44V</w:t>
      </w:r>
    </w:p>
    <w:p w14:paraId="63F14BF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（3）信号强度</w:t>
      </w:r>
    </w:p>
    <w:p w14:paraId="522C7D4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信号强度（CSQ）由1字节组成。</w:t>
      </w:r>
    </w:p>
    <w:p w14:paraId="08F2F0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（4）接收功率</w:t>
      </w:r>
    </w:p>
    <w:p w14:paraId="344609E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信号接收功率（RSRP）由2字节组成，高字节在前，低字节在后。</w:t>
      </w:r>
    </w:p>
    <w:p w14:paraId="21C7E81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（5）信噪比</w:t>
      </w:r>
    </w:p>
    <w:p w14:paraId="4C10937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信噪比（SNR）由2字节组成，高字节在前，低字节在后。</w:t>
      </w:r>
    </w:p>
    <w:p w14:paraId="7A47990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（6）覆盖等级</w:t>
      </w:r>
    </w:p>
    <w:p w14:paraId="4411629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覆盖等级（ECL）由1字节组成。</w:t>
      </w:r>
    </w:p>
    <w:p w14:paraId="12131AC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（7）小区ID</w:t>
      </w:r>
    </w:p>
    <w:p w14:paraId="19558F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小区ID（PCI）由4字节组成，高字节在前，低字节在后。</w:t>
      </w:r>
    </w:p>
    <w:p w14:paraId="0708D7A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（8）IMEI标识</w:t>
      </w:r>
    </w:p>
    <w:p w14:paraId="03EA15B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IMEI标识由8字节BCD组成。</w:t>
      </w:r>
    </w:p>
    <w:p w14:paraId="2321E19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（9）SIM标识</w:t>
      </w:r>
    </w:p>
    <w:p w14:paraId="29FF887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SIM标识由10字节BCD组成，即ICCID。</w:t>
      </w:r>
    </w:p>
    <w:p w14:paraId="095A05B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3.1.9 指令MID</w:t>
      </w:r>
    </w:p>
    <w:p w14:paraId="7F91C81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指令MID用于识别指令任务，该值由发起方生成，接收方原码返回。指令重发MID不变。功能码01数据帧MID保持为0。</w:t>
      </w:r>
    </w:p>
    <w:p w14:paraId="5977F64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3.1.10 功能数据段</w:t>
      </w:r>
    </w:p>
    <w:p w14:paraId="18593F8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整体协议框架中规定功能数据段为可变数据格式，数据格式和长度由功能码决定。详见第5章功能</w:t>
      </w:r>
    </w:p>
    <w:p w14:paraId="331B941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3.1.11 帧校验</w:t>
      </w:r>
    </w:p>
    <w:p w14:paraId="4B7D68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帧校验和为1个字节，是从帧起始符（68H，包含68H）开始至校验字节前的所有字节的8位位组算术和，不考虑溢出位。若这些校验有一个失败，舍弃此帧，若无差错，则此帧数据有效。</w:t>
      </w:r>
    </w:p>
    <w:p w14:paraId="7543113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bookmarkStart w:id="500" w:name="_Toc2560"/>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3.2 应用数据结构</w:t>
      </w:r>
      <w:bookmarkEnd w:id="500"/>
    </w:p>
    <w:p w14:paraId="3941BEC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bookmarkStart w:id="501" w:name="_Toc28844"/>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3.2.1 功能码01（主动上报数据指令）</w:t>
      </w:r>
      <w:bookmarkEnd w:id="501"/>
    </w:p>
    <w:p w14:paraId="192649F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功能码01用于设备主动周期性上报历史或实时数据，该功能码由设备端主动发起。</w:t>
      </w:r>
    </w:p>
    <w:p w14:paraId="67AFCED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bookmarkStart w:id="502" w:name="_Toc3261"/>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（1）上行数据段格式</w:t>
      </w:r>
      <w:bookmarkEnd w:id="502"/>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65EB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DFDD3C1">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3271CECD">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1B070D64">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0F4178E3">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4434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0A7BB6E">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数据起始时间</w:t>
            </w:r>
          </w:p>
        </w:tc>
        <w:tc>
          <w:tcPr>
            <w:tcW w:w="2345" w:type="dxa"/>
            <w:noWrap w:val="0"/>
            <w:vAlign w:val="center"/>
          </w:tcPr>
          <w:p w14:paraId="2BF2C5A0">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6字节</w:t>
            </w:r>
          </w:p>
        </w:tc>
        <w:tc>
          <w:tcPr>
            <w:tcW w:w="2345" w:type="dxa"/>
            <w:noWrap w:val="0"/>
            <w:vAlign w:val="center"/>
          </w:tcPr>
          <w:p w14:paraId="3DCA9B70">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BCD码：YYMMDDHHNNSS</w:t>
            </w:r>
          </w:p>
        </w:tc>
        <w:tc>
          <w:tcPr>
            <w:tcW w:w="2345" w:type="dxa"/>
            <w:noWrap w:val="0"/>
            <w:vAlign w:val="center"/>
          </w:tcPr>
          <w:p w14:paraId="3A30FA27">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2020-01-11 12:15:30</w:t>
            </w:r>
          </w:p>
          <w:p w14:paraId="301FEC0C">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200111121530</w:t>
            </w:r>
          </w:p>
        </w:tc>
      </w:tr>
      <w:tr w14:paraId="018C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7F0D9662">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时间段个数</w:t>
            </w:r>
          </w:p>
        </w:tc>
        <w:tc>
          <w:tcPr>
            <w:tcW w:w="2345" w:type="dxa"/>
            <w:noWrap w:val="0"/>
            <w:vAlign w:val="center"/>
          </w:tcPr>
          <w:p w14:paraId="3759A742">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2345" w:type="dxa"/>
            <w:noWrap w:val="0"/>
            <w:vAlign w:val="center"/>
          </w:tcPr>
          <w:p w14:paraId="2DE0B57E">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345" w:type="dxa"/>
            <w:noWrap w:val="0"/>
            <w:vAlign w:val="center"/>
          </w:tcPr>
          <w:p w14:paraId="5068309D">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7C61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5072192">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时间间隔</w:t>
            </w:r>
          </w:p>
        </w:tc>
        <w:tc>
          <w:tcPr>
            <w:tcW w:w="2345" w:type="dxa"/>
            <w:noWrap w:val="0"/>
            <w:vAlign w:val="center"/>
          </w:tcPr>
          <w:p w14:paraId="699C18AF">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4D27E206">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高字节在前</w:t>
            </w:r>
          </w:p>
        </w:tc>
        <w:tc>
          <w:tcPr>
            <w:tcW w:w="2345" w:type="dxa"/>
            <w:noWrap w:val="0"/>
            <w:vAlign w:val="center"/>
          </w:tcPr>
          <w:p w14:paraId="639B8DC9">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41ED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B370D33">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数据类型1数据</w:t>
            </w:r>
          </w:p>
        </w:tc>
        <w:tc>
          <w:tcPr>
            <w:tcW w:w="2345" w:type="dxa"/>
            <w:noWrap w:val="0"/>
            <w:vAlign w:val="center"/>
          </w:tcPr>
          <w:p w14:paraId="07F685F0">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345" w:type="dxa"/>
            <w:noWrap w:val="0"/>
            <w:vAlign w:val="center"/>
          </w:tcPr>
          <w:p w14:paraId="643A8DC6">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见附录C</w:t>
            </w:r>
          </w:p>
        </w:tc>
        <w:tc>
          <w:tcPr>
            <w:tcW w:w="2345" w:type="dxa"/>
            <w:noWrap w:val="0"/>
            <w:vAlign w:val="center"/>
          </w:tcPr>
          <w:p w14:paraId="4558DB6D">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5F6E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46BA7E1">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数据类型2数据</w:t>
            </w:r>
          </w:p>
        </w:tc>
        <w:tc>
          <w:tcPr>
            <w:tcW w:w="2345" w:type="dxa"/>
            <w:noWrap w:val="0"/>
            <w:vAlign w:val="center"/>
          </w:tcPr>
          <w:p w14:paraId="0951F71A">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345" w:type="dxa"/>
            <w:noWrap w:val="0"/>
            <w:vAlign w:val="center"/>
          </w:tcPr>
          <w:p w14:paraId="5964FA0B">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见附录C</w:t>
            </w:r>
          </w:p>
        </w:tc>
        <w:tc>
          <w:tcPr>
            <w:tcW w:w="2345" w:type="dxa"/>
            <w:noWrap w:val="0"/>
            <w:vAlign w:val="center"/>
          </w:tcPr>
          <w:p w14:paraId="48E5573F">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74FB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52A8AEA3">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2345" w:type="dxa"/>
            <w:noWrap w:val="0"/>
            <w:vAlign w:val="center"/>
          </w:tcPr>
          <w:p w14:paraId="40D56C08">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345" w:type="dxa"/>
            <w:noWrap w:val="0"/>
            <w:vAlign w:val="center"/>
          </w:tcPr>
          <w:p w14:paraId="458908CA">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345" w:type="dxa"/>
            <w:noWrap w:val="0"/>
            <w:vAlign w:val="center"/>
          </w:tcPr>
          <w:p w14:paraId="21E0A63E">
            <w:pPr>
              <w:pStyle w:val="19"/>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2186C3FB">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03" w:name="_Toc29484"/>
      <w:bookmarkStart w:id="504" w:name="_Toc891"/>
      <w:bookmarkStart w:id="505" w:name="_Toc28171"/>
      <w:bookmarkStart w:id="506" w:name="_Toc29122"/>
      <w:bookmarkStart w:id="507" w:name="_Toc20534"/>
      <w:bookmarkStart w:id="508" w:name="_Toc16221"/>
      <w:bookmarkStart w:id="509" w:name="_Toc30219"/>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下行数据段格式</w:t>
      </w:r>
      <w:bookmarkEnd w:id="503"/>
      <w:bookmarkEnd w:id="504"/>
      <w:bookmarkEnd w:id="505"/>
      <w:bookmarkEnd w:id="506"/>
      <w:bookmarkEnd w:id="507"/>
      <w:bookmarkEnd w:id="508"/>
      <w:bookmarkEnd w:id="509"/>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58D6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3CF90C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5F83896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6FF1280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2AE071F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5D53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D3C7AB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平台当前时间</w:t>
            </w:r>
          </w:p>
        </w:tc>
        <w:tc>
          <w:tcPr>
            <w:tcW w:w="2345" w:type="dxa"/>
            <w:noWrap w:val="0"/>
            <w:vAlign w:val="center"/>
          </w:tcPr>
          <w:p w14:paraId="27F7ECD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6字节</w:t>
            </w:r>
          </w:p>
        </w:tc>
        <w:tc>
          <w:tcPr>
            <w:tcW w:w="2345" w:type="dxa"/>
            <w:noWrap w:val="0"/>
            <w:vAlign w:val="center"/>
          </w:tcPr>
          <w:p w14:paraId="15B314A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BCD码：YYMMDDHHNNSS</w:t>
            </w:r>
          </w:p>
        </w:tc>
        <w:tc>
          <w:tcPr>
            <w:tcW w:w="2345" w:type="dxa"/>
            <w:noWrap w:val="0"/>
            <w:vAlign w:val="center"/>
          </w:tcPr>
          <w:p w14:paraId="24942F6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2020-01-11 12:15:30</w:t>
            </w:r>
          </w:p>
          <w:p w14:paraId="6C811CC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200111121530</w:t>
            </w:r>
          </w:p>
        </w:tc>
      </w:tr>
    </w:tbl>
    <w:p w14:paraId="5DA21D1E">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10" w:name="_Toc23704"/>
      <w:bookmarkStart w:id="511" w:name="_Toc11760"/>
      <w:bookmarkStart w:id="512" w:name="_Toc13488"/>
      <w:bookmarkStart w:id="513" w:name="_Toc11525"/>
      <w:bookmarkStart w:id="514" w:name="_Toc8383"/>
      <w:bookmarkStart w:id="515" w:name="_Toc31195"/>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备注：设备可通过NB模组实现与基站时钟校准，也可使用该下行数据中的平台当前时间进行时钟校准。</w:t>
      </w:r>
      <w:bookmarkEnd w:id="510"/>
      <w:bookmarkEnd w:id="511"/>
      <w:bookmarkEnd w:id="512"/>
      <w:bookmarkEnd w:id="513"/>
      <w:bookmarkEnd w:id="514"/>
      <w:bookmarkEnd w:id="515"/>
    </w:p>
    <w:p w14:paraId="087185F1">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16" w:name="_Toc10083"/>
      <w:bookmarkStart w:id="517" w:name="_Toc3218"/>
      <w:bookmarkStart w:id="518" w:name="_Toc20400"/>
      <w:bookmarkStart w:id="519" w:name="_Toc21492"/>
      <w:bookmarkStart w:id="520" w:name="_Toc13493"/>
      <w:bookmarkStart w:id="521" w:name="_Toc7093"/>
      <w:bookmarkStart w:id="522" w:name="_Toc19678"/>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 xml:space="preserve">3.2.2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功能码02（数据查询指令）</w:t>
      </w:r>
      <w:bookmarkEnd w:id="516"/>
      <w:bookmarkEnd w:id="517"/>
      <w:bookmarkEnd w:id="518"/>
      <w:bookmarkEnd w:id="519"/>
      <w:bookmarkEnd w:id="520"/>
      <w:bookmarkEnd w:id="521"/>
      <w:bookmarkEnd w:id="522"/>
    </w:p>
    <w:p w14:paraId="1061D21C">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功能码02由平台主动发起，用于向设备查询某一时间节点的历史数据或实时数据。</w:t>
      </w:r>
    </w:p>
    <w:p w14:paraId="31DD78BF">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23" w:name="_Toc5819"/>
      <w:bookmarkStart w:id="524" w:name="_Toc7016"/>
      <w:bookmarkStart w:id="525" w:name="_Toc15236"/>
      <w:bookmarkStart w:id="526" w:name="_Toc14710"/>
      <w:bookmarkStart w:id="527" w:name="_Toc31884"/>
      <w:bookmarkStart w:id="528" w:name="_Toc2819"/>
      <w:bookmarkStart w:id="529" w:name="_Toc31474"/>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下行数据段格式</w:t>
      </w:r>
      <w:bookmarkEnd w:id="523"/>
      <w:bookmarkEnd w:id="524"/>
      <w:bookmarkEnd w:id="525"/>
      <w:bookmarkEnd w:id="526"/>
      <w:bookmarkEnd w:id="527"/>
      <w:bookmarkEnd w:id="528"/>
      <w:bookmarkEnd w:id="529"/>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53C8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811E33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5251975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5AD0F1C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5CCAAEA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0CAB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BA0C7B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数据起始时间</w:t>
            </w:r>
          </w:p>
        </w:tc>
        <w:tc>
          <w:tcPr>
            <w:tcW w:w="2345" w:type="dxa"/>
            <w:noWrap w:val="0"/>
            <w:vAlign w:val="center"/>
          </w:tcPr>
          <w:p w14:paraId="6BC5943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6字节</w:t>
            </w:r>
          </w:p>
        </w:tc>
        <w:tc>
          <w:tcPr>
            <w:tcW w:w="2345" w:type="dxa"/>
            <w:noWrap w:val="0"/>
            <w:vAlign w:val="center"/>
          </w:tcPr>
          <w:p w14:paraId="0BBFCDA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BCD码：YYMMDDHHNNSS</w:t>
            </w:r>
          </w:p>
        </w:tc>
        <w:tc>
          <w:tcPr>
            <w:tcW w:w="2345" w:type="dxa"/>
            <w:noWrap w:val="0"/>
            <w:vAlign w:val="center"/>
          </w:tcPr>
          <w:p w14:paraId="071C01A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2020-01-11 12:15:30</w:t>
            </w:r>
          </w:p>
          <w:p w14:paraId="40E4069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200111121530</w:t>
            </w:r>
          </w:p>
        </w:tc>
      </w:tr>
      <w:tr w14:paraId="71B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745228B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时间段个数</w:t>
            </w:r>
          </w:p>
        </w:tc>
        <w:tc>
          <w:tcPr>
            <w:tcW w:w="2345" w:type="dxa"/>
            <w:noWrap w:val="0"/>
            <w:vAlign w:val="center"/>
          </w:tcPr>
          <w:p w14:paraId="6AE3C41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2345" w:type="dxa"/>
            <w:noWrap w:val="0"/>
            <w:vAlign w:val="center"/>
          </w:tcPr>
          <w:p w14:paraId="50F6ABB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345" w:type="dxa"/>
            <w:noWrap w:val="0"/>
            <w:vAlign w:val="center"/>
          </w:tcPr>
          <w:p w14:paraId="0AC979A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w:t>
            </w:r>
          </w:p>
        </w:tc>
      </w:tr>
      <w:tr w14:paraId="680F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C2CBD5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时间间隔</w:t>
            </w:r>
          </w:p>
        </w:tc>
        <w:tc>
          <w:tcPr>
            <w:tcW w:w="2345" w:type="dxa"/>
            <w:noWrap w:val="0"/>
            <w:vAlign w:val="center"/>
          </w:tcPr>
          <w:p w14:paraId="520C2CC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3672A32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高字节在前</w:t>
            </w:r>
          </w:p>
        </w:tc>
        <w:tc>
          <w:tcPr>
            <w:tcW w:w="2345" w:type="dxa"/>
            <w:noWrap w:val="0"/>
            <w:vAlign w:val="center"/>
          </w:tcPr>
          <w:p w14:paraId="1A2A327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329ACD6A">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备注：当数据起始时间6字节BCD全部为0时返回设备当时内存实时数据，并且上报数据段中的时间为设备当前时间。</w:t>
      </w:r>
    </w:p>
    <w:p w14:paraId="2E60F83A">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30" w:name="_Toc28633"/>
      <w:bookmarkStart w:id="531" w:name="_Toc10283"/>
      <w:bookmarkStart w:id="532" w:name="_Toc19718"/>
      <w:bookmarkStart w:id="533" w:name="_Toc25367"/>
      <w:bookmarkStart w:id="534" w:name="_Toc19225"/>
      <w:bookmarkStart w:id="535" w:name="_Toc19435"/>
      <w:bookmarkStart w:id="536" w:name="_Toc7346"/>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上行数据段格式</w:t>
      </w:r>
      <w:bookmarkEnd w:id="530"/>
      <w:bookmarkEnd w:id="531"/>
      <w:bookmarkEnd w:id="532"/>
      <w:bookmarkEnd w:id="533"/>
      <w:bookmarkEnd w:id="534"/>
      <w:bookmarkEnd w:id="535"/>
      <w:bookmarkEnd w:id="536"/>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502E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D7C36C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01EF3FB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2EB59BE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7B4AB40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56F2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A8214F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数据起始时间</w:t>
            </w:r>
          </w:p>
        </w:tc>
        <w:tc>
          <w:tcPr>
            <w:tcW w:w="2345" w:type="dxa"/>
            <w:noWrap w:val="0"/>
            <w:vAlign w:val="center"/>
          </w:tcPr>
          <w:p w14:paraId="6EAE768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6字节</w:t>
            </w:r>
          </w:p>
        </w:tc>
        <w:tc>
          <w:tcPr>
            <w:tcW w:w="2345" w:type="dxa"/>
            <w:noWrap w:val="0"/>
            <w:vAlign w:val="center"/>
          </w:tcPr>
          <w:p w14:paraId="0D8E1D3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BCD码：YYMMDDHHNNSS</w:t>
            </w:r>
          </w:p>
        </w:tc>
        <w:tc>
          <w:tcPr>
            <w:tcW w:w="2345" w:type="dxa"/>
            <w:noWrap w:val="0"/>
            <w:vAlign w:val="center"/>
          </w:tcPr>
          <w:p w14:paraId="373E28D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2020-01-11 12:15:30</w:t>
            </w:r>
          </w:p>
          <w:p w14:paraId="4F850C9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200111121530</w:t>
            </w:r>
          </w:p>
        </w:tc>
      </w:tr>
      <w:tr w14:paraId="7503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FD61CF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时间段个数</w:t>
            </w:r>
          </w:p>
        </w:tc>
        <w:tc>
          <w:tcPr>
            <w:tcW w:w="2345" w:type="dxa"/>
            <w:noWrap w:val="0"/>
            <w:vAlign w:val="center"/>
          </w:tcPr>
          <w:p w14:paraId="449A07A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2345" w:type="dxa"/>
            <w:noWrap w:val="0"/>
            <w:vAlign w:val="center"/>
          </w:tcPr>
          <w:p w14:paraId="3ADDE99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345" w:type="dxa"/>
            <w:noWrap w:val="0"/>
            <w:vAlign w:val="center"/>
          </w:tcPr>
          <w:p w14:paraId="449EBCC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5BE3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9BF77E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时间间隔</w:t>
            </w:r>
          </w:p>
        </w:tc>
        <w:tc>
          <w:tcPr>
            <w:tcW w:w="2345" w:type="dxa"/>
            <w:noWrap w:val="0"/>
            <w:vAlign w:val="center"/>
          </w:tcPr>
          <w:p w14:paraId="1A4DFB2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78C32E6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高字节在前</w:t>
            </w:r>
          </w:p>
        </w:tc>
        <w:tc>
          <w:tcPr>
            <w:tcW w:w="2345" w:type="dxa"/>
            <w:noWrap w:val="0"/>
            <w:vAlign w:val="center"/>
          </w:tcPr>
          <w:p w14:paraId="5EF9AF8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77C4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04B3CB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数据类型1数据</w:t>
            </w:r>
          </w:p>
        </w:tc>
        <w:tc>
          <w:tcPr>
            <w:tcW w:w="2345" w:type="dxa"/>
            <w:noWrap w:val="0"/>
            <w:vAlign w:val="center"/>
          </w:tcPr>
          <w:p w14:paraId="67AAAE6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345" w:type="dxa"/>
            <w:noWrap w:val="0"/>
            <w:vAlign w:val="center"/>
          </w:tcPr>
          <w:p w14:paraId="27E8BC5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见附录C</w:t>
            </w:r>
          </w:p>
        </w:tc>
        <w:tc>
          <w:tcPr>
            <w:tcW w:w="2345" w:type="dxa"/>
            <w:noWrap w:val="0"/>
            <w:vAlign w:val="center"/>
          </w:tcPr>
          <w:p w14:paraId="5444506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797A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E2C828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数据类型2数据</w:t>
            </w:r>
          </w:p>
        </w:tc>
        <w:tc>
          <w:tcPr>
            <w:tcW w:w="2345" w:type="dxa"/>
            <w:noWrap w:val="0"/>
            <w:vAlign w:val="center"/>
          </w:tcPr>
          <w:p w14:paraId="4A6B59D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345" w:type="dxa"/>
            <w:noWrap w:val="0"/>
            <w:vAlign w:val="center"/>
          </w:tcPr>
          <w:p w14:paraId="0ECED13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见附录C</w:t>
            </w:r>
          </w:p>
        </w:tc>
        <w:tc>
          <w:tcPr>
            <w:tcW w:w="2345" w:type="dxa"/>
            <w:noWrap w:val="0"/>
            <w:vAlign w:val="center"/>
          </w:tcPr>
          <w:p w14:paraId="1457E83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39F2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D44FA5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2345" w:type="dxa"/>
            <w:noWrap w:val="0"/>
            <w:vAlign w:val="center"/>
          </w:tcPr>
          <w:p w14:paraId="7C6DEBF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345" w:type="dxa"/>
            <w:noWrap w:val="0"/>
            <w:vAlign w:val="center"/>
          </w:tcPr>
          <w:p w14:paraId="165473E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2345" w:type="dxa"/>
            <w:noWrap w:val="0"/>
            <w:vAlign w:val="center"/>
          </w:tcPr>
          <w:p w14:paraId="5A893C7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1ADC25CC">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备注：指令执行失败则数据段全部字节置FF、并且不用上发数据类型数据段。</w:t>
      </w:r>
    </w:p>
    <w:p w14:paraId="15E74547">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37" w:name="_Toc31941"/>
      <w:bookmarkStart w:id="538" w:name="_Toc8250"/>
      <w:bookmarkStart w:id="539" w:name="_Toc10356"/>
      <w:bookmarkStart w:id="540" w:name="_Toc1410"/>
      <w:bookmarkStart w:id="541" w:name="_Toc1607"/>
      <w:bookmarkStart w:id="542" w:name="_Toc3488"/>
      <w:bookmarkStart w:id="543" w:name="_Toc22016"/>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 xml:space="preserve">3.2.3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功能码03（告警上报指令）</w:t>
      </w:r>
      <w:bookmarkEnd w:id="537"/>
      <w:bookmarkEnd w:id="538"/>
      <w:bookmarkEnd w:id="539"/>
      <w:bookmarkEnd w:id="540"/>
      <w:bookmarkEnd w:id="541"/>
      <w:bookmarkEnd w:id="542"/>
      <w:bookmarkEnd w:id="543"/>
    </w:p>
    <w:p w14:paraId="59C56301">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告警上报指令由设备主动发起。</w:t>
      </w:r>
    </w:p>
    <w:p w14:paraId="5CA7D1A3">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44" w:name="_Toc7879"/>
      <w:bookmarkStart w:id="545" w:name="_Toc25595"/>
      <w:bookmarkStart w:id="546" w:name="_Toc6737"/>
      <w:bookmarkStart w:id="547" w:name="_Toc15190"/>
      <w:bookmarkStart w:id="548" w:name="_Toc5195"/>
      <w:bookmarkStart w:id="549" w:name="_Toc3522"/>
      <w:bookmarkStart w:id="550" w:name="_Toc3464"/>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上行数据段格式</w:t>
      </w:r>
      <w:bookmarkEnd w:id="544"/>
      <w:bookmarkEnd w:id="545"/>
      <w:bookmarkEnd w:id="546"/>
      <w:bookmarkEnd w:id="547"/>
      <w:bookmarkEnd w:id="548"/>
      <w:bookmarkEnd w:id="549"/>
      <w:bookmarkEnd w:id="550"/>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2C9E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9125101">
            <w:pPr>
              <w:pStyle w:val="19"/>
              <w:keepNext w:val="0"/>
              <w:keepLines w:val="0"/>
              <w:pageBreakBefore w:val="0"/>
              <w:widowControl w:val="0"/>
              <w:kinsoku/>
              <w:wordWrap/>
              <w:overflowPunct/>
              <w:topLinePunct w:val="0"/>
              <w:autoSpaceDE/>
              <w:autoSpaceDN/>
              <w:bidi w:val="0"/>
              <w:adjustRightInd/>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168A4551">
            <w:pPr>
              <w:pStyle w:val="19"/>
              <w:keepNext w:val="0"/>
              <w:keepLines w:val="0"/>
              <w:pageBreakBefore w:val="0"/>
              <w:widowControl w:val="0"/>
              <w:kinsoku/>
              <w:wordWrap/>
              <w:overflowPunct/>
              <w:topLinePunct w:val="0"/>
              <w:autoSpaceDE/>
              <w:autoSpaceDN/>
              <w:bidi w:val="0"/>
              <w:adjustRightInd/>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28E71AC8">
            <w:pPr>
              <w:pStyle w:val="19"/>
              <w:keepNext w:val="0"/>
              <w:keepLines w:val="0"/>
              <w:pageBreakBefore w:val="0"/>
              <w:widowControl w:val="0"/>
              <w:kinsoku/>
              <w:wordWrap/>
              <w:overflowPunct/>
              <w:topLinePunct w:val="0"/>
              <w:autoSpaceDE/>
              <w:autoSpaceDN/>
              <w:bidi w:val="0"/>
              <w:adjustRightInd/>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1C1B8E15">
            <w:pPr>
              <w:pStyle w:val="19"/>
              <w:keepNext w:val="0"/>
              <w:keepLines w:val="0"/>
              <w:pageBreakBefore w:val="0"/>
              <w:widowControl w:val="0"/>
              <w:kinsoku/>
              <w:wordWrap/>
              <w:overflowPunct/>
              <w:topLinePunct w:val="0"/>
              <w:autoSpaceDE/>
              <w:autoSpaceDN/>
              <w:bidi w:val="0"/>
              <w:adjustRightInd/>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1D7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8B3166D">
            <w:pPr>
              <w:pStyle w:val="19"/>
              <w:keepNext w:val="0"/>
              <w:keepLines w:val="0"/>
              <w:pageBreakBefore w:val="0"/>
              <w:widowControl w:val="0"/>
              <w:kinsoku/>
              <w:wordWrap/>
              <w:overflowPunct/>
              <w:topLinePunct w:val="0"/>
              <w:autoSpaceDE/>
              <w:autoSpaceDN/>
              <w:bidi w:val="0"/>
              <w:adjustRightInd/>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事件代码</w:t>
            </w:r>
          </w:p>
        </w:tc>
        <w:tc>
          <w:tcPr>
            <w:tcW w:w="2345" w:type="dxa"/>
            <w:noWrap w:val="0"/>
            <w:vAlign w:val="center"/>
          </w:tcPr>
          <w:p w14:paraId="226A71D5">
            <w:pPr>
              <w:pStyle w:val="19"/>
              <w:keepNext w:val="0"/>
              <w:keepLines w:val="0"/>
              <w:pageBreakBefore w:val="0"/>
              <w:widowControl w:val="0"/>
              <w:kinsoku/>
              <w:wordWrap/>
              <w:overflowPunct/>
              <w:topLinePunct w:val="0"/>
              <w:autoSpaceDE/>
              <w:autoSpaceDN/>
              <w:bidi w:val="0"/>
              <w:adjustRightInd/>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w:t>
            </w:r>
          </w:p>
        </w:tc>
        <w:tc>
          <w:tcPr>
            <w:tcW w:w="2345" w:type="dxa"/>
            <w:noWrap w:val="0"/>
            <w:vAlign w:val="center"/>
          </w:tcPr>
          <w:p w14:paraId="4A22ED0C">
            <w:pPr>
              <w:pStyle w:val="19"/>
              <w:keepNext w:val="0"/>
              <w:keepLines w:val="0"/>
              <w:pageBreakBefore w:val="0"/>
              <w:widowControl w:val="0"/>
              <w:kinsoku/>
              <w:wordWrap/>
              <w:overflowPunct/>
              <w:topLinePunct w:val="0"/>
              <w:autoSpaceDE/>
              <w:autoSpaceDN/>
              <w:bidi w:val="0"/>
              <w:adjustRightInd/>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高字节在前，每个二进制位代表一种事件类型。事件代码表见附录B</w:t>
            </w:r>
          </w:p>
        </w:tc>
        <w:tc>
          <w:tcPr>
            <w:tcW w:w="2345" w:type="dxa"/>
            <w:noWrap w:val="0"/>
            <w:vAlign w:val="center"/>
          </w:tcPr>
          <w:p w14:paraId="7A108E48">
            <w:pPr>
              <w:pStyle w:val="19"/>
              <w:keepNext w:val="0"/>
              <w:keepLines w:val="0"/>
              <w:pageBreakBefore w:val="0"/>
              <w:widowControl w:val="0"/>
              <w:kinsoku/>
              <w:wordWrap/>
              <w:overflowPunct/>
              <w:topLinePunct w:val="0"/>
              <w:autoSpaceDE/>
              <w:autoSpaceDN/>
              <w:bidi w:val="0"/>
              <w:adjustRightInd/>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1B5F2753">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51" w:name="_Toc3751"/>
      <w:bookmarkStart w:id="552" w:name="_Toc24026"/>
      <w:bookmarkStart w:id="553" w:name="_Toc19083"/>
      <w:bookmarkStart w:id="554" w:name="_Toc7798"/>
      <w:bookmarkStart w:id="555" w:name="_Toc3486"/>
      <w:bookmarkStart w:id="556" w:name="_Toc22381"/>
      <w:bookmarkStart w:id="557" w:name="_Toc9923"/>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下行数据段格式</w:t>
      </w:r>
      <w:bookmarkEnd w:id="551"/>
      <w:bookmarkEnd w:id="552"/>
      <w:bookmarkEnd w:id="553"/>
      <w:bookmarkEnd w:id="554"/>
      <w:bookmarkEnd w:id="555"/>
      <w:bookmarkEnd w:id="556"/>
      <w:bookmarkEnd w:id="557"/>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6EC6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08BD0F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6DA8D35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001B411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24A774D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692E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458BA7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平台当前时间</w:t>
            </w:r>
          </w:p>
        </w:tc>
        <w:tc>
          <w:tcPr>
            <w:tcW w:w="2345" w:type="dxa"/>
            <w:noWrap w:val="0"/>
            <w:vAlign w:val="center"/>
          </w:tcPr>
          <w:p w14:paraId="58EF999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6字节</w:t>
            </w:r>
          </w:p>
        </w:tc>
        <w:tc>
          <w:tcPr>
            <w:tcW w:w="2345" w:type="dxa"/>
            <w:noWrap w:val="0"/>
            <w:vAlign w:val="center"/>
          </w:tcPr>
          <w:p w14:paraId="60993BB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BCD码：YYMMDDHHNNSS</w:t>
            </w:r>
          </w:p>
        </w:tc>
        <w:tc>
          <w:tcPr>
            <w:tcW w:w="2345" w:type="dxa"/>
            <w:noWrap w:val="0"/>
            <w:vAlign w:val="center"/>
          </w:tcPr>
          <w:p w14:paraId="6DDD737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2020-01-11 12:15:30</w:t>
            </w:r>
          </w:p>
          <w:p w14:paraId="081ABDD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200111121530</w:t>
            </w:r>
          </w:p>
        </w:tc>
      </w:tr>
    </w:tbl>
    <w:p w14:paraId="185C974A">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58" w:name="_Toc25374"/>
      <w:bookmarkStart w:id="559" w:name="_Toc7058"/>
      <w:bookmarkStart w:id="560" w:name="_Toc8982"/>
      <w:bookmarkStart w:id="561" w:name="_Toc24387"/>
      <w:bookmarkStart w:id="562" w:name="_Toc950"/>
      <w:bookmarkStart w:id="563" w:name="_Toc20178"/>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 xml:space="preserve">3.2.4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功能码04（设置终端时钟）</w:t>
      </w:r>
      <w:bookmarkEnd w:id="558"/>
      <w:bookmarkEnd w:id="559"/>
      <w:bookmarkEnd w:id="560"/>
      <w:bookmarkEnd w:id="561"/>
      <w:bookmarkEnd w:id="562"/>
      <w:bookmarkEnd w:id="563"/>
    </w:p>
    <w:p w14:paraId="005F07FD">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设备可通过NB模组实现时钟同步，也可通过上报数据时平台回复的下行数据帧中的时间实现时钟同步。</w:t>
      </w:r>
    </w:p>
    <w:p w14:paraId="74524961">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除以上两种方式外本协议提供了手动设置终端时钟的方式来实现时钟同步，注意：在指令可能被缓存或滞后下发的场景下谨慎使用该方式。</w:t>
      </w:r>
    </w:p>
    <w:p w14:paraId="141E2A7A">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64" w:name="_Toc16628"/>
      <w:bookmarkStart w:id="565" w:name="_Toc32168"/>
      <w:bookmarkStart w:id="566" w:name="_Toc12694"/>
      <w:bookmarkStart w:id="567" w:name="_Toc21460"/>
      <w:bookmarkStart w:id="568" w:name="_Toc28230"/>
      <w:bookmarkStart w:id="569" w:name="_Toc32205"/>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下行数据段格式</w:t>
      </w:r>
      <w:bookmarkEnd w:id="564"/>
      <w:bookmarkEnd w:id="565"/>
      <w:bookmarkEnd w:id="566"/>
      <w:bookmarkEnd w:id="567"/>
      <w:bookmarkEnd w:id="568"/>
      <w:bookmarkEnd w:id="569"/>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6CB6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50D5626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1B8552F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451F61C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4D9E7BC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00C1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E0E040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时间</w:t>
            </w:r>
          </w:p>
        </w:tc>
        <w:tc>
          <w:tcPr>
            <w:tcW w:w="2345" w:type="dxa"/>
            <w:noWrap w:val="0"/>
            <w:vAlign w:val="center"/>
          </w:tcPr>
          <w:p w14:paraId="05924E5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6字节</w:t>
            </w:r>
          </w:p>
        </w:tc>
        <w:tc>
          <w:tcPr>
            <w:tcW w:w="2345" w:type="dxa"/>
            <w:noWrap w:val="0"/>
            <w:vAlign w:val="center"/>
          </w:tcPr>
          <w:p w14:paraId="5E2A99D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BCD码：YYMMDDHHNNSS</w:t>
            </w:r>
          </w:p>
        </w:tc>
        <w:tc>
          <w:tcPr>
            <w:tcW w:w="2345" w:type="dxa"/>
            <w:noWrap w:val="0"/>
            <w:vAlign w:val="center"/>
          </w:tcPr>
          <w:p w14:paraId="1E271AD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2020-01-11 12:15:30</w:t>
            </w:r>
          </w:p>
          <w:p w14:paraId="2D3945B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200111121530</w:t>
            </w:r>
          </w:p>
        </w:tc>
      </w:tr>
    </w:tbl>
    <w:p w14:paraId="11E290D2">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70" w:name="_Toc8501"/>
      <w:bookmarkStart w:id="571" w:name="_Toc23854"/>
      <w:bookmarkStart w:id="572" w:name="_Toc21755"/>
      <w:bookmarkStart w:id="573" w:name="_Toc284"/>
      <w:bookmarkStart w:id="574" w:name="_Toc14920"/>
      <w:bookmarkStart w:id="575" w:name="_Toc10521"/>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上行数据段格式</w:t>
      </w:r>
      <w:bookmarkEnd w:id="570"/>
      <w:bookmarkEnd w:id="571"/>
      <w:bookmarkEnd w:id="572"/>
      <w:bookmarkEnd w:id="573"/>
      <w:bookmarkEnd w:id="574"/>
      <w:bookmarkEnd w:id="575"/>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749E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112403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4DCB945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1FB81F0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24CE986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2175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9C623A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时间</w:t>
            </w:r>
          </w:p>
        </w:tc>
        <w:tc>
          <w:tcPr>
            <w:tcW w:w="2345" w:type="dxa"/>
            <w:noWrap w:val="0"/>
            <w:vAlign w:val="center"/>
          </w:tcPr>
          <w:p w14:paraId="0DA2130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6字节</w:t>
            </w:r>
          </w:p>
        </w:tc>
        <w:tc>
          <w:tcPr>
            <w:tcW w:w="2345" w:type="dxa"/>
            <w:noWrap w:val="0"/>
            <w:vAlign w:val="center"/>
          </w:tcPr>
          <w:p w14:paraId="1A6856E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成功后原码返回，失败全部置FF</w:t>
            </w:r>
          </w:p>
        </w:tc>
        <w:tc>
          <w:tcPr>
            <w:tcW w:w="2345" w:type="dxa"/>
            <w:noWrap w:val="0"/>
            <w:vAlign w:val="center"/>
          </w:tcPr>
          <w:p w14:paraId="220725F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2020-01-11 12:15:30</w:t>
            </w:r>
          </w:p>
          <w:p w14:paraId="526C2D5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200111121530</w:t>
            </w:r>
          </w:p>
        </w:tc>
      </w:tr>
    </w:tbl>
    <w:p w14:paraId="5A571F06">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备注：指令执行成功则原码返回，执行失败则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数据段全部字节置FF。</w:t>
      </w:r>
    </w:p>
    <w:p w14:paraId="27A87830">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76" w:name="_Toc21055"/>
      <w:bookmarkStart w:id="577" w:name="_Toc24171"/>
      <w:bookmarkStart w:id="578" w:name="_Toc1590"/>
      <w:bookmarkStart w:id="579" w:name="_Toc27055"/>
      <w:bookmarkStart w:id="580" w:name="_Toc18044"/>
      <w:bookmarkStart w:id="581" w:name="_Toc29264"/>
      <w:bookmarkStart w:id="582" w:name="_Toc1283"/>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 xml:space="preserve">3.2.5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功能码05（设置历史数据存盘间隔）</w:t>
      </w:r>
      <w:bookmarkEnd w:id="576"/>
      <w:bookmarkEnd w:id="577"/>
      <w:bookmarkEnd w:id="578"/>
      <w:bookmarkEnd w:id="579"/>
      <w:bookmarkEnd w:id="580"/>
      <w:bookmarkEnd w:id="581"/>
      <w:bookmarkEnd w:id="582"/>
    </w:p>
    <w:p w14:paraId="1C459CF4">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83" w:name="_Toc24030"/>
      <w:bookmarkStart w:id="584" w:name="_Toc11337"/>
      <w:bookmarkStart w:id="585" w:name="_Toc24904"/>
      <w:bookmarkStart w:id="586" w:name="_Toc30628"/>
      <w:bookmarkStart w:id="587" w:name="_Toc20223"/>
      <w:bookmarkStart w:id="588" w:name="_Toc10897"/>
      <w:bookmarkStart w:id="589" w:name="_Toc7383"/>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下行数据段格式</w:t>
      </w:r>
      <w:bookmarkEnd w:id="583"/>
      <w:bookmarkEnd w:id="584"/>
      <w:bookmarkEnd w:id="585"/>
      <w:bookmarkEnd w:id="586"/>
      <w:bookmarkEnd w:id="587"/>
      <w:bookmarkEnd w:id="588"/>
      <w:bookmarkEnd w:id="589"/>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2BB6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7DBC690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06B21C9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12EF4E3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0A0E446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754B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271822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间隔</w:t>
            </w:r>
          </w:p>
        </w:tc>
        <w:tc>
          <w:tcPr>
            <w:tcW w:w="2345" w:type="dxa"/>
            <w:noWrap w:val="0"/>
            <w:vAlign w:val="center"/>
          </w:tcPr>
          <w:p w14:paraId="6EF5118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38A162F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分钟，高字节在前</w:t>
            </w:r>
          </w:p>
        </w:tc>
        <w:tc>
          <w:tcPr>
            <w:tcW w:w="2345" w:type="dxa"/>
            <w:noWrap w:val="0"/>
            <w:vAlign w:val="center"/>
          </w:tcPr>
          <w:p w14:paraId="3F7B429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7050F2BC">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90" w:name="_Toc14217"/>
      <w:bookmarkStart w:id="591" w:name="_Toc7196"/>
      <w:bookmarkStart w:id="592" w:name="_Toc12911"/>
      <w:bookmarkStart w:id="593" w:name="_Toc15786"/>
      <w:bookmarkStart w:id="594" w:name="_Toc7893"/>
      <w:bookmarkStart w:id="595" w:name="_Toc3963"/>
      <w:bookmarkStart w:id="596" w:name="_Toc30064"/>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上行数据段格式</w:t>
      </w:r>
      <w:bookmarkEnd w:id="590"/>
      <w:bookmarkEnd w:id="591"/>
      <w:bookmarkEnd w:id="592"/>
      <w:bookmarkEnd w:id="593"/>
      <w:bookmarkEnd w:id="594"/>
      <w:bookmarkEnd w:id="595"/>
      <w:bookmarkEnd w:id="596"/>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093F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45" w:type="dxa"/>
            <w:noWrap w:val="0"/>
            <w:vAlign w:val="center"/>
          </w:tcPr>
          <w:p w14:paraId="2A2ABAD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095FCC1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5B9311F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2F81B8D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2547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1F5F89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间隔</w:t>
            </w:r>
          </w:p>
        </w:tc>
        <w:tc>
          <w:tcPr>
            <w:tcW w:w="2345" w:type="dxa"/>
            <w:noWrap w:val="0"/>
            <w:vAlign w:val="center"/>
          </w:tcPr>
          <w:p w14:paraId="27161FE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539F3D9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成功后原码返回，失败全部置FF</w:t>
            </w:r>
          </w:p>
        </w:tc>
        <w:tc>
          <w:tcPr>
            <w:tcW w:w="2345" w:type="dxa"/>
            <w:noWrap w:val="0"/>
            <w:vAlign w:val="center"/>
          </w:tcPr>
          <w:p w14:paraId="6498DE4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21CC7A85">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备注：指令执行成功则原码返回，执行失败则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数据段全部字节置FF。</w:t>
      </w:r>
    </w:p>
    <w:p w14:paraId="08E06680">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97" w:name="_Toc1581"/>
      <w:bookmarkStart w:id="598" w:name="_Toc17448"/>
      <w:bookmarkStart w:id="599" w:name="_Toc6966"/>
      <w:bookmarkStart w:id="600" w:name="_Toc19253"/>
      <w:bookmarkStart w:id="601" w:name="_Toc23298"/>
      <w:bookmarkStart w:id="602" w:name="_Toc12398"/>
      <w:bookmarkStart w:id="603" w:name="_Toc26837"/>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 xml:space="preserve">3.2.6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功能码06（设置主动上报参数）</w:t>
      </w:r>
      <w:bookmarkEnd w:id="597"/>
      <w:bookmarkEnd w:id="598"/>
      <w:bookmarkEnd w:id="599"/>
      <w:bookmarkEnd w:id="600"/>
      <w:bookmarkEnd w:id="601"/>
      <w:bookmarkEnd w:id="602"/>
      <w:bookmarkEnd w:id="603"/>
    </w:p>
    <w:p w14:paraId="59278117">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04" w:name="_Toc18052"/>
      <w:bookmarkStart w:id="605" w:name="_Toc5642"/>
      <w:bookmarkStart w:id="606" w:name="_Toc4941"/>
      <w:bookmarkStart w:id="607" w:name="_Toc29646"/>
      <w:bookmarkStart w:id="608" w:name="_Toc13040"/>
      <w:bookmarkStart w:id="609" w:name="_Toc5143"/>
      <w:bookmarkStart w:id="610" w:name="_Toc6736"/>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下行数据段格式</w:t>
      </w:r>
      <w:bookmarkEnd w:id="604"/>
      <w:bookmarkEnd w:id="605"/>
      <w:bookmarkEnd w:id="606"/>
      <w:bookmarkEnd w:id="607"/>
      <w:bookmarkEnd w:id="608"/>
      <w:bookmarkEnd w:id="609"/>
      <w:bookmarkEnd w:id="610"/>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1036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3797AB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21CDB56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1627FF6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6A30434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38F1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73A7646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开始时刻</w:t>
            </w:r>
          </w:p>
        </w:tc>
        <w:tc>
          <w:tcPr>
            <w:tcW w:w="2345" w:type="dxa"/>
            <w:noWrap w:val="0"/>
            <w:vAlign w:val="center"/>
          </w:tcPr>
          <w:p w14:paraId="32F6E2D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2345" w:type="dxa"/>
            <w:noWrap w:val="0"/>
            <w:vAlign w:val="center"/>
          </w:tcPr>
          <w:p w14:paraId="2823EB9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小时部分</w:t>
            </w:r>
          </w:p>
        </w:tc>
        <w:tc>
          <w:tcPr>
            <w:tcW w:w="2345" w:type="dxa"/>
            <w:noWrap w:val="0"/>
            <w:vAlign w:val="center"/>
          </w:tcPr>
          <w:p w14:paraId="630714D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42B3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147C3D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开始时刻</w:t>
            </w:r>
          </w:p>
        </w:tc>
        <w:tc>
          <w:tcPr>
            <w:tcW w:w="2345" w:type="dxa"/>
            <w:noWrap w:val="0"/>
            <w:vAlign w:val="center"/>
          </w:tcPr>
          <w:p w14:paraId="0888C61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2345" w:type="dxa"/>
            <w:noWrap w:val="0"/>
            <w:vAlign w:val="center"/>
          </w:tcPr>
          <w:p w14:paraId="239103C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分钟部分</w:t>
            </w:r>
          </w:p>
        </w:tc>
        <w:tc>
          <w:tcPr>
            <w:tcW w:w="2345" w:type="dxa"/>
            <w:noWrap w:val="0"/>
            <w:vAlign w:val="center"/>
          </w:tcPr>
          <w:p w14:paraId="1592F3F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751B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CFF305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上发间隔</w:t>
            </w:r>
          </w:p>
        </w:tc>
        <w:tc>
          <w:tcPr>
            <w:tcW w:w="2345" w:type="dxa"/>
            <w:noWrap w:val="0"/>
            <w:vAlign w:val="center"/>
          </w:tcPr>
          <w:p w14:paraId="5BCCF36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2364FAE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分钟，高字节在前</w:t>
            </w:r>
          </w:p>
        </w:tc>
        <w:tc>
          <w:tcPr>
            <w:tcW w:w="2345" w:type="dxa"/>
            <w:noWrap w:val="0"/>
            <w:vAlign w:val="center"/>
          </w:tcPr>
          <w:p w14:paraId="521E912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4C1C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779E6E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数据间隔</w:t>
            </w:r>
          </w:p>
        </w:tc>
        <w:tc>
          <w:tcPr>
            <w:tcW w:w="2345" w:type="dxa"/>
            <w:noWrap w:val="0"/>
            <w:vAlign w:val="center"/>
          </w:tcPr>
          <w:p w14:paraId="5F905F9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74E9851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分钟，高字节在前</w:t>
            </w:r>
          </w:p>
        </w:tc>
        <w:tc>
          <w:tcPr>
            <w:tcW w:w="2345" w:type="dxa"/>
            <w:noWrap w:val="0"/>
            <w:vAlign w:val="center"/>
          </w:tcPr>
          <w:p w14:paraId="4986591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2C3B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16EB76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离散值</w:t>
            </w:r>
          </w:p>
        </w:tc>
        <w:tc>
          <w:tcPr>
            <w:tcW w:w="2345" w:type="dxa"/>
            <w:noWrap w:val="0"/>
            <w:vAlign w:val="center"/>
          </w:tcPr>
          <w:p w14:paraId="28360EB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27E7B41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秒，高字节在前</w:t>
            </w:r>
          </w:p>
        </w:tc>
        <w:tc>
          <w:tcPr>
            <w:tcW w:w="2345" w:type="dxa"/>
            <w:noWrap w:val="0"/>
            <w:vAlign w:val="center"/>
          </w:tcPr>
          <w:p w14:paraId="6638655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2B09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253C4E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生效时长</w:t>
            </w:r>
          </w:p>
        </w:tc>
        <w:tc>
          <w:tcPr>
            <w:tcW w:w="2345" w:type="dxa"/>
            <w:noWrap w:val="0"/>
            <w:vAlign w:val="center"/>
          </w:tcPr>
          <w:p w14:paraId="5371CD8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7C3D67F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本次设置值的生效时间，高字节在前。</w:t>
            </w:r>
          </w:p>
          <w:p w14:paraId="0318189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0表示永久应用该设置值，大于0表示临时应用X分钟后自动恢复原配置。</w:t>
            </w:r>
          </w:p>
        </w:tc>
        <w:tc>
          <w:tcPr>
            <w:tcW w:w="2345" w:type="dxa"/>
            <w:noWrap w:val="0"/>
            <w:vAlign w:val="center"/>
          </w:tcPr>
          <w:p w14:paraId="7B42BC4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1FB49904">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字段说明：</w:t>
      </w:r>
    </w:p>
    <w:p w14:paraId="38846E91">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【上发间隔】：即设备拨号上报数据的间隔；</w:t>
      </w:r>
    </w:p>
    <w:p w14:paraId="18E13A65">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【数据间隔】：即上报的数据帧中每个数据的间隔时间；</w:t>
      </w:r>
    </w:p>
    <w:p w14:paraId="4CFEDC06">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【离散值】：凌晨5点至7点系上位机平台数据运算时间，因此所有终端设备的上报都应离散到0点至5点之间。设置为0或项目补充要求中未明确规定时缺省离散算法如下：</w:t>
      </w:r>
    </w:p>
    <w:p w14:paraId="712EC6B0">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H(小时部分) ＝ 终端地址最后1位数字 % 5 </w:t>
      </w:r>
    </w:p>
    <w:p w14:paraId="7071F55E">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M(分钟部分) ＝ 终端地址后第2位至后第4位 % 60</w:t>
      </w:r>
    </w:p>
    <w:p w14:paraId="4E0C6330">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S(秒钟部分) ＝ 厂商随机产生</w:t>
      </w:r>
    </w:p>
    <w:p w14:paraId="114904FC">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最终离散后上报时间点：H:M:S</w:t>
      </w:r>
    </w:p>
    <w:p w14:paraId="7677DFA0">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（说明：%为取余数操作）</w:t>
      </w:r>
    </w:p>
    <w:p w14:paraId="2CA085F4">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示例：终端地址：1020000000056789</w:t>
      </w:r>
    </w:p>
    <w:p w14:paraId="7C2104A4">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H(小时部分) ＝ 9 % 5 ＝4</w:t>
      </w:r>
    </w:p>
    <w:p w14:paraId="298C35EA">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M(分钟部分) ＝ 678 % 60 ＝18</w:t>
      </w:r>
    </w:p>
    <w:p w14:paraId="2E13CAC6">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【生效时长】：用于指示本次配置的有效时长，用于临时加快数据上报频率。</w:t>
      </w:r>
    </w:p>
    <w:p w14:paraId="19D39D1D">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关联配置：</w:t>
      </w:r>
    </w:p>
    <w:p w14:paraId="6F08682C">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对上发间隔和数据间隔的配置修改应能自动调整数据存盘间隔时间。</w:t>
      </w:r>
    </w:p>
    <w:p w14:paraId="77DEB855">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11" w:name="_Toc30602"/>
      <w:bookmarkStart w:id="612" w:name="_Toc7123"/>
      <w:bookmarkStart w:id="613" w:name="_Toc8346"/>
      <w:bookmarkStart w:id="614" w:name="_Toc1317"/>
      <w:bookmarkStart w:id="615" w:name="_Toc23581"/>
      <w:bookmarkStart w:id="616" w:name="_Toc2705"/>
      <w:bookmarkStart w:id="617" w:name="_Toc26965"/>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上行数据段格式</w:t>
      </w:r>
      <w:bookmarkEnd w:id="611"/>
      <w:bookmarkEnd w:id="612"/>
      <w:bookmarkEnd w:id="613"/>
      <w:bookmarkEnd w:id="614"/>
      <w:bookmarkEnd w:id="615"/>
      <w:bookmarkEnd w:id="616"/>
      <w:bookmarkEnd w:id="617"/>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130C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5AA1E44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1979105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7D2371F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5B46A2D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54CF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F42F4A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开始时刻</w:t>
            </w:r>
          </w:p>
        </w:tc>
        <w:tc>
          <w:tcPr>
            <w:tcW w:w="2345" w:type="dxa"/>
            <w:noWrap w:val="0"/>
            <w:vAlign w:val="center"/>
          </w:tcPr>
          <w:p w14:paraId="3BE28B6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2345" w:type="dxa"/>
            <w:noWrap w:val="0"/>
            <w:vAlign w:val="center"/>
          </w:tcPr>
          <w:p w14:paraId="3D6C505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小时部分</w:t>
            </w:r>
          </w:p>
        </w:tc>
        <w:tc>
          <w:tcPr>
            <w:tcW w:w="2345" w:type="dxa"/>
            <w:noWrap w:val="0"/>
            <w:vAlign w:val="center"/>
          </w:tcPr>
          <w:p w14:paraId="741E98A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526C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53821BF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开始时刻</w:t>
            </w:r>
          </w:p>
        </w:tc>
        <w:tc>
          <w:tcPr>
            <w:tcW w:w="2345" w:type="dxa"/>
            <w:noWrap w:val="0"/>
            <w:vAlign w:val="center"/>
          </w:tcPr>
          <w:p w14:paraId="75AC98E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2345" w:type="dxa"/>
            <w:noWrap w:val="0"/>
            <w:vAlign w:val="center"/>
          </w:tcPr>
          <w:p w14:paraId="567CD23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分钟部分</w:t>
            </w:r>
          </w:p>
        </w:tc>
        <w:tc>
          <w:tcPr>
            <w:tcW w:w="2345" w:type="dxa"/>
            <w:noWrap w:val="0"/>
            <w:vAlign w:val="center"/>
          </w:tcPr>
          <w:p w14:paraId="7380AA2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1739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BB8449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上发间隔</w:t>
            </w:r>
          </w:p>
        </w:tc>
        <w:tc>
          <w:tcPr>
            <w:tcW w:w="2345" w:type="dxa"/>
            <w:noWrap w:val="0"/>
            <w:vAlign w:val="center"/>
          </w:tcPr>
          <w:p w14:paraId="6616BC5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1C08AA6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分钟，高字节在前</w:t>
            </w:r>
          </w:p>
        </w:tc>
        <w:tc>
          <w:tcPr>
            <w:tcW w:w="2345" w:type="dxa"/>
            <w:noWrap w:val="0"/>
            <w:vAlign w:val="center"/>
          </w:tcPr>
          <w:p w14:paraId="7204971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32E2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1B9E3D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数据间隔</w:t>
            </w:r>
          </w:p>
        </w:tc>
        <w:tc>
          <w:tcPr>
            <w:tcW w:w="2345" w:type="dxa"/>
            <w:noWrap w:val="0"/>
            <w:vAlign w:val="center"/>
          </w:tcPr>
          <w:p w14:paraId="6DEA74E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0092456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分钟，高字节在前</w:t>
            </w:r>
          </w:p>
        </w:tc>
        <w:tc>
          <w:tcPr>
            <w:tcW w:w="2345" w:type="dxa"/>
            <w:noWrap w:val="0"/>
            <w:vAlign w:val="center"/>
          </w:tcPr>
          <w:p w14:paraId="3EBB06D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25CF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EEF576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离散值</w:t>
            </w:r>
          </w:p>
        </w:tc>
        <w:tc>
          <w:tcPr>
            <w:tcW w:w="2345" w:type="dxa"/>
            <w:noWrap w:val="0"/>
            <w:vAlign w:val="center"/>
          </w:tcPr>
          <w:p w14:paraId="0C3A7CD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2345" w:type="dxa"/>
            <w:noWrap w:val="0"/>
            <w:vAlign w:val="center"/>
          </w:tcPr>
          <w:p w14:paraId="43417F0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秒，高字节在前</w:t>
            </w:r>
          </w:p>
        </w:tc>
        <w:tc>
          <w:tcPr>
            <w:tcW w:w="2345" w:type="dxa"/>
            <w:noWrap w:val="0"/>
            <w:vAlign w:val="center"/>
          </w:tcPr>
          <w:p w14:paraId="415BF63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6791F3E5">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备注：指令执行成功则原码返回，执行失败则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数据段全部字节置FF。</w:t>
      </w:r>
    </w:p>
    <w:p w14:paraId="5F19898D">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18" w:name="_Toc31670"/>
      <w:bookmarkStart w:id="619" w:name="_Toc28341"/>
      <w:bookmarkStart w:id="620" w:name="_Toc9951"/>
      <w:bookmarkStart w:id="621" w:name="_Toc12999"/>
      <w:bookmarkStart w:id="622" w:name="_Toc19007"/>
      <w:bookmarkStart w:id="623" w:name="_Toc14692"/>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 xml:space="preserve">3.2.7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功能码07（设置数据中心地址）</w:t>
      </w:r>
      <w:bookmarkEnd w:id="618"/>
      <w:bookmarkEnd w:id="619"/>
      <w:bookmarkEnd w:id="620"/>
      <w:bookmarkEnd w:id="621"/>
      <w:bookmarkEnd w:id="622"/>
      <w:bookmarkEnd w:id="623"/>
    </w:p>
    <w:p w14:paraId="056E1F7E">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24" w:name="_Toc30278"/>
      <w:bookmarkStart w:id="625" w:name="_Toc4337"/>
      <w:bookmarkStart w:id="626" w:name="_Toc23454"/>
      <w:bookmarkStart w:id="627" w:name="_Toc9524"/>
      <w:bookmarkStart w:id="628" w:name="_Toc13377"/>
      <w:bookmarkStart w:id="629" w:name="_Toc10966"/>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（1）下行数据段格式</w:t>
      </w:r>
      <w:bookmarkEnd w:id="624"/>
      <w:bookmarkEnd w:id="625"/>
      <w:bookmarkEnd w:id="626"/>
      <w:bookmarkEnd w:id="627"/>
      <w:bookmarkEnd w:id="628"/>
      <w:bookmarkEnd w:id="629"/>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1405"/>
        <w:gridCol w:w="3043"/>
        <w:gridCol w:w="2632"/>
      </w:tblGrid>
      <w:tr w14:paraId="5E4A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noWrap w:val="0"/>
            <w:vAlign w:val="center"/>
          </w:tcPr>
          <w:p w14:paraId="1A8DA5C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1405" w:type="dxa"/>
            <w:noWrap w:val="0"/>
            <w:vAlign w:val="center"/>
          </w:tcPr>
          <w:p w14:paraId="002E081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3043" w:type="dxa"/>
            <w:noWrap w:val="0"/>
            <w:vAlign w:val="center"/>
          </w:tcPr>
          <w:p w14:paraId="605DC1D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632" w:type="dxa"/>
            <w:noWrap w:val="0"/>
            <w:vAlign w:val="center"/>
          </w:tcPr>
          <w:p w14:paraId="247181D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55C8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noWrap w:val="0"/>
            <w:vAlign w:val="center"/>
          </w:tcPr>
          <w:p w14:paraId="389A443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序号</w:t>
            </w:r>
          </w:p>
        </w:tc>
        <w:tc>
          <w:tcPr>
            <w:tcW w:w="1405" w:type="dxa"/>
            <w:noWrap w:val="0"/>
            <w:vAlign w:val="center"/>
          </w:tcPr>
          <w:p w14:paraId="42CBB7E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3043" w:type="dxa"/>
            <w:noWrap w:val="0"/>
            <w:vAlign w:val="center"/>
          </w:tcPr>
          <w:p w14:paraId="3E94C75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当设备支持多数据中心时使用该序号区分设置的是哪个中心地址。注意：序号0为默认数据中心，其它序号为备用中心</w:t>
            </w:r>
          </w:p>
        </w:tc>
        <w:tc>
          <w:tcPr>
            <w:tcW w:w="2632" w:type="dxa"/>
            <w:noWrap w:val="0"/>
            <w:vAlign w:val="center"/>
          </w:tcPr>
          <w:p w14:paraId="36FFCFA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w:t>
            </w:r>
          </w:p>
        </w:tc>
      </w:tr>
      <w:tr w14:paraId="0DB2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noWrap w:val="0"/>
            <w:vAlign w:val="center"/>
          </w:tcPr>
          <w:p w14:paraId="76B2C7E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数据中心地址</w:t>
            </w:r>
          </w:p>
        </w:tc>
        <w:tc>
          <w:tcPr>
            <w:tcW w:w="1405" w:type="dxa"/>
            <w:noWrap w:val="0"/>
            <w:vAlign w:val="center"/>
          </w:tcPr>
          <w:p w14:paraId="7FC3A50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不定长</w:t>
            </w:r>
          </w:p>
        </w:tc>
        <w:tc>
          <w:tcPr>
            <w:tcW w:w="3043" w:type="dxa"/>
            <w:noWrap w:val="0"/>
            <w:vAlign w:val="center"/>
          </w:tcPr>
          <w:p w14:paraId="0D7BBF7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ASCII，以\0结束</w:t>
            </w:r>
          </w:p>
        </w:tc>
        <w:tc>
          <w:tcPr>
            <w:tcW w:w="2632" w:type="dxa"/>
            <w:noWrap w:val="0"/>
            <w:vAlign w:val="center"/>
          </w:tcPr>
          <w:p w14:paraId="4E60A39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123.123.123.123:5000</w:t>
            </w:r>
          </w:p>
          <w:p w14:paraId="68DA176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http://www.dsc.com:5000</w:t>
            </w:r>
          </w:p>
        </w:tc>
      </w:tr>
    </w:tbl>
    <w:p w14:paraId="2DC37C97">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30" w:name="_Toc6235"/>
      <w:bookmarkStart w:id="631" w:name="_Toc29620"/>
      <w:bookmarkStart w:id="632" w:name="_Toc32001"/>
      <w:bookmarkStart w:id="633" w:name="_Toc1999"/>
      <w:bookmarkStart w:id="634" w:name="_Toc27802"/>
      <w:bookmarkStart w:id="635" w:name="_Toc30978"/>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上行数据段格式</w:t>
      </w:r>
      <w:bookmarkEnd w:id="630"/>
      <w:bookmarkEnd w:id="631"/>
      <w:bookmarkEnd w:id="632"/>
      <w:bookmarkEnd w:id="633"/>
      <w:bookmarkEnd w:id="634"/>
      <w:bookmarkEnd w:id="635"/>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1292"/>
        <w:gridCol w:w="3355"/>
        <w:gridCol w:w="2320"/>
      </w:tblGrid>
      <w:tr w14:paraId="7ED0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14:paraId="7A6CF43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1292" w:type="dxa"/>
            <w:noWrap w:val="0"/>
            <w:vAlign w:val="center"/>
          </w:tcPr>
          <w:p w14:paraId="5F02B0E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3355" w:type="dxa"/>
            <w:noWrap w:val="0"/>
            <w:vAlign w:val="center"/>
          </w:tcPr>
          <w:p w14:paraId="02DD08F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20" w:type="dxa"/>
            <w:noWrap w:val="0"/>
            <w:vAlign w:val="center"/>
          </w:tcPr>
          <w:p w14:paraId="54BEBC3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53B3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14:paraId="6E7758C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序号</w:t>
            </w:r>
          </w:p>
        </w:tc>
        <w:tc>
          <w:tcPr>
            <w:tcW w:w="1292" w:type="dxa"/>
            <w:noWrap w:val="0"/>
            <w:vAlign w:val="center"/>
          </w:tcPr>
          <w:p w14:paraId="7E6D506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3355" w:type="dxa"/>
            <w:noWrap w:val="0"/>
            <w:vAlign w:val="center"/>
          </w:tcPr>
          <w:p w14:paraId="031EAAA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当设备支持多数据中心时使用该序号区分设置的是哪个中心地址。注意：序号0为默认数据中心，其它序号为备用中心</w:t>
            </w:r>
          </w:p>
        </w:tc>
        <w:tc>
          <w:tcPr>
            <w:tcW w:w="2320" w:type="dxa"/>
            <w:noWrap w:val="0"/>
            <w:vAlign w:val="center"/>
          </w:tcPr>
          <w:p w14:paraId="6DC814B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w:t>
            </w:r>
          </w:p>
        </w:tc>
      </w:tr>
      <w:tr w14:paraId="08EF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14:paraId="22CF30A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数据中心地址</w:t>
            </w:r>
          </w:p>
        </w:tc>
        <w:tc>
          <w:tcPr>
            <w:tcW w:w="1292" w:type="dxa"/>
            <w:noWrap w:val="0"/>
            <w:vAlign w:val="center"/>
          </w:tcPr>
          <w:p w14:paraId="43B98CD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不定长</w:t>
            </w:r>
          </w:p>
        </w:tc>
        <w:tc>
          <w:tcPr>
            <w:tcW w:w="3355" w:type="dxa"/>
            <w:noWrap w:val="0"/>
            <w:vAlign w:val="center"/>
          </w:tcPr>
          <w:p w14:paraId="4C33B28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ASCII，以\0结束</w:t>
            </w:r>
          </w:p>
        </w:tc>
        <w:tc>
          <w:tcPr>
            <w:tcW w:w="2320" w:type="dxa"/>
            <w:noWrap w:val="0"/>
            <w:vAlign w:val="center"/>
          </w:tcPr>
          <w:p w14:paraId="21DB35B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46CD473B">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备注：指令执行成功则原码返回，执行失败则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数据段全部字节置FF。</w:t>
      </w:r>
    </w:p>
    <w:p w14:paraId="0B4B6987">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36" w:name="_Toc12779"/>
      <w:bookmarkStart w:id="637" w:name="_Toc25863"/>
      <w:bookmarkStart w:id="638" w:name="_Toc28815"/>
      <w:bookmarkStart w:id="639" w:name="_Toc26668"/>
      <w:bookmarkStart w:id="640" w:name="_Toc5959"/>
      <w:bookmarkStart w:id="641" w:name="_Toc23257"/>
      <w:bookmarkStart w:id="642" w:name="_Toc6988"/>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 xml:space="preserve">3.2.8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功能码08（设置工作模式）</w:t>
      </w:r>
      <w:bookmarkEnd w:id="636"/>
      <w:bookmarkEnd w:id="637"/>
      <w:bookmarkEnd w:id="638"/>
      <w:bookmarkEnd w:id="639"/>
      <w:bookmarkEnd w:id="640"/>
      <w:bookmarkEnd w:id="641"/>
      <w:bookmarkEnd w:id="642"/>
    </w:p>
    <w:p w14:paraId="5FBF7B9B">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43" w:name="_Toc8767"/>
      <w:bookmarkStart w:id="644" w:name="_Toc13334"/>
      <w:bookmarkStart w:id="645" w:name="_Toc25024"/>
      <w:bookmarkStart w:id="646" w:name="_Toc22586"/>
      <w:bookmarkStart w:id="647" w:name="_Toc21493"/>
      <w:bookmarkStart w:id="648" w:name="_Toc32162"/>
      <w:bookmarkStart w:id="649" w:name="_Toc4310"/>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下行数据段格式</w:t>
      </w:r>
      <w:bookmarkEnd w:id="643"/>
      <w:bookmarkEnd w:id="644"/>
      <w:bookmarkEnd w:id="645"/>
      <w:bookmarkEnd w:id="646"/>
      <w:bookmarkEnd w:id="647"/>
      <w:bookmarkEnd w:id="648"/>
      <w:bookmarkEnd w:id="649"/>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291"/>
        <w:gridCol w:w="3354"/>
        <w:gridCol w:w="2321"/>
      </w:tblGrid>
      <w:tr w14:paraId="2519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1" w:type="dxa"/>
            <w:noWrap w:val="0"/>
            <w:vAlign w:val="center"/>
          </w:tcPr>
          <w:p w14:paraId="4960747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1291" w:type="dxa"/>
            <w:noWrap w:val="0"/>
            <w:vAlign w:val="center"/>
          </w:tcPr>
          <w:p w14:paraId="4653205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3354" w:type="dxa"/>
            <w:noWrap w:val="0"/>
            <w:vAlign w:val="center"/>
          </w:tcPr>
          <w:p w14:paraId="5FD1C69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21" w:type="dxa"/>
            <w:noWrap w:val="0"/>
            <w:vAlign w:val="center"/>
          </w:tcPr>
          <w:p w14:paraId="580F4E2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3509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14:paraId="536CD46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工作模式</w:t>
            </w:r>
          </w:p>
        </w:tc>
        <w:tc>
          <w:tcPr>
            <w:tcW w:w="1291" w:type="dxa"/>
            <w:noWrap w:val="0"/>
            <w:vAlign w:val="center"/>
          </w:tcPr>
          <w:p w14:paraId="0D7E77F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3354" w:type="dxa"/>
            <w:noWrap w:val="0"/>
            <w:vAlign w:val="center"/>
          </w:tcPr>
          <w:p w14:paraId="27471D8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0表示设备处于休眠工作模式，1表示设备处于长期在线待命状态。</w:t>
            </w:r>
          </w:p>
        </w:tc>
        <w:tc>
          <w:tcPr>
            <w:tcW w:w="2321" w:type="dxa"/>
            <w:noWrap w:val="0"/>
            <w:vAlign w:val="center"/>
          </w:tcPr>
          <w:p w14:paraId="381934A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46B1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14:paraId="40FF055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生效时长</w:t>
            </w:r>
          </w:p>
        </w:tc>
        <w:tc>
          <w:tcPr>
            <w:tcW w:w="1291" w:type="dxa"/>
            <w:noWrap w:val="0"/>
            <w:vAlign w:val="center"/>
          </w:tcPr>
          <w:p w14:paraId="4118C79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3354" w:type="dxa"/>
            <w:noWrap w:val="0"/>
            <w:vAlign w:val="center"/>
          </w:tcPr>
          <w:p w14:paraId="59850EF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本次设置值的生效时间，高字节在前。</w:t>
            </w:r>
          </w:p>
          <w:p w14:paraId="24D2071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0表示永久应用该设置值，大于0表示临时应用X分钟数后自动恢复原配置。</w:t>
            </w:r>
          </w:p>
        </w:tc>
        <w:tc>
          <w:tcPr>
            <w:tcW w:w="2321" w:type="dxa"/>
            <w:noWrap w:val="0"/>
            <w:vAlign w:val="center"/>
          </w:tcPr>
          <w:p w14:paraId="2DBCD75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6674129B">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50" w:name="_Toc10329"/>
      <w:bookmarkStart w:id="651" w:name="_Toc8548"/>
      <w:bookmarkStart w:id="652" w:name="_Toc28001"/>
      <w:bookmarkStart w:id="653" w:name="_Toc23977"/>
      <w:bookmarkStart w:id="654" w:name="_Toc5747"/>
      <w:bookmarkStart w:id="655" w:name="_Toc10633"/>
      <w:bookmarkStart w:id="656" w:name="_Toc21643"/>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上行数据段格式</w:t>
      </w:r>
      <w:bookmarkEnd w:id="650"/>
      <w:bookmarkEnd w:id="651"/>
      <w:bookmarkEnd w:id="652"/>
      <w:bookmarkEnd w:id="653"/>
      <w:bookmarkEnd w:id="654"/>
      <w:bookmarkEnd w:id="655"/>
      <w:bookmarkEnd w:id="656"/>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291"/>
        <w:gridCol w:w="3354"/>
        <w:gridCol w:w="2321"/>
      </w:tblGrid>
      <w:tr w14:paraId="1B8E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14:paraId="4F692F1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1291" w:type="dxa"/>
            <w:noWrap w:val="0"/>
            <w:vAlign w:val="center"/>
          </w:tcPr>
          <w:p w14:paraId="466B2EA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3354" w:type="dxa"/>
            <w:noWrap w:val="0"/>
            <w:vAlign w:val="center"/>
          </w:tcPr>
          <w:p w14:paraId="59F7333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21" w:type="dxa"/>
            <w:noWrap w:val="0"/>
            <w:vAlign w:val="center"/>
          </w:tcPr>
          <w:p w14:paraId="328DDF7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00BC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14:paraId="0F5A293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工作模式</w:t>
            </w:r>
          </w:p>
        </w:tc>
        <w:tc>
          <w:tcPr>
            <w:tcW w:w="1291" w:type="dxa"/>
            <w:noWrap w:val="0"/>
            <w:vAlign w:val="center"/>
          </w:tcPr>
          <w:p w14:paraId="6F4B6C6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3354" w:type="dxa"/>
            <w:noWrap w:val="0"/>
            <w:vAlign w:val="center"/>
          </w:tcPr>
          <w:p w14:paraId="0E84B2B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成功后原码返回，失败全部置FF</w:t>
            </w:r>
          </w:p>
        </w:tc>
        <w:tc>
          <w:tcPr>
            <w:tcW w:w="2321" w:type="dxa"/>
            <w:noWrap w:val="0"/>
            <w:vAlign w:val="center"/>
          </w:tcPr>
          <w:p w14:paraId="2FCA9B6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45B3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14:paraId="4B0DA5D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生效时长</w:t>
            </w:r>
          </w:p>
        </w:tc>
        <w:tc>
          <w:tcPr>
            <w:tcW w:w="1291" w:type="dxa"/>
            <w:noWrap w:val="0"/>
            <w:vAlign w:val="center"/>
          </w:tcPr>
          <w:p w14:paraId="59316DA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3354" w:type="dxa"/>
            <w:noWrap w:val="0"/>
            <w:vAlign w:val="center"/>
          </w:tcPr>
          <w:p w14:paraId="1AF5C68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成功后原码返回，失败全部置FF</w:t>
            </w:r>
          </w:p>
        </w:tc>
        <w:tc>
          <w:tcPr>
            <w:tcW w:w="2321" w:type="dxa"/>
            <w:noWrap w:val="0"/>
            <w:vAlign w:val="center"/>
          </w:tcPr>
          <w:p w14:paraId="703AE36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495A9AB6">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备注：指令执行成功则原码返回，执行失败则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数据段全部字节置FF。</w:t>
      </w:r>
    </w:p>
    <w:p w14:paraId="33A78B83">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57" w:name="_Toc31757"/>
      <w:bookmarkStart w:id="658" w:name="_Toc198"/>
      <w:bookmarkStart w:id="659" w:name="_Toc12094"/>
      <w:bookmarkStart w:id="660" w:name="_Toc12159"/>
      <w:bookmarkStart w:id="661" w:name="_Toc10952"/>
      <w:bookmarkStart w:id="662" w:name="_Toc11953"/>
      <w:bookmarkStart w:id="663" w:name="_Toc22512"/>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 xml:space="preserve">3.2.9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功能码09（设置设备地址）</w:t>
      </w:r>
      <w:bookmarkEnd w:id="657"/>
      <w:bookmarkEnd w:id="658"/>
      <w:bookmarkEnd w:id="659"/>
      <w:bookmarkEnd w:id="660"/>
      <w:bookmarkEnd w:id="661"/>
      <w:bookmarkEnd w:id="662"/>
      <w:bookmarkEnd w:id="663"/>
    </w:p>
    <w:p w14:paraId="169489F8">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设置设备地址指令用于非NB水表应用场景，NB水表表码通常不允许修改，所以NB水表不需实现该指令。</w:t>
      </w:r>
    </w:p>
    <w:p w14:paraId="318EADF2">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64" w:name="_Toc25359"/>
      <w:bookmarkStart w:id="665" w:name="_Toc5148"/>
      <w:bookmarkStart w:id="666" w:name="_Toc10939"/>
      <w:bookmarkStart w:id="667" w:name="_Toc27761"/>
      <w:bookmarkStart w:id="668" w:name="_Toc30923"/>
      <w:bookmarkStart w:id="669" w:name="_Toc27759"/>
      <w:bookmarkStart w:id="670" w:name="_Toc11979"/>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下行数据段格式</w:t>
      </w:r>
      <w:bookmarkEnd w:id="664"/>
      <w:bookmarkEnd w:id="665"/>
      <w:bookmarkEnd w:id="666"/>
      <w:bookmarkEnd w:id="667"/>
      <w:bookmarkEnd w:id="668"/>
      <w:bookmarkEnd w:id="669"/>
      <w:bookmarkEnd w:id="670"/>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193F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744EEB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47776E4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5415459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163DFFD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5124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D73423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设备地址</w:t>
            </w:r>
          </w:p>
        </w:tc>
        <w:tc>
          <w:tcPr>
            <w:tcW w:w="2345" w:type="dxa"/>
            <w:noWrap w:val="0"/>
            <w:vAlign w:val="center"/>
          </w:tcPr>
          <w:p w14:paraId="706C554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w:t>
            </w:r>
          </w:p>
        </w:tc>
        <w:tc>
          <w:tcPr>
            <w:tcW w:w="2345" w:type="dxa"/>
            <w:noWrap w:val="0"/>
            <w:vAlign w:val="center"/>
          </w:tcPr>
          <w:p w14:paraId="7597541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BCD码，符合4.1.6章节中设备地址相关规则</w:t>
            </w:r>
          </w:p>
        </w:tc>
        <w:tc>
          <w:tcPr>
            <w:tcW w:w="2345" w:type="dxa"/>
            <w:noWrap w:val="0"/>
            <w:vAlign w:val="center"/>
          </w:tcPr>
          <w:p w14:paraId="4934F5C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2E7E76D6">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71" w:name="_Toc3298"/>
      <w:bookmarkStart w:id="672" w:name="_Toc14649"/>
      <w:bookmarkStart w:id="673" w:name="_Toc12181"/>
      <w:bookmarkStart w:id="674" w:name="_Toc29801"/>
      <w:bookmarkStart w:id="675" w:name="_Toc22885"/>
      <w:bookmarkStart w:id="676" w:name="_Toc29004"/>
      <w:bookmarkStart w:id="677" w:name="_Toc10385"/>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上行数据段格式</w:t>
      </w:r>
      <w:bookmarkEnd w:id="671"/>
      <w:bookmarkEnd w:id="672"/>
      <w:bookmarkEnd w:id="673"/>
      <w:bookmarkEnd w:id="674"/>
      <w:bookmarkEnd w:id="675"/>
      <w:bookmarkEnd w:id="676"/>
      <w:bookmarkEnd w:id="677"/>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3E73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703B03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01607EC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304A231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583EC00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1998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59A8C33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设备地址</w:t>
            </w:r>
          </w:p>
        </w:tc>
        <w:tc>
          <w:tcPr>
            <w:tcW w:w="2345" w:type="dxa"/>
            <w:noWrap w:val="0"/>
            <w:vAlign w:val="center"/>
          </w:tcPr>
          <w:p w14:paraId="4001383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w:t>
            </w:r>
          </w:p>
        </w:tc>
        <w:tc>
          <w:tcPr>
            <w:tcW w:w="2345" w:type="dxa"/>
            <w:noWrap w:val="0"/>
            <w:vAlign w:val="center"/>
          </w:tcPr>
          <w:p w14:paraId="04E3133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成功后原码返回，失败全部置FF</w:t>
            </w:r>
          </w:p>
        </w:tc>
        <w:tc>
          <w:tcPr>
            <w:tcW w:w="2345" w:type="dxa"/>
            <w:noWrap w:val="0"/>
            <w:vAlign w:val="center"/>
          </w:tcPr>
          <w:p w14:paraId="1199506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3F7EFE58">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备注：指令执行成功则原码返回，执行失败则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数据段全部字节置FF。</w:t>
      </w:r>
    </w:p>
    <w:p w14:paraId="6A48C4D6">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78" w:name="_Toc16527"/>
      <w:bookmarkStart w:id="679" w:name="_Toc1835"/>
      <w:bookmarkStart w:id="680" w:name="_Toc8965"/>
      <w:bookmarkStart w:id="681" w:name="_Toc18006"/>
      <w:bookmarkStart w:id="682" w:name="_Toc12651"/>
      <w:bookmarkStart w:id="683" w:name="_Toc19744"/>
      <w:bookmarkStart w:id="684" w:name="_Toc5712"/>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 xml:space="preserve">3.2.10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功能码10（设置加密标志）</w:t>
      </w:r>
      <w:bookmarkEnd w:id="678"/>
      <w:bookmarkEnd w:id="679"/>
      <w:bookmarkEnd w:id="680"/>
      <w:bookmarkEnd w:id="681"/>
      <w:bookmarkEnd w:id="682"/>
      <w:bookmarkEnd w:id="683"/>
      <w:bookmarkEnd w:id="684"/>
    </w:p>
    <w:p w14:paraId="7B6FD732">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85" w:name="_Toc13663"/>
      <w:bookmarkStart w:id="686" w:name="_Toc12512"/>
      <w:bookmarkStart w:id="687" w:name="_Toc12561"/>
      <w:bookmarkStart w:id="688" w:name="_Toc27683"/>
      <w:bookmarkStart w:id="689" w:name="_Toc25767"/>
      <w:bookmarkStart w:id="690" w:name="_Toc3083"/>
      <w:bookmarkStart w:id="691" w:name="_Toc16362"/>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下行数据段格式</w:t>
      </w:r>
      <w:bookmarkEnd w:id="685"/>
      <w:bookmarkEnd w:id="686"/>
      <w:bookmarkEnd w:id="687"/>
      <w:bookmarkEnd w:id="688"/>
      <w:bookmarkEnd w:id="689"/>
      <w:bookmarkEnd w:id="690"/>
      <w:bookmarkEnd w:id="691"/>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02F6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47E070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6283B48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0482BF5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35DE9A5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7F5D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CD25A2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加密标志</w:t>
            </w:r>
          </w:p>
        </w:tc>
        <w:tc>
          <w:tcPr>
            <w:tcW w:w="2345" w:type="dxa"/>
            <w:noWrap w:val="0"/>
            <w:vAlign w:val="center"/>
          </w:tcPr>
          <w:p w14:paraId="3288DD8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2345" w:type="dxa"/>
            <w:noWrap w:val="0"/>
            <w:vAlign w:val="center"/>
          </w:tcPr>
          <w:p w14:paraId="1804F66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取值1表示设备启用数据段加密，0表示不加密</w:t>
            </w:r>
          </w:p>
        </w:tc>
        <w:tc>
          <w:tcPr>
            <w:tcW w:w="2345" w:type="dxa"/>
            <w:noWrap w:val="0"/>
            <w:vAlign w:val="center"/>
          </w:tcPr>
          <w:p w14:paraId="395CAFC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17B1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7669AD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新密钥</w:t>
            </w:r>
          </w:p>
        </w:tc>
        <w:tc>
          <w:tcPr>
            <w:tcW w:w="2345" w:type="dxa"/>
            <w:noWrap w:val="0"/>
            <w:vAlign w:val="center"/>
          </w:tcPr>
          <w:p w14:paraId="34A4A42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16字节ASCII</w:t>
            </w:r>
          </w:p>
        </w:tc>
        <w:tc>
          <w:tcPr>
            <w:tcW w:w="2345" w:type="dxa"/>
            <w:noWrap w:val="0"/>
            <w:vAlign w:val="center"/>
          </w:tcPr>
          <w:p w14:paraId="7810A4E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全为FF表示使用缺省密钥（即不修改密钥）</w:t>
            </w:r>
          </w:p>
        </w:tc>
        <w:tc>
          <w:tcPr>
            <w:tcW w:w="2345" w:type="dxa"/>
            <w:noWrap w:val="0"/>
            <w:vAlign w:val="center"/>
          </w:tcPr>
          <w:p w14:paraId="48A9508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29FA4DB9">
      <w:pPr>
        <w:pStyle w:val="216"/>
        <w:keepNext w:val="0"/>
        <w:keepLines w:val="0"/>
        <w:pageBreakBefore w:val="0"/>
        <w:widowControl w:val="0"/>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注意：新密钥全为FF表示仅修改加密标志，不修改密钥；</w:t>
      </w:r>
    </w:p>
    <w:p w14:paraId="4DDBF1B2">
      <w:pPr>
        <w:pStyle w:val="4"/>
        <w:keepNext w:val="0"/>
        <w:keepLines w:val="0"/>
        <w:pageBreakBefore w:val="0"/>
        <w:widowControl w:val="0"/>
        <w:numPr>
          <w:ilvl w:val="2"/>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92" w:name="_Toc20592"/>
      <w:bookmarkStart w:id="693" w:name="_Toc7934"/>
      <w:bookmarkStart w:id="694" w:name="_Toc18345"/>
      <w:bookmarkStart w:id="695" w:name="_Toc27728"/>
      <w:bookmarkStart w:id="696" w:name="_Toc9760"/>
      <w:bookmarkStart w:id="697" w:name="_Toc11610"/>
      <w:bookmarkStart w:id="698" w:name="_Toc22378"/>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上行数据段格式</w:t>
      </w:r>
      <w:bookmarkEnd w:id="692"/>
      <w:bookmarkEnd w:id="693"/>
      <w:bookmarkEnd w:id="694"/>
      <w:bookmarkEnd w:id="695"/>
      <w:bookmarkEnd w:id="696"/>
      <w:bookmarkEnd w:id="697"/>
      <w:bookmarkEnd w:id="698"/>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6B86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B394D9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3E83E90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字节数</w:t>
            </w:r>
          </w:p>
        </w:tc>
        <w:tc>
          <w:tcPr>
            <w:tcW w:w="2345" w:type="dxa"/>
            <w:noWrap w:val="0"/>
            <w:vAlign w:val="center"/>
          </w:tcPr>
          <w:p w14:paraId="2D31B6E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c>
          <w:tcPr>
            <w:tcW w:w="2345" w:type="dxa"/>
            <w:noWrap w:val="0"/>
            <w:vAlign w:val="center"/>
          </w:tcPr>
          <w:p w14:paraId="08F2528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示例</w:t>
            </w:r>
          </w:p>
        </w:tc>
      </w:tr>
      <w:tr w14:paraId="3A09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D4C4DF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加密标志</w:t>
            </w:r>
          </w:p>
        </w:tc>
        <w:tc>
          <w:tcPr>
            <w:tcW w:w="2345" w:type="dxa"/>
            <w:noWrap w:val="0"/>
            <w:vAlign w:val="center"/>
          </w:tcPr>
          <w:p w14:paraId="19FD19E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2345" w:type="dxa"/>
            <w:noWrap w:val="0"/>
            <w:vAlign w:val="center"/>
          </w:tcPr>
          <w:p w14:paraId="3E47941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成功后原码返回，失败全部置FF</w:t>
            </w:r>
          </w:p>
        </w:tc>
        <w:tc>
          <w:tcPr>
            <w:tcW w:w="2345" w:type="dxa"/>
            <w:noWrap w:val="0"/>
            <w:vAlign w:val="center"/>
          </w:tcPr>
          <w:p w14:paraId="4681AB5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09AD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8D8B6A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新密钥</w:t>
            </w:r>
          </w:p>
        </w:tc>
        <w:tc>
          <w:tcPr>
            <w:tcW w:w="2345" w:type="dxa"/>
            <w:noWrap w:val="0"/>
            <w:vAlign w:val="center"/>
          </w:tcPr>
          <w:p w14:paraId="0C12067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16字节ASCII</w:t>
            </w:r>
          </w:p>
        </w:tc>
        <w:tc>
          <w:tcPr>
            <w:tcW w:w="2345" w:type="dxa"/>
            <w:noWrap w:val="0"/>
            <w:vAlign w:val="center"/>
          </w:tcPr>
          <w:p w14:paraId="7D2846C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成功后原码返回，失败全部置FF</w:t>
            </w:r>
          </w:p>
        </w:tc>
        <w:tc>
          <w:tcPr>
            <w:tcW w:w="2345" w:type="dxa"/>
            <w:noWrap w:val="0"/>
            <w:vAlign w:val="center"/>
          </w:tcPr>
          <w:p w14:paraId="4DD53EC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7D5EBBAD">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备注：指令执行成功则原码返回，执行失败则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数据段全部字节置FF。</w:t>
      </w:r>
    </w:p>
    <w:p w14:paraId="03397FB5">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注意</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点：远程更新密钥时，本次配置指令的上行确认帧应使用原密钥进行加密，上位机平台在收到更新成功确认后正式启用新密钥对后续下行帧加密。</w:t>
      </w:r>
    </w:p>
    <w:p w14:paraId="1B64A421">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3.2.11 功能码11（查询历史数据存盘间隔）</w:t>
      </w:r>
    </w:p>
    <w:p w14:paraId="53E16F2B">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（1）下行数据段格式</w:t>
      </w:r>
    </w:p>
    <w:p w14:paraId="0D5407C4">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w:t>
      </w:r>
    </w:p>
    <w:p w14:paraId="763B0DFA">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（2）上行数据段格式</w:t>
      </w:r>
    </w:p>
    <w:p w14:paraId="1A5C8DF7">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同功能码05数据格式。</w:t>
      </w:r>
    </w:p>
    <w:p w14:paraId="0A5D3D7A">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3.2.12功能码12（查询主动上报参数）</w:t>
      </w:r>
    </w:p>
    <w:p w14:paraId="0914D218">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（1）下行数据段格式</w:t>
      </w:r>
    </w:p>
    <w:p w14:paraId="66D92391">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w:t>
      </w:r>
    </w:p>
    <w:p w14:paraId="742C6221">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（2）上行数据段格式</w:t>
      </w:r>
    </w:p>
    <w:p w14:paraId="373CBD54">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同功能码06数据格式。</w:t>
      </w:r>
    </w:p>
    <w:p w14:paraId="37EA6C09">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3.2.13功能码13（查询数据中心地址）</w:t>
      </w:r>
    </w:p>
    <w:p w14:paraId="29B04DA8">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（1）下行数据段格式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736"/>
        <w:gridCol w:w="1954"/>
      </w:tblGrid>
      <w:tr w14:paraId="6C07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noWrap w:val="0"/>
            <w:vAlign w:val="center"/>
          </w:tcPr>
          <w:p w14:paraId="434719EC">
            <w:pPr>
              <w:pStyle w:val="19"/>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b/>
                <w:bCs/>
                <w:color w:val="000000" w:themeColor="text1"/>
                <w:sz w:val="21"/>
                <w:szCs w:val="21"/>
                <w:highlight w:val="none"/>
                <w:vertAlign w:val="baseline"/>
                <w:lang w:val="en-US" w:eastAsia="zh-CN"/>
                <w14:textFill>
                  <w14:solidFill>
                    <w14:schemeClr w14:val="tx1"/>
                  </w14:solidFill>
                </w14:textFill>
              </w:rPr>
            </w:pPr>
            <w:r>
              <w:rPr>
                <w:rFonts w:hint="eastAsia"/>
                <w:b/>
                <w:bCs/>
                <w:color w:val="000000" w:themeColor="text1"/>
                <w:sz w:val="21"/>
                <w:szCs w:val="21"/>
                <w:highlight w:val="none"/>
                <w:vertAlign w:val="baseline"/>
                <w:lang w:val="en-US" w:eastAsia="zh-CN"/>
                <w14:textFill>
                  <w14:solidFill>
                    <w14:schemeClr w14:val="tx1"/>
                  </w14:solidFill>
                </w14:textFill>
              </w:rPr>
              <w:t>数据内容</w:t>
            </w:r>
          </w:p>
        </w:tc>
        <w:tc>
          <w:tcPr>
            <w:tcW w:w="2345" w:type="dxa"/>
            <w:noWrap w:val="0"/>
            <w:vAlign w:val="center"/>
          </w:tcPr>
          <w:p w14:paraId="0FD20F46">
            <w:pPr>
              <w:pStyle w:val="19"/>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b/>
                <w:bCs/>
                <w:color w:val="000000" w:themeColor="text1"/>
                <w:sz w:val="21"/>
                <w:szCs w:val="21"/>
                <w:highlight w:val="none"/>
                <w:vertAlign w:val="baseline"/>
                <w:lang w:val="en-US" w:eastAsia="zh-CN"/>
                <w14:textFill>
                  <w14:solidFill>
                    <w14:schemeClr w14:val="tx1"/>
                  </w14:solidFill>
                </w14:textFill>
              </w:rPr>
            </w:pPr>
            <w:r>
              <w:rPr>
                <w:rFonts w:hint="eastAsia"/>
                <w:b/>
                <w:bCs/>
                <w:color w:val="000000" w:themeColor="text1"/>
                <w:sz w:val="21"/>
                <w:szCs w:val="21"/>
                <w:highlight w:val="none"/>
                <w:vertAlign w:val="baseline"/>
                <w:lang w:val="en-US" w:eastAsia="zh-CN"/>
                <w14:textFill>
                  <w14:solidFill>
                    <w14:schemeClr w14:val="tx1"/>
                  </w14:solidFill>
                </w14:textFill>
              </w:rPr>
              <w:t>字节数</w:t>
            </w:r>
          </w:p>
        </w:tc>
        <w:tc>
          <w:tcPr>
            <w:tcW w:w="2736" w:type="dxa"/>
            <w:noWrap w:val="0"/>
            <w:vAlign w:val="center"/>
          </w:tcPr>
          <w:p w14:paraId="7E5E5CAF">
            <w:pPr>
              <w:pStyle w:val="19"/>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b/>
                <w:bCs/>
                <w:color w:val="000000" w:themeColor="text1"/>
                <w:sz w:val="21"/>
                <w:szCs w:val="21"/>
                <w:highlight w:val="none"/>
                <w:vertAlign w:val="baseline"/>
                <w:lang w:val="en-US" w:eastAsia="zh-CN"/>
                <w14:textFill>
                  <w14:solidFill>
                    <w14:schemeClr w14:val="tx1"/>
                  </w14:solidFill>
                </w14:textFill>
              </w:rPr>
            </w:pPr>
            <w:r>
              <w:rPr>
                <w:rFonts w:hint="eastAsia"/>
                <w:b/>
                <w:bCs/>
                <w:color w:val="000000" w:themeColor="text1"/>
                <w:sz w:val="21"/>
                <w:szCs w:val="21"/>
                <w:highlight w:val="none"/>
                <w:vertAlign w:val="baseline"/>
                <w:lang w:val="en-US" w:eastAsia="zh-CN"/>
                <w14:textFill>
                  <w14:solidFill>
                    <w14:schemeClr w14:val="tx1"/>
                  </w14:solidFill>
                </w14:textFill>
              </w:rPr>
              <w:t>说明</w:t>
            </w:r>
          </w:p>
        </w:tc>
        <w:tc>
          <w:tcPr>
            <w:tcW w:w="1954" w:type="dxa"/>
            <w:noWrap w:val="0"/>
            <w:vAlign w:val="center"/>
          </w:tcPr>
          <w:p w14:paraId="1246C3BB">
            <w:pPr>
              <w:pStyle w:val="19"/>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b/>
                <w:bCs/>
                <w:color w:val="000000" w:themeColor="text1"/>
                <w:sz w:val="21"/>
                <w:szCs w:val="21"/>
                <w:highlight w:val="none"/>
                <w:vertAlign w:val="baseline"/>
                <w:lang w:val="en-US" w:eastAsia="zh-CN"/>
                <w14:textFill>
                  <w14:solidFill>
                    <w14:schemeClr w14:val="tx1"/>
                  </w14:solidFill>
                </w14:textFill>
              </w:rPr>
            </w:pPr>
            <w:r>
              <w:rPr>
                <w:rFonts w:hint="eastAsia"/>
                <w:b/>
                <w:bCs/>
                <w:color w:val="000000" w:themeColor="text1"/>
                <w:sz w:val="21"/>
                <w:szCs w:val="21"/>
                <w:highlight w:val="none"/>
                <w:vertAlign w:val="baseline"/>
                <w:lang w:val="en-US" w:eastAsia="zh-CN"/>
                <w14:textFill>
                  <w14:solidFill>
                    <w14:schemeClr w14:val="tx1"/>
                  </w14:solidFill>
                </w14:textFill>
              </w:rPr>
              <w:t>示例</w:t>
            </w:r>
          </w:p>
        </w:tc>
      </w:tr>
      <w:tr w14:paraId="5DB5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noWrap w:val="0"/>
            <w:vAlign w:val="center"/>
          </w:tcPr>
          <w:p w14:paraId="5244EA82">
            <w:pPr>
              <w:pStyle w:val="19"/>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序号</w:t>
            </w:r>
          </w:p>
        </w:tc>
        <w:tc>
          <w:tcPr>
            <w:tcW w:w="2345" w:type="dxa"/>
            <w:noWrap w:val="0"/>
            <w:vAlign w:val="center"/>
          </w:tcPr>
          <w:p w14:paraId="54771F51">
            <w:pPr>
              <w:pStyle w:val="19"/>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1字节</w:t>
            </w:r>
          </w:p>
        </w:tc>
        <w:tc>
          <w:tcPr>
            <w:tcW w:w="2736" w:type="dxa"/>
            <w:noWrap w:val="0"/>
            <w:vAlign w:val="center"/>
          </w:tcPr>
          <w:p w14:paraId="602C0A1C">
            <w:pPr>
              <w:pStyle w:val="19"/>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当设备支持多数据中心时使用该序号区分查询的是哪个中心地址。注意：序号0为默认数据中心，其它序号为备用中心</w:t>
            </w:r>
          </w:p>
        </w:tc>
        <w:tc>
          <w:tcPr>
            <w:tcW w:w="1954" w:type="dxa"/>
            <w:noWrap w:val="0"/>
            <w:vAlign w:val="center"/>
          </w:tcPr>
          <w:p w14:paraId="017CCA75">
            <w:pPr>
              <w:pStyle w:val="19"/>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0</w:t>
            </w:r>
          </w:p>
        </w:tc>
      </w:tr>
    </w:tbl>
    <w:p w14:paraId="1B99765E">
      <w:pPr>
        <w:pStyle w:val="19"/>
        <w:keepNext w:val="0"/>
        <w:keepLines w:val="0"/>
        <w:pageBreakBefore w:val="0"/>
        <w:widowControl w:val="0"/>
        <w:kinsoku/>
        <w:wordWrap/>
        <w:topLinePunct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（2）上行数据段格式</w:t>
      </w:r>
    </w:p>
    <w:p w14:paraId="61864BD0">
      <w:pPr>
        <w:pStyle w:val="42"/>
        <w:keepNext w:val="0"/>
        <w:keepLines w:val="0"/>
        <w:pageBreakBefore w:val="0"/>
        <w:widowControl w:val="0"/>
        <w:kinsoku/>
        <w:wordWrap/>
        <w:topLinePunct w:val="0"/>
        <w:bidi w:val="0"/>
        <w:adjustRightInd w:val="0"/>
        <w:snapToGrid w:val="0"/>
        <w:spacing w:beforeAutospacing="0" w:after="0" w:line="360" w:lineRule="auto"/>
        <w:ind w:left="0" w:leftChars="0" w:right="0"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同功能码07数据格式。</w:t>
      </w:r>
    </w:p>
    <w:p w14:paraId="3FB0961D">
      <w:pPr>
        <w:pStyle w:val="42"/>
        <w:keepNext w:val="0"/>
        <w:keepLines w:val="0"/>
        <w:pageBreakBefore w:val="0"/>
        <w:widowControl w:val="0"/>
        <w:kinsoku/>
        <w:wordWrap/>
        <w:topLinePunct w:val="0"/>
        <w:bidi w:val="0"/>
        <w:adjustRightInd w:val="0"/>
        <w:snapToGrid w:val="0"/>
        <w:spacing w:beforeAutospacing="0" w:after="0" w:line="360" w:lineRule="auto"/>
        <w:ind w:left="0" w:leftChars="0" w:right="0"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3.3规约附录</w:t>
      </w:r>
    </w:p>
    <w:p w14:paraId="00D0B99E">
      <w:pPr>
        <w:pStyle w:val="217"/>
        <w:keepNext w:val="0"/>
        <w:keepLines w:val="0"/>
        <w:pageBreakBefore w:val="0"/>
        <w:widowControl w:val="0"/>
        <w:kinsoku/>
        <w:wordWrap/>
        <w:topLinePunct w:val="0"/>
        <w:bidi w:val="0"/>
        <w:adjustRightInd w:val="0"/>
        <w:snapToGrid w:val="0"/>
        <w:spacing w:before="0" w:beforeAutospacing="0" w:line="360" w:lineRule="auto"/>
        <w:ind w:right="0"/>
        <w:jc w:val="center"/>
        <w:textAlignment w:val="auto"/>
        <w:outlineLvl w:val="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99" w:name="_Toc11"/>
      <w:bookmarkStart w:id="700" w:name="_Toc14160"/>
      <w:bookmarkStart w:id="701" w:name="_Toc26903"/>
      <w:bookmarkStart w:id="702" w:name="_Toc5894"/>
      <w:bookmarkStart w:id="703" w:name="_Toc24778"/>
      <w:bookmarkStart w:id="704" w:name="_Toc7657"/>
      <w:bookmarkStart w:id="705" w:name="_Toc14646"/>
      <w:r>
        <w:rPr>
          <w:rFonts w:hint="eastAsia" w:ascii="宋体" w:hAnsi="宋体" w:eastAsia="宋体" w:cs="宋体"/>
          <w:b w:val="0"/>
          <w:bCs w:val="0"/>
          <w:color w:val="000000" w:themeColor="text1"/>
          <w:sz w:val="21"/>
          <w:szCs w:val="21"/>
          <w:highlight w:val="none"/>
          <w14:textFill>
            <w14:solidFill>
              <w14:schemeClr w14:val="tx1"/>
            </w14:solidFill>
          </w14:textFill>
        </w:rPr>
        <w:t>附录</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A</w:t>
      </w:r>
      <w:bookmarkEnd w:id="699"/>
      <w:bookmarkEnd w:id="700"/>
      <w:bookmarkEnd w:id="701"/>
      <w:bookmarkEnd w:id="702"/>
      <w:bookmarkEnd w:id="703"/>
      <w:bookmarkEnd w:id="704"/>
    </w:p>
    <w:p w14:paraId="0EFF68AD">
      <w:pPr>
        <w:pStyle w:val="217"/>
        <w:keepNext w:val="0"/>
        <w:keepLines w:val="0"/>
        <w:pageBreakBefore w:val="0"/>
        <w:widowControl w:val="0"/>
        <w:kinsoku/>
        <w:wordWrap/>
        <w:topLinePunct w:val="0"/>
        <w:bidi w:val="0"/>
        <w:adjustRightInd w:val="0"/>
        <w:snapToGrid w:val="0"/>
        <w:spacing w:before="0" w:beforeAutospacing="0" w:line="360" w:lineRule="auto"/>
        <w:ind w:right="0"/>
        <w:jc w:val="center"/>
        <w:textAlignment w:val="auto"/>
        <w:outlineLvl w:val="0"/>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706" w:name="_Toc6581"/>
      <w:bookmarkStart w:id="707" w:name="_Toc27439"/>
      <w:bookmarkStart w:id="708" w:name="_Toc12830"/>
      <w:bookmarkStart w:id="709" w:name="_Toc26941"/>
      <w:bookmarkStart w:id="710" w:name="_Toc4329"/>
      <w:bookmarkStart w:id="711" w:name="_Toc17141"/>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设备类型代码表</w:t>
      </w:r>
      <w:r>
        <w:rPr>
          <w:rFonts w:hint="eastAsia" w:ascii="宋体" w:hAnsi="宋体" w:eastAsia="宋体" w:cs="宋体"/>
          <w:b w:val="0"/>
          <w:bCs w:val="0"/>
          <w:color w:val="000000" w:themeColor="text1"/>
          <w:sz w:val="21"/>
          <w:szCs w:val="21"/>
          <w:highlight w:val="none"/>
          <w14:textFill>
            <w14:solidFill>
              <w14:schemeClr w14:val="tx1"/>
            </w14:solidFill>
          </w14:textFill>
        </w:rPr>
        <w:t>）</w:t>
      </w:r>
      <w:bookmarkEnd w:id="705"/>
      <w:bookmarkEnd w:id="706"/>
      <w:bookmarkEnd w:id="707"/>
      <w:bookmarkEnd w:id="708"/>
      <w:bookmarkEnd w:id="709"/>
      <w:bookmarkEnd w:id="710"/>
      <w:bookmarkEnd w:id="711"/>
    </w:p>
    <w:tbl>
      <w:tblPr>
        <w:tblStyle w:val="44"/>
        <w:tblW w:w="7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4461"/>
        <w:gridCol w:w="1945"/>
      </w:tblGrid>
      <w:tr w14:paraId="6FF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0406DB0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类型代码</w:t>
            </w:r>
          </w:p>
        </w:tc>
        <w:tc>
          <w:tcPr>
            <w:tcW w:w="4461" w:type="dxa"/>
            <w:noWrap w:val="0"/>
            <w:vAlign w:val="top"/>
          </w:tcPr>
          <w:p w14:paraId="013E83B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设备</w:t>
            </w:r>
          </w:p>
        </w:tc>
        <w:tc>
          <w:tcPr>
            <w:tcW w:w="1945" w:type="dxa"/>
            <w:noWrap w:val="0"/>
            <w:vAlign w:val="top"/>
          </w:tcPr>
          <w:p w14:paraId="2C6D4C2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r>
      <w:tr w14:paraId="711F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47DF397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w:t>
            </w:r>
          </w:p>
        </w:tc>
        <w:tc>
          <w:tcPr>
            <w:tcW w:w="4461" w:type="dxa"/>
            <w:noWrap w:val="0"/>
            <w:vAlign w:val="top"/>
          </w:tcPr>
          <w:p w14:paraId="565C507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系统保留</w:t>
            </w:r>
          </w:p>
        </w:tc>
        <w:tc>
          <w:tcPr>
            <w:tcW w:w="1945" w:type="dxa"/>
            <w:noWrap w:val="0"/>
            <w:vAlign w:val="top"/>
          </w:tcPr>
          <w:p w14:paraId="7CCF507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604B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463F891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4461" w:type="dxa"/>
            <w:noWrap w:val="0"/>
            <w:vAlign w:val="top"/>
          </w:tcPr>
          <w:p w14:paraId="31D8889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一体式小口径水表</w:t>
            </w:r>
          </w:p>
        </w:tc>
        <w:tc>
          <w:tcPr>
            <w:tcW w:w="1945" w:type="dxa"/>
            <w:noWrap w:val="0"/>
            <w:vAlign w:val="top"/>
          </w:tcPr>
          <w:p w14:paraId="5C96CFF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4ECA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5E11DE6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w:t>
            </w:r>
          </w:p>
        </w:tc>
        <w:tc>
          <w:tcPr>
            <w:tcW w:w="4461" w:type="dxa"/>
            <w:noWrap w:val="0"/>
            <w:vAlign w:val="top"/>
          </w:tcPr>
          <w:p w14:paraId="0310CAE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一体式大口径水表</w:t>
            </w:r>
          </w:p>
        </w:tc>
        <w:tc>
          <w:tcPr>
            <w:tcW w:w="1945" w:type="dxa"/>
            <w:noWrap w:val="0"/>
            <w:vAlign w:val="top"/>
          </w:tcPr>
          <w:p w14:paraId="7A127F2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17C9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5A7364F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4461" w:type="dxa"/>
            <w:noWrap w:val="0"/>
            <w:vAlign w:val="top"/>
          </w:tcPr>
          <w:p w14:paraId="4F83FDE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分体式小口径水表</w:t>
            </w:r>
          </w:p>
        </w:tc>
        <w:tc>
          <w:tcPr>
            <w:tcW w:w="1945" w:type="dxa"/>
            <w:noWrap w:val="0"/>
            <w:vAlign w:val="top"/>
          </w:tcPr>
          <w:p w14:paraId="4C455A7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67A1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3CB8C79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4461" w:type="dxa"/>
            <w:noWrap w:val="0"/>
            <w:vAlign w:val="top"/>
          </w:tcPr>
          <w:p w14:paraId="5E74A8C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分体式大口径水表</w:t>
            </w:r>
          </w:p>
        </w:tc>
        <w:tc>
          <w:tcPr>
            <w:tcW w:w="1945" w:type="dxa"/>
            <w:noWrap w:val="0"/>
            <w:vAlign w:val="top"/>
          </w:tcPr>
          <w:p w14:paraId="7270CDA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64D0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77713CD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4461" w:type="dxa"/>
            <w:noWrap w:val="0"/>
            <w:vAlign w:val="top"/>
          </w:tcPr>
          <w:p w14:paraId="7071753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分体式远传终端（采集智能水表）</w:t>
            </w:r>
          </w:p>
        </w:tc>
        <w:tc>
          <w:tcPr>
            <w:tcW w:w="1945" w:type="dxa"/>
            <w:noWrap w:val="0"/>
            <w:vAlign w:val="top"/>
          </w:tcPr>
          <w:p w14:paraId="1A14E26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5163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15532D7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4461" w:type="dxa"/>
            <w:noWrap w:val="0"/>
            <w:vAlign w:val="top"/>
          </w:tcPr>
          <w:p w14:paraId="11A8C31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一体式中口径水表</w:t>
            </w:r>
          </w:p>
        </w:tc>
        <w:tc>
          <w:tcPr>
            <w:tcW w:w="1945" w:type="dxa"/>
            <w:noWrap w:val="0"/>
            <w:vAlign w:val="top"/>
          </w:tcPr>
          <w:p w14:paraId="62A5781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632E1939">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right="0" w:firstLine="422" w:firstLineChars="200"/>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p>
    <w:p w14:paraId="39215153">
      <w:pPr>
        <w:keepNext w:val="0"/>
        <w:keepLines w:val="0"/>
        <w:pageBreakBefore w:val="0"/>
        <w:widowControl w:val="0"/>
        <w:kinsoku/>
        <w:wordWrap/>
        <w:overflowPunct/>
        <w:topLinePunct w:val="0"/>
        <w:bidi w:val="0"/>
        <w:adjustRightInd w:val="0"/>
        <w:snapToGrid w:val="0"/>
        <w:spacing w:beforeAutospacing="0" w:line="360" w:lineRule="auto"/>
        <w:ind w:left="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12" w:name="_Toc16619"/>
      <w:r>
        <w:rPr>
          <w:rFonts w:hint="eastAsia" w:ascii="宋体" w:hAnsi="宋体" w:eastAsia="宋体" w:cs="宋体"/>
          <w:b w:val="0"/>
          <w:bCs w:val="0"/>
          <w:color w:val="000000" w:themeColor="text1"/>
          <w:sz w:val="21"/>
          <w:szCs w:val="21"/>
          <w:highlight w:val="none"/>
          <w14:textFill>
            <w14:solidFill>
              <w14:schemeClr w14:val="tx1"/>
            </w14:solidFill>
          </w14:textFill>
        </w:rPr>
        <w:t>附录</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B</w:t>
      </w:r>
    </w:p>
    <w:p w14:paraId="42A01DC5">
      <w:pPr>
        <w:pStyle w:val="217"/>
        <w:keepNext w:val="0"/>
        <w:keepLines w:val="0"/>
        <w:pageBreakBefore w:val="0"/>
        <w:widowControl w:val="0"/>
        <w:kinsoku/>
        <w:wordWrap/>
        <w:overflowPunct/>
        <w:topLinePunct w:val="0"/>
        <w:bidi w:val="0"/>
        <w:adjustRightInd w:val="0"/>
        <w:snapToGrid w:val="0"/>
        <w:spacing w:before="0" w:beforeAutospacing="0" w:line="360" w:lineRule="auto"/>
        <w:ind w:left="0"/>
        <w:jc w:val="center"/>
        <w:textAlignment w:val="auto"/>
        <w:outlineLvl w:val="0"/>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713" w:name="_Toc2326"/>
      <w:bookmarkStart w:id="714" w:name="_Toc16371"/>
      <w:bookmarkStart w:id="715" w:name="_Toc6417"/>
      <w:bookmarkStart w:id="716" w:name="_Toc31926"/>
      <w:bookmarkStart w:id="717" w:name="_Toc15569"/>
      <w:bookmarkStart w:id="718" w:name="_Toc17703"/>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故障代码编排规范</w:t>
      </w:r>
      <w:r>
        <w:rPr>
          <w:rFonts w:hint="eastAsia" w:ascii="宋体" w:hAnsi="宋体" w:eastAsia="宋体" w:cs="宋体"/>
          <w:b w:val="0"/>
          <w:bCs w:val="0"/>
          <w:color w:val="000000" w:themeColor="text1"/>
          <w:sz w:val="21"/>
          <w:szCs w:val="21"/>
          <w:highlight w:val="none"/>
          <w14:textFill>
            <w14:solidFill>
              <w14:schemeClr w14:val="tx1"/>
            </w14:solidFill>
          </w14:textFill>
        </w:rPr>
        <w:t>）</w:t>
      </w:r>
      <w:bookmarkEnd w:id="712"/>
      <w:bookmarkEnd w:id="713"/>
      <w:bookmarkEnd w:id="714"/>
      <w:bookmarkEnd w:id="715"/>
      <w:bookmarkEnd w:id="716"/>
      <w:bookmarkEnd w:id="717"/>
      <w:bookmarkEnd w:id="718"/>
    </w:p>
    <w:p w14:paraId="24CBF2AB">
      <w:pPr>
        <w:pStyle w:val="42"/>
        <w:keepNext w:val="0"/>
        <w:keepLines w:val="0"/>
        <w:pageBreakBefore w:val="0"/>
        <w:widowControl w:val="0"/>
        <w:kinsoku/>
        <w:wordWrap/>
        <w:overflowPunct/>
        <w:topLinePunct w:val="0"/>
        <w:bidi w:val="0"/>
        <w:adjustRightInd w:val="0"/>
        <w:snapToGrid w:val="0"/>
        <w:spacing w:beforeAutospacing="0" w:after="0" w:line="360" w:lineRule="auto"/>
        <w:ind w:left="0" w:firstLine="417"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每种故障对应以下故障代码表中的一个比特位（Bit）,存在故障则该位置1，否则置0。</w:t>
      </w:r>
    </w:p>
    <w:p w14:paraId="4DF53564">
      <w:pPr>
        <w:pStyle w:val="42"/>
        <w:keepNext w:val="0"/>
        <w:keepLines w:val="0"/>
        <w:pageBreakBefore w:val="0"/>
        <w:widowControl w:val="0"/>
        <w:kinsoku/>
        <w:wordWrap/>
        <w:overflowPunct/>
        <w:topLinePunct w:val="0"/>
        <w:bidi w:val="0"/>
        <w:adjustRightInd w:val="0"/>
        <w:snapToGrid w:val="0"/>
        <w:spacing w:beforeAutospacing="0" w:after="0" w:line="360" w:lineRule="auto"/>
        <w:ind w:left="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drawing>
          <wp:inline distT="0" distB="0" distL="114300" distR="114300">
            <wp:extent cx="5630545" cy="664210"/>
            <wp:effectExtent l="0" t="0" r="8255" b="2540"/>
            <wp:docPr id="2" name="图片 2" descr="[ZB5$%8IU%ZB`O~JC2UA0Z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B5$%8IU%ZB`O~JC2UA0ZX"/>
                    <pic:cNvPicPr>
                      <a:picLocks noChangeAspect="1"/>
                    </pic:cNvPicPr>
                  </pic:nvPicPr>
                  <pic:blipFill>
                    <a:blip r:embed="rId12"/>
                    <a:stretch>
                      <a:fillRect/>
                    </a:stretch>
                  </pic:blipFill>
                  <pic:spPr>
                    <a:xfrm>
                      <a:off x="0" y="0"/>
                      <a:ext cx="5630545" cy="664210"/>
                    </a:xfrm>
                    <a:prstGeom prst="rect">
                      <a:avLst/>
                    </a:prstGeom>
                    <a:noFill/>
                    <a:ln>
                      <a:noFill/>
                    </a:ln>
                  </pic:spPr>
                </pic:pic>
              </a:graphicData>
            </a:graphic>
          </wp:inline>
        </w:drawing>
      </w:r>
    </w:p>
    <w:p w14:paraId="0B86D849">
      <w:pPr>
        <w:pStyle w:val="42"/>
        <w:keepNext w:val="0"/>
        <w:keepLines w:val="0"/>
        <w:pageBreakBefore w:val="0"/>
        <w:widowControl w:val="0"/>
        <w:kinsoku/>
        <w:wordWrap/>
        <w:overflowPunct/>
        <w:topLinePunct w:val="0"/>
        <w:bidi w:val="0"/>
        <w:adjustRightInd w:val="0"/>
        <w:snapToGrid w:val="0"/>
        <w:spacing w:beforeAutospacing="0" w:after="0" w:line="360" w:lineRule="auto"/>
        <w:ind w:left="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故障代码位序示意图（共64个位，对应编码中的bit0至bit63）</w:t>
      </w:r>
    </w:p>
    <w:p w14:paraId="2716B334">
      <w:pPr>
        <w:pStyle w:val="42"/>
        <w:keepNext w:val="0"/>
        <w:keepLines w:val="0"/>
        <w:pageBreakBefore w:val="0"/>
        <w:widowControl w:val="0"/>
        <w:kinsoku/>
        <w:wordWrap/>
        <w:overflowPunct/>
        <w:topLinePunct w:val="0"/>
        <w:bidi w:val="0"/>
        <w:adjustRightInd w:val="0"/>
        <w:snapToGrid w:val="0"/>
        <w:spacing w:beforeAutospacing="0" w:after="0" w:line="360" w:lineRule="auto"/>
        <w:ind w:left="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故障代码表（位号1对应下位机编程中下标为0的Bit0）：</w:t>
      </w:r>
    </w:p>
    <w:tbl>
      <w:tblPr>
        <w:tblStyle w:val="44"/>
        <w:tblW w:w="4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265"/>
        <w:gridCol w:w="6387"/>
      </w:tblGrid>
      <w:tr w14:paraId="706A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noWrap w:val="0"/>
            <w:vAlign w:val="center"/>
          </w:tcPr>
          <w:p w14:paraId="457937F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字节号</w:t>
            </w:r>
          </w:p>
        </w:tc>
        <w:tc>
          <w:tcPr>
            <w:tcW w:w="701" w:type="pct"/>
            <w:noWrap w:val="0"/>
            <w:vAlign w:val="center"/>
          </w:tcPr>
          <w:p w14:paraId="7ADE176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位号</w:t>
            </w:r>
          </w:p>
        </w:tc>
        <w:tc>
          <w:tcPr>
            <w:tcW w:w="3539" w:type="pct"/>
            <w:noWrap w:val="0"/>
            <w:vAlign w:val="center"/>
          </w:tcPr>
          <w:p w14:paraId="421B3B7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说明</w:t>
            </w:r>
          </w:p>
        </w:tc>
      </w:tr>
      <w:tr w14:paraId="1F9C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2752E0D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701" w:type="pct"/>
            <w:noWrap w:val="0"/>
            <w:vAlign w:val="center"/>
          </w:tcPr>
          <w:p w14:paraId="69DC06D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3539" w:type="pct"/>
            <w:noWrap w:val="0"/>
            <w:vAlign w:val="center"/>
          </w:tcPr>
          <w:p w14:paraId="1542A2B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反向报警</w:t>
            </w:r>
          </w:p>
        </w:tc>
      </w:tr>
      <w:tr w14:paraId="0839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75B35E1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59C7E73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w:t>
            </w:r>
          </w:p>
        </w:tc>
        <w:tc>
          <w:tcPr>
            <w:tcW w:w="3539" w:type="pct"/>
            <w:noWrap w:val="0"/>
            <w:vAlign w:val="center"/>
          </w:tcPr>
          <w:p w14:paraId="63F9C18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流量过载报警</w:t>
            </w:r>
          </w:p>
        </w:tc>
      </w:tr>
      <w:tr w14:paraId="50C6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54198F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1E30508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3539" w:type="pct"/>
            <w:noWrap w:val="0"/>
            <w:vAlign w:val="center"/>
          </w:tcPr>
          <w:p w14:paraId="59BD75E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流量上限报警</w:t>
            </w:r>
          </w:p>
        </w:tc>
      </w:tr>
      <w:tr w14:paraId="5622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D8CEFE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232862A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3539" w:type="pct"/>
            <w:noWrap w:val="0"/>
            <w:vAlign w:val="center"/>
          </w:tcPr>
          <w:p w14:paraId="7AD835F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流量下限报警</w:t>
            </w:r>
          </w:p>
        </w:tc>
      </w:tr>
      <w:tr w14:paraId="0999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06DA5E0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572A9D4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3539" w:type="pct"/>
            <w:noWrap w:val="0"/>
            <w:vAlign w:val="center"/>
          </w:tcPr>
          <w:p w14:paraId="193E7E0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流量限制报警</w:t>
            </w:r>
          </w:p>
        </w:tc>
      </w:tr>
      <w:tr w14:paraId="68F7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7E95BBD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0E77A69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3539" w:type="pct"/>
            <w:noWrap w:val="0"/>
            <w:vAlign w:val="center"/>
          </w:tcPr>
          <w:p w14:paraId="0AE8222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总量报警</w:t>
            </w:r>
          </w:p>
        </w:tc>
      </w:tr>
      <w:tr w14:paraId="4306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0AA91B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325E436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7</w:t>
            </w:r>
          </w:p>
        </w:tc>
        <w:tc>
          <w:tcPr>
            <w:tcW w:w="3539" w:type="pct"/>
            <w:noWrap w:val="0"/>
            <w:vAlign w:val="center"/>
          </w:tcPr>
          <w:p w14:paraId="2EC775B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低电预警</w:t>
            </w:r>
          </w:p>
        </w:tc>
      </w:tr>
      <w:tr w14:paraId="4685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85E9F4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3C2F84B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w:t>
            </w:r>
          </w:p>
        </w:tc>
        <w:tc>
          <w:tcPr>
            <w:tcW w:w="3539" w:type="pct"/>
            <w:noWrap w:val="0"/>
            <w:vAlign w:val="center"/>
          </w:tcPr>
          <w:p w14:paraId="0D1C2D3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低电报警</w:t>
            </w:r>
          </w:p>
        </w:tc>
      </w:tr>
      <w:tr w14:paraId="2BDB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5569FCC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w:t>
            </w:r>
          </w:p>
        </w:tc>
        <w:tc>
          <w:tcPr>
            <w:tcW w:w="701" w:type="pct"/>
            <w:noWrap w:val="0"/>
            <w:vAlign w:val="center"/>
          </w:tcPr>
          <w:p w14:paraId="10E2EE3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9</w:t>
            </w:r>
          </w:p>
        </w:tc>
        <w:tc>
          <w:tcPr>
            <w:tcW w:w="3539" w:type="pct"/>
            <w:noWrap w:val="0"/>
            <w:vAlign w:val="center"/>
          </w:tcPr>
          <w:p w14:paraId="1ABDAEF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电源报警</w:t>
            </w:r>
          </w:p>
        </w:tc>
      </w:tr>
      <w:tr w14:paraId="5837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4A3FE2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7790C47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10</w:t>
            </w:r>
          </w:p>
        </w:tc>
        <w:tc>
          <w:tcPr>
            <w:tcW w:w="3539" w:type="pct"/>
            <w:noWrap w:val="0"/>
            <w:vAlign w:val="center"/>
          </w:tcPr>
          <w:p w14:paraId="7646037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电源故障</w:t>
            </w:r>
          </w:p>
        </w:tc>
      </w:tr>
      <w:tr w14:paraId="0D78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FF3C31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34BC362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11</w:t>
            </w:r>
          </w:p>
        </w:tc>
        <w:tc>
          <w:tcPr>
            <w:tcW w:w="3539" w:type="pct"/>
            <w:noWrap w:val="0"/>
            <w:vAlign w:val="center"/>
          </w:tcPr>
          <w:p w14:paraId="7A49644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电极偏差报警</w:t>
            </w:r>
          </w:p>
        </w:tc>
      </w:tr>
      <w:tr w14:paraId="4210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7A3AE96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5ECDBE9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12</w:t>
            </w:r>
          </w:p>
        </w:tc>
        <w:tc>
          <w:tcPr>
            <w:tcW w:w="3539" w:type="pct"/>
            <w:noWrap w:val="0"/>
            <w:vAlign w:val="center"/>
          </w:tcPr>
          <w:p w14:paraId="7293760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高直流电压（报警）</w:t>
            </w:r>
          </w:p>
        </w:tc>
      </w:tr>
      <w:tr w14:paraId="566A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4132EC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597316A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13</w:t>
            </w:r>
          </w:p>
        </w:tc>
        <w:tc>
          <w:tcPr>
            <w:tcW w:w="3539" w:type="pct"/>
            <w:noWrap w:val="0"/>
            <w:vAlign w:val="center"/>
          </w:tcPr>
          <w:p w14:paraId="0EE06ED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高直流电压（电池电源）</w:t>
            </w:r>
          </w:p>
        </w:tc>
      </w:tr>
      <w:tr w14:paraId="0D72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C9EA1E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375927D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14</w:t>
            </w:r>
          </w:p>
        </w:tc>
        <w:tc>
          <w:tcPr>
            <w:tcW w:w="3539" w:type="pct"/>
            <w:noWrap w:val="0"/>
            <w:vAlign w:val="center"/>
          </w:tcPr>
          <w:p w14:paraId="77E9CA1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高直流电压（任何电源类型）</w:t>
            </w:r>
          </w:p>
        </w:tc>
      </w:tr>
      <w:tr w14:paraId="07ED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81C018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19A35D6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15</w:t>
            </w:r>
          </w:p>
        </w:tc>
        <w:tc>
          <w:tcPr>
            <w:tcW w:w="3539" w:type="pct"/>
            <w:noWrap w:val="0"/>
            <w:vAlign w:val="center"/>
          </w:tcPr>
          <w:p w14:paraId="7C053A1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线圈电流错误</w:t>
            </w:r>
          </w:p>
        </w:tc>
      </w:tr>
      <w:tr w14:paraId="118E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C7ACE8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5FE5838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16</w:t>
            </w:r>
          </w:p>
        </w:tc>
        <w:tc>
          <w:tcPr>
            <w:tcW w:w="3539" w:type="pct"/>
            <w:noWrap w:val="0"/>
            <w:vAlign w:val="center"/>
          </w:tcPr>
          <w:p w14:paraId="7397621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外部电池故障</w:t>
            </w:r>
          </w:p>
        </w:tc>
      </w:tr>
      <w:tr w14:paraId="28C0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2AF24E8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701" w:type="pct"/>
            <w:noWrap w:val="0"/>
            <w:vAlign w:val="center"/>
          </w:tcPr>
          <w:p w14:paraId="0EDA59B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17</w:t>
            </w:r>
          </w:p>
        </w:tc>
        <w:tc>
          <w:tcPr>
            <w:tcW w:w="3539" w:type="pct"/>
            <w:noWrap w:val="0"/>
            <w:vAlign w:val="center"/>
          </w:tcPr>
          <w:p w14:paraId="123BE11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测温探头短路</w:t>
            </w:r>
          </w:p>
        </w:tc>
      </w:tr>
      <w:tr w14:paraId="2F18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4A9638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73DF854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18</w:t>
            </w:r>
          </w:p>
        </w:tc>
        <w:tc>
          <w:tcPr>
            <w:tcW w:w="3539" w:type="pct"/>
            <w:noWrap w:val="0"/>
            <w:vAlign w:val="center"/>
          </w:tcPr>
          <w:p w14:paraId="1B86AF8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测温探头断路</w:t>
            </w:r>
          </w:p>
        </w:tc>
      </w:tr>
      <w:tr w14:paraId="77AA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3867CA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7FC0561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19</w:t>
            </w:r>
          </w:p>
        </w:tc>
        <w:tc>
          <w:tcPr>
            <w:tcW w:w="3539" w:type="pct"/>
            <w:noWrap w:val="0"/>
            <w:vAlign w:val="center"/>
          </w:tcPr>
          <w:p w14:paraId="7AFD625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水温超范围</w:t>
            </w:r>
          </w:p>
        </w:tc>
      </w:tr>
      <w:tr w14:paraId="37CB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66F9EE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0B5DFB7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w:t>
            </w:r>
          </w:p>
        </w:tc>
        <w:tc>
          <w:tcPr>
            <w:tcW w:w="3539" w:type="pct"/>
            <w:noWrap w:val="0"/>
            <w:vAlign w:val="center"/>
          </w:tcPr>
          <w:p w14:paraId="6484736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信号强度不稳定</w:t>
            </w:r>
          </w:p>
        </w:tc>
      </w:tr>
      <w:tr w14:paraId="4910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8C09BC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43FF4CE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21</w:t>
            </w:r>
          </w:p>
        </w:tc>
        <w:tc>
          <w:tcPr>
            <w:tcW w:w="3539" w:type="pct"/>
            <w:noWrap w:val="0"/>
            <w:vAlign w:val="center"/>
          </w:tcPr>
          <w:p w14:paraId="3A55B32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信号强度过弱</w:t>
            </w:r>
          </w:p>
        </w:tc>
      </w:tr>
      <w:tr w14:paraId="5DBE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B4A8E1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4E33D6C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22</w:t>
            </w:r>
          </w:p>
        </w:tc>
        <w:tc>
          <w:tcPr>
            <w:tcW w:w="3539" w:type="pct"/>
            <w:noWrap w:val="0"/>
            <w:vAlign w:val="center"/>
          </w:tcPr>
          <w:p w14:paraId="45D0489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信号强度较强</w:t>
            </w:r>
          </w:p>
        </w:tc>
      </w:tr>
      <w:tr w14:paraId="528B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6ABF48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2B2275B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23</w:t>
            </w:r>
          </w:p>
        </w:tc>
        <w:tc>
          <w:tcPr>
            <w:tcW w:w="3539" w:type="pct"/>
            <w:noWrap w:val="0"/>
            <w:vAlign w:val="center"/>
          </w:tcPr>
          <w:p w14:paraId="52BA5F6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增益报警</w:t>
            </w:r>
          </w:p>
        </w:tc>
      </w:tr>
      <w:tr w14:paraId="7CB8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7B07F0A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78CE999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24</w:t>
            </w:r>
          </w:p>
        </w:tc>
        <w:tc>
          <w:tcPr>
            <w:tcW w:w="3539" w:type="pct"/>
            <w:noWrap w:val="0"/>
            <w:vAlign w:val="center"/>
          </w:tcPr>
          <w:p w14:paraId="32FD941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E2PROM损坏</w:t>
            </w:r>
          </w:p>
        </w:tc>
      </w:tr>
      <w:tr w14:paraId="44B8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387E050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701" w:type="pct"/>
            <w:noWrap w:val="0"/>
            <w:vAlign w:val="center"/>
          </w:tcPr>
          <w:p w14:paraId="6EDF715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25</w:t>
            </w:r>
          </w:p>
        </w:tc>
        <w:tc>
          <w:tcPr>
            <w:tcW w:w="3539" w:type="pct"/>
            <w:noWrap w:val="0"/>
            <w:vAlign w:val="center"/>
          </w:tcPr>
          <w:p w14:paraId="4603959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坏/电路板异常</w:t>
            </w:r>
          </w:p>
        </w:tc>
      </w:tr>
      <w:tr w14:paraId="77C8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521E06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7A04FB5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26</w:t>
            </w:r>
          </w:p>
        </w:tc>
        <w:tc>
          <w:tcPr>
            <w:tcW w:w="3539" w:type="pct"/>
            <w:noWrap w:val="0"/>
            <w:vAlign w:val="center"/>
          </w:tcPr>
          <w:p w14:paraId="0005A83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换能器故障</w:t>
            </w:r>
          </w:p>
        </w:tc>
      </w:tr>
      <w:tr w14:paraId="4867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7FA3C2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16DD59A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27</w:t>
            </w:r>
          </w:p>
        </w:tc>
        <w:tc>
          <w:tcPr>
            <w:tcW w:w="3539" w:type="pct"/>
            <w:noWrap w:val="0"/>
            <w:vAlign w:val="center"/>
          </w:tcPr>
          <w:p w14:paraId="6962766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空管报警</w:t>
            </w:r>
          </w:p>
        </w:tc>
      </w:tr>
      <w:tr w14:paraId="4CE4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E2B9FE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58E5AC8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28</w:t>
            </w:r>
          </w:p>
        </w:tc>
        <w:tc>
          <w:tcPr>
            <w:tcW w:w="3539" w:type="pct"/>
            <w:noWrap w:val="0"/>
            <w:vAlign w:val="center"/>
          </w:tcPr>
          <w:p w14:paraId="3712A46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低阻抗报警</w:t>
            </w:r>
          </w:p>
        </w:tc>
      </w:tr>
      <w:tr w14:paraId="35CF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29A4FB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68A98C3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29</w:t>
            </w:r>
          </w:p>
        </w:tc>
        <w:tc>
          <w:tcPr>
            <w:tcW w:w="3539" w:type="pct"/>
            <w:noWrap w:val="0"/>
            <w:vAlign w:val="center"/>
          </w:tcPr>
          <w:p w14:paraId="302326D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泄漏报警</w:t>
            </w:r>
          </w:p>
        </w:tc>
      </w:tr>
      <w:tr w14:paraId="6676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0C5CBA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61C1C2D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30</w:t>
            </w:r>
          </w:p>
        </w:tc>
        <w:tc>
          <w:tcPr>
            <w:tcW w:w="3539" w:type="pct"/>
            <w:noWrap w:val="0"/>
            <w:vAlign w:val="center"/>
          </w:tcPr>
          <w:p w14:paraId="0C886D2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压力测量故障</w:t>
            </w:r>
          </w:p>
        </w:tc>
      </w:tr>
      <w:tr w14:paraId="49E5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56A739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33E6CFD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31</w:t>
            </w:r>
          </w:p>
        </w:tc>
        <w:tc>
          <w:tcPr>
            <w:tcW w:w="3539" w:type="pct"/>
            <w:noWrap w:val="0"/>
            <w:vAlign w:val="center"/>
          </w:tcPr>
          <w:p w14:paraId="100AF5A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GPS定位故障</w:t>
            </w:r>
          </w:p>
        </w:tc>
      </w:tr>
      <w:tr w14:paraId="2E80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7B34D7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41BBAF3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32</w:t>
            </w:r>
          </w:p>
        </w:tc>
        <w:tc>
          <w:tcPr>
            <w:tcW w:w="3539" w:type="pct"/>
            <w:noWrap w:val="0"/>
            <w:vAlign w:val="center"/>
          </w:tcPr>
          <w:p w14:paraId="724E974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水表通信故障</w:t>
            </w:r>
          </w:p>
        </w:tc>
      </w:tr>
      <w:tr w14:paraId="3983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619A62F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701" w:type="pct"/>
            <w:noWrap w:val="0"/>
            <w:vAlign w:val="center"/>
          </w:tcPr>
          <w:p w14:paraId="53066C6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33</w:t>
            </w:r>
          </w:p>
        </w:tc>
        <w:tc>
          <w:tcPr>
            <w:tcW w:w="3539" w:type="pct"/>
            <w:noWrap w:val="0"/>
            <w:vAlign w:val="center"/>
          </w:tcPr>
          <w:p w14:paraId="6DC757A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ABB内部报警</w:t>
            </w:r>
          </w:p>
        </w:tc>
      </w:tr>
      <w:tr w14:paraId="09A6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4766D5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5B7981F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34</w:t>
            </w:r>
          </w:p>
        </w:tc>
        <w:tc>
          <w:tcPr>
            <w:tcW w:w="3539" w:type="pct"/>
            <w:noWrap w:val="0"/>
            <w:vAlign w:val="center"/>
          </w:tcPr>
          <w:p w14:paraId="20D0384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MID（只读）开关</w:t>
            </w:r>
          </w:p>
        </w:tc>
      </w:tr>
      <w:tr w14:paraId="2D61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6CC205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4248CF7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35</w:t>
            </w:r>
          </w:p>
        </w:tc>
        <w:tc>
          <w:tcPr>
            <w:tcW w:w="3539" w:type="pct"/>
            <w:noWrap w:val="0"/>
            <w:vAlign w:val="center"/>
          </w:tcPr>
          <w:p w14:paraId="75DB921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传感器常见故障</w:t>
            </w:r>
          </w:p>
        </w:tc>
      </w:tr>
      <w:tr w14:paraId="3726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73DAC3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019BE30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36</w:t>
            </w:r>
          </w:p>
        </w:tc>
        <w:tc>
          <w:tcPr>
            <w:tcW w:w="3539" w:type="pct"/>
            <w:noWrap w:val="0"/>
            <w:vAlign w:val="center"/>
          </w:tcPr>
          <w:p w14:paraId="4902ED4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传感器和换能器之间通讯故障</w:t>
            </w:r>
          </w:p>
        </w:tc>
      </w:tr>
      <w:tr w14:paraId="3565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83CA92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7CFCB44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37</w:t>
            </w:r>
          </w:p>
        </w:tc>
        <w:tc>
          <w:tcPr>
            <w:tcW w:w="3539" w:type="pct"/>
            <w:noWrap w:val="0"/>
            <w:vAlign w:val="center"/>
          </w:tcPr>
          <w:p w14:paraId="756E514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绝缘错误</w:t>
            </w:r>
          </w:p>
        </w:tc>
      </w:tr>
      <w:tr w14:paraId="0FDB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A697BF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7FE5341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38</w:t>
            </w:r>
          </w:p>
        </w:tc>
        <w:tc>
          <w:tcPr>
            <w:tcW w:w="3539" w:type="pct"/>
            <w:noWrap w:val="0"/>
            <w:vAlign w:val="center"/>
          </w:tcPr>
          <w:p w14:paraId="18C2651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励磁报警</w:t>
            </w:r>
          </w:p>
        </w:tc>
      </w:tr>
      <w:tr w14:paraId="621D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21C3FB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6A899E5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39</w:t>
            </w:r>
          </w:p>
        </w:tc>
        <w:tc>
          <w:tcPr>
            <w:tcW w:w="3539" w:type="pct"/>
            <w:noWrap w:val="0"/>
            <w:vAlign w:val="center"/>
          </w:tcPr>
          <w:p w14:paraId="016C9B2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励磁线圈断开报警</w:t>
            </w:r>
          </w:p>
        </w:tc>
      </w:tr>
      <w:tr w14:paraId="1C62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B7D143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729988E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40</w:t>
            </w:r>
          </w:p>
        </w:tc>
        <w:tc>
          <w:tcPr>
            <w:tcW w:w="3539" w:type="pct"/>
            <w:noWrap w:val="0"/>
            <w:vAlign w:val="center"/>
          </w:tcPr>
          <w:p w14:paraId="1B53C5E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脉冲过载报警</w:t>
            </w:r>
          </w:p>
        </w:tc>
      </w:tr>
      <w:tr w14:paraId="69EB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2BC5A4C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701" w:type="pct"/>
            <w:noWrap w:val="0"/>
            <w:vAlign w:val="center"/>
          </w:tcPr>
          <w:p w14:paraId="38ABD1B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41</w:t>
            </w:r>
          </w:p>
        </w:tc>
        <w:tc>
          <w:tcPr>
            <w:tcW w:w="3539" w:type="pct"/>
            <w:noWrap w:val="0"/>
            <w:vAlign w:val="center"/>
          </w:tcPr>
          <w:p w14:paraId="75390CC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前置放大器过载</w:t>
            </w:r>
          </w:p>
        </w:tc>
      </w:tr>
      <w:tr w14:paraId="684C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09126F8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3BC3914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42</w:t>
            </w:r>
          </w:p>
        </w:tc>
        <w:tc>
          <w:tcPr>
            <w:tcW w:w="3539" w:type="pct"/>
            <w:noWrap w:val="0"/>
            <w:vAlign w:val="center"/>
          </w:tcPr>
          <w:p w14:paraId="4BC25D3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声波接收超时</w:t>
            </w:r>
          </w:p>
        </w:tc>
      </w:tr>
      <w:tr w14:paraId="3749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0CE3D60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230E39A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43</w:t>
            </w:r>
          </w:p>
        </w:tc>
        <w:tc>
          <w:tcPr>
            <w:tcW w:w="3539" w:type="pct"/>
            <w:noWrap w:val="0"/>
            <w:vAlign w:val="center"/>
          </w:tcPr>
          <w:p w14:paraId="50FF3D3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输出脉冲溢出报警</w:t>
            </w:r>
          </w:p>
        </w:tc>
      </w:tr>
      <w:tr w14:paraId="6E61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D401D2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4FFCD1E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44</w:t>
            </w:r>
          </w:p>
        </w:tc>
        <w:tc>
          <w:tcPr>
            <w:tcW w:w="3539" w:type="pct"/>
            <w:noWrap w:val="0"/>
            <w:vAlign w:val="center"/>
          </w:tcPr>
          <w:p w14:paraId="22BFB21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数据库校验和错误</w:t>
            </w:r>
          </w:p>
        </w:tc>
      </w:tr>
      <w:tr w14:paraId="30EA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0CBC489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1E29778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45</w:t>
            </w:r>
          </w:p>
        </w:tc>
        <w:tc>
          <w:tcPr>
            <w:tcW w:w="3539" w:type="pct"/>
            <w:noWrap w:val="0"/>
            <w:vAlign w:val="center"/>
          </w:tcPr>
          <w:p w14:paraId="7058931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未连接传感器</w:t>
            </w:r>
          </w:p>
        </w:tc>
      </w:tr>
      <w:tr w14:paraId="78B0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56784D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1A34A90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46</w:t>
            </w:r>
          </w:p>
        </w:tc>
        <w:tc>
          <w:tcPr>
            <w:tcW w:w="3539" w:type="pct"/>
            <w:noWrap w:val="0"/>
            <w:vAlign w:val="center"/>
          </w:tcPr>
          <w:p w14:paraId="681D8C6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未连接线圈</w:t>
            </w:r>
          </w:p>
        </w:tc>
      </w:tr>
      <w:tr w14:paraId="0942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31399B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67B0D09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47</w:t>
            </w:r>
          </w:p>
        </w:tc>
        <w:tc>
          <w:tcPr>
            <w:tcW w:w="3539" w:type="pct"/>
            <w:noWrap w:val="0"/>
            <w:vAlign w:val="center"/>
          </w:tcPr>
          <w:p w14:paraId="23A131F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系统报警</w:t>
            </w:r>
          </w:p>
        </w:tc>
      </w:tr>
      <w:tr w14:paraId="226F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F57BBF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48883CA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48</w:t>
            </w:r>
          </w:p>
        </w:tc>
        <w:tc>
          <w:tcPr>
            <w:tcW w:w="3539" w:type="pct"/>
            <w:noWrap w:val="0"/>
            <w:vAlign w:val="center"/>
          </w:tcPr>
          <w:p w14:paraId="3D688A3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消费间隔报警</w:t>
            </w:r>
          </w:p>
        </w:tc>
      </w:tr>
      <w:tr w14:paraId="22CE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7DE14B7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7</w:t>
            </w:r>
          </w:p>
        </w:tc>
        <w:tc>
          <w:tcPr>
            <w:tcW w:w="701" w:type="pct"/>
            <w:noWrap w:val="0"/>
            <w:vAlign w:val="center"/>
          </w:tcPr>
          <w:p w14:paraId="5ED376C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49</w:t>
            </w:r>
          </w:p>
        </w:tc>
        <w:tc>
          <w:tcPr>
            <w:tcW w:w="3539" w:type="pct"/>
            <w:noWrap w:val="0"/>
            <w:vAlign w:val="center"/>
          </w:tcPr>
          <w:p w14:paraId="00CF178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信号捕获</w:t>
            </w:r>
          </w:p>
        </w:tc>
      </w:tr>
      <w:tr w14:paraId="1236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75452B9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68EE0B3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50</w:t>
            </w:r>
          </w:p>
        </w:tc>
        <w:tc>
          <w:tcPr>
            <w:tcW w:w="3539" w:type="pct"/>
            <w:noWrap w:val="0"/>
            <w:vAlign w:val="center"/>
          </w:tcPr>
          <w:p w14:paraId="379310E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RTU与水表通信故障（485通信故障）</w:t>
            </w:r>
          </w:p>
        </w:tc>
      </w:tr>
      <w:tr w14:paraId="1DBE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CAD451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4B7B0F2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51</w:t>
            </w:r>
          </w:p>
        </w:tc>
        <w:tc>
          <w:tcPr>
            <w:tcW w:w="3539" w:type="pct"/>
            <w:noWrap w:val="0"/>
            <w:vAlign w:val="center"/>
          </w:tcPr>
          <w:p w14:paraId="1B2AF20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磁干扰报警</w:t>
            </w:r>
          </w:p>
        </w:tc>
      </w:tr>
      <w:tr w14:paraId="4F85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5B544B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33D2042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52</w:t>
            </w:r>
          </w:p>
        </w:tc>
        <w:tc>
          <w:tcPr>
            <w:tcW w:w="3539" w:type="pct"/>
            <w:noWrap w:val="0"/>
            <w:vAlign w:val="center"/>
          </w:tcPr>
          <w:p w14:paraId="4C54A93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电子模块分离报警</w:t>
            </w:r>
          </w:p>
        </w:tc>
      </w:tr>
      <w:tr w14:paraId="2F63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86E853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2FB4C91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53</w:t>
            </w:r>
          </w:p>
        </w:tc>
        <w:tc>
          <w:tcPr>
            <w:tcW w:w="3539" w:type="pct"/>
            <w:noWrap w:val="0"/>
            <w:vAlign w:val="center"/>
          </w:tcPr>
          <w:p w14:paraId="770DBE5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拆盖报警</w:t>
            </w:r>
          </w:p>
        </w:tc>
      </w:tr>
      <w:tr w14:paraId="45EB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C643BC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397919E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54</w:t>
            </w:r>
          </w:p>
        </w:tc>
        <w:tc>
          <w:tcPr>
            <w:tcW w:w="3539" w:type="pct"/>
            <w:noWrap w:val="0"/>
            <w:vAlign w:val="center"/>
          </w:tcPr>
          <w:p w14:paraId="738F526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更换电池报警</w:t>
            </w:r>
          </w:p>
        </w:tc>
      </w:tr>
      <w:tr w14:paraId="6734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35D9C0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1DBCBB8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55</w:t>
            </w:r>
          </w:p>
        </w:tc>
        <w:tc>
          <w:tcPr>
            <w:tcW w:w="3539" w:type="pct"/>
            <w:noWrap w:val="0"/>
            <w:vAlign w:val="center"/>
          </w:tcPr>
          <w:p w14:paraId="7836D1F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预留</w:t>
            </w:r>
          </w:p>
        </w:tc>
      </w:tr>
      <w:tr w14:paraId="6BBF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CC13C9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160416B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56</w:t>
            </w:r>
          </w:p>
        </w:tc>
        <w:tc>
          <w:tcPr>
            <w:tcW w:w="3539" w:type="pct"/>
            <w:noWrap w:val="0"/>
            <w:vAlign w:val="center"/>
          </w:tcPr>
          <w:p w14:paraId="4BA58C3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预留</w:t>
            </w:r>
          </w:p>
        </w:tc>
      </w:tr>
      <w:tr w14:paraId="1E81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1241F27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w:t>
            </w:r>
          </w:p>
        </w:tc>
        <w:tc>
          <w:tcPr>
            <w:tcW w:w="701" w:type="pct"/>
            <w:noWrap w:val="0"/>
            <w:vAlign w:val="center"/>
          </w:tcPr>
          <w:p w14:paraId="1DB583D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57</w:t>
            </w:r>
          </w:p>
        </w:tc>
        <w:tc>
          <w:tcPr>
            <w:tcW w:w="3539" w:type="pct"/>
            <w:noWrap w:val="0"/>
            <w:vAlign w:val="center"/>
          </w:tcPr>
          <w:p w14:paraId="066DB74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预留</w:t>
            </w:r>
          </w:p>
        </w:tc>
      </w:tr>
      <w:tr w14:paraId="0637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DC2019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5143832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58</w:t>
            </w:r>
          </w:p>
        </w:tc>
        <w:tc>
          <w:tcPr>
            <w:tcW w:w="3539" w:type="pct"/>
            <w:noWrap w:val="0"/>
            <w:vAlign w:val="center"/>
          </w:tcPr>
          <w:p w14:paraId="76059E0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预留</w:t>
            </w:r>
          </w:p>
        </w:tc>
      </w:tr>
      <w:tr w14:paraId="7C9B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9E6EA3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037C27D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59</w:t>
            </w:r>
          </w:p>
        </w:tc>
        <w:tc>
          <w:tcPr>
            <w:tcW w:w="3539" w:type="pct"/>
            <w:noWrap w:val="0"/>
            <w:vAlign w:val="center"/>
          </w:tcPr>
          <w:p w14:paraId="1FF7598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预留</w:t>
            </w:r>
          </w:p>
        </w:tc>
      </w:tr>
      <w:tr w14:paraId="3C6E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B4B0C8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695BD4C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60</w:t>
            </w:r>
          </w:p>
        </w:tc>
        <w:tc>
          <w:tcPr>
            <w:tcW w:w="3539" w:type="pct"/>
            <w:noWrap w:val="0"/>
            <w:vAlign w:val="center"/>
          </w:tcPr>
          <w:p w14:paraId="5521C7C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预留</w:t>
            </w:r>
          </w:p>
        </w:tc>
      </w:tr>
      <w:tr w14:paraId="0454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0D14DE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46BFBD2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61</w:t>
            </w:r>
          </w:p>
        </w:tc>
        <w:tc>
          <w:tcPr>
            <w:tcW w:w="3539" w:type="pct"/>
            <w:noWrap w:val="0"/>
            <w:vAlign w:val="center"/>
          </w:tcPr>
          <w:p w14:paraId="37CAFAC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预留</w:t>
            </w:r>
          </w:p>
        </w:tc>
      </w:tr>
      <w:tr w14:paraId="4D6B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08E4447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70D1D4C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62</w:t>
            </w:r>
          </w:p>
        </w:tc>
        <w:tc>
          <w:tcPr>
            <w:tcW w:w="3539" w:type="pct"/>
            <w:noWrap w:val="0"/>
            <w:vAlign w:val="center"/>
          </w:tcPr>
          <w:p w14:paraId="321E5E9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预留</w:t>
            </w:r>
          </w:p>
        </w:tc>
      </w:tr>
      <w:tr w14:paraId="55E6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E4B1DB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6A92DDA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63</w:t>
            </w:r>
          </w:p>
        </w:tc>
        <w:tc>
          <w:tcPr>
            <w:tcW w:w="3539" w:type="pct"/>
            <w:noWrap w:val="0"/>
            <w:vAlign w:val="center"/>
          </w:tcPr>
          <w:p w14:paraId="079510C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预留</w:t>
            </w:r>
          </w:p>
        </w:tc>
      </w:tr>
      <w:tr w14:paraId="5BB2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C6A37D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701" w:type="pct"/>
            <w:noWrap w:val="0"/>
            <w:vAlign w:val="center"/>
          </w:tcPr>
          <w:p w14:paraId="0ECBE82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64</w:t>
            </w:r>
          </w:p>
        </w:tc>
        <w:tc>
          <w:tcPr>
            <w:tcW w:w="3539" w:type="pct"/>
            <w:noWrap w:val="0"/>
            <w:vAlign w:val="center"/>
          </w:tcPr>
          <w:p w14:paraId="23E30AE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预留</w:t>
            </w:r>
          </w:p>
        </w:tc>
      </w:tr>
    </w:tbl>
    <w:p w14:paraId="3BCF20B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p>
    <w:p w14:paraId="54E2B3A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19" w:name="_Toc13817"/>
      <w:bookmarkStart w:id="720" w:name="_Toc9457"/>
      <w:bookmarkStart w:id="721" w:name="_Toc24819"/>
      <w:bookmarkStart w:id="722" w:name="_Toc9084"/>
      <w:bookmarkStart w:id="723" w:name="_Toc26350"/>
      <w:bookmarkStart w:id="724" w:name="_Toc736"/>
      <w:bookmarkStart w:id="725" w:name="_Toc18659"/>
      <w:r>
        <w:rPr>
          <w:rFonts w:hint="eastAsia" w:ascii="宋体" w:hAnsi="宋体" w:eastAsia="宋体" w:cs="宋体"/>
          <w:b w:val="0"/>
          <w:bCs w:val="0"/>
          <w:color w:val="000000" w:themeColor="text1"/>
          <w:sz w:val="21"/>
          <w:szCs w:val="21"/>
          <w:highlight w:val="none"/>
          <w14:textFill>
            <w14:solidFill>
              <w14:schemeClr w14:val="tx1"/>
            </w14:solidFill>
          </w14:textFill>
        </w:rPr>
        <w:t>附录</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C</w:t>
      </w:r>
      <w:bookmarkEnd w:id="719"/>
      <w:bookmarkEnd w:id="720"/>
      <w:bookmarkEnd w:id="721"/>
      <w:bookmarkEnd w:id="722"/>
      <w:bookmarkEnd w:id="723"/>
      <w:bookmarkEnd w:id="724"/>
    </w:p>
    <w:p w14:paraId="6D2E2AC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726" w:name="_Toc23123"/>
      <w:bookmarkStart w:id="727" w:name="_Toc3025"/>
      <w:bookmarkStart w:id="728" w:name="_Toc26421"/>
      <w:bookmarkStart w:id="729" w:name="_Toc11502"/>
      <w:bookmarkStart w:id="730" w:name="_Toc25312"/>
      <w:bookmarkStart w:id="731" w:name="_Toc16924"/>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仪表数据说明</w:t>
      </w:r>
      <w:r>
        <w:rPr>
          <w:rFonts w:hint="eastAsia" w:ascii="宋体" w:hAnsi="宋体" w:eastAsia="宋体" w:cs="宋体"/>
          <w:b w:val="0"/>
          <w:bCs w:val="0"/>
          <w:color w:val="000000" w:themeColor="text1"/>
          <w:sz w:val="21"/>
          <w:szCs w:val="21"/>
          <w:highlight w:val="none"/>
          <w14:textFill>
            <w14:solidFill>
              <w14:schemeClr w14:val="tx1"/>
            </w14:solidFill>
          </w14:textFill>
        </w:rPr>
        <w:t>）</w:t>
      </w:r>
      <w:bookmarkEnd w:id="725"/>
      <w:bookmarkEnd w:id="726"/>
      <w:bookmarkEnd w:id="727"/>
      <w:bookmarkEnd w:id="728"/>
      <w:bookmarkEnd w:id="729"/>
      <w:bookmarkEnd w:id="730"/>
      <w:bookmarkEnd w:id="731"/>
    </w:p>
    <w:tbl>
      <w:tblPr>
        <w:tblStyle w:val="4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060"/>
        <w:gridCol w:w="1870"/>
        <w:gridCol w:w="1720"/>
        <w:gridCol w:w="1740"/>
        <w:gridCol w:w="1663"/>
      </w:tblGrid>
      <w:tr w14:paraId="2FF9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84" w:type="dxa"/>
            <w:noWrap w:val="0"/>
            <w:vAlign w:val="center"/>
          </w:tcPr>
          <w:p w14:paraId="17724C1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4CE2F40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数据段代码（TAG）</w:t>
            </w:r>
          </w:p>
        </w:tc>
        <w:tc>
          <w:tcPr>
            <w:tcW w:w="1870" w:type="dxa"/>
            <w:noWrap w:val="0"/>
            <w:vAlign w:val="center"/>
          </w:tcPr>
          <w:p w14:paraId="3F0CF08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含义</w:t>
            </w:r>
          </w:p>
        </w:tc>
        <w:tc>
          <w:tcPr>
            <w:tcW w:w="1720" w:type="dxa"/>
            <w:noWrap w:val="0"/>
            <w:vAlign w:val="center"/>
          </w:tcPr>
          <w:p w14:paraId="24D90BB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第一时段数据(VALUE)</w:t>
            </w:r>
          </w:p>
        </w:tc>
        <w:tc>
          <w:tcPr>
            <w:tcW w:w="1740" w:type="dxa"/>
            <w:noWrap w:val="0"/>
            <w:vAlign w:val="center"/>
          </w:tcPr>
          <w:p w14:paraId="2E1EF50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1663" w:type="dxa"/>
            <w:noWrap w:val="0"/>
            <w:vAlign w:val="center"/>
          </w:tcPr>
          <w:p w14:paraId="6B0E2F0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第N时段数据</w:t>
            </w:r>
          </w:p>
        </w:tc>
      </w:tr>
      <w:tr w14:paraId="2ED3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restart"/>
            <w:noWrap w:val="0"/>
            <w:vAlign w:val="center"/>
          </w:tcPr>
          <w:p w14:paraId="5E11F69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2582A8B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20H</w:t>
            </w:r>
          </w:p>
        </w:tc>
        <w:tc>
          <w:tcPr>
            <w:tcW w:w="1870" w:type="dxa"/>
            <w:noWrap w:val="0"/>
            <w:vAlign w:val="center"/>
          </w:tcPr>
          <w:p w14:paraId="6B13763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正向瞬时流量（单位：立方米/小时）</w:t>
            </w:r>
          </w:p>
        </w:tc>
        <w:tc>
          <w:tcPr>
            <w:tcW w:w="1720" w:type="dxa"/>
            <w:noWrap w:val="0"/>
            <w:vAlign w:val="center"/>
          </w:tcPr>
          <w:p w14:paraId="617D2D9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740" w:type="dxa"/>
            <w:noWrap w:val="0"/>
            <w:vAlign w:val="center"/>
          </w:tcPr>
          <w:p w14:paraId="67E37DB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663" w:type="dxa"/>
            <w:noWrap w:val="0"/>
            <w:vAlign w:val="center"/>
          </w:tcPr>
          <w:p w14:paraId="325D445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r>
      <w:tr w14:paraId="56B6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1DD0249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37B7CC6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21H</w:t>
            </w:r>
          </w:p>
        </w:tc>
        <w:tc>
          <w:tcPr>
            <w:tcW w:w="1870" w:type="dxa"/>
            <w:noWrap w:val="0"/>
            <w:vAlign w:val="center"/>
          </w:tcPr>
          <w:p w14:paraId="540D9C6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反向瞬时流量（单位：立方米/小时）</w:t>
            </w:r>
          </w:p>
        </w:tc>
        <w:tc>
          <w:tcPr>
            <w:tcW w:w="1720" w:type="dxa"/>
            <w:noWrap w:val="0"/>
            <w:vAlign w:val="center"/>
          </w:tcPr>
          <w:p w14:paraId="4D24D43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740" w:type="dxa"/>
            <w:noWrap w:val="0"/>
            <w:vAlign w:val="center"/>
          </w:tcPr>
          <w:p w14:paraId="63C3920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663" w:type="dxa"/>
            <w:noWrap w:val="0"/>
            <w:vAlign w:val="center"/>
          </w:tcPr>
          <w:p w14:paraId="74265B3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r>
      <w:tr w14:paraId="19C4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048B52C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07C49AD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22H</w:t>
            </w:r>
          </w:p>
        </w:tc>
        <w:tc>
          <w:tcPr>
            <w:tcW w:w="1870" w:type="dxa"/>
            <w:noWrap w:val="0"/>
            <w:vAlign w:val="center"/>
          </w:tcPr>
          <w:p w14:paraId="67A5A5C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正向累计行度（单位：立方米）</w:t>
            </w:r>
          </w:p>
        </w:tc>
        <w:tc>
          <w:tcPr>
            <w:tcW w:w="1720" w:type="dxa"/>
            <w:noWrap w:val="0"/>
            <w:vAlign w:val="center"/>
          </w:tcPr>
          <w:p w14:paraId="2AF5A85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8字节浮点数</w:t>
            </w:r>
          </w:p>
        </w:tc>
        <w:tc>
          <w:tcPr>
            <w:tcW w:w="1740" w:type="dxa"/>
            <w:noWrap w:val="0"/>
            <w:vAlign w:val="center"/>
          </w:tcPr>
          <w:p w14:paraId="548D9D1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4字节浮点数（相对上一时刻增量）</w:t>
            </w:r>
          </w:p>
        </w:tc>
        <w:tc>
          <w:tcPr>
            <w:tcW w:w="1663" w:type="dxa"/>
            <w:noWrap w:val="0"/>
            <w:vAlign w:val="center"/>
          </w:tcPr>
          <w:p w14:paraId="234D33D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4字节浮点数（相对上一时刻增量）</w:t>
            </w:r>
          </w:p>
        </w:tc>
      </w:tr>
      <w:tr w14:paraId="71B5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2E18338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4DC5A0A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23H</w:t>
            </w:r>
          </w:p>
        </w:tc>
        <w:tc>
          <w:tcPr>
            <w:tcW w:w="1870" w:type="dxa"/>
            <w:noWrap w:val="0"/>
            <w:vAlign w:val="center"/>
          </w:tcPr>
          <w:p w14:paraId="0EAA487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反向累计行度（单位：立方米）</w:t>
            </w:r>
          </w:p>
        </w:tc>
        <w:tc>
          <w:tcPr>
            <w:tcW w:w="1720" w:type="dxa"/>
            <w:noWrap w:val="0"/>
            <w:vAlign w:val="center"/>
          </w:tcPr>
          <w:p w14:paraId="4A6FA8D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8字节浮点数</w:t>
            </w:r>
          </w:p>
        </w:tc>
        <w:tc>
          <w:tcPr>
            <w:tcW w:w="1740" w:type="dxa"/>
            <w:noWrap w:val="0"/>
            <w:vAlign w:val="center"/>
          </w:tcPr>
          <w:p w14:paraId="305D1BA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4字节浮点数（相对上一时刻增量）</w:t>
            </w:r>
          </w:p>
        </w:tc>
        <w:tc>
          <w:tcPr>
            <w:tcW w:w="1663" w:type="dxa"/>
            <w:noWrap w:val="0"/>
            <w:vAlign w:val="center"/>
          </w:tcPr>
          <w:p w14:paraId="19D1035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4字节浮点数（相对上一时刻增量）</w:t>
            </w:r>
          </w:p>
        </w:tc>
      </w:tr>
      <w:tr w14:paraId="4970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227C183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06BB108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24H</w:t>
            </w:r>
          </w:p>
        </w:tc>
        <w:tc>
          <w:tcPr>
            <w:tcW w:w="1870" w:type="dxa"/>
            <w:noWrap w:val="0"/>
            <w:vAlign w:val="center"/>
          </w:tcPr>
          <w:p w14:paraId="0C2FFAF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净累计行度（单位：立方米）</w:t>
            </w:r>
          </w:p>
        </w:tc>
        <w:tc>
          <w:tcPr>
            <w:tcW w:w="1720" w:type="dxa"/>
            <w:noWrap w:val="0"/>
            <w:vAlign w:val="center"/>
          </w:tcPr>
          <w:p w14:paraId="094A94D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8字节浮点数</w:t>
            </w:r>
          </w:p>
        </w:tc>
        <w:tc>
          <w:tcPr>
            <w:tcW w:w="1740" w:type="dxa"/>
            <w:noWrap w:val="0"/>
            <w:vAlign w:val="center"/>
          </w:tcPr>
          <w:p w14:paraId="14E55EA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4字节浮点数（相对上一时刻增量）</w:t>
            </w:r>
          </w:p>
        </w:tc>
        <w:tc>
          <w:tcPr>
            <w:tcW w:w="1663" w:type="dxa"/>
            <w:noWrap w:val="0"/>
            <w:vAlign w:val="center"/>
          </w:tcPr>
          <w:p w14:paraId="43E8428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4字节浮点数（相对上一时刻增量）</w:t>
            </w:r>
          </w:p>
        </w:tc>
      </w:tr>
      <w:tr w14:paraId="09A8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restart"/>
            <w:noWrap w:val="0"/>
            <w:vAlign w:val="center"/>
          </w:tcPr>
          <w:p w14:paraId="3B5A958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扩展数据段</w:t>
            </w:r>
          </w:p>
        </w:tc>
        <w:tc>
          <w:tcPr>
            <w:tcW w:w="1060" w:type="dxa"/>
            <w:noWrap w:val="0"/>
            <w:vAlign w:val="center"/>
          </w:tcPr>
          <w:p w14:paraId="516471F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30H</w:t>
            </w:r>
          </w:p>
        </w:tc>
        <w:tc>
          <w:tcPr>
            <w:tcW w:w="1870" w:type="dxa"/>
            <w:noWrap w:val="0"/>
            <w:vAlign w:val="center"/>
          </w:tcPr>
          <w:p w14:paraId="6FF281D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阀门状态</w:t>
            </w:r>
          </w:p>
        </w:tc>
        <w:tc>
          <w:tcPr>
            <w:tcW w:w="1720" w:type="dxa"/>
            <w:noWrap w:val="0"/>
            <w:vAlign w:val="center"/>
          </w:tcPr>
          <w:p w14:paraId="20C94DB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1740" w:type="dxa"/>
            <w:noWrap w:val="0"/>
            <w:vAlign w:val="center"/>
          </w:tcPr>
          <w:p w14:paraId="4CC43D8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1663" w:type="dxa"/>
            <w:noWrap w:val="0"/>
            <w:vAlign w:val="center"/>
          </w:tcPr>
          <w:p w14:paraId="0964FF3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r>
      <w:tr w14:paraId="608B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09E19AB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06009EA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31H</w:t>
            </w:r>
          </w:p>
        </w:tc>
        <w:tc>
          <w:tcPr>
            <w:tcW w:w="1870" w:type="dxa"/>
            <w:noWrap w:val="0"/>
            <w:vAlign w:val="center"/>
          </w:tcPr>
          <w:p w14:paraId="23B5954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压力</w:t>
            </w:r>
          </w:p>
        </w:tc>
        <w:tc>
          <w:tcPr>
            <w:tcW w:w="1720" w:type="dxa"/>
            <w:noWrap w:val="0"/>
            <w:vAlign w:val="center"/>
          </w:tcPr>
          <w:p w14:paraId="3259D6B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740" w:type="dxa"/>
            <w:noWrap w:val="0"/>
            <w:vAlign w:val="center"/>
          </w:tcPr>
          <w:p w14:paraId="7C9568A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663" w:type="dxa"/>
            <w:noWrap w:val="0"/>
            <w:vAlign w:val="center"/>
          </w:tcPr>
          <w:p w14:paraId="5E92C7B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r>
      <w:tr w14:paraId="52C0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4" w:type="dxa"/>
            <w:vMerge w:val="continue"/>
            <w:noWrap w:val="0"/>
            <w:vAlign w:val="center"/>
          </w:tcPr>
          <w:p w14:paraId="326A19D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5B2D472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32H</w:t>
            </w:r>
          </w:p>
        </w:tc>
        <w:tc>
          <w:tcPr>
            <w:tcW w:w="1870" w:type="dxa"/>
            <w:noWrap w:val="0"/>
            <w:vAlign w:val="center"/>
          </w:tcPr>
          <w:p w14:paraId="0F0E8FF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电池电压（备注4）</w:t>
            </w:r>
          </w:p>
        </w:tc>
        <w:tc>
          <w:tcPr>
            <w:tcW w:w="1720" w:type="dxa"/>
            <w:noWrap w:val="0"/>
            <w:vAlign w:val="center"/>
          </w:tcPr>
          <w:p w14:paraId="4F36B69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1740" w:type="dxa"/>
            <w:noWrap w:val="0"/>
            <w:vAlign w:val="center"/>
          </w:tcPr>
          <w:p w14:paraId="7867607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1663" w:type="dxa"/>
            <w:noWrap w:val="0"/>
            <w:vAlign w:val="center"/>
          </w:tcPr>
          <w:p w14:paraId="3ACF6EE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r>
      <w:tr w14:paraId="1B69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4AB7448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2388797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33H</w:t>
            </w:r>
          </w:p>
        </w:tc>
        <w:tc>
          <w:tcPr>
            <w:tcW w:w="1870" w:type="dxa"/>
            <w:noWrap w:val="0"/>
            <w:vAlign w:val="center"/>
          </w:tcPr>
          <w:p w14:paraId="57609A0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温度</w:t>
            </w:r>
          </w:p>
        </w:tc>
        <w:tc>
          <w:tcPr>
            <w:tcW w:w="1720" w:type="dxa"/>
            <w:noWrap w:val="0"/>
            <w:vAlign w:val="center"/>
          </w:tcPr>
          <w:p w14:paraId="3E89799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2字节（备注1）</w:t>
            </w:r>
          </w:p>
        </w:tc>
        <w:tc>
          <w:tcPr>
            <w:tcW w:w="1740" w:type="dxa"/>
            <w:noWrap w:val="0"/>
            <w:vAlign w:val="center"/>
          </w:tcPr>
          <w:p w14:paraId="43D3D0B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2字节（备注1）</w:t>
            </w:r>
          </w:p>
        </w:tc>
        <w:tc>
          <w:tcPr>
            <w:tcW w:w="1663" w:type="dxa"/>
            <w:noWrap w:val="0"/>
            <w:vAlign w:val="center"/>
          </w:tcPr>
          <w:p w14:paraId="1515D20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2字节（备注1）</w:t>
            </w:r>
          </w:p>
        </w:tc>
      </w:tr>
      <w:tr w14:paraId="103D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31DADCD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5534E1C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34H</w:t>
            </w:r>
          </w:p>
        </w:tc>
        <w:tc>
          <w:tcPr>
            <w:tcW w:w="1870" w:type="dxa"/>
            <w:noWrap w:val="0"/>
            <w:vAlign w:val="center"/>
          </w:tcPr>
          <w:p w14:paraId="65B9EF3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信号强度</w:t>
            </w:r>
          </w:p>
        </w:tc>
        <w:tc>
          <w:tcPr>
            <w:tcW w:w="1720" w:type="dxa"/>
            <w:noWrap w:val="0"/>
            <w:vAlign w:val="center"/>
          </w:tcPr>
          <w:p w14:paraId="7680CC1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1740" w:type="dxa"/>
            <w:noWrap w:val="0"/>
            <w:vAlign w:val="center"/>
          </w:tcPr>
          <w:p w14:paraId="622D7DF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1663" w:type="dxa"/>
            <w:noWrap w:val="0"/>
            <w:vAlign w:val="center"/>
          </w:tcPr>
          <w:p w14:paraId="28B28AF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r>
      <w:tr w14:paraId="280D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2A25506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5D792E2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35H</w:t>
            </w:r>
          </w:p>
        </w:tc>
        <w:tc>
          <w:tcPr>
            <w:tcW w:w="1870" w:type="dxa"/>
            <w:noWrap w:val="0"/>
            <w:vAlign w:val="center"/>
          </w:tcPr>
          <w:p w14:paraId="269C381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GPS经纬度（备注2）</w:t>
            </w:r>
          </w:p>
        </w:tc>
        <w:tc>
          <w:tcPr>
            <w:tcW w:w="1720" w:type="dxa"/>
            <w:noWrap w:val="0"/>
            <w:vAlign w:val="center"/>
          </w:tcPr>
          <w:p w14:paraId="5273993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8字节浮点数（经度）+8字节浮点数（纬度）</w:t>
            </w:r>
          </w:p>
        </w:tc>
        <w:tc>
          <w:tcPr>
            <w:tcW w:w="1740" w:type="dxa"/>
            <w:noWrap w:val="0"/>
            <w:vAlign w:val="center"/>
          </w:tcPr>
          <w:p w14:paraId="7A3D480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无</w:t>
            </w:r>
          </w:p>
          <w:p w14:paraId="393423C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（经纬度固定只传1个时刻数）</w:t>
            </w:r>
          </w:p>
        </w:tc>
        <w:tc>
          <w:tcPr>
            <w:tcW w:w="1663" w:type="dxa"/>
            <w:noWrap w:val="0"/>
            <w:vAlign w:val="center"/>
          </w:tcPr>
          <w:p w14:paraId="00F5956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无</w:t>
            </w:r>
          </w:p>
          <w:p w14:paraId="3CF46E5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（经纬度固定只传1个时刻数）</w:t>
            </w:r>
          </w:p>
        </w:tc>
      </w:tr>
      <w:tr w14:paraId="69EE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restart"/>
            <w:noWrap w:val="0"/>
            <w:vAlign w:val="center"/>
          </w:tcPr>
          <w:p w14:paraId="38E7FA2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水质数据段</w:t>
            </w:r>
          </w:p>
        </w:tc>
        <w:tc>
          <w:tcPr>
            <w:tcW w:w="1060" w:type="dxa"/>
            <w:noWrap w:val="0"/>
            <w:vAlign w:val="center"/>
          </w:tcPr>
          <w:p w14:paraId="2266A02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40</w:t>
            </w:r>
          </w:p>
        </w:tc>
        <w:tc>
          <w:tcPr>
            <w:tcW w:w="1870" w:type="dxa"/>
            <w:noWrap w:val="0"/>
            <w:vAlign w:val="center"/>
          </w:tcPr>
          <w:p w14:paraId="647F177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pH</w:t>
            </w:r>
          </w:p>
        </w:tc>
        <w:tc>
          <w:tcPr>
            <w:tcW w:w="1720" w:type="dxa"/>
            <w:noWrap w:val="0"/>
            <w:vAlign w:val="center"/>
          </w:tcPr>
          <w:p w14:paraId="06CA690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740" w:type="dxa"/>
            <w:noWrap w:val="0"/>
            <w:vAlign w:val="center"/>
          </w:tcPr>
          <w:p w14:paraId="1447739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663" w:type="dxa"/>
            <w:noWrap w:val="0"/>
            <w:vAlign w:val="center"/>
          </w:tcPr>
          <w:p w14:paraId="74051A7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r>
      <w:tr w14:paraId="2EAB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42D5F69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381E894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41</w:t>
            </w:r>
          </w:p>
        </w:tc>
        <w:tc>
          <w:tcPr>
            <w:tcW w:w="1870" w:type="dxa"/>
            <w:noWrap w:val="0"/>
            <w:vAlign w:val="center"/>
          </w:tcPr>
          <w:p w14:paraId="79E598C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浊度</w:t>
            </w:r>
          </w:p>
        </w:tc>
        <w:tc>
          <w:tcPr>
            <w:tcW w:w="1720" w:type="dxa"/>
            <w:noWrap w:val="0"/>
            <w:vAlign w:val="center"/>
          </w:tcPr>
          <w:p w14:paraId="76E8398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740" w:type="dxa"/>
            <w:noWrap w:val="0"/>
            <w:vAlign w:val="center"/>
          </w:tcPr>
          <w:p w14:paraId="680DAF8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663" w:type="dxa"/>
            <w:noWrap w:val="0"/>
            <w:vAlign w:val="center"/>
          </w:tcPr>
          <w:p w14:paraId="65F52A9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r>
      <w:tr w14:paraId="5355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4" w:type="dxa"/>
            <w:vMerge w:val="continue"/>
            <w:noWrap w:val="0"/>
            <w:vAlign w:val="center"/>
          </w:tcPr>
          <w:p w14:paraId="4ED40B7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060" w:type="dxa"/>
            <w:noWrap w:val="0"/>
            <w:vAlign w:val="center"/>
          </w:tcPr>
          <w:p w14:paraId="65A3CD3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42</w:t>
            </w:r>
          </w:p>
        </w:tc>
        <w:tc>
          <w:tcPr>
            <w:tcW w:w="1870" w:type="dxa"/>
            <w:noWrap w:val="0"/>
            <w:vAlign w:val="center"/>
          </w:tcPr>
          <w:p w14:paraId="08B59BD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余氯</w:t>
            </w:r>
          </w:p>
        </w:tc>
        <w:tc>
          <w:tcPr>
            <w:tcW w:w="1720" w:type="dxa"/>
            <w:noWrap w:val="0"/>
            <w:vAlign w:val="center"/>
          </w:tcPr>
          <w:p w14:paraId="1B7D927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740" w:type="dxa"/>
            <w:noWrap w:val="0"/>
            <w:vAlign w:val="center"/>
          </w:tcPr>
          <w:p w14:paraId="79CEB1D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1663" w:type="dxa"/>
            <w:noWrap w:val="0"/>
            <w:vAlign w:val="center"/>
          </w:tcPr>
          <w:p w14:paraId="11AA070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r>
    </w:tbl>
    <w:p w14:paraId="0EB4B3D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p w14:paraId="1FBE859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通用数据段</w:t>
      </w:r>
      <w:r>
        <w:rPr>
          <w:rFonts w:hint="eastAsia" w:ascii="宋体" w:hAnsi="宋体" w:eastAsia="宋体" w:cs="宋体"/>
          <w:b w:val="0"/>
          <w:bCs w:val="0"/>
          <w:color w:val="000000" w:themeColor="text1"/>
          <w:sz w:val="21"/>
          <w:szCs w:val="21"/>
          <w:highlight w:val="none"/>
          <w14:textFill>
            <w14:solidFill>
              <w14:schemeClr w14:val="tx1"/>
            </w14:solidFill>
          </w14:textFill>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1276"/>
        <w:gridCol w:w="992"/>
        <w:gridCol w:w="992"/>
        <w:gridCol w:w="1384"/>
        <w:gridCol w:w="1276"/>
        <w:gridCol w:w="1239"/>
      </w:tblGrid>
      <w:tr w14:paraId="09D1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92" w:type="dxa"/>
            <w:noWrap w:val="0"/>
            <w:vAlign w:val="center"/>
          </w:tcPr>
          <w:p w14:paraId="687BAC9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992" w:type="dxa"/>
            <w:noWrap w:val="0"/>
            <w:vAlign w:val="center"/>
          </w:tcPr>
          <w:p w14:paraId="74B4563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数据段代码</w:t>
            </w:r>
          </w:p>
        </w:tc>
        <w:tc>
          <w:tcPr>
            <w:tcW w:w="1276" w:type="dxa"/>
            <w:noWrap w:val="0"/>
            <w:vAlign w:val="center"/>
          </w:tcPr>
          <w:p w14:paraId="1F977F8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含义</w:t>
            </w:r>
          </w:p>
        </w:tc>
        <w:tc>
          <w:tcPr>
            <w:tcW w:w="992" w:type="dxa"/>
            <w:noWrap w:val="0"/>
            <w:vAlign w:val="center"/>
          </w:tcPr>
          <w:p w14:paraId="7857931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通道总数</w:t>
            </w:r>
          </w:p>
        </w:tc>
        <w:tc>
          <w:tcPr>
            <w:tcW w:w="992" w:type="dxa"/>
            <w:noWrap w:val="0"/>
            <w:vAlign w:val="center"/>
          </w:tcPr>
          <w:p w14:paraId="03C40FD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通道号</w:t>
            </w:r>
          </w:p>
        </w:tc>
        <w:tc>
          <w:tcPr>
            <w:tcW w:w="1384" w:type="dxa"/>
            <w:noWrap w:val="0"/>
            <w:vAlign w:val="center"/>
          </w:tcPr>
          <w:p w14:paraId="6BC146B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第一时段数据</w:t>
            </w:r>
          </w:p>
        </w:tc>
        <w:tc>
          <w:tcPr>
            <w:tcW w:w="1276" w:type="dxa"/>
            <w:noWrap w:val="0"/>
            <w:vAlign w:val="center"/>
          </w:tcPr>
          <w:p w14:paraId="40153AE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1239" w:type="dxa"/>
            <w:noWrap w:val="0"/>
            <w:vAlign w:val="center"/>
          </w:tcPr>
          <w:p w14:paraId="2FC9AD9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第N时段数据</w:t>
            </w:r>
          </w:p>
        </w:tc>
      </w:tr>
      <w:tr w14:paraId="2865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noWrap w:val="0"/>
            <w:vAlign w:val="center"/>
          </w:tcPr>
          <w:p w14:paraId="26FF69F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通用数据段</w:t>
            </w:r>
          </w:p>
        </w:tc>
        <w:tc>
          <w:tcPr>
            <w:tcW w:w="992" w:type="dxa"/>
            <w:noWrap w:val="0"/>
            <w:vAlign w:val="center"/>
          </w:tcPr>
          <w:p w14:paraId="49362B9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0AH</w:t>
            </w:r>
          </w:p>
        </w:tc>
        <w:tc>
          <w:tcPr>
            <w:tcW w:w="1276" w:type="dxa"/>
            <w:noWrap w:val="0"/>
            <w:vAlign w:val="center"/>
          </w:tcPr>
          <w:p w14:paraId="6FEED6C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模拟量</w:t>
            </w:r>
          </w:p>
        </w:tc>
        <w:tc>
          <w:tcPr>
            <w:tcW w:w="992" w:type="dxa"/>
            <w:noWrap w:val="0"/>
            <w:vAlign w:val="center"/>
          </w:tcPr>
          <w:p w14:paraId="381F7A7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992" w:type="dxa"/>
            <w:noWrap w:val="0"/>
            <w:vAlign w:val="center"/>
          </w:tcPr>
          <w:p w14:paraId="183204D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1384" w:type="dxa"/>
            <w:noWrap w:val="0"/>
            <w:vAlign w:val="center"/>
          </w:tcPr>
          <w:p w14:paraId="4837B42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1276" w:type="dxa"/>
            <w:noWrap w:val="0"/>
            <w:vAlign w:val="center"/>
          </w:tcPr>
          <w:p w14:paraId="4E42AA6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c>
          <w:tcPr>
            <w:tcW w:w="1239" w:type="dxa"/>
            <w:noWrap w:val="0"/>
            <w:vAlign w:val="center"/>
          </w:tcPr>
          <w:p w14:paraId="15F9A98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2字节</w:t>
            </w:r>
          </w:p>
        </w:tc>
      </w:tr>
      <w:tr w14:paraId="1FF3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4776A9F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992" w:type="dxa"/>
            <w:noWrap w:val="0"/>
            <w:vAlign w:val="center"/>
          </w:tcPr>
          <w:p w14:paraId="0A39920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0BH</w:t>
            </w:r>
          </w:p>
        </w:tc>
        <w:tc>
          <w:tcPr>
            <w:tcW w:w="1276" w:type="dxa"/>
            <w:noWrap w:val="0"/>
            <w:vAlign w:val="center"/>
          </w:tcPr>
          <w:p w14:paraId="55E3BC8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脉冲量</w:t>
            </w:r>
          </w:p>
        </w:tc>
        <w:tc>
          <w:tcPr>
            <w:tcW w:w="992" w:type="dxa"/>
            <w:noWrap w:val="0"/>
            <w:vAlign w:val="center"/>
          </w:tcPr>
          <w:p w14:paraId="49B486A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992" w:type="dxa"/>
            <w:noWrap w:val="0"/>
            <w:vAlign w:val="center"/>
          </w:tcPr>
          <w:p w14:paraId="38C3F4B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1384" w:type="dxa"/>
            <w:noWrap w:val="0"/>
            <w:vAlign w:val="center"/>
          </w:tcPr>
          <w:p w14:paraId="6E3B6CE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w:t>
            </w:r>
          </w:p>
        </w:tc>
        <w:tc>
          <w:tcPr>
            <w:tcW w:w="1276" w:type="dxa"/>
            <w:noWrap w:val="0"/>
            <w:vAlign w:val="center"/>
          </w:tcPr>
          <w:p w14:paraId="38228D8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w:t>
            </w:r>
          </w:p>
        </w:tc>
        <w:tc>
          <w:tcPr>
            <w:tcW w:w="1239" w:type="dxa"/>
            <w:noWrap w:val="0"/>
            <w:vAlign w:val="center"/>
          </w:tcPr>
          <w:p w14:paraId="331C4D2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w:t>
            </w:r>
          </w:p>
        </w:tc>
      </w:tr>
      <w:tr w14:paraId="355E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5D05721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992" w:type="dxa"/>
            <w:noWrap w:val="0"/>
            <w:vAlign w:val="center"/>
          </w:tcPr>
          <w:p w14:paraId="345D831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0CH</w:t>
            </w:r>
          </w:p>
        </w:tc>
        <w:tc>
          <w:tcPr>
            <w:tcW w:w="1276" w:type="dxa"/>
            <w:noWrap w:val="0"/>
            <w:vAlign w:val="center"/>
          </w:tcPr>
          <w:p w14:paraId="6C7339B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开关量</w:t>
            </w:r>
          </w:p>
        </w:tc>
        <w:tc>
          <w:tcPr>
            <w:tcW w:w="992" w:type="dxa"/>
            <w:noWrap w:val="0"/>
            <w:vAlign w:val="center"/>
          </w:tcPr>
          <w:p w14:paraId="527147A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992" w:type="dxa"/>
            <w:noWrap w:val="0"/>
            <w:vAlign w:val="center"/>
          </w:tcPr>
          <w:p w14:paraId="3DF7B66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无</w:t>
            </w:r>
          </w:p>
        </w:tc>
        <w:tc>
          <w:tcPr>
            <w:tcW w:w="1384" w:type="dxa"/>
            <w:noWrap w:val="0"/>
            <w:vAlign w:val="center"/>
          </w:tcPr>
          <w:p w14:paraId="29D0CFD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备注3</w:t>
            </w:r>
          </w:p>
        </w:tc>
        <w:tc>
          <w:tcPr>
            <w:tcW w:w="1276" w:type="dxa"/>
            <w:noWrap w:val="0"/>
            <w:vAlign w:val="center"/>
          </w:tcPr>
          <w:p w14:paraId="125FC4F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备注3</w:t>
            </w:r>
          </w:p>
        </w:tc>
        <w:tc>
          <w:tcPr>
            <w:tcW w:w="1239" w:type="dxa"/>
            <w:noWrap w:val="0"/>
            <w:vAlign w:val="center"/>
          </w:tcPr>
          <w:p w14:paraId="78B5AB35">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备注3</w:t>
            </w:r>
          </w:p>
        </w:tc>
      </w:tr>
      <w:tr w14:paraId="0E3F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5BD75F9D">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992" w:type="dxa"/>
            <w:noWrap w:val="0"/>
            <w:vAlign w:val="center"/>
          </w:tcPr>
          <w:p w14:paraId="462D086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0DH</w:t>
            </w:r>
          </w:p>
        </w:tc>
        <w:tc>
          <w:tcPr>
            <w:tcW w:w="1276" w:type="dxa"/>
            <w:noWrap w:val="0"/>
            <w:vAlign w:val="center"/>
          </w:tcPr>
          <w:p w14:paraId="0C59997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ASCII</w:t>
            </w:r>
          </w:p>
        </w:tc>
        <w:tc>
          <w:tcPr>
            <w:tcW w:w="992" w:type="dxa"/>
            <w:noWrap w:val="0"/>
            <w:vAlign w:val="center"/>
          </w:tcPr>
          <w:p w14:paraId="483D907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992" w:type="dxa"/>
            <w:noWrap w:val="0"/>
            <w:vAlign w:val="center"/>
          </w:tcPr>
          <w:p w14:paraId="284E034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1384" w:type="dxa"/>
            <w:noWrap w:val="0"/>
            <w:vAlign w:val="center"/>
          </w:tcPr>
          <w:p w14:paraId="7EA32572">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以\0 结束</w:t>
            </w:r>
          </w:p>
        </w:tc>
        <w:tc>
          <w:tcPr>
            <w:tcW w:w="1276" w:type="dxa"/>
            <w:noWrap w:val="0"/>
            <w:vAlign w:val="center"/>
          </w:tcPr>
          <w:p w14:paraId="642113B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以\0 结束</w:t>
            </w:r>
          </w:p>
        </w:tc>
        <w:tc>
          <w:tcPr>
            <w:tcW w:w="1239" w:type="dxa"/>
            <w:noWrap w:val="0"/>
            <w:vAlign w:val="center"/>
          </w:tcPr>
          <w:p w14:paraId="2C30C46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以\0 结束</w:t>
            </w:r>
          </w:p>
        </w:tc>
      </w:tr>
      <w:tr w14:paraId="06A2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0D683384">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992" w:type="dxa"/>
            <w:noWrap w:val="0"/>
            <w:vAlign w:val="center"/>
          </w:tcPr>
          <w:p w14:paraId="0D52CA7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0FH</w:t>
            </w:r>
          </w:p>
        </w:tc>
        <w:tc>
          <w:tcPr>
            <w:tcW w:w="1276" w:type="dxa"/>
            <w:noWrap w:val="0"/>
            <w:vAlign w:val="center"/>
          </w:tcPr>
          <w:p w14:paraId="362B82B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4字节浮点数</w:t>
            </w:r>
          </w:p>
        </w:tc>
        <w:tc>
          <w:tcPr>
            <w:tcW w:w="992" w:type="dxa"/>
            <w:noWrap w:val="0"/>
            <w:vAlign w:val="center"/>
          </w:tcPr>
          <w:p w14:paraId="286B63EB">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992" w:type="dxa"/>
            <w:noWrap w:val="0"/>
            <w:vAlign w:val="center"/>
          </w:tcPr>
          <w:p w14:paraId="7C5C788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1384" w:type="dxa"/>
            <w:noWrap w:val="0"/>
            <w:vAlign w:val="center"/>
          </w:tcPr>
          <w:p w14:paraId="2960851E">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w:t>
            </w:r>
          </w:p>
        </w:tc>
        <w:tc>
          <w:tcPr>
            <w:tcW w:w="1276" w:type="dxa"/>
            <w:noWrap w:val="0"/>
            <w:vAlign w:val="center"/>
          </w:tcPr>
          <w:p w14:paraId="58FCCEC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w:t>
            </w:r>
          </w:p>
        </w:tc>
        <w:tc>
          <w:tcPr>
            <w:tcW w:w="1239" w:type="dxa"/>
            <w:noWrap w:val="0"/>
            <w:vAlign w:val="center"/>
          </w:tcPr>
          <w:p w14:paraId="63B6530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4字节</w:t>
            </w:r>
          </w:p>
        </w:tc>
      </w:tr>
      <w:tr w14:paraId="6317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35AC7A61">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992" w:type="dxa"/>
            <w:noWrap w:val="0"/>
            <w:vAlign w:val="center"/>
          </w:tcPr>
          <w:p w14:paraId="63E07BF6">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10H</w:t>
            </w:r>
          </w:p>
        </w:tc>
        <w:tc>
          <w:tcPr>
            <w:tcW w:w="1276" w:type="dxa"/>
            <w:noWrap w:val="0"/>
            <w:vAlign w:val="center"/>
          </w:tcPr>
          <w:p w14:paraId="5784B7C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8字节浮点数</w:t>
            </w:r>
          </w:p>
        </w:tc>
        <w:tc>
          <w:tcPr>
            <w:tcW w:w="992" w:type="dxa"/>
            <w:noWrap w:val="0"/>
            <w:vAlign w:val="center"/>
          </w:tcPr>
          <w:p w14:paraId="544F80B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992" w:type="dxa"/>
            <w:noWrap w:val="0"/>
            <w:vAlign w:val="center"/>
          </w:tcPr>
          <w:p w14:paraId="1ED181A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1384" w:type="dxa"/>
            <w:noWrap w:val="0"/>
            <w:vAlign w:val="center"/>
          </w:tcPr>
          <w:p w14:paraId="2DAC346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w:t>
            </w:r>
          </w:p>
        </w:tc>
        <w:tc>
          <w:tcPr>
            <w:tcW w:w="1276" w:type="dxa"/>
            <w:noWrap w:val="0"/>
            <w:vAlign w:val="center"/>
          </w:tcPr>
          <w:p w14:paraId="1E62F1D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w:t>
            </w:r>
          </w:p>
        </w:tc>
        <w:tc>
          <w:tcPr>
            <w:tcW w:w="1239" w:type="dxa"/>
            <w:noWrap w:val="0"/>
            <w:vAlign w:val="center"/>
          </w:tcPr>
          <w:p w14:paraId="003EBD79">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w:t>
            </w:r>
          </w:p>
        </w:tc>
      </w:tr>
      <w:tr w14:paraId="596A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4057D328">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992" w:type="dxa"/>
            <w:noWrap w:val="0"/>
            <w:vAlign w:val="center"/>
          </w:tcPr>
          <w:p w14:paraId="37DFBF47">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11H</w:t>
            </w:r>
          </w:p>
        </w:tc>
        <w:tc>
          <w:tcPr>
            <w:tcW w:w="1276" w:type="dxa"/>
            <w:noWrap w:val="0"/>
            <w:vAlign w:val="center"/>
          </w:tcPr>
          <w:p w14:paraId="216412F3">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8字节长整型</w:t>
            </w:r>
          </w:p>
        </w:tc>
        <w:tc>
          <w:tcPr>
            <w:tcW w:w="992" w:type="dxa"/>
            <w:noWrap w:val="0"/>
            <w:vAlign w:val="center"/>
          </w:tcPr>
          <w:p w14:paraId="37E1615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992" w:type="dxa"/>
            <w:noWrap w:val="0"/>
            <w:vAlign w:val="center"/>
          </w:tcPr>
          <w:p w14:paraId="241915BA">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1字节</w:t>
            </w:r>
          </w:p>
        </w:tc>
        <w:tc>
          <w:tcPr>
            <w:tcW w:w="1384" w:type="dxa"/>
            <w:noWrap w:val="0"/>
            <w:vAlign w:val="center"/>
          </w:tcPr>
          <w:p w14:paraId="7DF661BF">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w:t>
            </w:r>
          </w:p>
        </w:tc>
        <w:tc>
          <w:tcPr>
            <w:tcW w:w="1276" w:type="dxa"/>
            <w:noWrap w:val="0"/>
            <w:vAlign w:val="center"/>
          </w:tcPr>
          <w:p w14:paraId="335A3D5C">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w:t>
            </w:r>
          </w:p>
        </w:tc>
        <w:tc>
          <w:tcPr>
            <w:tcW w:w="1239" w:type="dxa"/>
            <w:noWrap w:val="0"/>
            <w:vAlign w:val="center"/>
          </w:tcPr>
          <w:p w14:paraId="18805750">
            <w:pPr>
              <w:pStyle w:val="19"/>
              <w:keepNext w:val="0"/>
              <w:keepLines w:val="0"/>
              <w:pageBreakBefore w:val="0"/>
              <w:widowControl w:val="0"/>
              <w:kinsoku/>
              <w:wordWrap/>
              <w:overflowPunct/>
              <w:topLinePunct w:val="0"/>
              <w:autoSpaceDE/>
              <w:autoSpaceDN/>
              <w:bidi w:val="0"/>
              <w:adjustRightInd w:val="0"/>
              <w:snapToGrid w:val="0"/>
              <w:spacing w:beforeAutospacing="0" w:line="240" w:lineRule="auto"/>
              <w:ind w:left="0" w:right="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8字节</w:t>
            </w:r>
          </w:p>
        </w:tc>
      </w:tr>
    </w:tbl>
    <w:p w14:paraId="1D9F774A">
      <w:pPr>
        <w:pStyle w:val="19"/>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1F05CFA3">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32" w:name="_Toc3597"/>
      <w:bookmarkStart w:id="733" w:name="_Toc18207"/>
      <w:bookmarkStart w:id="734" w:name="_Toc11168"/>
      <w:bookmarkStart w:id="735" w:name="_Toc15531"/>
      <w:bookmarkStart w:id="736" w:name="_Toc11457"/>
      <w:bookmarkStart w:id="737" w:name="_Toc13810"/>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备注1：单位为摄氏度，数值倍率为0.1，例如：数据值315*0.1＝31.5℃；</w:t>
      </w:r>
      <w:bookmarkEnd w:id="732"/>
      <w:bookmarkEnd w:id="733"/>
      <w:bookmarkEnd w:id="734"/>
      <w:bookmarkEnd w:id="735"/>
      <w:bookmarkEnd w:id="736"/>
      <w:bookmarkEnd w:id="737"/>
    </w:p>
    <w:p w14:paraId="458EB9C3">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38" w:name="_Toc22912"/>
      <w:bookmarkStart w:id="739" w:name="_Toc152"/>
      <w:bookmarkStart w:id="740" w:name="_Toc14545"/>
      <w:bookmarkStart w:id="741" w:name="_Toc16252"/>
      <w:bookmarkStart w:id="742" w:name="_Toc1382"/>
      <w:bookmarkStart w:id="743" w:name="_Toc10582"/>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备注2：单位为度，东经为正，西经为负，北纬为正，南纬为负。GPS经纬度值占用字节较多，因此每帧数据中只包含一个时刻值即可；</w:t>
      </w:r>
      <w:bookmarkEnd w:id="738"/>
      <w:bookmarkEnd w:id="739"/>
      <w:bookmarkEnd w:id="740"/>
      <w:bookmarkEnd w:id="741"/>
      <w:bookmarkEnd w:id="742"/>
      <w:bookmarkEnd w:id="743"/>
    </w:p>
    <w:p w14:paraId="6CF842A2">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44" w:name="_Toc251"/>
      <w:bookmarkStart w:id="745" w:name="_Toc5086"/>
      <w:bookmarkStart w:id="746" w:name="_Toc15915"/>
      <w:bookmarkStart w:id="747" w:name="_Toc16750"/>
      <w:bookmarkStart w:id="748" w:name="_Toc30709"/>
      <w:bookmarkStart w:id="749" w:name="_Toc24241"/>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备注3：若通道总数小于等于8 ，此字节数为1；若通道总数大于8小于等于16此字节数为2。第一个字节的bit0-bit7表示第1—8开关量通道值；第二字节的bit0-bit7表示第9—16开关量通道值；；</w:t>
      </w:r>
      <w:bookmarkEnd w:id="744"/>
      <w:bookmarkEnd w:id="745"/>
      <w:bookmarkEnd w:id="746"/>
      <w:bookmarkEnd w:id="747"/>
      <w:bookmarkEnd w:id="748"/>
      <w:bookmarkEnd w:id="749"/>
    </w:p>
    <w:p w14:paraId="5E3D13DE">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50" w:name="_Toc18704"/>
      <w:bookmarkStart w:id="751" w:name="_Toc9838"/>
      <w:bookmarkStart w:id="752" w:name="_Toc25430"/>
      <w:bookmarkStart w:id="753" w:name="_Toc10400"/>
      <w:bookmarkStart w:id="754" w:name="_Toc24227"/>
      <w:bookmarkStart w:id="755" w:name="_Toc1259"/>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备注4：高字节在前，低字节在后。设备上发时将电压放大100倍后使用整型传输，上位机解码时将数值还原。示例：02H E8H = 744 * 0.01 =7.44V。</w:t>
      </w:r>
      <w:bookmarkEnd w:id="750"/>
      <w:bookmarkEnd w:id="751"/>
      <w:bookmarkEnd w:id="752"/>
      <w:bookmarkEnd w:id="753"/>
      <w:bookmarkEnd w:id="754"/>
      <w:bookmarkEnd w:id="755"/>
    </w:p>
    <w:p w14:paraId="2F99C92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p>
    <w:p w14:paraId="765CAF96">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right="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756" w:name="_Toc32266"/>
      <w:bookmarkStart w:id="757" w:name="_Toc12662"/>
      <w:bookmarkStart w:id="758" w:name="_Toc24965"/>
      <w:bookmarkStart w:id="759" w:name="_Toc15292"/>
      <w:bookmarkStart w:id="760" w:name="_Toc7733"/>
      <w:bookmarkStart w:id="761" w:name="_Toc2549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四、售后服务及质保期</w:t>
      </w:r>
      <w:bookmarkEnd w:id="756"/>
      <w:bookmarkEnd w:id="757"/>
      <w:bookmarkEnd w:id="758"/>
      <w:bookmarkEnd w:id="759"/>
      <w:bookmarkEnd w:id="760"/>
      <w:bookmarkEnd w:id="761"/>
    </w:p>
    <w:p w14:paraId="67487795">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62" w:name="_Toc1866"/>
      <w:bookmarkStart w:id="763" w:name="_Toc18492"/>
      <w:bookmarkStart w:id="764" w:name="_Toc11690"/>
      <w:bookmarkStart w:id="765" w:name="_Toc18618"/>
      <w:bookmarkStart w:id="766" w:name="_Toc18707"/>
      <w:bookmarkStart w:id="767" w:name="_Toc12076"/>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4.1 投标人须保证对招标人具有完善的售后服务体系。投标人须配合远程设备的通讯调试；</w:t>
      </w:r>
      <w:bookmarkEnd w:id="762"/>
      <w:bookmarkEnd w:id="763"/>
      <w:bookmarkEnd w:id="764"/>
      <w:bookmarkEnd w:id="765"/>
      <w:bookmarkEnd w:id="766"/>
      <w:bookmarkEnd w:id="767"/>
    </w:p>
    <w:p w14:paraId="4BDEFE63">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68" w:name="_Toc113"/>
      <w:bookmarkStart w:id="769" w:name="_Toc10923"/>
      <w:bookmarkStart w:id="770" w:name="_Toc3745"/>
      <w:bookmarkStart w:id="771" w:name="_Toc675"/>
      <w:bookmarkStart w:id="772" w:name="_Toc29343"/>
      <w:bookmarkStart w:id="773" w:name="_Toc4545"/>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4.2 投标人须提供技术文件资料，包括但不限于在远传调试、移交过程中需要的技术资料、上下行接口文件材料及服务；</w:t>
      </w:r>
      <w:bookmarkEnd w:id="768"/>
      <w:bookmarkEnd w:id="769"/>
      <w:bookmarkEnd w:id="770"/>
      <w:bookmarkEnd w:id="771"/>
      <w:bookmarkEnd w:id="772"/>
      <w:bookmarkEnd w:id="773"/>
    </w:p>
    <w:p w14:paraId="2A3C63FD">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74" w:name="_Toc7203"/>
      <w:bookmarkStart w:id="775" w:name="_Toc28148"/>
      <w:bookmarkStart w:id="776" w:name="_Toc20617"/>
      <w:bookmarkStart w:id="777" w:name="_Toc694"/>
      <w:bookmarkStart w:id="778" w:name="_Toc20601"/>
      <w:bookmarkStart w:id="779" w:name="_Toc6571"/>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4.3 投标人负责向招标人有关人员提供技术培训，使其能对设备进行日常的维护保养及能对一般故障进行维修，并向培训人员提供详细的操作手册、技术维修及调试参数等相关资料；</w:t>
      </w:r>
      <w:bookmarkEnd w:id="774"/>
      <w:bookmarkEnd w:id="775"/>
      <w:bookmarkEnd w:id="776"/>
      <w:bookmarkEnd w:id="777"/>
      <w:bookmarkEnd w:id="778"/>
      <w:bookmarkEnd w:id="779"/>
    </w:p>
    <w:p w14:paraId="33D8D963">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80" w:name="_Toc29470"/>
      <w:bookmarkStart w:id="781" w:name="_Toc26179"/>
      <w:bookmarkStart w:id="782" w:name="_Toc30706"/>
      <w:bookmarkStart w:id="783" w:name="_Toc13403"/>
      <w:bookmarkStart w:id="784" w:name="_Toc21977"/>
      <w:bookmarkStart w:id="785" w:name="_Toc9319"/>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4.4 投标人须有稳定的售后服务体系，接到招标人的售后需求需在</w:t>
      </w:r>
      <w:r>
        <w:rPr>
          <w:rFonts w:hint="eastAsia"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小时以内做出响应；如需到现场处理，投标人需在接到招标人通知后24小时内到达现场进行处理。</w:t>
      </w:r>
      <w:bookmarkEnd w:id="780"/>
      <w:bookmarkEnd w:id="781"/>
      <w:bookmarkEnd w:id="782"/>
      <w:bookmarkEnd w:id="783"/>
      <w:bookmarkEnd w:id="784"/>
      <w:bookmarkEnd w:id="785"/>
    </w:p>
    <w:p w14:paraId="00F9EB81">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86" w:name="_Toc11794"/>
      <w:bookmarkStart w:id="787" w:name="_Toc2581"/>
      <w:bookmarkStart w:id="788" w:name="_Toc31405"/>
      <w:bookmarkStart w:id="789" w:name="_Toc7154"/>
      <w:bookmarkStart w:id="790" w:name="_Toc7619"/>
      <w:bookmarkStart w:id="791" w:name="_Toc7108"/>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4.5 螺翼式远传水表整表（含配套远传模块、电池和通讯资费）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质保期为5年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hAnsi="宋体" w:cs="宋体"/>
          <w:b w:val="0"/>
          <w:bCs w:val="0"/>
          <w:color w:val="000000" w:themeColor="text1"/>
          <w:sz w:val="21"/>
          <w:szCs w:val="21"/>
          <w:highlight w:val="none"/>
          <w:lang w:val="en-US" w:eastAsia="zh-CN"/>
          <w14:textFill>
            <w14:solidFill>
              <w14:schemeClr w14:val="tx1"/>
            </w14:solidFill>
          </w14:textFill>
        </w:rPr>
        <w:t>按每批次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货物送达招标人指定地点</w:t>
      </w:r>
      <w:r>
        <w:rPr>
          <w:rFonts w:hint="eastAsia" w:hAnsi="宋体" w:cs="宋体"/>
          <w:b w:val="0"/>
          <w:bCs w:val="0"/>
          <w:color w:val="000000" w:themeColor="text1"/>
          <w:sz w:val="21"/>
          <w:szCs w:val="21"/>
          <w:highlight w:val="none"/>
          <w:lang w:val="en-US" w:eastAsia="zh-CN"/>
          <w14:textFill>
            <w14:solidFill>
              <w14:schemeClr w14:val="tx1"/>
            </w14:solidFill>
          </w14:textFill>
        </w:rPr>
        <w:t>交货验收合格并开具发票之日算起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。质保期内，投标人对货物进行免费保修。</w:t>
      </w:r>
      <w:bookmarkEnd w:id="786"/>
      <w:bookmarkEnd w:id="787"/>
      <w:bookmarkEnd w:id="788"/>
      <w:bookmarkEnd w:id="789"/>
      <w:bookmarkEnd w:id="790"/>
      <w:bookmarkEnd w:id="791"/>
    </w:p>
    <w:p w14:paraId="31DC9CD2">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2354CE1A">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right="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792" w:name="_Toc7045"/>
      <w:bookmarkStart w:id="793" w:name="_Toc4051"/>
      <w:bookmarkStart w:id="794" w:name="_Toc23616"/>
      <w:bookmarkStart w:id="795" w:name="_Toc18900"/>
      <w:bookmarkStart w:id="796" w:name="_Toc3139"/>
      <w:bookmarkStart w:id="797" w:name="_Toc13679"/>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五、货款结算方式</w:t>
      </w:r>
      <w:bookmarkEnd w:id="792"/>
      <w:bookmarkEnd w:id="793"/>
      <w:bookmarkEnd w:id="794"/>
      <w:bookmarkEnd w:id="795"/>
      <w:bookmarkEnd w:id="796"/>
      <w:bookmarkEnd w:id="797"/>
    </w:p>
    <w:p w14:paraId="7F4BFF37">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98" w:name="_Toc9836"/>
      <w:bookmarkStart w:id="799" w:name="_Toc31756"/>
      <w:bookmarkStart w:id="800" w:name="_Toc24246"/>
      <w:bookmarkStart w:id="801" w:name="_Toc183"/>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合同履约过程中，按货物清单中不含税中标综合单价以实际供货数量进行结算：不含税中标综合单价=不含税预算综合单价×中标折扣系数，以实际供货数量进行结算，不含税中标综合单价出现小数点，保留小数点后两位，从小数点后第3位四舍五入</w:t>
      </w:r>
      <w:r>
        <w:rPr>
          <w:rFonts w:hint="eastAsia" w:hAnsi="宋体" w:cs="宋体"/>
          <w:b w:val="0"/>
          <w:bCs w:val="0"/>
          <w:color w:val="000000" w:themeColor="text1"/>
          <w:sz w:val="21"/>
          <w:szCs w:val="21"/>
          <w:highlight w:val="none"/>
          <w:lang w:val="en-US" w:eastAsia="zh-CN"/>
          <w14:textFill>
            <w14:solidFill>
              <w14:schemeClr w14:val="tx1"/>
            </w14:solidFill>
          </w14:textFill>
        </w:rPr>
        <w:t>。</w:t>
      </w:r>
      <w:bookmarkEnd w:id="798"/>
      <w:bookmarkEnd w:id="799"/>
      <w:bookmarkEnd w:id="800"/>
      <w:bookmarkEnd w:id="801"/>
    </w:p>
    <w:p w14:paraId="705A5225">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0DFC81E5">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right="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802" w:name="_Toc9382"/>
      <w:bookmarkStart w:id="803" w:name="_Toc4122"/>
      <w:bookmarkStart w:id="804" w:name="_Toc17375"/>
      <w:bookmarkStart w:id="805" w:name="_Toc32179"/>
      <w:bookmarkStart w:id="806" w:name="_Toc13841"/>
      <w:bookmarkStart w:id="807" w:name="_Toc21209"/>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六、货款支付方式</w:t>
      </w:r>
      <w:bookmarkEnd w:id="802"/>
      <w:bookmarkEnd w:id="803"/>
      <w:bookmarkEnd w:id="804"/>
      <w:bookmarkEnd w:id="805"/>
      <w:bookmarkEnd w:id="806"/>
      <w:bookmarkEnd w:id="807"/>
    </w:p>
    <w:p w14:paraId="546643AE">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808" w:name="_Toc16981"/>
      <w:bookmarkStart w:id="809" w:name="_Toc24066"/>
      <w:bookmarkStart w:id="810" w:name="_Toc19892"/>
      <w:bookmarkStart w:id="811" w:name="_Toc25740"/>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1、招标人发出单笔《供货通知单》后，在收到投标人按本项目合同约定提供与本批次货款等额的订单保函并经招标人财务人员审核合格后30个工作日内，招标人支付至该批货物货款总额（含销项税额）的100%。</w:t>
      </w:r>
      <w:bookmarkEnd w:id="808"/>
      <w:bookmarkEnd w:id="809"/>
      <w:bookmarkEnd w:id="810"/>
      <w:bookmarkEnd w:id="811"/>
    </w:p>
    <w:p w14:paraId="471AC3EC">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812" w:name="_Toc508"/>
      <w:bookmarkStart w:id="813" w:name="_Toc25570"/>
      <w:bookmarkStart w:id="814" w:name="_Toc5687"/>
      <w:bookmarkStart w:id="815" w:name="_Toc17927"/>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2、如果依合同投标人应支付违约金或赔偿或其他费用的，招标人有权从上述应支付给投标人的款项中直接扣除，不足部分招标人有权要求投标人另行补足。</w:t>
      </w:r>
      <w:bookmarkEnd w:id="812"/>
      <w:bookmarkEnd w:id="813"/>
      <w:bookmarkEnd w:id="814"/>
      <w:bookmarkEnd w:id="815"/>
    </w:p>
    <w:p w14:paraId="19C4A674">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43EE33A5">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right="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816" w:name="_Toc15750"/>
      <w:bookmarkStart w:id="817" w:name="_Toc5010"/>
      <w:bookmarkStart w:id="818" w:name="_Toc2283"/>
      <w:bookmarkStart w:id="819" w:name="_Toc15458"/>
      <w:r>
        <w:rPr>
          <w:rFonts w:hint="eastAsia" w:hAnsi="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、预算表</w:t>
      </w:r>
      <w:bookmarkEnd w:id="816"/>
      <w:bookmarkEnd w:id="817"/>
      <w:bookmarkEnd w:id="818"/>
      <w:bookmarkEnd w:id="819"/>
    </w:p>
    <w:tbl>
      <w:tblPr>
        <w:tblStyle w:val="4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8"/>
        <w:gridCol w:w="1062"/>
        <w:gridCol w:w="850"/>
        <w:gridCol w:w="3800"/>
        <w:gridCol w:w="663"/>
        <w:gridCol w:w="662"/>
        <w:gridCol w:w="1225"/>
        <w:gridCol w:w="1455"/>
      </w:tblGrid>
      <w:tr w14:paraId="1762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2" w:type="pct"/>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490B7DD2">
            <w:pPr>
              <w:keepNext w:val="0"/>
              <w:keepLines w:val="0"/>
              <w:widowControl/>
              <w:suppressLineNumbers w:val="0"/>
              <w:jc w:val="center"/>
              <w:textAlignment w:val="center"/>
              <w:rPr>
                <w:rFonts w:hint="eastAsia" w:ascii="宋体" w:hAnsi="宋体" w:eastAsia="宋体" w:cs="宋体"/>
                <w:b w:val="0"/>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9CF84">
            <w:pPr>
              <w:keepNext w:val="0"/>
              <w:keepLines w:val="0"/>
              <w:widowControl/>
              <w:suppressLineNumbers w:val="0"/>
              <w:jc w:val="center"/>
              <w:textAlignment w:val="center"/>
              <w:rPr>
                <w:rFonts w:hint="eastAsia" w:ascii="宋体" w:hAnsi="宋体" w:eastAsia="宋体" w:cs="宋体"/>
                <w:b w:val="0"/>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名称</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AB0FC">
            <w:pPr>
              <w:keepNext w:val="0"/>
              <w:keepLines w:val="0"/>
              <w:widowControl/>
              <w:suppressLineNumbers w:val="0"/>
              <w:jc w:val="center"/>
              <w:textAlignment w:val="center"/>
              <w:rPr>
                <w:rFonts w:hint="eastAsia" w:ascii="宋体" w:hAnsi="宋体" w:eastAsia="宋体" w:cs="宋体"/>
                <w:b w:val="0"/>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口径规格</w:t>
            </w:r>
          </w:p>
        </w:tc>
        <w:tc>
          <w:tcPr>
            <w:tcW w:w="18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DFCDE">
            <w:pPr>
              <w:keepNext w:val="0"/>
              <w:keepLines w:val="0"/>
              <w:widowControl/>
              <w:suppressLineNumbers w:val="0"/>
              <w:jc w:val="center"/>
              <w:textAlignment w:val="center"/>
              <w:rPr>
                <w:rFonts w:hint="eastAsia" w:ascii="宋体" w:hAnsi="宋体" w:eastAsia="宋体" w:cs="宋体"/>
                <w:b w:val="0"/>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技术指标</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3110A">
            <w:pPr>
              <w:keepNext w:val="0"/>
              <w:keepLines w:val="0"/>
              <w:widowControl/>
              <w:suppressLineNumbers w:val="0"/>
              <w:jc w:val="center"/>
              <w:textAlignment w:val="center"/>
              <w:rPr>
                <w:rFonts w:hint="eastAsia" w:ascii="宋体" w:hAnsi="宋体" w:eastAsia="宋体" w:cs="宋体"/>
                <w:b w:val="0"/>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48DC5">
            <w:pPr>
              <w:keepNext w:val="0"/>
              <w:keepLines w:val="0"/>
              <w:widowControl/>
              <w:suppressLineNumbers w:val="0"/>
              <w:jc w:val="center"/>
              <w:textAlignment w:val="center"/>
              <w:rPr>
                <w:rFonts w:hint="eastAsia" w:ascii="宋体" w:hAnsi="宋体" w:eastAsia="宋体" w:cs="宋体"/>
                <w:b w:val="0"/>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数量</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F010D">
            <w:pPr>
              <w:keepNext w:val="0"/>
              <w:keepLines w:val="0"/>
              <w:widowControl/>
              <w:suppressLineNumbers w:val="0"/>
              <w:jc w:val="center"/>
              <w:textAlignment w:val="center"/>
              <w:rPr>
                <w:rFonts w:hint="eastAsia" w:ascii="宋体" w:hAnsi="宋体" w:eastAsia="宋体" w:cs="宋体"/>
                <w:b w:val="0"/>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不含税全费用综合单价（元）</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48682">
            <w:pPr>
              <w:keepNext w:val="0"/>
              <w:keepLines w:val="0"/>
              <w:widowControl/>
              <w:suppressLineNumbers w:val="0"/>
              <w:jc w:val="center"/>
              <w:textAlignment w:val="center"/>
              <w:rPr>
                <w:rFonts w:hint="eastAsia" w:ascii="宋体" w:hAnsi="宋体" w:eastAsia="宋体" w:cs="宋体"/>
                <w:b w:val="0"/>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i w:val="0"/>
                <w:iCs w:val="0"/>
                <w:color w:val="000000" w:themeColor="text1"/>
                <w:kern w:val="0"/>
                <w:sz w:val="21"/>
                <w:szCs w:val="21"/>
                <w:highlight w:val="none"/>
                <w:u w:val="none"/>
                <w:lang w:val="en-US" w:eastAsia="zh-CN" w:bidi="ar"/>
                <w14:textFill>
                  <w14:solidFill>
                    <w14:schemeClr w14:val="tx1"/>
                  </w14:solidFill>
                </w14:textFill>
              </w:rPr>
              <w:t>不含税合价（元）</w:t>
            </w:r>
          </w:p>
        </w:tc>
      </w:tr>
      <w:tr w14:paraId="6276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12"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14:paraId="25C14F67">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060D0F60">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垂直螺翼式水表</w:t>
            </w:r>
          </w:p>
        </w:tc>
        <w:tc>
          <w:tcPr>
            <w:tcW w:w="41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54BCE256">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DN80</w:t>
            </w:r>
          </w:p>
        </w:tc>
        <w:tc>
          <w:tcPr>
            <w:tcW w:w="1833" w:type="pct"/>
            <w:vMerge w:val="restar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5E1DB2DC">
            <w:pPr>
              <w:keepNext w:val="0"/>
              <w:keepLines w:val="0"/>
              <w:widowControl/>
              <w:suppressLineNumbers w:val="0"/>
              <w:jc w:val="left"/>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1.配件要求：</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每台垂直螺翼式水表需包含1套远传模块和2个垫圈，不含法兰；</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2.水表制造材料：</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(1)表壳材料选用符合国家标准要求的球墨铸铁，内外表面经静电喷塑处理，不允许有气泡或漆块堆积；</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(2)水表机芯主要材料应选用高强度塑料，顶尖轴、叶轮轴均应采用不锈钢材料；</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(3)垂直螺翼式水表的内置滤网材质为不锈钢；</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3.具体详见用户需求书。</w:t>
            </w:r>
          </w:p>
        </w:tc>
        <w:tc>
          <w:tcPr>
            <w:tcW w:w="319"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2A5A0265">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台</w:t>
            </w:r>
          </w:p>
        </w:tc>
        <w:tc>
          <w:tcPr>
            <w:tcW w:w="319"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77E055F4">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2737</w:t>
            </w:r>
          </w:p>
        </w:tc>
        <w:tc>
          <w:tcPr>
            <w:tcW w:w="59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1AAA26D2">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1192.74</w:t>
            </w:r>
          </w:p>
        </w:tc>
        <w:tc>
          <w:tcPr>
            <w:tcW w:w="701"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26519C5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264529</w:t>
            </w: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38</w:t>
            </w:r>
          </w:p>
        </w:tc>
      </w:tr>
      <w:tr w14:paraId="7C96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BF730">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 xml:space="preserve">2 </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1535F1E8">
            <w:pPr>
              <w:jc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B74A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DN100</w:t>
            </w:r>
          </w:p>
        </w:tc>
        <w:tc>
          <w:tcPr>
            <w:tcW w:w="1833"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770D6317">
            <w:pPr>
              <w:jc w:val="left"/>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556E4">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A7F2D">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3410</w:t>
            </w:r>
          </w:p>
        </w:tc>
        <w:tc>
          <w:tcPr>
            <w:tcW w:w="59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6E08AC0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300.81</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0A1A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4</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435762</w:t>
            </w: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10</w:t>
            </w:r>
          </w:p>
        </w:tc>
      </w:tr>
      <w:tr w14:paraId="32CC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2"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14:paraId="4268517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 xml:space="preserve">3 </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6A1CA51D">
            <w:pPr>
              <w:jc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41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69D06097">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DN150</w:t>
            </w:r>
          </w:p>
        </w:tc>
        <w:tc>
          <w:tcPr>
            <w:tcW w:w="1833"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6DD8A2BB">
            <w:pPr>
              <w:jc w:val="left"/>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7194CB48">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台</w:t>
            </w:r>
          </w:p>
        </w:tc>
        <w:tc>
          <w:tcPr>
            <w:tcW w:w="319"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14:paraId="76F1E8D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648</w:t>
            </w:r>
          </w:p>
        </w:tc>
        <w:tc>
          <w:tcPr>
            <w:tcW w:w="59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38BE2B1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985.05</w:t>
            </w:r>
          </w:p>
        </w:tc>
        <w:tc>
          <w:tcPr>
            <w:tcW w:w="701"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186A672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286312.40</w:t>
            </w:r>
          </w:p>
        </w:tc>
      </w:tr>
      <w:tr w14:paraId="6E92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77DD6">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 xml:space="preserve">4 </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20788655">
            <w:pPr>
              <w:jc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C3FA8">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DN200</w:t>
            </w:r>
          </w:p>
        </w:tc>
        <w:tc>
          <w:tcPr>
            <w:tcW w:w="1833"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42F2ECD3">
            <w:pPr>
              <w:jc w:val="left"/>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B2D6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433F2">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194</w:t>
            </w:r>
          </w:p>
        </w:tc>
        <w:tc>
          <w:tcPr>
            <w:tcW w:w="59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61C1C47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506.76</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A1C7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4</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86311.44</w:t>
            </w:r>
          </w:p>
        </w:tc>
      </w:tr>
      <w:tr w14:paraId="49DF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12"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14:paraId="483A1ECA">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 xml:space="preserve">5 </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6D334DBB">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水平螺翼式水表</w:t>
            </w:r>
          </w:p>
        </w:tc>
        <w:tc>
          <w:tcPr>
            <w:tcW w:w="41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305593F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DN80</w:t>
            </w:r>
          </w:p>
        </w:tc>
        <w:tc>
          <w:tcPr>
            <w:tcW w:w="1833" w:type="pct"/>
            <w:vMerge w:val="restar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49D95D01">
            <w:pPr>
              <w:keepNext w:val="0"/>
              <w:keepLines w:val="0"/>
              <w:widowControl/>
              <w:suppressLineNumbers w:val="0"/>
              <w:jc w:val="left"/>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1.配件要求：</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每台水平螺翼式水表需包含1套远传模块、4个垫圈和1套前置过滤器，不含法兰；</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2.水表制造材料：</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(1)表壳材料选用符合国家标准要求的球墨铸铁，内外表面经静电喷塑处理，不允许有气泡或漆块堆积；</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(2)水表机芯主要材料应选用高强度塑料，顶尖轴、叶轮轴均应采用不锈钢材料；</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(3)水平螺翼式水表适配的前置过滤器滤网材料为不锈钢；</w:t>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3.具体详见用户需求书。</w:t>
            </w:r>
          </w:p>
        </w:tc>
        <w:tc>
          <w:tcPr>
            <w:tcW w:w="319"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52411E67">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台</w:t>
            </w:r>
          </w:p>
        </w:tc>
        <w:tc>
          <w:tcPr>
            <w:tcW w:w="319"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14:paraId="18927F4F">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574</w:t>
            </w:r>
          </w:p>
        </w:tc>
        <w:tc>
          <w:tcPr>
            <w:tcW w:w="59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736EFE29">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1177.58</w:t>
            </w:r>
          </w:p>
        </w:tc>
        <w:tc>
          <w:tcPr>
            <w:tcW w:w="701"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712B0D6F">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675930.92</w:t>
            </w:r>
          </w:p>
        </w:tc>
      </w:tr>
      <w:tr w14:paraId="36DE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8396F">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 xml:space="preserve">6 </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33F350E3">
            <w:pPr>
              <w:jc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59F03">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DN100</w:t>
            </w:r>
          </w:p>
        </w:tc>
        <w:tc>
          <w:tcPr>
            <w:tcW w:w="1833"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7C02357D">
            <w:pPr>
              <w:jc w:val="left"/>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E2EC9">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E7974">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700</w:t>
            </w:r>
          </w:p>
        </w:tc>
        <w:tc>
          <w:tcPr>
            <w:tcW w:w="59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5712656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306.54</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73E79">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9</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14578.00</w:t>
            </w:r>
          </w:p>
        </w:tc>
      </w:tr>
      <w:tr w14:paraId="21B7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12"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14:paraId="5107E035">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 xml:space="preserve">7 </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0805B664">
            <w:pPr>
              <w:jc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41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4DF24011">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DN150</w:t>
            </w:r>
          </w:p>
        </w:tc>
        <w:tc>
          <w:tcPr>
            <w:tcW w:w="1833"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12007CC3">
            <w:pPr>
              <w:jc w:val="left"/>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61DEAFFA">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台</w:t>
            </w:r>
          </w:p>
        </w:tc>
        <w:tc>
          <w:tcPr>
            <w:tcW w:w="319" w:type="pct"/>
            <w:tcBorders>
              <w:top w:val="single" w:color="000000" w:sz="4" w:space="0"/>
              <w:left w:val="single" w:color="000000" w:sz="4" w:space="0"/>
              <w:bottom w:val="single" w:color="000000" w:sz="4" w:space="0"/>
              <w:right w:val="single" w:color="000000" w:sz="4" w:space="0"/>
            </w:tcBorders>
            <w:shd w:val="clear" w:color="FDE9D9" w:fill="FFFFFF"/>
            <w:noWrap/>
            <w:vAlign w:val="center"/>
          </w:tcPr>
          <w:p w14:paraId="6C168FCA">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215</w:t>
            </w:r>
          </w:p>
        </w:tc>
        <w:tc>
          <w:tcPr>
            <w:tcW w:w="59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386AFC9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792.17</w:t>
            </w:r>
          </w:p>
        </w:tc>
        <w:tc>
          <w:tcPr>
            <w:tcW w:w="701"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71D7EA53">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85316.55</w:t>
            </w:r>
          </w:p>
        </w:tc>
      </w:tr>
      <w:tr w14:paraId="085F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04BA3">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 xml:space="preserve">8 </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6C41CB23">
            <w:pPr>
              <w:jc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9E7F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DN200</w:t>
            </w:r>
          </w:p>
        </w:tc>
        <w:tc>
          <w:tcPr>
            <w:tcW w:w="1833" w:type="pct"/>
            <w:vMerge w:val="continue"/>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505DB18E">
            <w:pPr>
              <w:jc w:val="left"/>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FF134">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27E1">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w:t>
            </w:r>
          </w:p>
        </w:tc>
        <w:tc>
          <w:tcPr>
            <w:tcW w:w="59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09FA01D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571.25</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EB2E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i w:val="0"/>
                <w:iCs w:val="0"/>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b w:val="0"/>
                <w:i w:val="0"/>
                <w:iCs w:val="0"/>
                <w:color w:val="000000" w:themeColor="text1"/>
                <w:sz w:val="21"/>
                <w:szCs w:val="21"/>
                <w:highlight w:val="none"/>
                <w:u w:val="none"/>
                <w14:textFill>
                  <w14:solidFill>
                    <w14:schemeClr w14:val="tx1"/>
                  </w14:solidFill>
                </w14:textFill>
              </w:rPr>
              <w:t>10563.75</w:t>
            </w:r>
          </w:p>
        </w:tc>
      </w:tr>
      <w:tr w14:paraId="7029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D306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汇总</w:t>
            </w:r>
          </w:p>
        </w:tc>
        <w:tc>
          <w:tcPr>
            <w:tcW w:w="512"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57E9D96B">
            <w:pPr>
              <w:jc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C5392">
            <w:pPr>
              <w:jc w:val="left"/>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833"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2FD80D04">
            <w:pP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9A099">
            <w:pPr>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5DF7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8521</w:t>
            </w:r>
          </w:p>
        </w:tc>
        <w:tc>
          <w:tcPr>
            <w:tcW w:w="590" w:type="pct"/>
            <w:tcBorders>
              <w:top w:val="single" w:color="000000" w:sz="4" w:space="0"/>
              <w:left w:val="single" w:color="000000" w:sz="4" w:space="0"/>
              <w:bottom w:val="single" w:color="000000" w:sz="4" w:space="0"/>
              <w:right w:val="single" w:color="000000" w:sz="4" w:space="0"/>
            </w:tcBorders>
            <w:shd w:val="clear" w:color="FDE9D9" w:fill="FFFFFF"/>
            <w:noWrap w:val="0"/>
            <w:vAlign w:val="center"/>
          </w:tcPr>
          <w:p w14:paraId="27601B64">
            <w:pPr>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73D5A">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11559304.54</w:t>
            </w:r>
          </w:p>
        </w:tc>
      </w:tr>
    </w:tbl>
    <w:p w14:paraId="6B60DB47">
      <w:pPr>
        <w:rPr>
          <w:rFonts w:hint="eastAsia" w:ascii="宋体" w:hAnsi="宋体" w:eastAsia="宋体" w:cs="宋体"/>
          <w:color w:val="000000" w:themeColor="text1"/>
          <w:sz w:val="21"/>
          <w:szCs w:val="21"/>
          <w:highlight w:val="none"/>
          <w14:textFill>
            <w14:solidFill>
              <w14:schemeClr w14:val="tx1"/>
            </w14:solidFill>
          </w14:textFill>
        </w:rPr>
      </w:pPr>
    </w:p>
    <w:p w14:paraId="181B3834">
      <w:pPr>
        <w:widowControl w:val="0"/>
        <w:autoSpaceDE w:val="0"/>
        <w:autoSpaceDN w:val="0"/>
        <w:adjustRightInd w:val="0"/>
        <w:snapToGrid w:val="0"/>
        <w:spacing w:before="120" w:line="360" w:lineRule="auto"/>
        <w:jc w:val="both"/>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p>
    <w:p w14:paraId="33CEBFFC">
      <w:pPr>
        <w:rPr>
          <w:rFonts w:hint="eastAsia" w:ascii="宋体" w:hAnsi="宋体" w:eastAsia="宋体" w:cs="宋体"/>
          <w:color w:val="000000" w:themeColor="text1"/>
          <w:sz w:val="21"/>
          <w:szCs w:val="21"/>
          <w:highlight w:val="none"/>
          <w14:textFill>
            <w14:solidFill>
              <w14:schemeClr w14:val="tx1"/>
            </w14:solidFill>
          </w14:textFill>
        </w:rPr>
      </w:pPr>
    </w:p>
    <w:p w14:paraId="6CC5BDCF">
      <w:pPr>
        <w:spacing w:line="240" w:lineRule="auto"/>
        <w:jc w:val="left"/>
        <w:rPr>
          <w:rFonts w:hint="eastAsia" w:ascii="宋体" w:hAnsi="宋体" w:eastAsia="宋体" w:cs="宋体"/>
          <w:bCs/>
          <w:color w:val="000000" w:themeColor="text1"/>
          <w:spacing w:val="-10"/>
          <w:sz w:val="21"/>
          <w:szCs w:val="21"/>
          <w:highlight w:val="none"/>
          <w14:textFill>
            <w14:solidFill>
              <w14:schemeClr w14:val="tx1"/>
            </w14:solidFill>
          </w14:textFill>
        </w:rPr>
      </w:pPr>
      <w:r>
        <w:rPr>
          <w:rFonts w:hint="eastAsia" w:ascii="宋体" w:hAnsi="宋体" w:eastAsia="宋体" w:cs="宋体"/>
          <w:bCs/>
          <w:color w:val="000000" w:themeColor="text1"/>
          <w:spacing w:val="-10"/>
          <w:sz w:val="21"/>
          <w:szCs w:val="21"/>
          <w:highlight w:val="none"/>
          <w14:textFill>
            <w14:solidFill>
              <w14:schemeClr w14:val="tx1"/>
            </w14:solidFill>
          </w14:textFill>
        </w:rPr>
        <w:br w:type="page"/>
      </w:r>
    </w:p>
    <w:p w14:paraId="64A3B42B">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000000" w:themeColor="text1"/>
          <w:kern w:val="44"/>
          <w:sz w:val="32"/>
          <w:szCs w:val="32"/>
          <w:highlight w:val="none"/>
          <w:lang w:val="zh-CN"/>
          <w14:textFill>
            <w14:solidFill>
              <w14:schemeClr w14:val="tx1"/>
            </w14:solidFill>
          </w14:textFill>
        </w:rPr>
      </w:pPr>
      <w:bookmarkStart w:id="820" w:name="_Toc142508359"/>
      <w:bookmarkStart w:id="821" w:name="_Toc11281_WPSOffice_Level1"/>
      <w:bookmarkStart w:id="822" w:name="_Toc19547"/>
      <w:bookmarkStart w:id="823" w:name="_Toc20401"/>
      <w:bookmarkStart w:id="824" w:name="_Toc25251"/>
      <w:bookmarkStart w:id="825" w:name="_Toc195714338"/>
      <w:bookmarkStart w:id="826" w:name="_Toc486167707"/>
      <w:bookmarkStart w:id="827" w:name="_Toc450662892"/>
      <w:bookmarkStart w:id="828" w:name="_Toc450"/>
      <w:bookmarkStart w:id="829" w:name="_Toc16675"/>
      <w:bookmarkStart w:id="830" w:name="_Toc134469727"/>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第四篇 合同条款格式</w:t>
      </w:r>
      <w:bookmarkEnd w:id="820"/>
      <w:bookmarkEnd w:id="821"/>
      <w:bookmarkEnd w:id="822"/>
      <w:bookmarkEnd w:id="823"/>
      <w:bookmarkEnd w:id="824"/>
      <w:bookmarkEnd w:id="825"/>
      <w:bookmarkEnd w:id="826"/>
      <w:bookmarkEnd w:id="827"/>
      <w:bookmarkEnd w:id="828"/>
      <w:bookmarkEnd w:id="829"/>
    </w:p>
    <w:bookmarkEnd w:id="830"/>
    <w:p w14:paraId="77D098BF">
      <w:pPr>
        <w:autoSpaceDE w:val="0"/>
        <w:autoSpaceDN w:val="0"/>
        <w:adjustRightInd w:val="0"/>
        <w:spacing w:line="360" w:lineRule="auto"/>
        <w:jc w:val="center"/>
        <w:rPr>
          <w:rFonts w:hint="eastAsia" w:ascii="宋体" w:hAnsi="宋体" w:eastAsia="宋体" w:cs="宋体"/>
          <w:b/>
          <w:color w:val="000000" w:themeColor="text1"/>
          <w:kern w:val="0"/>
          <w:sz w:val="52"/>
          <w:szCs w:val="96"/>
          <w:highlight w:val="none"/>
          <w:lang w:eastAsia="zh-CN"/>
          <w14:textFill>
            <w14:solidFill>
              <w14:schemeClr w14:val="tx1"/>
            </w14:solidFill>
          </w14:textFill>
        </w:rPr>
      </w:pPr>
    </w:p>
    <w:p w14:paraId="26BE259F">
      <w:pPr>
        <w:autoSpaceDE w:val="0"/>
        <w:autoSpaceDN w:val="0"/>
        <w:adjustRightInd w:val="0"/>
        <w:spacing w:line="360" w:lineRule="auto"/>
        <w:jc w:val="center"/>
        <w:rPr>
          <w:rFonts w:hint="eastAsia" w:ascii="宋体" w:hAnsi="宋体" w:eastAsia="宋体" w:cs="宋体"/>
          <w:b/>
          <w:color w:val="000000" w:themeColor="text1"/>
          <w:kern w:val="0"/>
          <w:sz w:val="52"/>
          <w:szCs w:val="96"/>
          <w:highlight w:val="none"/>
          <w:lang w:eastAsia="zh-CN"/>
          <w14:textFill>
            <w14:solidFill>
              <w14:schemeClr w14:val="tx1"/>
            </w14:solidFill>
          </w14:textFill>
        </w:rPr>
      </w:pPr>
    </w:p>
    <w:p w14:paraId="3FC9086B">
      <w:pPr>
        <w:autoSpaceDE w:val="0"/>
        <w:autoSpaceDN w:val="0"/>
        <w:adjustRightInd w:val="0"/>
        <w:spacing w:line="360" w:lineRule="auto"/>
        <w:jc w:val="center"/>
        <w:rPr>
          <w:rFonts w:hint="eastAsia" w:ascii="宋体" w:hAnsi="宋体" w:eastAsia="宋体" w:cs="宋体"/>
          <w:bCs/>
          <w:color w:val="000000" w:themeColor="text1"/>
          <w:kern w:val="0"/>
          <w:sz w:val="52"/>
          <w:szCs w:val="52"/>
          <w:highlight w:val="none"/>
          <w:lang w:eastAsia="zh-CN"/>
          <w14:textFill>
            <w14:solidFill>
              <w14:schemeClr w14:val="tx1"/>
            </w14:solidFill>
          </w14:textFill>
        </w:rPr>
      </w:pPr>
      <w:r>
        <w:rPr>
          <w:rFonts w:hint="eastAsia" w:ascii="宋体" w:hAnsi="宋体" w:eastAsia="宋体" w:cs="宋体"/>
          <w:b/>
          <w:color w:val="000000" w:themeColor="text1"/>
          <w:kern w:val="0"/>
          <w:sz w:val="52"/>
          <w:szCs w:val="96"/>
          <w:highlight w:val="none"/>
          <w:lang w:eastAsia="zh-CN"/>
          <w14:textFill>
            <w14:solidFill>
              <w14:schemeClr w14:val="tx1"/>
            </w14:solidFill>
          </w14:textFill>
        </w:rPr>
        <w:t>东莞市供水计量设施更新项目(2025年计量仪表采购)－螺翼式远传水表</w:t>
      </w:r>
    </w:p>
    <w:p w14:paraId="10E654C4">
      <w:pPr>
        <w:autoSpaceDE w:val="0"/>
        <w:autoSpaceDN w:val="0"/>
        <w:adjustRightInd w:val="0"/>
        <w:spacing w:before="840" w:beforeLines="350" w:after="360" w:afterLines="150" w:line="360" w:lineRule="auto"/>
        <w:jc w:val="center"/>
        <w:rPr>
          <w:rFonts w:hint="eastAsia" w:ascii="宋体" w:hAnsi="宋体" w:eastAsia="宋体" w:cs="宋体"/>
          <w:b/>
          <w:bCs/>
          <w:color w:val="000000" w:themeColor="text1"/>
          <w:spacing w:val="60"/>
          <w:kern w:val="0"/>
          <w:sz w:val="52"/>
          <w:szCs w:val="52"/>
          <w:highlight w:val="none"/>
          <w14:textFill>
            <w14:solidFill>
              <w14:schemeClr w14:val="tx1"/>
            </w14:solidFill>
          </w14:textFill>
        </w:rPr>
      </w:pPr>
      <w:r>
        <w:rPr>
          <w:rFonts w:hint="eastAsia" w:ascii="宋体" w:hAnsi="宋体" w:eastAsia="宋体" w:cs="宋体"/>
          <w:b/>
          <w:bCs/>
          <w:color w:val="000000" w:themeColor="text1"/>
          <w:spacing w:val="60"/>
          <w:kern w:val="0"/>
          <w:sz w:val="52"/>
          <w:szCs w:val="52"/>
          <w:highlight w:val="none"/>
          <w14:textFill>
            <w14:solidFill>
              <w14:schemeClr w14:val="tx1"/>
            </w14:solidFill>
          </w14:textFill>
        </w:rPr>
        <w:t>采购合同</w:t>
      </w:r>
    </w:p>
    <w:p w14:paraId="50DACF8A">
      <w:pPr>
        <w:autoSpaceDE w:val="0"/>
        <w:autoSpaceDN w:val="0"/>
        <w:adjustRightInd w:val="0"/>
        <w:spacing w:line="360" w:lineRule="auto"/>
        <w:jc w:val="center"/>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（合同编号：       ）</w:t>
      </w:r>
    </w:p>
    <w:p w14:paraId="15323707">
      <w:pPr>
        <w:autoSpaceDE w:val="0"/>
        <w:autoSpaceDN w:val="0"/>
        <w:adjustRightInd w:val="0"/>
        <w:spacing w:line="360" w:lineRule="auto"/>
        <w:jc w:val="left"/>
        <w:rPr>
          <w:rFonts w:hint="eastAsia" w:ascii="宋体" w:hAnsi="宋体" w:eastAsia="宋体" w:cs="宋体"/>
          <w:b/>
          <w:bCs/>
          <w:color w:val="000000" w:themeColor="text1"/>
          <w:kern w:val="0"/>
          <w:sz w:val="24"/>
          <w:szCs w:val="21"/>
          <w:highlight w:val="none"/>
          <w14:textFill>
            <w14:solidFill>
              <w14:schemeClr w14:val="tx1"/>
            </w14:solidFill>
          </w14:textFill>
        </w:rPr>
      </w:pPr>
    </w:p>
    <w:p w14:paraId="580857FA">
      <w:pPr>
        <w:autoSpaceDE w:val="0"/>
        <w:autoSpaceDN w:val="0"/>
        <w:adjustRightInd w:val="0"/>
        <w:spacing w:line="360" w:lineRule="auto"/>
        <w:jc w:val="left"/>
        <w:rPr>
          <w:rFonts w:hint="eastAsia" w:ascii="宋体" w:hAnsi="宋体" w:eastAsia="宋体" w:cs="宋体"/>
          <w:b/>
          <w:bCs/>
          <w:color w:val="000000" w:themeColor="text1"/>
          <w:kern w:val="0"/>
          <w:sz w:val="24"/>
          <w:szCs w:val="21"/>
          <w:highlight w:val="none"/>
          <w14:textFill>
            <w14:solidFill>
              <w14:schemeClr w14:val="tx1"/>
            </w14:solidFill>
          </w14:textFill>
        </w:rPr>
      </w:pPr>
    </w:p>
    <w:p w14:paraId="2A59B4C4">
      <w:pPr>
        <w:autoSpaceDE w:val="0"/>
        <w:autoSpaceDN w:val="0"/>
        <w:adjustRightInd w:val="0"/>
        <w:spacing w:line="360" w:lineRule="auto"/>
        <w:jc w:val="left"/>
        <w:rPr>
          <w:rFonts w:hint="eastAsia" w:ascii="宋体" w:hAnsi="宋体" w:eastAsia="宋体" w:cs="宋体"/>
          <w:b/>
          <w:bCs/>
          <w:color w:val="000000" w:themeColor="text1"/>
          <w:kern w:val="0"/>
          <w:sz w:val="24"/>
          <w:szCs w:val="21"/>
          <w:highlight w:val="none"/>
          <w14:textFill>
            <w14:solidFill>
              <w14:schemeClr w14:val="tx1"/>
            </w14:solidFill>
          </w14:textFill>
        </w:rPr>
      </w:pPr>
    </w:p>
    <w:p w14:paraId="1641DE17">
      <w:pPr>
        <w:autoSpaceDE w:val="0"/>
        <w:autoSpaceDN w:val="0"/>
        <w:adjustRightInd w:val="0"/>
        <w:spacing w:line="360" w:lineRule="auto"/>
        <w:jc w:val="left"/>
        <w:rPr>
          <w:rFonts w:hint="eastAsia" w:ascii="宋体" w:hAnsi="宋体" w:eastAsia="宋体" w:cs="宋体"/>
          <w:b/>
          <w:bCs/>
          <w:color w:val="000000" w:themeColor="text1"/>
          <w:kern w:val="0"/>
          <w:sz w:val="24"/>
          <w:szCs w:val="21"/>
          <w:highlight w:val="none"/>
          <w14:textFill>
            <w14:solidFill>
              <w14:schemeClr w14:val="tx1"/>
            </w14:solidFill>
          </w14:textFill>
        </w:rPr>
      </w:pPr>
    </w:p>
    <w:p w14:paraId="038E1BE9">
      <w:pPr>
        <w:autoSpaceDE w:val="0"/>
        <w:autoSpaceDN w:val="0"/>
        <w:adjustRightInd w:val="0"/>
        <w:spacing w:line="480" w:lineRule="auto"/>
        <w:ind w:left="0" w:leftChars="0" w:firstLine="2327" w:firstLineChars="828"/>
        <w:jc w:val="left"/>
        <w:rPr>
          <w:rFonts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甲方：</w:t>
      </w:r>
      <w:r>
        <w:rPr>
          <w:rFonts w:hint="eastAsia" w:ascii="宋体" w:hAnsi="宋体" w:eastAsia="宋体" w:cs="Times New Roman"/>
          <w:b/>
          <w:bCs/>
          <w:color w:val="000000" w:themeColor="text1"/>
          <w:kern w:val="0"/>
          <w:sz w:val="28"/>
          <w:szCs w:val="28"/>
          <w:highlight w:val="none"/>
          <w:u w:val="single"/>
          <w:lang w:eastAsia="zh-CN"/>
          <w14:textFill>
            <w14:solidFill>
              <w14:schemeClr w14:val="tx1"/>
            </w14:solidFill>
          </w14:textFill>
        </w:rPr>
        <w:t>东莞市水务集团供水有限公司</w:t>
      </w:r>
      <w:r>
        <w:rPr>
          <w:rFonts w:hint="eastAsia" w:ascii="宋体" w:hAnsi="宋体" w:eastAsia="宋体" w:cs="Times New Roman"/>
          <w:b/>
          <w:bCs/>
          <w:color w:val="000000" w:themeColor="text1"/>
          <w:kern w:val="0"/>
          <w:sz w:val="28"/>
          <w:szCs w:val="28"/>
          <w:highlight w:val="none"/>
          <w:u w:val="single"/>
          <w14:textFill>
            <w14:solidFill>
              <w14:schemeClr w14:val="tx1"/>
            </w14:solidFill>
          </w14:textFill>
        </w:rPr>
        <w:t xml:space="preserve"> </w:t>
      </w:r>
      <w:r>
        <w:rPr>
          <w:rFonts w:ascii="宋体" w:hAnsi="宋体" w:eastAsia="宋体" w:cs="Times New Roman"/>
          <w:b/>
          <w:bCs/>
          <w:color w:val="000000" w:themeColor="text1"/>
          <w:kern w:val="0"/>
          <w:sz w:val="28"/>
          <w:szCs w:val="28"/>
          <w:highlight w:val="none"/>
          <w14:textFill>
            <w14:solidFill>
              <w14:schemeClr w14:val="tx1"/>
            </w14:solidFill>
          </w14:textFill>
        </w:rPr>
        <w:t xml:space="preserve"> </w:t>
      </w:r>
    </w:p>
    <w:p w14:paraId="0E0CCDDE">
      <w:pPr>
        <w:autoSpaceDE w:val="0"/>
        <w:autoSpaceDN w:val="0"/>
        <w:adjustRightInd w:val="0"/>
        <w:spacing w:line="480" w:lineRule="auto"/>
        <w:ind w:left="0" w:leftChars="0" w:firstLine="2327" w:firstLineChars="828"/>
        <w:jc w:val="left"/>
        <w:rPr>
          <w:rFonts w:ascii="宋体" w:hAnsi="宋体" w:eastAsia="宋体" w:cs="Times New Roman"/>
          <w:b/>
          <w:bCs/>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乙方：</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 xml:space="preserve">                          </w:t>
      </w:r>
    </w:p>
    <w:p w14:paraId="0FDDF954">
      <w:pPr>
        <w:autoSpaceDE w:val="0"/>
        <w:autoSpaceDN w:val="0"/>
        <w:adjustRightInd w:val="0"/>
        <w:spacing w:line="360" w:lineRule="auto"/>
        <w:ind w:left="0" w:leftChars="0" w:firstLine="2327" w:firstLineChars="828"/>
        <w:jc w:val="left"/>
        <w:rPr>
          <w:rFonts w:ascii="宋体" w:hAnsi="宋体" w:eastAsia="宋体" w:cs="宋体"/>
          <w:b/>
          <w:bCs/>
          <w:color w:val="000000" w:themeColor="text1"/>
          <w:kern w:val="0"/>
          <w:sz w:val="28"/>
          <w:szCs w:val="28"/>
          <w:highlight w:val="none"/>
          <w14:textFill>
            <w14:solidFill>
              <w14:schemeClr w14:val="tx1"/>
            </w14:solidFill>
          </w14:textFill>
        </w:rPr>
      </w:pPr>
    </w:p>
    <w:p w14:paraId="42182EFE">
      <w:pPr>
        <w:autoSpaceDE w:val="0"/>
        <w:autoSpaceDN w:val="0"/>
        <w:adjustRightInd w:val="0"/>
        <w:spacing w:line="360" w:lineRule="auto"/>
        <w:ind w:left="0" w:leftChars="0" w:firstLine="2327" w:firstLineChars="828"/>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签订日期：   年   月   日</w:t>
      </w:r>
    </w:p>
    <w:p w14:paraId="3A42F2C3">
      <w:pPr>
        <w:autoSpaceDE w:val="0"/>
        <w:autoSpaceDN w:val="0"/>
        <w:adjustRightInd w:val="0"/>
        <w:jc w:val="left"/>
        <w:rPr>
          <w:rFonts w:hint="eastAsia" w:ascii="宋体" w:hAnsi="宋体" w:eastAsia="宋体" w:cs="宋体"/>
          <w:b/>
          <w:bCs/>
          <w:color w:val="000000" w:themeColor="text1"/>
          <w:kern w:val="0"/>
          <w:sz w:val="28"/>
          <w:szCs w:val="28"/>
          <w:highlight w:val="none"/>
          <w14:textFill>
            <w14:solidFill>
              <w14:schemeClr w14:val="tx1"/>
            </w14:solidFill>
          </w14:textFill>
        </w:rPr>
      </w:pPr>
    </w:p>
    <w:p w14:paraId="43D29241">
      <w:pPr>
        <w:autoSpaceDE w:val="0"/>
        <w:autoSpaceDN w:val="0"/>
        <w:adjustRightInd w:val="0"/>
        <w:jc w:val="left"/>
        <w:rPr>
          <w:rFonts w:hint="eastAsia" w:ascii="宋体" w:hAnsi="宋体" w:eastAsia="宋体" w:cs="宋体"/>
          <w:b/>
          <w:bCs/>
          <w:color w:val="000000" w:themeColor="text1"/>
          <w:kern w:val="0"/>
          <w:sz w:val="28"/>
          <w:szCs w:val="28"/>
          <w:highlight w:val="none"/>
          <w14:textFill>
            <w14:solidFill>
              <w14:schemeClr w14:val="tx1"/>
            </w14:solidFill>
          </w14:textFill>
        </w:rPr>
      </w:pPr>
    </w:p>
    <w:p w14:paraId="69C2DDE4">
      <w:pP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br w:type="page"/>
      </w:r>
    </w:p>
    <w:p w14:paraId="3107F241">
      <w:pPr>
        <w:keepNext w:val="0"/>
        <w:keepLines w:val="0"/>
        <w:pageBreakBefore w:val="0"/>
        <w:widowControl w:val="0"/>
        <w:kinsoku/>
        <w:wordWrap/>
        <w:overflowPunct/>
        <w:topLinePunct w:val="0"/>
        <w:bidi w:val="0"/>
        <w:adjustRightInd w:val="0"/>
        <w:snapToGrid w:val="0"/>
        <w:spacing w:line="360" w:lineRule="auto"/>
        <w:ind w:righ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甲方（买方）：</w:t>
      </w:r>
      <w:r>
        <w:rPr>
          <w:rFonts w:hint="eastAsia" w:ascii="宋体" w:hAnsi="宋体" w:eastAsia="宋体" w:cs="宋体"/>
          <w:color w:val="000000" w:themeColor="text1"/>
          <w:sz w:val="21"/>
          <w:szCs w:val="21"/>
          <w:highlight w:val="none"/>
          <w:u w:val="single"/>
          <w14:textFill>
            <w14:solidFill>
              <w14:schemeClr w14:val="tx1"/>
            </w14:solidFill>
          </w14:textFill>
        </w:rPr>
        <w:t>东莞市水务集团供水有限公司</w:t>
      </w:r>
    </w:p>
    <w:p w14:paraId="119F9F83">
      <w:pPr>
        <w:keepNext w:val="0"/>
        <w:keepLines w:val="0"/>
        <w:pageBreakBefore w:val="0"/>
        <w:widowControl w:val="0"/>
        <w:kinsoku/>
        <w:wordWrap/>
        <w:overflowPunct/>
        <w:topLinePunct w:val="0"/>
        <w:bidi w:val="0"/>
        <w:adjustRightInd w:val="0"/>
        <w:snapToGrid w:val="0"/>
        <w:spacing w:line="360" w:lineRule="auto"/>
        <w:ind w:right="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乙方（卖方）：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70799FD0">
      <w:pPr>
        <w:keepNext w:val="0"/>
        <w:keepLines w:val="0"/>
        <w:pageBreakBefore w:val="0"/>
        <w:widowControl w:val="0"/>
        <w:kinsoku/>
        <w:wordWrap/>
        <w:overflowPunct/>
        <w:topLinePunct w:val="0"/>
        <w:bidi w:val="0"/>
        <w:adjustRightInd w:val="0"/>
        <w:snapToGrid w:val="0"/>
        <w:spacing w:line="360" w:lineRule="auto"/>
        <w:ind w:right="0" w:firstLine="371" w:firstLineChars="177"/>
        <w:rPr>
          <w:rFonts w:hint="eastAsia" w:ascii="宋体" w:hAnsi="宋体" w:eastAsia="宋体" w:cs="宋体"/>
          <w:color w:val="000000" w:themeColor="text1"/>
          <w:sz w:val="21"/>
          <w:szCs w:val="21"/>
          <w:highlight w:val="none"/>
          <w14:textFill>
            <w14:solidFill>
              <w14:schemeClr w14:val="tx1"/>
            </w14:solidFill>
          </w14:textFill>
        </w:rPr>
      </w:pPr>
    </w:p>
    <w:p w14:paraId="0636B1C3">
      <w:pPr>
        <w:keepNext w:val="0"/>
        <w:keepLines w:val="0"/>
        <w:pageBreakBefore w:val="0"/>
        <w:widowControl w:val="0"/>
        <w:kinsoku/>
        <w:wordWrap/>
        <w:overflowPunct/>
        <w:topLinePunct w:val="0"/>
        <w:bidi w:val="0"/>
        <w:adjustRightInd w:val="0"/>
        <w:snapToGrid w:val="0"/>
        <w:spacing w:line="360" w:lineRule="auto"/>
        <w:ind w:right="0"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根据《中华人民共和国民法典》及</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日公示的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项目中标结果（招标编号：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）和招标文件的要求，经双方协商一致，签订本合同。</w:t>
      </w:r>
    </w:p>
    <w:p w14:paraId="53794C91">
      <w:pPr>
        <w:keepNext w:val="0"/>
        <w:keepLines w:val="0"/>
        <w:pageBreakBefore w:val="0"/>
        <w:widowControl w:val="0"/>
        <w:kinsoku/>
        <w:wordWrap/>
        <w:overflowPunct/>
        <w:topLinePunct w:val="0"/>
        <w:bidi w:val="0"/>
        <w:adjustRightInd w:val="0"/>
        <w:snapToGrid w:val="0"/>
        <w:spacing w:line="360" w:lineRule="auto"/>
        <w:ind w:right="0" w:firstLine="373" w:firstLineChars="177"/>
        <w:rPr>
          <w:rFonts w:hint="eastAsia" w:ascii="宋体" w:hAnsi="宋体" w:eastAsia="宋体" w:cs="宋体"/>
          <w:b/>
          <w:color w:val="000000" w:themeColor="text1"/>
          <w:sz w:val="21"/>
          <w:szCs w:val="21"/>
          <w:highlight w:val="none"/>
          <w14:textFill>
            <w14:solidFill>
              <w14:schemeClr w14:val="tx1"/>
            </w14:solidFill>
          </w14:textFill>
        </w:rPr>
      </w:pPr>
    </w:p>
    <w:p w14:paraId="12EC18F8">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31" w:name="_Toc4234"/>
      <w:r>
        <w:rPr>
          <w:rFonts w:hint="eastAsia" w:ascii="宋体" w:hAnsi="宋体" w:eastAsia="宋体" w:cs="Times New Roman"/>
          <w:b/>
          <w:color w:val="000000" w:themeColor="text1"/>
          <w:szCs w:val="21"/>
          <w:highlight w:val="none"/>
          <w14:textFill>
            <w14:solidFill>
              <w14:schemeClr w14:val="tx1"/>
            </w14:solidFill>
          </w14:textFill>
        </w:rPr>
        <w:t>第一条 合同项目</w:t>
      </w:r>
      <w:bookmarkEnd w:id="831"/>
    </w:p>
    <w:p w14:paraId="6D3180F6">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Times New Roman"/>
          <w:color w:val="000000" w:themeColor="text1"/>
          <w:szCs w:val="21"/>
          <w:highlight w:val="none"/>
          <w14:textFill>
            <w14:solidFill>
              <w14:schemeClr w14:val="tx1"/>
            </w14:solidFill>
          </w14:textFill>
        </w:rPr>
        <w:t>清单：详见附件。</w:t>
      </w:r>
    </w:p>
    <w:p w14:paraId="3A557BF9">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乙方知悉并同意：本合同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Times New Roman" w:hAnsi="Times New Roman" w:eastAsia="宋体" w:cs="Times New Roman"/>
          <w:color w:val="000000" w:themeColor="text1"/>
          <w:szCs w:val="21"/>
          <w:highlight w:val="none"/>
          <w14:textFill>
            <w14:solidFill>
              <w14:schemeClr w14:val="tx1"/>
            </w14:solidFill>
          </w14:textFill>
        </w:rPr>
        <w:t>清单中的采购数量为暂定数量，仅为便于计算合同暂定价使用，不作为甲方最终采购数量的保证。甲方的</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最终采购</w:t>
      </w:r>
      <w:r>
        <w:rPr>
          <w:rFonts w:hint="eastAsia" w:ascii="Times New Roman" w:hAnsi="Times New Roman" w:eastAsia="宋体" w:cs="Times New Roman"/>
          <w:color w:val="000000" w:themeColor="text1"/>
          <w:szCs w:val="21"/>
          <w:highlight w:val="none"/>
          <w14:textFill>
            <w14:solidFill>
              <w14:schemeClr w14:val="tx1"/>
            </w14:solidFill>
          </w14:textFill>
        </w:rPr>
        <w:t>数量以甲方实际采购</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且经甲方验收合格的货物</w:t>
      </w:r>
      <w:r>
        <w:rPr>
          <w:rFonts w:hint="eastAsia" w:ascii="Times New Roman" w:hAnsi="Times New Roman" w:eastAsia="宋体" w:cs="Times New Roman"/>
          <w:color w:val="000000" w:themeColor="text1"/>
          <w:szCs w:val="21"/>
          <w:highlight w:val="none"/>
          <w14:textFill>
            <w14:solidFill>
              <w14:schemeClr w14:val="tx1"/>
            </w14:solidFill>
          </w14:textFill>
        </w:rPr>
        <w:t>数量为准，按实结算</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14:textFill>
            <w14:solidFill>
              <w14:schemeClr w14:val="tx1"/>
            </w14:solidFill>
          </w14:textFill>
        </w:rPr>
        <w:t>供货期为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自</w:t>
      </w:r>
      <w:r>
        <w:rPr>
          <w:rFonts w:hint="eastAsia" w:ascii="宋体" w:hAnsi="宋体" w:eastAsia="宋体" w:cs="宋体"/>
          <w:color w:val="000000" w:themeColor="text1"/>
          <w:kern w:val="2"/>
          <w:sz w:val="21"/>
          <w:szCs w:val="21"/>
          <w:highlight w:val="none"/>
          <w:lang w:val="en-US"/>
          <w14:textFill>
            <w14:solidFill>
              <w14:schemeClr w14:val="tx1"/>
            </w14:solidFill>
          </w14:textFill>
        </w:rPr>
        <w:t>合同签订之日起</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val="en-US"/>
          <w14:textFill>
            <w14:solidFill>
              <w14:schemeClr w14:val="tx1"/>
            </w14:solidFill>
          </w14:textFill>
        </w:rPr>
        <w:t>年</w:t>
      </w:r>
      <w:r>
        <w:rPr>
          <w:rFonts w:hint="eastAsia" w:ascii="Times New Roman" w:hAnsi="Times New Roman" w:eastAsia="宋体" w:cs="Times New Roman"/>
          <w:color w:val="000000" w:themeColor="text1"/>
          <w:szCs w:val="21"/>
          <w:highlight w:val="none"/>
          <w14:textFill>
            <w14:solidFill>
              <w14:schemeClr w14:val="tx1"/>
            </w14:solidFill>
          </w14:textFill>
        </w:rPr>
        <w:t>。在供货期内，乙方不得因甲方实际采购数量的减少或增加而要求甲方作出任何形式的补偿或赔偿，或要求甲方按暂定数量采购相应货物。</w:t>
      </w:r>
    </w:p>
    <w:p w14:paraId="18FEA597">
      <w:pPr>
        <w:adjustRightInd w:val="0"/>
        <w:snapToGrid w:val="0"/>
        <w:spacing w:line="360" w:lineRule="auto"/>
        <w:ind w:firstLine="373" w:firstLineChars="177"/>
        <w:outlineLvl w:val="9"/>
        <w:rPr>
          <w:rFonts w:hint="eastAsia" w:ascii="宋体" w:hAnsi="宋体" w:eastAsia="宋体" w:cs="Times New Roman"/>
          <w:b/>
          <w:color w:val="000000" w:themeColor="text1"/>
          <w:szCs w:val="21"/>
          <w:highlight w:val="none"/>
          <w14:textFill>
            <w14:solidFill>
              <w14:schemeClr w14:val="tx1"/>
            </w14:solidFill>
          </w14:textFill>
        </w:rPr>
      </w:pPr>
    </w:p>
    <w:p w14:paraId="0BDE4FA6">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32" w:name="_Toc9456"/>
      <w:r>
        <w:rPr>
          <w:rFonts w:hint="eastAsia" w:ascii="宋体" w:hAnsi="宋体" w:eastAsia="宋体" w:cs="Times New Roman"/>
          <w:b/>
          <w:color w:val="000000" w:themeColor="text1"/>
          <w:szCs w:val="21"/>
          <w:highlight w:val="none"/>
          <w14:textFill>
            <w14:solidFill>
              <w14:schemeClr w14:val="tx1"/>
            </w14:solidFill>
          </w14:textFill>
        </w:rPr>
        <w:t>第二条 合同暂定价</w:t>
      </w:r>
      <w:bookmarkEnd w:id="832"/>
    </w:p>
    <w:p w14:paraId="14CDDA86">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1、本合同价采用折扣系数，本项目执行的中标折扣系数为：</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。合同履约过程中，</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按货物清单中不含税中标综合单价以</w:t>
      </w:r>
      <w:r>
        <w:rPr>
          <w:rFonts w:hint="eastAsia" w:ascii="Times New Roman" w:hAnsi="Times New Roman" w:eastAsia="宋体" w:cs="Times New Roman"/>
          <w:color w:val="000000" w:themeColor="text1"/>
          <w:szCs w:val="21"/>
          <w:highlight w:val="none"/>
          <w14:textFill>
            <w14:solidFill>
              <w14:schemeClr w14:val="tx1"/>
            </w14:solidFill>
          </w14:textFill>
        </w:rPr>
        <w:t>甲方实际采购</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且经甲方验收合格的货物</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数量进行结算</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：不含税中标综合单价=不含税预算综合单价×中标折扣系数，以</w:t>
      </w:r>
      <w:r>
        <w:rPr>
          <w:rFonts w:hint="eastAsia" w:ascii="Times New Roman" w:hAnsi="Times New Roman" w:eastAsia="宋体" w:cs="Times New Roman"/>
          <w:color w:val="000000" w:themeColor="text1"/>
          <w:szCs w:val="21"/>
          <w:highlight w:val="none"/>
          <w14:textFill>
            <w14:solidFill>
              <w14:schemeClr w14:val="tx1"/>
            </w14:solidFill>
          </w14:textFill>
        </w:rPr>
        <w:t>甲方实际采购</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且经甲方验收合格的货物</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数量进行结算，不含税中标综合单价出现小数点，保留小数点后两位，从小数点后第3位四舍五入，具体不含税预算综合单价详见附件《用户需求书》。对应招标时暂列采购数量清单计算的合同暂定价（即销售额，不含销项税额）为</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元</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（大写人民币</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）。在本合同履行过程中，合同暂定价（即销售额，不含乙方销项税额）不随法律法规政策、物价人工调整而进行调整，未经甲方书面确认，乙方无权增加任何费用。</w:t>
      </w:r>
    </w:p>
    <w:p w14:paraId="5A36F01D">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 xml:space="preserve">2、依法计得并根据本合同约定确定的销项税额由甲方承担。根据《中华人民共和国增值税暂行条例》（国务院令第691号修订版）及当前税务部门的相关规定，本合同项目的增值税税率为 </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，对应暂定的销项税额为</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元</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（大写人民币</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在本合同履行过程中，税收政策变动导致增值税税率调整，依法应调整销项税额的，依法调整；但因乙方未按合同约定完成供货、未根据合同约定提供合法、完整的请款资料、项目验收不合格导致的返工或退货、项目验收合格前的非正常损耗等原因导致销项税额增加的，相应损失由乙方承担。</w:t>
      </w:r>
    </w:p>
    <w:p w14:paraId="6AFEBC31">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因乙方未按法定税率计算税额或未根据本合同约定出具对应税额的增值税普通发票等乙方原因导致甲方多支付税额的，乙方必须退还甲方，给甲方造成损失的，乙方须向甲方赔偿相应损失。</w:t>
      </w:r>
    </w:p>
    <w:p w14:paraId="262BC805">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3、合同暂定总价（含销项税额）合计为</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元</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（大写人民币</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）（详见附件），如合同履行期间根据本条第2项规定调整销项税额的，则结算时合同暂定总价（含销项税额）合计对应调整。</w:t>
      </w:r>
    </w:p>
    <w:p w14:paraId="62E4F391">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4、合同暂定价（不含销项税额）为乙方完成合同义务的全部费用，包括但不限于：</w:t>
      </w:r>
    </w:p>
    <w:p w14:paraId="7B53769F">
      <w:pPr>
        <w:adjustRightInd w:val="0"/>
        <w:snapToGrid w:val="0"/>
        <w:spacing w:line="360" w:lineRule="auto"/>
        <w:ind w:firstLine="420" w:firstLineChars="200"/>
        <w:rPr>
          <w:rFonts w:ascii="宋体" w:hAnsi="宋体" w:eastAsia="宋体" w:cs="Arial"/>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Times New Roman" w:hAnsi="Times New Roman" w:eastAsia="宋体" w:cs="Times New Roman"/>
          <w:color w:val="000000" w:themeColor="text1"/>
          <w:szCs w:val="21"/>
          <w:highlight w:val="none"/>
          <w14:textFill>
            <w14:solidFill>
              <w14:schemeClr w14:val="tx1"/>
            </w14:solidFill>
          </w14:textFill>
        </w:rPr>
        <w:t>合同</w:t>
      </w:r>
      <w:r>
        <w:rPr>
          <w:rFonts w:hint="eastAsia" w:ascii="宋体" w:hAnsi="宋体" w:eastAsia="宋体" w:cs="Times New Roman"/>
          <w:color w:val="000000" w:themeColor="text1"/>
          <w:szCs w:val="21"/>
          <w:highlight w:val="none"/>
          <w14:textFill>
            <w14:solidFill>
              <w14:schemeClr w14:val="tx1"/>
            </w14:solidFill>
          </w14:textFill>
        </w:rPr>
        <w:t>供货范围内所有水表及其附件的制造及系统集成、</w:t>
      </w:r>
      <w:r>
        <w:rPr>
          <w:rFonts w:hint="eastAsia" w:ascii="宋体" w:hAnsi="宋体" w:eastAsia="宋体" w:cs="Times New Roman"/>
          <w:color w:val="000000" w:themeColor="text1"/>
          <w:szCs w:val="21"/>
          <w:highlight w:val="none"/>
          <w:lang w:val="en-US" w:eastAsia="zh-CN"/>
          <w14:textFill>
            <w14:solidFill>
              <w14:schemeClr w14:val="tx1"/>
            </w14:solidFill>
          </w14:textFill>
        </w:rPr>
        <w:t>印刷费、</w:t>
      </w:r>
      <w:r>
        <w:rPr>
          <w:rFonts w:hint="eastAsia" w:ascii="宋体" w:hAnsi="宋体" w:eastAsia="宋体" w:cs="Times New Roman"/>
          <w:color w:val="000000" w:themeColor="text1"/>
          <w:szCs w:val="21"/>
          <w:highlight w:val="none"/>
          <w14:textFill>
            <w14:solidFill>
              <w14:schemeClr w14:val="tx1"/>
            </w14:solidFill>
          </w14:textFill>
        </w:rPr>
        <w:t>检定、运输（至</w:t>
      </w:r>
      <w:r>
        <w:rPr>
          <w:rFonts w:hint="eastAsia" w:ascii="宋体" w:hAnsi="宋体" w:eastAsia="宋体" w:cs="Times New Roman"/>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color w:val="000000" w:themeColor="text1"/>
          <w:szCs w:val="21"/>
          <w:highlight w:val="none"/>
          <w14:textFill>
            <w14:solidFill>
              <w14:schemeClr w14:val="tx1"/>
            </w14:solidFill>
          </w14:textFill>
        </w:rPr>
        <w:t>指定的仓库或</w:t>
      </w:r>
      <w:r>
        <w:rPr>
          <w:rFonts w:hint="eastAsia" w:ascii="Times New Roman" w:hAnsi="Times New Roman" w:eastAsia="宋体" w:cs="Times New Roman"/>
          <w:color w:val="000000" w:themeColor="text1"/>
          <w:szCs w:val="24"/>
          <w:highlight w:val="none"/>
          <w:lang w:eastAsia="zh-CN"/>
          <w14:textFill>
            <w14:solidFill>
              <w14:schemeClr w14:val="tx1"/>
            </w14:solidFill>
          </w14:textFill>
        </w:rPr>
        <w:t>项目</w:t>
      </w:r>
      <w:r>
        <w:rPr>
          <w:rFonts w:hint="eastAsia" w:ascii="宋体" w:hAnsi="宋体" w:eastAsia="宋体" w:cs="Times New Roman"/>
          <w:color w:val="000000" w:themeColor="text1"/>
          <w:szCs w:val="21"/>
          <w:highlight w:val="none"/>
          <w14:textFill>
            <w14:solidFill>
              <w14:schemeClr w14:val="tx1"/>
            </w14:solidFill>
          </w14:textFill>
        </w:rPr>
        <w:t>现场）、保险、装卸、远传调试，验收等费用</w:t>
      </w:r>
      <w:r>
        <w:rPr>
          <w:rFonts w:hint="eastAsia" w:ascii="宋体" w:hAnsi="宋体" w:eastAsia="宋体" w:cs="Times New Roman"/>
          <w:color w:val="000000" w:themeColor="text1"/>
          <w:szCs w:val="21"/>
          <w:highlight w:val="none"/>
          <w:lang w:val="zh-CN"/>
          <w14:textFill>
            <w14:solidFill>
              <w14:schemeClr w14:val="tx1"/>
            </w14:solidFill>
          </w14:textFill>
        </w:rPr>
        <w:t>；</w:t>
      </w:r>
    </w:p>
    <w:p w14:paraId="6C1F6B0E">
      <w:pPr>
        <w:adjustRightInd w:val="0"/>
        <w:snapToGrid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（2）按招标文件及合同要求提供各阶段的纸质和电子版技术资料，包括货物及其工艺所有制造方、使用方应支付的对商标权、专利权和版权、设计或其他知识产权而需要向其他方支付的版税及其他相关费用；</w:t>
      </w:r>
    </w:p>
    <w:p w14:paraId="341230AB">
      <w:pPr>
        <w:adjustRightInd w:val="0"/>
        <w:snapToGrid w:val="0"/>
        <w:spacing w:line="360" w:lineRule="auto"/>
        <w:ind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w:t>
      </w:r>
      <w:r>
        <w:rPr>
          <w:rFonts w:hint="eastAsia" w:ascii="Times New Roman" w:hAnsi="Times New Roman" w:eastAsia="宋体" w:cs="Times New Roman"/>
          <w:color w:val="000000" w:themeColor="text1"/>
          <w:szCs w:val="21"/>
          <w:highlight w:val="none"/>
          <w14:textFill>
            <w14:solidFill>
              <w14:schemeClr w14:val="tx1"/>
            </w14:solidFill>
          </w14:textFill>
        </w:rPr>
        <w:t>验收时为达到相关标准而可能增加的、不合格货物更换、零配件更换等费用</w:t>
      </w:r>
      <w:r>
        <w:rPr>
          <w:rFonts w:hint="eastAsia" w:ascii="宋体" w:hAnsi="宋体" w:eastAsia="宋体" w:cs="Times New Roman"/>
          <w:color w:val="000000" w:themeColor="text1"/>
          <w:szCs w:val="21"/>
          <w:highlight w:val="none"/>
          <w:lang w:val="zh-CN"/>
          <w14:textFill>
            <w14:solidFill>
              <w14:schemeClr w14:val="tx1"/>
            </w14:solidFill>
          </w14:textFill>
        </w:rPr>
        <w:t>；</w:t>
      </w:r>
    </w:p>
    <w:p w14:paraId="1BC8BD13">
      <w:pPr>
        <w:adjustRightInd w:val="0"/>
        <w:snapToGrid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（4）设备备品备件（含零配件）、设备拆装维修所需特殊专用工具购置费；</w:t>
      </w:r>
    </w:p>
    <w:p w14:paraId="278F7EA6">
      <w:pPr>
        <w:adjustRightInd w:val="0"/>
        <w:snapToGrid w:val="0"/>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Times New Roman" w:hAnsi="Times New Roman" w:eastAsia="宋体" w:cs="Times New Roman"/>
          <w:color w:val="000000" w:themeColor="text1"/>
          <w:szCs w:val="21"/>
          <w:highlight w:val="none"/>
          <w14:textFill>
            <w14:solidFill>
              <w14:schemeClr w14:val="tx1"/>
            </w14:solidFill>
          </w14:textFill>
        </w:rPr>
        <w:t>日常技术指导，免费的质保期保修服务，包括但不限于对设备的运行指导，免费维修、保修或更换配件，在设备出现严重故障、影响正常运行、修复有困难的情况下，对设备进行免费更换的费用；</w:t>
      </w:r>
    </w:p>
    <w:p w14:paraId="5B77945E">
      <w:pPr>
        <w:adjustRightInd w:val="0"/>
        <w:snapToGrid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（6）招标</w:t>
      </w:r>
      <w:r>
        <w:rPr>
          <w:rFonts w:hint="eastAsia" w:ascii="宋体" w:hAnsi="宋体" w:eastAsia="宋体" w:cs="Times New Roman"/>
          <w:color w:val="000000" w:themeColor="text1"/>
          <w:szCs w:val="21"/>
          <w:highlight w:val="none"/>
          <w:lang w:eastAsia="zh-CN"/>
          <w14:textFill>
            <w14:solidFill>
              <w14:schemeClr w14:val="tx1"/>
            </w14:solidFill>
          </w14:textFill>
        </w:rPr>
        <w:t>供货清单</w:t>
      </w:r>
      <w:r>
        <w:rPr>
          <w:rFonts w:hint="eastAsia" w:ascii="宋体" w:hAnsi="宋体" w:eastAsia="宋体" w:cs="Times New Roman"/>
          <w:color w:val="000000" w:themeColor="text1"/>
          <w:szCs w:val="21"/>
          <w:highlight w:val="none"/>
          <w14:textFill>
            <w14:solidFill>
              <w14:schemeClr w14:val="tx1"/>
            </w14:solidFill>
          </w14:textFill>
        </w:rPr>
        <w:t>虽未列出，但根据设计图纸或为满足设计功能所必需的设备材料购置费；</w:t>
      </w:r>
    </w:p>
    <w:p w14:paraId="2FF9FE6C">
      <w:pPr>
        <w:adjustRightInd w:val="0"/>
        <w:snapToGrid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（7）合理利润、</w:t>
      </w:r>
      <w:r>
        <w:rPr>
          <w:rFonts w:hint="eastAsia" w:ascii="Times New Roman" w:hAnsi="宋体" w:eastAsia="宋体" w:cs="Times New Roman"/>
          <w:color w:val="000000" w:themeColor="text1"/>
          <w:szCs w:val="21"/>
          <w:highlight w:val="none"/>
          <w:lang w:val="zh-CN"/>
          <w14:textFill>
            <w14:solidFill>
              <w14:schemeClr w14:val="tx1"/>
            </w14:solidFill>
          </w14:textFill>
        </w:rPr>
        <w:t>乙方销项税额以外的税费、中标服务费</w:t>
      </w:r>
      <w:r>
        <w:rPr>
          <w:rFonts w:hint="eastAsia" w:ascii="宋体" w:hAnsi="宋体" w:eastAsia="宋体" w:cs="Times New Roman"/>
          <w:color w:val="000000" w:themeColor="text1"/>
          <w:szCs w:val="21"/>
          <w:highlight w:val="none"/>
          <w14:textFill>
            <w14:solidFill>
              <w14:schemeClr w14:val="tx1"/>
            </w14:solidFill>
          </w14:textFill>
        </w:rPr>
        <w:t>等；</w:t>
      </w:r>
    </w:p>
    <w:p w14:paraId="05F797C6">
      <w:pPr>
        <w:adjustRightInd w:val="0"/>
        <w:snapToGrid w:val="0"/>
        <w:spacing w:line="360" w:lineRule="auto"/>
        <w:ind w:firstLine="420" w:firstLineChars="200"/>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（8）法律法规、</w:t>
      </w:r>
      <w:r>
        <w:rPr>
          <w:rFonts w:hint="eastAsia" w:ascii="宋体" w:hAnsi="宋体" w:eastAsia="宋体" w:cs="Times New Roman"/>
          <w:color w:val="000000" w:themeColor="text1"/>
          <w:szCs w:val="21"/>
          <w:highlight w:val="none"/>
          <w:lang w:val="zh-CN"/>
          <w14:textFill>
            <w14:solidFill>
              <w14:schemeClr w14:val="tx1"/>
            </w14:solidFill>
          </w14:textFill>
        </w:rPr>
        <w:t>商业公认、招标文件规定由乙方承担的其他费用。</w:t>
      </w:r>
    </w:p>
    <w:p w14:paraId="6351CADF">
      <w:pPr>
        <w:widowControl w:val="0"/>
        <w:tabs>
          <w:tab w:val="left" w:pos="0"/>
        </w:tabs>
        <w:adjustRightInd w:val="0"/>
        <w:snapToGrid w:val="0"/>
        <w:spacing w:line="360" w:lineRule="auto"/>
        <w:ind w:firstLine="420"/>
        <w:jc w:val="both"/>
        <w:textAlignment w:val="baseline"/>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在执行合同过程中如发现有任何货物（含配件、技术资料等）漏项或短缺，虽然在乙方的投标报价表中并未列入，但为保证合同设备的性能、满足招标文件要求功能的正常运行要求所必须的，均应由乙方负责将所缺的货物补齐，其费用包括在合同价中。需补齐的货物，乙方应在接到甲方通知之日起</w:t>
      </w:r>
      <w: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日内交齐，否则将视为逾期交货。</w:t>
      </w:r>
    </w:p>
    <w:p w14:paraId="6BD31512">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58C4D77D">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33" w:name="_Toc27631"/>
      <w:r>
        <w:rPr>
          <w:rFonts w:hint="eastAsia" w:ascii="宋体" w:hAnsi="宋体" w:eastAsia="宋体" w:cs="Times New Roman"/>
          <w:b/>
          <w:color w:val="000000" w:themeColor="text1"/>
          <w:szCs w:val="21"/>
          <w:highlight w:val="none"/>
          <w14:textFill>
            <w14:solidFill>
              <w14:schemeClr w14:val="tx1"/>
            </w14:solidFill>
          </w14:textFill>
        </w:rPr>
        <w:t>第三条 合同组成</w:t>
      </w:r>
      <w:bookmarkEnd w:id="833"/>
    </w:p>
    <w:p w14:paraId="531EBD2E">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详细价格组成、技术说明及其它有关合同货物的特定信息可由合同附件说明。所有附件及本项目的招标文件（含用户需求书）、答疑文件、投标文件及相关承诺、协议等均为本合同不可分割之一部分，与本合同同具法律效力，该等文件与本合同正文约定不一致的，以合同正文约定为准，本合同正文未约定的，前述该等文件有约定的，按该等文件执行。</w:t>
      </w:r>
    </w:p>
    <w:p w14:paraId="553606A9">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5D863276">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34" w:name="_Toc30472"/>
      <w:r>
        <w:rPr>
          <w:rFonts w:hint="eastAsia" w:ascii="宋体" w:hAnsi="宋体" w:eastAsia="宋体" w:cs="Times New Roman"/>
          <w:b/>
          <w:color w:val="000000" w:themeColor="text1"/>
          <w:szCs w:val="21"/>
          <w:highlight w:val="none"/>
          <w14:textFill>
            <w14:solidFill>
              <w14:schemeClr w14:val="tx1"/>
            </w14:solidFill>
          </w14:textFill>
        </w:rPr>
        <w:t>第四条 技术要求</w:t>
      </w:r>
      <w:bookmarkEnd w:id="834"/>
    </w:p>
    <w:p w14:paraId="2BCC64D7">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乙方保证所提供货物均为采用合格材料和工艺制成的全新一手的未使用过的原装产品，并完全符合甲方招标文件“用户需求书”中要求及乙方投标文件承诺的质量、规格标准；同时乙方所提供货物，必须符合国家有关法律法规和</w:t>
      </w:r>
      <w:r>
        <w:rPr>
          <w:rFonts w:hint="eastAsia" w:ascii="宋体" w:hAnsi="宋体" w:eastAsia="宋体" w:cs="Times New Roman"/>
          <w:color w:val="000000" w:themeColor="text1"/>
          <w:szCs w:val="21"/>
          <w:highlight w:val="none"/>
          <w:lang w:val="en-US" w:eastAsia="zh-CN"/>
          <w14:textFill>
            <w14:solidFill>
              <w14:schemeClr w14:val="tx1"/>
            </w14:solidFill>
          </w14:textFill>
        </w:rPr>
        <w:t>生态环境</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市场监督等</w:t>
      </w:r>
      <w:r>
        <w:rPr>
          <w:rFonts w:hint="eastAsia" w:ascii="宋体" w:hAnsi="宋体" w:eastAsia="宋体" w:cs="Times New Roman"/>
          <w:color w:val="000000" w:themeColor="text1"/>
          <w:szCs w:val="21"/>
          <w:highlight w:val="none"/>
          <w14:textFill>
            <w14:solidFill>
              <w14:schemeClr w14:val="tx1"/>
            </w14:solidFill>
          </w14:textFill>
        </w:rPr>
        <w:t>主管部门要求及甲方的技术要求，不存在侵犯第三人知识产权及其他合法权益的情况，</w:t>
      </w:r>
      <w:r>
        <w:rPr>
          <w:rFonts w:hint="eastAsia" w:ascii="Times New Roman" w:hAnsi="宋体" w:eastAsia="宋体" w:cs="Times New Roman"/>
          <w:color w:val="000000" w:themeColor="text1"/>
          <w:szCs w:val="21"/>
          <w:highlight w:val="none"/>
          <w14:textFill>
            <w14:solidFill>
              <w14:schemeClr w14:val="tx1"/>
            </w14:solidFill>
          </w14:textFill>
        </w:rPr>
        <w:t>否则</w:t>
      </w:r>
      <w:r>
        <w:rPr>
          <w:rFonts w:hint="eastAsia" w:ascii="Times New Roman" w:hAnsi="宋体" w:eastAsia="宋体" w:cs="Times New Roman"/>
          <w:color w:val="000000" w:themeColor="text1"/>
          <w:szCs w:val="21"/>
          <w:highlight w:val="none"/>
          <w:lang w:eastAsia="zh-Hans"/>
          <w14:textFill>
            <w14:solidFill>
              <w14:schemeClr w14:val="tx1"/>
            </w14:solidFill>
          </w14:textFill>
        </w:rPr>
        <w:t>甲方有权单方解除本合同</w:t>
      </w:r>
      <w:r>
        <w:rPr>
          <w:rFonts w:ascii="Times New Roman" w:hAnsi="宋体" w:eastAsia="宋体" w:cs="Times New Roman"/>
          <w:color w:val="000000" w:themeColor="text1"/>
          <w:szCs w:val="21"/>
          <w:highlight w:val="none"/>
          <w:lang w:eastAsia="zh-Hans"/>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不予返还履约担保且要求乙方按合同</w:t>
      </w:r>
      <w:r>
        <w:rPr>
          <w:rFonts w:hint="eastAsia" w:ascii="Times New Roman" w:hAnsi="宋体" w:eastAsia="宋体" w:cs="Times New Roman"/>
          <w:color w:val="000000" w:themeColor="text1"/>
          <w:szCs w:val="21"/>
          <w:highlight w:val="none"/>
          <w14:textFill>
            <w14:solidFill>
              <w14:schemeClr w14:val="tx1"/>
            </w14:solidFill>
          </w14:textFill>
        </w:rPr>
        <w:t>暂定</w:t>
      </w:r>
      <w:r>
        <w:rPr>
          <w:rFonts w:hint="eastAsia" w:ascii="Times New Roman" w:hAnsi="宋体" w:eastAsia="宋体" w:cs="Times New Roman"/>
          <w:color w:val="000000" w:themeColor="text1"/>
          <w:szCs w:val="21"/>
          <w:highlight w:val="none"/>
          <w:lang w:eastAsia="zh-Hans"/>
          <w14:textFill>
            <w14:solidFill>
              <w14:schemeClr w14:val="tx1"/>
            </w14:solidFill>
          </w14:textFill>
        </w:rPr>
        <w:t>总</w:t>
      </w:r>
      <w:r>
        <w:rPr>
          <w:rFonts w:hint="eastAsia" w:ascii="Times New Roman" w:hAnsi="宋体" w:eastAsia="宋体" w:cs="Times New Roman"/>
          <w:color w:val="000000" w:themeColor="text1"/>
          <w:szCs w:val="21"/>
          <w:highlight w:val="none"/>
          <w14:textFill>
            <w14:solidFill>
              <w14:schemeClr w14:val="tx1"/>
            </w14:solidFill>
          </w14:textFill>
        </w:rPr>
        <w:t>价（含销项税额）</w:t>
      </w:r>
      <w:r>
        <w:rPr>
          <w:rFonts w:hint="eastAsia" w:ascii="Times New Roman" w:hAnsi="宋体" w:eastAsia="宋体" w:cs="Times New Roman"/>
          <w:color w:val="000000" w:themeColor="text1"/>
          <w:szCs w:val="21"/>
          <w:highlight w:val="none"/>
          <w:lang w:eastAsia="zh-Hans"/>
          <w14:textFill>
            <w14:solidFill>
              <w14:schemeClr w14:val="tx1"/>
            </w14:solidFill>
          </w14:textFill>
        </w:rPr>
        <w:t>的</w:t>
      </w:r>
      <w:r>
        <w:rPr>
          <w:rFonts w:ascii="Times New Roman" w:hAnsi="宋体" w:eastAsia="宋体" w:cs="Times New Roman"/>
          <w:color w:val="000000" w:themeColor="text1"/>
          <w:szCs w:val="21"/>
          <w:highlight w:val="none"/>
          <w:lang w:eastAsia="zh-Hans"/>
          <w14:textFill>
            <w14:solidFill>
              <w14:schemeClr w14:val="tx1"/>
            </w14:solidFill>
          </w14:textFill>
        </w:rPr>
        <w:t>【30】%</w:t>
      </w:r>
      <w:r>
        <w:rPr>
          <w:rFonts w:hint="eastAsia" w:ascii="Times New Roman" w:hAnsi="宋体" w:eastAsia="宋体" w:cs="Times New Roman"/>
          <w:color w:val="000000" w:themeColor="text1"/>
          <w:szCs w:val="21"/>
          <w:highlight w:val="none"/>
          <w:lang w:eastAsia="zh-Hans"/>
          <w14:textFill>
            <w14:solidFill>
              <w14:schemeClr w14:val="tx1"/>
            </w14:solidFill>
          </w14:textFill>
        </w:rPr>
        <w:t>承担违约责任</w:t>
      </w:r>
      <w:r>
        <w:rPr>
          <w:rFonts w:hint="eastAsia" w:ascii="宋体" w:hAnsi="宋体" w:eastAsia="宋体" w:cs="Times New Roman"/>
          <w:color w:val="000000" w:themeColor="text1"/>
          <w:szCs w:val="21"/>
          <w:highlight w:val="none"/>
          <w14:textFill>
            <w14:solidFill>
              <w14:schemeClr w14:val="tx1"/>
            </w14:solidFill>
          </w14:textFill>
        </w:rPr>
        <w:t>。乙方应当提供货物的质量检验单位出具的检验报告原件（检验报告合格）、出厂合格证明材料、产品性能使用说明书，并具备主管部门的质量认证文件等。</w:t>
      </w:r>
    </w:p>
    <w:p w14:paraId="0EA25CC6">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75D49A9C">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35" w:name="_Toc12142"/>
      <w:r>
        <w:rPr>
          <w:rFonts w:hint="eastAsia" w:ascii="宋体" w:hAnsi="宋体" w:eastAsia="宋体" w:cs="Times New Roman"/>
          <w:b/>
          <w:color w:val="000000" w:themeColor="text1"/>
          <w:szCs w:val="21"/>
          <w:highlight w:val="none"/>
          <w14:textFill>
            <w14:solidFill>
              <w14:schemeClr w14:val="tx1"/>
            </w14:solidFill>
          </w14:textFill>
        </w:rPr>
        <w:t>第五条 质量保证</w:t>
      </w:r>
      <w:bookmarkEnd w:id="835"/>
    </w:p>
    <w:p w14:paraId="57D30855">
      <w:pPr>
        <w:adjustRightInd w:val="0"/>
        <w:snapToGrid w:val="0"/>
        <w:spacing w:line="360" w:lineRule="auto"/>
        <w:ind w:firstLine="371" w:firstLineChars="177"/>
        <w:rPr>
          <w:rFonts w:hint="eastAsia" w:ascii="Times New Roman" w:hAnsi="宋体" w:eastAsia="宋体" w:cs="Times New Roman"/>
          <w:color w:val="000000" w:themeColor="text1"/>
          <w:sz w:val="21"/>
          <w:szCs w:val="21"/>
          <w:highlight w:val="none"/>
          <w:lang w:eastAsia="zh-Hans"/>
          <w14:textFill>
            <w14:solidFill>
              <w14:schemeClr w14:val="tx1"/>
            </w14:solidFill>
          </w14:textFill>
        </w:rPr>
      </w:pP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1、货物质量应符合国家及行业标准、通常标准及厂方出厂标准，并符合《用户需求书》及本合同文件技术标准和</w:t>
      </w: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技术</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要求，完全满足甲方的实际使用需要。详细技术要求按照技术规范的标准执行，质量合格无瑕疵（详见附件：《用户需求书》）。</w:t>
      </w:r>
    </w:p>
    <w:p w14:paraId="1BAE0CE0">
      <w:pPr>
        <w:adjustRightInd w:val="0"/>
        <w:snapToGrid w:val="0"/>
        <w:spacing w:line="360" w:lineRule="auto"/>
        <w:ind w:firstLine="371" w:firstLineChars="177"/>
        <w:rPr>
          <w:rFonts w:hint="eastAsia" w:ascii="Times New Roman" w:hAnsi="宋体" w:eastAsia="宋体" w:cs="Times New Roman"/>
          <w:color w:val="000000" w:themeColor="text1"/>
          <w:sz w:val="21"/>
          <w:szCs w:val="21"/>
          <w:highlight w:val="none"/>
          <w:lang w:eastAsia="zh-Hans"/>
          <w14:textFill>
            <w14:solidFill>
              <w14:schemeClr w14:val="tx1"/>
            </w14:solidFill>
          </w14:textFill>
        </w:rPr>
      </w:pP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2、乙方在供应货物同时，应向甲方提供产品合格证及使用说明书</w:t>
      </w:r>
      <w:r>
        <w:rPr>
          <w:rFonts w:hint="eastAsia" w:ascii="Times New Roman" w:hAnsi="宋体" w:eastAsia="宋体" w:cs="Times New Roman"/>
          <w:color w:val="000000" w:themeColor="text1"/>
          <w:sz w:val="21"/>
          <w:szCs w:val="21"/>
          <w:highlight w:val="none"/>
          <w:u w:val="none"/>
          <w:lang w:eastAsia="zh-Hans"/>
          <w14:textFill>
            <w14:solidFill>
              <w14:schemeClr w14:val="tx1"/>
            </w14:solidFill>
          </w14:textFill>
        </w:rPr>
        <w:t xml:space="preserve"> 一 </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份及相应的配件、备品、备件。</w:t>
      </w:r>
    </w:p>
    <w:p w14:paraId="57E0C959">
      <w:pPr>
        <w:adjustRightInd w:val="0"/>
        <w:snapToGrid w:val="0"/>
        <w:spacing w:line="360" w:lineRule="auto"/>
        <w:ind w:firstLine="371" w:firstLineChars="177"/>
        <w:rPr>
          <w:rFonts w:hint="eastAsia" w:ascii="Times New Roman" w:hAnsi="宋体" w:eastAsia="宋体" w:cs="Times New Roman"/>
          <w:color w:val="000000" w:themeColor="text1"/>
          <w:sz w:val="21"/>
          <w:szCs w:val="21"/>
          <w:highlight w:val="none"/>
          <w:lang w:eastAsia="zh-Hans"/>
          <w14:textFill>
            <w14:solidFill>
              <w14:schemeClr w14:val="tx1"/>
            </w14:solidFill>
          </w14:textFill>
        </w:rPr>
      </w:pP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DN80~DN200螺翼式远传水表整表（含配套远传模块、电池和通讯资费）质保期为5年</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按每批次</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货物送达甲方指定地点</w:t>
      </w:r>
      <w:r>
        <w:rPr>
          <w:rFonts w:hint="eastAsia" w:ascii="Times New Roman" w:hAnsi="宋体" w:eastAsia="宋体" w:cs="Times New Roman"/>
          <w:color w:val="000000" w:themeColor="text1"/>
          <w:sz w:val="21"/>
          <w:szCs w:val="21"/>
          <w:highlight w:val="none"/>
          <w:lang w:eastAsia="zh-CN"/>
          <w14:textFill>
            <w14:solidFill>
              <w14:schemeClr w14:val="tx1"/>
            </w14:solidFill>
          </w14:textFill>
        </w:rPr>
        <w:t>交货</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验收合格</w:t>
      </w:r>
      <w:r>
        <w:rPr>
          <w:rFonts w:hint="eastAsia" w:ascii="Times New Roman" w:hAnsi="宋体" w:eastAsia="宋体" w:cs="Times New Roman"/>
          <w:color w:val="000000" w:themeColor="text1"/>
          <w:sz w:val="21"/>
          <w:szCs w:val="21"/>
          <w:highlight w:val="none"/>
          <w:lang w:eastAsia="zh-CN"/>
          <w14:textFill>
            <w14:solidFill>
              <w14:schemeClr w14:val="tx1"/>
            </w14:solidFill>
          </w14:textFill>
        </w:rPr>
        <w:t>并开具发票</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之日算起。质保期内，乙方对货物进行免费保修。</w:t>
      </w:r>
    </w:p>
    <w:p w14:paraId="7465ACDD">
      <w:pPr>
        <w:adjustRightInd w:val="0"/>
        <w:snapToGrid w:val="0"/>
        <w:spacing w:line="360" w:lineRule="auto"/>
        <w:ind w:firstLine="371" w:firstLineChars="177"/>
        <w:rPr>
          <w:rFonts w:hint="eastAsia" w:ascii="Times New Roman" w:hAnsi="宋体" w:eastAsia="宋体" w:cs="Times New Roman"/>
          <w:color w:val="000000" w:themeColor="text1"/>
          <w:sz w:val="21"/>
          <w:szCs w:val="21"/>
          <w:highlight w:val="none"/>
          <w:lang w:val="en-GB" w:eastAsia="zh-Hans"/>
          <w14:textFill>
            <w14:solidFill>
              <w14:schemeClr w14:val="tx1"/>
            </w14:solidFill>
          </w14:textFill>
        </w:rPr>
      </w:pPr>
      <w:r>
        <w:rPr>
          <w:rFonts w:hint="eastAsia" w:ascii="Times New Roman" w:hAnsi="宋体" w:eastAsia="宋体" w:cs="Times New Roman"/>
          <w:color w:val="000000" w:themeColor="text1"/>
          <w:sz w:val="21"/>
          <w:szCs w:val="21"/>
          <w:highlight w:val="none"/>
          <w:lang w:val="en-GB" w:eastAsia="zh-Hans"/>
          <w14:textFill>
            <w14:solidFill>
              <w14:schemeClr w14:val="tx1"/>
            </w14:solidFill>
          </w14:textFill>
        </w:rPr>
        <w:t>4、质保期内，若乙方提供的货物出现质量问题，经1次维修仍不能正常使用的，乙方应在7天内免费给予更换，因不能正常使用而给甲方或第三方造成的损失，乙方应承担因货物质量问题而造成的一切经济损失。</w:t>
      </w:r>
    </w:p>
    <w:p w14:paraId="6DC1FBDA">
      <w:pPr>
        <w:adjustRightInd w:val="0"/>
        <w:snapToGrid w:val="0"/>
        <w:spacing w:line="360" w:lineRule="auto"/>
        <w:ind w:firstLine="371" w:firstLineChars="177"/>
        <w:rPr>
          <w:rFonts w:hint="default" w:ascii="Times New Roman" w:hAnsi="宋体"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5、</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质保期内</w:t>
      </w:r>
      <w:r>
        <w:rPr>
          <w:rFonts w:hint="eastAsia" w:ascii="Times New Roman" w:hAnsi="宋体" w:eastAsia="宋体" w:cs="Times New Roman"/>
          <w:color w:val="000000" w:themeColor="text1"/>
          <w:sz w:val="21"/>
          <w:szCs w:val="21"/>
          <w:highlight w:val="none"/>
          <w:lang w:eastAsia="zh-CN"/>
          <w14:textFill>
            <w14:solidFill>
              <w14:schemeClr w14:val="tx1"/>
            </w14:solidFill>
          </w14:textFill>
        </w:rPr>
        <w:t>，</w:t>
      </w: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若乙方</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接到</w:t>
      </w: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甲方</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售后通知</w:t>
      </w: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须</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在</w:t>
      </w:r>
      <w:r>
        <w:rPr>
          <w:rFonts w:hint="eastAsia" w:ascii="Times New Roman" w:hAnsi="宋体" w:eastAsia="宋体" w:cs="Times New Roman"/>
          <w:color w:val="000000" w:themeColor="text1"/>
          <w:sz w:val="21"/>
          <w:szCs w:val="21"/>
          <w:highlight w:val="none"/>
          <w:u w:val="single"/>
          <w:lang w:eastAsia="zh-CN"/>
          <w14:textFill>
            <w14:solidFill>
              <w14:schemeClr w14:val="tx1"/>
            </w14:solidFill>
          </w14:textFill>
        </w:rPr>
        <w:t xml:space="preserve"> </w:t>
      </w:r>
      <w:r>
        <w:rPr>
          <w:rFonts w:hint="eastAsia" w:ascii="Times New Roman" w:hAnsi="宋体"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小时以内做出响应</w:t>
      </w:r>
      <w:r>
        <w:rPr>
          <w:rFonts w:hint="eastAsia" w:ascii="Times New Roman" w:hAnsi="宋体" w:eastAsia="宋体" w:cs="Times New Roman"/>
          <w:color w:val="000000" w:themeColor="text1"/>
          <w:sz w:val="21"/>
          <w:szCs w:val="21"/>
          <w:highlight w:val="none"/>
          <w:lang w:eastAsia="zh-CN"/>
          <w14:textFill>
            <w14:solidFill>
              <w14:schemeClr w14:val="tx1"/>
            </w14:solidFill>
          </w14:textFill>
        </w:rPr>
        <w:t>，</w:t>
      </w: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如甲方</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要求到现场处理的，</w:t>
      </w: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须在接到甲方通知后</w:t>
      </w:r>
      <w:r>
        <w:rPr>
          <w:rFonts w:hint="eastAsia" w:ascii="Times New Roman" w:hAnsi="宋体" w:eastAsia="宋体" w:cs="Times New Roman"/>
          <w:color w:val="000000" w:themeColor="text1"/>
          <w:sz w:val="21"/>
          <w:szCs w:val="21"/>
          <w:highlight w:val="none"/>
          <w:u w:val="single"/>
          <w:lang w:val="en-US" w:eastAsia="zh-CN"/>
          <w14:textFill>
            <w14:solidFill>
              <w14:schemeClr w14:val="tx1"/>
            </w14:solidFill>
          </w14:textFill>
        </w:rPr>
        <w:t xml:space="preserve">   小时</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内到达现场进行处理</w:t>
      </w:r>
      <w:r>
        <w:rPr>
          <w:rFonts w:hint="eastAsia" w:ascii="Times New Roman" w:hAnsi="宋体" w:eastAsia="宋体" w:cs="Times New Roman"/>
          <w:color w:val="000000" w:themeColor="text1"/>
          <w:sz w:val="21"/>
          <w:szCs w:val="21"/>
          <w:highlight w:val="none"/>
          <w:lang w:eastAsia="zh-CN"/>
          <w14:textFill>
            <w14:solidFill>
              <w14:schemeClr w14:val="tx1"/>
            </w14:solidFill>
          </w14:textFill>
        </w:rPr>
        <w:t>，</w:t>
      </w: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如超出规定时间的，</w:t>
      </w:r>
      <w:r>
        <w:rPr>
          <w:rFonts w:hint="eastAsia" w:ascii="宋体" w:hAnsi="宋体" w:eastAsia="宋体" w:cs="Times New Roman"/>
          <w:color w:val="000000" w:themeColor="text1"/>
          <w:szCs w:val="21"/>
          <w:highlight w:val="none"/>
          <w14:textFill>
            <w14:solidFill>
              <w14:schemeClr w14:val="tx1"/>
            </w14:solidFill>
          </w14:textFill>
        </w:rPr>
        <w:t>按本合同第</w:t>
      </w:r>
      <w:r>
        <w:rPr>
          <w:rFonts w:hint="eastAsia" w:ascii="宋体" w:hAnsi="宋体" w:eastAsia="宋体" w:cs="Times New Roman"/>
          <w:color w:val="000000" w:themeColor="text1"/>
          <w:szCs w:val="21"/>
          <w:highlight w:val="none"/>
          <w:lang w:val="en-US" w:eastAsia="zh-CN"/>
          <w14:textFill>
            <w14:solidFill>
              <w14:schemeClr w14:val="tx1"/>
            </w14:solidFill>
          </w14:textFill>
        </w:rPr>
        <w:t>十八</w:t>
      </w:r>
      <w:r>
        <w:rPr>
          <w:rFonts w:hint="eastAsia" w:ascii="宋体" w:hAnsi="宋体" w:eastAsia="宋体" w:cs="Times New Roman"/>
          <w:color w:val="000000" w:themeColor="text1"/>
          <w:szCs w:val="21"/>
          <w:highlight w:val="none"/>
          <w14:textFill>
            <w14:solidFill>
              <w14:schemeClr w14:val="tx1"/>
            </w14:solidFill>
          </w14:textFill>
        </w:rPr>
        <w:t>条第</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款追究违约责任</w:t>
      </w: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w:t>
      </w:r>
    </w:p>
    <w:p w14:paraId="52317F1B">
      <w:pPr>
        <w:adjustRightInd w:val="0"/>
        <w:snapToGrid w:val="0"/>
        <w:spacing w:line="360" w:lineRule="auto"/>
        <w:ind w:firstLine="371" w:firstLineChars="177"/>
        <w:rPr>
          <w:rFonts w:hint="eastAsia" w:ascii="Times New Roman" w:hAnsi="宋体" w:eastAsia="宋体" w:cs="Times New Roman"/>
          <w:color w:val="000000" w:themeColor="text1"/>
          <w:szCs w:val="21"/>
          <w:highlight w:val="none"/>
          <w:lang w:eastAsia="zh-Hans"/>
          <w14:textFill>
            <w14:solidFill>
              <w14:schemeClr w14:val="tx1"/>
            </w14:solidFill>
          </w14:textFill>
        </w:rPr>
      </w:pP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6</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、甲方在使用货物时所遇技术问题或修改通讯对接协议、系统功能模块等，乙方应按甲方要求及时向甲方无偿提供服务。</w:t>
      </w:r>
    </w:p>
    <w:p w14:paraId="4140754B">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159C4413">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36" w:name="_Toc19295"/>
      <w:r>
        <w:rPr>
          <w:rFonts w:hint="eastAsia" w:ascii="宋体" w:hAnsi="宋体" w:eastAsia="宋体" w:cs="Times New Roman"/>
          <w:b/>
          <w:color w:val="000000" w:themeColor="text1"/>
          <w:szCs w:val="21"/>
          <w:highlight w:val="none"/>
          <w14:textFill>
            <w14:solidFill>
              <w14:schemeClr w14:val="tx1"/>
            </w14:solidFill>
          </w14:textFill>
        </w:rPr>
        <w:t>第六条 包装、运输与装卸</w:t>
      </w:r>
      <w:bookmarkEnd w:id="836"/>
    </w:p>
    <w:p w14:paraId="0F12A137">
      <w:pPr>
        <w:adjustRightInd w:val="0"/>
        <w:snapToGrid w:val="0"/>
        <w:spacing w:line="360" w:lineRule="auto"/>
        <w:ind w:firstLine="422" w:firstLineChars="201"/>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1、本合同项下货物的包装均应有良好的防湿、防锈、防潮、防雨、防腐及防碰撞的措施，且货物的包装、运输、装卸方式均应符合国家及行业相关标准的规定。</w:t>
      </w:r>
    </w:p>
    <w:p w14:paraId="29101245">
      <w:pPr>
        <w:adjustRightInd w:val="0"/>
        <w:snapToGrid w:val="0"/>
        <w:spacing w:line="360" w:lineRule="auto"/>
        <w:ind w:firstLine="422" w:firstLineChars="201"/>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14:paraId="739DCB99">
      <w:pPr>
        <w:adjustRightInd w:val="0"/>
        <w:snapToGrid w:val="0"/>
        <w:spacing w:line="360" w:lineRule="auto"/>
        <w:ind w:firstLine="422" w:firstLineChars="201"/>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3、每件包装箱内，应附有装箱单、合格证、产品出厂质量合格证明书、技术说明以及甲方要求的其他合格证明文件或资料。</w:t>
      </w:r>
    </w:p>
    <w:p w14:paraId="0BE82D01">
      <w:pPr>
        <w:adjustRightInd w:val="0"/>
        <w:snapToGrid w:val="0"/>
        <w:spacing w:line="360" w:lineRule="auto"/>
        <w:ind w:firstLine="422" w:firstLineChars="201"/>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4、各种设备的松散零星部件应采用可靠安全的包装方式，装入尺寸适当的箱内，并尽可能整车发运。栅格式箱子或类似的包装，只能用于盛装不至于被偷窃或被其他物品或雨水造成损坏的设备及零部件。</w:t>
      </w:r>
    </w:p>
    <w:p w14:paraId="67ED5C31">
      <w:pPr>
        <w:adjustRightInd w:val="0"/>
        <w:snapToGrid w:val="0"/>
        <w:spacing w:line="360" w:lineRule="auto"/>
        <w:ind w:firstLine="422" w:firstLineChars="201"/>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5、凡由于包装不良、运输方式不当或非法运输造成的事故、损失、行政处罚和由此产生的其他全部费用均由乙方全部承担。</w:t>
      </w:r>
    </w:p>
    <w:p w14:paraId="22AAAE4E">
      <w:pPr>
        <w:adjustRightInd w:val="0"/>
        <w:snapToGrid w:val="0"/>
        <w:spacing w:line="360" w:lineRule="auto"/>
        <w:ind w:firstLine="422" w:firstLineChars="201"/>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6、运输、装卸过程中发生的货物毁损、灭失等所有相关风险由乙方自行承担。</w:t>
      </w:r>
    </w:p>
    <w:p w14:paraId="21063C94">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1203C1FC">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37" w:name="_Toc29074"/>
      <w:r>
        <w:rPr>
          <w:rFonts w:hint="eastAsia" w:ascii="宋体" w:hAnsi="宋体" w:eastAsia="宋体" w:cs="Times New Roman"/>
          <w:b/>
          <w:color w:val="000000" w:themeColor="text1"/>
          <w:szCs w:val="21"/>
          <w:highlight w:val="none"/>
          <w14:textFill>
            <w14:solidFill>
              <w14:schemeClr w14:val="tx1"/>
            </w14:solidFill>
          </w14:textFill>
        </w:rPr>
        <w:t>第七条 保险</w:t>
      </w:r>
      <w:bookmarkEnd w:id="837"/>
    </w:p>
    <w:p w14:paraId="23C98DF5">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乙方应负责为本合同项下所有货物购买相应的商业保险，保险费已包含在合同价中。如因乙方未能投保或保险人不予承担相应责任而货物在经甲方验收合格前的运输、装卸等过程中发生毁损、灭失的风险由乙方自行承担。</w:t>
      </w:r>
    </w:p>
    <w:p w14:paraId="3F1979F7">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一旦上述货物发生保险事故，乙方除依法向保险人请求赔偿保险金外，应继续依约向甲方提供满足项目要求的货物，由此造成交货期延误的，乙方应按合同第</w:t>
      </w:r>
      <w:r>
        <w:rPr>
          <w:rFonts w:hint="eastAsia" w:ascii="宋体" w:hAnsi="宋体" w:eastAsia="宋体" w:cs="Times New Roman"/>
          <w:color w:val="000000" w:themeColor="text1"/>
          <w:szCs w:val="21"/>
          <w:highlight w:val="none"/>
          <w:lang w:val="en-US" w:eastAsia="zh-CN"/>
          <w14:textFill>
            <w14:solidFill>
              <w14:schemeClr w14:val="tx1"/>
            </w14:solidFill>
          </w14:textFill>
        </w:rPr>
        <w:t>十八</w:t>
      </w:r>
      <w:r>
        <w:rPr>
          <w:rFonts w:hint="eastAsia" w:ascii="宋体" w:hAnsi="宋体" w:eastAsia="宋体" w:cs="Times New Roman"/>
          <w:color w:val="000000" w:themeColor="text1"/>
          <w:szCs w:val="21"/>
          <w:highlight w:val="none"/>
          <w14:textFill>
            <w14:solidFill>
              <w14:schemeClr w14:val="tx1"/>
            </w14:solidFill>
          </w14:textFill>
        </w:rPr>
        <w:t>条第</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款约定承担违约责任。</w:t>
      </w:r>
    </w:p>
    <w:p w14:paraId="2E8B171E">
      <w:pPr>
        <w:adjustRightInd w:val="0"/>
        <w:snapToGrid w:val="0"/>
        <w:spacing w:line="360" w:lineRule="auto"/>
        <w:ind w:firstLine="373" w:firstLineChars="177"/>
        <w:rPr>
          <w:rFonts w:hint="eastAsia" w:ascii="宋体" w:hAnsi="宋体" w:eastAsia="宋体" w:cs="Times New Roman"/>
          <w:b/>
          <w:bCs/>
          <w:color w:val="000000" w:themeColor="text1"/>
          <w:szCs w:val="21"/>
          <w:highlight w:val="none"/>
          <w14:textFill>
            <w14:solidFill>
              <w14:schemeClr w14:val="tx1"/>
            </w14:solidFill>
          </w14:textFill>
        </w:rPr>
      </w:pPr>
    </w:p>
    <w:p w14:paraId="1D80DA3A">
      <w:pPr>
        <w:adjustRightInd w:val="0"/>
        <w:snapToGrid w:val="0"/>
        <w:spacing w:line="360" w:lineRule="auto"/>
        <w:ind w:firstLine="373" w:firstLineChars="177"/>
        <w:rPr>
          <w:rFonts w:hint="eastAsia"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Times New Roman"/>
          <w:b/>
          <w:bCs/>
          <w:color w:val="000000" w:themeColor="text1"/>
          <w:sz w:val="21"/>
          <w:szCs w:val="21"/>
          <w:highlight w:val="none"/>
          <w14:textFill>
            <w14:solidFill>
              <w14:schemeClr w14:val="tx1"/>
            </w14:solidFill>
          </w14:textFill>
        </w:rPr>
        <w:t>第八条  交货约定</w:t>
      </w:r>
    </w:p>
    <w:p w14:paraId="2BC86711">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1、交货时间：根据甲方</w:t>
      </w:r>
      <w:r>
        <w:rPr>
          <w:rFonts w:hint="eastAsia" w:ascii="宋体" w:hAnsi="宋体" w:eastAsia="宋体" w:cs="Times New Roman"/>
          <w:color w:val="000000" w:themeColor="text1"/>
          <w:szCs w:val="21"/>
          <w:highlight w:val="none"/>
          <w14:textFill>
            <w14:solidFill>
              <w14:schemeClr w14:val="tx1"/>
            </w14:solidFill>
          </w14:textFill>
        </w:rPr>
        <w:t>供</w:t>
      </w:r>
      <w:r>
        <w:rPr>
          <w:rFonts w:hint="eastAsia" w:ascii="宋体" w:hAnsi="宋体" w:eastAsia="宋体" w:cs="Times New Roman"/>
          <w:color w:val="000000" w:themeColor="text1"/>
          <w:sz w:val="21"/>
          <w:szCs w:val="21"/>
          <w:highlight w:val="none"/>
          <w14:textFill>
            <w14:solidFill>
              <w14:schemeClr w14:val="tx1"/>
            </w14:solidFill>
          </w14:textFill>
        </w:rPr>
        <w:t>货通知，按时分批交货。乙方承诺按接到甲方《</w:t>
      </w:r>
      <w:r>
        <w:rPr>
          <w:rFonts w:hint="eastAsia" w:ascii="宋体" w:hAnsi="宋体" w:eastAsia="宋体" w:cs="Times New Roman"/>
          <w:color w:val="000000" w:themeColor="text1"/>
          <w:szCs w:val="21"/>
          <w:highlight w:val="none"/>
          <w14:textFill>
            <w14:solidFill>
              <w14:schemeClr w14:val="tx1"/>
            </w14:solidFill>
          </w14:textFill>
        </w:rPr>
        <w:t>供</w:t>
      </w:r>
      <w:r>
        <w:rPr>
          <w:rFonts w:hint="eastAsia" w:ascii="宋体" w:hAnsi="宋体" w:eastAsia="宋体" w:cs="Times New Roman"/>
          <w:color w:val="000000" w:themeColor="text1"/>
          <w:sz w:val="21"/>
          <w:szCs w:val="21"/>
          <w:highlight w:val="none"/>
          <w14:textFill>
            <w14:solidFill>
              <w14:schemeClr w14:val="tx1"/>
            </w14:solidFill>
          </w14:textFill>
        </w:rPr>
        <w:t>货通知单》之日起</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u w:val="single"/>
          <w:lang w:val="en-US" w:eastAsia="zh-CN"/>
          <w14:textFill>
            <w14:solidFill>
              <w14:schemeClr w14:val="tx1"/>
            </w14:solidFill>
          </w14:textFill>
        </w:rPr>
        <w:t>180</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日历天内，将该批货物交付至甲方指定地点。</w:t>
      </w:r>
    </w:p>
    <w:p w14:paraId="5E42B514">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2、交货地点、方式</w:t>
      </w:r>
    </w:p>
    <w:p w14:paraId="32893147">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①交货地点为：甲方所在地仓库（或项目所在地）。</w:t>
      </w:r>
    </w:p>
    <w:p w14:paraId="332F514D">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甲方如需变更交货地点，甲方应在原定的最后交货日前提前三天以上通知乙方。乙方负责将货物送至甲方指定位置</w:t>
      </w:r>
      <w:r>
        <w:rPr>
          <w:rFonts w:hint="eastAsia" w:ascii="宋体" w:hAnsi="宋体" w:eastAsia="宋体" w:cs="Times New Roman"/>
          <w:color w:val="000000" w:themeColor="text1"/>
          <w:sz w:val="21"/>
          <w:szCs w:val="21"/>
          <w:highlight w:val="none"/>
          <w:lang w:bidi="ar"/>
          <w14:textFill>
            <w14:solidFill>
              <w14:schemeClr w14:val="tx1"/>
            </w14:solidFill>
          </w14:textFill>
        </w:rPr>
        <w:t>，</w:t>
      </w:r>
      <w:r>
        <w:rPr>
          <w:rFonts w:hint="eastAsia" w:ascii="宋体" w:hAnsi="宋体" w:eastAsia="宋体" w:cs="Times New Roman"/>
          <w:bCs w:val="0"/>
          <w:color w:val="000000" w:themeColor="text1"/>
          <w:sz w:val="21"/>
          <w:szCs w:val="21"/>
          <w:highlight w:val="none"/>
          <w14:textFill>
            <w14:solidFill>
              <w14:schemeClr w14:val="tx1"/>
            </w14:solidFill>
          </w14:textFill>
        </w:rPr>
        <w:t>货物到达交货地点发生的吊卸</w:t>
      </w:r>
      <w:r>
        <w:rPr>
          <w:rFonts w:hint="eastAsia" w:ascii="宋体" w:hAnsi="宋体" w:eastAsia="宋体" w:cs="Times New Roman"/>
          <w:bCs w:val="0"/>
          <w:color w:val="000000" w:themeColor="text1"/>
          <w:sz w:val="21"/>
          <w:szCs w:val="21"/>
          <w:highlight w:val="none"/>
          <w:lang w:eastAsia="zh-CN"/>
          <w14:textFill>
            <w14:solidFill>
              <w14:schemeClr w14:val="tx1"/>
            </w14:solidFill>
          </w14:textFill>
        </w:rPr>
        <w:t>、</w:t>
      </w:r>
      <w:r>
        <w:rPr>
          <w:rFonts w:hint="eastAsia" w:ascii="宋体" w:hAnsi="宋体" w:eastAsia="宋体" w:cs="Times New Roman"/>
          <w:bCs w:val="0"/>
          <w:color w:val="000000" w:themeColor="text1"/>
          <w:sz w:val="21"/>
          <w:szCs w:val="21"/>
          <w:highlight w:val="none"/>
          <w:lang w:val="en-US" w:eastAsia="zh-CN"/>
          <w14:textFill>
            <w14:solidFill>
              <w14:schemeClr w14:val="tx1"/>
            </w14:solidFill>
          </w14:textFill>
        </w:rPr>
        <w:t>搬运等</w:t>
      </w:r>
      <w:r>
        <w:rPr>
          <w:rFonts w:hint="eastAsia" w:ascii="宋体" w:hAnsi="宋体" w:eastAsia="宋体" w:cs="Times New Roman"/>
          <w:bCs w:val="0"/>
          <w:color w:val="000000" w:themeColor="text1"/>
          <w:sz w:val="21"/>
          <w:szCs w:val="21"/>
          <w:highlight w:val="none"/>
          <w14:textFill>
            <w14:solidFill>
              <w14:schemeClr w14:val="tx1"/>
            </w14:solidFill>
          </w14:textFill>
        </w:rPr>
        <w:t>费用由</w:t>
      </w:r>
      <w:r>
        <w:rPr>
          <w:rFonts w:hint="eastAsia" w:ascii="宋体" w:hAnsi="宋体" w:eastAsia="宋体" w:cs="Times New Roman"/>
          <w:bCs w:val="0"/>
          <w:color w:val="000000" w:themeColor="text1"/>
          <w:sz w:val="21"/>
          <w:szCs w:val="21"/>
          <w:highlight w:val="none"/>
          <w:lang w:val="en-US" w:eastAsia="zh-CN"/>
          <w14:textFill>
            <w14:solidFill>
              <w14:schemeClr w14:val="tx1"/>
            </w14:solidFill>
          </w14:textFill>
        </w:rPr>
        <w:t>乙</w:t>
      </w:r>
      <w:r>
        <w:rPr>
          <w:rFonts w:hint="eastAsia" w:ascii="宋体" w:hAnsi="宋体" w:eastAsia="宋体" w:cs="Times New Roman"/>
          <w:bCs w:val="0"/>
          <w:color w:val="000000" w:themeColor="text1"/>
          <w:sz w:val="21"/>
          <w:szCs w:val="21"/>
          <w:highlight w:val="none"/>
          <w14:textFill>
            <w14:solidFill>
              <w14:schemeClr w14:val="tx1"/>
            </w14:solidFill>
          </w14:textFill>
        </w:rPr>
        <w:t>方负责。</w:t>
      </w:r>
    </w:p>
    <w:p w14:paraId="37534226">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②调试：乙方应负责完成交货调试工作。甲方有权向乙方提出进行现场调试的要求，一旦提出，乙方应在甲方通知要求的时间到甲方现场对货物进行调试，并在开始调试之日起</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日内调试完毕。本合同未列明但货物安装、调试及正常使用所必须的相关配件、辅助设备等，乙方须免费提供，</w:t>
      </w:r>
      <w:r>
        <w:rPr>
          <w:rFonts w:hint="eastAsia" w:ascii="宋体" w:hAnsi="宋体" w:eastAsia="宋体" w:cs="宋体"/>
          <w:color w:val="000000" w:themeColor="text1"/>
          <w:sz w:val="21"/>
          <w:szCs w:val="21"/>
          <w:highlight w:val="none"/>
          <w14:textFill>
            <w14:solidFill>
              <w14:schemeClr w14:val="tx1"/>
            </w14:solidFill>
          </w14:textFill>
        </w:rPr>
        <w:t>调试费用</w:t>
      </w:r>
      <w:r>
        <w:rPr>
          <w:rFonts w:hint="eastAsia" w:ascii="宋体" w:hAnsi="宋体" w:eastAsia="宋体" w:cs="Times New Roman"/>
          <w:color w:val="000000" w:themeColor="text1"/>
          <w:sz w:val="21"/>
          <w:szCs w:val="21"/>
          <w:highlight w:val="none"/>
          <w14:textFill>
            <w14:solidFill>
              <w14:schemeClr w14:val="tx1"/>
            </w14:solidFill>
          </w14:textFill>
        </w:rPr>
        <w:t>已包含在合同价款内。如乙方未按合同约定及甲方要求进行调试的，甲方有权在下一批次应付款中直接扣减相关费用，乙方对此无异议。</w:t>
      </w:r>
    </w:p>
    <w:p w14:paraId="38A1465A">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在货物安放至甲方指定位置移</w:t>
      </w:r>
      <w:r>
        <w:rPr>
          <w:rFonts w:hint="eastAsia" w:ascii="宋体" w:hAnsi="宋体" w:eastAsia="宋体" w:cs="宋体"/>
          <w:color w:val="000000" w:themeColor="text1"/>
          <w:sz w:val="21"/>
          <w:szCs w:val="21"/>
          <w:highlight w:val="none"/>
          <w14:textFill>
            <w14:solidFill>
              <w14:schemeClr w14:val="tx1"/>
            </w14:solidFill>
          </w14:textFill>
        </w:rPr>
        <w:t>交甲方并经交货验收合格前（即在质量跟踪卡或送货单上签收交货验收合格前），货物的毁损、灭失的风险和责任以及与交货有关的所有费</w:t>
      </w:r>
      <w:r>
        <w:rPr>
          <w:rFonts w:hint="eastAsia" w:ascii="宋体" w:hAnsi="宋体" w:eastAsia="宋体" w:cs="Times New Roman"/>
          <w:color w:val="000000" w:themeColor="text1"/>
          <w:sz w:val="21"/>
          <w:szCs w:val="21"/>
          <w:highlight w:val="none"/>
          <w14:textFill>
            <w14:solidFill>
              <w14:schemeClr w14:val="tx1"/>
            </w14:solidFill>
          </w14:textFill>
        </w:rPr>
        <w:t>用均由乙方承担。</w:t>
      </w:r>
    </w:p>
    <w:p w14:paraId="10C3E328">
      <w:pPr>
        <w:adjustRightInd w:val="0"/>
        <w:snapToGrid w:val="0"/>
        <w:spacing w:line="360" w:lineRule="auto"/>
        <w:ind w:firstLine="373" w:firstLineChars="177"/>
        <w:rPr>
          <w:rFonts w:hint="eastAsia" w:ascii="宋体" w:hAnsi="宋体" w:eastAsia="宋体" w:cs="Times New Roman"/>
          <w:b/>
          <w:bCs/>
          <w:color w:val="000000" w:themeColor="text1"/>
          <w:szCs w:val="21"/>
          <w:highlight w:val="none"/>
          <w14:textFill>
            <w14:solidFill>
              <w14:schemeClr w14:val="tx1"/>
            </w14:solidFill>
          </w14:textFill>
        </w:rPr>
      </w:pPr>
    </w:p>
    <w:p w14:paraId="724D6D34">
      <w:pPr>
        <w:adjustRightInd w:val="0"/>
        <w:snapToGrid w:val="0"/>
        <w:spacing w:line="360" w:lineRule="auto"/>
        <w:ind w:firstLine="373" w:firstLineChars="177"/>
        <w:rPr>
          <w:rFonts w:hint="eastAsia"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Times New Roman"/>
          <w:b/>
          <w:bCs/>
          <w:color w:val="000000" w:themeColor="text1"/>
          <w:sz w:val="21"/>
          <w:szCs w:val="21"/>
          <w:highlight w:val="none"/>
          <w14:textFill>
            <w14:solidFill>
              <w14:schemeClr w14:val="tx1"/>
            </w14:solidFill>
          </w14:textFill>
        </w:rPr>
        <w:t>第</w:t>
      </w:r>
      <w:r>
        <w:rPr>
          <w:rFonts w:hint="eastAsia" w:ascii="宋体" w:hAnsi="宋体" w:eastAsia="宋体" w:cs="Times New Roman"/>
          <w:b/>
          <w:bCs/>
          <w:color w:val="000000" w:themeColor="text1"/>
          <w:szCs w:val="21"/>
          <w:highlight w:val="none"/>
          <w14:textFill>
            <w14:solidFill>
              <w14:schemeClr w14:val="tx1"/>
            </w14:solidFill>
          </w14:textFill>
        </w:rPr>
        <w:t>九</w:t>
      </w:r>
      <w:r>
        <w:rPr>
          <w:rFonts w:hint="eastAsia" w:ascii="宋体" w:hAnsi="宋体" w:eastAsia="宋体" w:cs="Times New Roman"/>
          <w:b/>
          <w:bCs/>
          <w:color w:val="000000" w:themeColor="text1"/>
          <w:sz w:val="21"/>
          <w:szCs w:val="21"/>
          <w:highlight w:val="none"/>
          <w14:textFill>
            <w14:solidFill>
              <w14:schemeClr w14:val="tx1"/>
            </w14:solidFill>
          </w14:textFill>
        </w:rPr>
        <w:t>条  验收</w:t>
      </w:r>
    </w:p>
    <w:p w14:paraId="7CFCFC4C">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1、货物到达交货地点后，甲方按送货单清点无缺件，按照本合同约定查看相关单证和资料无缺漏，外观包装无破损后，甲乙双方即时</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进行交货</w:t>
      </w:r>
      <w:r>
        <w:rPr>
          <w:rFonts w:hint="eastAsia" w:ascii="宋体" w:hAnsi="宋体" w:eastAsia="宋体" w:cs="Times New Roman"/>
          <w:color w:val="000000" w:themeColor="text1"/>
          <w:sz w:val="21"/>
          <w:szCs w:val="21"/>
          <w:highlight w:val="none"/>
          <w14:textFill>
            <w14:solidFill>
              <w14:schemeClr w14:val="tx1"/>
            </w14:solidFill>
          </w14:textFill>
        </w:rPr>
        <w:t>验收，验收后双方代表签字确认验收结果。在验收中若发现货物有短缺破损或与合同文件不符的其他情况，甲方有权拒收货物，乙方承担全部责任。验收所需的费用（如有）由乙方承担。</w:t>
      </w:r>
    </w:p>
    <w:p w14:paraId="6EA9CDEE">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lang w:eastAsia="zh-TW"/>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2、交货验收合格的，货物到货后开箱时应由甲乙双方代表检查验收合格签字</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p>
    <w:p w14:paraId="012D8FC8">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 w:val="21"/>
          <w:szCs w:val="21"/>
          <w:highlight w:val="none"/>
          <w14:textFill>
            <w14:solidFill>
              <w14:schemeClr w14:val="tx1"/>
            </w14:solidFill>
          </w14:textFill>
        </w:rPr>
        <w:t>如乙方提供的货物与本合同文件要求不符，甲方有权要求退货或换货，乙方无条件接受退货、换货，并承担由此发生的一切费用和损失。乙方实际交货时间以乙方最终提交合格货物时间为准。</w:t>
      </w:r>
    </w:p>
    <w:p w14:paraId="4B09E338">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不合格情形严重或不合格货物价款超过货物总价款的</w:t>
      </w:r>
      <w:r>
        <w:rPr>
          <w:rFonts w:hint="eastAsia" w:ascii="宋体" w:hAnsi="宋体" w:eastAsia="宋体" w:cs="Times New Roman"/>
          <w:color w:val="000000" w:themeColor="text1"/>
          <w:sz w:val="21"/>
          <w:szCs w:val="21"/>
          <w:highlight w:val="none"/>
          <w:u w:val="none"/>
          <w14:textFill>
            <w14:solidFill>
              <w14:schemeClr w14:val="tx1"/>
            </w14:solidFill>
          </w14:textFill>
        </w:rPr>
        <w:t xml:space="preserve"> 10</w:t>
      </w:r>
      <w:r>
        <w:rPr>
          <w:rFonts w:hint="eastAsia" w:ascii="宋体" w:hAnsi="宋体" w:eastAsia="宋体" w:cs="Times New Roman"/>
          <w:color w:val="000000" w:themeColor="text1"/>
          <w:sz w:val="21"/>
          <w:szCs w:val="21"/>
          <w:highlight w:val="none"/>
          <w14:textFill>
            <w14:solidFill>
              <w14:schemeClr w14:val="tx1"/>
            </w14:solidFill>
          </w14:textFill>
        </w:rPr>
        <w:t xml:space="preserve"> %的，甲方可解除本合同，因货物不合格而造成的一切损失（包括直接和间接损失，以及造成甲方、第三方人身、财产损害）均由乙方赔偿。</w:t>
      </w:r>
    </w:p>
    <w:p w14:paraId="2D6E936E">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4、验收按本合同文件要求及国家及行业有关规定、规范进行。验收时如发现所交付的货物有短缺、次品、损坏或其它不符合本合同规定之情形者，甲方做出详尽的现场记录，经乙方现场确认，此现场记录或备忘录为乙方应依甲方要求作补缺、更换损坏部件、退换货、解除合同、索赔等的有效证据。因货物不符合本合同要求而产生的一切费用、损失等均由乙方承担。</w:t>
      </w:r>
    </w:p>
    <w:p w14:paraId="371C886F">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5、甲方在验收时直至在使用过程中，如甲方认为货物存在质量问题的，乙方应按本合同第</w:t>
      </w:r>
      <w:r>
        <w:rPr>
          <w:rFonts w:hint="eastAsia" w:ascii="宋体" w:hAnsi="宋体" w:eastAsia="宋体" w:cs="Times New Roman"/>
          <w:color w:val="000000" w:themeColor="text1"/>
          <w:sz w:val="21"/>
          <w:szCs w:val="21"/>
          <w:highlight w:val="none"/>
          <w:lang w:eastAsia="zh-CN"/>
          <w14:textFill>
            <w14:solidFill>
              <w14:schemeClr w14:val="tx1"/>
            </w14:solidFill>
          </w14:textFill>
        </w:rPr>
        <w:t>十</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八</w:t>
      </w:r>
      <w:r>
        <w:rPr>
          <w:rFonts w:hint="eastAsia" w:ascii="宋体" w:hAnsi="宋体" w:eastAsia="宋体" w:cs="Times New Roman"/>
          <w:color w:val="000000" w:themeColor="text1"/>
          <w:sz w:val="21"/>
          <w:szCs w:val="21"/>
          <w:highlight w:val="none"/>
          <w14:textFill>
            <w14:solidFill>
              <w14:schemeClr w14:val="tx1"/>
            </w14:solidFill>
          </w14:textFill>
        </w:rPr>
        <w:t>条约定承担违约责任；如果甲乙双方对货物质量有争议的，</w:t>
      </w:r>
      <w:r>
        <w:rPr>
          <w:rFonts w:hint="eastAsia" w:ascii="宋体" w:hAnsi="宋体" w:eastAsia="宋体" w:cs="Times New Roman"/>
          <w:color w:val="000000" w:themeColor="text1"/>
          <w:szCs w:val="21"/>
          <w:highlight w:val="none"/>
          <w14:textFill>
            <w14:solidFill>
              <w14:schemeClr w14:val="tx1"/>
            </w14:solidFill>
          </w14:textFill>
        </w:rPr>
        <w:t>双方同意在质量问题发生后 7 日内提交东莞市质检部门或有资质及鉴定能力的鉴定机构进行质量鉴定后确认，鉴定费由乙方先行垫付，鉴定结果确定后，质量符合合同（含附件）约定的，鉴定费由甲方承担，否则由乙方承担</w:t>
      </w:r>
      <w:r>
        <w:rPr>
          <w:rFonts w:hint="eastAsia" w:ascii="宋体" w:hAnsi="宋体" w:eastAsia="宋体" w:cs="Times New Roman"/>
          <w:color w:val="000000" w:themeColor="text1"/>
          <w:sz w:val="21"/>
          <w:szCs w:val="21"/>
          <w:highlight w:val="none"/>
          <w14:textFill>
            <w14:solidFill>
              <w14:schemeClr w14:val="tx1"/>
            </w14:solidFill>
          </w14:textFill>
        </w:rPr>
        <w:t>。</w:t>
      </w:r>
    </w:p>
    <w:p w14:paraId="6AFCBF70">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首次检定义务：乙方在交货的同时，必须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否则，甲方有权</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拒收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货物，乙方承担全部责任。</w:t>
      </w:r>
    </w:p>
    <w:p w14:paraId="0D191945">
      <w:pPr>
        <w:adjustRightInd w:val="0"/>
        <w:snapToGrid w:val="0"/>
        <w:spacing w:line="360" w:lineRule="auto"/>
        <w:ind w:firstLine="373" w:firstLineChars="177"/>
        <w:rPr>
          <w:rFonts w:hint="eastAsia" w:ascii="宋体" w:hAnsi="宋体" w:eastAsia="宋体" w:cs="Times New Roman"/>
          <w:b/>
          <w:bCs/>
          <w:color w:val="000000" w:themeColor="text1"/>
          <w:szCs w:val="21"/>
          <w:highlight w:val="none"/>
          <w14:textFill>
            <w14:solidFill>
              <w14:schemeClr w14:val="tx1"/>
            </w14:solidFill>
          </w14:textFill>
        </w:rPr>
      </w:pPr>
    </w:p>
    <w:p w14:paraId="6BA4185D">
      <w:pPr>
        <w:adjustRightInd w:val="0"/>
        <w:snapToGrid w:val="0"/>
        <w:spacing w:line="360" w:lineRule="auto"/>
        <w:ind w:firstLine="373" w:firstLineChars="177"/>
        <w:rPr>
          <w:rFonts w:hint="eastAsia"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Times New Roman"/>
          <w:b/>
          <w:bCs/>
          <w:color w:val="000000" w:themeColor="text1"/>
          <w:sz w:val="21"/>
          <w:szCs w:val="21"/>
          <w:highlight w:val="none"/>
          <w14:textFill>
            <w14:solidFill>
              <w14:schemeClr w14:val="tx1"/>
            </w14:solidFill>
          </w14:textFill>
        </w:rPr>
        <w:t>第</w:t>
      </w:r>
      <w:r>
        <w:rPr>
          <w:rFonts w:hint="eastAsia" w:ascii="宋体" w:hAnsi="宋体" w:eastAsia="宋体" w:cs="Times New Roman"/>
          <w:b/>
          <w:bCs/>
          <w:color w:val="000000" w:themeColor="text1"/>
          <w:szCs w:val="21"/>
          <w:highlight w:val="none"/>
          <w14:textFill>
            <w14:solidFill>
              <w14:schemeClr w14:val="tx1"/>
            </w14:solidFill>
          </w14:textFill>
        </w:rPr>
        <w:t>十</w:t>
      </w:r>
      <w:r>
        <w:rPr>
          <w:rFonts w:hint="eastAsia" w:ascii="宋体" w:hAnsi="宋体" w:eastAsia="宋体" w:cs="Times New Roman"/>
          <w:b/>
          <w:bCs/>
          <w:color w:val="000000" w:themeColor="text1"/>
          <w:sz w:val="21"/>
          <w:szCs w:val="21"/>
          <w:highlight w:val="none"/>
          <w14:textFill>
            <w14:solidFill>
              <w14:schemeClr w14:val="tx1"/>
            </w14:solidFill>
          </w14:textFill>
        </w:rPr>
        <w:t>条  价款的支付</w:t>
      </w:r>
    </w:p>
    <w:p w14:paraId="27332487">
      <w:pPr>
        <w:adjustRightInd w:val="0"/>
        <w:snapToGrid w:val="0"/>
        <w:spacing w:line="360" w:lineRule="auto"/>
        <w:ind w:firstLine="371" w:firstLineChars="177"/>
        <w:rPr>
          <w:rFonts w:hint="default"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1、甲方发出单笔《供货通知单》后，在收到乙方按本合同约定提供与本批次货款等额的订单保函并经甲方财务人员审核合格后30个工作日内，甲方支付至该批货物货款总额（含销项税额）的100%。</w:t>
      </w:r>
    </w:p>
    <w:p w14:paraId="223CBDED">
      <w:pPr>
        <w:adjustRightInd w:val="0"/>
        <w:snapToGrid w:val="0"/>
        <w:spacing w:line="360" w:lineRule="auto"/>
        <w:ind w:firstLine="371" w:firstLineChars="177"/>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2、如果依合同乙方应支付违约金或赔偿或其他费用的，甲方有权从上述应支付给乙方的款项中直接扣除，不足部分甲方有权要求乙方另行补足。</w:t>
      </w:r>
    </w:p>
    <w:p w14:paraId="5B31C512">
      <w:pPr>
        <w:widowControl w:val="0"/>
        <w:tabs>
          <w:tab w:val="left" w:pos="0"/>
        </w:tabs>
        <w:adjustRightInd w:val="0"/>
        <w:snapToGrid w:val="0"/>
        <w:spacing w:line="360" w:lineRule="auto"/>
        <w:ind w:firstLine="422"/>
        <w:jc w:val="both"/>
        <w:textAlignment w:val="baseline"/>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pPr>
    </w:p>
    <w:p w14:paraId="1A87170D">
      <w:pPr>
        <w:widowControl w:val="0"/>
        <w:tabs>
          <w:tab w:val="left" w:pos="0"/>
        </w:tabs>
        <w:adjustRightInd w:val="0"/>
        <w:snapToGrid w:val="0"/>
        <w:spacing w:line="360" w:lineRule="auto"/>
        <w:ind w:firstLine="422"/>
        <w:jc w:val="both"/>
        <w:textAlignment w:val="baseline"/>
        <w:outlineLvl w:val="1"/>
        <w:rPr>
          <w:rFonts w:ascii="宋体" w:hAnsi="宋体" w:eastAsia="宋体" w:cs="Times New Roman"/>
          <w:b/>
          <w:color w:val="000000" w:themeColor="text1"/>
          <w:kern w:val="2"/>
          <w:sz w:val="21"/>
          <w:szCs w:val="21"/>
          <w:highlight w:val="none"/>
          <w:lang w:val="en-US" w:eastAsia="zh-CN" w:bidi="ar-SA"/>
          <w14:textFill>
            <w14:solidFill>
              <w14:schemeClr w14:val="tx1"/>
            </w14:solidFill>
          </w14:textFill>
        </w:rPr>
      </w:pPr>
      <w:bookmarkStart w:id="838" w:name="_Toc29848"/>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第十一条 技术服务和培训</w:t>
      </w:r>
      <w:bookmarkEnd w:id="838"/>
    </w:p>
    <w:p w14:paraId="265F1CB0">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1、技术服务</w:t>
      </w:r>
    </w:p>
    <w:p w14:paraId="5BBB3232">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（1）乙方应及时提供与本合同设备有关的安装、调试、验收、试验、运行、检修等相应的技术指导、技术配合、技术培训等全过程的服务。</w:t>
      </w:r>
    </w:p>
    <w:p w14:paraId="3FED50C6">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 甲方有权将乙方所提供的一切与本合同设备有关的资料分发给与本项目有关的各方，并不由此而构成任何侵权，亦无需事先取得乙方的同意，但双方不得向任何与本项目无关的第三方提供。</w:t>
      </w:r>
    </w:p>
    <w:p w14:paraId="2A61A650">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乙方须对一切与本合同有关（包括外购）的供货、设备及技术接口、技术服务等问题负全部责任。凡与本合同设备相连接的其它设备装置，乙方有提供接口和技术配合的义务，并不由此而向甲方主张发生合同价格以外的任何费用。</w:t>
      </w:r>
    </w:p>
    <w:p w14:paraId="44C453A8">
      <w:pPr>
        <w:adjustRightInd w:val="0"/>
        <w:snapToGrid w:val="0"/>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（4）由于乙方技术服务人员对安装的疏忽和错误以及乙方未按要求派人指导而造成的直接损失应由乙方负责。造成甲方损失的，乙方需足额赔偿。</w:t>
      </w:r>
    </w:p>
    <w:p w14:paraId="10CC645B">
      <w:pPr>
        <w:adjustRightInd w:val="0"/>
        <w:snapToGrid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、人员培训</w:t>
      </w:r>
    </w:p>
    <w:p w14:paraId="088CDADE">
      <w:pPr>
        <w:adjustRightInd w:val="0"/>
        <w:snapToGrid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（1）现场培训：指在安装、调试和检测期间，乙方根据甲方需求提供现场安装指导，并派专人对维护操作人员进行培训，务必使这些受训人员能胜任这些设备的检查、调试和维护工作。</w:t>
      </w:r>
    </w:p>
    <w:p w14:paraId="3D9B7596">
      <w:pPr>
        <w:adjustRightInd w:val="0"/>
        <w:snapToGrid w:val="0"/>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（2）培训地点规模及时间：由甲方指定，乙方应提前 15 日提供完整的书面培训计划和方案，列明提供培训的技术人员名单及资质，以及培训完成后甲方人员可达到的水平等。</w:t>
      </w:r>
    </w:p>
    <w:p w14:paraId="7FE9179C">
      <w:pPr>
        <w:adjustRightInd w:val="0"/>
        <w:snapToGrid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（3）培训内容：乙方为甲方免费提供操作及维护培训，主要内容为货物的基本结构、性能、主要部件的构造及原理，日常使用操作、保养与管理，常见故障的原因分析与排除，紧急情况的处理等。</w:t>
      </w:r>
    </w:p>
    <w:p w14:paraId="637EA72F">
      <w:pPr>
        <w:adjustRightInd w:val="0"/>
        <w:snapToGrid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（4）培训费用：培训费用由乙方承担，该费用已包含在合同价中。</w:t>
      </w:r>
    </w:p>
    <w:p w14:paraId="4A3EE893">
      <w:pPr>
        <w:adjustRightInd w:val="0"/>
        <w:snapToGrid w:val="0"/>
        <w:spacing w:line="360" w:lineRule="auto"/>
        <w:ind w:firstLine="371" w:firstLineChars="177"/>
        <w:rPr>
          <w:rFonts w:ascii="宋体" w:hAnsi="宋体" w:eastAsia="宋体" w:cs="Times New Roman"/>
          <w:b w:val="0"/>
          <w:bCs/>
          <w:color w:val="000000" w:themeColor="text1"/>
          <w:szCs w:val="21"/>
          <w:highlight w:val="none"/>
          <w14:textFill>
            <w14:solidFill>
              <w14:schemeClr w14:val="tx1"/>
            </w14:solidFill>
          </w14:textFill>
        </w:rPr>
      </w:pPr>
    </w:p>
    <w:p w14:paraId="036DAB4B">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1CA747FE">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39" w:name="_Toc8085"/>
      <w:r>
        <w:rPr>
          <w:rFonts w:hint="eastAsia" w:ascii="宋体" w:hAnsi="宋体" w:eastAsia="宋体" w:cs="Times New Roman"/>
          <w:b/>
          <w:color w:val="000000" w:themeColor="text1"/>
          <w:szCs w:val="21"/>
          <w:highlight w:val="none"/>
          <w14:textFill>
            <w14:solidFill>
              <w14:schemeClr w14:val="tx1"/>
            </w14:solidFill>
          </w14:textFill>
        </w:rPr>
        <w:t>第十二条 履约担保</w:t>
      </w:r>
      <w:bookmarkEnd w:id="839"/>
    </w:p>
    <w:p w14:paraId="3CBF021D">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1、乙方应当根据招标文件的规定在签订本合同前向甲方提供履约担保，履约担保形式及金额由乙方从以下方式中任选一种：</w:t>
      </w:r>
    </w:p>
    <w:p w14:paraId="4A9857FA">
      <w:pPr>
        <w:adjustRightInd w:val="0"/>
        <w:snapToGrid w:val="0"/>
        <w:spacing w:line="360" w:lineRule="auto"/>
        <w:ind w:firstLine="371" w:firstLineChars="177"/>
        <w:rPr>
          <w:rFonts w:hint="eastAsia" w:ascii="宋体" w:hAnsi="宋体" w:eastAsia="宋体" w:cs="Times New Roman"/>
          <w:color w:val="000000" w:themeColor="text1"/>
          <w:szCs w:val="21"/>
          <w:highlight w:val="none"/>
          <w:u w:val="none"/>
          <w14:textFill>
            <w14:solidFill>
              <w14:schemeClr w14:val="tx1"/>
            </w14:solidFill>
          </w14:textFill>
        </w:rPr>
      </w:pPr>
      <w:r>
        <w:rPr>
          <w:rFonts w:hint="eastAsia" w:ascii="宋体" w:hAnsi="宋体" w:eastAsia="宋体" w:cs="Times New Roman"/>
          <w:color w:val="000000" w:themeColor="text1"/>
          <w:szCs w:val="21"/>
          <w:highlight w:val="none"/>
          <w:u w:val="none"/>
          <w14:textFill>
            <w14:solidFill>
              <w14:schemeClr w14:val="tx1"/>
            </w14:solidFill>
          </w14:textFill>
        </w:rPr>
        <w:t>□ 履约保证金（银行转账形式）金额为合同暂定</w:t>
      </w:r>
      <w:r>
        <w:rPr>
          <w:rFonts w:hint="eastAsia" w:ascii="宋体" w:hAnsi="宋体" w:eastAsia="宋体" w:cs="Times New Roman"/>
          <w:bCs/>
          <w:color w:val="000000" w:themeColor="text1"/>
          <w:szCs w:val="21"/>
          <w:highlight w:val="none"/>
          <w:u w:val="none"/>
          <w14:textFill>
            <w14:solidFill>
              <w14:schemeClr w14:val="tx1"/>
            </w14:solidFill>
          </w14:textFill>
        </w:rPr>
        <w:t>总</w:t>
      </w:r>
      <w:r>
        <w:rPr>
          <w:rFonts w:hint="eastAsia" w:ascii="宋体" w:hAnsi="宋体" w:eastAsia="宋体" w:cs="Times New Roman"/>
          <w:color w:val="000000" w:themeColor="text1"/>
          <w:szCs w:val="21"/>
          <w:highlight w:val="none"/>
          <w:u w:val="none"/>
          <w14:textFill>
            <w14:solidFill>
              <w14:schemeClr w14:val="tx1"/>
            </w14:solidFill>
          </w14:textFill>
        </w:rPr>
        <w:t>价（</w:t>
      </w:r>
      <w:r>
        <w:rPr>
          <w:rFonts w:hint="eastAsia" w:ascii="Times New Roman" w:hAnsi="宋体" w:eastAsia="宋体" w:cs="Times New Roman"/>
          <w:color w:val="000000" w:themeColor="text1"/>
          <w:szCs w:val="21"/>
          <w:highlight w:val="none"/>
          <w:u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）的5</w:t>
      </w:r>
      <w:r>
        <w:rPr>
          <w:rFonts w:ascii="宋体" w:hAnsi="宋体" w:eastAsia="宋体" w:cs="Times New Roman"/>
          <w:color w:val="000000" w:themeColor="text1"/>
          <w:szCs w:val="21"/>
          <w:highlight w:val="none"/>
          <w:u w:val="none"/>
          <w14:textFill>
            <w14:solidFill>
              <w14:schemeClr w14:val="tx1"/>
            </w14:solidFill>
          </w14:textFill>
        </w:rPr>
        <w:t>%</w:t>
      </w:r>
      <w:r>
        <w:rPr>
          <w:rFonts w:hint="eastAsia" w:ascii="宋体" w:hAnsi="宋体" w:eastAsia="宋体" w:cs="Times New Roman"/>
          <w:color w:val="000000" w:themeColor="text1"/>
          <w:szCs w:val="21"/>
          <w:highlight w:val="none"/>
          <w:u w:val="none"/>
          <w14:textFill>
            <w14:solidFill>
              <w14:schemeClr w14:val="tx1"/>
            </w14:solidFill>
          </w14:textFill>
        </w:rPr>
        <w:t>；</w:t>
      </w:r>
    </w:p>
    <w:p w14:paraId="2580022A">
      <w:pPr>
        <w:adjustRightInd w:val="0"/>
        <w:snapToGrid w:val="0"/>
        <w:spacing w:line="360" w:lineRule="auto"/>
        <w:ind w:firstLine="371" w:firstLineChars="177"/>
        <w:rPr>
          <w:rFonts w:hint="eastAsia" w:ascii="宋体" w:hAnsi="宋体" w:eastAsia="宋体" w:cs="Times New Roman"/>
          <w:color w:val="000000" w:themeColor="text1"/>
          <w:szCs w:val="21"/>
          <w:highlight w:val="none"/>
          <w:u w:val="none"/>
          <w14:textFill>
            <w14:solidFill>
              <w14:schemeClr w14:val="tx1"/>
            </w14:solidFill>
          </w14:textFill>
        </w:rPr>
      </w:pPr>
      <w:r>
        <w:rPr>
          <w:rFonts w:hint="eastAsia" w:ascii="宋体" w:hAnsi="宋体" w:eastAsia="宋体" w:cs="Times New Roman"/>
          <w:color w:val="000000" w:themeColor="text1"/>
          <w:szCs w:val="21"/>
          <w:highlight w:val="none"/>
          <w:u w:val="none"/>
          <w14:textFill>
            <w14:solidFill>
              <w14:schemeClr w14:val="tx1"/>
            </w14:solidFill>
          </w14:textFill>
        </w:rPr>
        <w:t>□ 不可撤销银行履约保函金额为合同暂定</w:t>
      </w:r>
      <w:r>
        <w:rPr>
          <w:rFonts w:hint="eastAsia" w:ascii="宋体" w:hAnsi="宋体" w:eastAsia="宋体" w:cs="Times New Roman"/>
          <w:bCs/>
          <w:color w:val="000000" w:themeColor="text1"/>
          <w:szCs w:val="21"/>
          <w:highlight w:val="none"/>
          <w:u w:val="none"/>
          <w14:textFill>
            <w14:solidFill>
              <w14:schemeClr w14:val="tx1"/>
            </w14:solidFill>
          </w14:textFill>
        </w:rPr>
        <w:t>总</w:t>
      </w:r>
      <w:r>
        <w:rPr>
          <w:rFonts w:hint="eastAsia" w:ascii="宋体" w:hAnsi="宋体" w:eastAsia="宋体" w:cs="Times New Roman"/>
          <w:color w:val="000000" w:themeColor="text1"/>
          <w:szCs w:val="21"/>
          <w:highlight w:val="none"/>
          <w:u w:val="none"/>
          <w14:textFill>
            <w14:solidFill>
              <w14:schemeClr w14:val="tx1"/>
            </w14:solidFill>
          </w14:textFill>
        </w:rPr>
        <w:t>价（</w:t>
      </w:r>
      <w:r>
        <w:rPr>
          <w:rFonts w:hint="eastAsia" w:ascii="Times New Roman" w:hAnsi="宋体" w:eastAsia="宋体" w:cs="Times New Roman"/>
          <w:color w:val="000000" w:themeColor="text1"/>
          <w:szCs w:val="21"/>
          <w:highlight w:val="none"/>
          <w:u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）的</w:t>
      </w:r>
      <w:r>
        <w:rPr>
          <w:rFonts w:ascii="宋体" w:hAnsi="宋体" w:eastAsia="宋体" w:cs="Times New Roman"/>
          <w:color w:val="000000" w:themeColor="text1"/>
          <w:szCs w:val="21"/>
          <w:highlight w:val="none"/>
          <w:u w:val="none"/>
          <w14:textFill>
            <w14:solidFill>
              <w14:schemeClr w14:val="tx1"/>
            </w14:solidFill>
          </w14:textFill>
        </w:rPr>
        <w:t>8%</w:t>
      </w:r>
      <w:r>
        <w:rPr>
          <w:rFonts w:hint="eastAsia" w:ascii="宋体" w:hAnsi="宋体" w:eastAsia="宋体" w:cs="Times New Roman"/>
          <w:color w:val="000000" w:themeColor="text1"/>
          <w:szCs w:val="21"/>
          <w:highlight w:val="none"/>
          <w:u w:val="none"/>
          <w14:textFill>
            <w14:solidFill>
              <w14:schemeClr w14:val="tx1"/>
            </w14:solidFill>
          </w14:textFill>
        </w:rPr>
        <w:t>；</w:t>
      </w:r>
    </w:p>
    <w:p w14:paraId="56C6F8FE">
      <w:pPr>
        <w:adjustRightInd w:val="0"/>
        <w:snapToGrid w:val="0"/>
        <w:spacing w:line="360" w:lineRule="auto"/>
        <w:ind w:firstLine="371" w:firstLineChars="177"/>
        <w:rPr>
          <w:rFonts w:hint="eastAsia" w:ascii="宋体" w:hAnsi="宋体" w:eastAsia="宋体" w:cs="Times New Roman"/>
          <w:color w:val="000000" w:themeColor="text1"/>
          <w:szCs w:val="21"/>
          <w:highlight w:val="none"/>
          <w:u w:val="none"/>
          <w14:textFill>
            <w14:solidFill>
              <w14:schemeClr w14:val="tx1"/>
            </w14:solidFill>
          </w14:textFill>
        </w:rPr>
      </w:pP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履约保证保险</w:t>
      </w:r>
      <w:r>
        <w:rPr>
          <w:rFonts w:hint="eastAsia" w:ascii="宋体" w:hAnsi="宋体" w:eastAsia="宋体" w:cs="宋体"/>
          <w:color w:val="000000" w:themeColor="text1"/>
          <w:sz w:val="21"/>
          <w:szCs w:val="21"/>
          <w:highlight w:val="none"/>
          <w:u w:val="none"/>
          <w14:textFill>
            <w14:solidFill>
              <w14:schemeClr w14:val="tx1"/>
            </w14:solidFill>
          </w14:textFill>
        </w:rPr>
        <w:t>金额为合同暂定</w:t>
      </w:r>
      <w:r>
        <w:rPr>
          <w:rFonts w:hint="eastAsia" w:ascii="宋体" w:hAnsi="宋体" w:eastAsia="宋体" w:cs="宋体"/>
          <w:bCs/>
          <w:color w:val="000000" w:themeColor="text1"/>
          <w:sz w:val="21"/>
          <w:szCs w:val="21"/>
          <w:highlight w:val="none"/>
          <w:u w:val="none"/>
          <w14:textFill>
            <w14:solidFill>
              <w14:schemeClr w14:val="tx1"/>
            </w14:solidFill>
          </w14:textFill>
        </w:rPr>
        <w:t>总</w:t>
      </w:r>
      <w:r>
        <w:rPr>
          <w:rFonts w:hint="eastAsia" w:ascii="宋体" w:hAnsi="宋体" w:eastAsia="宋体" w:cs="宋体"/>
          <w:color w:val="000000" w:themeColor="text1"/>
          <w:sz w:val="21"/>
          <w:szCs w:val="21"/>
          <w:highlight w:val="none"/>
          <w:u w:val="none"/>
          <w14:textFill>
            <w14:solidFill>
              <w14:schemeClr w14:val="tx1"/>
            </w14:solidFill>
          </w14:textFill>
        </w:rPr>
        <w:t>价（含销项税额）的8%；</w:t>
      </w:r>
    </w:p>
    <w:p w14:paraId="5BC04A25">
      <w:pPr>
        <w:adjustRightInd w:val="0"/>
        <w:snapToGrid w:val="0"/>
        <w:spacing w:line="360" w:lineRule="auto"/>
        <w:ind w:firstLine="371" w:firstLineChars="177"/>
        <w:rPr>
          <w:rFonts w:ascii="宋体" w:hAnsi="宋体" w:eastAsia="宋体" w:cs="Times New Roman"/>
          <w:color w:val="000000" w:themeColor="text1"/>
          <w:szCs w:val="21"/>
          <w:highlight w:val="none"/>
          <w:u w:val="none"/>
          <w14:textFill>
            <w14:solidFill>
              <w14:schemeClr w14:val="tx1"/>
            </w14:solidFill>
          </w14:textFill>
        </w:rPr>
      </w:pPr>
      <w:r>
        <w:rPr>
          <w:rFonts w:hint="eastAsia" w:ascii="宋体" w:hAnsi="宋体" w:eastAsia="宋体" w:cs="Times New Roman"/>
          <w:color w:val="000000" w:themeColor="text1"/>
          <w:szCs w:val="21"/>
          <w:highlight w:val="none"/>
          <w:u w:val="none"/>
          <w14:textFill>
            <w14:solidFill>
              <w14:schemeClr w14:val="tx1"/>
            </w14:solidFill>
          </w14:textFill>
        </w:rPr>
        <w:t>□ 担保公司履约担保书金额为合同暂定</w:t>
      </w:r>
      <w:r>
        <w:rPr>
          <w:rFonts w:hint="eastAsia" w:ascii="宋体" w:hAnsi="宋体" w:eastAsia="宋体" w:cs="Times New Roman"/>
          <w:bCs/>
          <w:color w:val="000000" w:themeColor="text1"/>
          <w:szCs w:val="21"/>
          <w:highlight w:val="none"/>
          <w:u w:val="none"/>
          <w14:textFill>
            <w14:solidFill>
              <w14:schemeClr w14:val="tx1"/>
            </w14:solidFill>
          </w14:textFill>
        </w:rPr>
        <w:t>总</w:t>
      </w:r>
      <w:r>
        <w:rPr>
          <w:rFonts w:hint="eastAsia" w:ascii="宋体" w:hAnsi="宋体" w:eastAsia="宋体" w:cs="Times New Roman"/>
          <w:color w:val="000000" w:themeColor="text1"/>
          <w:szCs w:val="21"/>
          <w:highlight w:val="none"/>
          <w:u w:val="none"/>
          <w14:textFill>
            <w14:solidFill>
              <w14:schemeClr w14:val="tx1"/>
            </w14:solidFill>
          </w14:textFill>
        </w:rPr>
        <w:t>价（</w:t>
      </w:r>
      <w:r>
        <w:rPr>
          <w:rFonts w:hint="eastAsia" w:ascii="Times New Roman" w:hAnsi="宋体" w:eastAsia="宋体" w:cs="Times New Roman"/>
          <w:color w:val="000000" w:themeColor="text1"/>
          <w:szCs w:val="21"/>
          <w:highlight w:val="none"/>
          <w:u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）的10%。</w:t>
      </w:r>
    </w:p>
    <w:p w14:paraId="20E94F20">
      <w:pPr>
        <w:keepNext w:val="0"/>
        <w:keepLines w:val="0"/>
        <w:pageBreakBefore w:val="0"/>
        <w:widowControl w:val="0"/>
        <w:kinsoku/>
        <w:wordWrap/>
        <w:overflowPunct/>
        <w:topLinePunct w:val="0"/>
        <w:autoSpaceDE/>
        <w:autoSpaceDN/>
        <w:bidi w:val="0"/>
        <w:adjustRightInd w:val="0"/>
        <w:snapToGrid w:val="0"/>
        <w:spacing w:line="440" w:lineRule="exact"/>
        <w:ind w:firstLine="371" w:firstLineChars="177"/>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2、履约担保用于</w:t>
      </w:r>
      <w:r>
        <w:rPr>
          <w:rFonts w:hint="eastAsia" w:ascii="宋体" w:hAnsi="宋体" w:eastAsia="宋体" w:cs="宋体"/>
          <w:color w:val="000000" w:themeColor="text1"/>
          <w:szCs w:val="21"/>
          <w:highlight w:val="none"/>
          <w:lang w:val="en-US" w:eastAsia="zh-CN"/>
          <w14:textFill>
            <w14:solidFill>
              <w14:schemeClr w14:val="tx1"/>
            </w14:solidFill>
          </w14:textFill>
        </w:rPr>
        <w:t>补偿</w:t>
      </w:r>
      <w:r>
        <w:rPr>
          <w:rFonts w:hint="eastAsia" w:ascii="宋体" w:hAnsi="宋体" w:eastAsia="宋体" w:cs="Times New Roman"/>
          <w:color w:val="000000" w:themeColor="text1"/>
          <w:szCs w:val="21"/>
          <w:highlight w:val="none"/>
          <w14:textFill>
            <w14:solidFill>
              <w14:schemeClr w14:val="tx1"/>
            </w14:solidFill>
          </w14:textFill>
        </w:rPr>
        <w:t>甲方因乙方不能</w:t>
      </w:r>
      <w:r>
        <w:rPr>
          <w:rFonts w:hint="eastAsia" w:ascii="宋体" w:hAnsi="宋体" w:eastAsia="宋体" w:cs="宋体"/>
          <w:color w:val="000000" w:themeColor="text1"/>
          <w:szCs w:val="21"/>
          <w:highlight w:val="none"/>
          <w:lang w:val="en-US" w:eastAsia="zh-CN"/>
          <w14:textFill>
            <w14:solidFill>
              <w14:schemeClr w14:val="tx1"/>
            </w14:solidFill>
          </w14:textFill>
        </w:rPr>
        <w:t>完全履行</w:t>
      </w:r>
      <w:r>
        <w:rPr>
          <w:rFonts w:hint="eastAsia" w:ascii="宋体" w:hAnsi="宋体" w:eastAsia="宋体" w:cs="Times New Roman"/>
          <w:color w:val="000000" w:themeColor="text1"/>
          <w:szCs w:val="21"/>
          <w:highlight w:val="none"/>
          <w14:textFill>
            <w14:solidFill>
              <w14:schemeClr w14:val="tx1"/>
            </w14:solidFill>
          </w14:textFill>
        </w:rPr>
        <w:t>其合同义务而蒙受的损失</w:t>
      </w:r>
      <w:r>
        <w:rPr>
          <w:rFonts w:hint="eastAsia" w:ascii="宋体" w:hAnsi="宋体" w:eastAsia="宋体" w:cs="Times New Roman"/>
          <w:color w:val="000000" w:themeColor="text1"/>
          <w:kern w:val="0"/>
          <w:szCs w:val="21"/>
          <w:highlight w:val="none"/>
          <w14:textFill>
            <w14:solidFill>
              <w14:schemeClr w14:val="tx1"/>
            </w14:solidFill>
          </w14:textFill>
        </w:rPr>
        <w:t>或其他合同约定的事项。</w:t>
      </w:r>
      <w:r>
        <w:rPr>
          <w:rFonts w:hint="eastAsia" w:ascii="宋体" w:hAnsi="宋体" w:eastAsia="宋体" w:cs="Times New Roman"/>
          <w:color w:val="000000" w:themeColor="text1"/>
          <w:szCs w:val="21"/>
          <w:highlight w:val="none"/>
          <w14:textFill>
            <w14:solidFill>
              <w14:schemeClr w14:val="tx1"/>
            </w14:solidFill>
          </w14:textFill>
        </w:rPr>
        <w:t>如发生下列任一情况时，甲方除有权依合同追究违约责任外，还有权</w:t>
      </w:r>
      <w:r>
        <w:rPr>
          <w:rFonts w:hint="eastAsia" w:ascii="宋体" w:hAnsi="宋体" w:eastAsia="宋体" w:cs="Times New Roman"/>
          <w:color w:val="000000" w:themeColor="text1"/>
          <w:kern w:val="0"/>
          <w:szCs w:val="21"/>
          <w:highlight w:val="none"/>
          <w14:textFill>
            <w14:solidFill>
              <w14:schemeClr w14:val="tx1"/>
            </w14:solidFill>
          </w14:textFill>
        </w:rPr>
        <w:t>提取</w:t>
      </w:r>
      <w:r>
        <w:rPr>
          <w:rFonts w:hint="eastAsia" w:ascii="宋体" w:hAnsi="宋体" w:eastAsia="宋体" w:cs="Times New Roman"/>
          <w:color w:val="000000" w:themeColor="text1"/>
          <w:szCs w:val="21"/>
          <w:highlight w:val="none"/>
          <w14:textFill>
            <w14:solidFill>
              <w14:schemeClr w14:val="tx1"/>
            </w14:solidFill>
          </w14:textFill>
        </w:rPr>
        <w:t>履约担保</w:t>
      </w:r>
      <w:r>
        <w:rPr>
          <w:rFonts w:hint="eastAsia" w:ascii="宋体" w:hAnsi="宋体" w:eastAsia="宋体" w:cs="宋体"/>
          <w:color w:val="000000" w:themeColor="text1"/>
          <w:szCs w:val="21"/>
          <w:highlight w:val="none"/>
          <w:lang w:val="en-US" w:eastAsia="zh-CN"/>
          <w14:textFill>
            <w14:solidFill>
              <w14:schemeClr w14:val="tx1"/>
            </w14:solidFill>
          </w14:textFill>
        </w:rPr>
        <w:t>并</w:t>
      </w:r>
      <w:r>
        <w:rPr>
          <w:rFonts w:hint="eastAsia" w:ascii="宋体" w:hAnsi="宋体" w:eastAsia="宋体" w:cs="Times New Roman"/>
          <w:color w:val="000000" w:themeColor="text1"/>
          <w:szCs w:val="21"/>
          <w:highlight w:val="none"/>
          <w14:textFill>
            <w14:solidFill>
              <w14:schemeClr w14:val="tx1"/>
            </w14:solidFill>
          </w14:textFill>
        </w:rPr>
        <w:t>进行相应处理：</w:t>
      </w:r>
    </w:p>
    <w:p w14:paraId="72216114">
      <w:pPr>
        <w:adjustRightInd w:val="0"/>
        <w:snapToGrid w:val="0"/>
        <w:spacing w:line="440" w:lineRule="exact"/>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Times New Roman" w:hAnsi="宋体" w:eastAsia="宋体" w:cs="Times New Roman"/>
          <w:color w:val="000000" w:themeColor="text1"/>
          <w:szCs w:val="21"/>
          <w:highlight w:val="none"/>
          <w14:textFill>
            <w14:solidFill>
              <w14:schemeClr w14:val="tx1"/>
            </w14:solidFill>
          </w14:textFill>
        </w:rPr>
        <w:t>乙方将合同项下</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val="en-US" w:eastAsia="zh-CN"/>
          <w14:textFill>
            <w14:solidFill>
              <w14:schemeClr w14:val="tx1"/>
            </w14:solidFill>
          </w14:textFill>
        </w:rPr>
        <w:t>乙方</w:t>
      </w:r>
      <w:r>
        <w:rPr>
          <w:rFonts w:hint="eastAsia" w:ascii="Times New Roman" w:hAnsi="宋体" w:eastAsia="宋体" w:cs="Times New Roman"/>
          <w:color w:val="000000" w:themeColor="text1"/>
          <w:szCs w:val="21"/>
          <w:highlight w:val="none"/>
          <w14:textFill>
            <w14:solidFill>
              <w14:schemeClr w14:val="tx1"/>
            </w14:solidFill>
          </w14:textFill>
        </w:rPr>
        <w:t>的权利义务全部转让给第三方，或未经甲方书面同意将部分权利义务转让给第三方的，甲方有权没收其履约担保</w:t>
      </w:r>
      <w:r>
        <w:rPr>
          <w:rFonts w:hint="eastAsia" w:ascii="宋体" w:hAnsi="宋体" w:eastAsia="宋体" w:cs="Times New Roman"/>
          <w:color w:val="000000" w:themeColor="text1"/>
          <w:szCs w:val="21"/>
          <w:highlight w:val="none"/>
          <w14:textFill>
            <w14:solidFill>
              <w14:schemeClr w14:val="tx1"/>
            </w14:solidFill>
          </w14:textFill>
        </w:rPr>
        <w:t>。</w:t>
      </w:r>
    </w:p>
    <w:p w14:paraId="16EE897C">
      <w:pPr>
        <w:keepNext w:val="0"/>
        <w:keepLines w:val="0"/>
        <w:pageBreakBefore w:val="0"/>
        <w:widowControl w:val="0"/>
        <w:kinsoku/>
        <w:wordWrap/>
        <w:overflowPunct/>
        <w:topLinePunct w:val="0"/>
        <w:autoSpaceDE/>
        <w:autoSpaceDN/>
        <w:bidi w:val="0"/>
        <w:adjustRightInd w:val="0"/>
        <w:snapToGrid w:val="0"/>
        <w:spacing w:line="440" w:lineRule="exact"/>
        <w:ind w:firstLine="371" w:firstLineChars="177"/>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）在合同履行期间，因乙方货物质量或安装或运行等问题造成损害、侵权损失（包括但不限于甲方经济损失、第三人人身财产损失等）</w:t>
      </w:r>
      <w:r>
        <w:rPr>
          <w:rFonts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拖欠</w:t>
      </w:r>
      <w:r>
        <w:rPr>
          <w:rFonts w:hint="eastAsia" w:ascii="宋体" w:hAnsi="宋体" w:eastAsia="宋体" w:cs="Times New Roman"/>
          <w:color w:val="000000" w:themeColor="text1"/>
          <w:szCs w:val="21"/>
          <w:highlight w:val="none"/>
          <w14:textFill>
            <w14:solidFill>
              <w14:schemeClr w14:val="tx1"/>
            </w14:solidFill>
          </w14:textFill>
        </w:rPr>
        <w:t>设备供应商货款（含第三方劳务费用等）或</w:t>
      </w:r>
      <w:r>
        <w:rPr>
          <w:rFonts w:hint="eastAsia" w:ascii="宋体" w:hAnsi="宋体" w:eastAsia="宋体" w:cs="Times New Roman"/>
          <w:color w:val="000000" w:themeColor="text1"/>
          <w:kern w:val="0"/>
          <w:szCs w:val="21"/>
          <w:highlight w:val="none"/>
          <w14:textFill>
            <w14:solidFill>
              <w14:schemeClr w14:val="tx1"/>
            </w14:solidFill>
          </w14:textFill>
        </w:rPr>
        <w:t>与其</w:t>
      </w:r>
      <w:r>
        <w:rPr>
          <w:rFonts w:ascii="宋体" w:hAnsi="宋体" w:eastAsia="宋体" w:cs="Times New Roman"/>
          <w:color w:val="000000" w:themeColor="text1"/>
          <w:szCs w:val="21"/>
          <w:highlight w:val="none"/>
          <w14:textFill>
            <w14:solidFill>
              <w14:schemeClr w14:val="tx1"/>
            </w14:solidFill>
          </w14:textFill>
        </w:rPr>
        <w:t>所雇用员工发生劳资纠纷</w:t>
      </w:r>
      <w:r>
        <w:rPr>
          <w:rFonts w:hint="eastAsia" w:ascii="宋体" w:hAnsi="宋体" w:eastAsia="宋体" w:cs="Times New Roman"/>
          <w:color w:val="000000" w:themeColor="text1"/>
          <w:szCs w:val="21"/>
          <w:highlight w:val="none"/>
          <w14:textFill>
            <w14:solidFill>
              <w14:schemeClr w14:val="tx1"/>
            </w14:solidFill>
          </w14:textFill>
        </w:rPr>
        <w:t>、上访、闹事或其他影响甲方生产经营等情况而其未及时妥善处理的，甲方有权使用履约担保予以支付或作出相应处理，由此产生的一切法律后果由乙方承担。</w:t>
      </w:r>
    </w:p>
    <w:p w14:paraId="55BCA1A6">
      <w:pPr>
        <w:keepNext w:val="0"/>
        <w:keepLines w:val="0"/>
        <w:pageBreakBefore w:val="0"/>
        <w:widowControl w:val="0"/>
        <w:kinsoku/>
        <w:wordWrap/>
        <w:overflowPunct/>
        <w:topLinePunct w:val="0"/>
        <w:autoSpaceDE/>
        <w:autoSpaceDN/>
        <w:bidi w:val="0"/>
        <w:adjustRightInd w:val="0"/>
        <w:snapToGrid w:val="0"/>
        <w:spacing w:line="440" w:lineRule="exact"/>
        <w:ind w:firstLine="371" w:firstLineChars="177"/>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）在合同履行期间，乙方违约产生的违约金、赔偿、罚款或其他应付费用等款项，甲方有权直接从应付而未付货物款项中扣除或使用履约担保予以支付。</w:t>
      </w:r>
    </w:p>
    <w:p w14:paraId="27CF556A">
      <w:pPr>
        <w:keepNext w:val="0"/>
        <w:keepLines w:val="0"/>
        <w:pageBreakBefore w:val="0"/>
        <w:widowControl w:val="0"/>
        <w:kinsoku/>
        <w:wordWrap/>
        <w:overflowPunct/>
        <w:topLinePunct w:val="0"/>
        <w:autoSpaceDE/>
        <w:autoSpaceDN/>
        <w:bidi w:val="0"/>
        <w:adjustRightInd w:val="0"/>
        <w:snapToGrid w:val="0"/>
        <w:spacing w:line="440" w:lineRule="exact"/>
        <w:ind w:firstLine="371" w:firstLineChars="177"/>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）合同期内，乙方不能及时完成某项合同义务的，甲方有权使用履约担保用于处理该项工作。</w:t>
      </w:r>
    </w:p>
    <w:p w14:paraId="30D85DFE">
      <w:pPr>
        <w:keepNext w:val="0"/>
        <w:keepLines w:val="0"/>
        <w:pageBreakBefore w:val="0"/>
        <w:widowControl w:val="0"/>
        <w:kinsoku/>
        <w:wordWrap/>
        <w:overflowPunct/>
        <w:topLinePunct w:val="0"/>
        <w:autoSpaceDE/>
        <w:autoSpaceDN/>
        <w:bidi w:val="0"/>
        <w:adjustRightInd w:val="0"/>
        <w:snapToGrid w:val="0"/>
        <w:spacing w:line="440" w:lineRule="exact"/>
        <w:ind w:firstLine="371" w:firstLineChars="177"/>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）其他根据本合同约定或法律规定，甲方可使用履约担保的情形。</w:t>
      </w:r>
    </w:p>
    <w:p w14:paraId="5EDF89EE">
      <w:pPr>
        <w:keepNext w:val="0"/>
        <w:keepLines w:val="0"/>
        <w:pageBreakBefore w:val="0"/>
        <w:widowControl w:val="0"/>
        <w:kinsoku/>
        <w:wordWrap/>
        <w:overflowPunct/>
        <w:topLinePunct w:val="0"/>
        <w:autoSpaceDE/>
        <w:autoSpaceDN/>
        <w:bidi w:val="0"/>
        <w:adjustRightInd w:val="0"/>
        <w:snapToGrid w:val="0"/>
        <w:spacing w:line="440" w:lineRule="exact"/>
        <w:ind w:firstLine="371" w:firstLineChars="177"/>
        <w:textAlignment w:val="auto"/>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以履约保证金（银行转账形式）提供</w:t>
      </w:r>
      <w:r>
        <w:rPr>
          <w:rFonts w:hint="eastAsia" w:ascii="宋体" w:hAnsi="宋体" w:eastAsia="宋体" w:cs="宋体"/>
          <w:color w:val="000000" w:themeColor="text1"/>
          <w:sz w:val="21"/>
          <w:szCs w:val="21"/>
          <w:highlight w:val="none"/>
          <w14:textFill>
            <w14:solidFill>
              <w14:schemeClr w14:val="tx1"/>
            </w14:solidFill>
          </w14:textFill>
        </w:rPr>
        <w:t>履约担保的，</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Times New Roman"/>
          <w:color w:val="000000" w:themeColor="text1"/>
          <w:szCs w:val="21"/>
          <w:highlight w:val="none"/>
          <w14:textFill>
            <w14:solidFill>
              <w14:schemeClr w14:val="tx1"/>
            </w14:solidFill>
          </w14:textFill>
        </w:rPr>
        <w:t>合同期限届满</w:t>
      </w:r>
      <w:r>
        <w:rPr>
          <w:rFonts w:hint="eastAsia" w:ascii="宋体" w:hAnsi="宋体" w:eastAsia="宋体" w:cs="Times New Roman"/>
          <w:color w:val="000000" w:themeColor="text1"/>
          <w:szCs w:val="21"/>
          <w:highlight w:val="none"/>
          <w:lang w:eastAsia="zh-CN"/>
          <w14:textFill>
            <w14:solidFill>
              <w14:schemeClr w14:val="tx1"/>
            </w14:solidFill>
          </w14:textFill>
        </w:rPr>
        <w:t>并完成全部供货验收合格后</w:t>
      </w:r>
      <w:r>
        <w:rPr>
          <w:rFonts w:hint="eastAsia" w:ascii="宋体" w:hAnsi="宋体" w:eastAsia="宋体" w:cs="Times New Roman"/>
          <w:color w:val="000000" w:themeColor="text1"/>
          <w:szCs w:val="21"/>
          <w:highlight w:val="none"/>
          <w14:textFill>
            <w14:solidFill>
              <w14:schemeClr w14:val="tx1"/>
            </w14:solidFill>
          </w14:textFill>
        </w:rPr>
        <w:t>二十八（28）</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后</w:t>
      </w:r>
      <w:r>
        <w:rPr>
          <w:rFonts w:hint="eastAsia" w:ascii="宋体" w:hAnsi="宋体" w:eastAsia="宋体" w:cs="Times New Roman"/>
          <w:color w:val="000000" w:themeColor="text1"/>
          <w:szCs w:val="21"/>
          <w:highlight w:val="none"/>
          <w14:textFill>
            <w14:solidFill>
              <w14:schemeClr w14:val="tx1"/>
            </w14:solidFill>
          </w14:textFill>
        </w:rPr>
        <w:t>，经</w:t>
      </w:r>
      <w:r>
        <w:rPr>
          <w:rFonts w:hint="eastAsia" w:ascii="宋体" w:hAnsi="宋体" w:eastAsia="宋体" w:cs="Times New Roman"/>
          <w:color w:val="000000" w:themeColor="text1"/>
          <w:szCs w:val="21"/>
          <w:highlight w:val="none"/>
          <w:lang w:eastAsia="zh-CN"/>
          <w14:textFill>
            <w14:solidFill>
              <w14:schemeClr w14:val="tx1"/>
            </w14:solidFill>
          </w14:textFill>
        </w:rPr>
        <w:t>甲方</w:t>
      </w:r>
      <w:r>
        <w:rPr>
          <w:rFonts w:hint="eastAsia" w:ascii="宋体" w:hAnsi="宋体" w:eastAsia="宋体" w:cs="Times New Roman"/>
          <w:color w:val="000000" w:themeColor="text1"/>
          <w:szCs w:val="21"/>
          <w:highlight w:val="none"/>
          <w14:textFill>
            <w14:solidFill>
              <w14:schemeClr w14:val="tx1"/>
            </w14:solidFill>
          </w14:textFill>
        </w:rPr>
        <w:t>确认，</w:t>
      </w:r>
      <w:r>
        <w:rPr>
          <w:rFonts w:hint="eastAsia" w:ascii="宋体" w:hAnsi="宋体" w:eastAsia="宋体" w:cs="Times New Roman"/>
          <w:color w:val="000000" w:themeColor="text1"/>
          <w:szCs w:val="21"/>
          <w:highlight w:val="none"/>
          <w:lang w:eastAsia="zh-CN"/>
          <w14:textFill>
            <w14:solidFill>
              <w14:schemeClr w14:val="tx1"/>
            </w14:solidFill>
          </w14:textFill>
        </w:rPr>
        <w:t>乙方</w:t>
      </w:r>
      <w:r>
        <w:rPr>
          <w:rFonts w:hint="eastAsia" w:ascii="宋体" w:hAnsi="宋体" w:eastAsia="宋体" w:cs="Times New Roman"/>
          <w:color w:val="000000" w:themeColor="text1"/>
          <w:szCs w:val="21"/>
          <w:highlight w:val="none"/>
          <w14:textFill>
            <w14:solidFill>
              <w14:schemeClr w14:val="tx1"/>
            </w14:solidFill>
          </w14:textFill>
        </w:rPr>
        <w:t>可向</w:t>
      </w:r>
      <w:r>
        <w:rPr>
          <w:rFonts w:hint="eastAsia" w:ascii="宋体" w:hAnsi="宋体" w:eastAsia="宋体" w:cs="Times New Roman"/>
          <w:color w:val="000000" w:themeColor="text1"/>
          <w:szCs w:val="21"/>
          <w:highlight w:val="none"/>
          <w:lang w:eastAsia="zh-CN"/>
          <w14:textFill>
            <w14:solidFill>
              <w14:schemeClr w14:val="tx1"/>
            </w14:solidFill>
          </w14:textFill>
        </w:rPr>
        <w:t>甲方</w:t>
      </w:r>
      <w:r>
        <w:rPr>
          <w:rFonts w:hint="eastAsia" w:ascii="宋体" w:hAnsi="宋体" w:eastAsia="宋体" w:cs="Times New Roman"/>
          <w:color w:val="000000" w:themeColor="text1"/>
          <w:szCs w:val="21"/>
          <w:highlight w:val="none"/>
          <w14:textFill>
            <w14:solidFill>
              <w14:schemeClr w14:val="tx1"/>
            </w14:solidFill>
          </w14:textFill>
        </w:rPr>
        <w:t>提交退回履约担保的申请。</w:t>
      </w:r>
      <w:r>
        <w:rPr>
          <w:rFonts w:hint="eastAsia" w:ascii="宋体" w:hAnsi="宋体" w:eastAsia="宋体" w:cs="Times New Roman"/>
          <w:color w:val="000000" w:themeColor="text1"/>
          <w:szCs w:val="21"/>
          <w:highlight w:val="none"/>
          <w:lang w:eastAsia="zh-CN"/>
          <w14:textFill>
            <w14:solidFill>
              <w14:schemeClr w14:val="tx1"/>
            </w14:solidFill>
          </w14:textFill>
        </w:rPr>
        <w:t>甲方</w:t>
      </w:r>
      <w:r>
        <w:rPr>
          <w:rFonts w:hint="eastAsia" w:ascii="宋体" w:hAnsi="宋体" w:eastAsia="宋体" w:cs="Times New Roman"/>
          <w:color w:val="000000" w:themeColor="text1"/>
          <w:szCs w:val="21"/>
          <w:highlight w:val="none"/>
          <w14:textFill>
            <w14:solidFill>
              <w14:schemeClr w14:val="tx1"/>
            </w14:solidFill>
          </w14:textFill>
        </w:rPr>
        <w:t>审核无异议后，办理履约担保退还手续，退回时一律以银行转账的形式无息退回到</w:t>
      </w:r>
      <w:r>
        <w:rPr>
          <w:rFonts w:hint="eastAsia" w:ascii="宋体" w:hAnsi="宋体" w:eastAsia="宋体" w:cs="Times New Roman"/>
          <w:color w:val="000000" w:themeColor="text1"/>
          <w:szCs w:val="21"/>
          <w:highlight w:val="none"/>
          <w:lang w:eastAsia="zh-CN"/>
          <w14:textFill>
            <w14:solidFill>
              <w14:schemeClr w14:val="tx1"/>
            </w14:solidFill>
          </w14:textFill>
        </w:rPr>
        <w:t>乙方</w:t>
      </w:r>
      <w:r>
        <w:rPr>
          <w:rFonts w:hint="eastAsia"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lang w:eastAsia="zh-CN"/>
          <w14:textFill>
            <w14:solidFill>
              <w14:schemeClr w14:val="tx1"/>
            </w14:solidFill>
          </w14:textFill>
        </w:rPr>
        <w:t>账</w:t>
      </w:r>
      <w:r>
        <w:rPr>
          <w:rFonts w:hint="eastAsia" w:ascii="宋体" w:hAnsi="宋体" w:eastAsia="宋体" w:cs="Times New Roman"/>
          <w:color w:val="000000" w:themeColor="text1"/>
          <w:szCs w:val="21"/>
          <w:highlight w:val="none"/>
          <w14:textFill>
            <w14:solidFill>
              <w14:schemeClr w14:val="tx1"/>
            </w14:solidFill>
          </w14:textFill>
        </w:rPr>
        <w:t>户。</w:t>
      </w:r>
    </w:p>
    <w:p w14:paraId="48FC72E9">
      <w:pPr>
        <w:keepNext w:val="0"/>
        <w:keepLines w:val="0"/>
        <w:pageBreakBefore w:val="0"/>
        <w:widowControl w:val="0"/>
        <w:kinsoku/>
        <w:wordWrap/>
        <w:overflowPunct/>
        <w:topLinePunct w:val="0"/>
        <w:autoSpaceDE/>
        <w:autoSpaceDN/>
        <w:bidi w:val="0"/>
        <w:adjustRightInd w:val="0"/>
        <w:snapToGrid w:val="0"/>
        <w:spacing w:line="440" w:lineRule="exact"/>
        <w:ind w:firstLine="371" w:firstLineChars="177"/>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4、如乙方提供不可撤销银行履约保函（或履约保证保险或担保公司履约担保书）</w:t>
      </w:r>
      <w:r>
        <w:rPr>
          <w:rFonts w:hint="eastAsia" w:ascii="宋体" w:hAnsi="宋体" w:eastAsia="宋体" w:cs="宋体"/>
          <w:color w:val="000000" w:themeColor="text1"/>
          <w:szCs w:val="21"/>
          <w:highlight w:val="none"/>
          <w14:textFill>
            <w14:solidFill>
              <w14:schemeClr w14:val="tx1"/>
            </w14:solidFill>
          </w14:textFill>
        </w:rPr>
        <w:t>作为履约担保的，不可撤销银行履约保函或履约保证保险或担保公司履约担保书</w:t>
      </w:r>
      <w:r>
        <w:rPr>
          <w:rFonts w:hint="eastAsia" w:ascii="宋体" w:hAnsi="宋体" w:eastAsia="宋体" w:cs="Times New Roman"/>
          <w:color w:val="000000" w:themeColor="text1"/>
          <w:szCs w:val="21"/>
          <w:highlight w:val="none"/>
          <w:lang w:eastAsia="zh-CN"/>
          <w14:textFill>
            <w14:solidFill>
              <w14:schemeClr w14:val="tx1"/>
            </w14:solidFill>
          </w14:textFill>
        </w:rPr>
        <w:t>应从合同签订之日起至合同期限届满并完成全部供货验收合格后二十八（28）日内保持有效</w:t>
      </w:r>
      <w:r>
        <w:rPr>
          <w:rFonts w:hint="eastAsia" w:ascii="宋体" w:hAnsi="宋体" w:eastAsia="宋体" w:cs="Times New Roman"/>
          <w:color w:val="000000" w:themeColor="text1"/>
          <w:szCs w:val="21"/>
          <w:highlight w:val="none"/>
          <w14:textFill>
            <w14:solidFill>
              <w14:schemeClr w14:val="tx1"/>
            </w14:solidFill>
          </w14:textFill>
        </w:rPr>
        <w:t>。如不可撤销银行履约保函或</w:t>
      </w:r>
      <w:r>
        <w:rPr>
          <w:rFonts w:hint="eastAsia" w:ascii="宋体" w:hAnsi="宋体" w:eastAsia="宋体" w:cs="宋体"/>
          <w:color w:val="000000" w:themeColor="text1"/>
          <w:szCs w:val="21"/>
          <w:highlight w:val="none"/>
          <w14:textFill>
            <w14:solidFill>
              <w14:schemeClr w14:val="tx1"/>
            </w14:solidFill>
          </w14:textFill>
        </w:rPr>
        <w:t>履约保证保险或</w:t>
      </w:r>
      <w:r>
        <w:rPr>
          <w:rFonts w:hint="eastAsia" w:ascii="宋体" w:hAnsi="宋体" w:eastAsia="宋体" w:cs="Times New Roman"/>
          <w:color w:val="000000" w:themeColor="text1"/>
          <w:szCs w:val="21"/>
          <w:highlight w:val="none"/>
          <w14:textFill>
            <w14:solidFill>
              <w14:schemeClr w14:val="tx1"/>
            </w14:solidFill>
          </w14:textFill>
        </w:rPr>
        <w:t>担保公司履约担保书在规定有效期届满时而货物尚未全部验收合格的，乙方必须在不可撤销银行履约保函或</w:t>
      </w:r>
      <w:r>
        <w:rPr>
          <w:rFonts w:hint="eastAsia" w:ascii="宋体" w:hAnsi="宋体" w:eastAsia="宋体" w:cs="宋体"/>
          <w:color w:val="000000" w:themeColor="text1"/>
          <w:szCs w:val="21"/>
          <w:highlight w:val="none"/>
          <w14:textFill>
            <w14:solidFill>
              <w14:schemeClr w14:val="tx1"/>
            </w14:solidFill>
          </w14:textFill>
        </w:rPr>
        <w:t>履约保证保险或</w:t>
      </w:r>
      <w:r>
        <w:rPr>
          <w:rFonts w:hint="eastAsia" w:ascii="宋体" w:hAnsi="宋体" w:eastAsia="宋体" w:cs="Times New Roman"/>
          <w:color w:val="000000" w:themeColor="text1"/>
          <w:szCs w:val="21"/>
          <w:highlight w:val="none"/>
          <w14:textFill>
            <w14:solidFill>
              <w14:schemeClr w14:val="tx1"/>
            </w14:solidFill>
          </w14:textFill>
        </w:rPr>
        <w:t>担保公司履约担保书到期15日前无条件办理办妥符合甲方要求的延期手续或重新提供不可撤销银行履约保函或</w:t>
      </w:r>
      <w:r>
        <w:rPr>
          <w:rFonts w:hint="eastAsia" w:ascii="宋体" w:hAnsi="宋体" w:eastAsia="宋体" w:cs="宋体"/>
          <w:color w:val="000000" w:themeColor="text1"/>
          <w:szCs w:val="21"/>
          <w:highlight w:val="none"/>
          <w14:textFill>
            <w14:solidFill>
              <w14:schemeClr w14:val="tx1"/>
            </w14:solidFill>
          </w14:textFill>
        </w:rPr>
        <w:t>履约保证保险或</w:t>
      </w:r>
      <w:r>
        <w:rPr>
          <w:rFonts w:hint="eastAsia" w:ascii="宋体" w:hAnsi="宋体" w:eastAsia="宋体" w:cs="Times New Roman"/>
          <w:color w:val="000000" w:themeColor="text1"/>
          <w:szCs w:val="21"/>
          <w:highlight w:val="none"/>
          <w14:textFill>
            <w14:solidFill>
              <w14:schemeClr w14:val="tx1"/>
            </w14:solidFill>
          </w14:textFill>
        </w:rPr>
        <w:t>担保公司履约担保书；否则视为乙方违约，</w:t>
      </w:r>
      <w:r>
        <w:rPr>
          <w:rFonts w:hint="eastAsia" w:ascii="宋体" w:hAnsi="宋体" w:eastAsia="宋体" w:cs="宋体"/>
          <w:color w:val="000000" w:themeColor="text1"/>
          <w:szCs w:val="21"/>
          <w:highlight w:val="none"/>
          <w14:textFill>
            <w14:solidFill>
              <w14:schemeClr w14:val="tx1"/>
            </w14:solidFill>
          </w14:textFill>
        </w:rPr>
        <w:t>甲方有权在</w:t>
      </w:r>
      <w:r>
        <w:rPr>
          <w:rFonts w:hint="eastAsia" w:ascii="宋体" w:hAnsi="宋体" w:eastAsia="宋体" w:cs="Times New Roman"/>
          <w:color w:val="000000" w:themeColor="text1"/>
          <w:szCs w:val="21"/>
          <w:highlight w:val="none"/>
          <w14:textFill>
            <w14:solidFill>
              <w14:schemeClr w14:val="tx1"/>
            </w14:solidFill>
          </w14:textFill>
        </w:rPr>
        <w:t>不可撤销银行履约保函或</w:t>
      </w:r>
      <w:r>
        <w:rPr>
          <w:rFonts w:hint="eastAsia" w:ascii="宋体" w:hAnsi="宋体" w:eastAsia="宋体" w:cs="宋体"/>
          <w:color w:val="000000" w:themeColor="text1"/>
          <w:szCs w:val="21"/>
          <w:highlight w:val="none"/>
          <w14:textFill>
            <w14:solidFill>
              <w14:schemeClr w14:val="tx1"/>
            </w14:solidFill>
          </w14:textFill>
        </w:rPr>
        <w:t>履约保证保险或</w:t>
      </w:r>
      <w:r>
        <w:rPr>
          <w:rFonts w:hint="eastAsia" w:ascii="宋体" w:hAnsi="宋体" w:eastAsia="宋体" w:cs="Times New Roman"/>
          <w:color w:val="000000" w:themeColor="text1"/>
          <w:szCs w:val="21"/>
          <w:highlight w:val="none"/>
          <w14:textFill>
            <w14:solidFill>
              <w14:schemeClr w14:val="tx1"/>
            </w14:solidFill>
          </w14:textFill>
        </w:rPr>
        <w:t>担保公司履约担保书</w:t>
      </w:r>
      <w:r>
        <w:rPr>
          <w:rFonts w:hint="eastAsia" w:ascii="宋体" w:hAnsi="宋体" w:eastAsia="宋体" w:cs="宋体"/>
          <w:color w:val="000000" w:themeColor="text1"/>
          <w:szCs w:val="21"/>
          <w:highlight w:val="none"/>
          <w14:textFill>
            <w14:solidFill>
              <w14:schemeClr w14:val="tx1"/>
            </w14:solidFill>
          </w14:textFill>
        </w:rPr>
        <w:t>到期前向出具履约担保的机构提取履约担保金。</w:t>
      </w:r>
      <w:r>
        <w:rPr>
          <w:rFonts w:hint="eastAsia" w:ascii="宋体" w:hAnsi="宋体" w:eastAsia="宋体" w:cs="Times New Roman"/>
          <w:color w:val="000000" w:themeColor="text1"/>
          <w:szCs w:val="21"/>
          <w:highlight w:val="none"/>
          <w14:textFill>
            <w14:solidFill>
              <w14:schemeClr w14:val="tx1"/>
            </w14:solidFill>
          </w14:textFill>
        </w:rPr>
        <w:t>在不可撤销银行履约保函或</w:t>
      </w:r>
      <w:r>
        <w:rPr>
          <w:rFonts w:hint="eastAsia" w:ascii="宋体" w:hAnsi="宋体" w:eastAsia="宋体" w:cs="宋体"/>
          <w:color w:val="000000" w:themeColor="text1"/>
          <w:szCs w:val="21"/>
          <w:highlight w:val="none"/>
          <w14:textFill>
            <w14:solidFill>
              <w14:schemeClr w14:val="tx1"/>
            </w14:solidFill>
          </w14:textFill>
        </w:rPr>
        <w:t>履约保证保险或</w:t>
      </w:r>
      <w:r>
        <w:rPr>
          <w:rFonts w:hint="eastAsia" w:ascii="宋体" w:hAnsi="宋体" w:eastAsia="宋体" w:cs="Times New Roman"/>
          <w:color w:val="000000" w:themeColor="text1"/>
          <w:szCs w:val="21"/>
          <w:highlight w:val="none"/>
          <w14:textFill>
            <w14:solidFill>
              <w14:schemeClr w14:val="tx1"/>
            </w14:solidFill>
          </w14:textFill>
        </w:rPr>
        <w:t>担保公司履约担保书到期后乙方未按甲方要求重新提供的，甲方有权要求乙方以履约担保金额为限承担违约金，违约金可直接从应付而未付</w:t>
      </w:r>
      <w:r>
        <w:rPr>
          <w:rFonts w:hint="eastAsia" w:ascii="宋体" w:hAnsi="宋体" w:eastAsia="宋体" w:cs="宋体"/>
          <w:color w:val="000000" w:themeColor="text1"/>
          <w:szCs w:val="21"/>
          <w:highlight w:val="none"/>
          <w:lang w:val="en-US" w:eastAsia="zh-CN"/>
          <w14:textFill>
            <w14:solidFill>
              <w14:schemeClr w14:val="tx1"/>
            </w14:solidFill>
          </w14:textFill>
        </w:rPr>
        <w:t>货</w:t>
      </w:r>
      <w:r>
        <w:rPr>
          <w:rFonts w:hint="eastAsia" w:ascii="宋体" w:hAnsi="宋体" w:eastAsia="宋体" w:cs="宋体"/>
          <w:color w:val="000000" w:themeColor="text1"/>
          <w:szCs w:val="21"/>
          <w:highlight w:val="none"/>
          <w14:textFill>
            <w14:solidFill>
              <w14:schemeClr w14:val="tx1"/>
            </w14:solidFill>
          </w14:textFill>
        </w:rPr>
        <w:t>款</w:t>
      </w:r>
      <w:r>
        <w:rPr>
          <w:rFonts w:hint="eastAsia" w:ascii="宋体" w:hAnsi="宋体" w:eastAsia="宋体" w:cs="Times New Roman"/>
          <w:color w:val="000000" w:themeColor="text1"/>
          <w:szCs w:val="21"/>
          <w:highlight w:val="none"/>
          <w14:textFill>
            <w14:solidFill>
              <w14:schemeClr w14:val="tx1"/>
            </w14:solidFill>
          </w14:textFill>
        </w:rPr>
        <w:t>中扣除。</w:t>
      </w:r>
    </w:p>
    <w:p w14:paraId="780D9858">
      <w:pPr>
        <w:keepNext w:val="0"/>
        <w:keepLines w:val="0"/>
        <w:pageBreakBefore w:val="0"/>
        <w:widowControl w:val="0"/>
        <w:kinsoku/>
        <w:wordWrap/>
        <w:overflowPunct/>
        <w:topLinePunct w:val="0"/>
        <w:autoSpaceDE/>
        <w:autoSpaceDN/>
        <w:bidi w:val="0"/>
        <w:adjustRightInd w:val="0"/>
        <w:snapToGrid w:val="0"/>
        <w:spacing w:line="440" w:lineRule="exact"/>
        <w:ind w:firstLine="371" w:firstLineChars="177"/>
        <w:textAlignment w:val="auto"/>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乙方</w:t>
      </w:r>
      <w:r>
        <w:rPr>
          <w:rFonts w:hint="eastAsia" w:ascii="宋体" w:hAnsi="宋体" w:eastAsia="宋体" w:cs="Times New Roman"/>
          <w:color w:val="000000" w:themeColor="text1"/>
          <w:szCs w:val="21"/>
          <w:highlight w:val="none"/>
          <w14:textFill>
            <w14:solidFill>
              <w14:schemeClr w14:val="tx1"/>
            </w14:solidFill>
          </w14:textFill>
        </w:rPr>
        <w:t>在合同履行期间应保证履约担保有效及金额符合招标文件要求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因合同内容变更、保证金使用等原因导致履约担保金额不满足招标文件要求的，乙方应当在履约担保金额不足之日起15天内予以补足；如违反的，甲方有权按</w:t>
      </w:r>
      <w:r>
        <w:rPr>
          <w:rFonts w:hint="eastAsia" w:ascii="宋体" w:hAnsi="宋体" w:eastAsia="宋体" w:cs="宋体"/>
          <w:color w:val="000000" w:themeColor="text1"/>
          <w:szCs w:val="21"/>
          <w:highlight w:val="none"/>
          <w:lang w:val="en-US" w:eastAsia="zh-CN"/>
          <w14:textFill>
            <w14:solidFill>
              <w14:schemeClr w14:val="tx1"/>
            </w14:solidFill>
          </w14:textFill>
        </w:rPr>
        <w:t>需补</w:t>
      </w:r>
      <w:r>
        <w:rPr>
          <w:rFonts w:hint="eastAsia" w:ascii="宋体" w:hAnsi="宋体" w:eastAsia="宋体" w:cs="宋体"/>
          <w:color w:val="000000" w:themeColor="text1"/>
          <w:szCs w:val="21"/>
          <w:highlight w:val="none"/>
          <w14:textFill>
            <w14:solidFill>
              <w14:schemeClr w14:val="tx1"/>
            </w14:solidFill>
          </w14:textFill>
        </w:rPr>
        <w:t>足</w:t>
      </w:r>
      <w:r>
        <w:rPr>
          <w:rFonts w:hint="eastAsia" w:ascii="宋体" w:hAnsi="宋体" w:eastAsia="宋体" w:cs="Times New Roman"/>
          <w:color w:val="000000" w:themeColor="text1"/>
          <w:szCs w:val="21"/>
          <w:highlight w:val="none"/>
          <w14:textFill>
            <w14:solidFill>
              <w14:schemeClr w14:val="tx1"/>
            </w14:solidFill>
          </w14:textFill>
        </w:rPr>
        <w:t>部分金额为限要求乙方承担违约金，违约金可直接从应付而未付</w:t>
      </w:r>
      <w:r>
        <w:rPr>
          <w:rFonts w:hint="eastAsia" w:ascii="宋体" w:hAnsi="宋体" w:eastAsia="宋体" w:cs="宋体"/>
          <w:color w:val="000000" w:themeColor="text1"/>
          <w:szCs w:val="21"/>
          <w:highlight w:val="none"/>
          <w:lang w:val="en-US" w:eastAsia="zh-CN"/>
          <w14:textFill>
            <w14:solidFill>
              <w14:schemeClr w14:val="tx1"/>
            </w14:solidFill>
          </w14:textFill>
        </w:rPr>
        <w:t>货</w:t>
      </w:r>
      <w:r>
        <w:rPr>
          <w:rFonts w:hint="eastAsia" w:ascii="宋体" w:hAnsi="宋体" w:eastAsia="宋体" w:cs="宋体"/>
          <w:color w:val="000000" w:themeColor="text1"/>
          <w:szCs w:val="21"/>
          <w:highlight w:val="none"/>
          <w14:textFill>
            <w14:solidFill>
              <w14:schemeClr w14:val="tx1"/>
            </w14:solidFill>
          </w14:textFill>
        </w:rPr>
        <w:t>款</w:t>
      </w:r>
      <w:r>
        <w:rPr>
          <w:rFonts w:hint="eastAsia" w:ascii="宋体" w:hAnsi="宋体" w:eastAsia="宋体" w:cs="Times New Roman"/>
          <w:color w:val="000000" w:themeColor="text1"/>
          <w:szCs w:val="21"/>
          <w:highlight w:val="none"/>
          <w14:textFill>
            <w14:solidFill>
              <w14:schemeClr w14:val="tx1"/>
            </w14:solidFill>
          </w14:textFill>
        </w:rPr>
        <w:t>中扣除。</w:t>
      </w:r>
    </w:p>
    <w:p w14:paraId="343763DF">
      <w:pPr>
        <w:widowControl w:val="0"/>
        <w:spacing w:after="120" w:afterLines="0"/>
        <w:jc w:val="both"/>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45E5C73A">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40" w:name="_Toc929"/>
      <w:r>
        <w:rPr>
          <w:rFonts w:hint="eastAsia" w:ascii="宋体" w:hAnsi="宋体" w:eastAsia="宋体" w:cs="Times New Roman"/>
          <w:b/>
          <w:color w:val="000000" w:themeColor="text1"/>
          <w:szCs w:val="21"/>
          <w:highlight w:val="none"/>
          <w14:textFill>
            <w14:solidFill>
              <w14:schemeClr w14:val="tx1"/>
            </w14:solidFill>
          </w14:textFill>
        </w:rPr>
        <w:t>第十三条  订单全款独立</w:t>
      </w:r>
      <w:r>
        <w:rPr>
          <w:rFonts w:hint="eastAsia" w:ascii="宋体" w:hAnsi="宋体" w:eastAsia="宋体" w:cs="Times New Roman"/>
          <w:b/>
          <w:color w:val="000000" w:themeColor="text1"/>
          <w:szCs w:val="21"/>
          <w:highlight w:val="none"/>
          <w:lang w:val="en-US" w:eastAsia="zh-CN"/>
          <w14:textFill>
            <w14:solidFill>
              <w14:schemeClr w14:val="tx1"/>
            </w14:solidFill>
          </w14:textFill>
        </w:rPr>
        <w:t>银行</w:t>
      </w:r>
      <w:r>
        <w:rPr>
          <w:rFonts w:hint="eastAsia" w:ascii="宋体" w:hAnsi="宋体" w:eastAsia="宋体" w:cs="Times New Roman"/>
          <w:b/>
          <w:color w:val="000000" w:themeColor="text1"/>
          <w:szCs w:val="21"/>
          <w:highlight w:val="none"/>
          <w14:textFill>
            <w14:solidFill>
              <w14:schemeClr w14:val="tx1"/>
            </w14:solidFill>
          </w14:textFill>
        </w:rPr>
        <w:t>保函</w:t>
      </w:r>
      <w:bookmarkEnd w:id="840"/>
    </w:p>
    <w:p w14:paraId="68A99A58">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41" w:name="_Toc25824"/>
      <w:r>
        <w:rPr>
          <w:rFonts w:hint="eastAsia" w:ascii="宋体" w:hAnsi="宋体" w:eastAsia="宋体" w:cs="Times New Roman"/>
          <w:b w:val="0"/>
          <w:bCs/>
          <w:color w:val="000000" w:themeColor="text1"/>
          <w:szCs w:val="21"/>
          <w:highlight w:val="none"/>
          <w14:textFill>
            <w14:solidFill>
              <w14:schemeClr w14:val="tx1"/>
            </w14:solidFill>
          </w14:textFill>
        </w:rPr>
        <w:t>1、保函开立义务</w:t>
      </w:r>
      <w:bookmarkEnd w:id="841"/>
    </w:p>
    <w:p w14:paraId="595D9CBA">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42" w:name="_Toc24480"/>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乙方</w:t>
      </w:r>
      <w:r>
        <w:rPr>
          <w:rFonts w:hint="eastAsia" w:ascii="宋体" w:hAnsi="宋体" w:eastAsia="宋体" w:cs="Times New Roman"/>
          <w:b w:val="0"/>
          <w:bCs/>
          <w:color w:val="000000" w:themeColor="text1"/>
          <w:szCs w:val="21"/>
          <w:highlight w:val="none"/>
          <w14:textFill>
            <w14:solidFill>
              <w14:schemeClr w14:val="tx1"/>
            </w14:solidFill>
          </w14:textFill>
        </w:rPr>
        <w:t>应在</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发出</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每批货物的供货通知单</w:t>
      </w:r>
      <w:r>
        <w:rPr>
          <w:rFonts w:hint="eastAsia" w:ascii="宋体" w:hAnsi="宋体" w:eastAsia="宋体" w:cs="Times New Roman"/>
          <w:b w:val="0"/>
          <w:bCs/>
          <w:color w:val="000000" w:themeColor="text1"/>
          <w:szCs w:val="21"/>
          <w:highlight w:val="none"/>
          <w14:textFill>
            <w14:solidFill>
              <w14:schemeClr w14:val="tx1"/>
            </w14:solidFill>
          </w14:textFill>
        </w:rPr>
        <w:t>后【</w:t>
      </w:r>
      <w:r>
        <w:rPr>
          <w:rFonts w:hint="eastAsia" w:ascii="宋体" w:hAnsi="宋体" w:eastAsia="宋体" w:cs="Times New Roman"/>
          <w:b w:val="0"/>
          <w:bCs/>
          <w:color w:val="000000" w:themeColor="text1"/>
          <w:szCs w:val="21"/>
          <w:highlight w:val="none"/>
          <w:lang w:eastAsia="zh-CN"/>
          <w14:textFill>
            <w14:solidFill>
              <w14:schemeClr w14:val="tx1"/>
            </w14:solidFill>
          </w14:textFill>
        </w:rPr>
        <w:t>3</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0</w:t>
      </w:r>
      <w:r>
        <w:rPr>
          <w:rFonts w:hint="eastAsia" w:ascii="宋体" w:hAnsi="宋体" w:eastAsia="宋体" w:cs="Times New Roman"/>
          <w:b w:val="0"/>
          <w:bCs/>
          <w:color w:val="000000" w:themeColor="text1"/>
          <w:szCs w:val="21"/>
          <w:highlight w:val="none"/>
          <w14:textFill>
            <w14:solidFill>
              <w14:schemeClr w14:val="tx1"/>
            </w14:solidFill>
          </w14:textFill>
        </w:rPr>
        <w:t>】个</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自然</w:t>
      </w:r>
      <w:r>
        <w:rPr>
          <w:rFonts w:hint="eastAsia" w:ascii="宋体" w:hAnsi="宋体" w:eastAsia="宋体" w:cs="Times New Roman"/>
          <w:b w:val="0"/>
          <w:bCs/>
          <w:color w:val="000000" w:themeColor="text1"/>
          <w:szCs w:val="21"/>
          <w:highlight w:val="none"/>
          <w14:textFill>
            <w14:solidFill>
              <w14:schemeClr w14:val="tx1"/>
            </w14:solidFill>
          </w14:textFill>
        </w:rPr>
        <w:t>日内，向</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提交符合附件格式要求的、不可撤销的见索即付独立保函（下称“</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w:t>
      </w:r>
      <w:r>
        <w:rPr>
          <w:rFonts w:hint="eastAsia" w:ascii="宋体" w:hAnsi="宋体" w:eastAsia="宋体" w:cs="Times New Roman"/>
          <w:b w:val="0"/>
          <w:bCs/>
          <w:color w:val="000000" w:themeColor="text1"/>
          <w:szCs w:val="21"/>
          <w:highlight w:val="none"/>
          <w14:textFill>
            <w14:solidFill>
              <w14:schemeClr w14:val="tx1"/>
            </w14:solidFill>
          </w14:textFill>
        </w:rPr>
        <w:t>保函”），且须满足：</w:t>
      </w:r>
      <w:bookmarkEnd w:id="842"/>
    </w:p>
    <w:p w14:paraId="1805071A">
      <w:pPr>
        <w:numPr>
          <w:ilvl w:val="0"/>
          <w:numId w:val="2"/>
        </w:num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43" w:name="_Toc8934"/>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b w:val="0"/>
          <w:bCs/>
          <w:color w:val="000000" w:themeColor="text1"/>
          <w:szCs w:val="21"/>
          <w:highlight w:val="none"/>
          <w14:textFill>
            <w14:solidFill>
              <w14:schemeClr w14:val="tx1"/>
            </w14:solidFill>
          </w14:textFill>
        </w:rPr>
        <w:t>开立银行：国有商业银行或全国性股份制商业银行；</w:t>
      </w:r>
      <w:bookmarkEnd w:id="843"/>
    </w:p>
    <w:p w14:paraId="22F802AC">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44" w:name="_Toc4897"/>
      <w:r>
        <w:rPr>
          <w:rFonts w:hint="eastAsia" w:ascii="宋体" w:hAnsi="宋体" w:eastAsia="宋体" w:cs="Times New Roman"/>
          <w:b w:val="0"/>
          <w:bCs/>
          <w:color w:val="000000" w:themeColor="text1"/>
          <w:szCs w:val="21"/>
          <w:highlight w:val="none"/>
          <w14:textFill>
            <w14:solidFill>
              <w14:schemeClr w14:val="tx1"/>
            </w14:solidFill>
          </w14:textFill>
        </w:rPr>
        <w:t>(2) 保函金额：与该</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供货通知单</w:t>
      </w:r>
      <w:r>
        <w:rPr>
          <w:rFonts w:hint="eastAsia" w:ascii="宋体" w:hAnsi="宋体" w:eastAsia="宋体" w:cs="Times New Roman"/>
          <w:b w:val="0"/>
          <w:bCs/>
          <w:color w:val="000000" w:themeColor="text1"/>
          <w:szCs w:val="21"/>
          <w:highlight w:val="none"/>
          <w14:textFill>
            <w14:solidFill>
              <w14:schemeClr w14:val="tx1"/>
            </w14:solidFill>
          </w14:textFill>
        </w:rPr>
        <w:t>载明的货款总额100%等值</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（含销项税额）</w:t>
      </w:r>
      <w:r>
        <w:rPr>
          <w:rFonts w:hint="eastAsia" w:ascii="宋体" w:hAnsi="宋体" w:eastAsia="宋体" w:cs="Times New Roman"/>
          <w:b w:val="0"/>
          <w:bCs/>
          <w:color w:val="000000" w:themeColor="text1"/>
          <w:szCs w:val="21"/>
          <w:highlight w:val="none"/>
          <w14:textFill>
            <w14:solidFill>
              <w14:schemeClr w14:val="tx1"/>
            </w14:solidFill>
          </w14:textFill>
        </w:rPr>
        <w:t>；</w:t>
      </w:r>
      <w:bookmarkEnd w:id="844"/>
    </w:p>
    <w:p w14:paraId="667F1F24">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45" w:name="_Toc30202"/>
      <w:r>
        <w:rPr>
          <w:rFonts w:hint="eastAsia" w:ascii="宋体" w:hAnsi="宋体" w:eastAsia="宋体" w:cs="Times New Roman"/>
          <w:b w:val="0"/>
          <w:bCs/>
          <w:color w:val="000000" w:themeColor="text1"/>
          <w:szCs w:val="21"/>
          <w:highlight w:val="none"/>
          <w14:textFill>
            <w14:solidFill>
              <w14:schemeClr w14:val="tx1"/>
            </w14:solidFill>
          </w14:textFill>
        </w:rPr>
        <w:t>(3) 生效时间：与</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供货通知单</w:t>
      </w:r>
      <w:r>
        <w:rPr>
          <w:rFonts w:hint="eastAsia" w:ascii="宋体" w:hAnsi="宋体" w:eastAsia="宋体" w:cs="Times New Roman"/>
          <w:b w:val="0"/>
          <w:bCs/>
          <w:color w:val="000000" w:themeColor="text1"/>
          <w:szCs w:val="21"/>
          <w:highlight w:val="none"/>
          <w14:textFill>
            <w14:solidFill>
              <w14:schemeClr w14:val="tx1"/>
            </w14:solidFill>
          </w14:textFill>
        </w:rPr>
        <w:t>生效日同步。</w:t>
      </w:r>
      <w:bookmarkEnd w:id="845"/>
    </w:p>
    <w:p w14:paraId="74688A2C">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46" w:name="_Toc19905"/>
      <w:r>
        <w:rPr>
          <w:rFonts w:hint="eastAsia" w:ascii="宋体" w:hAnsi="宋体" w:eastAsia="宋体" w:cs="Times New Roman"/>
          <w:b w:val="0"/>
          <w:bCs/>
          <w:color w:val="000000" w:themeColor="text1"/>
          <w:szCs w:val="21"/>
          <w:highlight w:val="none"/>
          <w14:textFill>
            <w14:solidFill>
              <w14:schemeClr w14:val="tx1"/>
            </w14:solidFill>
          </w14:textFill>
        </w:rPr>
        <w:t>2、</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w:t>
      </w:r>
      <w:r>
        <w:rPr>
          <w:rFonts w:hint="eastAsia" w:ascii="宋体" w:hAnsi="宋体" w:eastAsia="宋体" w:cs="Times New Roman"/>
          <w:b w:val="0"/>
          <w:bCs/>
          <w:color w:val="000000" w:themeColor="text1"/>
          <w:szCs w:val="21"/>
          <w:highlight w:val="none"/>
          <w14:textFill>
            <w14:solidFill>
              <w14:schemeClr w14:val="tx1"/>
            </w14:solidFill>
          </w14:textFill>
        </w:rPr>
        <w:t>保函核心条款要求</w:t>
      </w:r>
      <w:bookmarkEnd w:id="846"/>
    </w:p>
    <w:p w14:paraId="695D3EB5">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47" w:name="_Toc13478"/>
      <w:r>
        <w:rPr>
          <w:rFonts w:hint="eastAsia" w:ascii="宋体" w:hAnsi="宋体" w:eastAsia="宋体" w:cs="Times New Roman"/>
          <w:b w:val="0"/>
          <w:bCs/>
          <w:color w:val="000000" w:themeColor="text1"/>
          <w:szCs w:val="21"/>
          <w:highlight w:val="none"/>
          <w14:textFill>
            <w14:solidFill>
              <w14:schemeClr w14:val="tx1"/>
            </w14:solidFill>
          </w14:textFill>
        </w:rPr>
        <w:t>受益人是</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，有效期为</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供货通知单</w:t>
      </w:r>
      <w:r>
        <w:rPr>
          <w:rFonts w:hint="eastAsia" w:ascii="宋体" w:hAnsi="宋体" w:eastAsia="宋体" w:cs="Times New Roman"/>
          <w:b w:val="0"/>
          <w:bCs/>
          <w:color w:val="000000" w:themeColor="text1"/>
          <w:szCs w:val="21"/>
          <w:highlight w:val="none"/>
          <w14:textFill>
            <w14:solidFill>
              <w14:schemeClr w14:val="tx1"/>
            </w14:solidFill>
          </w14:textFill>
        </w:rPr>
        <w:t>约定的供货期至货物验收合格后</w:t>
      </w:r>
      <w:r>
        <w:rPr>
          <w:rFonts w:hint="eastAsia" w:ascii="宋体" w:hAnsi="宋体" w:eastAsia="宋体" w:cs="Times New Roman"/>
          <w:color w:val="000000" w:themeColor="text1"/>
          <w:szCs w:val="21"/>
          <w:highlight w:val="none"/>
          <w:lang w:eastAsia="zh-CN"/>
          <w14:textFill>
            <w14:solidFill>
              <w14:schemeClr w14:val="tx1"/>
            </w14:solidFill>
          </w14:textFill>
        </w:rPr>
        <w:t>二十八（28）日</w:t>
      </w:r>
      <w:r>
        <w:rPr>
          <w:rFonts w:hint="eastAsia" w:ascii="宋体" w:hAnsi="宋体" w:eastAsia="宋体" w:cs="Times New Roman"/>
          <w:b w:val="0"/>
          <w:bCs/>
          <w:color w:val="000000" w:themeColor="text1"/>
          <w:szCs w:val="21"/>
          <w:highlight w:val="none"/>
          <w14:textFill>
            <w14:solidFill>
              <w14:schemeClr w14:val="tx1"/>
            </w14:solidFill>
          </w14:textFill>
        </w:rPr>
        <w:t>，担保范围是</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乙方</w:t>
      </w:r>
      <w:r>
        <w:rPr>
          <w:rFonts w:hint="eastAsia" w:ascii="宋体" w:hAnsi="宋体" w:eastAsia="宋体" w:cs="Times New Roman"/>
          <w:b w:val="0"/>
          <w:bCs/>
          <w:color w:val="000000" w:themeColor="text1"/>
          <w:szCs w:val="21"/>
          <w:highlight w:val="none"/>
          <w14:textFill>
            <w14:solidFill>
              <w14:schemeClr w14:val="tx1"/>
            </w14:solidFill>
          </w14:textFill>
        </w:rPr>
        <w:t>履行该</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供货通知单</w:t>
      </w:r>
      <w:r>
        <w:rPr>
          <w:rFonts w:hint="eastAsia" w:ascii="宋体" w:hAnsi="宋体" w:eastAsia="宋体" w:cs="Times New Roman"/>
          <w:b w:val="0"/>
          <w:bCs/>
          <w:color w:val="000000" w:themeColor="text1"/>
          <w:szCs w:val="21"/>
          <w:highlight w:val="none"/>
          <w14:textFill>
            <w14:solidFill>
              <w14:schemeClr w14:val="tx1"/>
            </w14:solidFill>
          </w14:textFill>
        </w:rPr>
        <w:t>项下</w:t>
      </w:r>
      <w:r>
        <w:rPr>
          <w:rFonts w:hint="eastAsia" w:ascii="宋体" w:hAnsi="宋体" w:eastAsia="宋体" w:cs="Times New Roman"/>
          <w:b w:val="0"/>
          <w:bCs/>
          <w:color w:val="000000" w:themeColor="text1"/>
          <w:szCs w:val="21"/>
          <w:highlight w:val="none"/>
          <w:lang w:eastAsia="zh-CN"/>
          <w14:textFill>
            <w14:solidFill>
              <w14:schemeClr w14:val="tx1"/>
            </w14:solidFill>
          </w14:textFill>
        </w:rPr>
        <w:t>的</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按时按量</w:t>
      </w:r>
      <w:r>
        <w:rPr>
          <w:rFonts w:hint="eastAsia" w:ascii="宋体" w:hAnsi="宋体" w:eastAsia="宋体" w:cs="Times New Roman"/>
          <w:b w:val="0"/>
          <w:bCs/>
          <w:color w:val="000000" w:themeColor="text1"/>
          <w:szCs w:val="21"/>
          <w:highlight w:val="none"/>
          <w14:textFill>
            <w14:solidFill>
              <w14:schemeClr w14:val="tx1"/>
            </w14:solidFill>
          </w14:textFill>
        </w:rPr>
        <w:t>供货</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义务且全部货物经甲方验收合格</w:t>
      </w:r>
      <w:r>
        <w:rPr>
          <w:rFonts w:hint="eastAsia" w:ascii="宋体" w:hAnsi="宋体" w:eastAsia="宋体" w:cs="Times New Roman"/>
          <w:b w:val="0"/>
          <w:bCs/>
          <w:color w:val="000000" w:themeColor="text1"/>
          <w:szCs w:val="21"/>
          <w:highlight w:val="none"/>
          <w14:textFill>
            <w14:solidFill>
              <w14:schemeClr w14:val="tx1"/>
            </w14:solidFill>
          </w14:textFill>
        </w:rPr>
        <w:t>。</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w:t>
      </w:r>
      <w:r>
        <w:rPr>
          <w:rFonts w:hint="eastAsia" w:ascii="宋体" w:hAnsi="宋体" w:eastAsia="宋体" w:cs="Times New Roman"/>
          <w:b w:val="0"/>
          <w:bCs/>
          <w:color w:val="000000" w:themeColor="text1"/>
          <w:szCs w:val="21"/>
          <w:highlight w:val="none"/>
          <w14:textFill>
            <w14:solidFill>
              <w14:schemeClr w14:val="tx1"/>
            </w14:solidFill>
          </w14:textFill>
        </w:rPr>
        <w:t>保函一经开立，未经</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书面同意不得修改或撤销。</w:t>
      </w:r>
      <w:bookmarkEnd w:id="847"/>
    </w:p>
    <w:p w14:paraId="3F1018A7">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48" w:name="_Toc10171"/>
      <w:r>
        <w:rPr>
          <w:rFonts w:hint="eastAsia" w:ascii="宋体" w:hAnsi="宋体" w:eastAsia="宋体" w:cs="Times New Roman"/>
          <w:b w:val="0"/>
          <w:bCs/>
          <w:color w:val="000000" w:themeColor="text1"/>
          <w:szCs w:val="21"/>
          <w:highlight w:val="none"/>
          <w14:textFill>
            <w14:solidFill>
              <w14:schemeClr w14:val="tx1"/>
            </w14:solidFill>
          </w14:textFill>
        </w:rPr>
        <w:t>3、付款与</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w:t>
      </w:r>
      <w:r>
        <w:rPr>
          <w:rFonts w:hint="eastAsia" w:ascii="宋体" w:hAnsi="宋体" w:eastAsia="宋体" w:cs="Times New Roman"/>
          <w:b w:val="0"/>
          <w:bCs/>
          <w:color w:val="000000" w:themeColor="text1"/>
          <w:szCs w:val="21"/>
          <w:highlight w:val="none"/>
          <w14:textFill>
            <w14:solidFill>
              <w14:schemeClr w14:val="tx1"/>
            </w14:solidFill>
          </w14:textFill>
        </w:rPr>
        <w:t>保函的绑定规则</w:t>
      </w:r>
      <w:bookmarkEnd w:id="848"/>
    </w:p>
    <w:p w14:paraId="7378811E">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49" w:name="_Toc16355"/>
      <w:r>
        <w:rPr>
          <w:rFonts w:hint="eastAsia" w:ascii="宋体" w:hAnsi="宋体" w:eastAsia="宋体" w:cs="Times New Roman"/>
          <w:b w:val="0"/>
          <w:bCs/>
          <w:color w:val="000000" w:themeColor="text1"/>
          <w:szCs w:val="21"/>
          <w:highlight w:val="none"/>
          <w14:textFill>
            <w14:solidFill>
              <w14:schemeClr w14:val="tx1"/>
            </w14:solidFill>
          </w14:textFill>
        </w:rPr>
        <w:t xml:space="preserve">(1) </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仅在收到有效</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w:t>
      </w:r>
      <w:r>
        <w:rPr>
          <w:rFonts w:hint="eastAsia" w:ascii="宋体" w:hAnsi="宋体" w:eastAsia="宋体" w:cs="Times New Roman"/>
          <w:b w:val="0"/>
          <w:bCs/>
          <w:color w:val="000000" w:themeColor="text1"/>
          <w:szCs w:val="21"/>
          <w:highlight w:val="none"/>
          <w14:textFill>
            <w14:solidFill>
              <w14:schemeClr w14:val="tx1"/>
            </w14:solidFill>
          </w14:textFill>
        </w:rPr>
        <w:t>保函后，方支付该</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供货通知单</w:t>
      </w:r>
      <w:r>
        <w:rPr>
          <w:rFonts w:hint="eastAsia" w:ascii="宋体" w:hAnsi="宋体" w:eastAsia="宋体" w:cs="Times New Roman"/>
          <w:b w:val="0"/>
          <w:bCs/>
          <w:color w:val="000000" w:themeColor="text1"/>
          <w:szCs w:val="21"/>
          <w:highlight w:val="none"/>
          <w14:textFill>
            <w14:solidFill>
              <w14:schemeClr w14:val="tx1"/>
            </w14:solidFill>
          </w14:textFill>
        </w:rPr>
        <w:t>对应的全额货款；</w:t>
      </w:r>
      <w:bookmarkEnd w:id="849"/>
    </w:p>
    <w:p w14:paraId="0761F485">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50" w:name="_Toc10528"/>
      <w:r>
        <w:rPr>
          <w:rFonts w:hint="eastAsia" w:ascii="宋体" w:hAnsi="宋体" w:eastAsia="宋体" w:cs="Times New Roman"/>
          <w:b w:val="0"/>
          <w:bCs/>
          <w:color w:val="000000" w:themeColor="text1"/>
          <w:szCs w:val="21"/>
          <w:highlight w:val="none"/>
          <w14:textFill>
            <w14:solidFill>
              <w14:schemeClr w14:val="tx1"/>
            </w14:solidFill>
          </w14:textFill>
        </w:rPr>
        <w:t xml:space="preserve">(2) </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乙方</w:t>
      </w:r>
      <w:r>
        <w:rPr>
          <w:rFonts w:hint="eastAsia" w:ascii="宋体" w:hAnsi="宋体" w:eastAsia="宋体" w:cs="Times New Roman"/>
          <w:b w:val="0"/>
          <w:bCs/>
          <w:color w:val="000000" w:themeColor="text1"/>
          <w:szCs w:val="21"/>
          <w:highlight w:val="none"/>
          <w14:textFill>
            <w14:solidFill>
              <w14:schemeClr w14:val="tx1"/>
            </w14:solidFill>
          </w14:textFill>
        </w:rPr>
        <w:t>未按时提交合规</w:t>
      </w:r>
      <w:r>
        <w:rPr>
          <w:rFonts w:hint="eastAsia" w:ascii="宋体" w:hAnsi="宋体" w:eastAsia="宋体" w:cs="Times New Roman"/>
          <w:b w:val="0"/>
          <w:bCs/>
          <w:color w:val="000000" w:themeColor="text1"/>
          <w:szCs w:val="21"/>
          <w:highlight w:val="none"/>
          <w:lang w:eastAsia="zh-CN"/>
          <w14:textFill>
            <w14:solidFill>
              <w14:schemeClr w14:val="tx1"/>
            </w14:solidFill>
          </w14:textFill>
        </w:rPr>
        <w:t>的</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w:t>
      </w:r>
      <w:r>
        <w:rPr>
          <w:rFonts w:hint="eastAsia" w:ascii="宋体" w:hAnsi="宋体" w:eastAsia="宋体" w:cs="Times New Roman"/>
          <w:b w:val="0"/>
          <w:bCs/>
          <w:color w:val="000000" w:themeColor="text1"/>
          <w:szCs w:val="21"/>
          <w:highlight w:val="none"/>
          <w14:textFill>
            <w14:solidFill>
              <w14:schemeClr w14:val="tx1"/>
            </w14:solidFill>
          </w14:textFill>
        </w:rPr>
        <w:t>保函的，</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有权暂停支付该</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供货通知单项下的</w:t>
      </w:r>
      <w:r>
        <w:rPr>
          <w:rFonts w:hint="eastAsia" w:ascii="宋体" w:hAnsi="宋体" w:eastAsia="宋体" w:cs="Times New Roman"/>
          <w:b w:val="0"/>
          <w:bCs/>
          <w:color w:val="000000" w:themeColor="text1"/>
          <w:szCs w:val="21"/>
          <w:highlight w:val="none"/>
          <w14:textFill>
            <w14:solidFill>
              <w14:schemeClr w14:val="tx1"/>
            </w14:solidFill>
          </w14:textFill>
        </w:rPr>
        <w:t>货款并暂停后续供货安排直至保函补正。</w:t>
      </w:r>
      <w:bookmarkEnd w:id="850"/>
    </w:p>
    <w:p w14:paraId="66063482">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51" w:name="_Toc22705"/>
      <w:r>
        <w:rPr>
          <w:rFonts w:hint="eastAsia" w:ascii="宋体" w:hAnsi="宋体" w:eastAsia="宋体" w:cs="Times New Roman"/>
          <w:b w:val="0"/>
          <w:bCs/>
          <w:color w:val="000000" w:themeColor="text1"/>
          <w:szCs w:val="21"/>
          <w:highlight w:val="none"/>
          <w14:textFill>
            <w14:solidFill>
              <w14:schemeClr w14:val="tx1"/>
            </w14:solidFill>
          </w14:textFill>
        </w:rPr>
        <w:t>4、保函的解除与动态管理</w:t>
      </w:r>
      <w:bookmarkEnd w:id="851"/>
    </w:p>
    <w:p w14:paraId="4F6BE94C">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52" w:name="_Toc17134"/>
      <w:r>
        <w:rPr>
          <w:rFonts w:hint="eastAsia" w:ascii="宋体" w:hAnsi="宋体" w:eastAsia="宋体" w:cs="Times New Roman"/>
          <w:b w:val="0"/>
          <w:bCs/>
          <w:color w:val="000000" w:themeColor="text1"/>
          <w:szCs w:val="21"/>
          <w:highlight w:val="none"/>
          <w14:textFill>
            <w14:solidFill>
              <w14:schemeClr w14:val="tx1"/>
            </w14:solidFill>
          </w14:textFill>
        </w:rPr>
        <w:t>(1) 自动解除：</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完成</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供货通知单</w:t>
      </w:r>
      <w:r>
        <w:rPr>
          <w:rFonts w:hint="eastAsia" w:ascii="宋体" w:hAnsi="宋体" w:eastAsia="宋体" w:cs="Times New Roman"/>
          <w:b w:val="0"/>
          <w:bCs/>
          <w:color w:val="000000" w:themeColor="text1"/>
          <w:szCs w:val="21"/>
          <w:highlight w:val="none"/>
          <w14:textFill>
            <w14:solidFill>
              <w14:schemeClr w14:val="tx1"/>
            </w14:solidFill>
          </w14:textFill>
        </w:rPr>
        <w:t>项下全部货物交付并经</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验收合格后</w:t>
      </w:r>
      <w:r>
        <w:rPr>
          <w:rFonts w:hint="eastAsia" w:ascii="宋体" w:hAnsi="宋体" w:eastAsia="宋体" w:cs="Times New Roman"/>
          <w:color w:val="000000" w:themeColor="text1"/>
          <w:szCs w:val="21"/>
          <w:highlight w:val="none"/>
          <w:lang w:eastAsia="zh-CN"/>
          <w14:textFill>
            <w14:solidFill>
              <w14:schemeClr w14:val="tx1"/>
            </w14:solidFill>
          </w14:textFill>
        </w:rPr>
        <w:t>二十八（28）日</w:t>
      </w:r>
      <w:r>
        <w:rPr>
          <w:rFonts w:hint="eastAsia" w:ascii="宋体" w:hAnsi="宋体" w:eastAsia="宋体" w:cs="Times New Roman"/>
          <w:b w:val="0"/>
          <w:bCs/>
          <w:color w:val="000000" w:themeColor="text1"/>
          <w:szCs w:val="21"/>
          <w:highlight w:val="none"/>
          <w14:textFill>
            <w14:solidFill>
              <w14:schemeClr w14:val="tx1"/>
            </w14:solidFill>
          </w14:textFill>
        </w:rPr>
        <w:t>，</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w:t>
      </w:r>
      <w:r>
        <w:rPr>
          <w:rFonts w:hint="eastAsia" w:ascii="宋体" w:hAnsi="宋体" w:eastAsia="宋体" w:cs="Times New Roman"/>
          <w:b w:val="0"/>
          <w:bCs/>
          <w:color w:val="000000" w:themeColor="text1"/>
          <w:szCs w:val="21"/>
          <w:highlight w:val="none"/>
          <w14:textFill>
            <w14:solidFill>
              <w14:schemeClr w14:val="tx1"/>
            </w14:solidFill>
          </w14:textFill>
        </w:rPr>
        <w:t>保函自动失效；</w:t>
      </w:r>
      <w:bookmarkEnd w:id="852"/>
    </w:p>
    <w:p w14:paraId="61F58308">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53" w:name="_Toc17021"/>
      <w:r>
        <w:rPr>
          <w:rFonts w:hint="eastAsia" w:ascii="宋体" w:hAnsi="宋体" w:eastAsia="宋体" w:cs="Times New Roman"/>
          <w:b w:val="0"/>
          <w:bCs/>
          <w:color w:val="000000" w:themeColor="text1"/>
          <w:szCs w:val="21"/>
          <w:highlight w:val="none"/>
          <w14:textFill>
            <w14:solidFill>
              <w14:schemeClr w14:val="tx1"/>
            </w14:solidFill>
          </w14:textFill>
        </w:rPr>
        <w:t>(2) 延期要求：如</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w:t>
      </w:r>
      <w:r>
        <w:rPr>
          <w:rFonts w:hint="eastAsia" w:ascii="宋体" w:hAnsi="宋体" w:eastAsia="宋体" w:cs="Times New Roman"/>
          <w:b w:val="0"/>
          <w:bCs/>
          <w:color w:val="000000" w:themeColor="text1"/>
          <w:szCs w:val="21"/>
          <w:highlight w:val="none"/>
          <w14:textFill>
            <w14:solidFill>
              <w14:schemeClr w14:val="tx1"/>
            </w14:solidFill>
          </w14:textFill>
        </w:rPr>
        <w:t>保函有效期届满而订单义务未履行完毕，供应商须提前15日办理</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w:t>
      </w:r>
      <w:r>
        <w:rPr>
          <w:rFonts w:hint="eastAsia" w:ascii="宋体" w:hAnsi="宋体" w:eastAsia="宋体" w:cs="Times New Roman"/>
          <w:b w:val="0"/>
          <w:bCs/>
          <w:color w:val="000000" w:themeColor="text1"/>
          <w:szCs w:val="21"/>
          <w:highlight w:val="none"/>
          <w14:textFill>
            <w14:solidFill>
              <w14:schemeClr w14:val="tx1"/>
            </w14:solidFill>
          </w14:textFill>
        </w:rPr>
        <w:t>保函延期或替换新保函，否则采购人有权立即索赔；</w:t>
      </w:r>
      <w:bookmarkEnd w:id="853"/>
    </w:p>
    <w:p w14:paraId="7E4C34A2">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54" w:name="_Toc9775"/>
      <w:r>
        <w:rPr>
          <w:rFonts w:hint="eastAsia" w:ascii="宋体" w:hAnsi="宋体" w:eastAsia="宋体" w:cs="Times New Roman"/>
          <w:b w:val="0"/>
          <w:bCs/>
          <w:color w:val="000000" w:themeColor="text1"/>
          <w:szCs w:val="21"/>
          <w:highlight w:val="none"/>
          <w14:textFill>
            <w14:solidFill>
              <w14:schemeClr w14:val="tx1"/>
            </w14:solidFill>
          </w14:textFill>
        </w:rPr>
        <w:t>(3) 累计保函：针对多批次小额订单，经</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书面同意，</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可开立覆盖连续【3】个月订单总额的滚动保函，但单</w:t>
      </w:r>
      <w:r>
        <w:rPr>
          <w:rFonts w:hint="eastAsia" w:ascii="宋体" w:hAnsi="宋体" w:eastAsia="宋体" w:cs="Times New Roman"/>
          <w:b w:val="0"/>
          <w:bCs/>
          <w:color w:val="000000" w:themeColor="text1"/>
          <w:szCs w:val="21"/>
          <w:highlight w:val="none"/>
          <w:lang w:eastAsia="zh-CN"/>
          <w14:textFill>
            <w14:solidFill>
              <w14:schemeClr w14:val="tx1"/>
            </w14:solidFill>
          </w14:textFill>
        </w:rPr>
        <w:t>个</w:t>
      </w:r>
      <w:r>
        <w:rPr>
          <w:rFonts w:hint="eastAsia" w:ascii="宋体" w:hAnsi="宋体" w:eastAsia="宋体" w:cs="Times New Roman"/>
          <w:color w:val="000000" w:themeColor="text1"/>
          <w:szCs w:val="21"/>
          <w:highlight w:val="none"/>
          <w:lang w:val="en-US" w:eastAsia="zh-CN"/>
          <w14:textFill>
            <w14:solidFill>
              <w14:schemeClr w14:val="tx1"/>
            </w14:solidFill>
          </w14:textFill>
        </w:rPr>
        <w:t>供货通知单</w:t>
      </w:r>
      <w:r>
        <w:rPr>
          <w:rFonts w:hint="eastAsia" w:ascii="宋体" w:hAnsi="宋体" w:eastAsia="宋体" w:cs="Times New Roman"/>
          <w:b w:val="0"/>
          <w:bCs/>
          <w:color w:val="000000" w:themeColor="text1"/>
          <w:szCs w:val="21"/>
          <w:highlight w:val="none"/>
          <w14:textFill>
            <w14:solidFill>
              <w14:schemeClr w14:val="tx1"/>
            </w14:solidFill>
          </w14:textFill>
        </w:rPr>
        <w:t>付款前仍需完成该</w:t>
      </w:r>
      <w:r>
        <w:rPr>
          <w:rFonts w:hint="eastAsia" w:ascii="宋体" w:hAnsi="宋体" w:eastAsia="宋体" w:cs="Times New Roman"/>
          <w:color w:val="000000" w:themeColor="text1"/>
          <w:szCs w:val="21"/>
          <w:highlight w:val="none"/>
          <w:lang w:val="en-US" w:eastAsia="zh-CN"/>
          <w14:textFill>
            <w14:solidFill>
              <w14:schemeClr w14:val="tx1"/>
            </w14:solidFill>
          </w14:textFill>
        </w:rPr>
        <w:t>供货通知单</w:t>
      </w:r>
      <w:r>
        <w:rPr>
          <w:rFonts w:hint="eastAsia" w:ascii="宋体" w:hAnsi="宋体" w:eastAsia="宋体" w:cs="Times New Roman"/>
          <w:b w:val="0"/>
          <w:bCs/>
          <w:color w:val="000000" w:themeColor="text1"/>
          <w:szCs w:val="21"/>
          <w:highlight w:val="none"/>
          <w14:textFill>
            <w14:solidFill>
              <w14:schemeClr w14:val="tx1"/>
            </w14:solidFill>
          </w14:textFill>
        </w:rPr>
        <w:t>在保函中的金额绑定登记。</w:t>
      </w:r>
      <w:bookmarkEnd w:id="854"/>
    </w:p>
    <w:p w14:paraId="172BC915">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55" w:name="_Toc15466"/>
      <w:r>
        <w:rPr>
          <w:rFonts w:hint="eastAsia" w:ascii="宋体" w:hAnsi="宋体" w:eastAsia="宋体" w:cs="Times New Roman"/>
          <w:b w:val="0"/>
          <w:bCs/>
          <w:color w:val="000000" w:themeColor="text1"/>
          <w:szCs w:val="21"/>
          <w:highlight w:val="none"/>
          <w14:textFill>
            <w14:solidFill>
              <w14:schemeClr w14:val="tx1"/>
            </w14:solidFill>
          </w14:textFill>
        </w:rPr>
        <w:t>5、违约责任</w:t>
      </w:r>
      <w:bookmarkEnd w:id="855"/>
    </w:p>
    <w:p w14:paraId="3C49AD0A">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56" w:name="_Toc15476"/>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乙方</w:t>
      </w:r>
      <w:r>
        <w:rPr>
          <w:rFonts w:hint="eastAsia" w:ascii="宋体" w:hAnsi="宋体" w:eastAsia="宋体" w:cs="Times New Roman"/>
          <w:b w:val="0"/>
          <w:bCs/>
          <w:color w:val="000000" w:themeColor="text1"/>
          <w:szCs w:val="21"/>
          <w:highlight w:val="none"/>
          <w14:textFill>
            <w14:solidFill>
              <w14:schemeClr w14:val="tx1"/>
            </w14:solidFill>
          </w14:textFill>
        </w:rPr>
        <w:t>未履行本条项下</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w:t>
      </w:r>
      <w:r>
        <w:rPr>
          <w:rFonts w:hint="eastAsia" w:ascii="宋体" w:hAnsi="宋体" w:eastAsia="宋体" w:cs="Times New Roman"/>
          <w:b w:val="0"/>
          <w:bCs/>
          <w:color w:val="000000" w:themeColor="text1"/>
          <w:szCs w:val="21"/>
          <w:highlight w:val="none"/>
          <w14:textFill>
            <w14:solidFill>
              <w14:schemeClr w14:val="tx1"/>
            </w14:solidFill>
          </w14:textFill>
        </w:rPr>
        <w:t>保函开立、延期或金额绑定义务的：</w:t>
      </w:r>
      <w:bookmarkEnd w:id="856"/>
    </w:p>
    <w:p w14:paraId="36118773">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57" w:name="_Toc8214"/>
      <w:r>
        <w:rPr>
          <w:rFonts w:hint="eastAsia" w:ascii="宋体" w:hAnsi="宋体" w:eastAsia="宋体" w:cs="Times New Roman"/>
          <w:b w:val="0"/>
          <w:bCs/>
          <w:color w:val="000000" w:themeColor="text1"/>
          <w:szCs w:val="21"/>
          <w:highlight w:val="none"/>
          <w14:textFill>
            <w14:solidFill>
              <w14:schemeClr w14:val="tx1"/>
            </w14:solidFill>
          </w14:textFill>
        </w:rPr>
        <w:t>(1) 按该</w:t>
      </w:r>
      <w:r>
        <w:rPr>
          <w:rFonts w:hint="eastAsia" w:ascii="宋体" w:hAnsi="宋体" w:eastAsia="宋体" w:cs="Times New Roman"/>
          <w:color w:val="000000" w:themeColor="text1"/>
          <w:szCs w:val="21"/>
          <w:highlight w:val="none"/>
          <w:lang w:val="en-US" w:eastAsia="zh-CN"/>
          <w14:textFill>
            <w14:solidFill>
              <w14:schemeClr w14:val="tx1"/>
            </w14:solidFill>
          </w14:textFill>
        </w:rPr>
        <w:t>供货通知单</w:t>
      </w:r>
      <w:r>
        <w:rPr>
          <w:rFonts w:hint="eastAsia" w:ascii="宋体" w:hAnsi="宋体" w:eastAsia="宋体" w:cs="Times New Roman"/>
          <w:b w:val="0"/>
          <w:bCs/>
          <w:color w:val="000000" w:themeColor="text1"/>
          <w:szCs w:val="21"/>
          <w:highlight w:val="none"/>
          <w14:textFill>
            <w14:solidFill>
              <w14:schemeClr w14:val="tx1"/>
            </w14:solidFill>
          </w14:textFill>
        </w:rPr>
        <w:t>金额的【</w:t>
      </w:r>
      <w:r>
        <w:rPr>
          <w:rFonts w:hint="eastAsia" w:ascii="宋体" w:hAnsi="宋体" w:eastAsia="宋体" w:cs="Times New Roman"/>
          <w:b w:val="0"/>
          <w:bCs/>
          <w:color w:val="000000" w:themeColor="text1"/>
          <w:szCs w:val="21"/>
          <w:highlight w:val="none"/>
          <w:lang w:eastAsia="zh-CN"/>
          <w14:textFill>
            <w14:solidFill>
              <w14:schemeClr w14:val="tx1"/>
            </w14:solidFill>
          </w14:textFill>
        </w:rPr>
        <w:t>5</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w:t>
      </w:r>
      <w:r>
        <w:rPr>
          <w:rFonts w:hint="eastAsia" w:ascii="宋体" w:hAnsi="宋体" w:eastAsia="宋体" w:cs="Times New Roman"/>
          <w:b w:val="0"/>
          <w:bCs/>
          <w:color w:val="000000" w:themeColor="text1"/>
          <w:szCs w:val="21"/>
          <w:highlight w:val="none"/>
          <w14:textFill>
            <w14:solidFill>
              <w14:schemeClr w14:val="tx1"/>
            </w14:solidFill>
          </w14:textFill>
        </w:rPr>
        <w:t>】/日向</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支付违约金；</w:t>
      </w:r>
      <w:bookmarkEnd w:id="857"/>
    </w:p>
    <w:p w14:paraId="4EFC961C">
      <w:pPr>
        <w:adjustRightInd w:val="0"/>
        <w:snapToGrid w:val="0"/>
        <w:spacing w:line="360" w:lineRule="auto"/>
        <w:ind w:firstLine="371" w:firstLineChars="177"/>
        <w:outlineLvl w:val="1"/>
        <w:rPr>
          <w:rFonts w:hint="eastAsia" w:ascii="宋体" w:hAnsi="宋体" w:eastAsia="宋体" w:cs="Times New Roman"/>
          <w:b w:val="0"/>
          <w:bCs/>
          <w:color w:val="000000" w:themeColor="text1"/>
          <w:szCs w:val="21"/>
          <w:highlight w:val="none"/>
          <w14:textFill>
            <w14:solidFill>
              <w14:schemeClr w14:val="tx1"/>
            </w14:solidFill>
          </w14:textFill>
        </w:rPr>
      </w:pPr>
      <w:bookmarkStart w:id="858" w:name="_Toc11444"/>
      <w:r>
        <w:rPr>
          <w:rFonts w:hint="eastAsia" w:ascii="宋体" w:hAnsi="宋体" w:eastAsia="宋体" w:cs="Times New Roman"/>
          <w:b w:val="0"/>
          <w:bCs/>
          <w:color w:val="000000" w:themeColor="text1"/>
          <w:szCs w:val="21"/>
          <w:highlight w:val="none"/>
          <w14:textFill>
            <w14:solidFill>
              <w14:schemeClr w14:val="tx1"/>
            </w14:solidFill>
          </w14:textFill>
        </w:rPr>
        <w:t xml:space="preserve">(2) </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Cs w:val="21"/>
          <w:highlight w:val="none"/>
          <w14:textFill>
            <w14:solidFill>
              <w14:schemeClr w14:val="tx1"/>
            </w14:solidFill>
          </w14:textFill>
        </w:rPr>
        <w:t>有权</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终止</w:t>
      </w:r>
      <w:r>
        <w:rPr>
          <w:rFonts w:hint="eastAsia" w:ascii="宋体" w:hAnsi="宋体" w:eastAsia="宋体" w:cs="Times New Roman"/>
          <w:b w:val="0"/>
          <w:bCs/>
          <w:color w:val="000000" w:themeColor="text1"/>
          <w:szCs w:val="21"/>
          <w:highlight w:val="none"/>
          <w14:textFill>
            <w14:solidFill>
              <w14:schemeClr w14:val="tx1"/>
            </w14:solidFill>
          </w14:textFill>
        </w:rPr>
        <w:t>该</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供货通知单</w:t>
      </w:r>
      <w:r>
        <w:rPr>
          <w:rFonts w:hint="eastAsia" w:ascii="宋体" w:hAnsi="宋体" w:eastAsia="宋体" w:cs="Times New Roman"/>
          <w:b w:val="0"/>
          <w:bCs/>
          <w:color w:val="000000" w:themeColor="text1"/>
          <w:szCs w:val="21"/>
          <w:highlight w:val="none"/>
          <w14:textFill>
            <w14:solidFill>
              <w14:schemeClr w14:val="tx1"/>
            </w14:solidFill>
          </w14:textFill>
        </w:rPr>
        <w:t>并追索</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供货通知单项下</w:t>
      </w:r>
      <w:r>
        <w:rPr>
          <w:rFonts w:hint="eastAsia" w:ascii="宋体" w:hAnsi="宋体" w:eastAsia="宋体" w:cs="Times New Roman"/>
          <w:b w:val="0"/>
          <w:bCs/>
          <w:color w:val="000000" w:themeColor="text1"/>
          <w:szCs w:val="21"/>
          <w:highlight w:val="none"/>
          <w14:textFill>
            <w14:solidFill>
              <w14:schemeClr w14:val="tx1"/>
            </w14:solidFill>
          </w14:textFill>
        </w:rPr>
        <w:t>已付货款</w:t>
      </w:r>
      <w:r>
        <w:rPr>
          <w:rFonts w:hint="eastAsia" w:ascii="宋体" w:hAnsi="宋体" w:eastAsia="宋体" w:cs="Times New Roman"/>
          <w:b w:val="0"/>
          <w:bCs/>
          <w:color w:val="000000" w:themeColor="text1"/>
          <w:szCs w:val="21"/>
          <w:highlight w:val="none"/>
          <w:lang w:eastAsia="zh-CN"/>
          <w14:textFill>
            <w14:solidFill>
              <w14:schemeClr w14:val="tx1"/>
            </w14:solidFill>
          </w14:textFill>
        </w:rPr>
        <w:t>（</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如有</w:t>
      </w:r>
      <w:r>
        <w:rPr>
          <w:rFonts w:hint="eastAsia" w:ascii="宋体" w:hAnsi="宋体" w:eastAsia="宋体" w:cs="Times New Roman"/>
          <w:b w:val="0"/>
          <w:bCs/>
          <w:color w:val="000000" w:themeColor="text1"/>
          <w:szCs w:val="21"/>
          <w:highlight w:val="none"/>
          <w:lang w:eastAsia="zh-CN"/>
          <w14:textFill>
            <w14:solidFill>
              <w14:schemeClr w14:val="tx1"/>
            </w14:solidFill>
          </w14:textFill>
        </w:rPr>
        <w:t>）</w:t>
      </w:r>
      <w:r>
        <w:rPr>
          <w:rFonts w:hint="eastAsia" w:ascii="宋体" w:hAnsi="宋体" w:eastAsia="宋体" w:cs="Times New Roman"/>
          <w:b w:val="0"/>
          <w:bCs/>
          <w:color w:val="000000" w:themeColor="text1"/>
          <w:szCs w:val="21"/>
          <w:highlight w:val="none"/>
          <w14:textFill>
            <w14:solidFill>
              <w14:schemeClr w14:val="tx1"/>
            </w14:solidFill>
          </w14:textFill>
        </w:rPr>
        <w:t>及资金占用成本（按LPR的150%计息）。</w:t>
      </w:r>
      <w:bookmarkEnd w:id="858"/>
    </w:p>
    <w:p w14:paraId="1ADC1CB4">
      <w:pPr>
        <w:adjustRightInd w:val="0"/>
        <w:snapToGrid w:val="0"/>
        <w:spacing w:line="360" w:lineRule="auto"/>
        <w:ind w:firstLine="373" w:firstLineChars="177"/>
        <w:outlineLvl w:val="1"/>
        <w:rPr>
          <w:rFonts w:hint="eastAsia" w:ascii="宋体" w:hAnsi="宋体" w:eastAsia="宋体" w:cs="Times New Roman"/>
          <w:b/>
          <w:color w:val="000000" w:themeColor="text1"/>
          <w:szCs w:val="21"/>
          <w:highlight w:val="none"/>
          <w14:textFill>
            <w14:solidFill>
              <w14:schemeClr w14:val="tx1"/>
            </w14:solidFill>
          </w14:textFill>
        </w:rPr>
      </w:pPr>
    </w:p>
    <w:p w14:paraId="28F22AB4">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59" w:name="_Toc19613"/>
      <w:r>
        <w:rPr>
          <w:rFonts w:hint="eastAsia" w:ascii="宋体" w:hAnsi="宋体" w:eastAsia="宋体" w:cs="Times New Roman"/>
          <w:b/>
          <w:color w:val="000000" w:themeColor="text1"/>
          <w:szCs w:val="21"/>
          <w:highlight w:val="none"/>
          <w:lang w:val="en-US" w:eastAsia="zh-CN"/>
          <w14:textFill>
            <w14:solidFill>
              <w14:schemeClr w14:val="tx1"/>
            </w14:solidFill>
          </w14:textFill>
        </w:rPr>
        <w:t xml:space="preserve">第十四条 </w:t>
      </w:r>
      <w:r>
        <w:rPr>
          <w:rFonts w:hint="eastAsia" w:ascii="宋体" w:hAnsi="宋体" w:eastAsia="宋体" w:cs="Times New Roman"/>
          <w:b/>
          <w:color w:val="000000" w:themeColor="text1"/>
          <w:szCs w:val="21"/>
          <w:highlight w:val="none"/>
          <w14:textFill>
            <w14:solidFill>
              <w14:schemeClr w14:val="tx1"/>
            </w14:solidFill>
          </w14:textFill>
        </w:rPr>
        <w:t>技术资料</w:t>
      </w:r>
      <w:bookmarkEnd w:id="859"/>
    </w:p>
    <w:p w14:paraId="6D87BE64">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乙方应按《用户需求书》的要求向甲方提供完整的所有供货设备的必要技术资料。乙方必须保证技术资料符合安装需求，如因乙方提供的技术资料错误导致设备无法安装的，由此造成的一切损失由乙方承担。具体技术资料要求按照招标文件用户需求书的规定执行。</w:t>
      </w:r>
    </w:p>
    <w:p w14:paraId="17C10418">
      <w:pPr>
        <w:adjustRightInd w:val="0"/>
        <w:snapToGrid w:val="0"/>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2、乙方在设备交货的同时应提供最终设备的全套（简体中文，如是外文应附中文译本）资料（含纸质和电子文件）给甲方，包括但不限于：  </w:t>
      </w:r>
    </w:p>
    <w:p w14:paraId="6122420B">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（1）完整的装箱单、产品出厂检验合格证；</w:t>
      </w:r>
    </w:p>
    <w:p w14:paraId="59F10BE0">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（2）产品说明书；</w:t>
      </w:r>
    </w:p>
    <w:p w14:paraId="20017C55">
      <w:pPr>
        <w:adjustRightInd w:val="0"/>
        <w:snapToGrid w:val="0"/>
        <w:spacing w:line="360" w:lineRule="auto"/>
        <w:ind w:firstLine="371" w:firstLineChars="177"/>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东莞市</w:t>
      </w:r>
      <w:r>
        <w:rPr>
          <w:rFonts w:hint="eastAsia" w:ascii="宋体" w:hAnsi="宋体" w:eastAsia="宋体" w:cs="Times New Roman"/>
          <w:color w:val="000000" w:themeColor="text1"/>
          <w:szCs w:val="21"/>
          <w:highlight w:val="none"/>
          <w14:textFill>
            <w14:solidFill>
              <w14:schemeClr w14:val="tx1"/>
            </w14:solidFill>
          </w14:textFill>
        </w:rPr>
        <w:t>法定</w:t>
      </w:r>
      <w:r>
        <w:rPr>
          <w:rFonts w:hint="eastAsia" w:ascii="宋体" w:hAnsi="宋体" w:eastAsia="宋体" w:cs="Times New Roman"/>
          <w:color w:val="000000" w:themeColor="text1"/>
          <w:szCs w:val="21"/>
          <w:highlight w:val="none"/>
          <w:lang w:val="en-US" w:eastAsia="zh-CN"/>
          <w14:textFill>
            <w14:solidFill>
              <w14:schemeClr w14:val="tx1"/>
            </w14:solidFill>
          </w14:textFill>
        </w:rPr>
        <w:t>水表</w:t>
      </w:r>
      <w:r>
        <w:rPr>
          <w:rFonts w:hint="eastAsia" w:ascii="宋体" w:hAnsi="宋体" w:eastAsia="宋体" w:cs="Times New Roman"/>
          <w:color w:val="000000" w:themeColor="text1"/>
          <w:szCs w:val="21"/>
          <w:highlight w:val="none"/>
          <w14:textFill>
            <w14:solidFill>
              <w14:schemeClr w14:val="tx1"/>
            </w14:solidFill>
          </w14:textFill>
        </w:rPr>
        <w:t>计量检定机构出具的检定合格证书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（超出东莞市法定水表检定机构检测能力范围的，须由上级主管部门指定的水表检定机构出具检定合格证书）</w:t>
      </w:r>
      <w:r>
        <w:rPr>
          <w:rFonts w:hint="eastAsia" w:ascii="宋体" w:hAnsi="宋体" w:eastAsia="宋体" w:cs="Times New Roman"/>
          <w:color w:val="000000" w:themeColor="text1"/>
          <w:szCs w:val="21"/>
          <w:highlight w:val="none"/>
          <w14:textFill>
            <w14:solidFill>
              <w14:schemeClr w14:val="tx1"/>
            </w14:solidFill>
          </w14:textFill>
        </w:rPr>
        <w:t>；</w:t>
      </w:r>
    </w:p>
    <w:p w14:paraId="74AFF22A">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（4）与货物使用、维护或检验等所需的相关其他文件；</w:t>
      </w:r>
    </w:p>
    <w:p w14:paraId="61241A9B">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127E7088">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60" w:name="_Toc6347"/>
      <w:r>
        <w:rPr>
          <w:rFonts w:hint="eastAsia" w:ascii="宋体" w:hAnsi="宋体" w:eastAsia="宋体" w:cs="Times New Roman"/>
          <w:b/>
          <w:color w:val="000000" w:themeColor="text1"/>
          <w:szCs w:val="21"/>
          <w:highlight w:val="none"/>
          <w14:textFill>
            <w14:solidFill>
              <w14:schemeClr w14:val="tx1"/>
            </w14:solidFill>
          </w14:textFill>
        </w:rPr>
        <w:t>第十</w:t>
      </w:r>
      <w:r>
        <w:rPr>
          <w:rFonts w:hint="eastAsia" w:ascii="宋体" w:hAnsi="宋体" w:eastAsia="宋体" w:cs="Times New Roman"/>
          <w:b/>
          <w:color w:val="000000" w:themeColor="text1"/>
          <w:szCs w:val="21"/>
          <w:highlight w:val="none"/>
          <w:lang w:val="en-US" w:eastAsia="zh-CN"/>
          <w14:textFill>
            <w14:solidFill>
              <w14:schemeClr w14:val="tx1"/>
            </w14:solidFill>
          </w14:textFill>
        </w:rPr>
        <w:t>五</w:t>
      </w:r>
      <w:r>
        <w:rPr>
          <w:rFonts w:hint="eastAsia" w:ascii="宋体" w:hAnsi="宋体" w:eastAsia="宋体" w:cs="Times New Roman"/>
          <w:b/>
          <w:color w:val="000000" w:themeColor="text1"/>
          <w:szCs w:val="21"/>
          <w:highlight w:val="none"/>
          <w14:textFill>
            <w14:solidFill>
              <w14:schemeClr w14:val="tx1"/>
            </w14:solidFill>
          </w14:textFill>
        </w:rPr>
        <w:t>条 权利保证</w:t>
      </w:r>
      <w:bookmarkEnd w:id="860"/>
    </w:p>
    <w:p w14:paraId="259A8A3F">
      <w:pPr>
        <w:adjustRightInd w:val="0"/>
        <w:snapToGrid w:val="0"/>
        <w:spacing w:line="360" w:lineRule="auto"/>
        <w:ind w:firstLine="424" w:firstLineChars="20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乙方应保证合同项下提供的货物不侵犯任何第三方的专利、商标、版权以及其它权利，否则，乙方须承担因此产生的全部责任及费用，如因此造成甲方损失的，乙方应予以赔偿。</w:t>
      </w:r>
    </w:p>
    <w:p w14:paraId="7A639899">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6EE3DCBE">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61" w:name="_Toc15285"/>
      <w:r>
        <w:rPr>
          <w:rFonts w:hint="eastAsia" w:ascii="宋体" w:hAnsi="宋体" w:eastAsia="宋体" w:cs="Times New Roman"/>
          <w:b/>
          <w:color w:val="000000" w:themeColor="text1"/>
          <w:szCs w:val="21"/>
          <w:highlight w:val="none"/>
          <w14:textFill>
            <w14:solidFill>
              <w14:schemeClr w14:val="tx1"/>
            </w14:solidFill>
          </w14:textFill>
        </w:rPr>
        <w:t>第十</w:t>
      </w:r>
      <w:r>
        <w:rPr>
          <w:rFonts w:hint="eastAsia" w:ascii="宋体" w:hAnsi="宋体" w:eastAsia="宋体" w:cs="Times New Roman"/>
          <w:b/>
          <w:color w:val="000000" w:themeColor="text1"/>
          <w:szCs w:val="21"/>
          <w:highlight w:val="none"/>
          <w:lang w:val="en-US" w:eastAsia="zh-CN"/>
          <w14:textFill>
            <w14:solidFill>
              <w14:schemeClr w14:val="tx1"/>
            </w14:solidFill>
          </w14:textFill>
        </w:rPr>
        <w:t>六</w:t>
      </w:r>
      <w:r>
        <w:rPr>
          <w:rFonts w:hint="eastAsia" w:ascii="宋体" w:hAnsi="宋体" w:eastAsia="宋体" w:cs="Times New Roman"/>
          <w:b/>
          <w:color w:val="000000" w:themeColor="text1"/>
          <w:szCs w:val="21"/>
          <w:highlight w:val="none"/>
          <w14:textFill>
            <w14:solidFill>
              <w14:schemeClr w14:val="tx1"/>
            </w14:solidFill>
          </w14:textFill>
        </w:rPr>
        <w:t>条 不可抗力</w:t>
      </w:r>
      <w:bookmarkEnd w:id="861"/>
    </w:p>
    <w:p w14:paraId="3E61DCB6">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任何一方因不可抗力（指战争、动乱、瘟疫、洪水、地震或其他灾害，以及其他不可预见、不可防止并不能避免或克服的事件）引起的履行延迟或履行不能的，不需承担违约责任。但受不可抗力影响的一方应于不可抗力发生后</w:t>
      </w:r>
      <w:r>
        <w:rPr>
          <w:rFonts w:ascii="宋体" w:hAnsi="宋体" w:eastAsia="宋体" w:cs="Times New Roman"/>
          <w:color w:val="000000" w:themeColor="text1"/>
          <w:szCs w:val="21"/>
          <w:highlight w:val="none"/>
          <w:u w:val="single"/>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日内书面通知另一方，并在不可抗力事件发生后 7 日内，提供</w:t>
      </w:r>
      <w:r>
        <w:rPr>
          <w:rFonts w:hint="eastAsia" w:ascii="宋体" w:hAnsi="宋体" w:eastAsia="宋体" w:cs="Times New Roman"/>
          <w:color w:val="000000" w:themeColor="text1"/>
          <w:szCs w:val="21"/>
          <w:highlight w:val="none"/>
          <w:lang w:val="en-US" w:eastAsia="zh-CN"/>
          <w14:textFill>
            <w14:solidFill>
              <w14:schemeClr w14:val="tx1"/>
            </w14:solidFill>
          </w14:textFill>
        </w:rPr>
        <w:t>书面</w:t>
      </w:r>
      <w:r>
        <w:rPr>
          <w:rFonts w:hint="eastAsia" w:ascii="宋体" w:hAnsi="宋体" w:eastAsia="宋体" w:cs="Times New Roman"/>
          <w:color w:val="000000" w:themeColor="text1"/>
          <w:szCs w:val="21"/>
          <w:highlight w:val="none"/>
          <w14:textFill>
            <w14:solidFill>
              <w14:schemeClr w14:val="tx1"/>
            </w14:solidFill>
          </w14:textFill>
        </w:rPr>
        <w:t>证明</w:t>
      </w:r>
      <w:r>
        <w:rPr>
          <w:rFonts w:hint="eastAsia" w:ascii="宋体" w:hAnsi="宋体" w:eastAsia="宋体" w:cs="Times New Roman"/>
          <w:color w:val="000000" w:themeColor="text1"/>
          <w:szCs w:val="21"/>
          <w:highlight w:val="none"/>
          <w:lang w:val="en-US" w:eastAsia="zh-CN"/>
          <w14:textFill>
            <w14:solidFill>
              <w14:schemeClr w14:val="tx1"/>
            </w14:solidFill>
          </w14:textFill>
        </w:rPr>
        <w:t>材料</w:t>
      </w:r>
      <w:r>
        <w:rPr>
          <w:rFonts w:hint="eastAsia" w:ascii="宋体" w:hAnsi="宋体" w:eastAsia="宋体" w:cs="Times New Roman"/>
          <w:color w:val="000000" w:themeColor="text1"/>
          <w:szCs w:val="21"/>
          <w:highlight w:val="none"/>
          <w14:textFill>
            <w14:solidFill>
              <w14:schemeClr w14:val="tx1"/>
            </w14:solidFill>
          </w14:textFill>
        </w:rPr>
        <w:t>，并应采取措施防止对方损失进一步扩大，如未采取相应措施导致另一方损失扩大的，受不可抗力影响一方应就扩大损失部分承担赔偿责任。如果不可抗力事件发生后，乙方不能按甲方的最迟交货期交货，则甲方有权解除本合同并不承担任何责任。</w:t>
      </w:r>
    </w:p>
    <w:p w14:paraId="69E46F0E">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51622603">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62" w:name="_Toc23304"/>
      <w:r>
        <w:rPr>
          <w:rFonts w:hint="eastAsia" w:ascii="宋体" w:hAnsi="宋体" w:eastAsia="宋体" w:cs="Times New Roman"/>
          <w:b/>
          <w:color w:val="000000" w:themeColor="text1"/>
          <w:szCs w:val="21"/>
          <w:highlight w:val="none"/>
          <w14:textFill>
            <w14:solidFill>
              <w14:schemeClr w14:val="tx1"/>
            </w14:solidFill>
          </w14:textFill>
        </w:rPr>
        <w:t>第十</w:t>
      </w:r>
      <w:r>
        <w:rPr>
          <w:rFonts w:hint="eastAsia" w:ascii="宋体" w:hAnsi="宋体" w:eastAsia="宋体" w:cs="Times New Roman"/>
          <w:b/>
          <w:color w:val="000000" w:themeColor="text1"/>
          <w:szCs w:val="21"/>
          <w:highlight w:val="none"/>
          <w:lang w:val="en-US" w:eastAsia="zh-CN"/>
          <w14:textFill>
            <w14:solidFill>
              <w14:schemeClr w14:val="tx1"/>
            </w14:solidFill>
          </w14:textFill>
        </w:rPr>
        <w:t>七</w:t>
      </w:r>
      <w:r>
        <w:rPr>
          <w:rFonts w:hint="eastAsia" w:ascii="宋体" w:hAnsi="宋体" w:eastAsia="宋体" w:cs="Times New Roman"/>
          <w:b/>
          <w:color w:val="000000" w:themeColor="text1"/>
          <w:szCs w:val="21"/>
          <w:highlight w:val="none"/>
          <w14:textFill>
            <w14:solidFill>
              <w14:schemeClr w14:val="tx1"/>
            </w14:solidFill>
          </w14:textFill>
        </w:rPr>
        <w:t>条 索赔</w:t>
      </w:r>
      <w:bookmarkEnd w:id="862"/>
    </w:p>
    <w:p w14:paraId="587332AA">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1、在货物验收、使用过程中，甲方如对货物（包括但不限于其规格、数量、质量等）有异议的，有权向乙方提出索赔，乙方应在甲方发出索赔通知后</w:t>
      </w:r>
      <w:r>
        <w:rPr>
          <w:rFonts w:ascii="宋体" w:hAnsi="宋体" w:eastAsia="宋体" w:cs="Times New Roman"/>
          <w:color w:val="000000" w:themeColor="text1"/>
          <w:szCs w:val="21"/>
          <w:highlight w:val="none"/>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日内作出答复，并与甲方现场确认货物的质量问题后进行理赔；乙方未在7日内作出答复的，视为乙方同意甲方的索赔通知及按通知所确定的款项向甲方理赔。乙方根据合同约定应承担更换或退货责任的，乙方应立即根据本合同的约定承担免费更换或退货责任。</w:t>
      </w:r>
    </w:p>
    <w:p w14:paraId="32BB6589">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2、如双方对货物的质量问题存在争议的，双方同意在质量问题发生后 7 日内提交东莞市质检部门或有资质及鉴定能力的鉴定机构进行质量鉴定后确认，鉴定费由乙方先行垫付，鉴定结果确定后，质量符合合同（含附件）约定的，鉴定费由甲方承担，否则由乙方承担。</w:t>
      </w:r>
    </w:p>
    <w:p w14:paraId="0B8EE409">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3、如果乙方对甲方提出的异议及索赔负有责任，乙方应按照甲方同意的下列一种或多种方式解决索赔事宜：</w:t>
      </w:r>
    </w:p>
    <w:p w14:paraId="4F4ED886">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（1）根据甲方要求予以退货，在甲方发出退货通知后 7 日内将退货货物运回，返还甲方已支付的全部货款，并承担因此产生的全部费用，以及赔偿因此给甲方造成的损失。</w:t>
      </w:r>
    </w:p>
    <w:p w14:paraId="2C8BBF39">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（2）根据甲方要求承担货物的更换责任，乙方应于甲方发出更换通知后 7 日内更换全新并符合本合同的规定的货物，乙方应承担因此产生的全部费用并赔偿甲方因此遭受的损失，更换货物的质保期应按本合同的相关规定重新计算。</w:t>
      </w:r>
    </w:p>
    <w:p w14:paraId="2F6C2AC3">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）当甲方损失无法计算时，乙方同意按合同暂定</w:t>
      </w:r>
      <w:r>
        <w:rPr>
          <w:rFonts w:hint="eastAsia" w:ascii="宋体" w:hAnsi="宋体" w:eastAsia="宋体" w:cs="Times New Roman"/>
          <w:bCs/>
          <w:color w:val="000000" w:themeColor="text1"/>
          <w:szCs w:val="21"/>
          <w:highlight w:val="none"/>
          <w14:textFill>
            <w14:solidFill>
              <w14:schemeClr w14:val="tx1"/>
            </w14:solidFill>
          </w14:textFill>
        </w:rPr>
        <w:t>总</w:t>
      </w:r>
      <w:r>
        <w:rPr>
          <w:rFonts w:hint="eastAsia" w:ascii="宋体" w:hAnsi="宋体" w:eastAsia="宋体" w:cs="Times New Roman"/>
          <w:color w:val="000000" w:themeColor="text1"/>
          <w:szCs w:val="21"/>
          <w:highlight w:val="none"/>
          <w14:textFill>
            <w14:solidFill>
              <w14:schemeClr w14:val="tx1"/>
            </w14:solidFill>
          </w14:textFill>
        </w:rPr>
        <w:t>价</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u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的</w:t>
      </w:r>
      <w:r>
        <w:rPr>
          <w:rFonts w:ascii="宋体" w:hAnsi="宋体" w:eastAsia="宋体" w:cs="Times New Roman"/>
          <w:color w:val="000000" w:themeColor="text1"/>
          <w:szCs w:val="21"/>
          <w:highlight w:val="none"/>
          <w14:textFill>
            <w14:solidFill>
              <w14:schemeClr w14:val="tx1"/>
            </w14:solidFill>
          </w14:textFill>
        </w:rPr>
        <w:t>20</w:t>
      </w:r>
      <w:r>
        <w:rPr>
          <w:rFonts w:hint="eastAsia" w:ascii="宋体" w:hAnsi="宋体" w:eastAsia="宋体" w:cs="Times New Roman"/>
          <w:color w:val="000000" w:themeColor="text1"/>
          <w:szCs w:val="21"/>
          <w:highlight w:val="none"/>
          <w14:textFill>
            <w14:solidFill>
              <w14:schemeClr w14:val="tx1"/>
            </w14:solidFill>
          </w14:textFill>
        </w:rPr>
        <w:t>%计算赔偿金。</w:t>
      </w:r>
    </w:p>
    <w:p w14:paraId="4D974E6B">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如果在甲方发出索赔通知后30天内，乙方未作书面答复，上述索赔应视为已被乙方接受。甲方将启动履约担保支付或从未付货款中扣除索赔金额。如果该等款项不足以补偿索赔金额，甲方有权向乙方提出不足部分的补偿。</w:t>
      </w:r>
    </w:p>
    <w:p w14:paraId="1E506DE2">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）索赔金额、甲方损失以及因索赔所发生的费用，甲方有权启动履约担保支付或从未付货款中直接扣除。</w:t>
      </w:r>
    </w:p>
    <w:p w14:paraId="34EEEDC1">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3BE0FF81">
      <w:pPr>
        <w:adjustRightInd w:val="0"/>
        <w:snapToGrid w:val="0"/>
        <w:spacing w:line="360" w:lineRule="auto"/>
        <w:ind w:firstLine="373" w:firstLineChars="177"/>
        <w:outlineLvl w:val="1"/>
        <w:rPr>
          <w:rFonts w:ascii="Times New Roman" w:hAnsi="Times New Roman" w:eastAsia="宋体" w:cs="Times New Roman"/>
          <w:color w:val="000000" w:themeColor="text1"/>
          <w:szCs w:val="24"/>
          <w:highlight w:val="none"/>
          <w14:textFill>
            <w14:solidFill>
              <w14:schemeClr w14:val="tx1"/>
            </w14:solidFill>
          </w14:textFill>
        </w:rPr>
      </w:pPr>
      <w:bookmarkStart w:id="863" w:name="_Toc18827"/>
      <w:r>
        <w:rPr>
          <w:rFonts w:hint="eastAsia" w:ascii="宋体" w:hAnsi="宋体" w:eastAsia="宋体" w:cs="Times New Roman"/>
          <w:b/>
          <w:color w:val="000000" w:themeColor="text1"/>
          <w:szCs w:val="21"/>
          <w:highlight w:val="none"/>
          <w14:textFill>
            <w14:solidFill>
              <w14:schemeClr w14:val="tx1"/>
            </w14:solidFill>
          </w14:textFill>
        </w:rPr>
        <w:t>第十</w:t>
      </w:r>
      <w:r>
        <w:rPr>
          <w:rFonts w:hint="eastAsia" w:ascii="宋体" w:hAnsi="宋体" w:eastAsia="宋体" w:cs="Times New Roman"/>
          <w:b/>
          <w:color w:val="000000" w:themeColor="text1"/>
          <w:szCs w:val="21"/>
          <w:highlight w:val="none"/>
          <w:lang w:val="en-US" w:eastAsia="zh-CN"/>
          <w14:textFill>
            <w14:solidFill>
              <w14:schemeClr w14:val="tx1"/>
            </w14:solidFill>
          </w14:textFill>
        </w:rPr>
        <w:t>八</w:t>
      </w:r>
      <w:r>
        <w:rPr>
          <w:rFonts w:hint="eastAsia" w:ascii="宋体" w:hAnsi="宋体" w:eastAsia="宋体" w:cs="Times New Roman"/>
          <w:b/>
          <w:color w:val="000000" w:themeColor="text1"/>
          <w:szCs w:val="21"/>
          <w:highlight w:val="none"/>
          <w14:textFill>
            <w14:solidFill>
              <w14:schemeClr w14:val="tx1"/>
            </w14:solidFill>
          </w14:textFill>
        </w:rPr>
        <w:t>条 违约责任</w:t>
      </w:r>
      <w:bookmarkEnd w:id="863"/>
    </w:p>
    <w:p w14:paraId="383E2F90">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、乙方未</w:t>
      </w:r>
      <w:r>
        <w:rPr>
          <w:rFonts w:hint="eastAsia" w:ascii="宋体" w:hAnsi="宋体" w:eastAsia="宋体" w:cs="Times New Roman"/>
          <w:color w:val="000000" w:themeColor="text1"/>
          <w:szCs w:val="21"/>
          <w:highlight w:val="none"/>
          <w:lang w:val="en-US" w:eastAsia="zh-CN"/>
          <w14:textFill>
            <w14:solidFill>
              <w14:schemeClr w14:val="tx1"/>
            </w14:solidFill>
          </w14:textFill>
        </w:rPr>
        <w:t>按供货通知单</w:t>
      </w:r>
      <w:r>
        <w:rPr>
          <w:rFonts w:hint="eastAsia" w:ascii="宋体" w:hAnsi="宋体" w:eastAsia="宋体" w:cs="Times New Roman"/>
          <w:color w:val="000000" w:themeColor="text1"/>
          <w:szCs w:val="21"/>
          <w:highlight w:val="none"/>
          <w14:textFill>
            <w14:solidFill>
              <w14:schemeClr w14:val="tx1"/>
            </w14:solidFill>
          </w14:textFill>
        </w:rPr>
        <w:t>约定的时间完成交货（部分交货视为未完成交货），或未在规定的时间内承担相应的更换、退货责任的，每逾期一日，应按合同暂定</w:t>
      </w:r>
      <w:r>
        <w:rPr>
          <w:rFonts w:hint="eastAsia" w:ascii="宋体" w:hAnsi="宋体" w:eastAsia="宋体" w:cs="Times New Roman"/>
          <w:bCs/>
          <w:color w:val="000000" w:themeColor="text1"/>
          <w:szCs w:val="21"/>
          <w:highlight w:val="none"/>
          <w14:textFill>
            <w14:solidFill>
              <w14:schemeClr w14:val="tx1"/>
            </w14:solidFill>
          </w14:textFill>
        </w:rPr>
        <w:t>总</w:t>
      </w:r>
      <w:r>
        <w:rPr>
          <w:rFonts w:hint="eastAsia" w:ascii="宋体" w:hAnsi="宋体" w:eastAsia="宋体" w:cs="Times New Roman"/>
          <w:color w:val="000000" w:themeColor="text1"/>
          <w:szCs w:val="21"/>
          <w:highlight w:val="none"/>
          <w14:textFill>
            <w14:solidFill>
              <w14:schemeClr w14:val="tx1"/>
            </w14:solidFill>
          </w14:textFill>
        </w:rPr>
        <w:t>价</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u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的5‰向甲方支付违约金。乙方逾期超过_</w:t>
      </w:r>
      <w:r>
        <w:rPr>
          <w:rFonts w:hint="eastAsia" w:ascii="宋体" w:hAnsi="宋体" w:eastAsia="宋体" w:cs="Times New Roman"/>
          <w:color w:val="000000" w:themeColor="text1"/>
          <w:szCs w:val="21"/>
          <w:highlight w:val="none"/>
          <w:u w:val="single"/>
          <w14:textFill>
            <w14:solidFill>
              <w14:schemeClr w14:val="tx1"/>
            </w14:solidFill>
          </w14:textFill>
        </w:rPr>
        <w:t>30</w:t>
      </w:r>
      <w:r>
        <w:rPr>
          <w:rFonts w:hint="eastAsia" w:ascii="宋体" w:hAnsi="宋体" w:eastAsia="宋体" w:cs="Times New Roman"/>
          <w:color w:val="000000" w:themeColor="text1"/>
          <w:szCs w:val="21"/>
          <w:highlight w:val="none"/>
          <w14:textFill>
            <w14:solidFill>
              <w14:schemeClr w14:val="tx1"/>
            </w14:solidFill>
          </w14:textFill>
        </w:rPr>
        <w:t>_日的，甲方可单方解除本合同，无论甲方是否解除本合同，乙方除支付前述逾期违约金外，还应按合同暂定</w:t>
      </w:r>
      <w:r>
        <w:rPr>
          <w:rFonts w:hint="eastAsia" w:ascii="宋体" w:hAnsi="宋体" w:eastAsia="宋体" w:cs="Times New Roman"/>
          <w:bCs/>
          <w:color w:val="000000" w:themeColor="text1"/>
          <w:szCs w:val="21"/>
          <w:highlight w:val="none"/>
          <w14:textFill>
            <w14:solidFill>
              <w14:schemeClr w14:val="tx1"/>
            </w14:solidFill>
          </w14:textFill>
        </w:rPr>
        <w:t>总</w:t>
      </w:r>
      <w:r>
        <w:rPr>
          <w:rFonts w:hint="eastAsia" w:ascii="宋体" w:hAnsi="宋体" w:eastAsia="宋体" w:cs="Times New Roman"/>
          <w:color w:val="000000" w:themeColor="text1"/>
          <w:szCs w:val="21"/>
          <w:highlight w:val="none"/>
          <w14:textFill>
            <w14:solidFill>
              <w14:schemeClr w14:val="tx1"/>
            </w14:solidFill>
          </w14:textFill>
        </w:rPr>
        <w:t>价</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u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的5%向甲方支付赔偿金。</w:t>
      </w:r>
      <w:r>
        <w:rPr>
          <w:rFonts w:hint="eastAsia" w:ascii="Times New Roman" w:hAnsi="宋体" w:eastAsia="宋体" w:cs="Times New Roman"/>
          <w:color w:val="000000" w:themeColor="text1"/>
          <w:szCs w:val="21"/>
          <w:highlight w:val="none"/>
          <w14:textFill>
            <w14:solidFill>
              <w14:schemeClr w14:val="tx1"/>
            </w14:solidFill>
          </w14:textFill>
        </w:rPr>
        <w:t>该部分金额不足以弥补甲方损失的，甲方还有权另行追偿。</w:t>
      </w:r>
    </w:p>
    <w:p w14:paraId="243631FD">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、乙方所交货物（包括但不限于品种、型号、规格、质量、性能）不符合合同规定的，甲方有权拒收，并要求乙方免费予以更换或退货，同时乙方应向甲方支付该批货款金额</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的5%的违约金。若因乙方原因导致乙方无法按照本合同约定供货的，甲方有权单方解除合同，且有权要求乙方支付合同暂定</w:t>
      </w:r>
      <w:r>
        <w:rPr>
          <w:rFonts w:hint="eastAsia" w:ascii="宋体" w:hAnsi="宋体" w:eastAsia="宋体" w:cs="Times New Roman"/>
          <w:bCs/>
          <w:color w:val="000000" w:themeColor="text1"/>
          <w:szCs w:val="21"/>
          <w:highlight w:val="none"/>
          <w14:textFill>
            <w14:solidFill>
              <w14:schemeClr w14:val="tx1"/>
            </w14:solidFill>
          </w14:textFill>
        </w:rPr>
        <w:t>总</w:t>
      </w:r>
      <w:r>
        <w:rPr>
          <w:rFonts w:hint="eastAsia" w:ascii="宋体" w:hAnsi="宋体" w:eastAsia="宋体" w:cs="Times New Roman"/>
          <w:color w:val="000000" w:themeColor="text1"/>
          <w:szCs w:val="21"/>
          <w:highlight w:val="none"/>
          <w14:textFill>
            <w14:solidFill>
              <w14:schemeClr w14:val="tx1"/>
            </w14:solidFill>
          </w14:textFill>
        </w:rPr>
        <w:t>价</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u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14:textFill>
            <w14:solidFill>
              <w14:schemeClr w14:val="tx1"/>
            </w14:solidFill>
          </w14:textFill>
        </w:rPr>
        <w:t>【</w:t>
      </w:r>
      <w:r>
        <w:rPr>
          <w:rFonts w:ascii="Times New Roman" w:hAnsi="宋体" w:eastAsia="宋体" w:cs="Times New Roman"/>
          <w:color w:val="000000" w:themeColor="text1"/>
          <w:szCs w:val="21"/>
          <w:highlight w:val="none"/>
          <w14:textFill>
            <w14:solidFill>
              <w14:schemeClr w14:val="tx1"/>
            </w14:solidFill>
          </w14:textFill>
        </w:rPr>
        <w:t>20</w:t>
      </w:r>
      <w:r>
        <w:rPr>
          <w:rFonts w:hint="eastAsia" w:ascii="Times New Roman"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的违约金。</w:t>
      </w:r>
    </w:p>
    <w:p w14:paraId="3A593E2C">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、乙方未按约定履行培训或售后服务义务的，甲方有权要求限期改正，如逾期仍未改正的，甲方有权解除合同，且剩余款项无需再支付，同时甲方有权没收履约担保。</w:t>
      </w:r>
    </w:p>
    <w:p w14:paraId="69C23B42">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、无论是否在质保期内，因货物质量问题发生安全事故或引起其他损失、造成不良后果的，乙方应承担全部责任及损失赔偿。</w:t>
      </w:r>
    </w:p>
    <w:p w14:paraId="26E356DB">
      <w:pPr>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货物质量存在问题的，如甲方选择继续要货，乙方须在甲方指定的期限内交付符合合同质量标准的货物（甲方验收确认合格后，由乙方提回原不合格货物），因此构成迟延交货的，乙方并须承担迟延交货违约责任</w:t>
      </w:r>
      <w:r>
        <w:rPr>
          <w:rFonts w:hint="eastAsia" w:ascii="Times New Roman" w:hAnsi="宋体" w:eastAsia="宋体" w:cs="Times New Roman"/>
          <w:color w:val="000000" w:themeColor="text1"/>
          <w:szCs w:val="21"/>
          <w:highlight w:val="none"/>
          <w:lang w:eastAsia="zh-CN"/>
          <w14:textFill>
            <w14:solidFill>
              <w14:schemeClr w14:val="tx1"/>
            </w14:solidFill>
          </w14:textFill>
        </w:rPr>
        <w:t>，即每逾期一日，乙方应按合同</w:t>
      </w:r>
      <w:r>
        <w:rPr>
          <w:rFonts w:hint="eastAsia" w:ascii="Times New Roman" w:hAnsi="宋体" w:eastAsia="宋体" w:cs="Times New Roman"/>
          <w:color w:val="000000" w:themeColor="text1"/>
          <w:szCs w:val="21"/>
          <w:highlight w:val="none"/>
          <w:lang w:val="en-US" w:eastAsia="zh-CN"/>
          <w14:textFill>
            <w14:solidFill>
              <w14:schemeClr w14:val="tx1"/>
            </w14:solidFill>
          </w14:textFill>
        </w:rPr>
        <w:t>暂定</w:t>
      </w:r>
      <w:r>
        <w:rPr>
          <w:rFonts w:hint="eastAsia" w:ascii="Times New Roman" w:hAnsi="宋体" w:eastAsia="宋体" w:cs="Times New Roman"/>
          <w:color w:val="000000" w:themeColor="text1"/>
          <w:szCs w:val="21"/>
          <w:highlight w:val="none"/>
          <w:lang w:eastAsia="zh-CN"/>
          <w14:textFill>
            <w14:solidFill>
              <w14:schemeClr w14:val="tx1"/>
            </w14:solidFill>
          </w14:textFill>
        </w:rPr>
        <w:t>总价</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lang w:eastAsia="zh-CN"/>
          <w14:textFill>
            <w14:solidFill>
              <w14:schemeClr w14:val="tx1"/>
            </w14:solidFill>
          </w14:textFill>
        </w:rPr>
        <w:t>的【5</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lang w:eastAsia="zh-CN"/>
          <w14:textFill>
            <w14:solidFill>
              <w14:schemeClr w14:val="tx1"/>
            </w14:solidFill>
          </w14:textFill>
        </w:rPr>
        <w:t>】向甲方支付违约金。乙方逾期超过30 日的，甲方可单方解除本合同，无论甲方是否解除本合同，乙方除支付前述逾期违约金外，还应按合同</w:t>
      </w:r>
      <w:r>
        <w:rPr>
          <w:rFonts w:hint="eastAsia" w:ascii="Times New Roman" w:hAnsi="宋体" w:eastAsia="宋体" w:cs="Times New Roman"/>
          <w:color w:val="000000" w:themeColor="text1"/>
          <w:szCs w:val="21"/>
          <w:highlight w:val="none"/>
          <w:lang w:val="en-US" w:eastAsia="zh-CN"/>
          <w14:textFill>
            <w14:solidFill>
              <w14:schemeClr w14:val="tx1"/>
            </w14:solidFill>
          </w14:textFill>
        </w:rPr>
        <w:t>暂定</w:t>
      </w:r>
      <w:r>
        <w:rPr>
          <w:rFonts w:hint="eastAsia" w:ascii="Times New Roman" w:hAnsi="宋体" w:eastAsia="宋体" w:cs="Times New Roman"/>
          <w:color w:val="000000" w:themeColor="text1"/>
          <w:szCs w:val="21"/>
          <w:highlight w:val="none"/>
          <w:lang w:eastAsia="zh-CN"/>
          <w14:textFill>
            <w14:solidFill>
              <w14:schemeClr w14:val="tx1"/>
            </w14:solidFill>
          </w14:textFill>
        </w:rPr>
        <w:t>总价（含</w:t>
      </w:r>
      <w:r>
        <w:rPr>
          <w:rFonts w:hint="eastAsia" w:ascii="Times New Roman" w:hAnsi="宋体" w:eastAsia="宋体" w:cs="Times New Roman"/>
          <w:color w:val="000000" w:themeColor="text1"/>
          <w:szCs w:val="21"/>
          <w:highlight w:val="none"/>
          <w14:textFill>
            <w14:solidFill>
              <w14:schemeClr w14:val="tx1"/>
            </w14:solidFill>
          </w14:textFill>
        </w:rPr>
        <w:t>销项税额</w:t>
      </w:r>
      <w:r>
        <w:rPr>
          <w:rFonts w:hint="eastAsia" w:ascii="Times New Roman" w:hAnsi="宋体" w:eastAsia="宋体" w:cs="Times New Roman"/>
          <w:color w:val="000000" w:themeColor="text1"/>
          <w:szCs w:val="21"/>
          <w:highlight w:val="none"/>
          <w:lang w:eastAsia="zh-CN"/>
          <w14:textFill>
            <w14:solidFill>
              <w14:schemeClr w14:val="tx1"/>
            </w14:solidFill>
          </w14:textFill>
        </w:rPr>
        <w:t>）的【5</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lang w:eastAsia="zh-CN"/>
          <w14:textFill>
            <w14:solidFill>
              <w14:schemeClr w14:val="tx1"/>
            </w14:solidFill>
          </w14:textFill>
        </w:rPr>
        <w:t>】向甲方支付赔偿金。该部分金额不足以弥补甲方损失的，甲方还有权另行追偿</w:t>
      </w:r>
      <w:r>
        <w:rPr>
          <w:rFonts w:hint="eastAsia" w:ascii="Times New Roman" w:hAnsi="宋体" w:eastAsia="宋体" w:cs="Times New Roman"/>
          <w:color w:val="000000" w:themeColor="text1"/>
          <w:szCs w:val="21"/>
          <w:highlight w:val="none"/>
          <w:lang w:eastAsia="zh-Hans"/>
          <w14:textFill>
            <w14:solidFill>
              <w14:schemeClr w14:val="tx1"/>
            </w14:solidFill>
          </w14:textFill>
        </w:rPr>
        <w:t>。甲方决定解除合同的，或货物内在质量存在问题，造成甲方或第三人损失的，乙方须负责赔偿因此而造成甲方的一切损失（包括直接和间接损失，以及造成甲方、第三方人身、财产损害）。</w:t>
      </w:r>
    </w:p>
    <w:p w14:paraId="27A2396B">
      <w:pPr>
        <w:snapToGrid w:val="0"/>
        <w:spacing w:line="360" w:lineRule="auto"/>
        <w:ind w:firstLine="371" w:firstLineChars="177"/>
        <w:rPr>
          <w:rFonts w:hint="eastAsia" w:ascii="Times New Roman" w:hAnsi="宋体" w:eastAsia="宋体" w:cs="Times New Roman"/>
          <w:color w:val="000000" w:themeColor="text1"/>
          <w:szCs w:val="21"/>
          <w:highlight w:val="none"/>
          <w:lang w:val="en-US" w:eastAsia="zh-CN"/>
          <w14:textFill>
            <w14:solidFill>
              <w14:schemeClr w14:val="tx1"/>
            </w14:solidFill>
          </w14:textFill>
        </w:rPr>
      </w:pP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6、在</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质保期内</w:t>
      </w:r>
      <w:r>
        <w:rPr>
          <w:rFonts w:hint="eastAsia" w:ascii="Times New Roman" w:hAnsi="宋体" w:eastAsia="宋体" w:cs="Times New Roman"/>
          <w:color w:val="000000" w:themeColor="text1"/>
          <w:sz w:val="21"/>
          <w:szCs w:val="21"/>
          <w:highlight w:val="none"/>
          <w:lang w:eastAsia="zh-CN"/>
          <w14:textFill>
            <w14:solidFill>
              <w14:schemeClr w14:val="tx1"/>
            </w14:solidFill>
          </w14:textFill>
        </w:rPr>
        <w:t>，</w:t>
      </w: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乙方</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接到</w:t>
      </w: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甲方</w:t>
      </w:r>
      <w:r>
        <w:rPr>
          <w:rFonts w:hint="eastAsia" w:ascii="Times New Roman" w:hAnsi="宋体" w:eastAsia="宋体" w:cs="Times New Roman"/>
          <w:color w:val="000000" w:themeColor="text1"/>
          <w:sz w:val="21"/>
          <w:szCs w:val="21"/>
          <w:highlight w:val="none"/>
          <w:lang w:eastAsia="zh-Hans"/>
          <w14:textFill>
            <w14:solidFill>
              <w14:schemeClr w14:val="tx1"/>
            </w14:solidFill>
          </w14:textFill>
        </w:rPr>
        <w:t>售后通知并要求到现场处理的，</w:t>
      </w:r>
      <w:r>
        <w:rPr>
          <w:rFonts w:hint="eastAsia" w:ascii="Times New Roman" w:hAnsi="宋体" w:eastAsia="宋体" w:cs="Times New Roman"/>
          <w:color w:val="000000" w:themeColor="text1"/>
          <w:szCs w:val="21"/>
          <w:highlight w:val="none"/>
          <w:lang w:eastAsia="zh-Hans"/>
          <w14:textFill>
            <w14:solidFill>
              <w14:schemeClr w14:val="tx1"/>
            </w14:solidFill>
          </w14:textFill>
        </w:rPr>
        <w:t>乙方须</w:t>
      </w:r>
      <w:r>
        <w:rPr>
          <w:rFonts w:hint="eastAsia" w:ascii="宋体" w:hAnsi="宋体" w:eastAsia="宋体" w:cs="Times New Roman"/>
          <w:color w:val="000000" w:themeColor="text1"/>
          <w:szCs w:val="21"/>
          <w:highlight w:val="none"/>
          <w14:textFill>
            <w14:solidFill>
              <w14:schemeClr w14:val="tx1"/>
            </w14:solidFill>
          </w14:textFill>
        </w:rPr>
        <w:t>按本合同第</w:t>
      </w:r>
      <w:r>
        <w:rPr>
          <w:rFonts w:hint="eastAsia" w:ascii="宋体" w:hAnsi="宋体" w:eastAsia="宋体" w:cs="Times New Roman"/>
          <w:color w:val="000000" w:themeColor="text1"/>
          <w:szCs w:val="21"/>
          <w:highlight w:val="none"/>
          <w:lang w:val="en-US" w:eastAsia="zh-CN"/>
          <w14:textFill>
            <w14:solidFill>
              <w14:schemeClr w14:val="tx1"/>
            </w14:solidFill>
          </w14:textFill>
        </w:rPr>
        <w:t>五</w:t>
      </w:r>
      <w:r>
        <w:rPr>
          <w:rFonts w:hint="eastAsia" w:ascii="宋体" w:hAnsi="宋体" w:eastAsia="宋体" w:cs="Times New Roman"/>
          <w:color w:val="000000" w:themeColor="text1"/>
          <w:szCs w:val="21"/>
          <w:highlight w:val="none"/>
          <w14:textFill>
            <w14:solidFill>
              <w14:schemeClr w14:val="tx1"/>
            </w14:solidFill>
          </w14:textFill>
        </w:rPr>
        <w:t>条第</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款</w:t>
      </w:r>
      <w:r>
        <w:rPr>
          <w:rFonts w:hint="eastAsia" w:ascii="宋体" w:hAnsi="宋体" w:eastAsia="宋体" w:cs="Times New Roman"/>
          <w:color w:val="000000" w:themeColor="text1"/>
          <w:szCs w:val="21"/>
          <w:highlight w:val="none"/>
          <w:lang w:val="en-US" w:eastAsia="zh-CN"/>
          <w14:textFill>
            <w14:solidFill>
              <w14:schemeClr w14:val="tx1"/>
            </w14:solidFill>
          </w14:textFill>
        </w:rPr>
        <w:t>时间规定到达现场</w:t>
      </w:r>
      <w:r>
        <w:rPr>
          <w:rFonts w:hint="eastAsia" w:ascii="Times New Roman" w:hAnsi="宋体" w:eastAsia="宋体" w:cs="Times New Roman"/>
          <w:color w:val="000000" w:themeColor="text1"/>
          <w:sz w:val="21"/>
          <w:szCs w:val="21"/>
          <w:highlight w:val="none"/>
          <w:lang w:eastAsia="zh-CN"/>
          <w14:textFill>
            <w14:solidFill>
              <w14:schemeClr w14:val="tx1"/>
            </w14:solidFill>
          </w14:textFill>
        </w:rPr>
        <w:t>，</w:t>
      </w:r>
      <w:r>
        <w:rPr>
          <w:rFonts w:hint="eastAsia" w:ascii="Times New Roman" w:hAnsi="宋体" w:eastAsia="宋体" w:cs="Times New Roman"/>
          <w:color w:val="000000" w:themeColor="text1"/>
          <w:szCs w:val="21"/>
          <w:highlight w:val="none"/>
          <w:lang w:val="en-US" w:eastAsia="zh-CN"/>
          <w14:textFill>
            <w14:solidFill>
              <w14:schemeClr w14:val="tx1"/>
            </w14:solidFill>
          </w14:textFill>
        </w:rPr>
        <w:t>若</w:t>
      </w:r>
      <w:r>
        <w:rPr>
          <w:rFonts w:hint="default" w:ascii="Times New Roman" w:hAnsi="宋体" w:eastAsia="宋体" w:cs="Times New Roman"/>
          <w:color w:val="000000" w:themeColor="text1"/>
          <w:szCs w:val="21"/>
          <w:highlight w:val="none"/>
          <w:lang w:val="en-US" w:eastAsia="zh-CN"/>
          <w14:textFill>
            <w14:solidFill>
              <w14:schemeClr w14:val="tx1"/>
            </w14:solidFill>
          </w14:textFill>
        </w:rPr>
        <w:t>迟延</w:t>
      </w:r>
      <w:r>
        <w:rPr>
          <w:rFonts w:hint="eastAsia" w:ascii="Times New Roman" w:hAnsi="宋体" w:eastAsia="宋体" w:cs="Times New Roman"/>
          <w:color w:val="000000" w:themeColor="text1"/>
          <w:szCs w:val="21"/>
          <w:highlight w:val="none"/>
          <w:lang w:val="en-US" w:eastAsia="zh-CN"/>
          <w14:textFill>
            <w14:solidFill>
              <w14:schemeClr w14:val="tx1"/>
            </w14:solidFill>
          </w14:textFill>
        </w:rPr>
        <w:t>到达现场</w:t>
      </w:r>
      <w:r>
        <w:rPr>
          <w:rFonts w:hint="eastAsia" w:ascii="Times New Roman" w:hAnsi="宋体" w:eastAsia="宋体" w:cs="Times New Roman"/>
          <w:color w:val="000000" w:themeColor="text1"/>
          <w:szCs w:val="21"/>
          <w:highlight w:val="none"/>
          <w:lang w:eastAsia="zh-Hans"/>
          <w14:textFill>
            <w14:solidFill>
              <w14:schemeClr w14:val="tx1"/>
            </w14:solidFill>
          </w14:textFill>
        </w:rPr>
        <w:t>的</w:t>
      </w:r>
      <w:r>
        <w:rPr>
          <w:rFonts w:hint="eastAsia" w:ascii="Times New Roman" w:hAnsi="宋体"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乙方并须承担</w:t>
      </w:r>
      <w:r>
        <w:rPr>
          <w:rFonts w:hint="eastAsia" w:ascii="Times New Roman" w:hAnsi="宋体" w:eastAsia="宋体" w:cs="Times New Roman"/>
          <w:color w:val="000000" w:themeColor="text1"/>
          <w:szCs w:val="21"/>
          <w:highlight w:val="none"/>
          <w:lang w:val="en-US" w:eastAsia="zh-CN"/>
          <w14:textFill>
            <w14:solidFill>
              <w14:schemeClr w14:val="tx1"/>
            </w14:solidFill>
          </w14:textFill>
        </w:rPr>
        <w:t>逾期</w:t>
      </w:r>
      <w:r>
        <w:rPr>
          <w:rFonts w:hint="eastAsia" w:ascii="Times New Roman" w:hAnsi="宋体" w:eastAsia="宋体" w:cs="Times New Roman"/>
          <w:color w:val="000000" w:themeColor="text1"/>
          <w:szCs w:val="21"/>
          <w:highlight w:val="none"/>
          <w:lang w:eastAsia="zh-Hans"/>
          <w14:textFill>
            <w14:solidFill>
              <w14:schemeClr w14:val="tx1"/>
            </w14:solidFill>
          </w14:textFill>
        </w:rPr>
        <w:t>违约责任</w:t>
      </w:r>
      <w:r>
        <w:rPr>
          <w:rFonts w:hint="eastAsia" w:ascii="Times New Roman" w:hAnsi="宋体" w:eastAsia="宋体" w:cs="Times New Roman"/>
          <w:color w:val="000000" w:themeColor="text1"/>
          <w:szCs w:val="21"/>
          <w:highlight w:val="none"/>
          <w:lang w:eastAsia="zh-CN"/>
          <w14:textFill>
            <w14:solidFill>
              <w14:schemeClr w14:val="tx1"/>
            </w14:solidFill>
          </w14:textFill>
        </w:rPr>
        <w:t>，即每逾期一</w:t>
      </w:r>
      <w:r>
        <w:rPr>
          <w:rFonts w:hint="eastAsia" w:ascii="Times New Roman" w:hAnsi="宋体" w:eastAsia="宋体" w:cs="Times New Roman"/>
          <w:color w:val="000000" w:themeColor="text1"/>
          <w:szCs w:val="21"/>
          <w:highlight w:val="none"/>
          <w:lang w:val="en-US" w:eastAsia="zh-CN"/>
          <w14:textFill>
            <w14:solidFill>
              <w14:schemeClr w14:val="tx1"/>
            </w14:solidFill>
          </w14:textFill>
        </w:rPr>
        <w:t>次</w:t>
      </w:r>
      <w:r>
        <w:rPr>
          <w:rFonts w:hint="eastAsia" w:ascii="Times New Roman" w:hAnsi="宋体" w:eastAsia="宋体" w:cs="Times New Roman"/>
          <w:color w:val="000000" w:themeColor="text1"/>
          <w:szCs w:val="21"/>
          <w:highlight w:val="none"/>
          <w:lang w:eastAsia="zh-CN"/>
          <w14:textFill>
            <w14:solidFill>
              <w14:schemeClr w14:val="tx1"/>
            </w14:solidFill>
          </w14:textFill>
        </w:rPr>
        <w:t>，乙方应按合同</w:t>
      </w:r>
      <w:r>
        <w:rPr>
          <w:rFonts w:hint="eastAsia" w:ascii="Times New Roman" w:hAnsi="宋体" w:eastAsia="宋体" w:cs="Times New Roman"/>
          <w:color w:val="000000" w:themeColor="text1"/>
          <w:szCs w:val="21"/>
          <w:highlight w:val="none"/>
          <w:lang w:val="en-US" w:eastAsia="zh-CN"/>
          <w14:textFill>
            <w14:solidFill>
              <w14:schemeClr w14:val="tx1"/>
            </w14:solidFill>
          </w14:textFill>
        </w:rPr>
        <w:t>暂定</w:t>
      </w:r>
      <w:r>
        <w:rPr>
          <w:rFonts w:hint="eastAsia" w:ascii="Times New Roman" w:hAnsi="宋体" w:eastAsia="宋体" w:cs="Times New Roman"/>
          <w:color w:val="000000" w:themeColor="text1"/>
          <w:szCs w:val="21"/>
          <w:highlight w:val="none"/>
          <w:lang w:eastAsia="zh-CN"/>
          <w14:textFill>
            <w14:solidFill>
              <w14:schemeClr w14:val="tx1"/>
            </w14:solidFill>
          </w14:textFill>
        </w:rPr>
        <w:t>总价（含</w:t>
      </w:r>
      <w:r>
        <w:rPr>
          <w:rFonts w:hint="eastAsia" w:ascii="Times New Roman" w:hAnsi="宋体" w:eastAsia="宋体" w:cs="Times New Roman"/>
          <w:color w:val="000000" w:themeColor="text1"/>
          <w:szCs w:val="21"/>
          <w:highlight w:val="none"/>
          <w14:textFill>
            <w14:solidFill>
              <w14:schemeClr w14:val="tx1"/>
            </w14:solidFill>
          </w14:textFill>
        </w:rPr>
        <w:t>销项税额</w:t>
      </w:r>
      <w:r>
        <w:rPr>
          <w:rFonts w:hint="eastAsia" w:ascii="Times New Roman" w:hAnsi="宋体" w:eastAsia="宋体" w:cs="Times New Roman"/>
          <w:color w:val="000000" w:themeColor="text1"/>
          <w:szCs w:val="21"/>
          <w:highlight w:val="none"/>
          <w:lang w:eastAsia="zh-CN"/>
          <w14:textFill>
            <w14:solidFill>
              <w14:schemeClr w14:val="tx1"/>
            </w14:solidFill>
          </w14:textFill>
        </w:rPr>
        <w:t>）的【5</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lang w:eastAsia="zh-CN"/>
          <w14:textFill>
            <w14:solidFill>
              <w14:schemeClr w14:val="tx1"/>
            </w14:solidFill>
          </w14:textFill>
        </w:rPr>
        <w:t>】向甲方支付违约金，该部分金额不足以弥补甲方损失的，甲方还有权另行追偿；</w:t>
      </w:r>
      <w:r>
        <w:rPr>
          <w:rFonts w:hint="eastAsia" w:ascii="Times New Roman" w:hAnsi="宋体" w:eastAsia="宋体" w:cs="Times New Roman"/>
          <w:color w:val="000000" w:themeColor="text1"/>
          <w:szCs w:val="21"/>
          <w:highlight w:val="none"/>
          <w:lang w:val="en-US" w:eastAsia="zh-CN"/>
          <w14:textFill>
            <w14:solidFill>
              <w14:schemeClr w14:val="tx1"/>
            </w14:solidFill>
          </w14:textFill>
        </w:rPr>
        <w:t>同时，若因逾期到达现场进行售后而</w:t>
      </w:r>
      <w:r>
        <w:rPr>
          <w:rFonts w:hint="eastAsia" w:ascii="Times New Roman" w:hAnsi="宋体" w:eastAsia="宋体" w:cs="Times New Roman"/>
          <w:color w:val="000000" w:themeColor="text1"/>
          <w:szCs w:val="21"/>
          <w:highlight w:val="none"/>
          <w:lang w:eastAsia="zh-Hans"/>
          <w14:textFill>
            <w14:solidFill>
              <w14:schemeClr w14:val="tx1"/>
            </w14:solidFill>
          </w14:textFill>
        </w:rPr>
        <w:t>造成甲方或第三人损失的，乙方须负责赔偿因此而造成甲方的一切损失（包括直接和间接损失，以及造成甲方、第三方人身、财产损害）。</w:t>
      </w:r>
    </w:p>
    <w:p w14:paraId="74A9272F">
      <w:pPr>
        <w:snapToGrid w:val="0"/>
        <w:spacing w:line="360" w:lineRule="auto"/>
        <w:ind w:firstLine="371" w:firstLineChars="177"/>
        <w:rPr>
          <w:rFonts w:ascii="Times New Roman" w:hAnsi="宋体" w:eastAsia="宋体" w:cs="Times New Roman"/>
          <w:color w:val="000000" w:themeColor="text1"/>
          <w:szCs w:val="21"/>
          <w:highlight w:val="none"/>
          <w:lang w:eastAsia="zh-Hans"/>
          <w14:textFill>
            <w14:solidFill>
              <w14:schemeClr w14:val="tx1"/>
            </w14:solidFill>
          </w14:textFill>
        </w:rPr>
      </w:pPr>
      <w:r>
        <w:rPr>
          <w:rFonts w:hint="eastAsia" w:ascii="Times New Roman" w:hAnsi="宋体" w:eastAsia="宋体" w:cs="Times New Roman"/>
          <w:color w:val="000000" w:themeColor="text1"/>
          <w:szCs w:val="21"/>
          <w:highlight w:val="none"/>
          <w:lang w:val="en-US" w:eastAsia="zh-CN"/>
          <w14:textFill>
            <w14:solidFill>
              <w14:schemeClr w14:val="tx1"/>
            </w14:solidFill>
          </w14:textFill>
        </w:rPr>
        <w:t>7</w:t>
      </w:r>
      <w:r>
        <w:rPr>
          <w:rFonts w:ascii="Times New Roman" w:hAnsi="宋体" w:eastAsia="宋体" w:cs="Times New Roman"/>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在本合同履行期限内</w:t>
      </w:r>
      <w:r>
        <w:rPr>
          <w:rFonts w:ascii="Times New Roman" w:hAnsi="宋体" w:eastAsia="宋体" w:cs="Times New Roman"/>
          <w:color w:val="000000" w:themeColor="text1"/>
          <w:szCs w:val="21"/>
          <w:highlight w:val="none"/>
          <w:lang w:eastAsia="zh-Hans"/>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乙方未经甲方书面同意即将本合同约定项下的全部项目或部分项目转包给第三方的</w:t>
      </w:r>
      <w:r>
        <w:rPr>
          <w:rFonts w:ascii="Times New Roman" w:hAnsi="宋体" w:eastAsia="宋体" w:cs="Times New Roman"/>
          <w:color w:val="000000" w:themeColor="text1"/>
          <w:szCs w:val="21"/>
          <w:highlight w:val="none"/>
          <w:lang w:eastAsia="zh-Hans"/>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甲方有权单方解除本合同且要求乙方按合同</w:t>
      </w:r>
      <w:r>
        <w:rPr>
          <w:rFonts w:hint="eastAsia" w:ascii="Times New Roman" w:hAnsi="宋体" w:eastAsia="宋体" w:cs="Times New Roman"/>
          <w:color w:val="000000" w:themeColor="text1"/>
          <w:szCs w:val="21"/>
          <w:highlight w:val="none"/>
          <w14:textFill>
            <w14:solidFill>
              <w14:schemeClr w14:val="tx1"/>
            </w14:solidFill>
          </w14:textFill>
        </w:rPr>
        <w:t>暂定</w:t>
      </w:r>
      <w:r>
        <w:rPr>
          <w:rFonts w:hint="eastAsia" w:ascii="宋体" w:hAnsi="宋体" w:eastAsia="宋体" w:cs="Times New Roman"/>
          <w:color w:val="000000" w:themeColor="text1"/>
          <w:szCs w:val="21"/>
          <w:highlight w:val="none"/>
          <w14:textFill>
            <w14:solidFill>
              <w14:schemeClr w14:val="tx1"/>
            </w14:solidFill>
          </w14:textFill>
        </w:rPr>
        <w:t>总</w:t>
      </w:r>
      <w:r>
        <w:rPr>
          <w:rFonts w:hint="eastAsia" w:ascii="Times New Roman" w:hAnsi="宋体" w:eastAsia="宋体" w:cs="Times New Roman"/>
          <w:color w:val="000000" w:themeColor="text1"/>
          <w:szCs w:val="21"/>
          <w:highlight w:val="none"/>
          <w14:textFill>
            <w14:solidFill>
              <w14:schemeClr w14:val="tx1"/>
            </w14:solidFill>
          </w14:textFill>
        </w:rPr>
        <w:t>价</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u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的</w:t>
      </w:r>
      <w:r>
        <w:rPr>
          <w:rFonts w:ascii="Times New Roman" w:hAnsi="宋体" w:eastAsia="宋体" w:cs="Times New Roman"/>
          <w:color w:val="000000" w:themeColor="text1"/>
          <w:szCs w:val="21"/>
          <w:highlight w:val="none"/>
          <w:lang w:eastAsia="zh-Hans"/>
          <w14:textFill>
            <w14:solidFill>
              <w14:schemeClr w14:val="tx1"/>
            </w14:solidFill>
          </w14:textFill>
        </w:rPr>
        <w:t>【20%】</w:t>
      </w:r>
      <w:r>
        <w:rPr>
          <w:rFonts w:hint="eastAsia" w:ascii="Times New Roman" w:hAnsi="宋体" w:eastAsia="宋体" w:cs="Times New Roman"/>
          <w:color w:val="000000" w:themeColor="text1"/>
          <w:szCs w:val="21"/>
          <w:highlight w:val="none"/>
          <w:lang w:eastAsia="zh-Hans"/>
          <w14:textFill>
            <w14:solidFill>
              <w14:schemeClr w14:val="tx1"/>
            </w14:solidFill>
          </w14:textFill>
        </w:rPr>
        <w:t>承担违约责任</w:t>
      </w:r>
      <w:r>
        <w:rPr>
          <w:rFonts w:ascii="Times New Roman" w:hAnsi="宋体" w:eastAsia="宋体" w:cs="Times New Roman"/>
          <w:color w:val="000000" w:themeColor="text1"/>
          <w:szCs w:val="21"/>
          <w:highlight w:val="none"/>
          <w:lang w:eastAsia="zh-Hans"/>
          <w14:textFill>
            <w14:solidFill>
              <w14:schemeClr w14:val="tx1"/>
            </w14:solidFill>
          </w14:textFill>
        </w:rPr>
        <w:t>。</w:t>
      </w:r>
    </w:p>
    <w:p w14:paraId="6D514C66">
      <w:pPr>
        <w:snapToGrid w:val="0"/>
        <w:spacing w:line="360" w:lineRule="auto"/>
        <w:ind w:firstLine="371" w:firstLineChars="177"/>
        <w:rPr>
          <w:rFonts w:hint="eastAsia" w:ascii="Times New Roman" w:hAnsi="宋体" w:eastAsia="宋体" w:cs="Times New Roman"/>
          <w:color w:val="000000" w:themeColor="text1"/>
          <w:szCs w:val="21"/>
          <w:highlight w:val="none"/>
          <w:lang w:val="en-US" w:eastAsia="zh-CN"/>
          <w14:textFill>
            <w14:solidFill>
              <w14:schemeClr w14:val="tx1"/>
            </w14:solidFill>
          </w14:textFill>
        </w:rPr>
      </w:pPr>
      <w:r>
        <w:rPr>
          <w:rFonts w:hint="eastAsia" w:ascii="Times New Roman" w:hAnsi="宋体" w:eastAsia="宋体" w:cs="Times New Roman"/>
          <w:color w:val="000000" w:themeColor="text1"/>
          <w:szCs w:val="21"/>
          <w:highlight w:val="none"/>
          <w:lang w:val="en-US" w:eastAsia="zh-CN"/>
          <w14:textFill>
            <w14:solidFill>
              <w14:schemeClr w14:val="tx1"/>
            </w14:solidFill>
          </w14:textFill>
        </w:rPr>
        <w:t>8、质保期内，如货物发生质量问题导致不能正常使用的，在收到甲方通知后，乙方须在7天内免费为甲方解决货物故障或无偿更换货物，否则，乙方须按出现质量问题货物款项的200%（含</w:t>
      </w:r>
      <w:r>
        <w:rPr>
          <w:rFonts w:hint="eastAsia" w:ascii="Times New Roman" w:hAnsi="宋体" w:eastAsia="宋体" w:cs="Times New Roman"/>
          <w:color w:val="000000" w:themeColor="text1"/>
          <w:szCs w:val="21"/>
          <w:highlight w:val="none"/>
          <w14:textFill>
            <w14:solidFill>
              <w14:schemeClr w14:val="tx1"/>
            </w14:solidFill>
          </w14:textFill>
        </w:rPr>
        <w:t>销项税额</w:t>
      </w:r>
      <w:r>
        <w:rPr>
          <w:rFonts w:hint="eastAsia" w:ascii="Times New Roman" w:hAnsi="宋体" w:eastAsia="宋体" w:cs="Times New Roman"/>
          <w:color w:val="000000" w:themeColor="text1"/>
          <w:szCs w:val="21"/>
          <w:highlight w:val="none"/>
          <w:lang w:val="en-US" w:eastAsia="zh-CN"/>
          <w14:textFill>
            <w14:solidFill>
              <w14:schemeClr w14:val="tx1"/>
            </w14:solidFill>
          </w14:textFill>
        </w:rPr>
        <w:t>）进行赔付给甲方。乙方逾期未支付的，每逾期 10 日加收未赔付款项【20%】的违约金，且甲方有权在未支付款项中扣除赔付款项。</w:t>
      </w:r>
    </w:p>
    <w:p w14:paraId="08E61B89">
      <w:pPr>
        <w:snapToGrid w:val="0"/>
        <w:spacing w:line="360" w:lineRule="auto"/>
        <w:ind w:firstLine="371" w:firstLineChars="177"/>
        <w:rPr>
          <w:rFonts w:ascii="Times New Roman" w:hAnsi="宋体" w:eastAsia="宋体" w:cs="Times New Roman"/>
          <w:color w:val="000000" w:themeColor="text1"/>
          <w:szCs w:val="21"/>
          <w:highlight w:val="none"/>
          <w:lang w:eastAsia="zh-Hans"/>
          <w14:textFill>
            <w14:solidFill>
              <w14:schemeClr w14:val="tx1"/>
            </w14:solidFill>
          </w14:textFill>
        </w:rPr>
      </w:pPr>
      <w:r>
        <w:rPr>
          <w:rFonts w:hint="eastAsia" w:ascii="Times New Roman" w:hAnsi="宋体" w:eastAsia="宋体" w:cs="Times New Roman"/>
          <w:color w:val="000000" w:themeColor="text1"/>
          <w:szCs w:val="21"/>
          <w:highlight w:val="none"/>
          <w:lang w:val="en-US" w:eastAsia="zh-CN"/>
          <w14:textFill>
            <w14:solidFill>
              <w14:schemeClr w14:val="tx1"/>
            </w14:solidFill>
          </w14:textFill>
        </w:rPr>
        <w:t>9</w:t>
      </w:r>
      <w:r>
        <w:rPr>
          <w:rFonts w:hint="eastAsia" w:ascii="Times New Roman" w:hAnsi="宋体" w:eastAsia="宋体" w:cs="Times New Roman"/>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乙方违反本合同任意一项约定</w:t>
      </w:r>
      <w:r>
        <w:rPr>
          <w:rFonts w:ascii="Times New Roman" w:hAnsi="宋体" w:eastAsia="宋体" w:cs="Times New Roman"/>
          <w:color w:val="000000" w:themeColor="text1"/>
          <w:szCs w:val="21"/>
          <w:highlight w:val="none"/>
          <w:lang w:eastAsia="zh-Hans"/>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均视为乙方严重违约</w:t>
      </w:r>
      <w:r>
        <w:rPr>
          <w:rFonts w:ascii="Times New Roman" w:hAnsi="宋体" w:eastAsia="宋体" w:cs="Times New Roman"/>
          <w:color w:val="000000" w:themeColor="text1"/>
          <w:szCs w:val="21"/>
          <w:highlight w:val="none"/>
          <w:lang w:eastAsia="zh-Hans"/>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甲方有权单方解除本合同</w:t>
      </w:r>
      <w:r>
        <w:rPr>
          <w:rFonts w:ascii="Times New Roman" w:hAnsi="宋体" w:eastAsia="宋体" w:cs="Times New Roman"/>
          <w:color w:val="000000" w:themeColor="text1"/>
          <w:szCs w:val="21"/>
          <w:highlight w:val="none"/>
          <w:lang w:eastAsia="zh-Hans"/>
          <w14:textFill>
            <w14:solidFill>
              <w14:schemeClr w14:val="tx1"/>
            </w14:solidFill>
          </w14:textFill>
        </w:rPr>
        <w:t>、</w:t>
      </w:r>
      <w:r>
        <w:rPr>
          <w:rFonts w:hint="eastAsia" w:ascii="Times New Roman" w:hAnsi="宋体" w:eastAsia="宋体" w:cs="Times New Roman"/>
          <w:color w:val="000000" w:themeColor="text1"/>
          <w:szCs w:val="21"/>
          <w:highlight w:val="none"/>
          <w:lang w:val="en-US" w:eastAsia="zh-CN"/>
          <w14:textFill>
            <w14:solidFill>
              <w14:schemeClr w14:val="tx1"/>
            </w14:solidFill>
          </w14:textFill>
        </w:rPr>
        <w:t>不予退还</w:t>
      </w:r>
      <w:r>
        <w:rPr>
          <w:rFonts w:hint="eastAsia" w:ascii="Times New Roman" w:hAnsi="宋体" w:eastAsia="宋体" w:cs="Times New Roman"/>
          <w:color w:val="000000" w:themeColor="text1"/>
          <w:szCs w:val="21"/>
          <w:highlight w:val="none"/>
          <w:lang w:eastAsia="zh-Hans"/>
          <w14:textFill>
            <w14:solidFill>
              <w14:schemeClr w14:val="tx1"/>
            </w14:solidFill>
          </w14:textFill>
        </w:rPr>
        <w:t>履约</w:t>
      </w:r>
      <w:r>
        <w:rPr>
          <w:rFonts w:hint="eastAsia" w:ascii="Times New Roman" w:hAnsi="宋体" w:eastAsia="宋体" w:cs="Times New Roman"/>
          <w:color w:val="000000" w:themeColor="text1"/>
          <w:szCs w:val="21"/>
          <w:highlight w:val="none"/>
          <w14:textFill>
            <w14:solidFill>
              <w14:schemeClr w14:val="tx1"/>
            </w14:solidFill>
          </w14:textFill>
        </w:rPr>
        <w:t>担保</w:t>
      </w:r>
      <w:r>
        <w:rPr>
          <w:rFonts w:hint="eastAsia" w:ascii="Times New Roman" w:hAnsi="宋体" w:eastAsia="宋体" w:cs="Times New Roman"/>
          <w:color w:val="000000" w:themeColor="text1"/>
          <w:szCs w:val="21"/>
          <w:highlight w:val="none"/>
          <w:lang w:eastAsia="zh-Hans"/>
          <w14:textFill>
            <w14:solidFill>
              <w14:schemeClr w14:val="tx1"/>
            </w14:solidFill>
          </w14:textFill>
        </w:rPr>
        <w:t>且要求乙方按合同</w:t>
      </w:r>
      <w:r>
        <w:rPr>
          <w:rFonts w:hint="eastAsia" w:ascii="Times New Roman" w:hAnsi="宋体" w:eastAsia="宋体" w:cs="Times New Roman"/>
          <w:color w:val="000000" w:themeColor="text1"/>
          <w:szCs w:val="21"/>
          <w:highlight w:val="none"/>
          <w14:textFill>
            <w14:solidFill>
              <w14:schemeClr w14:val="tx1"/>
            </w14:solidFill>
          </w14:textFill>
        </w:rPr>
        <w:t>暂定</w:t>
      </w:r>
      <w:r>
        <w:rPr>
          <w:rFonts w:hint="eastAsia" w:ascii="宋体" w:hAnsi="宋体" w:eastAsia="宋体" w:cs="Times New Roman"/>
          <w:color w:val="000000" w:themeColor="text1"/>
          <w:szCs w:val="21"/>
          <w:highlight w:val="none"/>
          <w14:textFill>
            <w14:solidFill>
              <w14:schemeClr w14:val="tx1"/>
            </w14:solidFill>
          </w14:textFill>
        </w:rPr>
        <w:t>总</w:t>
      </w:r>
      <w:r>
        <w:rPr>
          <w:rFonts w:hint="eastAsia" w:ascii="Times New Roman" w:hAnsi="宋体" w:eastAsia="宋体" w:cs="Times New Roman"/>
          <w:color w:val="000000" w:themeColor="text1"/>
          <w:szCs w:val="21"/>
          <w:highlight w:val="none"/>
          <w14:textFill>
            <w14:solidFill>
              <w14:schemeClr w14:val="tx1"/>
            </w14:solidFill>
          </w14:textFill>
        </w:rPr>
        <w:t>价</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u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的</w:t>
      </w:r>
      <w:r>
        <w:rPr>
          <w:rFonts w:ascii="Times New Roman" w:hAnsi="宋体" w:eastAsia="宋体" w:cs="Times New Roman"/>
          <w:color w:val="000000" w:themeColor="text1"/>
          <w:szCs w:val="21"/>
          <w:highlight w:val="none"/>
          <w:lang w:eastAsia="zh-Hans"/>
          <w14:textFill>
            <w14:solidFill>
              <w14:schemeClr w14:val="tx1"/>
            </w14:solidFill>
          </w14:textFill>
        </w:rPr>
        <w:t>【20%】</w:t>
      </w:r>
      <w:r>
        <w:rPr>
          <w:rFonts w:hint="eastAsia" w:ascii="Times New Roman" w:hAnsi="宋体" w:eastAsia="宋体" w:cs="Times New Roman"/>
          <w:color w:val="000000" w:themeColor="text1"/>
          <w:szCs w:val="21"/>
          <w:highlight w:val="none"/>
          <w:lang w:eastAsia="zh-Hans"/>
          <w14:textFill>
            <w14:solidFill>
              <w14:schemeClr w14:val="tx1"/>
            </w14:solidFill>
          </w14:textFill>
        </w:rPr>
        <w:t>承担违约责任</w:t>
      </w:r>
      <w:r>
        <w:rPr>
          <w:rFonts w:ascii="Times New Roman" w:hAnsi="宋体" w:eastAsia="宋体" w:cs="Times New Roman"/>
          <w:color w:val="000000" w:themeColor="text1"/>
          <w:szCs w:val="21"/>
          <w:highlight w:val="none"/>
          <w:lang w:eastAsia="zh-Hans"/>
          <w14:textFill>
            <w14:solidFill>
              <w14:schemeClr w14:val="tx1"/>
            </w14:solidFill>
          </w14:textFill>
        </w:rPr>
        <w:t>。</w:t>
      </w:r>
    </w:p>
    <w:p w14:paraId="77B4B1A1">
      <w:pPr>
        <w:snapToGrid w:val="0"/>
        <w:spacing w:line="360" w:lineRule="auto"/>
        <w:ind w:firstLine="371" w:firstLineChars="177"/>
        <w:rPr>
          <w:rFonts w:ascii="Times New Roman" w:hAnsi="宋体" w:eastAsia="宋体" w:cs="Times New Roman"/>
          <w:color w:val="000000" w:themeColor="text1"/>
          <w:szCs w:val="21"/>
          <w:highlight w:val="none"/>
          <w:lang w:eastAsia="zh-Hans"/>
          <w14:textFill>
            <w14:solidFill>
              <w14:schemeClr w14:val="tx1"/>
            </w14:solidFill>
          </w14:textFill>
        </w:rPr>
      </w:pPr>
      <w:r>
        <w:rPr>
          <w:rFonts w:hint="eastAsia" w:ascii="Times New Roman" w:hAnsi="宋体" w:eastAsia="宋体" w:cs="Times New Roman"/>
          <w:color w:val="000000" w:themeColor="text1"/>
          <w:szCs w:val="21"/>
          <w:highlight w:val="none"/>
          <w:lang w:val="en-US" w:eastAsia="zh-CN"/>
          <w14:textFill>
            <w14:solidFill>
              <w14:schemeClr w14:val="tx1"/>
            </w14:solidFill>
          </w14:textFill>
        </w:rPr>
        <w:t>10</w:t>
      </w:r>
      <w:r>
        <w:rPr>
          <w:rFonts w:hint="eastAsia" w:ascii="Times New Roman" w:hAnsi="宋体" w:eastAsia="宋体" w:cs="Times New Roman"/>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因乙方违反本合同约定导致甲方权益受损的</w:t>
      </w:r>
      <w:r>
        <w:rPr>
          <w:rFonts w:ascii="Times New Roman" w:hAnsi="宋体" w:eastAsia="宋体" w:cs="Times New Roman"/>
          <w:color w:val="000000" w:themeColor="text1"/>
          <w:szCs w:val="21"/>
          <w:highlight w:val="none"/>
          <w:lang w:eastAsia="zh-Hans"/>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甲方为维护自身权益所支付的所有费用均由乙方承担</w:t>
      </w:r>
      <w:r>
        <w:rPr>
          <w:rFonts w:ascii="Times New Roman" w:hAnsi="宋体" w:eastAsia="宋体" w:cs="Times New Roman"/>
          <w:color w:val="000000" w:themeColor="text1"/>
          <w:szCs w:val="21"/>
          <w:highlight w:val="none"/>
          <w:lang w:eastAsia="zh-Hans"/>
          <w14:textFill>
            <w14:solidFill>
              <w14:schemeClr w14:val="tx1"/>
            </w14:solidFill>
          </w14:textFill>
        </w:rPr>
        <w:t>，</w:t>
      </w:r>
      <w:r>
        <w:rPr>
          <w:rFonts w:hint="eastAsia" w:ascii="Times New Roman" w:hAnsi="宋体" w:eastAsia="宋体" w:cs="Times New Roman"/>
          <w:color w:val="000000" w:themeColor="text1"/>
          <w:szCs w:val="21"/>
          <w:highlight w:val="none"/>
          <w:lang w:eastAsia="zh-Hans"/>
          <w14:textFill>
            <w14:solidFill>
              <w14:schemeClr w14:val="tx1"/>
            </w14:solidFill>
          </w14:textFill>
        </w:rPr>
        <w:t>包括但不限于甲方为此支付的</w:t>
      </w:r>
      <w:r>
        <w:rPr>
          <w:rFonts w:hint="eastAsia" w:ascii="Times New Roman" w:hAnsi="宋体" w:eastAsia="宋体" w:cs="Times New Roman"/>
          <w:color w:val="000000" w:themeColor="text1"/>
          <w:szCs w:val="21"/>
          <w:highlight w:val="none"/>
          <w14:textFill>
            <w14:solidFill>
              <w14:schemeClr w14:val="tx1"/>
            </w14:solidFill>
          </w14:textFill>
        </w:rPr>
        <w:t>诉讼费、律师费、鉴定费、公证费、交通住宿费</w:t>
      </w:r>
      <w:r>
        <w:rPr>
          <w:rFonts w:hint="eastAsia" w:ascii="宋体" w:hAnsi="宋体" w:eastAsia="宋体" w:cs="Times New Roman"/>
          <w:color w:val="000000" w:themeColor="text1"/>
          <w:szCs w:val="21"/>
          <w:highlight w:val="none"/>
          <w14:textFill>
            <w14:solidFill>
              <w14:schemeClr w14:val="tx1"/>
            </w14:solidFill>
          </w14:textFill>
        </w:rPr>
        <w:t>、财产保全责任保险费、调查取证费</w:t>
      </w:r>
      <w:r>
        <w:rPr>
          <w:rFonts w:hint="eastAsia" w:ascii="Times New Roman" w:hAnsi="宋体" w:eastAsia="宋体" w:cs="Times New Roman"/>
          <w:color w:val="000000" w:themeColor="text1"/>
          <w:szCs w:val="21"/>
          <w:highlight w:val="none"/>
          <w14:textFill>
            <w14:solidFill>
              <w14:schemeClr w14:val="tx1"/>
            </w14:solidFill>
          </w14:textFill>
        </w:rPr>
        <w:t>等全部</w:t>
      </w:r>
      <w:r>
        <w:rPr>
          <w:rFonts w:hint="eastAsia" w:ascii="Times New Roman" w:hAnsi="宋体" w:eastAsia="宋体" w:cs="Times New Roman"/>
          <w:color w:val="000000" w:themeColor="text1"/>
          <w:szCs w:val="21"/>
          <w:highlight w:val="none"/>
          <w:lang w:eastAsia="zh-Hans"/>
          <w14:textFill>
            <w14:solidFill>
              <w14:schemeClr w14:val="tx1"/>
            </w14:solidFill>
          </w14:textFill>
        </w:rPr>
        <w:t>费用</w:t>
      </w:r>
      <w:r>
        <w:rPr>
          <w:rFonts w:ascii="Times New Roman" w:hAnsi="宋体" w:eastAsia="宋体" w:cs="Times New Roman"/>
          <w:color w:val="000000" w:themeColor="text1"/>
          <w:szCs w:val="21"/>
          <w:highlight w:val="none"/>
          <w:lang w:eastAsia="zh-Hans"/>
          <w14:textFill>
            <w14:solidFill>
              <w14:schemeClr w14:val="tx1"/>
            </w14:solidFill>
          </w14:textFill>
        </w:rPr>
        <w:t>。</w:t>
      </w:r>
    </w:p>
    <w:p w14:paraId="6DA86F12">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28232D78">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64" w:name="_Toc10880"/>
      <w:r>
        <w:rPr>
          <w:rFonts w:hint="eastAsia" w:ascii="宋体" w:hAnsi="宋体" w:eastAsia="宋体" w:cs="Times New Roman"/>
          <w:b/>
          <w:color w:val="000000" w:themeColor="text1"/>
          <w:szCs w:val="21"/>
          <w:highlight w:val="none"/>
          <w14:textFill>
            <w14:solidFill>
              <w14:schemeClr w14:val="tx1"/>
            </w14:solidFill>
          </w14:textFill>
        </w:rPr>
        <w:t>第十</w:t>
      </w:r>
      <w:r>
        <w:rPr>
          <w:rFonts w:hint="eastAsia" w:ascii="宋体" w:hAnsi="宋体" w:eastAsia="宋体" w:cs="Times New Roman"/>
          <w:b/>
          <w:color w:val="000000" w:themeColor="text1"/>
          <w:szCs w:val="21"/>
          <w:highlight w:val="none"/>
          <w:lang w:val="en-US" w:eastAsia="zh-CN"/>
          <w14:textFill>
            <w14:solidFill>
              <w14:schemeClr w14:val="tx1"/>
            </w14:solidFill>
          </w14:textFill>
        </w:rPr>
        <w:t>九</w:t>
      </w:r>
      <w:r>
        <w:rPr>
          <w:rFonts w:hint="eastAsia" w:ascii="宋体" w:hAnsi="宋体" w:eastAsia="宋体" w:cs="Times New Roman"/>
          <w:b/>
          <w:color w:val="000000" w:themeColor="text1"/>
          <w:szCs w:val="21"/>
          <w:highlight w:val="none"/>
          <w14:textFill>
            <w14:solidFill>
              <w14:schemeClr w14:val="tx1"/>
            </w14:solidFill>
          </w14:textFill>
        </w:rPr>
        <w:t>条 争议解决</w:t>
      </w:r>
      <w:bookmarkEnd w:id="864"/>
    </w:p>
    <w:p w14:paraId="72646DEF">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双方在履约中发生争执和分歧，双方应通过友好协商解决，如不能通过友好协商解决的，双方同意向</w:t>
      </w:r>
      <w:r>
        <w:rPr>
          <w:rFonts w:hint="eastAsia" w:ascii="宋体" w:hAnsi="宋体" w:eastAsia="宋体" w:cs="Times New Roman"/>
          <w:color w:val="000000" w:themeColor="text1"/>
          <w:szCs w:val="21"/>
          <w:highlight w:val="none"/>
          <w:lang w:val="en-US" w:eastAsia="zh-CN"/>
          <w14:textFill>
            <w14:solidFill>
              <w14:schemeClr w14:val="tx1"/>
            </w14:solidFill>
          </w14:textFill>
        </w:rPr>
        <w:t>甲方所在地有管辖权的人民</w:t>
      </w:r>
      <w:r>
        <w:rPr>
          <w:rFonts w:hint="eastAsia" w:ascii="宋体" w:hAnsi="宋体" w:eastAsia="宋体" w:cs="Times New Roman"/>
          <w:color w:val="000000" w:themeColor="text1"/>
          <w:szCs w:val="21"/>
          <w:highlight w:val="none"/>
          <w14:textFill>
            <w14:solidFill>
              <w14:schemeClr w14:val="tx1"/>
            </w14:solidFill>
          </w14:textFill>
        </w:rPr>
        <w:t>法院提起诉讼解决。</w:t>
      </w:r>
    </w:p>
    <w:p w14:paraId="03C8B653">
      <w:pPr>
        <w:adjustRightInd w:val="0"/>
        <w:snapToGrid w:val="0"/>
        <w:spacing w:line="360" w:lineRule="auto"/>
        <w:ind w:firstLine="373" w:firstLineChars="177"/>
        <w:rPr>
          <w:rFonts w:ascii="宋体" w:hAnsi="宋体" w:eastAsia="宋体" w:cs="Times New Roman"/>
          <w:b/>
          <w:color w:val="000000" w:themeColor="text1"/>
          <w:szCs w:val="21"/>
          <w:highlight w:val="none"/>
          <w14:textFill>
            <w14:solidFill>
              <w14:schemeClr w14:val="tx1"/>
            </w14:solidFill>
          </w14:textFill>
        </w:rPr>
      </w:pPr>
    </w:p>
    <w:p w14:paraId="34EEC769">
      <w:pPr>
        <w:adjustRightInd w:val="0"/>
        <w:snapToGrid w:val="0"/>
        <w:spacing w:line="360" w:lineRule="auto"/>
        <w:ind w:firstLine="373" w:firstLineChars="177"/>
        <w:outlineLvl w:val="1"/>
        <w:rPr>
          <w:rFonts w:ascii="宋体" w:hAnsi="宋体" w:eastAsia="宋体" w:cs="Times New Roman"/>
          <w:b/>
          <w:color w:val="000000" w:themeColor="text1"/>
          <w:szCs w:val="21"/>
          <w:highlight w:val="none"/>
          <w14:textFill>
            <w14:solidFill>
              <w14:schemeClr w14:val="tx1"/>
            </w14:solidFill>
          </w14:textFill>
        </w:rPr>
      </w:pPr>
      <w:bookmarkStart w:id="865" w:name="_Toc3162"/>
      <w:r>
        <w:rPr>
          <w:rFonts w:hint="eastAsia" w:ascii="宋体" w:hAnsi="宋体" w:eastAsia="宋体" w:cs="Times New Roman"/>
          <w:b/>
          <w:color w:val="000000" w:themeColor="text1"/>
          <w:szCs w:val="21"/>
          <w:highlight w:val="none"/>
          <w14:textFill>
            <w14:solidFill>
              <w14:schemeClr w14:val="tx1"/>
            </w14:solidFill>
          </w14:textFill>
        </w:rPr>
        <w:t>第</w:t>
      </w:r>
      <w:r>
        <w:rPr>
          <w:rFonts w:hint="eastAsia" w:ascii="宋体" w:hAnsi="宋体" w:eastAsia="宋体" w:cs="Times New Roman"/>
          <w:b/>
          <w:color w:val="000000" w:themeColor="text1"/>
          <w:szCs w:val="21"/>
          <w:highlight w:val="none"/>
          <w:lang w:val="en-US" w:eastAsia="zh-CN"/>
          <w14:textFill>
            <w14:solidFill>
              <w14:schemeClr w14:val="tx1"/>
            </w14:solidFill>
          </w14:textFill>
        </w:rPr>
        <w:t>二十</w:t>
      </w:r>
      <w:r>
        <w:rPr>
          <w:rFonts w:hint="eastAsia" w:ascii="宋体" w:hAnsi="宋体" w:eastAsia="宋体" w:cs="Times New Roman"/>
          <w:b/>
          <w:color w:val="000000" w:themeColor="text1"/>
          <w:szCs w:val="21"/>
          <w:highlight w:val="none"/>
          <w14:textFill>
            <w14:solidFill>
              <w14:schemeClr w14:val="tx1"/>
            </w14:solidFill>
          </w14:textFill>
        </w:rPr>
        <w:t>条 其他</w:t>
      </w:r>
      <w:bookmarkEnd w:id="865"/>
    </w:p>
    <w:p w14:paraId="6586A486">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1、在本合同履行过程中，乙方不得消极怠工或拒不履行合同义务（包括但不限于交货、指导及配合安装、调试、培训、技术支持、售后、现场配合等等），否则将视为乙方违约，除按本合同第</w:t>
      </w:r>
      <w:r>
        <w:rPr>
          <w:rFonts w:hint="eastAsia" w:ascii="宋体" w:hAnsi="宋体" w:eastAsia="宋体" w:cs="Times New Roman"/>
          <w:color w:val="000000" w:themeColor="text1"/>
          <w:szCs w:val="21"/>
          <w:highlight w:val="none"/>
          <w:lang w:val="en-US" w:eastAsia="zh-CN"/>
          <w14:textFill>
            <w14:solidFill>
              <w14:schemeClr w14:val="tx1"/>
            </w14:solidFill>
          </w14:textFill>
        </w:rPr>
        <w:t>十八</w:t>
      </w:r>
      <w:r>
        <w:rPr>
          <w:rFonts w:hint="eastAsia" w:ascii="宋体" w:hAnsi="宋体" w:eastAsia="宋体" w:cs="Times New Roman"/>
          <w:color w:val="000000" w:themeColor="text1"/>
          <w:szCs w:val="21"/>
          <w:highlight w:val="none"/>
          <w14:textFill>
            <w14:solidFill>
              <w14:schemeClr w14:val="tx1"/>
            </w14:solidFill>
          </w14:textFill>
        </w:rPr>
        <w:t>条第</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款追究违约责任外，甲方仍有权就违约事宜向乙方提出改正的通知，如在甲方限期内乙方仍拒不改正的，甲方有权单方解除合同，要求其按合同暂定总价</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Times New Roman" w:hAnsi="宋体" w:eastAsia="宋体" w:cs="Times New Roman"/>
          <w:color w:val="000000" w:themeColor="text1"/>
          <w:szCs w:val="21"/>
          <w:highlight w:val="none"/>
          <w:u w:val="none"/>
          <w14:textFill>
            <w14:solidFill>
              <w14:schemeClr w14:val="tx1"/>
            </w14:solidFill>
          </w14:textFill>
        </w:rPr>
        <w:t>含销项税额</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20%</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支付违约金，并有权依法委托有资质的第三方继续履行本合同义务，由此造成的一切损失（包括但不限于再行采购的费用、委托第三人继续履行时超出本合同费用部分等）由乙方全部承担。</w:t>
      </w:r>
    </w:p>
    <w:p w14:paraId="45216031">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、合同履约过程中，若发现</w:t>
      </w:r>
      <w:r>
        <w:rPr>
          <w:rFonts w:hint="eastAsia" w:ascii="宋体" w:hAnsi="宋体" w:eastAsia="宋体" w:cs="Times New Roman"/>
          <w:color w:val="000000" w:themeColor="text1"/>
          <w:szCs w:val="21"/>
          <w:highlight w:val="none"/>
          <w:lang w:val="zh-CN"/>
          <w14:textFill>
            <w14:solidFill>
              <w14:schemeClr w14:val="tx1"/>
            </w14:solidFill>
          </w14:textFill>
        </w:rPr>
        <w:t>同一种货物存在有选择性的报价或不是固定的报价的，或存在</w:t>
      </w:r>
      <w:r>
        <w:rPr>
          <w:rFonts w:hint="eastAsia" w:ascii="宋体" w:hAnsi="宋体" w:eastAsia="宋体" w:cs="Times New Roman"/>
          <w:color w:val="000000" w:themeColor="text1"/>
          <w:szCs w:val="21"/>
          <w:highlight w:val="none"/>
          <w14:textFill>
            <w14:solidFill>
              <w14:schemeClr w14:val="tx1"/>
            </w14:solidFill>
          </w14:textFill>
        </w:rPr>
        <w:t>多种理解方式的情况发生时，按最有利甲方的方式解释。</w:t>
      </w:r>
    </w:p>
    <w:p w14:paraId="78110FFA">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、在合同履行期间，若发现乙方投标文件更改或删除了招标文件用户需求书</w:t>
      </w:r>
      <w:r>
        <w:rPr>
          <w:rFonts w:hint="eastAsia" w:ascii="宋体" w:hAnsi="宋体" w:eastAsia="宋体" w:cs="Times New Roman"/>
          <w:color w:val="000000" w:themeColor="text1"/>
          <w:szCs w:val="21"/>
          <w:highlight w:val="none"/>
          <w:lang w:eastAsia="zh-CN"/>
          <w14:textFill>
            <w14:solidFill>
              <w14:schemeClr w14:val="tx1"/>
            </w14:solidFill>
          </w14:textFill>
        </w:rPr>
        <w:t>供货</w:t>
      </w:r>
      <w:r>
        <w:rPr>
          <w:rFonts w:hint="eastAsia" w:ascii="宋体" w:hAnsi="宋体" w:eastAsia="宋体" w:cs="Times New Roman"/>
          <w:color w:val="000000" w:themeColor="text1"/>
          <w:szCs w:val="21"/>
          <w:highlight w:val="none"/>
          <w14:textFill>
            <w14:solidFill>
              <w14:schemeClr w14:val="tx1"/>
            </w14:solidFill>
          </w14:textFill>
        </w:rPr>
        <w:t>清单内的项目或数量等情况时，并不能免除乙方按照图纸、标准与规范实施合同的任何责任，并将视为该项费用已包括在合同价款内，甲方不另行向乙方支付费用。</w:t>
      </w:r>
    </w:p>
    <w:p w14:paraId="2EAC54DE">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、本合同壹式</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份，甲方执</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份，乙方执</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份，招标代理机构</w:t>
      </w:r>
      <w:r>
        <w:rPr>
          <w:rFonts w:hint="eastAsia" w:ascii="宋体" w:hAnsi="宋体" w:eastAsia="宋体" w:cs="Times New Roman"/>
          <w:color w:val="000000" w:themeColor="text1"/>
          <w:szCs w:val="21"/>
          <w:highlight w:val="none"/>
          <w:u w:val="single"/>
          <w14:textFill>
            <w14:solidFill>
              <w14:schemeClr w14:val="tx1"/>
            </w14:solidFill>
          </w14:textFill>
        </w:rPr>
        <w:t xml:space="preserve"> 壹 </w:t>
      </w:r>
      <w:r>
        <w:rPr>
          <w:rFonts w:hint="eastAsia" w:ascii="宋体" w:hAnsi="宋体" w:eastAsia="宋体" w:cs="Times New Roman"/>
          <w:color w:val="000000" w:themeColor="text1"/>
          <w:szCs w:val="21"/>
          <w:highlight w:val="none"/>
          <w14:textFill>
            <w14:solidFill>
              <w14:schemeClr w14:val="tx1"/>
            </w14:solidFill>
          </w14:textFill>
        </w:rPr>
        <w:t>份均具有同等法律效力。</w:t>
      </w:r>
    </w:p>
    <w:p w14:paraId="2FF77247">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、本合同自甲乙双方</w:t>
      </w:r>
      <w:r>
        <w:rPr>
          <w:rFonts w:hint="eastAsia" w:ascii="Times New Roman" w:hAnsi="宋体" w:eastAsia="宋体" w:cs="Times New Roman"/>
          <w:color w:val="000000" w:themeColor="text1"/>
          <w:szCs w:val="21"/>
          <w:highlight w:val="none"/>
          <w14:textFill>
            <w14:solidFill>
              <w14:schemeClr w14:val="tx1"/>
            </w14:solidFill>
          </w14:textFill>
        </w:rPr>
        <w:t>法定代表人或负责人</w:t>
      </w:r>
      <w:r>
        <w:rPr>
          <w:rFonts w:hint="eastAsia" w:ascii="宋体" w:hAnsi="宋体" w:eastAsia="宋体" w:cs="Times New Roman"/>
          <w:color w:val="000000" w:themeColor="text1"/>
          <w:szCs w:val="21"/>
          <w:highlight w:val="none"/>
          <w14:textFill>
            <w14:solidFill>
              <w14:schemeClr w14:val="tx1"/>
            </w14:solidFill>
          </w14:textFill>
        </w:rPr>
        <w:t>签字并盖章之日起生效，至全部合同义务履行完毕时终止。</w:t>
      </w:r>
    </w:p>
    <w:p w14:paraId="6E179D49">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、本合同及相关</w:t>
      </w:r>
      <w:r>
        <w:rPr>
          <w:rFonts w:hint="eastAsia" w:ascii="宋体" w:hAnsi="宋体" w:eastAsia="宋体" w:cs="Times New Roman"/>
          <w:b/>
          <w:color w:val="000000" w:themeColor="text1"/>
          <w:szCs w:val="21"/>
          <w:highlight w:val="none"/>
          <w14:textFill>
            <w14:solidFill>
              <w14:schemeClr w14:val="tx1"/>
            </w14:solidFill>
          </w14:textFill>
        </w:rPr>
        <w:t>招投标文件</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中标通知书、履约担保</w:t>
      </w:r>
      <w:r>
        <w:rPr>
          <w:rFonts w:hint="eastAsia" w:ascii="宋体" w:hAnsi="宋体" w:eastAsia="宋体" w:cs="Times New Roman"/>
          <w:color w:val="000000" w:themeColor="text1"/>
          <w:szCs w:val="21"/>
          <w:highlight w:val="none"/>
          <w14:textFill>
            <w14:solidFill>
              <w14:schemeClr w14:val="tx1"/>
            </w14:solidFill>
          </w14:textFill>
        </w:rPr>
        <w:t>等作为本合同附件均为合同的有效组成部分，与本合同同具法律效力。合同条款与附件、招标文件、用户需求书、投标文件等其他文件不一致的，</w:t>
      </w:r>
      <w:r>
        <w:rPr>
          <w:rFonts w:ascii="宋体" w:hAnsi="宋体" w:eastAsia="宋体" w:cs="Times New Roman"/>
          <w:color w:val="000000" w:themeColor="text1"/>
          <w:szCs w:val="21"/>
          <w:highlight w:val="none"/>
          <w14:textFill>
            <w14:solidFill>
              <w14:schemeClr w14:val="tx1"/>
            </w14:solidFill>
          </w14:textFill>
        </w:rPr>
        <w:t>以有利于甲方的条款为准。</w:t>
      </w:r>
    </w:p>
    <w:p w14:paraId="1ACBCE1E">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ascii="宋体" w:hAnsi="宋体" w:eastAsia="宋体" w:cs="Times New Roman"/>
          <w:color w:val="000000" w:themeColor="text1"/>
          <w:szCs w:val="21"/>
          <w:highlight w:val="none"/>
          <w14:textFill>
            <w14:solidFill>
              <w14:schemeClr w14:val="tx1"/>
            </w14:solidFill>
          </w14:textFill>
        </w:rPr>
        <w:t>、本合同未尽事宜，由双方协商处理。</w:t>
      </w:r>
    </w:p>
    <w:p w14:paraId="5EAA4FE9">
      <w:pPr>
        <w:adjustRightInd/>
        <w:snapToGrid/>
        <w:spacing w:line="240" w:lineRule="auto"/>
        <w:ind w:firstLine="0" w:firstLineChars="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br w:type="page"/>
      </w:r>
    </w:p>
    <w:p w14:paraId="2176A5C0">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附件：1.用户需求书</w:t>
      </w:r>
    </w:p>
    <w:p w14:paraId="653B91F1">
      <w:pPr>
        <w:adjustRightInd w:val="0"/>
        <w:snapToGrid w:val="0"/>
        <w:spacing w:line="360" w:lineRule="auto"/>
        <w:ind w:left="0" w:leftChars="0" w:firstLine="1058" w:firstLineChars="504"/>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2.采购</w:t>
      </w:r>
      <w:r>
        <w:rPr>
          <w:rFonts w:hint="eastAsia" w:ascii="宋体" w:hAnsi="宋体" w:eastAsia="宋体" w:cs="Times New Roman"/>
          <w:color w:val="000000" w:themeColor="text1"/>
          <w:szCs w:val="21"/>
          <w:highlight w:val="none"/>
          <w:lang w:eastAsia="zh-CN"/>
          <w14:textFill>
            <w14:solidFill>
              <w14:schemeClr w14:val="tx1"/>
            </w14:solidFill>
          </w14:textFill>
        </w:rPr>
        <w:t>清单</w:t>
      </w:r>
    </w:p>
    <w:p w14:paraId="1912AF8A">
      <w:pPr>
        <w:adjustRightInd w:val="0"/>
        <w:snapToGrid w:val="0"/>
        <w:spacing w:line="360" w:lineRule="auto"/>
        <w:ind w:left="0" w:leftChars="0" w:firstLine="1058" w:firstLineChars="504"/>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东莞市水务集团供水有限公司货物到货验收表</w:t>
      </w:r>
    </w:p>
    <w:p w14:paraId="2575F8D8">
      <w:pPr>
        <w:adjustRightInd w:val="0"/>
        <w:snapToGrid w:val="0"/>
        <w:spacing w:line="360" w:lineRule="auto"/>
        <w:ind w:firstLine="997" w:firstLineChars="475"/>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中标通知书</w:t>
      </w:r>
    </w:p>
    <w:p w14:paraId="618EE6C2">
      <w:pPr>
        <w:adjustRightInd w:val="0"/>
        <w:snapToGrid w:val="0"/>
        <w:spacing w:line="360" w:lineRule="auto"/>
        <w:ind w:firstLine="997" w:firstLineChars="475"/>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.廉洁协议书</w:t>
      </w:r>
    </w:p>
    <w:p w14:paraId="327C12A7">
      <w:pPr>
        <w:adjustRightInd w:val="0"/>
        <w:snapToGrid w:val="0"/>
        <w:spacing w:line="360" w:lineRule="auto"/>
        <w:ind w:firstLine="997" w:firstLineChars="475"/>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.履约担保</w:t>
      </w:r>
    </w:p>
    <w:p w14:paraId="5FEDEFBF">
      <w:pPr>
        <w:adjustRightInd w:val="0"/>
        <w:snapToGrid w:val="0"/>
        <w:spacing w:line="360" w:lineRule="auto"/>
        <w:ind w:firstLine="373" w:firstLineChars="177"/>
        <w:rPr>
          <w:rFonts w:hint="eastAsia" w:ascii="宋体" w:hAnsi="宋体" w:eastAsia="宋体" w:cs="Times New Roman"/>
          <w:b/>
          <w:color w:val="000000" w:themeColor="text1"/>
          <w:szCs w:val="21"/>
          <w:highlight w:val="none"/>
          <w14:textFill>
            <w14:solidFill>
              <w14:schemeClr w14:val="tx1"/>
            </w14:solidFill>
          </w14:textFill>
        </w:rPr>
      </w:pPr>
    </w:p>
    <w:p w14:paraId="02617899">
      <w:pPr>
        <w:adjustRightInd w:val="0"/>
        <w:snapToGrid w:val="0"/>
        <w:spacing w:line="360" w:lineRule="auto"/>
        <w:ind w:firstLine="373" w:firstLineChars="177"/>
        <w:rPr>
          <w:rFonts w:hint="eastAsia" w:ascii="宋体" w:hAnsi="宋体" w:eastAsia="宋体" w:cs="Times New Roman"/>
          <w:b/>
          <w:color w:val="000000" w:themeColor="text1"/>
          <w:szCs w:val="21"/>
          <w:highlight w:val="none"/>
          <w14:textFill>
            <w14:solidFill>
              <w14:schemeClr w14:val="tx1"/>
            </w14:solidFill>
          </w14:textFill>
        </w:rPr>
      </w:pPr>
    </w:p>
    <w:p w14:paraId="10C1B0F0">
      <w:pPr>
        <w:adjustRightInd w:val="0"/>
        <w:snapToGrid w:val="0"/>
        <w:spacing w:line="360" w:lineRule="auto"/>
        <w:ind w:firstLine="373" w:firstLineChars="177"/>
        <w:rPr>
          <w:rFonts w:hint="eastAsia" w:ascii="宋体" w:hAnsi="宋体" w:eastAsia="宋体" w:cs="Times New Roman"/>
          <w:b/>
          <w:color w:val="000000" w:themeColor="text1"/>
          <w:szCs w:val="21"/>
          <w:highlight w:val="none"/>
          <w14:textFill>
            <w14:solidFill>
              <w14:schemeClr w14:val="tx1"/>
            </w14:solidFill>
          </w14:textFill>
        </w:rPr>
      </w:pPr>
    </w:p>
    <w:p w14:paraId="525FC05F">
      <w:pPr>
        <w:adjustRightInd w:val="0"/>
        <w:snapToGrid w:val="0"/>
        <w:spacing w:line="360" w:lineRule="auto"/>
        <w:ind w:firstLine="373"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甲方(买方)：</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b/>
          <w:color w:val="000000" w:themeColor="text1"/>
          <w:szCs w:val="21"/>
          <w:highlight w:val="none"/>
          <w14:textFill>
            <w14:solidFill>
              <w14:schemeClr w14:val="tx1"/>
            </w14:solidFill>
          </w14:textFill>
        </w:rPr>
        <w:t xml:space="preserve"> 乙方(卖方)：</w:t>
      </w:r>
    </w:p>
    <w:p w14:paraId="09679D89">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w:t>
      </w:r>
      <w:r>
        <w:rPr>
          <w:rFonts w:hint="eastAsia" w:ascii="宋体" w:hAnsi="宋体" w:eastAsia="宋体" w:cs="Times New Roman"/>
          <w:color w:val="000000" w:themeColor="text1"/>
          <w:szCs w:val="21"/>
          <w:highlight w:val="none"/>
          <w:lang w:eastAsia="zh-Hans"/>
          <w14:textFill>
            <w14:solidFill>
              <w14:schemeClr w14:val="tx1"/>
            </w14:solidFill>
          </w14:textFill>
        </w:rPr>
        <w:t>或负责人</w:t>
      </w:r>
      <w:r>
        <w:rPr>
          <w:rFonts w:hint="eastAsia" w:ascii="宋体" w:hAnsi="宋体" w:eastAsia="宋体" w:cs="Times New Roman"/>
          <w:color w:val="000000" w:themeColor="text1"/>
          <w:szCs w:val="21"/>
          <w:highlight w:val="none"/>
          <w14:textFill>
            <w14:solidFill>
              <w14:schemeClr w14:val="tx1"/>
            </w14:solidFill>
          </w14:textFill>
        </w:rPr>
        <w:t>：                    法定代表人</w:t>
      </w:r>
      <w:r>
        <w:rPr>
          <w:rFonts w:hint="eastAsia" w:ascii="宋体" w:hAnsi="宋体" w:eastAsia="宋体" w:cs="Times New Roman"/>
          <w:color w:val="000000" w:themeColor="text1"/>
          <w:szCs w:val="21"/>
          <w:highlight w:val="none"/>
          <w:lang w:eastAsia="zh-Hans"/>
          <w14:textFill>
            <w14:solidFill>
              <w14:schemeClr w14:val="tx1"/>
            </w14:solidFill>
          </w14:textFill>
        </w:rPr>
        <w:t>或负责人</w:t>
      </w:r>
      <w:r>
        <w:rPr>
          <w:rFonts w:hint="eastAsia" w:ascii="宋体" w:hAnsi="宋体" w:eastAsia="宋体" w:cs="Times New Roman"/>
          <w:color w:val="000000" w:themeColor="text1"/>
          <w:szCs w:val="21"/>
          <w:highlight w:val="none"/>
          <w14:textFill>
            <w14:solidFill>
              <w14:schemeClr w14:val="tx1"/>
            </w14:solidFill>
          </w14:textFill>
        </w:rPr>
        <w:t>：</w:t>
      </w:r>
    </w:p>
    <w:p w14:paraId="0F503F75">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                                  地址：</w:t>
      </w:r>
    </w:p>
    <w:p w14:paraId="22870667">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电话：</w:t>
      </w:r>
    </w:p>
    <w:p w14:paraId="10705570">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传真：                                  传真：</w:t>
      </w:r>
    </w:p>
    <w:p w14:paraId="24F36573">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开户银行：                              开户银行：</w:t>
      </w:r>
    </w:p>
    <w:p w14:paraId="7CF884D6">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银行账户：                              银行账户：</w:t>
      </w:r>
    </w:p>
    <w:p w14:paraId="0716B84F">
      <w:pPr>
        <w:adjustRightInd w:val="0"/>
        <w:snapToGrid w:val="0"/>
        <w:spacing w:line="360" w:lineRule="auto"/>
        <w:ind w:firstLine="371" w:firstLineChars="177"/>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银行账号：                              银行账号：</w:t>
      </w:r>
    </w:p>
    <w:p w14:paraId="4D91A2F9">
      <w:pPr>
        <w:adjustRightInd w:val="0"/>
        <w:snapToGrid w:val="0"/>
        <w:spacing w:line="360" w:lineRule="auto"/>
        <w:ind w:firstLine="371" w:firstLineChars="17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签约日期：     年 </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月 </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日</w:t>
      </w:r>
    </w:p>
    <w:p w14:paraId="0FC62D4A">
      <w:pPr>
        <w:pStyle w:val="42"/>
        <w:ind w:left="0" w:leftChars="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705A68D2">
      <w:pPr>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39179B67">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77A3365F">
      <w:pPr>
        <w:spacing w:line="360" w:lineRule="auto"/>
        <w:outlineLvl w:val="3"/>
        <w:rPr>
          <w:rFonts w:hint="eastAsia" w:ascii="宋体" w:hAnsi="宋体" w:eastAsia="宋体"/>
          <w:b/>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w:t>
      </w:r>
      <w:r>
        <w:rPr>
          <w:rFonts w:hint="eastAsia" w:ascii="宋体" w:hAnsi="宋体" w:eastAsia="宋体" w:cs="宋体"/>
          <w:b/>
          <w:color w:val="000000" w:themeColor="text1"/>
          <w:szCs w:val="21"/>
          <w:highlight w:val="none"/>
          <w:lang w:val="en-US" w:eastAsia="zh-CN"/>
          <w14:textFill>
            <w14:solidFill>
              <w14:schemeClr w14:val="tx1"/>
            </w14:solidFill>
          </w14:textFill>
        </w:rPr>
        <w:t>2</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采购</w:t>
      </w:r>
      <w:r>
        <w:rPr>
          <w:rFonts w:hint="eastAsia" w:ascii="宋体" w:hAnsi="宋体" w:eastAsia="宋体" w:cs="宋体"/>
          <w:b/>
          <w:color w:val="000000" w:themeColor="text1"/>
          <w:szCs w:val="21"/>
          <w:highlight w:val="none"/>
          <w:lang w:eastAsia="zh-CN"/>
          <w14:textFill>
            <w14:solidFill>
              <w14:schemeClr w14:val="tx1"/>
            </w14:solidFill>
          </w14:textFill>
        </w:rPr>
        <w:t>清单》</w:t>
      </w:r>
      <w:r>
        <w:rPr>
          <w:rFonts w:hint="eastAsia" w:ascii="宋体" w:hAnsi="宋体" w:eastAsia="宋体"/>
          <w:b/>
          <w:color w:val="000000" w:themeColor="text1"/>
          <w:highlight w:val="none"/>
          <w14:textFill>
            <w14:solidFill>
              <w14:schemeClr w14:val="tx1"/>
            </w14:solidFill>
          </w14:textFill>
        </w:rPr>
        <w:t>（模版）</w:t>
      </w:r>
    </w:p>
    <w:p w14:paraId="06CD2303">
      <w:pPr>
        <w:spacing w:line="360" w:lineRule="auto"/>
        <w:outlineLvl w:val="3"/>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b/>
          <w:color w:val="000000" w:themeColor="text1"/>
          <w:highlight w:val="none"/>
          <w14:textFill>
            <w14:solidFill>
              <w14:schemeClr w14:val="tx1"/>
            </w14:solidFill>
          </w14:textFill>
        </w:rPr>
        <w:t>（注：该模版内容届时以合同签订为准）</w:t>
      </w:r>
    </w:p>
    <w:p w14:paraId="7CABF8B9">
      <w:pPr>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b/>
          <w:color w:val="000000" w:themeColor="text1"/>
          <w:sz w:val="24"/>
          <w:szCs w:val="24"/>
          <w:highlight w:val="none"/>
          <w:lang w:eastAsia="zh-CN"/>
          <w14:textFill>
            <w14:solidFill>
              <w14:schemeClr w14:val="tx1"/>
            </w14:solidFill>
          </w14:textFill>
        </w:rPr>
        <w:t>清单</w:t>
      </w: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1"/>
        <w:gridCol w:w="792"/>
        <w:gridCol w:w="958"/>
        <w:gridCol w:w="847"/>
        <w:gridCol w:w="888"/>
        <w:gridCol w:w="751"/>
        <w:gridCol w:w="1219"/>
        <w:gridCol w:w="1054"/>
        <w:gridCol w:w="1590"/>
      </w:tblGrid>
      <w:tr w14:paraId="50C8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145C330">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序号</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C0A3DCE">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货物名称</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1385C98C">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品牌</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5D53FFCB">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产地</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4723B5D9">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000000" w:themeColor="text1"/>
                <w:highlight w:val="none"/>
                <w:lang w:eastAsia="zh-CN"/>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规格</w:t>
            </w:r>
            <w:r>
              <w:rPr>
                <w:rFonts w:hint="eastAsia" w:ascii="宋体" w:hAnsi="宋体" w:eastAsia="宋体"/>
                <w:b/>
                <w:bCs/>
                <w:color w:val="000000" w:themeColor="text1"/>
                <w:highlight w:val="none"/>
                <w:lang w:val="en-US" w:eastAsia="zh-CN"/>
                <w14:textFill>
                  <w14:solidFill>
                    <w14:schemeClr w14:val="tx1"/>
                  </w14:solidFill>
                </w14:textFill>
              </w:rPr>
              <w:t>参数</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10EFC7B5">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单位</w:t>
            </w:r>
          </w:p>
        </w:tc>
        <w:tc>
          <w:tcPr>
            <w:tcW w:w="751" w:type="dxa"/>
            <w:tcBorders>
              <w:top w:val="single" w:color="auto" w:sz="4" w:space="0"/>
              <w:left w:val="single" w:color="auto" w:sz="4" w:space="0"/>
              <w:bottom w:val="single" w:color="auto" w:sz="4" w:space="0"/>
              <w:right w:val="single" w:color="auto" w:sz="4" w:space="0"/>
            </w:tcBorders>
            <w:noWrap w:val="0"/>
            <w:vAlign w:val="center"/>
          </w:tcPr>
          <w:p w14:paraId="10B8CB34">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暂定数量</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7A6374DF">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生产厂家</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659A085">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不含税预算综合单价（元）</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25EF7BA">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不含税</w:t>
            </w:r>
            <w:r>
              <w:rPr>
                <w:rFonts w:hint="eastAsia" w:ascii="宋体" w:hAnsi="宋体" w:eastAsia="宋体"/>
                <w:b/>
                <w:bCs/>
                <w:color w:val="000000" w:themeColor="text1"/>
                <w:highlight w:val="none"/>
                <w:lang w:val="en-US" w:eastAsia="zh-CN"/>
                <w14:textFill>
                  <w14:solidFill>
                    <w14:schemeClr w14:val="tx1"/>
                  </w14:solidFill>
                </w14:textFill>
              </w:rPr>
              <w:t>中标</w:t>
            </w:r>
            <w:r>
              <w:rPr>
                <w:rFonts w:hint="eastAsia" w:ascii="宋体" w:hAnsi="宋体" w:eastAsia="宋体"/>
                <w:b/>
                <w:bCs/>
                <w:color w:val="000000" w:themeColor="text1"/>
                <w:highlight w:val="none"/>
                <w14:textFill>
                  <w14:solidFill>
                    <w14:schemeClr w14:val="tx1"/>
                  </w14:solidFill>
                </w14:textFill>
              </w:rPr>
              <w:t>综合单价（元）</w:t>
            </w:r>
          </w:p>
        </w:tc>
      </w:tr>
      <w:tr w14:paraId="0F04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E560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r>
              <w:rPr>
                <w:rFonts w:hint="eastAsia" w:ascii="宋体" w:hAnsi="宋体" w:eastAsia="宋体"/>
                <w:color w:val="000000" w:themeColor="text1"/>
                <w:kern w:val="0"/>
                <w:sz w:val="18"/>
                <w:szCs w:val="18"/>
                <w:highlight w:val="none"/>
                <w14:textFill>
                  <w14:solidFill>
                    <w14:schemeClr w14:val="tx1"/>
                  </w14:solidFill>
                </w14:textFill>
              </w:rPr>
              <w:t>1</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2481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7C33D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07D43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3F357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018D5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79621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C94FD3F">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3459148">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63A9FDC1">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r>
      <w:tr w14:paraId="14DB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B420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r>
              <w:rPr>
                <w:rFonts w:hint="eastAsia" w:ascii="宋体" w:hAnsi="宋体" w:eastAsia="宋体"/>
                <w:color w:val="000000" w:themeColor="text1"/>
                <w:kern w:val="0"/>
                <w:sz w:val="18"/>
                <w:szCs w:val="18"/>
                <w:highlight w:val="none"/>
                <w14:textFill>
                  <w14:solidFill>
                    <w14:schemeClr w14:val="tx1"/>
                  </w14:solidFill>
                </w14:textFill>
              </w:rPr>
              <w:t>2</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5B2E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49C9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1D1F7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030B8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1A1B6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179CC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AB3C7CB">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29AFD41">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784DD2D">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r>
      <w:tr w14:paraId="15DE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1B0E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r>
              <w:rPr>
                <w:rFonts w:hint="eastAsia" w:ascii="宋体" w:hAnsi="宋体" w:eastAsia="宋体"/>
                <w:color w:val="000000" w:themeColor="text1"/>
                <w:kern w:val="0"/>
                <w:sz w:val="18"/>
                <w:szCs w:val="18"/>
                <w:highlight w:val="none"/>
                <w14:textFill>
                  <w14:solidFill>
                    <w14:schemeClr w14:val="tx1"/>
                  </w14:solidFill>
                </w14:textFill>
              </w:rPr>
              <w:t>3</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EF91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7EF66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5CA0F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57FE2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2BD4D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7271C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0903F7C">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4B97959">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DF585B4">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r>
      <w:tr w14:paraId="12B7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B74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r>
              <w:rPr>
                <w:rFonts w:hint="eastAsia" w:ascii="宋体" w:hAnsi="宋体" w:eastAsia="宋体"/>
                <w:color w:val="000000" w:themeColor="text1"/>
                <w:kern w:val="0"/>
                <w:sz w:val="18"/>
                <w:szCs w:val="18"/>
                <w:highlight w:val="none"/>
                <w14:textFill>
                  <w14:solidFill>
                    <w14:schemeClr w14:val="tx1"/>
                  </w14:solidFill>
                </w14:textFill>
              </w:rPr>
              <w:t>4</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A6E6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4D005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0E7D4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0A68B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21658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2EE84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114620EA">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70C2009">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665B5F3">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r>
      <w:tr w14:paraId="43DA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9DE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r>
              <w:rPr>
                <w:rFonts w:hint="eastAsia" w:ascii="宋体" w:hAnsi="宋体" w:eastAsia="宋体"/>
                <w:color w:val="000000" w:themeColor="text1"/>
                <w:kern w:val="0"/>
                <w:sz w:val="18"/>
                <w:szCs w:val="18"/>
                <w:highlight w:val="none"/>
                <w14:textFill>
                  <w14:solidFill>
                    <w14:schemeClr w14:val="tx1"/>
                  </w14:solidFill>
                </w14:textFill>
              </w:rPr>
              <w:t>5</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20A0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3B181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4526E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18E85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63F5A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64B2F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6FAD19FE">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3611A6A">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85588D5">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r>
      <w:tr w14:paraId="19B8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E51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r>
              <w:rPr>
                <w:rFonts w:hint="eastAsia" w:ascii="宋体" w:hAnsi="宋体" w:eastAsia="宋体"/>
                <w:color w:val="000000" w:themeColor="text1"/>
                <w:kern w:val="0"/>
                <w:sz w:val="20"/>
                <w:szCs w:val="20"/>
                <w:highlight w:val="none"/>
                <w14:textFill>
                  <w14:solidFill>
                    <w14:schemeClr w14:val="tx1"/>
                  </w14:solidFill>
                </w14:textFill>
              </w:rPr>
              <w:t>...</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ECC2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79FCD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5C089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675EB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1ABC1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sz w:val="20"/>
                <w:szCs w:val="20"/>
                <w:highlight w:val="none"/>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08B02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2BC1B17">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331C628">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2EAC47F">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r>
      <w:tr w14:paraId="26BF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754D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sz w:val="20"/>
                <w:szCs w:val="20"/>
                <w:highlight w:val="none"/>
                <w14:textFill>
                  <w14:solidFill>
                    <w14:schemeClr w14:val="tx1"/>
                  </w14:solidFill>
                </w14:textFill>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34DEC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8CB3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12D6A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76F69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594E0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sz w:val="20"/>
                <w:szCs w:val="20"/>
                <w:highlight w:val="none"/>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57F71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themeColor="text1"/>
                <w:kern w:val="0"/>
                <w:highlight w:val="none"/>
                <w14:textFill>
                  <w14:solidFill>
                    <w14:schemeClr w14:val="tx1"/>
                  </w14:solidFill>
                </w14:textFill>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75BC530">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6ACDB0F">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852D7AE">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kern w:val="0"/>
                <w:highlight w:val="none"/>
                <w14:textFill>
                  <w14:solidFill>
                    <w14:schemeClr w14:val="tx1"/>
                  </w14:solidFill>
                </w14:textFill>
              </w:rPr>
            </w:pPr>
          </w:p>
        </w:tc>
      </w:tr>
    </w:tbl>
    <w:p w14:paraId="65CCF5FF">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21799499">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3EFDECA9">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064A673C">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5E8E122F">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68D8A24F">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561B5172">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0F836D0F">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6A9ADDA7">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3DAD2095">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6494FFD1">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0BF8D05B">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0B9B7497">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866" w:name="_Toc31248"/>
      <w:r>
        <w:rPr>
          <w:rFonts w:hint="eastAsia" w:ascii="宋体" w:hAnsi="宋体" w:eastAsia="宋体" w:cs="宋体"/>
          <w:b/>
          <w:color w:val="000000" w:themeColor="text1"/>
          <w:sz w:val="21"/>
          <w:szCs w:val="21"/>
          <w:highlight w:val="none"/>
          <w:lang w:val="en-US" w:eastAsia="zh-CN"/>
          <w14:textFill>
            <w14:solidFill>
              <w14:schemeClr w14:val="tx1"/>
            </w14:solidFill>
          </w14:textFill>
        </w:rPr>
        <w:t>附件3：东莞市水务集团供水有限公司货物到货验收表</w:t>
      </w:r>
      <w:bookmarkEnd w:id="866"/>
    </w:p>
    <w:p w14:paraId="088024D6">
      <w:pPr>
        <w:widowControl w:val="0"/>
        <w:spacing w:after="0" w:line="600" w:lineRule="exact"/>
        <w:jc w:val="center"/>
        <w:rPr>
          <w:rFonts w:hint="eastAsia" w:ascii="Times New Roman" w:hAnsi="Times New Roman" w:eastAsia="方正小标宋简体" w:cs="Times New Roman"/>
          <w:b w:val="0"/>
          <w:bCs/>
          <w:color w:val="000000" w:themeColor="text1"/>
          <w:spacing w:val="-10"/>
          <w:kern w:val="2"/>
          <w:sz w:val="44"/>
          <w:szCs w:val="44"/>
          <w:highlight w:val="none"/>
          <w:lang w:val="en-US" w:eastAsia="zh-CN" w:bidi="ar-SA"/>
          <w14:textFill>
            <w14:solidFill>
              <w14:schemeClr w14:val="tx1"/>
            </w14:solidFill>
          </w14:textFill>
        </w:rPr>
      </w:pPr>
      <w:r>
        <w:rPr>
          <w:rFonts w:hint="default" w:ascii="Times New Roman" w:hAnsi="Times New Roman" w:eastAsia="方正小标宋简体" w:cs="Times New Roman"/>
          <w:b w:val="0"/>
          <w:bCs/>
          <w:color w:val="000000" w:themeColor="text1"/>
          <w:spacing w:val="-10"/>
          <w:kern w:val="2"/>
          <w:sz w:val="44"/>
          <w:szCs w:val="44"/>
          <w:highlight w:val="none"/>
          <w:lang w:val="en-US" w:eastAsia="zh-CN" w:bidi="ar-SA"/>
          <w14:textFill>
            <w14:solidFill>
              <w14:schemeClr w14:val="tx1"/>
            </w14:solidFill>
          </w14:textFill>
        </w:rPr>
        <w:t>东莞市水务集团</w:t>
      </w:r>
      <w:r>
        <w:rPr>
          <w:rFonts w:hint="eastAsia" w:ascii="Times New Roman" w:hAnsi="Times New Roman" w:eastAsia="方正小标宋简体" w:cs="Times New Roman"/>
          <w:b w:val="0"/>
          <w:bCs/>
          <w:color w:val="000000" w:themeColor="text1"/>
          <w:spacing w:val="-10"/>
          <w:kern w:val="2"/>
          <w:sz w:val="44"/>
          <w:szCs w:val="44"/>
          <w:highlight w:val="none"/>
          <w:lang w:val="en-US" w:eastAsia="zh-CN" w:bidi="ar-SA"/>
          <w14:textFill>
            <w14:solidFill>
              <w14:schemeClr w14:val="tx1"/>
            </w14:solidFill>
          </w14:textFill>
        </w:rPr>
        <w:t>供水有限公司</w:t>
      </w:r>
      <w:r>
        <w:rPr>
          <w:rFonts w:hint="default" w:ascii="Times New Roman" w:hAnsi="Times New Roman" w:eastAsia="方正小标宋简体" w:cs="Times New Roman"/>
          <w:b w:val="0"/>
          <w:bCs/>
          <w:color w:val="000000" w:themeColor="text1"/>
          <w:spacing w:val="-10"/>
          <w:kern w:val="2"/>
          <w:sz w:val="44"/>
          <w:szCs w:val="44"/>
          <w:highlight w:val="none"/>
          <w:lang w:val="en-US" w:eastAsia="zh-CN" w:bidi="ar-SA"/>
          <w14:textFill>
            <w14:solidFill>
              <w14:schemeClr w14:val="tx1"/>
            </w14:solidFill>
          </w14:textFill>
        </w:rPr>
        <w:t>货物</w:t>
      </w:r>
      <w:r>
        <w:rPr>
          <w:rFonts w:hint="eastAsia" w:ascii="Times New Roman" w:hAnsi="Times New Roman" w:eastAsia="方正小标宋简体" w:cs="Times New Roman"/>
          <w:b w:val="0"/>
          <w:bCs/>
          <w:color w:val="000000" w:themeColor="text1"/>
          <w:spacing w:val="-10"/>
          <w:kern w:val="2"/>
          <w:sz w:val="44"/>
          <w:szCs w:val="44"/>
          <w:highlight w:val="none"/>
          <w:lang w:val="en-US" w:eastAsia="zh-CN" w:bidi="ar-SA"/>
          <w14:textFill>
            <w14:solidFill>
              <w14:schemeClr w14:val="tx1"/>
            </w14:solidFill>
          </w14:textFill>
        </w:rPr>
        <w:t>到货验收表</w:t>
      </w:r>
    </w:p>
    <w:p w14:paraId="6997AC92">
      <w:pPr>
        <w:pStyle w:val="19"/>
        <w:rPr>
          <w:rFonts w:hint="default" w:ascii="Times New Roman" w:hAnsi="Times New Roman" w:eastAsia="仿宋_GB2312" w:cs="Times New Roman"/>
          <w:b w:val="0"/>
          <w:bCs/>
          <w:snapToGrid/>
          <w:color w:val="000000" w:themeColor="text1"/>
          <w:kern w:val="2"/>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2"/>
          <w:sz w:val="22"/>
          <w:szCs w:val="22"/>
          <w:highlight w:val="none"/>
          <w:lang w:eastAsia="zh-CN"/>
          <w14:textFill>
            <w14:solidFill>
              <w14:schemeClr w14:val="tx1"/>
            </w14:solidFill>
          </w14:textFill>
        </w:rPr>
        <w:t xml:space="preserve">编号：                                     </w:t>
      </w:r>
    </w:p>
    <w:tbl>
      <w:tblPr>
        <w:tblStyle w:val="44"/>
        <w:tblpPr w:leftFromText="180" w:rightFromText="180" w:vertAnchor="text" w:horzAnchor="page" w:tblpX="1088" w:tblpY="94"/>
        <w:tblOverlap w:val="never"/>
        <w:tblW w:w="5000" w:type="pct"/>
        <w:tblInd w:w="0" w:type="dxa"/>
        <w:tblLayout w:type="autofit"/>
        <w:tblCellMar>
          <w:top w:w="0" w:type="dxa"/>
          <w:left w:w="108" w:type="dxa"/>
          <w:bottom w:w="0" w:type="dxa"/>
          <w:right w:w="108" w:type="dxa"/>
        </w:tblCellMar>
      </w:tblPr>
      <w:tblGrid>
        <w:gridCol w:w="1306"/>
        <w:gridCol w:w="3371"/>
        <w:gridCol w:w="206"/>
        <w:gridCol w:w="698"/>
        <w:gridCol w:w="1108"/>
        <w:gridCol w:w="3681"/>
      </w:tblGrid>
      <w:tr w14:paraId="00BF1A2B">
        <w:tblPrEx>
          <w:tblCellMar>
            <w:top w:w="0" w:type="dxa"/>
            <w:left w:w="108" w:type="dxa"/>
            <w:bottom w:w="0" w:type="dxa"/>
            <w:right w:w="108" w:type="dxa"/>
          </w:tblCellMar>
        </w:tblPrEx>
        <w:trPr>
          <w:trHeight w:val="437" w:hRule="atLeast"/>
        </w:trPr>
        <w:tc>
          <w:tcPr>
            <w:tcW w:w="621" w:type="pct"/>
            <w:tcBorders>
              <w:top w:val="single" w:color="auto" w:sz="4" w:space="0"/>
              <w:left w:val="single" w:color="auto" w:sz="4" w:space="0"/>
              <w:bottom w:val="single" w:color="auto" w:sz="4" w:space="0"/>
              <w:right w:val="single" w:color="auto" w:sz="4" w:space="0"/>
            </w:tcBorders>
            <w:noWrap/>
            <w:vAlign w:val="center"/>
          </w:tcPr>
          <w:p w14:paraId="44F0AA13">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合同名称</w:t>
            </w:r>
          </w:p>
        </w:tc>
        <w:tc>
          <w:tcPr>
            <w:tcW w:w="4378" w:type="pct"/>
            <w:gridSpan w:val="5"/>
            <w:tcBorders>
              <w:top w:val="single" w:color="auto" w:sz="4" w:space="0"/>
              <w:left w:val="single" w:color="auto" w:sz="4" w:space="0"/>
              <w:bottom w:val="single" w:color="auto" w:sz="4" w:space="0"/>
              <w:right w:val="single" w:color="auto" w:sz="4" w:space="0"/>
            </w:tcBorders>
            <w:noWrap/>
            <w:vAlign w:val="center"/>
          </w:tcPr>
          <w:p w14:paraId="204796AE">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东莞市供水计量设施更新项目(2025年计量仪表采购)－</w:t>
            </w: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螺翼式远传水表</w:t>
            </w:r>
          </w:p>
        </w:tc>
      </w:tr>
      <w:tr w14:paraId="591C2B7B">
        <w:tblPrEx>
          <w:tblCellMar>
            <w:top w:w="0" w:type="dxa"/>
            <w:left w:w="108" w:type="dxa"/>
            <w:bottom w:w="0" w:type="dxa"/>
            <w:right w:w="108" w:type="dxa"/>
          </w:tblCellMar>
        </w:tblPrEx>
        <w:trPr>
          <w:trHeight w:val="460" w:hRule="atLeast"/>
        </w:trPr>
        <w:tc>
          <w:tcPr>
            <w:tcW w:w="621" w:type="pct"/>
            <w:tcBorders>
              <w:top w:val="single" w:color="auto" w:sz="4" w:space="0"/>
              <w:left w:val="single" w:color="auto" w:sz="4" w:space="0"/>
              <w:bottom w:val="single" w:color="auto" w:sz="4" w:space="0"/>
              <w:right w:val="single" w:color="auto" w:sz="4" w:space="0"/>
            </w:tcBorders>
            <w:noWrap/>
            <w:vAlign w:val="center"/>
          </w:tcPr>
          <w:p w14:paraId="1E9D6EAF">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供货单位</w:t>
            </w:r>
          </w:p>
        </w:tc>
        <w:tc>
          <w:tcPr>
            <w:tcW w:w="1631" w:type="pct"/>
            <w:tcBorders>
              <w:top w:val="single" w:color="auto" w:sz="4" w:space="0"/>
              <w:left w:val="single" w:color="auto" w:sz="4" w:space="0"/>
              <w:bottom w:val="single" w:color="auto" w:sz="4" w:space="0"/>
              <w:right w:val="single" w:color="auto" w:sz="4" w:space="0"/>
            </w:tcBorders>
            <w:noWrap/>
            <w:vAlign w:val="center"/>
          </w:tcPr>
          <w:p w14:paraId="4EB60B5C">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pPr>
          </w:p>
        </w:tc>
        <w:tc>
          <w:tcPr>
            <w:tcW w:w="966" w:type="pct"/>
            <w:gridSpan w:val="3"/>
            <w:tcBorders>
              <w:top w:val="single" w:color="auto" w:sz="4" w:space="0"/>
              <w:left w:val="single" w:color="auto" w:sz="4" w:space="0"/>
              <w:bottom w:val="single" w:color="auto" w:sz="4" w:space="0"/>
              <w:right w:val="single" w:color="auto" w:sz="4" w:space="0"/>
            </w:tcBorders>
            <w:noWrap/>
            <w:vAlign w:val="center"/>
          </w:tcPr>
          <w:p w14:paraId="7185DC17">
            <w:pPr>
              <w:keepNext w:val="0"/>
              <w:keepLines w:val="0"/>
              <w:widowControl/>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到货时间</w:t>
            </w:r>
          </w:p>
        </w:tc>
        <w:tc>
          <w:tcPr>
            <w:tcW w:w="1780" w:type="pct"/>
            <w:tcBorders>
              <w:top w:val="single" w:color="auto" w:sz="4" w:space="0"/>
              <w:left w:val="single" w:color="auto" w:sz="4" w:space="0"/>
              <w:bottom w:val="single" w:color="auto" w:sz="4" w:space="0"/>
              <w:right w:val="single" w:color="auto" w:sz="4" w:space="0"/>
            </w:tcBorders>
            <w:noWrap/>
            <w:vAlign w:val="center"/>
          </w:tcPr>
          <w:p w14:paraId="4192609A">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 xml:space="preserve">         年    月    日</w:t>
            </w:r>
          </w:p>
        </w:tc>
      </w:tr>
      <w:tr w14:paraId="042362E6">
        <w:tblPrEx>
          <w:tblCellMar>
            <w:top w:w="0" w:type="dxa"/>
            <w:left w:w="108" w:type="dxa"/>
            <w:bottom w:w="0" w:type="dxa"/>
            <w:right w:w="108" w:type="dxa"/>
          </w:tblCellMar>
        </w:tblPrEx>
        <w:trPr>
          <w:trHeight w:val="460" w:hRule="atLeast"/>
        </w:trPr>
        <w:tc>
          <w:tcPr>
            <w:tcW w:w="621" w:type="pct"/>
            <w:tcBorders>
              <w:top w:val="single" w:color="auto" w:sz="4" w:space="0"/>
              <w:left w:val="single" w:color="auto" w:sz="4" w:space="0"/>
              <w:bottom w:val="single" w:color="auto" w:sz="4" w:space="0"/>
              <w:right w:val="single" w:color="auto" w:sz="4" w:space="0"/>
            </w:tcBorders>
            <w:noWrap/>
            <w:vAlign w:val="center"/>
          </w:tcPr>
          <w:p w14:paraId="2F3A4758">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采购</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单位</w:t>
            </w:r>
          </w:p>
        </w:tc>
        <w:tc>
          <w:tcPr>
            <w:tcW w:w="1631" w:type="pct"/>
            <w:tcBorders>
              <w:top w:val="single" w:color="auto" w:sz="4" w:space="0"/>
              <w:left w:val="single" w:color="auto" w:sz="4" w:space="0"/>
              <w:bottom w:val="single" w:color="auto" w:sz="4" w:space="0"/>
              <w:right w:val="single" w:color="auto" w:sz="4" w:space="0"/>
            </w:tcBorders>
            <w:noWrap/>
            <w:vAlign w:val="center"/>
          </w:tcPr>
          <w:p w14:paraId="6B37E15A">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p>
        </w:tc>
        <w:tc>
          <w:tcPr>
            <w:tcW w:w="966" w:type="pct"/>
            <w:gridSpan w:val="3"/>
            <w:tcBorders>
              <w:top w:val="single" w:color="auto" w:sz="4" w:space="0"/>
              <w:left w:val="single" w:color="auto" w:sz="4" w:space="0"/>
              <w:bottom w:val="single" w:color="auto" w:sz="4" w:space="0"/>
              <w:right w:val="single" w:color="auto" w:sz="4" w:space="0"/>
            </w:tcBorders>
            <w:noWrap/>
            <w:vAlign w:val="center"/>
          </w:tcPr>
          <w:p w14:paraId="41AD4C56">
            <w:pPr>
              <w:keepNext w:val="0"/>
              <w:keepLines w:val="0"/>
              <w:widowControl/>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验收时间</w:t>
            </w:r>
          </w:p>
        </w:tc>
        <w:tc>
          <w:tcPr>
            <w:tcW w:w="1780" w:type="pct"/>
            <w:tcBorders>
              <w:top w:val="single" w:color="auto" w:sz="4" w:space="0"/>
              <w:left w:val="single" w:color="auto" w:sz="4" w:space="0"/>
              <w:bottom w:val="single" w:color="auto" w:sz="4" w:space="0"/>
              <w:right w:val="single" w:color="auto" w:sz="4" w:space="0"/>
            </w:tcBorders>
            <w:noWrap/>
            <w:vAlign w:val="center"/>
          </w:tcPr>
          <w:p w14:paraId="16BFBEAC">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 xml:space="preserve">         年    月    日</w:t>
            </w:r>
          </w:p>
        </w:tc>
      </w:tr>
      <w:tr w14:paraId="1FB2A869">
        <w:tblPrEx>
          <w:tblCellMar>
            <w:top w:w="0" w:type="dxa"/>
            <w:left w:w="108" w:type="dxa"/>
            <w:bottom w:w="0" w:type="dxa"/>
            <w:right w:w="108" w:type="dxa"/>
          </w:tblCellMar>
        </w:tblPrEx>
        <w:trPr>
          <w:trHeight w:val="1356" w:hRule="atLeast"/>
        </w:trPr>
        <w:tc>
          <w:tcPr>
            <w:tcW w:w="621" w:type="pct"/>
            <w:tcBorders>
              <w:top w:val="single" w:color="auto" w:sz="4" w:space="0"/>
              <w:left w:val="single" w:color="auto" w:sz="4" w:space="0"/>
              <w:right w:val="single" w:color="auto" w:sz="4" w:space="0"/>
            </w:tcBorders>
            <w:noWrap/>
            <w:vAlign w:val="center"/>
          </w:tcPr>
          <w:p w14:paraId="64B11EBA">
            <w:pPr>
              <w:keepNext w:val="0"/>
              <w:keepLines w:val="0"/>
              <w:widowControl/>
              <w:suppressLineNumbers w:val="0"/>
              <w:kinsoku/>
              <w:autoSpaceDE/>
              <w:autoSpaceDN/>
              <w:adjustRightInd/>
              <w:snapToGrid w:val="0"/>
              <w:spacing w:before="0" w:beforeAutospacing="0" w:after="0" w:afterAutospacing="0" w:line="300" w:lineRule="exact"/>
              <w:ind w:left="-105" w:leftChars="-50" w:right="-105" w:rightChars="-5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到货</w:t>
            </w:r>
          </w:p>
          <w:p w14:paraId="35DEF9A4">
            <w:pPr>
              <w:keepNext w:val="0"/>
              <w:keepLines w:val="0"/>
              <w:widowControl/>
              <w:suppressLineNumbers w:val="0"/>
              <w:kinsoku/>
              <w:autoSpaceDE/>
              <w:autoSpaceDN/>
              <w:adjustRightInd/>
              <w:snapToGrid w:val="0"/>
              <w:spacing w:before="0" w:beforeAutospacing="0" w:after="0" w:afterAutospacing="0" w:line="300" w:lineRule="exact"/>
              <w:ind w:left="-105" w:leftChars="-50" w:right="-105" w:rightChars="-5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清单</w:t>
            </w:r>
          </w:p>
        </w:tc>
        <w:tc>
          <w:tcPr>
            <w:tcW w:w="4378" w:type="pct"/>
            <w:gridSpan w:val="5"/>
            <w:tcBorders>
              <w:top w:val="single" w:color="auto" w:sz="4" w:space="0"/>
              <w:left w:val="single" w:color="auto" w:sz="4" w:space="0"/>
              <w:bottom w:val="single" w:color="auto" w:sz="4" w:space="0"/>
              <w:right w:val="single" w:color="auto" w:sz="4" w:space="0"/>
            </w:tcBorders>
            <w:noWrap w:val="0"/>
            <w:vAlign w:val="center"/>
          </w:tcPr>
          <w:p w14:paraId="6D96836A">
            <w:pPr>
              <w:keepNext w:val="0"/>
              <w:keepLines w:val="0"/>
              <w:widowControl/>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已供货物详见附件清单</w:t>
            </w:r>
          </w:p>
        </w:tc>
      </w:tr>
      <w:tr w14:paraId="3D2A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restart"/>
            <w:tcBorders>
              <w:top w:val="single" w:color="auto" w:sz="4" w:space="0"/>
              <w:left w:val="single" w:color="auto" w:sz="4" w:space="0"/>
              <w:right w:val="single" w:color="auto" w:sz="4" w:space="0"/>
            </w:tcBorders>
            <w:noWrap w:val="0"/>
            <w:vAlign w:val="center"/>
          </w:tcPr>
          <w:p w14:paraId="3D45B32C">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进场</w:t>
            </w:r>
          </w:p>
          <w:p w14:paraId="59016A84">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检查</w:t>
            </w:r>
          </w:p>
          <w:p w14:paraId="5F507F93">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情况</w:t>
            </w:r>
          </w:p>
        </w:tc>
        <w:tc>
          <w:tcPr>
            <w:tcW w:w="1631" w:type="pct"/>
            <w:tcBorders>
              <w:top w:val="single" w:color="auto" w:sz="4" w:space="0"/>
              <w:left w:val="single" w:color="auto" w:sz="4" w:space="0"/>
              <w:right w:val="single" w:color="auto" w:sz="4" w:space="0"/>
            </w:tcBorders>
            <w:noWrap w:val="0"/>
            <w:vAlign w:val="center"/>
          </w:tcPr>
          <w:p w14:paraId="366FCC4E">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货物数量是否齐全，如否请备注缺货或错货情况</w:t>
            </w:r>
          </w:p>
        </w:tc>
        <w:tc>
          <w:tcPr>
            <w:tcW w:w="2746" w:type="pct"/>
            <w:gridSpan w:val="4"/>
            <w:tcBorders>
              <w:top w:val="single" w:color="auto" w:sz="4" w:space="0"/>
              <w:left w:val="single" w:color="auto" w:sz="4" w:space="0"/>
              <w:right w:val="single" w:color="auto" w:sz="4" w:space="0"/>
            </w:tcBorders>
            <w:noWrap w:val="0"/>
            <w:vAlign w:val="center"/>
          </w:tcPr>
          <w:p w14:paraId="65FD75FC">
            <w:pPr>
              <w:keepNext w:val="0"/>
              <w:keepLines w:val="0"/>
              <w:widowControl w:val="0"/>
              <w:suppressLineNumbers w:val="0"/>
              <w:kinsoku/>
              <w:autoSpaceDE/>
              <w:autoSpaceDN/>
              <w:adjustRightInd/>
              <w:snapToGrid w:val="0"/>
              <w:spacing w:before="0" w:beforeAutospacing="0" w:after="0" w:afterAutospacing="0" w:line="300" w:lineRule="exact"/>
              <w:ind w:left="0" w:right="0" w:firstLine="0" w:firstLineChars="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是</w:t>
            </w: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否</w:t>
            </w:r>
          </w:p>
          <w:p w14:paraId="67B2EF7E">
            <w:pPr>
              <w:keepNext w:val="0"/>
              <w:keepLines w:val="0"/>
              <w:widowControl w:val="0"/>
              <w:suppressLineNumbers w:val="0"/>
              <w:spacing w:before="0" w:beforeAutospacing="0" w:after="0" w:afterAutospacing="0" w:line="300" w:lineRule="exact"/>
              <w:ind w:left="0" w:right="0" w:firstLine="0" w:firstLineChars="0"/>
              <w:jc w:val="both"/>
              <w:rPr>
                <w:rFonts w:hint="default" w:ascii="Times New Roman" w:hAnsi="Times New Roman" w:eastAsia="仿宋_GB2312" w:cs="Times New Roman"/>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highlight w:val="none"/>
                <w:lang w:val="en-US" w:eastAsia="zh-CN" w:bidi="ar-SA"/>
                <w14:textFill>
                  <w14:solidFill>
                    <w14:schemeClr w14:val="tx1"/>
                  </w14:solidFill>
                </w14:textFill>
              </w:rPr>
              <w:t>备注：</w:t>
            </w:r>
          </w:p>
        </w:tc>
      </w:tr>
      <w:tr w14:paraId="7906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14:paraId="0B86FB1D">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p>
        </w:tc>
        <w:tc>
          <w:tcPr>
            <w:tcW w:w="1631" w:type="pct"/>
            <w:tcBorders>
              <w:top w:val="single" w:color="auto" w:sz="4" w:space="0"/>
              <w:left w:val="single" w:color="auto" w:sz="4" w:space="0"/>
              <w:right w:val="single" w:color="auto" w:sz="4" w:space="0"/>
            </w:tcBorders>
            <w:noWrap w:val="0"/>
            <w:vAlign w:val="center"/>
          </w:tcPr>
          <w:p w14:paraId="35FFF751">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货物是否完好无损，如否请备注货损情况</w:t>
            </w:r>
          </w:p>
        </w:tc>
        <w:tc>
          <w:tcPr>
            <w:tcW w:w="2746" w:type="pct"/>
            <w:gridSpan w:val="4"/>
            <w:tcBorders>
              <w:top w:val="single" w:color="auto" w:sz="4" w:space="0"/>
              <w:left w:val="single" w:color="auto" w:sz="4" w:space="0"/>
              <w:right w:val="single" w:color="auto" w:sz="4" w:space="0"/>
            </w:tcBorders>
            <w:noWrap w:val="0"/>
            <w:vAlign w:val="center"/>
          </w:tcPr>
          <w:p w14:paraId="5561ACB3">
            <w:pPr>
              <w:keepNext w:val="0"/>
              <w:keepLines w:val="0"/>
              <w:widowControl w:val="0"/>
              <w:suppressLineNumbers w:val="0"/>
              <w:kinsoku/>
              <w:autoSpaceDE/>
              <w:autoSpaceDN/>
              <w:adjustRightInd/>
              <w:snapToGrid w:val="0"/>
              <w:spacing w:before="0" w:beforeAutospacing="0" w:after="0" w:afterAutospacing="0" w:line="300" w:lineRule="exact"/>
              <w:ind w:left="0" w:right="0" w:firstLine="0" w:firstLineChars="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是</w:t>
            </w: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否</w:t>
            </w:r>
          </w:p>
          <w:p w14:paraId="6CC21F15">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备注：</w:t>
            </w:r>
          </w:p>
        </w:tc>
      </w:tr>
      <w:tr w14:paraId="7141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14:paraId="515C09F1">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p>
        </w:tc>
        <w:tc>
          <w:tcPr>
            <w:tcW w:w="1631" w:type="pct"/>
            <w:tcBorders>
              <w:top w:val="single" w:color="auto" w:sz="4" w:space="0"/>
              <w:left w:val="single" w:color="auto" w:sz="4" w:space="0"/>
              <w:right w:val="single" w:color="auto" w:sz="4" w:space="0"/>
            </w:tcBorders>
            <w:noWrap w:val="0"/>
            <w:vAlign w:val="center"/>
          </w:tcPr>
          <w:p w14:paraId="2D92D1D5">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随货物备品备件和专用工具情况，如有缺请备注</w:t>
            </w:r>
          </w:p>
        </w:tc>
        <w:tc>
          <w:tcPr>
            <w:tcW w:w="2746" w:type="pct"/>
            <w:gridSpan w:val="4"/>
            <w:tcBorders>
              <w:top w:val="single" w:color="auto" w:sz="4" w:space="0"/>
              <w:left w:val="single" w:color="auto" w:sz="4" w:space="0"/>
              <w:right w:val="single" w:color="auto" w:sz="4" w:space="0"/>
            </w:tcBorders>
            <w:noWrap w:val="0"/>
            <w:vAlign w:val="center"/>
          </w:tcPr>
          <w:p w14:paraId="74713BDD">
            <w:pPr>
              <w:keepNext w:val="0"/>
              <w:keepLines w:val="0"/>
              <w:widowControl w:val="0"/>
              <w:suppressLineNumbers w:val="0"/>
              <w:kinsoku/>
              <w:autoSpaceDE/>
              <w:autoSpaceDN/>
              <w:adjustRightInd/>
              <w:snapToGrid w:val="0"/>
              <w:spacing w:before="0" w:beforeAutospacing="0" w:after="0" w:afterAutospacing="0" w:line="300" w:lineRule="exact"/>
              <w:ind w:left="0" w:right="0" w:firstLine="0" w:firstLineChars="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是</w:t>
            </w: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否</w:t>
            </w:r>
          </w:p>
          <w:p w14:paraId="43258235">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备注：</w:t>
            </w:r>
          </w:p>
        </w:tc>
      </w:tr>
      <w:tr w14:paraId="3CCD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14:paraId="1E2FDBD9">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p>
        </w:tc>
        <w:tc>
          <w:tcPr>
            <w:tcW w:w="1631" w:type="pct"/>
            <w:tcBorders>
              <w:top w:val="single" w:color="auto" w:sz="4" w:space="0"/>
              <w:left w:val="single" w:color="auto" w:sz="4" w:space="0"/>
              <w:right w:val="single" w:color="auto" w:sz="4" w:space="0"/>
            </w:tcBorders>
            <w:noWrap w:val="0"/>
            <w:vAlign w:val="center"/>
          </w:tcPr>
          <w:p w14:paraId="716556E0">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货物和配件材质是否</w:t>
            </w:r>
            <w:r>
              <w:rPr>
                <w:rFonts w:hint="eastAsia"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符合需求</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，如否请备注情况</w:t>
            </w:r>
          </w:p>
        </w:tc>
        <w:tc>
          <w:tcPr>
            <w:tcW w:w="2746" w:type="pct"/>
            <w:gridSpan w:val="4"/>
            <w:tcBorders>
              <w:top w:val="single" w:color="auto" w:sz="4" w:space="0"/>
              <w:left w:val="single" w:color="auto" w:sz="4" w:space="0"/>
              <w:right w:val="single" w:color="auto" w:sz="4" w:space="0"/>
            </w:tcBorders>
            <w:noWrap w:val="0"/>
            <w:vAlign w:val="center"/>
          </w:tcPr>
          <w:p w14:paraId="76D9F0C8">
            <w:pPr>
              <w:keepNext w:val="0"/>
              <w:keepLines w:val="0"/>
              <w:widowControl w:val="0"/>
              <w:suppressLineNumbers w:val="0"/>
              <w:kinsoku/>
              <w:autoSpaceDE/>
              <w:autoSpaceDN/>
              <w:adjustRightInd/>
              <w:snapToGrid w:val="0"/>
              <w:spacing w:before="0" w:beforeAutospacing="0" w:after="0" w:afterAutospacing="0" w:line="300" w:lineRule="exact"/>
              <w:ind w:left="0" w:right="0" w:firstLine="0" w:firstLineChars="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是</w:t>
            </w: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否</w:t>
            </w:r>
          </w:p>
          <w:p w14:paraId="6EF5C1D1">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备注：</w:t>
            </w:r>
          </w:p>
        </w:tc>
      </w:tr>
      <w:tr w14:paraId="5D18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14:paraId="77CE6323">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p>
        </w:tc>
        <w:tc>
          <w:tcPr>
            <w:tcW w:w="1631" w:type="pct"/>
            <w:tcBorders>
              <w:top w:val="single" w:color="auto" w:sz="4" w:space="0"/>
              <w:left w:val="single" w:color="auto" w:sz="4" w:space="0"/>
              <w:right w:val="single" w:color="auto" w:sz="4" w:space="0"/>
            </w:tcBorders>
            <w:noWrap w:val="0"/>
            <w:vAlign w:val="center"/>
          </w:tcPr>
          <w:p w14:paraId="6EA8D2FD">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货物和配件性能参数是否</w:t>
            </w:r>
            <w:r>
              <w:rPr>
                <w:rFonts w:hint="eastAsia"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符合需求</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，如否请备注情况</w:t>
            </w:r>
          </w:p>
        </w:tc>
        <w:tc>
          <w:tcPr>
            <w:tcW w:w="2746" w:type="pct"/>
            <w:gridSpan w:val="4"/>
            <w:tcBorders>
              <w:top w:val="single" w:color="auto" w:sz="4" w:space="0"/>
              <w:left w:val="single" w:color="auto" w:sz="4" w:space="0"/>
              <w:right w:val="single" w:color="auto" w:sz="4" w:space="0"/>
            </w:tcBorders>
            <w:noWrap w:val="0"/>
            <w:vAlign w:val="center"/>
          </w:tcPr>
          <w:p w14:paraId="1CFFDFBE">
            <w:pPr>
              <w:keepNext w:val="0"/>
              <w:keepLines w:val="0"/>
              <w:widowControl w:val="0"/>
              <w:suppressLineNumbers w:val="0"/>
              <w:kinsoku/>
              <w:autoSpaceDE/>
              <w:autoSpaceDN/>
              <w:adjustRightInd/>
              <w:snapToGrid w:val="0"/>
              <w:spacing w:before="0" w:beforeAutospacing="0" w:after="0" w:afterAutospacing="0" w:line="300" w:lineRule="exact"/>
              <w:ind w:left="0" w:right="0" w:firstLine="0" w:firstLineChars="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是</w:t>
            </w: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否</w:t>
            </w:r>
          </w:p>
          <w:p w14:paraId="78A9AD0C">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备注：</w:t>
            </w:r>
          </w:p>
        </w:tc>
      </w:tr>
      <w:tr w14:paraId="12A8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14:paraId="529BB8FB">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p>
        </w:tc>
        <w:tc>
          <w:tcPr>
            <w:tcW w:w="1631" w:type="pct"/>
            <w:tcBorders>
              <w:top w:val="single" w:color="auto" w:sz="4" w:space="0"/>
              <w:left w:val="single" w:color="auto" w:sz="4" w:space="0"/>
              <w:right w:val="single" w:color="auto" w:sz="4" w:space="0"/>
            </w:tcBorders>
            <w:noWrap w:val="0"/>
            <w:vAlign w:val="center"/>
          </w:tcPr>
          <w:p w14:paraId="1FC45ECD">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到货资料检查</w:t>
            </w:r>
          </w:p>
        </w:tc>
        <w:tc>
          <w:tcPr>
            <w:tcW w:w="2746" w:type="pct"/>
            <w:gridSpan w:val="4"/>
            <w:tcBorders>
              <w:top w:val="single" w:color="auto" w:sz="4" w:space="0"/>
              <w:left w:val="single" w:color="auto" w:sz="4" w:space="0"/>
              <w:right w:val="single" w:color="auto" w:sz="4" w:space="0"/>
            </w:tcBorders>
            <w:noWrap w:val="0"/>
            <w:vAlign w:val="center"/>
          </w:tcPr>
          <w:p w14:paraId="28B96E76">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产品说明书</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产品合格证、</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保修单、</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出厂检测</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报告、</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技术图纸、</w:t>
            </w:r>
            <w:r>
              <w:rPr>
                <w:rFonts w:hint="eastAsia"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其他</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 xml:space="preserve">      </w:t>
            </w:r>
          </w:p>
        </w:tc>
      </w:tr>
      <w:tr w14:paraId="724D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14:paraId="2D2A0C20">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p>
        </w:tc>
        <w:tc>
          <w:tcPr>
            <w:tcW w:w="1631" w:type="pct"/>
            <w:tcBorders>
              <w:top w:val="single" w:color="auto" w:sz="4" w:space="0"/>
              <w:left w:val="single" w:color="auto" w:sz="4" w:space="0"/>
              <w:right w:val="single" w:color="auto" w:sz="4" w:space="0"/>
            </w:tcBorders>
            <w:noWrap w:val="0"/>
            <w:vAlign w:val="center"/>
          </w:tcPr>
          <w:p w14:paraId="239F42E5">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是否需要送检</w:t>
            </w:r>
          </w:p>
        </w:tc>
        <w:tc>
          <w:tcPr>
            <w:tcW w:w="2746" w:type="pct"/>
            <w:gridSpan w:val="4"/>
            <w:tcBorders>
              <w:top w:val="single" w:color="auto" w:sz="4" w:space="0"/>
              <w:left w:val="single" w:color="auto" w:sz="4" w:space="0"/>
              <w:right w:val="single" w:color="auto" w:sz="4" w:space="0"/>
            </w:tcBorders>
            <w:noWrap w:val="0"/>
            <w:vAlign w:val="center"/>
          </w:tcPr>
          <w:p w14:paraId="507CDFE6">
            <w:pPr>
              <w:keepNext w:val="0"/>
              <w:keepLines w:val="0"/>
              <w:widowControl w:val="0"/>
              <w:suppressLineNumbers w:val="0"/>
              <w:kinsoku/>
              <w:autoSpaceDE/>
              <w:autoSpaceDN/>
              <w:adjustRightInd/>
              <w:snapToGrid w:val="0"/>
              <w:spacing w:before="0" w:beforeAutospacing="0" w:after="0" w:afterAutospacing="0" w:line="300" w:lineRule="exact"/>
              <w:ind w:left="0" w:right="0" w:firstLine="880" w:firstLineChars="40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是</w:t>
            </w:r>
            <w:r>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sym w:font="Wingdings 2" w:char="00A3"/>
            </w: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否</w:t>
            </w:r>
          </w:p>
        </w:tc>
      </w:tr>
      <w:tr w14:paraId="3395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14:paraId="01450DE0">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p>
        </w:tc>
        <w:tc>
          <w:tcPr>
            <w:tcW w:w="1631" w:type="pct"/>
            <w:tcBorders>
              <w:top w:val="single" w:color="auto" w:sz="4" w:space="0"/>
              <w:left w:val="single" w:color="auto" w:sz="4" w:space="0"/>
              <w:right w:val="single" w:color="auto" w:sz="4" w:space="0"/>
            </w:tcBorders>
            <w:noWrap w:val="0"/>
            <w:vAlign w:val="center"/>
          </w:tcPr>
          <w:p w14:paraId="4D8AF0E8">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其他问题</w:t>
            </w:r>
          </w:p>
        </w:tc>
        <w:tc>
          <w:tcPr>
            <w:tcW w:w="2746" w:type="pct"/>
            <w:gridSpan w:val="4"/>
            <w:tcBorders>
              <w:top w:val="single" w:color="auto" w:sz="4" w:space="0"/>
              <w:left w:val="single" w:color="auto" w:sz="4" w:space="0"/>
              <w:right w:val="single" w:color="auto" w:sz="4" w:space="0"/>
            </w:tcBorders>
            <w:noWrap w:val="0"/>
            <w:vAlign w:val="center"/>
          </w:tcPr>
          <w:p w14:paraId="56F31FCB">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p>
        </w:tc>
      </w:tr>
      <w:tr w14:paraId="327D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51" w:type="pct"/>
            <w:gridSpan w:val="3"/>
            <w:tcBorders>
              <w:left w:val="single" w:color="auto" w:sz="4" w:space="0"/>
              <w:bottom w:val="single" w:color="auto" w:sz="4" w:space="0"/>
              <w:right w:val="single" w:color="auto" w:sz="4" w:space="0"/>
            </w:tcBorders>
            <w:noWrap w:val="0"/>
            <w:vAlign w:val="center"/>
          </w:tcPr>
          <w:p w14:paraId="1D22B750">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0"/>
                <w:sz w:val="22"/>
                <w:szCs w:val="22"/>
                <w:highlight w:val="none"/>
                <w:lang w:eastAsia="zh-CN"/>
                <w14:textFill>
                  <w14:solidFill>
                    <w14:schemeClr w14:val="tx1"/>
                  </w14:solidFill>
                </w14:textFill>
              </w:rPr>
              <w:t>现场到货验收意见</w:t>
            </w:r>
          </w:p>
        </w:tc>
        <w:tc>
          <w:tcPr>
            <w:tcW w:w="2648" w:type="pct"/>
            <w:gridSpan w:val="3"/>
            <w:tcBorders>
              <w:top w:val="single" w:color="auto" w:sz="4" w:space="0"/>
              <w:left w:val="single" w:color="auto" w:sz="4" w:space="0"/>
              <w:right w:val="single" w:color="auto" w:sz="4" w:space="0"/>
            </w:tcBorders>
            <w:noWrap w:val="0"/>
            <w:vAlign w:val="center"/>
          </w:tcPr>
          <w:p w14:paraId="7B96D01B">
            <w:pPr>
              <w:pStyle w:val="1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20" w:firstLineChars="200"/>
              <w:textAlignment w:val="auto"/>
              <w:rPr>
                <w:rFonts w:hint="default" w:ascii="Times New Roman" w:hAnsi="Times New Roman" w:eastAsia="仿宋_GB2312" w:cs="Times New Roman"/>
                <w:b w:val="0"/>
                <w:bCs/>
                <w:snapToGrid/>
                <w:color w:val="000000" w:themeColor="text1"/>
                <w:kern w:val="2"/>
                <w:sz w:val="31"/>
                <w:szCs w:val="24"/>
                <w:highlight w:val="none"/>
                <w:lang w:eastAsia="zh-CN"/>
                <w14:textFill>
                  <w14:solidFill>
                    <w14:schemeClr w14:val="tx1"/>
                  </w14:solidFill>
                </w14:textFill>
              </w:rPr>
            </w:pPr>
          </w:p>
          <w:p w14:paraId="11831428">
            <w:pPr>
              <w:pStyle w:val="19"/>
              <w:keepNext w:val="0"/>
              <w:keepLines w:val="0"/>
              <w:suppressLineNumbers w:val="0"/>
              <w:spacing w:before="0" w:beforeAutospacing="0" w:after="0" w:afterAutospacing="0"/>
              <w:ind w:left="0"/>
              <w:rPr>
                <w:rFonts w:hint="default"/>
                <w:color w:val="000000" w:themeColor="text1"/>
                <w:highlight w:val="none"/>
                <w:lang w:eastAsia="zh-CN"/>
                <w14:textFill>
                  <w14:solidFill>
                    <w14:schemeClr w14:val="tx1"/>
                  </w14:solidFill>
                </w14:textFill>
              </w:rPr>
            </w:pPr>
          </w:p>
          <w:p w14:paraId="3E1CC968">
            <w:pPr>
              <w:keepNext w:val="0"/>
              <w:keepLines w:val="0"/>
              <w:suppressLineNumbers w:val="0"/>
              <w:spacing w:before="0" w:beforeAutospacing="0" w:after="0" w:afterAutospacing="0"/>
              <w:ind w:left="0" w:right="0"/>
              <w:rPr>
                <w:rFonts w:hint="default"/>
                <w:color w:val="000000" w:themeColor="text1"/>
                <w:highlight w:val="none"/>
                <w:lang w:eastAsia="zh-CN"/>
                <w14:textFill>
                  <w14:solidFill>
                    <w14:schemeClr w14:val="tx1"/>
                  </w14:solidFill>
                </w14:textFill>
              </w:rPr>
            </w:pPr>
          </w:p>
        </w:tc>
      </w:tr>
      <w:tr w14:paraId="279FD9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0" w:hRule="atLeast"/>
        </w:trPr>
        <w:tc>
          <w:tcPr>
            <w:tcW w:w="5000" w:type="pct"/>
            <w:gridSpan w:val="6"/>
            <w:tcBorders>
              <w:top w:val="single" w:color="auto" w:sz="6" w:space="0"/>
              <w:left w:val="single" w:color="auto" w:sz="6" w:space="0"/>
              <w:bottom w:val="single" w:color="auto" w:sz="6" w:space="0"/>
              <w:right w:val="single" w:color="auto" w:sz="6" w:space="0"/>
            </w:tcBorders>
            <w:noWrap/>
            <w:vAlign w:val="center"/>
          </w:tcPr>
          <w:p w14:paraId="57D21F1A">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Cs/>
                <w:snapToGrid/>
                <w:color w:val="000000" w:themeColor="text1"/>
                <w:kern w:val="0"/>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2"/>
                <w:sz w:val="22"/>
                <w:szCs w:val="22"/>
                <w:highlight w:val="none"/>
                <w:lang w:eastAsia="zh-CN"/>
                <w14:textFill>
                  <w14:solidFill>
                    <w14:schemeClr w14:val="tx1"/>
                  </w14:solidFill>
                </w14:textFill>
              </w:rPr>
              <w:t xml:space="preserve">参 加  验 收 的 单 位 和 代 表 （签 </w:t>
            </w:r>
            <w:r>
              <w:rPr>
                <w:rFonts w:hint="default" w:ascii="Times New Roman" w:hAnsi="Times New Roman" w:eastAsia="仿宋_GB2312" w:cs="Times New Roman"/>
                <w:b w:val="0"/>
                <w:bCs/>
                <w:snapToGrid/>
                <w:color w:val="000000" w:themeColor="text1"/>
                <w:kern w:val="2"/>
                <w:sz w:val="22"/>
                <w:szCs w:val="22"/>
                <w:highlight w:val="none"/>
                <w:lang w:val="en-US" w:eastAsia="zh-CN"/>
                <w14:textFill>
                  <w14:solidFill>
                    <w14:schemeClr w14:val="tx1"/>
                  </w14:solidFill>
                </w14:textFill>
              </w:rPr>
              <w:t>字</w:t>
            </w:r>
            <w:r>
              <w:rPr>
                <w:rFonts w:hint="default" w:ascii="Times New Roman" w:hAnsi="Times New Roman" w:eastAsia="仿宋_GB2312" w:cs="Times New Roman"/>
                <w:b w:val="0"/>
                <w:bCs/>
                <w:snapToGrid/>
                <w:color w:val="000000" w:themeColor="text1"/>
                <w:kern w:val="2"/>
                <w:sz w:val="22"/>
                <w:szCs w:val="22"/>
                <w:highlight w:val="none"/>
                <w:lang w:eastAsia="zh-CN"/>
                <w14:textFill>
                  <w14:solidFill>
                    <w14:schemeClr w14:val="tx1"/>
                  </w14:solidFill>
                </w14:textFill>
              </w:rPr>
              <w:t>）</w:t>
            </w:r>
          </w:p>
        </w:tc>
      </w:tr>
      <w:tr w14:paraId="15267F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2" w:hRule="atLeast"/>
        </w:trPr>
        <w:tc>
          <w:tcPr>
            <w:tcW w:w="2686" w:type="pct"/>
            <w:gridSpan w:val="4"/>
            <w:tcBorders>
              <w:top w:val="single" w:color="auto" w:sz="6" w:space="0"/>
              <w:left w:val="single" w:color="auto" w:sz="6" w:space="0"/>
              <w:bottom w:val="single" w:color="auto" w:sz="6" w:space="0"/>
              <w:right w:val="single" w:color="auto" w:sz="6" w:space="0"/>
            </w:tcBorders>
            <w:noWrap/>
            <w:vAlign w:val="top"/>
          </w:tcPr>
          <w:p w14:paraId="4AD5C589">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2"/>
                <w:sz w:val="22"/>
                <w:szCs w:val="22"/>
                <w:highlight w:val="none"/>
                <w:lang w:val="en-US"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2"/>
                <w:sz w:val="22"/>
                <w:szCs w:val="22"/>
                <w:highlight w:val="none"/>
                <w:lang w:val="en-US" w:eastAsia="zh-CN"/>
                <w14:textFill>
                  <w14:solidFill>
                    <w14:schemeClr w14:val="tx1"/>
                  </w14:solidFill>
                </w14:textFill>
              </w:rPr>
              <w:t>供货</w:t>
            </w:r>
            <w:r>
              <w:rPr>
                <w:rFonts w:hint="default" w:ascii="Times New Roman" w:hAnsi="Times New Roman" w:eastAsia="仿宋_GB2312" w:cs="Times New Roman"/>
                <w:b w:val="0"/>
                <w:bCs/>
                <w:snapToGrid/>
                <w:color w:val="000000" w:themeColor="text1"/>
                <w:kern w:val="2"/>
                <w:sz w:val="22"/>
                <w:szCs w:val="22"/>
                <w:highlight w:val="none"/>
                <w:lang w:eastAsia="zh-CN"/>
                <w14:textFill>
                  <w14:solidFill>
                    <w14:schemeClr w14:val="tx1"/>
                  </w14:solidFill>
                </w14:textFill>
              </w:rPr>
              <w:t>单位</w:t>
            </w:r>
            <w:r>
              <w:rPr>
                <w:rFonts w:hint="eastAsia" w:ascii="Times New Roman" w:hAnsi="Times New Roman" w:eastAsia="仿宋_GB2312" w:cs="Times New Roman"/>
                <w:b w:val="0"/>
                <w:bCs/>
                <w:snapToGrid/>
                <w:color w:val="000000" w:themeColor="text1"/>
                <w:kern w:val="2"/>
                <w:sz w:val="22"/>
                <w:szCs w:val="22"/>
                <w:highlight w:val="none"/>
                <w:lang w:val="en-US" w:eastAsia="zh-CN"/>
                <w14:textFill>
                  <w14:solidFill>
                    <w14:schemeClr w14:val="tx1"/>
                  </w14:solidFill>
                </w14:textFill>
              </w:rPr>
              <w:t xml:space="preserve">  </w:t>
            </w:r>
          </w:p>
        </w:tc>
        <w:tc>
          <w:tcPr>
            <w:tcW w:w="2313" w:type="pct"/>
            <w:gridSpan w:val="2"/>
            <w:tcBorders>
              <w:top w:val="single" w:color="auto" w:sz="6" w:space="0"/>
              <w:left w:val="single" w:color="auto" w:sz="6" w:space="0"/>
              <w:bottom w:val="single" w:color="auto" w:sz="6" w:space="0"/>
              <w:right w:val="single" w:color="auto" w:sz="6" w:space="0"/>
            </w:tcBorders>
            <w:noWrap w:val="0"/>
            <w:vAlign w:val="top"/>
          </w:tcPr>
          <w:p w14:paraId="76D92847">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0"/>
                <w:sz w:val="22"/>
                <w:szCs w:val="22"/>
                <w:highlight w:val="none"/>
                <w:lang w:val="en-US"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2"/>
                <w:sz w:val="22"/>
                <w:szCs w:val="22"/>
                <w:highlight w:val="none"/>
                <w:lang w:val="en-US" w:eastAsia="zh-CN"/>
                <w14:textFill>
                  <w14:solidFill>
                    <w14:schemeClr w14:val="tx1"/>
                  </w14:solidFill>
                </w14:textFill>
              </w:rPr>
              <w:t>采购</w:t>
            </w:r>
            <w:r>
              <w:rPr>
                <w:rFonts w:hint="default" w:ascii="Times New Roman" w:hAnsi="Times New Roman" w:eastAsia="仿宋_GB2312" w:cs="Times New Roman"/>
                <w:b w:val="0"/>
                <w:bCs/>
                <w:snapToGrid/>
                <w:color w:val="000000" w:themeColor="text1"/>
                <w:kern w:val="2"/>
                <w:sz w:val="22"/>
                <w:szCs w:val="22"/>
                <w:highlight w:val="none"/>
                <w:lang w:eastAsia="zh-CN"/>
                <w14:textFill>
                  <w14:solidFill>
                    <w14:schemeClr w14:val="tx1"/>
                  </w14:solidFill>
                </w14:textFill>
              </w:rPr>
              <w:t>单位</w:t>
            </w:r>
            <w:r>
              <w:rPr>
                <w:rFonts w:hint="eastAsia" w:ascii="Times New Roman" w:hAnsi="Times New Roman" w:eastAsia="仿宋_GB2312" w:cs="Times New Roman"/>
                <w:b w:val="0"/>
                <w:bCs/>
                <w:snapToGrid/>
                <w:color w:val="000000" w:themeColor="text1"/>
                <w:kern w:val="2"/>
                <w:sz w:val="22"/>
                <w:szCs w:val="22"/>
                <w:highlight w:val="none"/>
                <w:lang w:val="en-US" w:eastAsia="zh-CN"/>
                <w14:textFill>
                  <w14:solidFill>
                    <w14:schemeClr w14:val="tx1"/>
                  </w14:solidFill>
                </w14:textFill>
              </w:rPr>
              <w:t xml:space="preserve">  </w:t>
            </w:r>
          </w:p>
        </w:tc>
      </w:tr>
      <w:tr w14:paraId="700E63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7" w:hRule="atLeast"/>
        </w:trPr>
        <w:tc>
          <w:tcPr>
            <w:tcW w:w="5000" w:type="pct"/>
            <w:gridSpan w:val="6"/>
            <w:tcBorders>
              <w:top w:val="single" w:color="auto" w:sz="6" w:space="0"/>
              <w:left w:val="single" w:color="auto" w:sz="6" w:space="0"/>
              <w:bottom w:val="single" w:color="auto" w:sz="6" w:space="0"/>
              <w:right w:val="single" w:color="auto" w:sz="6" w:space="0"/>
            </w:tcBorders>
            <w:noWrap/>
            <w:vAlign w:val="top"/>
          </w:tcPr>
          <w:p w14:paraId="5D37C50F">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000000" w:themeColor="text1"/>
                <w:kern w:val="2"/>
                <w:sz w:val="22"/>
                <w:szCs w:val="22"/>
                <w:highlight w:val="none"/>
                <w:lang w:val="en-US"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2"/>
                <w:sz w:val="22"/>
                <w:szCs w:val="22"/>
                <w:highlight w:val="none"/>
                <w:lang w:val="en-US" w:eastAsia="zh-CN"/>
                <w14:textFill>
                  <w14:solidFill>
                    <w14:schemeClr w14:val="tx1"/>
                  </w14:solidFill>
                </w14:textFill>
              </w:rPr>
              <w:t>注：对于需要调试和整体验收的项目，本验收表签署仅代表货物到场，不代表完全认可货物的质量，不代表货物所有权转移。</w:t>
            </w:r>
          </w:p>
        </w:tc>
      </w:tr>
    </w:tbl>
    <w:p w14:paraId="41837124">
      <w:pPr>
        <w:pStyle w:val="19"/>
        <w:rPr>
          <w:rFonts w:hint="default" w:ascii="Times New Roman" w:hAnsi="Times New Roman" w:eastAsia="仿宋_GB2312" w:cs="Times New Roman"/>
          <w:b w:val="0"/>
          <w:bCs/>
          <w:snapToGrid/>
          <w:color w:val="000000" w:themeColor="text1"/>
          <w:kern w:val="2"/>
          <w:sz w:val="22"/>
          <w:szCs w:val="22"/>
          <w:highlight w:val="none"/>
          <w:lang w:eastAsia="zh-CN"/>
          <w14:textFill>
            <w14:solidFill>
              <w14:schemeClr w14:val="tx1"/>
            </w14:solidFill>
          </w14:textFill>
        </w:rPr>
      </w:pPr>
      <w:r>
        <w:rPr>
          <w:rFonts w:hint="default" w:ascii="Times New Roman" w:hAnsi="Times New Roman" w:eastAsia="仿宋_GB2312" w:cs="Times New Roman"/>
          <w:b w:val="0"/>
          <w:bCs/>
          <w:snapToGrid/>
          <w:color w:val="000000" w:themeColor="text1"/>
          <w:kern w:val="2"/>
          <w:sz w:val="22"/>
          <w:szCs w:val="22"/>
          <w:highlight w:val="none"/>
          <w:lang w:eastAsia="zh-CN"/>
          <w14:textFill>
            <w14:solidFill>
              <w14:schemeClr w14:val="tx1"/>
            </w14:solidFill>
          </w14:textFill>
        </w:rPr>
        <w:t>此表一式</w:t>
      </w:r>
      <w:r>
        <w:rPr>
          <w:rFonts w:hint="default" w:ascii="Times New Roman" w:hAnsi="Times New Roman" w:eastAsia="仿宋_GB2312" w:cs="Times New Roman"/>
          <w:b w:val="0"/>
          <w:bCs/>
          <w:snapToGrid/>
          <w:color w:val="000000" w:themeColor="text1"/>
          <w:kern w:val="2"/>
          <w:sz w:val="22"/>
          <w:szCs w:val="22"/>
          <w:highlight w:val="none"/>
          <w:lang w:val="en-US" w:eastAsia="zh-CN"/>
          <w14:textFill>
            <w14:solidFill>
              <w14:schemeClr w14:val="tx1"/>
            </w14:solidFill>
          </w14:textFill>
        </w:rPr>
        <w:t>两</w:t>
      </w:r>
      <w:r>
        <w:rPr>
          <w:rFonts w:hint="default" w:ascii="Times New Roman" w:hAnsi="Times New Roman" w:eastAsia="仿宋_GB2312" w:cs="Times New Roman"/>
          <w:b w:val="0"/>
          <w:bCs/>
          <w:snapToGrid/>
          <w:color w:val="000000" w:themeColor="text1"/>
          <w:kern w:val="2"/>
          <w:sz w:val="22"/>
          <w:szCs w:val="22"/>
          <w:highlight w:val="none"/>
          <w:lang w:eastAsia="zh-CN"/>
          <w14:textFill>
            <w14:solidFill>
              <w14:schemeClr w14:val="tx1"/>
            </w14:solidFill>
          </w14:textFill>
        </w:rPr>
        <w:t>份，</w:t>
      </w:r>
      <w:r>
        <w:rPr>
          <w:rFonts w:hint="default" w:ascii="Times New Roman" w:hAnsi="Times New Roman" w:eastAsia="仿宋_GB2312" w:cs="Times New Roman"/>
          <w:b w:val="0"/>
          <w:bCs/>
          <w:snapToGrid/>
          <w:color w:val="000000" w:themeColor="text1"/>
          <w:kern w:val="2"/>
          <w:sz w:val="22"/>
          <w:szCs w:val="22"/>
          <w:highlight w:val="none"/>
          <w:lang w:val="en-US" w:eastAsia="zh-CN"/>
          <w14:textFill>
            <w14:solidFill>
              <w14:schemeClr w14:val="tx1"/>
            </w14:solidFill>
          </w14:textFill>
        </w:rPr>
        <w:t>供货</w:t>
      </w:r>
      <w:r>
        <w:rPr>
          <w:rFonts w:hint="default" w:ascii="Times New Roman" w:hAnsi="Times New Roman" w:eastAsia="仿宋_GB2312" w:cs="Times New Roman"/>
          <w:b w:val="0"/>
          <w:bCs/>
          <w:snapToGrid/>
          <w:color w:val="000000" w:themeColor="text1"/>
          <w:kern w:val="2"/>
          <w:sz w:val="22"/>
          <w:szCs w:val="22"/>
          <w:highlight w:val="none"/>
          <w:lang w:eastAsia="zh-CN"/>
          <w14:textFill>
            <w14:solidFill>
              <w14:schemeClr w14:val="tx1"/>
            </w14:solidFill>
          </w14:textFill>
        </w:rPr>
        <w:t>单位、</w:t>
      </w:r>
      <w:r>
        <w:rPr>
          <w:rFonts w:hint="default" w:ascii="Times New Roman" w:hAnsi="Times New Roman" w:eastAsia="仿宋_GB2312" w:cs="Times New Roman"/>
          <w:b w:val="0"/>
          <w:bCs/>
          <w:snapToGrid/>
          <w:color w:val="000000" w:themeColor="text1"/>
          <w:kern w:val="2"/>
          <w:sz w:val="22"/>
          <w:szCs w:val="22"/>
          <w:highlight w:val="none"/>
          <w:lang w:val="en-US" w:eastAsia="zh-CN"/>
          <w14:textFill>
            <w14:solidFill>
              <w14:schemeClr w14:val="tx1"/>
            </w14:solidFill>
          </w14:textFill>
        </w:rPr>
        <w:t>采购</w:t>
      </w:r>
      <w:r>
        <w:rPr>
          <w:rFonts w:hint="default" w:ascii="Times New Roman" w:hAnsi="Times New Roman" w:eastAsia="仿宋_GB2312" w:cs="Times New Roman"/>
          <w:b w:val="0"/>
          <w:bCs/>
          <w:snapToGrid/>
          <w:color w:val="000000" w:themeColor="text1"/>
          <w:kern w:val="2"/>
          <w:sz w:val="22"/>
          <w:szCs w:val="22"/>
          <w:highlight w:val="none"/>
          <w:lang w:eastAsia="zh-CN"/>
          <w14:textFill>
            <w14:solidFill>
              <w14:schemeClr w14:val="tx1"/>
            </w14:solidFill>
          </w14:textFill>
        </w:rPr>
        <w:t>单位各存一份。</w:t>
      </w:r>
    </w:p>
    <w:p w14:paraId="2C0EAFC0">
      <w:pPr>
        <w:spacing w:line="360" w:lineRule="auto"/>
        <w:outlineLvl w:val="3"/>
        <w:rPr>
          <w:rFonts w:hint="eastAsia" w:ascii="宋体" w:hAnsi="宋体" w:eastAsia="宋体" w:cs="宋体"/>
          <w:b/>
          <w:color w:val="000000" w:themeColor="text1"/>
          <w:szCs w:val="21"/>
          <w:highlight w:val="none"/>
          <w14:textFill>
            <w14:solidFill>
              <w14:schemeClr w14:val="tx1"/>
            </w14:solidFill>
          </w14:textFill>
        </w:rPr>
      </w:pPr>
    </w:p>
    <w:p w14:paraId="534FADD9">
      <w:pPr>
        <w:spacing w:line="360" w:lineRule="auto"/>
        <w:outlineLvl w:val="3"/>
        <w:rPr>
          <w:rFonts w:hint="eastAsia" w:ascii="宋体" w:hAnsi="宋体" w:eastAsia="宋体" w:cs="宋体"/>
          <w:b/>
          <w:color w:val="000000" w:themeColor="text1"/>
          <w:szCs w:val="21"/>
          <w:highlight w:val="none"/>
          <w14:textFill>
            <w14:solidFill>
              <w14:schemeClr w14:val="tx1"/>
            </w14:solidFill>
          </w14:textFill>
        </w:rPr>
      </w:pPr>
    </w:p>
    <w:p w14:paraId="0BD18BB8">
      <w:pPr>
        <w:widowControl w:val="0"/>
        <w:spacing w:after="0" w:line="360" w:lineRule="auto"/>
        <w:jc w:val="left"/>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01F9FB48">
      <w:pPr>
        <w:pageBreakBefore/>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14:textFill>
            <w14:solidFill>
              <w14:schemeClr w14:val="tx1"/>
            </w14:solidFill>
          </w14:textFill>
        </w:rPr>
        <w:t>：廉洁协议书</w:t>
      </w:r>
    </w:p>
    <w:p w14:paraId="2CF69D9A">
      <w:pPr>
        <w:spacing w:line="360" w:lineRule="auto"/>
        <w:jc w:val="center"/>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廉洁协议书</w:t>
      </w:r>
    </w:p>
    <w:p w14:paraId="2BE63CA0">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项目名称：东莞市供水计量设施更新项目(2025年计量仪表采购)－螺翼式远传水表（招标编号：SSWSSZ12501140）</w:t>
      </w:r>
    </w:p>
    <w:p w14:paraId="5664C5CB">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甲方（业主单位）：</w:t>
      </w:r>
    </w:p>
    <w:p w14:paraId="1300E53D">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乙方：</w:t>
      </w:r>
    </w:p>
    <w:p w14:paraId="7236271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3D01543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第一条  甲乙双方的权利和义务</w:t>
      </w:r>
    </w:p>
    <w:p w14:paraId="2B31B37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（一）严格遵守党和国家有关法律法规等有关廉洁从业规定。</w:t>
      </w:r>
    </w:p>
    <w:p w14:paraId="174B6E1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（二）严格执行本项目的合同文件，自觉按合同办事。</w:t>
      </w:r>
    </w:p>
    <w:p w14:paraId="554ECBC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14:paraId="42FB27E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（四）建立健全廉洁制度，开展廉洁教育，设立廉洁监督公示牌，公布举报电话，监督并认真查处违法违纪行为。</w:t>
      </w:r>
    </w:p>
    <w:p w14:paraId="399EF93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（五）发现对方在业务活动中有违反廉洁规定的行为，有及时提醒对方纠正的权利和义务。</w:t>
      </w:r>
    </w:p>
    <w:p w14:paraId="13297B6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（六）发现对方严重违反本协议义务条款的行为，有向其上级有关部门举报、建议给予处理并要求告知处理结果的权利。</w:t>
      </w:r>
    </w:p>
    <w:p w14:paraId="3CB05A3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第二条  甲方的义务</w:t>
      </w:r>
    </w:p>
    <w:p w14:paraId="3B21EBE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（一）甲方及其工作人员不得索要或接受乙方的礼金、有价证券和贵重物品，不得在乙方报销任何应由甲方或个人支付的费用。</w:t>
      </w:r>
    </w:p>
    <w:p w14:paraId="3D231B9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（二）甲方工作人员不得参加乙方安排的高消费宴请和娱乐活动；不得接受乙方提供的通讯工具、交通工具和高档办公用品。</w:t>
      </w:r>
    </w:p>
    <w:p w14:paraId="04D3ED5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（三）甲方及其工作人员不得要求或者接受乙方为其住房装修、婚丧嫁娶活动、家属或亲友的工作安排以及出国出境、旅游等提供方便。</w:t>
      </w:r>
    </w:p>
    <w:p w14:paraId="09D476B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（四）甲方工作人员不得向乙方介绍其家属或者亲友（包括家属或亲友开办的公司企业）从事于本项目涉及的经济业务活动。</w:t>
      </w:r>
    </w:p>
    <w:p w14:paraId="4795EFD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（五）甲方及其工作人员不得以任何理由向乙方推荐分包单位，不得要求乙方购买合同规定外的材料和设备。</w:t>
      </w:r>
    </w:p>
    <w:p w14:paraId="3459D72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（六）甲方及其工作人员不得进行违反廉洁规定的其他活动。</w:t>
      </w:r>
    </w:p>
    <w:p w14:paraId="625B070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14:paraId="329C6EE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第三条  乙方义务</w:t>
      </w:r>
    </w:p>
    <w:p w14:paraId="6FC9091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（一）乙方不得以任何理由向甲方及其工作人员馈赠礼金、有价证券、贵重礼品，或报销应由甲方单位或个人支付的任何费用。</w:t>
      </w:r>
    </w:p>
    <w:p w14:paraId="24D1C88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（二）乙方及其工作人员不得以考察、参观、洽谈业务、签订合同等的借口邀请甲方及其工作人员参加高消费的宴请、娱乐和健身等活动。</w:t>
      </w:r>
    </w:p>
    <w:p w14:paraId="362DD23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（三）乙方不得为甲方单位和个人购置或提供通讯工具、交通工具和高档办公用品等。</w:t>
      </w:r>
    </w:p>
    <w:p w14:paraId="19A09B3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（四）乙方及其工作人员不得为甲方工作人员购买、装修、维修私人住房、汽车等。</w:t>
      </w:r>
    </w:p>
    <w:p w14:paraId="12FF555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（五）乙方及其工作人员不得为甲方工作人员的婚丧嫁娶、家属或亲友的工作安排，及出国出境提供方便以及报销任何私人消费的费用。</w:t>
      </w:r>
    </w:p>
    <w:p w14:paraId="6E97639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（六）乙方及其工作人员不得进行影响甲方及其工作人员公正执行合同和履行职务的其他活动。</w:t>
      </w:r>
    </w:p>
    <w:p w14:paraId="3857B9F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2293E64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第四条  违约责任</w:t>
      </w:r>
    </w:p>
    <w:p w14:paraId="037ADF6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（一）甲方违反本协议第一、第二条给乙方单位造成经济损失的，应予以赔偿。</w:t>
      </w:r>
    </w:p>
    <w:p w14:paraId="7701877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（二）乙方违反本协议第一、第三条给甲方单位造成经济损失的，应予以赔偿。</w:t>
      </w:r>
    </w:p>
    <w:p w14:paraId="67EF181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第五条  监督检查</w:t>
      </w:r>
    </w:p>
    <w:p w14:paraId="5FA6B85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甲乙双方的廉洁从业行为由双方或双方上级单位的纪检、监察负责监督，对本协议履行情况进行检查。</w:t>
      </w:r>
    </w:p>
    <w:p w14:paraId="2831F2F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第六条 </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举报信访受理</w:t>
      </w:r>
    </w:p>
    <w:p w14:paraId="217345B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(一)举报受理部门: 东莞市水务集团有限公司纪检监察部。</w:t>
      </w:r>
    </w:p>
    <w:p w14:paraId="204C5BF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(二)举报电话: ( 0769 ) 23076092</w:t>
      </w:r>
    </w:p>
    <w:p w14:paraId="71AD43B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(三)举报邮箱:</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jcsi@dgswit.cn.</w:t>
      </w:r>
    </w:p>
    <w:p w14:paraId="6F9EFE8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(四)信访地址: 广东省东莞市东城街道育华路 1 号 </w:t>
      </w:r>
    </w:p>
    <w:p w14:paraId="4A3919C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第七条  </w:t>
      </w:r>
      <w:r>
        <w:rPr>
          <w:rFonts w:hint="eastAsia" w:ascii="宋体" w:hAnsi="宋体" w:eastAsia="宋体" w:cs="宋体"/>
          <w:color w:val="000000" w:themeColor="text1"/>
          <w:kern w:val="0"/>
          <w:sz w:val="21"/>
          <w:szCs w:val="21"/>
          <w:highlight w:val="none"/>
          <w14:textFill>
            <w14:solidFill>
              <w14:schemeClr w14:val="tx1"/>
            </w14:solidFill>
          </w14:textFill>
        </w:rPr>
        <w:t>其他</w:t>
      </w:r>
    </w:p>
    <w:p w14:paraId="0233BC3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本协议有效期为甲乙双方法定代表人或负责人签字并盖章之日起至该工程/采购项目竣工验收完毕，质保期/服务期满后止。本协议一式</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份，甲、乙双方各执</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份，甲、乙双方上级主管部门各执</w:t>
      </w:r>
      <w:r>
        <w:rPr>
          <w:rFonts w:hint="eastAsia" w:ascii="宋体" w:hAnsi="宋体" w:eastAsia="宋体" w:cs="宋体"/>
          <w:strike w:val="0"/>
          <w:dstrike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strike w:val="0"/>
          <w:dstrike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strike w:val="0"/>
          <w:dstrike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份。</w:t>
      </w:r>
    </w:p>
    <w:p w14:paraId="1B001917">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p>
    <w:p w14:paraId="5C1B8173">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p>
    <w:p w14:paraId="79F8CBD3">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甲方（盖章）：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 xml:space="preserve">乙方（盖章）： </w:t>
      </w:r>
    </w:p>
    <w:p w14:paraId="49A28C6B">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p>
    <w:p w14:paraId="6C03CA92">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法定代表（或负责）人：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法定代表人：</w:t>
      </w:r>
    </w:p>
    <w:p w14:paraId="651DE38B">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p>
    <w:p w14:paraId="32FD35C2">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甲方代表：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乙方代表：</w:t>
      </w:r>
    </w:p>
    <w:p w14:paraId="5AC30CCD">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p>
    <w:p w14:paraId="0B67E812">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签订日期：</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 xml:space="preserve">年  月  日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年  月  日</w:t>
      </w:r>
    </w:p>
    <w:p w14:paraId="10E675C8">
      <w:pPr>
        <w:pStyle w:val="4"/>
        <w:rPr>
          <w:rFonts w:hint="eastAsia"/>
          <w:color w:val="000000" w:themeColor="text1"/>
          <w:highlight w:val="none"/>
          <w14:textFill>
            <w14:solidFill>
              <w14:schemeClr w14:val="tx1"/>
            </w14:solidFill>
          </w14:textFill>
        </w:rPr>
      </w:pPr>
    </w:p>
    <w:p w14:paraId="03DD4FEE">
      <w:pPr>
        <w:spacing w:line="240" w:lineRule="auto"/>
        <w:rPr>
          <w:rFonts w:hint="eastAsia" w:ascii="宋体" w:hAnsi="宋体" w:eastAsia="宋体" w:cs="宋体"/>
          <w:b/>
          <w:color w:val="000000" w:themeColor="text1"/>
          <w:szCs w:val="21"/>
          <w:highlight w:val="none"/>
          <w14:textFill>
            <w14:solidFill>
              <w14:schemeClr w14:val="tx1"/>
            </w14:solidFill>
          </w14:textFill>
        </w:rPr>
      </w:pPr>
    </w:p>
    <w:p w14:paraId="055BAAF0">
      <w:pPr>
        <w:keepNext w:val="0"/>
        <w:keepLines w:val="0"/>
        <w:pageBreakBefore/>
        <w:widowControl w:val="0"/>
        <w:tabs>
          <w:tab w:val="left" w:pos="1080"/>
        </w:tabs>
        <w:kinsoku/>
        <w:wordWrap/>
        <w:overflowPunct/>
        <w:topLinePunct w:val="0"/>
        <w:autoSpaceDE w:val="0"/>
        <w:autoSpaceDN w:val="0"/>
        <w:bidi w:val="0"/>
        <w:adjustRightInd w:val="0"/>
        <w:snapToGrid/>
        <w:spacing w:line="360" w:lineRule="auto"/>
        <w:ind w:left="357" w:leftChars="-100" w:hanging="567"/>
        <w:jc w:val="center"/>
        <w:textAlignment w:val="auto"/>
        <w:outlineLvl w:val="0"/>
        <w:rPr>
          <w:rFonts w:hint="eastAsia" w:ascii="宋体" w:hAnsi="宋体" w:eastAsia="宋体" w:cs="宋体"/>
          <w:b/>
          <w:bCs/>
          <w:color w:val="000000" w:themeColor="text1"/>
          <w:kern w:val="44"/>
          <w:sz w:val="32"/>
          <w:szCs w:val="32"/>
          <w:highlight w:val="none"/>
          <w:lang w:val="zh-CN"/>
          <w14:textFill>
            <w14:solidFill>
              <w14:schemeClr w14:val="tx1"/>
            </w14:solidFill>
          </w14:textFill>
        </w:rPr>
      </w:pPr>
      <w:bookmarkStart w:id="867" w:name="_Toc21204"/>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第五篇 相关保函格式</w:t>
      </w:r>
      <w:bookmarkEnd w:id="867"/>
    </w:p>
    <w:p w14:paraId="5B315CDD">
      <w:pPr>
        <w:keepNext w:val="0"/>
        <w:keepLines w:val="0"/>
        <w:widowControl w:val="0"/>
        <w:kinsoku/>
        <w:wordWrap/>
        <w:overflowPunct/>
        <w:topLinePunct w:val="0"/>
        <w:autoSpaceDE w:val="0"/>
        <w:autoSpaceDN w:val="0"/>
        <w:bidi w:val="0"/>
        <w:adjustRightInd w:val="0"/>
        <w:snapToGrid/>
        <w:spacing w:after="120" w:afterLines="50" w:line="360" w:lineRule="auto"/>
        <w:jc w:val="left"/>
        <w:textAlignment w:val="auto"/>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一、不可撤销银行履约保函格式</w:t>
      </w:r>
    </w:p>
    <w:p w14:paraId="1E476FC5">
      <w:pPr>
        <w:keepNext w:val="0"/>
        <w:keepLines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p>
    <w:p w14:paraId="3226E460">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37F561FB">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14:paraId="1AF101B0">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651BA45B">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1CAA2449">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14:paraId="70C4C1F8">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4820F906">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0770E561">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3F761E9E">
      <w:pPr>
        <w:widowControl/>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本保函应从合同签订之日起至合同期限届满并完成全部供货验收合格后二十八（28）日内保持有效。</w:t>
      </w:r>
    </w:p>
    <w:p w14:paraId="0A34CE13">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4C23CFBB">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14:paraId="7E710ACC">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14:paraId="37E7A129">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14:paraId="0EBB3251">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14:paraId="32B0302A">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0CEBD372">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5654528B">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67656950">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3" w:type="default"/>
          <w:pgSz w:w="12240" w:h="15840"/>
          <w:pgMar w:top="1191" w:right="1043" w:bottom="1191" w:left="1043" w:header="720" w:footer="720" w:gutter="0"/>
          <w:pgNumType w:fmt="decimal"/>
          <w:cols w:space="720" w:num="1"/>
          <w:docGrid w:linePitch="326" w:charSpace="0"/>
        </w:sectPr>
      </w:pPr>
    </w:p>
    <w:p w14:paraId="18FAB0DD">
      <w:pPr>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二、履约保证保险凭证格式</w:t>
      </w:r>
    </w:p>
    <w:p w14:paraId="33A4CD1F">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履约保证保险凭证</w:t>
      </w:r>
    </w:p>
    <w:p w14:paraId="7F1A2B22">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2A315B5B">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编号：</w:t>
      </w:r>
    </w:p>
    <w:p w14:paraId="25FBBB84">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（下称“受益人”）： </w:t>
      </w:r>
    </w:p>
    <w:p w14:paraId="5A7CCC15">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0BD0CD4A">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。我方已接受申请人的请求，并出具《履约保证保险》保险单。</w:t>
      </w:r>
      <w:r>
        <w:rPr>
          <w:rFonts w:ascii="宋体" w:hAnsi="宋体" w:eastAsia="宋体" w:cs="宋体"/>
          <w:color w:val="000000" w:themeColor="text1"/>
          <w:kern w:val="0"/>
          <w:szCs w:val="21"/>
          <w:highlight w:val="none"/>
          <w14:textFill>
            <w14:solidFill>
              <w14:schemeClr w14:val="tx1"/>
            </w14:solidFill>
          </w14:textFill>
        </w:rPr>
        <w:t xml:space="preserve"> </w:t>
      </w:r>
    </w:p>
    <w:p w14:paraId="6EFFE33B">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一、保证保险金额 </w:t>
      </w:r>
    </w:p>
    <w:p w14:paraId="7274CFD9">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 （</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22910E7D">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二、保证保险的责任范围 </w:t>
      </w:r>
    </w:p>
    <w:p w14:paraId="51C047D8">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 xml:space="preserve">履行相关义务，给贵方造成损失的，贵方可向我方提出索赔，我方按照保险合同的约定承担损失赔偿责任。 </w:t>
      </w:r>
    </w:p>
    <w:p w14:paraId="19038BE9">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三、代偿的安排 </w:t>
      </w:r>
    </w:p>
    <w:p w14:paraId="2A0CB8AA">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ED71547">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四、生效时间 </w:t>
      </w:r>
    </w:p>
    <w:p w14:paraId="7BA84765">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本保险凭证自我方法定代表人（或其授权代理人）签字并加盖保险承保章之日起生效。 </w:t>
      </w:r>
    </w:p>
    <w:p w14:paraId="30B429E1">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五、其他</w:t>
      </w:r>
    </w:p>
    <w:p w14:paraId="4F42CD65">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本履约保证保险应从合同签订之日起至合同期限届满并完成全部供货验收合格后二十八（28）日内保持有效</w:t>
      </w:r>
      <w:r>
        <w:rPr>
          <w:rFonts w:hint="eastAsia" w:ascii="宋体" w:hAnsi="宋体" w:eastAsia="宋体" w:cs="宋体"/>
          <w:color w:val="000000" w:themeColor="text1"/>
          <w:kern w:val="2"/>
          <w:szCs w:val="21"/>
          <w:highlight w:val="none"/>
          <w:lang w:val="zh-CN"/>
          <w14:textFill>
            <w14:solidFill>
              <w14:schemeClr w14:val="tx1"/>
            </w14:solidFill>
          </w14:textFill>
        </w:rPr>
        <w:t>。</w:t>
      </w:r>
    </w:p>
    <w:p w14:paraId="32D54E3E">
      <w:pPr>
        <w:pStyle w:val="4"/>
        <w:rPr>
          <w:color w:val="000000" w:themeColor="text1"/>
          <w:highlight w:val="none"/>
          <w14:textFill>
            <w14:solidFill>
              <w14:schemeClr w14:val="tx1"/>
            </w14:solidFill>
          </w14:textFill>
        </w:rPr>
      </w:pPr>
    </w:p>
    <w:p w14:paraId="2B459CFA">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w:t>
      </w:r>
      <w:r>
        <w:rPr>
          <w:rFonts w:ascii="宋体" w:hAnsi="宋体" w:eastAsia="宋体" w:cs="宋体"/>
          <w:color w:val="000000" w:themeColor="text1"/>
          <w:kern w:val="0"/>
          <w:szCs w:val="21"/>
          <w:highlight w:val="none"/>
          <w14:textFill>
            <w14:solidFill>
              <w14:schemeClr w14:val="tx1"/>
            </w14:solidFill>
          </w14:textFill>
        </w:rPr>
        <w:t xml:space="preserve">XXX </w:t>
      </w:r>
      <w:r>
        <w:rPr>
          <w:rFonts w:hint="eastAsia" w:ascii="宋体" w:hAnsi="宋体" w:eastAsia="宋体" w:cs="宋体"/>
          <w:color w:val="000000" w:themeColor="text1"/>
          <w:kern w:val="0"/>
          <w:szCs w:val="21"/>
          <w:highlight w:val="none"/>
          <w14:textFill>
            <w14:solidFill>
              <w14:schemeClr w14:val="tx1"/>
            </w14:solidFill>
          </w14:textFill>
        </w:rPr>
        <w:t>保险有限公司履约保证保险（</w:t>
      </w:r>
      <w:r>
        <w:rPr>
          <w:rFonts w:ascii="宋体" w:hAnsi="宋体" w:eastAsia="宋体" w:cs="宋体"/>
          <w:color w:val="000000" w:themeColor="text1"/>
          <w:kern w:val="0"/>
          <w:szCs w:val="21"/>
          <w:highlight w:val="none"/>
          <w14:textFill>
            <w14:solidFill>
              <w14:schemeClr w14:val="tx1"/>
            </w14:solidFill>
          </w14:textFill>
        </w:rPr>
        <w:t xml:space="preserve">X </w:t>
      </w:r>
      <w:r>
        <w:rPr>
          <w:rFonts w:hint="eastAsia" w:ascii="宋体" w:hAnsi="宋体" w:eastAsia="宋体" w:cs="宋体"/>
          <w:color w:val="000000" w:themeColor="text1"/>
          <w:kern w:val="0"/>
          <w:szCs w:val="21"/>
          <w:highlight w:val="none"/>
          <w14:textFill>
            <w14:solidFill>
              <w14:schemeClr w14:val="tx1"/>
            </w14:solidFill>
          </w14:textFill>
        </w:rPr>
        <w:t xml:space="preserve">款）条款》及保单 </w:t>
      </w:r>
    </w:p>
    <w:p w14:paraId="04A1DB61">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01055008">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保险人：（盖章）</w:t>
      </w:r>
    </w:p>
    <w:p w14:paraId="0ADE639D">
      <w:pPr>
        <w:autoSpaceDE w:val="0"/>
        <w:autoSpaceDN w:val="0"/>
        <w:adjustRightInd w:val="0"/>
        <w:spacing w:line="360" w:lineRule="auto"/>
        <w:ind w:firstLine="437"/>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法定代表人或授权代理人：</w:t>
      </w:r>
      <w:r>
        <w:rPr>
          <w:rFonts w:ascii="宋体" w:hAnsi="宋体" w:eastAsia="宋体" w:cs="宋体"/>
          <w:color w:val="000000" w:themeColor="text1"/>
          <w:kern w:val="0"/>
          <w:szCs w:val="21"/>
          <w:highlight w:val="none"/>
          <w14:textFill>
            <w14:solidFill>
              <w14:schemeClr w14:val="tx1"/>
            </w14:solidFill>
          </w14:textFill>
        </w:rPr>
        <w:t xml:space="preserve">________ </w:t>
      </w:r>
    </w:p>
    <w:p w14:paraId="79D43B9E">
      <w:pPr>
        <w:jc w:val="righ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Times New Roman"/>
          <w:b/>
          <w:color w:val="000000" w:themeColor="text1"/>
          <w:kern w:val="0"/>
          <w:sz w:val="28"/>
          <w:szCs w:val="28"/>
          <w:highlight w:val="none"/>
          <w14:textFill>
            <w14:solidFill>
              <w14:schemeClr w14:val="tx1"/>
            </w14:solidFill>
          </w14:textFill>
        </w:rPr>
        <w:br w:type="page"/>
      </w:r>
    </w:p>
    <w:p w14:paraId="00DD0734">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三、担保公司履约担保书格式</w:t>
      </w:r>
    </w:p>
    <w:p w14:paraId="752ECFEB">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p>
    <w:p w14:paraId="442EED37">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0D543BE0">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14:paraId="21257CD7">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101B6C26">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无条件和不可撤销地在受益人出具本担保书原件且提出因申请人没有履行上述合同规定，在担保书限额内向受益人支付不超过人民币（大写）_________（¥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14:paraId="49B851FC">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68BE33BB">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本保函应从合同签订之日起至合同期限届满并完成全部供货验收合格后二十八（28）日内保持有效</w:t>
      </w:r>
      <w:r>
        <w:rPr>
          <w:rFonts w:hint="eastAsia" w:ascii="宋体" w:hAnsi="宋体" w:eastAsia="宋体" w:cs="宋体"/>
          <w:color w:val="000000" w:themeColor="text1"/>
          <w:kern w:val="2"/>
          <w:szCs w:val="21"/>
          <w:highlight w:val="none"/>
          <w:lang w:val="zh-CN"/>
          <w14:textFill>
            <w14:solidFill>
              <w14:schemeClr w14:val="tx1"/>
            </w14:solidFill>
          </w14:textFill>
        </w:rPr>
        <w:t>。</w:t>
      </w:r>
    </w:p>
    <w:p w14:paraId="2B7B13F5">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7572E359">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14:paraId="7BEBD082">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14:paraId="56AAC6CA">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14:paraId="0666556D">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14:paraId="2C09DF4E">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p w14:paraId="3BEE7518">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649FA7CD">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4FDB342D">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6CA5DE3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A87FFBB">
      <w:pPr>
        <w:autoSpaceDE w:val="0"/>
        <w:autoSpaceDN w:val="0"/>
        <w:adjustRightInd w:val="0"/>
        <w:jc w:val="left"/>
        <w:rPr>
          <w:rFonts w:ascii="宋体" w:hAnsi="宋体" w:eastAsia="宋体"/>
          <w:b/>
          <w:color w:val="000000" w:themeColor="text1"/>
          <w:kern w:val="0"/>
          <w:sz w:val="28"/>
          <w:szCs w:val="28"/>
          <w:highlight w:val="none"/>
          <w14:textFill>
            <w14:solidFill>
              <w14:schemeClr w14:val="tx1"/>
            </w14:solidFill>
          </w14:textFill>
        </w:rPr>
      </w:pPr>
    </w:p>
    <w:p w14:paraId="1981AA9C">
      <w:pPr>
        <w:autoSpaceDE w:val="0"/>
        <w:autoSpaceDN w:val="0"/>
        <w:adjustRightInd w:val="0"/>
        <w:jc w:val="left"/>
        <w:rPr>
          <w:rFonts w:ascii="宋体" w:hAnsi="宋体" w:eastAsia="宋体"/>
          <w:b/>
          <w:color w:val="000000" w:themeColor="text1"/>
          <w:kern w:val="0"/>
          <w:sz w:val="30"/>
          <w:szCs w:val="30"/>
          <w:highlight w:val="none"/>
          <w14:textFill>
            <w14:solidFill>
              <w14:schemeClr w14:val="tx1"/>
            </w14:solidFill>
          </w14:textFill>
        </w:rPr>
      </w:pPr>
      <w:r>
        <w:rPr>
          <w:rFonts w:ascii="宋体" w:hAnsi="宋体" w:eastAsia="宋体"/>
          <w:b/>
          <w:color w:val="000000" w:themeColor="text1"/>
          <w:kern w:val="0"/>
          <w:sz w:val="28"/>
          <w:szCs w:val="28"/>
          <w:highlight w:val="none"/>
          <w14:textFill>
            <w14:solidFill>
              <w14:schemeClr w14:val="tx1"/>
            </w14:solidFill>
          </w14:textFill>
        </w:rPr>
        <w:t>四、</w:t>
      </w:r>
      <w:r>
        <w:rPr>
          <w:rFonts w:hint="eastAsia" w:ascii="宋体" w:hAnsi="宋体" w:eastAsia="宋体"/>
          <w:b/>
          <w:color w:val="000000" w:themeColor="text1"/>
          <w:kern w:val="0"/>
          <w:sz w:val="28"/>
          <w:szCs w:val="28"/>
          <w:highlight w:val="none"/>
          <w14:textFill>
            <w14:solidFill>
              <w14:schemeClr w14:val="tx1"/>
            </w14:solidFill>
          </w14:textFill>
        </w:rPr>
        <w:t>订单全款独立</w:t>
      </w:r>
      <w:r>
        <w:rPr>
          <w:rFonts w:hint="eastAsia" w:ascii="宋体" w:hAnsi="宋体" w:eastAsia="宋体"/>
          <w:b/>
          <w:color w:val="000000" w:themeColor="text1"/>
          <w:kern w:val="0"/>
          <w:sz w:val="28"/>
          <w:szCs w:val="28"/>
          <w:highlight w:val="none"/>
          <w:lang w:val="en-US" w:eastAsia="zh-CN"/>
          <w14:textFill>
            <w14:solidFill>
              <w14:schemeClr w14:val="tx1"/>
            </w14:solidFill>
          </w14:textFill>
        </w:rPr>
        <w:t>银行</w:t>
      </w:r>
      <w:r>
        <w:rPr>
          <w:rFonts w:hint="eastAsia" w:ascii="宋体" w:hAnsi="宋体" w:eastAsia="宋体"/>
          <w:b/>
          <w:color w:val="000000" w:themeColor="text1"/>
          <w:kern w:val="0"/>
          <w:sz w:val="28"/>
          <w:szCs w:val="28"/>
          <w:highlight w:val="none"/>
          <w14:textFill>
            <w14:solidFill>
              <w14:schemeClr w14:val="tx1"/>
            </w14:solidFill>
          </w14:textFill>
        </w:rPr>
        <w:t>保函</w:t>
      </w:r>
      <w:r>
        <w:rPr>
          <w:rFonts w:ascii="宋体" w:hAnsi="宋体" w:eastAsia="宋体"/>
          <w:b/>
          <w:color w:val="000000" w:themeColor="text1"/>
          <w:kern w:val="0"/>
          <w:sz w:val="30"/>
          <w:szCs w:val="30"/>
          <w:highlight w:val="none"/>
          <w14:textFill>
            <w14:solidFill>
              <w14:schemeClr w14:val="tx1"/>
            </w14:solidFill>
          </w14:textFill>
        </w:rPr>
        <w:t>格式</w:t>
      </w:r>
    </w:p>
    <w:p w14:paraId="35CD713D">
      <w:pPr>
        <w:autoSpaceDE w:val="0"/>
        <w:autoSpaceDN w:val="0"/>
        <w:jc w:val="center"/>
        <w:rPr>
          <w:rFonts w:ascii="宋体" w:hAnsi="宋体" w:eastAsia="宋体"/>
          <w:b/>
          <w:color w:val="000000" w:themeColor="text1"/>
          <w:kern w:val="0"/>
          <w:sz w:val="30"/>
          <w:szCs w:val="30"/>
          <w:highlight w:val="none"/>
          <w14:textFill>
            <w14:solidFill>
              <w14:schemeClr w14:val="tx1"/>
            </w14:solidFill>
          </w14:textFill>
        </w:rPr>
      </w:pPr>
      <w:r>
        <w:rPr>
          <w:rFonts w:hint="eastAsia" w:ascii="宋体" w:hAnsi="宋体" w:eastAsia="宋体"/>
          <w:b/>
          <w:color w:val="000000" w:themeColor="text1"/>
          <w:kern w:val="0"/>
          <w:sz w:val="30"/>
          <w:szCs w:val="30"/>
          <w:highlight w:val="none"/>
          <w14:textFill>
            <w14:solidFill>
              <w14:schemeClr w14:val="tx1"/>
            </w14:solidFill>
          </w14:textFill>
        </w:rPr>
        <w:t>订单全款独立</w:t>
      </w:r>
      <w:r>
        <w:rPr>
          <w:rFonts w:hint="eastAsia" w:ascii="宋体" w:hAnsi="宋体" w:eastAsia="宋体"/>
          <w:b/>
          <w:color w:val="000000" w:themeColor="text1"/>
          <w:kern w:val="0"/>
          <w:sz w:val="30"/>
          <w:szCs w:val="30"/>
          <w:highlight w:val="none"/>
          <w:lang w:val="en-US" w:eastAsia="zh-CN"/>
          <w14:textFill>
            <w14:solidFill>
              <w14:schemeClr w14:val="tx1"/>
            </w14:solidFill>
          </w14:textFill>
        </w:rPr>
        <w:t>银行</w:t>
      </w:r>
      <w:r>
        <w:rPr>
          <w:rFonts w:hint="eastAsia" w:ascii="宋体" w:hAnsi="宋体" w:eastAsia="宋体"/>
          <w:b/>
          <w:color w:val="000000" w:themeColor="text1"/>
          <w:kern w:val="0"/>
          <w:sz w:val="30"/>
          <w:szCs w:val="30"/>
          <w:highlight w:val="none"/>
          <w14:textFill>
            <w14:solidFill>
              <w14:schemeClr w14:val="tx1"/>
            </w14:solidFill>
          </w14:textFill>
        </w:rPr>
        <w:t>保函</w:t>
      </w:r>
    </w:p>
    <w:p w14:paraId="757A8FEE">
      <w:pPr>
        <w:pStyle w:val="42"/>
        <w:ind w:firstLine="210"/>
        <w:rPr>
          <w:rFonts w:ascii="宋体" w:hAnsi="宋体" w:eastAsia="宋体"/>
          <w:color w:val="000000" w:themeColor="text1"/>
          <w:szCs w:val="21"/>
          <w:highlight w:val="none"/>
          <w14:textFill>
            <w14:solidFill>
              <w14:schemeClr w14:val="tx1"/>
            </w14:solidFill>
          </w14:textFill>
        </w:rPr>
      </w:pPr>
    </w:p>
    <w:p w14:paraId="4EF7A311">
      <w:pPr>
        <w:pStyle w:val="42"/>
        <w:ind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 xml:space="preserve">银行编号：             </w:t>
      </w:r>
    </w:p>
    <w:p w14:paraId="04FBB69F">
      <w:pPr>
        <w:pStyle w:val="42"/>
        <w:ind w:firstLineChars="200"/>
        <w:rPr>
          <w:rFonts w:ascii="宋体" w:hAnsi="宋体" w:eastAsia="宋体"/>
          <w:color w:val="000000" w:themeColor="text1"/>
          <w:szCs w:val="21"/>
          <w:highlight w:val="none"/>
          <w14:textFill>
            <w14:solidFill>
              <w14:schemeClr w14:val="tx1"/>
            </w14:solidFill>
          </w14:textFill>
        </w:rPr>
      </w:pPr>
    </w:p>
    <w:p w14:paraId="04BB86A1">
      <w:pPr>
        <w:pStyle w:val="42"/>
        <w:spacing w:line="360" w:lineRule="auto"/>
        <w:ind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致：                                  （下称“受益人”）</w:t>
      </w:r>
    </w:p>
    <w:p w14:paraId="27144FC7">
      <w:pPr>
        <w:pStyle w:val="42"/>
        <w:spacing w:line="360" w:lineRule="auto"/>
        <w:ind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鉴于</w:t>
      </w:r>
      <w:r>
        <w:rPr>
          <w:rFonts w:ascii="宋体" w:hAnsi="宋体" w:eastAsia="宋体"/>
          <w:color w:val="000000" w:themeColor="text1"/>
          <w:szCs w:val="21"/>
          <w:highlight w:val="none"/>
          <w:u w:val="single"/>
          <w14:textFill>
            <w14:solidFill>
              <w14:schemeClr w14:val="tx1"/>
            </w14:solidFill>
          </w14:textFill>
        </w:rPr>
        <w:t xml:space="preserve"> （申请人全称）  </w:t>
      </w:r>
      <w:r>
        <w:rPr>
          <w:rFonts w:ascii="宋体" w:hAnsi="宋体" w:eastAsia="宋体"/>
          <w:color w:val="000000" w:themeColor="text1"/>
          <w:szCs w:val="21"/>
          <w:highlight w:val="none"/>
          <w14:textFill>
            <w14:solidFill>
              <w14:schemeClr w14:val="tx1"/>
            </w14:solidFill>
          </w14:textFill>
        </w:rPr>
        <w:t>（下称“申请人”）与</w:t>
      </w:r>
      <w:r>
        <w:rPr>
          <w:rFonts w:ascii="宋体" w:hAnsi="宋体" w:eastAsia="宋体"/>
          <w:color w:val="000000" w:themeColor="text1"/>
          <w:szCs w:val="21"/>
          <w:highlight w:val="none"/>
          <w:u w:val="single"/>
          <w14:textFill>
            <w14:solidFill>
              <w14:schemeClr w14:val="tx1"/>
            </w14:solidFill>
          </w14:textFill>
        </w:rPr>
        <w:t xml:space="preserve">          </w:t>
      </w:r>
      <w:r>
        <w:rPr>
          <w:rFonts w:ascii="宋体" w:hAnsi="宋体" w:eastAsia="宋体"/>
          <w:color w:val="000000" w:themeColor="text1"/>
          <w:szCs w:val="21"/>
          <w:highlight w:val="none"/>
          <w14:textFill>
            <w14:solidFill>
              <w14:schemeClr w14:val="tx1"/>
            </w14:solidFill>
          </w14:textFill>
        </w:rPr>
        <w:t xml:space="preserve">（受益人全称）签订 </w:t>
      </w:r>
      <w:r>
        <w:rPr>
          <w:rFonts w:ascii="宋体" w:hAnsi="宋体" w:eastAsia="宋体"/>
          <w:color w:val="000000" w:themeColor="text1"/>
          <w:szCs w:val="21"/>
          <w:highlight w:val="none"/>
          <w:u w:val="single"/>
          <w14:textFill>
            <w14:solidFill>
              <w14:schemeClr w14:val="tx1"/>
            </w14:solidFill>
          </w14:textFill>
        </w:rPr>
        <w:t xml:space="preserve">            </w:t>
      </w:r>
      <w:r>
        <w:rPr>
          <w:rFonts w:ascii="宋体" w:hAnsi="宋体" w:eastAsia="宋体"/>
          <w:color w:val="000000" w:themeColor="text1"/>
          <w:szCs w:val="21"/>
          <w:highlight w:val="none"/>
          <w14:textFill>
            <w14:solidFill>
              <w14:schemeClr w14:val="tx1"/>
            </w14:solidFill>
          </w14:textFill>
        </w:rPr>
        <w:t>（项目名称）采购合同</w:t>
      </w:r>
      <w:r>
        <w:rPr>
          <w:rFonts w:ascii="宋体" w:hAnsi="宋体" w:eastAsia="宋体"/>
          <w:color w:val="000000" w:themeColor="text1"/>
          <w:szCs w:val="21"/>
          <w:highlight w:val="none"/>
          <w:u w:val="single"/>
          <w14:textFill>
            <w14:solidFill>
              <w14:schemeClr w14:val="tx1"/>
            </w14:solidFill>
          </w14:textFill>
        </w:rPr>
        <w:t>(编号     ，   年    月   日签署)</w:t>
      </w:r>
      <w:r>
        <w:rPr>
          <w:rFonts w:ascii="宋体" w:hAnsi="宋体" w:eastAsia="宋体"/>
          <w:color w:val="000000" w:themeColor="text1"/>
          <w:szCs w:val="21"/>
          <w:highlight w:val="none"/>
          <w14:textFill>
            <w14:solidFill>
              <w14:schemeClr w14:val="tx1"/>
            </w14:solidFill>
          </w14:textFill>
        </w:rPr>
        <w:t>，并保证申请人有权获得按合同约定为保证项目按时完成的由受益人支付的</w:t>
      </w:r>
      <w:r>
        <w:rPr>
          <w:rFonts w:hint="eastAsia" w:ascii="宋体" w:hAnsi="宋体" w:eastAsia="宋体"/>
          <w:color w:val="000000" w:themeColor="text1"/>
          <w:szCs w:val="21"/>
          <w:highlight w:val="none"/>
          <w:lang w:val="en-US" w:eastAsia="zh-CN"/>
          <w14:textFill>
            <w14:solidFill>
              <w14:schemeClr w14:val="tx1"/>
            </w14:solidFill>
          </w14:textFill>
        </w:rPr>
        <w:t>订单货</w:t>
      </w:r>
      <w:r>
        <w:rPr>
          <w:rFonts w:ascii="宋体" w:hAnsi="宋体" w:eastAsia="宋体"/>
          <w:color w:val="000000" w:themeColor="text1"/>
          <w:szCs w:val="21"/>
          <w:highlight w:val="none"/>
          <w14:textFill>
            <w14:solidFill>
              <w14:schemeClr w14:val="tx1"/>
            </w14:solidFill>
          </w14:textFill>
        </w:rPr>
        <w:t>款；受益人在合同中要求申请人应通过经认可的银行提交合同指定的与</w:t>
      </w:r>
      <w:r>
        <w:rPr>
          <w:rFonts w:hint="eastAsia" w:ascii="宋体" w:hAnsi="宋体" w:eastAsia="宋体"/>
          <w:color w:val="000000" w:themeColor="text1"/>
          <w:szCs w:val="21"/>
          <w:highlight w:val="none"/>
          <w14:textFill>
            <w14:solidFill>
              <w14:schemeClr w14:val="tx1"/>
            </w14:solidFill>
          </w14:textFill>
        </w:rPr>
        <w:t>采购订单载明的货款总额100%等值</w:t>
      </w:r>
      <w:r>
        <w:rPr>
          <w:rFonts w:ascii="宋体" w:hAnsi="宋体" w:eastAsia="宋体"/>
          <w:color w:val="000000" w:themeColor="text1"/>
          <w:szCs w:val="21"/>
          <w:highlight w:val="none"/>
          <w14:textFill>
            <w14:solidFill>
              <w14:schemeClr w14:val="tx1"/>
            </w14:solidFill>
          </w14:textFill>
        </w:rPr>
        <w:t>的担保金额等事实，我行愿意为申请人出具保函，以担保金额人民币(大写)</w:t>
      </w:r>
      <w:r>
        <w:rPr>
          <w:rFonts w:ascii="宋体" w:hAnsi="宋体" w:eastAsia="宋体"/>
          <w:color w:val="000000" w:themeColor="text1"/>
          <w:szCs w:val="21"/>
          <w:highlight w:val="none"/>
          <w:u w:val="single"/>
          <w14:textFill>
            <w14:solidFill>
              <w14:schemeClr w14:val="tx1"/>
            </w14:solidFill>
          </w14:textFill>
        </w:rPr>
        <w:t xml:space="preserve">              </w:t>
      </w:r>
      <w:r>
        <w:rPr>
          <w:rFonts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u w:val="single"/>
          <w14:textFill>
            <w14:solidFill>
              <w14:schemeClr w14:val="tx1"/>
            </w14:solidFill>
          </w14:textFill>
        </w:rPr>
        <w:t xml:space="preserve">             </w:t>
      </w:r>
      <w:r>
        <w:rPr>
          <w:rFonts w:ascii="宋体" w:hAnsi="宋体" w:eastAsia="宋体"/>
          <w:color w:val="000000" w:themeColor="text1"/>
          <w:szCs w:val="21"/>
          <w:highlight w:val="none"/>
          <w14:textFill>
            <w14:solidFill>
              <w14:schemeClr w14:val="tx1"/>
            </w14:solidFill>
          </w14:textFill>
        </w:rPr>
        <w:t>)向申请人提供无条件、不可撤销的担保。</w:t>
      </w:r>
    </w:p>
    <w:p w14:paraId="173E9D58">
      <w:pPr>
        <w:pStyle w:val="42"/>
        <w:spacing w:line="360" w:lineRule="auto"/>
        <w:ind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如果申请人在履行合同过程中发生违约或违背合同约定时，我行保证在</w:t>
      </w:r>
      <w:r>
        <w:rPr>
          <w:rFonts w:hint="eastAsia" w:ascii="宋体" w:hAnsi="宋体" w:eastAsia="宋体"/>
          <w:color w:val="000000" w:themeColor="text1"/>
          <w:szCs w:val="21"/>
          <w:highlight w:val="none"/>
          <w14:textFill>
            <w14:solidFill>
              <w14:schemeClr w14:val="tx1"/>
            </w14:solidFill>
          </w14:textFill>
        </w:rPr>
        <w:t>受益人出具本保函原件且提出因</w:t>
      </w:r>
      <w:r>
        <w:rPr>
          <w:rFonts w:hint="eastAsia" w:ascii="宋体" w:hAnsi="宋体" w:eastAsia="宋体"/>
          <w:color w:val="000000" w:themeColor="text1"/>
          <w:szCs w:val="21"/>
          <w:highlight w:val="none"/>
          <w:lang w:val="en-US" w:eastAsia="zh-CN"/>
          <w14:textFill>
            <w14:solidFill>
              <w14:schemeClr w14:val="tx1"/>
            </w14:solidFill>
          </w14:textFill>
        </w:rPr>
        <w:t>申</w:t>
      </w:r>
      <w:r>
        <w:rPr>
          <w:rFonts w:hint="eastAsia" w:ascii="宋体" w:hAnsi="宋体" w:eastAsia="宋体"/>
          <w:color w:val="000000" w:themeColor="text1"/>
          <w:szCs w:val="21"/>
          <w:highlight w:val="none"/>
          <w14:textFill>
            <w14:solidFill>
              <w14:schemeClr w14:val="tx1"/>
            </w14:solidFill>
          </w14:textFill>
        </w:rPr>
        <w:t>请人没有履行上述合同规定，而要求我方承担保证责任后，在</w:t>
      </w:r>
      <w:r>
        <w:rPr>
          <w:rFonts w:ascii="宋体" w:hAnsi="宋体" w:eastAsia="宋体"/>
          <w:color w:val="000000" w:themeColor="text1"/>
          <w:szCs w:val="21"/>
          <w:highlight w:val="none"/>
          <w14:textFill>
            <w14:solidFill>
              <w14:schemeClr w14:val="tx1"/>
            </w14:solidFill>
          </w14:textFill>
        </w:rPr>
        <w:t xml:space="preserve">担保金额额度内偿还或偿清受益人因该项违约或违背所造成的经济损失（无论该事实是否成立），并在接到受益人要求的第 10 </w:t>
      </w:r>
      <w:r>
        <w:rPr>
          <w:rFonts w:hint="eastAsia" w:ascii="宋体" w:hAnsi="宋体" w:eastAsia="宋体"/>
          <w:color w:val="000000" w:themeColor="text1"/>
          <w:szCs w:val="21"/>
          <w:highlight w:val="none"/>
          <w:lang w:val="en-US" w:eastAsia="zh-CN"/>
          <w14:textFill>
            <w14:solidFill>
              <w14:schemeClr w14:val="tx1"/>
            </w14:solidFill>
          </w14:textFill>
        </w:rPr>
        <w:t>个自然日</w:t>
      </w:r>
      <w:r>
        <w:rPr>
          <w:rFonts w:ascii="宋体" w:hAnsi="宋体" w:eastAsia="宋体"/>
          <w:color w:val="000000" w:themeColor="text1"/>
          <w:szCs w:val="21"/>
          <w:highlight w:val="none"/>
          <w14:textFill>
            <w14:solidFill>
              <w14:schemeClr w14:val="tx1"/>
            </w14:solidFill>
          </w14:textFill>
        </w:rPr>
        <w:t>内予以支付。</w:t>
      </w:r>
    </w:p>
    <w:p w14:paraId="68974E45">
      <w:pPr>
        <w:pStyle w:val="42"/>
        <w:spacing w:line="360" w:lineRule="auto"/>
        <w:ind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在向我行提出要求前，我行将不坚持要求受益人首先向申请人提出上述款项的索赔。</w:t>
      </w:r>
    </w:p>
    <w:p w14:paraId="2F17B9AA">
      <w:pPr>
        <w:pStyle w:val="42"/>
        <w:spacing w:line="360" w:lineRule="auto"/>
        <w:ind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我行承诺：无论是否经我行知晓或同意，我行的义务和责任不因受益人与申请人对合同条款所作的任何修改或补充而解除。</w:t>
      </w:r>
    </w:p>
    <w:p w14:paraId="217125CA">
      <w:pPr>
        <w:pStyle w:val="42"/>
        <w:spacing w:line="360" w:lineRule="auto"/>
        <w:ind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本保函</w:t>
      </w:r>
      <w:r>
        <w:rPr>
          <w:rFonts w:hint="eastAsia" w:ascii="宋体" w:hAnsi="宋体" w:eastAsia="宋体"/>
          <w:color w:val="000000" w:themeColor="text1"/>
          <w:szCs w:val="21"/>
          <w:highlight w:val="none"/>
          <w:lang w:val="en-US" w:eastAsia="zh-CN"/>
          <w14:textFill>
            <w14:solidFill>
              <w14:schemeClr w14:val="tx1"/>
            </w14:solidFill>
          </w14:textFill>
        </w:rPr>
        <w:t>在采购订单项下全部货物交付并经受益人验收合格后第</w:t>
      </w:r>
      <w:r>
        <w:rPr>
          <w:rFonts w:hint="eastAsia" w:ascii="宋体" w:hAnsi="宋体" w:eastAsia="宋体" w:cs="Times New Roman"/>
          <w:color w:val="000000" w:themeColor="text1"/>
          <w:szCs w:val="21"/>
          <w:highlight w:val="none"/>
          <w:lang w:val="en-US" w:eastAsia="zh-CN"/>
          <w14:textFill>
            <w14:solidFill>
              <w14:schemeClr w14:val="tx1"/>
            </w14:solidFill>
          </w14:textFill>
        </w:rPr>
        <w:t>28</w:t>
      </w:r>
      <w:r>
        <w:rPr>
          <w:rFonts w:hint="eastAsia" w:ascii="宋体" w:hAnsi="宋体" w:eastAsia="宋体" w:cs="Times New Roman"/>
          <w:color w:val="000000" w:themeColor="text1"/>
          <w:szCs w:val="21"/>
          <w:highlight w:val="none"/>
          <w14:textFill>
            <w14:solidFill>
              <w14:schemeClr w14:val="tx1"/>
            </w14:solidFill>
          </w14:textFill>
        </w:rPr>
        <w:t>个自然日</w:t>
      </w:r>
      <w:r>
        <w:rPr>
          <w:rFonts w:hint="eastAsia" w:ascii="宋体" w:hAnsi="宋体" w:eastAsia="宋体"/>
          <w:color w:val="000000" w:themeColor="text1"/>
          <w:szCs w:val="21"/>
          <w:highlight w:val="none"/>
          <w:lang w:val="en-US" w:eastAsia="zh-CN"/>
          <w14:textFill>
            <w14:solidFill>
              <w14:schemeClr w14:val="tx1"/>
            </w14:solidFill>
          </w14:textFill>
        </w:rPr>
        <w:t>起失效。</w:t>
      </w:r>
    </w:p>
    <w:p w14:paraId="154AFB78">
      <w:pPr>
        <w:pStyle w:val="42"/>
        <w:spacing w:line="360" w:lineRule="auto"/>
        <w:ind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（银行联系人：                   银行联系电话：             ）</w:t>
      </w:r>
    </w:p>
    <w:p w14:paraId="396B6533">
      <w:pPr>
        <w:pStyle w:val="42"/>
        <w:spacing w:line="360" w:lineRule="auto"/>
        <w:ind w:firstLine="21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 xml:space="preserve">                  法定代表人或其授权的代理人：       （签字或盖私章）      </w:t>
      </w:r>
    </w:p>
    <w:p w14:paraId="4B708144">
      <w:pPr>
        <w:pStyle w:val="42"/>
        <w:spacing w:line="360" w:lineRule="auto"/>
        <w:ind w:firstLine="3990" w:firstLineChars="19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 xml:space="preserve">担保银行盖章：                          </w:t>
      </w:r>
    </w:p>
    <w:p w14:paraId="1F2441D1">
      <w:pPr>
        <w:pStyle w:val="42"/>
        <w:spacing w:line="360" w:lineRule="auto"/>
        <w:ind w:firstLine="21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w:t>
      </w:r>
      <w:r>
        <w:rPr>
          <w:rFonts w:ascii="宋体" w:hAnsi="宋体" w:eastAsia="宋体"/>
          <w:color w:val="000000" w:themeColor="text1"/>
          <w:szCs w:val="21"/>
          <w:highlight w:val="none"/>
          <w14:textFill>
            <w14:solidFill>
              <w14:schemeClr w14:val="tx1"/>
            </w14:solidFill>
          </w14:textFill>
        </w:rPr>
        <w:t xml:space="preserve">     地址：                                  </w:t>
      </w:r>
    </w:p>
    <w:p w14:paraId="234B1A12">
      <w:pPr>
        <w:pStyle w:val="42"/>
        <w:spacing w:line="360" w:lineRule="auto"/>
        <w:ind w:firstLine="3990" w:firstLineChars="19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日期：   年    月   日</w:t>
      </w:r>
    </w:p>
    <w:p w14:paraId="5321A540">
      <w:pPr>
        <w:pStyle w:val="19"/>
        <w:rPr>
          <w:color w:val="000000" w:themeColor="text1"/>
          <w:highlight w:val="none"/>
          <w14:textFill>
            <w14:solidFill>
              <w14:schemeClr w14:val="tx1"/>
            </w14:solidFill>
          </w14:textFill>
        </w:rPr>
      </w:pPr>
    </w:p>
    <w:p w14:paraId="5789D0BA">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p>
    <w:p w14:paraId="4C1E5387">
      <w:pPr>
        <w:spacing w:line="240" w:lineRule="auto"/>
        <w:rPr>
          <w:rFonts w:hint="eastAsia" w:ascii="宋体" w:hAnsi="宋体" w:eastAsia="宋体" w:cs="宋体"/>
          <w:b/>
          <w:color w:val="000000" w:themeColor="text1"/>
          <w:szCs w:val="21"/>
          <w:highlight w:val="none"/>
          <w14:textFill>
            <w14:solidFill>
              <w14:schemeClr w14:val="tx1"/>
            </w14:solidFill>
          </w14:textFill>
        </w:rPr>
      </w:pPr>
    </w:p>
    <w:p w14:paraId="04EC2337">
      <w:pPr>
        <w:widowControl/>
        <w:jc w:val="left"/>
        <w:rPr>
          <w:rFonts w:hint="default"/>
          <w:color w:val="000000" w:themeColor="text1"/>
          <w:highlight w:val="none"/>
          <w:lang w:val="en-US" w:eastAsia="zh-CN"/>
          <w14:textFill>
            <w14:solidFill>
              <w14:schemeClr w14:val="tx1"/>
            </w14:solidFill>
          </w14:textFill>
        </w:rPr>
      </w:pPr>
    </w:p>
    <w:p w14:paraId="567F2796">
      <w:pPr>
        <w:spacing w:line="240" w:lineRule="auto"/>
        <w:rPr>
          <w:rFonts w:hint="eastAsia" w:ascii="宋体" w:hAnsi="宋体" w:eastAsia="宋体" w:cs="宋体"/>
          <w:b/>
          <w:color w:val="000000" w:themeColor="text1"/>
          <w:szCs w:val="21"/>
          <w:highlight w:val="none"/>
          <w14:textFill>
            <w14:solidFill>
              <w14:schemeClr w14:val="tx1"/>
            </w14:solidFill>
          </w14:textFill>
        </w:rPr>
      </w:pPr>
    </w:p>
    <w:p w14:paraId="3064C03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868" w:name="_Toc9840"/>
      <w:bookmarkStart w:id="869" w:name="_Toc195714372"/>
      <w:bookmarkStart w:id="870" w:name="_Toc4035"/>
      <w:bookmarkStart w:id="871" w:name="_Toc142508361"/>
      <w:bookmarkStart w:id="872" w:name="_Toc15817"/>
      <w:bookmarkStart w:id="873" w:name="_Toc9056"/>
      <w:bookmarkStart w:id="874" w:name="_Toc19132"/>
      <w:bookmarkStart w:id="875" w:name="_Toc450662895"/>
      <w:bookmarkStart w:id="876" w:name="_Toc32761_WPSOffice_Level1"/>
      <w:bookmarkStart w:id="877" w:name="_Toc486167708"/>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868"/>
      <w:bookmarkEnd w:id="869"/>
      <w:bookmarkEnd w:id="870"/>
      <w:bookmarkEnd w:id="871"/>
      <w:bookmarkEnd w:id="872"/>
      <w:bookmarkEnd w:id="873"/>
      <w:bookmarkEnd w:id="874"/>
      <w:bookmarkEnd w:id="875"/>
      <w:bookmarkEnd w:id="876"/>
      <w:bookmarkEnd w:id="877"/>
    </w:p>
    <w:p w14:paraId="29CAE9B0">
      <w:pPr>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bookmarkStart w:id="878" w:name="_Toc195714373"/>
      <w:bookmarkStart w:id="879" w:name="_Toc31978"/>
      <w:bookmarkStart w:id="880" w:name="_Toc533708121"/>
      <w:bookmarkStart w:id="881" w:name="_Toc104991868"/>
      <w:bookmarkStart w:id="882" w:name="_Toc102860411"/>
      <w:bookmarkStart w:id="883" w:name="_Toc486167709"/>
      <w:bookmarkStart w:id="884" w:name="_Toc94107202"/>
      <w:bookmarkStart w:id="885" w:name="_Toc1977721"/>
      <w:bookmarkStart w:id="886" w:name="_Toc102860067"/>
      <w:bookmarkStart w:id="887" w:name="_Toc140596921"/>
      <w:bookmarkStart w:id="888" w:name="_Toc142508362"/>
      <w:bookmarkStart w:id="889" w:name="_Toc21133_WPSOffice_Level2"/>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08A91C7E">
      <w:pPr>
        <w:jc w:val="center"/>
        <w:outlineLvl w:val="3"/>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  商务标格式</w:t>
      </w:r>
      <w:bookmarkEnd w:id="878"/>
      <w:bookmarkEnd w:id="879"/>
    </w:p>
    <w:p w14:paraId="69D7521A">
      <w:pPr>
        <w:rPr>
          <w:rFonts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233E661">
      <w:pPr>
        <w:pStyle w:val="21"/>
        <w:spacing w:line="360" w:lineRule="auto"/>
        <w:jc w:val="center"/>
        <w:rPr>
          <w:rFonts w:ascii="宋体" w:hAnsi="宋体" w:cs="宋体"/>
          <w:color w:val="000000" w:themeColor="text1"/>
          <w:sz w:val="84"/>
          <w:highlight w:val="none"/>
          <w14:textFill>
            <w14:solidFill>
              <w14:schemeClr w14:val="tx1"/>
            </w14:solidFill>
          </w14:textFill>
        </w:rPr>
      </w:pPr>
    </w:p>
    <w:p w14:paraId="5A1F147B">
      <w:pPr>
        <w:pStyle w:val="21"/>
        <w:spacing w:line="360" w:lineRule="auto"/>
        <w:jc w:val="center"/>
        <w:rPr>
          <w:rFonts w:ascii="宋体" w:hAnsi="宋体" w:cs="宋体"/>
          <w:color w:val="000000" w:themeColor="text1"/>
          <w:sz w:val="84"/>
          <w:highlight w:val="none"/>
          <w14:textFill>
            <w14:solidFill>
              <w14:schemeClr w14:val="tx1"/>
            </w14:solidFill>
          </w14:textFill>
        </w:rPr>
      </w:pPr>
    </w:p>
    <w:p w14:paraId="3BC2004F">
      <w:pPr>
        <w:pStyle w:val="21"/>
        <w:spacing w:line="360" w:lineRule="auto"/>
        <w:jc w:val="center"/>
        <w:rPr>
          <w:rFonts w:ascii="宋体" w:hAnsi="宋体" w:cs="宋体"/>
          <w:color w:val="000000" w:themeColor="text1"/>
          <w:sz w:val="84"/>
          <w:highlight w:val="none"/>
          <w14:textFill>
            <w14:solidFill>
              <w14:schemeClr w14:val="tx1"/>
            </w14:solidFill>
          </w14:textFill>
        </w:rPr>
      </w:pPr>
      <w:r>
        <w:rPr>
          <w:rFonts w:hint="eastAsia" w:ascii="宋体" w:hAnsi="宋体" w:cs="宋体"/>
          <w:color w:val="000000" w:themeColor="text1"/>
          <w:sz w:val="84"/>
          <w:highlight w:val="none"/>
          <w14:textFill>
            <w14:solidFill>
              <w14:schemeClr w14:val="tx1"/>
            </w14:solidFill>
          </w14:textFill>
        </w:rPr>
        <w:t>投 标 文 件</w:t>
      </w:r>
    </w:p>
    <w:p w14:paraId="44121E51">
      <w:pPr>
        <w:pStyle w:val="21"/>
        <w:spacing w:line="360" w:lineRule="auto"/>
        <w:rPr>
          <w:rFonts w:ascii="宋体" w:hAnsi="宋体" w:cs="宋体"/>
          <w:color w:val="000000" w:themeColor="text1"/>
          <w:highlight w:val="none"/>
          <w14:textFill>
            <w14:solidFill>
              <w14:schemeClr w14:val="tx1"/>
            </w14:solidFill>
          </w14:textFill>
        </w:rPr>
      </w:pPr>
    </w:p>
    <w:p w14:paraId="2611472E">
      <w:pPr>
        <w:pStyle w:val="21"/>
        <w:spacing w:line="360" w:lineRule="auto"/>
        <w:rPr>
          <w:rFonts w:ascii="宋体" w:hAnsi="宋体" w:cs="宋体"/>
          <w:color w:val="000000" w:themeColor="text1"/>
          <w:highlight w:val="none"/>
          <w14:textFill>
            <w14:solidFill>
              <w14:schemeClr w14:val="tx1"/>
            </w14:solidFill>
          </w14:textFill>
        </w:rPr>
      </w:pPr>
    </w:p>
    <w:p w14:paraId="73623C47">
      <w:pPr>
        <w:pStyle w:val="21"/>
        <w:spacing w:line="360" w:lineRule="auto"/>
        <w:rPr>
          <w:rFonts w:ascii="宋体" w:hAnsi="宋体" w:cs="宋体"/>
          <w:color w:val="000000" w:themeColor="text1"/>
          <w:highlight w:val="none"/>
          <w14:textFill>
            <w14:solidFill>
              <w14:schemeClr w14:val="tx1"/>
            </w14:solidFill>
          </w14:textFill>
        </w:rPr>
      </w:pPr>
    </w:p>
    <w:p w14:paraId="22CF84A0">
      <w:pPr>
        <w:pStyle w:val="21"/>
        <w:spacing w:line="360" w:lineRule="auto"/>
        <w:rPr>
          <w:rFonts w:ascii="宋体" w:hAnsi="宋体" w:cs="宋体"/>
          <w:color w:val="000000" w:themeColor="text1"/>
          <w:highlight w:val="none"/>
          <w14:textFill>
            <w14:solidFill>
              <w14:schemeClr w14:val="tx1"/>
            </w14:solidFill>
          </w14:textFill>
        </w:rPr>
      </w:pPr>
    </w:p>
    <w:p w14:paraId="5B8301BB">
      <w:pPr>
        <w:pStyle w:val="21"/>
        <w:spacing w:line="360" w:lineRule="auto"/>
        <w:rPr>
          <w:rFonts w:ascii="宋体" w:hAnsi="宋体" w:cs="宋体"/>
          <w:color w:val="000000" w:themeColor="text1"/>
          <w:highlight w:val="none"/>
          <w14:textFill>
            <w14:solidFill>
              <w14:schemeClr w14:val="tx1"/>
            </w14:solidFill>
          </w14:textFill>
        </w:rPr>
      </w:pPr>
    </w:p>
    <w:p w14:paraId="0F4C3413">
      <w:pPr>
        <w:pStyle w:val="21"/>
        <w:spacing w:line="360" w:lineRule="auto"/>
        <w:rPr>
          <w:rFonts w:ascii="宋体" w:hAnsi="宋体" w:cs="宋体"/>
          <w:color w:val="000000" w:themeColor="text1"/>
          <w:highlight w:val="none"/>
          <w14:textFill>
            <w14:solidFill>
              <w14:schemeClr w14:val="tx1"/>
            </w14:solidFill>
          </w14:textFill>
        </w:rPr>
      </w:pPr>
    </w:p>
    <w:p w14:paraId="42172B12">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招标编号：</w:t>
      </w:r>
      <w:r>
        <w:rPr>
          <w:rFonts w:hint="eastAsia" w:ascii="宋体" w:hAnsi="宋体" w:cs="宋体"/>
          <w:color w:val="000000" w:themeColor="text1"/>
          <w:sz w:val="30"/>
          <w:highlight w:val="none"/>
          <w:u w:val="single"/>
          <w14:textFill>
            <w14:solidFill>
              <w14:schemeClr w14:val="tx1"/>
            </w14:solidFill>
          </w14:textFill>
        </w:rPr>
        <w:t xml:space="preserve">                      </w:t>
      </w:r>
    </w:p>
    <w:p w14:paraId="353FE8E6">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项目名称：</w:t>
      </w:r>
      <w:r>
        <w:rPr>
          <w:rFonts w:hint="eastAsia" w:ascii="宋体" w:hAnsi="宋体" w:cs="宋体"/>
          <w:color w:val="000000" w:themeColor="text1"/>
          <w:sz w:val="30"/>
          <w:highlight w:val="none"/>
          <w:u w:val="single"/>
          <w14:textFill>
            <w14:solidFill>
              <w14:schemeClr w14:val="tx1"/>
            </w14:solidFill>
          </w14:textFill>
        </w:rPr>
        <w:t xml:space="preserve">                      </w:t>
      </w:r>
    </w:p>
    <w:p w14:paraId="683612E9">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投标文件内容：</w:t>
      </w:r>
      <w:r>
        <w:rPr>
          <w:rFonts w:hint="eastAsia" w:ascii="宋体" w:hAnsi="宋体" w:cs="宋体"/>
          <w:color w:val="000000" w:themeColor="text1"/>
          <w:sz w:val="30"/>
          <w:highlight w:val="none"/>
          <w:u w:val="single"/>
          <w14:textFill>
            <w14:solidFill>
              <w14:schemeClr w14:val="tx1"/>
            </w14:solidFill>
          </w14:textFill>
        </w:rPr>
        <w:t xml:space="preserve"> 投标文件商务标 </w:t>
      </w:r>
    </w:p>
    <w:p w14:paraId="415D44BC">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招标人：</w:t>
      </w:r>
      <w:r>
        <w:rPr>
          <w:rFonts w:hint="eastAsia" w:ascii="宋体" w:hAnsi="宋体" w:cs="宋体"/>
          <w:color w:val="000000" w:themeColor="text1"/>
          <w:sz w:val="30"/>
          <w:highlight w:val="none"/>
          <w:u w:val="single"/>
          <w14:textFill>
            <w14:solidFill>
              <w14:schemeClr w14:val="tx1"/>
            </w14:solidFill>
          </w14:textFill>
        </w:rPr>
        <w:t xml:space="preserve">                        </w:t>
      </w:r>
    </w:p>
    <w:p w14:paraId="01147A91">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投标人：</w:t>
      </w:r>
      <w:r>
        <w:rPr>
          <w:rFonts w:hint="eastAsia" w:ascii="宋体" w:hAnsi="宋体" w:cs="宋体"/>
          <w:color w:val="000000" w:themeColor="text1"/>
          <w:sz w:val="30"/>
          <w:highlight w:val="none"/>
          <w:u w:val="single"/>
          <w14:textFill>
            <w14:solidFill>
              <w14:schemeClr w14:val="tx1"/>
            </w14:solidFill>
          </w14:textFill>
        </w:rPr>
        <w:t xml:space="preserve">    （企业数字证书电子签名）   </w:t>
      </w:r>
    </w:p>
    <w:p w14:paraId="2EDE8014">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年</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月</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日</w:t>
      </w:r>
    </w:p>
    <w:p w14:paraId="7DF6D791">
      <w:pPr>
        <w:pStyle w:val="21"/>
        <w:spacing w:line="360" w:lineRule="auto"/>
        <w:rPr>
          <w:rFonts w:ascii="宋体" w:hAnsi="宋体" w:cs="宋体"/>
          <w:color w:val="000000" w:themeColor="text1"/>
          <w:highlight w:val="none"/>
          <w14:textFill>
            <w14:solidFill>
              <w14:schemeClr w14:val="tx1"/>
            </w14:solidFill>
          </w14:textFill>
        </w:rPr>
      </w:pPr>
    </w:p>
    <w:p w14:paraId="31E4EEC8">
      <w:pPr>
        <w:pStyle w:val="2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42EE4E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color w:val="000000" w:themeColor="text1"/>
          <w:highlight w:val="none"/>
          <w14:textFill>
            <w14:solidFill>
              <w14:schemeClr w14:val="tx1"/>
            </w14:solidFill>
          </w14:textFill>
        </w:rPr>
      </w:pPr>
      <w:bookmarkStart w:id="890" w:name="_Toc13281"/>
      <w:bookmarkStart w:id="891" w:name="_Toc23782"/>
      <w:bookmarkStart w:id="892" w:name="_Toc17613"/>
      <w:bookmarkStart w:id="893" w:name="_Toc27679"/>
      <w:bookmarkStart w:id="894" w:name="_Toc195714375"/>
      <w:r>
        <w:rPr>
          <w:rFonts w:hint="eastAsia"/>
          <w:color w:val="000000" w:themeColor="text1"/>
          <w:highlight w:val="none"/>
          <w14:textFill>
            <w14:solidFill>
              <w14:schemeClr w14:val="tx1"/>
            </w14:solidFill>
          </w14:textFill>
        </w:rPr>
        <w:t>目录</w:t>
      </w:r>
    </w:p>
    <w:p w14:paraId="1151B3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一、投标函；</w:t>
      </w:r>
    </w:p>
    <w:p w14:paraId="5A4495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二、投标承诺书；</w:t>
      </w:r>
    </w:p>
    <w:p w14:paraId="6193CC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三、供货及/或提供服务过程承诺函；</w:t>
      </w:r>
    </w:p>
    <w:p w14:paraId="26D82B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四、投标人资格证明文件：</w:t>
      </w:r>
    </w:p>
    <w:p w14:paraId="40D81E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4.1 多证合一营业执照（或事业单位法人证书）原件扫描件；</w:t>
      </w:r>
    </w:p>
    <w:p w14:paraId="7563D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p>
    <w:p w14:paraId="459F40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4.3法定代表人身份证明书和法定代表人授权书（法定代表人投标时只提供法定代表人身份证明书，委托他人为投标代表或签署投标文件时需同时提供法定代表人授权书）；</w:t>
      </w:r>
    </w:p>
    <w:p w14:paraId="6B5993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4.4制造商资格声明和制造商售后服务承诺函及独家授权书；</w:t>
      </w:r>
    </w:p>
    <w:p w14:paraId="454E80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4.5 资格业绩【投标人提供一份2022年1月1日以来（合同签订日期为2022年1月1日或以后）螺翼式远传水表在国内的</w:t>
      </w:r>
      <w:r>
        <w:rPr>
          <w:rFonts w:hint="eastAsia" w:ascii="宋体" w:hAnsi="宋体" w:eastAsia="宋体" w:cs="宋体"/>
          <w:color w:val="000000" w:themeColor="text1"/>
          <w:highlight w:val="none"/>
          <w:lang w:val="en-US" w:eastAsia="zh-CN"/>
          <w14:textFill>
            <w14:solidFill>
              <w14:schemeClr w14:val="tx1"/>
            </w14:solidFill>
          </w14:textFill>
        </w:rPr>
        <w:t>销售</w:t>
      </w:r>
      <w:r>
        <w:rPr>
          <w:rFonts w:hint="eastAsia" w:ascii="宋体" w:hAnsi="宋体" w:eastAsia="宋体" w:cs="宋体"/>
          <w:color w:val="000000" w:themeColor="text1"/>
          <w:highlight w:val="none"/>
          <w14:textFill>
            <w14:solidFill>
              <w14:schemeClr w14:val="tx1"/>
            </w14:solidFill>
          </w14:textFill>
        </w:rPr>
        <w:t>业绩】；</w:t>
      </w:r>
    </w:p>
    <w:p w14:paraId="55A747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4.6 最近3年投标人牵涉的其他（失信和违法）处罚说明；</w:t>
      </w:r>
    </w:p>
    <w:p w14:paraId="0367C6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五、投标人基本情况一览表；</w:t>
      </w:r>
    </w:p>
    <w:p w14:paraId="08E51D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六、投标人财务状况表；</w:t>
      </w:r>
    </w:p>
    <w:p w14:paraId="25286C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七、合同条款响应程度（合同条款偏离表）；</w:t>
      </w:r>
    </w:p>
    <w:p w14:paraId="7028E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八、业绩表；</w:t>
      </w:r>
    </w:p>
    <w:p w14:paraId="22A616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九、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163A69CF">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CC0FD80">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left"/>
        <w:textAlignment w:val="auto"/>
        <w:outlineLvl w:val="3"/>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209C8033">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895"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895"/>
    </w:p>
    <w:p w14:paraId="7912E4CF">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4D519A59">
      <w:pPr>
        <w:autoSpaceDE w:val="0"/>
        <w:autoSpaceDN w:val="0"/>
        <w:adjustRightInd w:val="0"/>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东莞市水务集团供水有限公司</w:t>
      </w:r>
    </w:p>
    <w:p w14:paraId="041316B5">
      <w:pPr>
        <w:autoSpaceDE w:val="0"/>
        <w:autoSpaceDN w:val="0"/>
        <w:adjustRightInd w:val="0"/>
        <w:spacing w:line="360" w:lineRule="auto"/>
        <w:rPr>
          <w:rFonts w:ascii="宋体" w:hAnsi="宋体" w:eastAsia="宋体" w:cs="宋体"/>
          <w:color w:val="000000" w:themeColor="text1"/>
          <w:szCs w:val="21"/>
          <w:highlight w:val="none"/>
          <w14:textFill>
            <w14:solidFill>
              <w14:schemeClr w14:val="tx1"/>
            </w14:solidFill>
          </w14:textFill>
        </w:rPr>
      </w:pPr>
    </w:p>
    <w:p w14:paraId="5F6BAB9B">
      <w:pPr>
        <w:wordWrap w:val="0"/>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东莞市供水计量设施更新项目(2025年计量仪表采购)－螺翼式远传水表</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14:paraId="30B17B70">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14:paraId="70FBBD48">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的投标；</w:t>
      </w:r>
    </w:p>
    <w:p w14:paraId="44DB3432">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14:paraId="2C73F7E5">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14:paraId="13F3D24F">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（四）我方明白并愿意在规定的递交投标文件截止时间和日期之后，投标有效期之内撤销投标，则不予退还我方投标保证金；</w:t>
      </w:r>
    </w:p>
    <w:p w14:paraId="6540A97C">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14:paraId="11013C48">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14:paraId="3BF23D9A">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14:paraId="1ACDB942">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14:paraId="4F1F2F56">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14:paraId="2AC802A7">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14:paraId="01A3CE50">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（十一）所有与本投标有关的函件请发往下列地址：</w:t>
      </w:r>
    </w:p>
    <w:p w14:paraId="7A3913D0">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14:paraId="77D9FCD8">
      <w:pPr>
        <w:autoSpaceDE w:val="0"/>
        <w:autoSpaceDN w:val="0"/>
        <w:adjustRightInd w:val="0"/>
        <w:spacing w:line="360" w:lineRule="auto"/>
        <w:ind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55661F2B">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14:paraId="295D79F4">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070DB63E">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14:paraId="766FF5E4">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p>
    <w:p w14:paraId="7EC68076">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3AE0647D">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（电子签名）</w:t>
      </w:r>
    </w:p>
    <w:p w14:paraId="7E621F67">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5950B704">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说明：由投标人使用投标人的企业数字证书，法定代表人或其授权代表数字证书电子签名。</w:t>
      </w:r>
    </w:p>
    <w:p w14:paraId="557AC164">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bookmarkStart w:id="896" w:name="_Toc142508363"/>
      <w:bookmarkStart w:id="897" w:name="_Toc94107203"/>
      <w:bookmarkStart w:id="898" w:name="_Toc102860068"/>
      <w:bookmarkStart w:id="899" w:name="_Toc195714376"/>
      <w:bookmarkStart w:id="900" w:name="_Toc3104"/>
      <w:bookmarkStart w:id="901" w:name="_Toc533708122"/>
      <w:bookmarkStart w:id="902" w:name="_Toc1977722"/>
      <w:bookmarkStart w:id="903" w:name="_Toc486167710"/>
      <w:bookmarkStart w:id="904" w:name="_Toc102860412"/>
      <w:bookmarkStart w:id="905" w:name="_Toc28613_WPSOffice_Level2"/>
      <w:bookmarkStart w:id="906" w:name="_Toc24901"/>
      <w:bookmarkStart w:id="907" w:name="_Toc104991869"/>
      <w:bookmarkStart w:id="908" w:name="_Toc30995"/>
      <w:bookmarkStart w:id="909" w:name="_Toc12417"/>
      <w:bookmarkStart w:id="910" w:name="_Toc140596922"/>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70A5F066">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14:paraId="79E777C3">
      <w:pPr>
        <w:widowControl/>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58DD3721">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东莞市供水计量设施更新项目(2025年计量仪表采购)－螺翼式远传水表</w:t>
      </w:r>
      <w:r>
        <w:rPr>
          <w:rFonts w:hint="eastAsia" w:ascii="宋体" w:hAnsi="宋体" w:eastAsia="宋体" w:cs="Times New Roman"/>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14:paraId="4299A14A">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若我方在投标或履行本合同过程中存在提供虚假材料、虚假响应招标文件要求等弄虚作假行为，或未能根据招标文件投标人须知第31</w:t>
      </w:r>
      <w:r>
        <w:rPr>
          <w:rFonts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款约定按时提供原件核查的，因此导致我方无法参与东莞市水务集团有限公司相关招标采购活动的，由我方自行承担全部后果。</w:t>
      </w:r>
    </w:p>
    <w:p w14:paraId="6AC694F6">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02263C67">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525293F9">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17AF0356">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3BD82E57">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（电子签名）</w:t>
      </w:r>
    </w:p>
    <w:p w14:paraId="712900A4">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209E3854">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说明：由投标人使用投标人的企业数字证书，法定代表人或其授权代表数字证书电子签名。</w:t>
      </w:r>
    </w:p>
    <w:p w14:paraId="2B4D39E4">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bookmarkStart w:id="911" w:name="_Toc311032584"/>
      <w:bookmarkStart w:id="912" w:name="_Toc326768876"/>
      <w:bookmarkStart w:id="913" w:name="_Toc316896755"/>
    </w:p>
    <w:p w14:paraId="4B9AB68D">
      <w:pPr>
        <w:pageBreakBefore/>
        <w:autoSpaceDE w:val="0"/>
        <w:autoSpaceDN w:val="0"/>
        <w:adjustRightInd w:val="0"/>
        <w:spacing w:line="360" w:lineRule="auto"/>
        <w:jc w:val="left"/>
        <w:outlineLvl w:val="3"/>
        <w:rPr>
          <w:rFonts w:ascii="宋体" w:hAnsi="宋体" w:eastAsia="宋体" w:cs="宋体"/>
          <w:b/>
          <w:color w:val="000000" w:themeColor="text1"/>
          <w:kern w:val="44"/>
          <w:sz w:val="32"/>
          <w:szCs w:val="32"/>
          <w:highlight w:val="none"/>
          <w14:textFill>
            <w14:solidFill>
              <w14:schemeClr w14:val="tx1"/>
            </w14:solidFill>
          </w14:textFill>
        </w:rPr>
      </w:pPr>
      <w:bookmarkStart w:id="914" w:name="_Toc86764083"/>
      <w:bookmarkStart w:id="915" w:name="_Toc140596923"/>
      <w:bookmarkStart w:id="916" w:name="_Toc102860413"/>
      <w:bookmarkStart w:id="917" w:name="_Toc142508364"/>
      <w:bookmarkStart w:id="918" w:name="_Toc82182546"/>
      <w:bookmarkStart w:id="919" w:name="_Toc29910"/>
      <w:bookmarkStart w:id="920" w:name="_Toc3108"/>
      <w:bookmarkStart w:id="921" w:name="_Toc102860069"/>
      <w:bookmarkStart w:id="922" w:name="_Toc195714377"/>
      <w:bookmarkStart w:id="923" w:name="_Toc24336"/>
      <w:bookmarkStart w:id="924" w:name="_Toc104991870"/>
      <w:bookmarkStart w:id="925" w:name="_Toc94107204"/>
      <w:bookmarkStart w:id="926" w:name="_Toc5075"/>
      <w:bookmarkStart w:id="927" w:name="_Toc1977723"/>
      <w:bookmarkStart w:id="928" w:name="_Toc486167711"/>
      <w:bookmarkStart w:id="929" w:name="_Toc7024_WPSOffice_Level2"/>
      <w:bookmarkStart w:id="930" w:name="_Toc533708123"/>
      <w:r>
        <w:rPr>
          <w:rFonts w:hint="eastAsia" w:ascii="宋体" w:hAnsi="宋体" w:eastAsia="宋体" w:cs="宋体"/>
          <w:b/>
          <w:color w:val="000000" w:themeColor="text1"/>
          <w:kern w:val="44"/>
          <w:sz w:val="32"/>
          <w:szCs w:val="32"/>
          <w:highlight w:val="none"/>
          <w14:textFill>
            <w14:solidFill>
              <w14:schemeClr w14:val="tx1"/>
            </w14:solidFill>
          </w14:textFill>
        </w:rPr>
        <w:t>三、供货及/或提供服务过程承诺函格式</w:t>
      </w:r>
      <w:bookmarkEnd w:id="914"/>
      <w:bookmarkEnd w:id="915"/>
      <w:bookmarkEnd w:id="916"/>
      <w:bookmarkEnd w:id="917"/>
      <w:bookmarkEnd w:id="918"/>
      <w:bookmarkEnd w:id="919"/>
      <w:bookmarkEnd w:id="920"/>
      <w:bookmarkEnd w:id="921"/>
      <w:bookmarkEnd w:id="922"/>
      <w:bookmarkEnd w:id="923"/>
      <w:bookmarkEnd w:id="924"/>
      <w:bookmarkEnd w:id="925"/>
      <w:bookmarkEnd w:id="926"/>
    </w:p>
    <w:p w14:paraId="27A792AE">
      <w:pPr>
        <w:autoSpaceDE w:val="0"/>
        <w:autoSpaceDN w:val="0"/>
        <w:adjustRightInd w:val="0"/>
        <w:spacing w:line="360" w:lineRule="auto"/>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14:paraId="220FA59B">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lang w:eastAsia="zh-CN"/>
          <w14:textFill>
            <w14:solidFill>
              <w14:schemeClr w14:val="tx1"/>
            </w14:solidFill>
          </w14:textFill>
        </w:rPr>
        <w:t>东莞市水务集团供水有限公司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46760FF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东莞市供水计量设施更新项目(2025年计量仪表采购)－螺翼式远传水表</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14:paraId="5ABA03F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2792BA0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64CB1FF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42A5719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374384C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48650F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8BA493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14:paraId="41CD81A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14:paraId="0AE24BA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10B1DDF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14:paraId="5F40B81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14:paraId="0AB3209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14:paraId="43452A8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2FF2EF3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5C4E15B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4B7FEF3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49E5CCB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4C2C31E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5CEDDBA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29B3E5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13、我方承诺接受招标人的检查与监督，并主动配合，做好安全工作，凡有违反上述条款的即视为我方违约，招标人有权视情况从货物/服务价款中扣除2000元/次作为违约金。</w:t>
      </w:r>
    </w:p>
    <w:p w14:paraId="47FA568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745DEA4E">
      <w:pP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0B4EA217">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7B7EA9CC">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（电子签名）</w:t>
      </w:r>
    </w:p>
    <w:p w14:paraId="4DED29D7">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38E556E1">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说明：由投标人使用投标人的企业数字证书，法定代表人或其授权代表数字证书电子签名。</w:t>
      </w:r>
    </w:p>
    <w:p w14:paraId="5BA444CD">
      <w:pPr>
        <w:autoSpaceDE w:val="0"/>
        <w:autoSpaceDN w:val="0"/>
        <w:adjustRightInd w:val="0"/>
        <w:spacing w:line="360" w:lineRule="auto"/>
        <w:ind w:right="420" w:firstLine="5760" w:firstLineChars="2400"/>
        <w:jc w:val="left"/>
        <w:rPr>
          <w:rFonts w:ascii="宋体" w:hAnsi="宋体" w:eastAsia="宋体" w:cs="宋体"/>
          <w:color w:val="000000" w:themeColor="text1"/>
          <w:kern w:val="0"/>
          <w:sz w:val="24"/>
          <w:szCs w:val="24"/>
          <w:highlight w:val="none"/>
          <w14:textFill>
            <w14:solidFill>
              <w14:schemeClr w14:val="tx1"/>
            </w14:solidFill>
          </w14:textFill>
        </w:rPr>
      </w:pPr>
    </w:p>
    <w:bookmarkEnd w:id="927"/>
    <w:bookmarkEnd w:id="928"/>
    <w:bookmarkEnd w:id="929"/>
    <w:bookmarkEnd w:id="930"/>
    <w:p w14:paraId="6CA86DE5">
      <w:pPr>
        <w:autoSpaceDE/>
        <w:autoSpaceDN/>
        <w:adjustRightInd/>
        <w:spacing w:line="240" w:lineRule="auto"/>
        <w:ind w:left="0" w:firstLine="0" w:firstLineChars="0"/>
        <w:jc w:val="left"/>
        <w:outlineLvl w:val="9"/>
        <w:rPr>
          <w:rFonts w:ascii="宋体" w:hAnsi="宋体" w:eastAsia="宋体" w:cs="宋体"/>
          <w:b/>
          <w:color w:val="000000" w:themeColor="text1"/>
          <w:kern w:val="0"/>
          <w:sz w:val="30"/>
          <w:szCs w:val="30"/>
          <w:highlight w:val="none"/>
          <w14:textFill>
            <w14:solidFill>
              <w14:schemeClr w14:val="tx1"/>
            </w14:solidFill>
          </w14:textFill>
        </w:rPr>
      </w:pPr>
      <w:bookmarkStart w:id="931" w:name="_Toc142508368"/>
      <w:bookmarkStart w:id="932" w:name="_Toc104991874"/>
      <w:bookmarkStart w:id="933" w:name="_Toc27734"/>
      <w:bookmarkStart w:id="934" w:name="_Toc140596927"/>
      <w:bookmarkStart w:id="935" w:name="_Toc102860073"/>
      <w:bookmarkStart w:id="936" w:name="_Toc94107208"/>
      <w:bookmarkStart w:id="937" w:name="_Toc102860417"/>
      <w:bookmarkStart w:id="938" w:name="_Toc30859"/>
      <w:r>
        <w:rPr>
          <w:rFonts w:hint="eastAsia" w:ascii="宋体" w:hAnsi="宋体" w:eastAsia="宋体" w:cs="宋体"/>
          <w:b/>
          <w:color w:val="000000" w:themeColor="text1"/>
          <w:kern w:val="0"/>
          <w:sz w:val="30"/>
          <w:szCs w:val="30"/>
          <w:highlight w:val="none"/>
          <w14:textFill>
            <w14:solidFill>
              <w14:schemeClr w14:val="tx1"/>
            </w14:solidFill>
          </w14:textFill>
        </w:rPr>
        <w:br w:type="page"/>
      </w:r>
    </w:p>
    <w:bookmarkEnd w:id="931"/>
    <w:bookmarkEnd w:id="932"/>
    <w:bookmarkEnd w:id="933"/>
    <w:bookmarkEnd w:id="934"/>
    <w:bookmarkEnd w:id="935"/>
    <w:bookmarkEnd w:id="936"/>
    <w:bookmarkEnd w:id="937"/>
    <w:bookmarkEnd w:id="938"/>
    <w:p w14:paraId="3518625E">
      <w:pPr>
        <w:tabs>
          <w:tab w:val="left" w:pos="567"/>
        </w:tabs>
        <w:autoSpaceDE w:val="0"/>
        <w:autoSpaceDN w:val="0"/>
        <w:adjustRightInd w:val="0"/>
        <w:spacing w:line="360" w:lineRule="auto"/>
        <w:jc w:val="left"/>
        <w:outlineLvl w:val="3"/>
        <w:rPr>
          <w:rFonts w:ascii="宋体" w:hAnsi="宋体" w:eastAsia="宋体" w:cs="宋体"/>
          <w:b/>
          <w:color w:val="000000" w:themeColor="text1"/>
          <w:kern w:val="0"/>
          <w:sz w:val="32"/>
          <w:szCs w:val="32"/>
          <w:highlight w:val="none"/>
          <w14:textFill>
            <w14:solidFill>
              <w14:schemeClr w14:val="tx1"/>
            </w14:solidFill>
          </w14:textFill>
        </w:rPr>
      </w:pPr>
      <w:bookmarkStart w:id="939" w:name="_Toc25034"/>
      <w:bookmarkStart w:id="940" w:name="_Toc6190"/>
      <w:bookmarkStart w:id="941" w:name="_Toc104991875"/>
      <w:bookmarkStart w:id="942" w:name="_Toc94107209"/>
      <w:bookmarkStart w:id="943" w:name="_Toc142508369"/>
      <w:bookmarkStart w:id="944" w:name="_Toc1977725"/>
      <w:bookmarkStart w:id="945" w:name="_Toc23083"/>
      <w:bookmarkStart w:id="946" w:name="_Toc140596928"/>
      <w:bookmarkStart w:id="947" w:name="_Toc102860074"/>
      <w:bookmarkStart w:id="948" w:name="_Toc102860418"/>
      <w:bookmarkStart w:id="949" w:name="_Toc26516"/>
      <w:bookmarkStart w:id="950" w:name="_Toc195714382"/>
      <w:bookmarkStart w:id="951" w:name="_Toc20759_WPSOffice_Level2"/>
      <w:bookmarkStart w:id="952" w:name="_Toc486167712"/>
      <w:bookmarkStart w:id="953" w:name="_Toc533708124"/>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939"/>
      <w:bookmarkEnd w:id="940"/>
      <w:bookmarkEnd w:id="941"/>
      <w:bookmarkEnd w:id="942"/>
      <w:bookmarkEnd w:id="943"/>
      <w:bookmarkEnd w:id="944"/>
      <w:bookmarkEnd w:id="945"/>
      <w:bookmarkEnd w:id="946"/>
      <w:bookmarkEnd w:id="947"/>
      <w:bookmarkEnd w:id="948"/>
      <w:bookmarkEnd w:id="949"/>
      <w:bookmarkEnd w:id="950"/>
    </w:p>
    <w:p w14:paraId="49C619C8">
      <w:pPr>
        <w:tabs>
          <w:tab w:val="left" w:pos="567"/>
        </w:tabs>
        <w:autoSpaceDE w:val="0"/>
        <w:autoSpaceDN w:val="0"/>
        <w:adjustRightInd w:val="0"/>
        <w:spacing w:line="360" w:lineRule="auto"/>
        <w:jc w:val="left"/>
        <w:outlineLvl w:val="3"/>
        <w:rPr>
          <w:rFonts w:ascii="宋体" w:hAnsi="宋体" w:eastAsia="宋体" w:cs="宋体"/>
          <w:b/>
          <w:color w:val="000000" w:themeColor="text1"/>
          <w:kern w:val="0"/>
          <w:sz w:val="30"/>
          <w:szCs w:val="30"/>
          <w:highlight w:val="none"/>
          <w14:textFill>
            <w14:solidFill>
              <w14:schemeClr w14:val="tx1"/>
            </w14:solidFill>
          </w14:textFill>
        </w:rPr>
      </w:pPr>
      <w:bookmarkStart w:id="954" w:name="_Toc17358"/>
      <w:bookmarkStart w:id="955" w:name="_Toc102860419"/>
      <w:bookmarkStart w:id="956" w:name="_Toc142508370"/>
      <w:bookmarkStart w:id="957" w:name="_Toc195714383"/>
      <w:bookmarkStart w:id="958" w:name="_Toc140596929"/>
      <w:bookmarkStart w:id="959" w:name="_Toc5002"/>
      <w:bookmarkStart w:id="960" w:name="_Toc25267"/>
      <w:bookmarkStart w:id="961" w:name="_Toc29874"/>
      <w:bookmarkStart w:id="962" w:name="_Toc104991876"/>
      <w:bookmarkStart w:id="963" w:name="_Toc94107210"/>
      <w:bookmarkStart w:id="964" w:name="_Toc102860075"/>
      <w:bookmarkStart w:id="965" w:name="_Toc1977726"/>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hint="eastAsia" w:ascii="宋体" w:hAnsi="宋体" w:eastAsia="宋体" w:cs="宋体"/>
          <w:b/>
          <w:color w:val="000000" w:themeColor="text1"/>
          <w:kern w:val="0"/>
          <w:sz w:val="30"/>
          <w:szCs w:val="30"/>
          <w:highlight w:val="none"/>
          <w14:textFill>
            <w14:solidFill>
              <w14:schemeClr w14:val="tx1"/>
            </w14:solidFill>
          </w14:textFill>
        </w:rPr>
        <w:t>.1 多证合一营业执照（或事业单位法人证书）原件扫描件</w:t>
      </w:r>
      <w:bookmarkEnd w:id="954"/>
      <w:bookmarkEnd w:id="955"/>
      <w:bookmarkEnd w:id="956"/>
      <w:bookmarkEnd w:id="957"/>
      <w:bookmarkEnd w:id="958"/>
      <w:bookmarkEnd w:id="959"/>
      <w:bookmarkEnd w:id="960"/>
      <w:bookmarkEnd w:id="961"/>
      <w:bookmarkEnd w:id="962"/>
      <w:bookmarkEnd w:id="963"/>
      <w:bookmarkEnd w:id="964"/>
    </w:p>
    <w:p w14:paraId="5E11840B">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9BC5FCC">
      <w:pPr>
        <w:tabs>
          <w:tab w:val="left" w:pos="567"/>
        </w:tabs>
        <w:autoSpaceDE w:val="0"/>
        <w:autoSpaceDN w:val="0"/>
        <w:adjustRightInd w:val="0"/>
        <w:spacing w:line="360" w:lineRule="auto"/>
        <w:ind w:firstLine="316" w:firstLineChars="150"/>
        <w:jc w:val="left"/>
        <w:outlineLvl w:val="3"/>
        <w:rPr>
          <w:rFonts w:ascii="宋体" w:hAnsi="宋体" w:eastAsia="宋体" w:cs="宋体"/>
          <w:b/>
          <w:color w:val="000000" w:themeColor="text1"/>
          <w:kern w:val="0"/>
          <w:szCs w:val="21"/>
          <w:highlight w:val="none"/>
          <w14:textFill>
            <w14:solidFill>
              <w14:schemeClr w14:val="tx1"/>
            </w14:solidFill>
          </w14:textFill>
        </w:rPr>
        <w:sectPr>
          <w:footerReference r:id="rId5" w:type="first"/>
          <w:footerReference r:id="rId4" w:type="default"/>
          <w:pgSz w:w="12240" w:h="15840"/>
          <w:pgMar w:top="1191" w:right="1043" w:bottom="1191" w:left="1043" w:header="720" w:footer="720" w:gutter="0"/>
          <w:pgNumType w:fmt="decimal"/>
          <w:cols w:space="720" w:num="1"/>
          <w:titlePg/>
          <w:docGrid w:linePitch="326" w:charSpace="0"/>
        </w:sectPr>
      </w:pPr>
    </w:p>
    <w:p w14:paraId="4589102C">
      <w:pPr>
        <w:tabs>
          <w:tab w:val="left" w:pos="567"/>
        </w:tabs>
        <w:autoSpaceDE w:val="0"/>
        <w:autoSpaceDN w:val="0"/>
        <w:adjustRightInd w:val="0"/>
        <w:spacing w:line="360" w:lineRule="auto"/>
        <w:jc w:val="left"/>
        <w:outlineLvl w:val="3"/>
        <w:rPr>
          <w:rFonts w:ascii="宋体" w:hAnsi="宋体" w:eastAsia="宋体" w:cs="宋体"/>
          <w:b/>
          <w:color w:val="000000" w:themeColor="text1"/>
          <w:kern w:val="0"/>
          <w:sz w:val="30"/>
          <w:szCs w:val="30"/>
          <w:highlight w:val="none"/>
          <w14:textFill>
            <w14:solidFill>
              <w14:schemeClr w14:val="tx1"/>
            </w14:solidFill>
          </w14:textFill>
        </w:rPr>
      </w:pPr>
      <w:bookmarkStart w:id="966" w:name="_Toc7756"/>
      <w:bookmarkStart w:id="967" w:name="_Toc94107211"/>
      <w:bookmarkStart w:id="968" w:name="_Toc102860420"/>
      <w:bookmarkStart w:id="969" w:name="_Toc18165"/>
      <w:bookmarkStart w:id="970" w:name="_Toc195714384"/>
      <w:bookmarkStart w:id="971" w:name="_Toc104991877"/>
      <w:bookmarkStart w:id="972" w:name="_Toc102860076"/>
      <w:bookmarkStart w:id="973" w:name="_Toc140596930"/>
      <w:bookmarkStart w:id="974" w:name="_Toc142508371"/>
      <w:bookmarkStart w:id="975" w:name="_Toc27861"/>
      <w:bookmarkStart w:id="976" w:name="_Toc25013"/>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hint="eastAsia" w:ascii="宋体" w:hAnsi="宋体" w:eastAsia="宋体" w:cs="宋体"/>
          <w:b/>
          <w:color w:val="000000" w:themeColor="text1"/>
          <w:kern w:val="0"/>
          <w:sz w:val="30"/>
          <w:szCs w:val="30"/>
          <w:highlight w:val="none"/>
          <w14:textFill>
            <w14:solidFill>
              <w14:schemeClr w14:val="tx1"/>
            </w14:solidFill>
          </w14:textFill>
        </w:rPr>
        <w:t>.2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bookmarkEnd w:id="966"/>
      <w:bookmarkEnd w:id="967"/>
      <w:bookmarkEnd w:id="968"/>
      <w:bookmarkEnd w:id="969"/>
      <w:bookmarkEnd w:id="970"/>
      <w:bookmarkEnd w:id="971"/>
      <w:bookmarkEnd w:id="972"/>
      <w:bookmarkEnd w:id="973"/>
      <w:bookmarkEnd w:id="974"/>
      <w:bookmarkEnd w:id="975"/>
      <w:bookmarkEnd w:id="976"/>
    </w:p>
    <w:p w14:paraId="1BE76E4B">
      <w:pPr>
        <w:tabs>
          <w:tab w:val="left" w:pos="567"/>
        </w:tabs>
        <w:autoSpaceDE w:val="0"/>
        <w:autoSpaceDN w:val="0"/>
        <w:adjustRightInd w:val="0"/>
        <w:spacing w:line="360" w:lineRule="auto"/>
        <w:jc w:val="left"/>
        <w:outlineLvl w:val="3"/>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bookmarkStart w:id="977" w:name="_Toc7441"/>
      <w:bookmarkStart w:id="978" w:name="_Toc9132"/>
      <w:bookmarkStart w:id="979" w:name="_Toc2018"/>
      <w:bookmarkStart w:id="980" w:name="_Toc104991878"/>
      <w:bookmarkStart w:id="981" w:name="_Toc102860077"/>
      <w:bookmarkStart w:id="982" w:name="_Toc17499"/>
      <w:bookmarkStart w:id="983" w:name="_Toc142508372"/>
      <w:bookmarkStart w:id="984" w:name="_Toc102860421"/>
      <w:bookmarkStart w:id="985" w:name="_Toc94107212"/>
      <w:bookmarkStart w:id="986" w:name="_Toc195714385"/>
      <w:bookmarkStart w:id="987" w:name="_Toc140596931"/>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hint="eastAsia" w:ascii="宋体" w:hAnsi="宋体" w:eastAsia="宋体" w:cs="宋体"/>
          <w:b/>
          <w:color w:val="000000" w:themeColor="text1"/>
          <w:kern w:val="0"/>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3 </w:t>
      </w:r>
      <w:r>
        <w:rPr>
          <w:rFonts w:hint="eastAsia" w:ascii="宋体" w:hAnsi="宋体" w:eastAsia="宋体" w:cs="宋体"/>
          <w:b/>
          <w:color w:val="000000" w:themeColor="text1"/>
          <w:kern w:val="0"/>
          <w:sz w:val="30"/>
          <w:szCs w:val="30"/>
          <w:highlight w:val="none"/>
          <w14:textFill>
            <w14:solidFill>
              <w14:schemeClr w14:val="tx1"/>
            </w14:solidFill>
          </w14:textFill>
        </w:rPr>
        <w:t>法定代表人身份证明书、法定代表人授权书格式（法定代表人投标时只需提供法定代表人身份证明书，委托他人为投标代表或签署投标文件时需同时提供法定代表人授权书）</w:t>
      </w:r>
    </w:p>
    <w:p w14:paraId="225E5B20">
      <w:pPr>
        <w:spacing w:before="120" w:after="120" w:line="360" w:lineRule="auto"/>
        <w:ind w:firstLine="426" w:firstLineChars="202"/>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p>
    <w:p w14:paraId="29184B9A">
      <w:pPr>
        <w:spacing w:before="120" w:after="120" w:line="360" w:lineRule="auto"/>
        <w:ind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法定代表人身份证明书</w:t>
      </w:r>
    </w:p>
    <w:p w14:paraId="47F4F8CE">
      <w:pPr>
        <w:spacing w:before="120" w:after="120"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14:paraId="6876BF82">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624F5290">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67A3943C">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14:paraId="6D143BB8">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14:paraId="4D3AEE89">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14:paraId="480B5402">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 法定代表人身份证原件扫描件</w:t>
      </w:r>
    </w:p>
    <w:p w14:paraId="09AEDF50">
      <w:pPr>
        <w:snapToGrid w:val="0"/>
        <w:spacing w:line="360" w:lineRule="auto"/>
        <w:ind w:firstLine="3465" w:firstLineChars="1650"/>
        <w:rPr>
          <w:rFonts w:ascii="宋体" w:hAnsi="宋体" w:eastAsia="宋体" w:cs="Times New Roman"/>
          <w:color w:val="000000" w:themeColor="text1"/>
          <w:kern w:val="3"/>
          <w:szCs w:val="24"/>
          <w:highlight w:val="none"/>
          <w14:textFill>
            <w14:solidFill>
              <w14:schemeClr w14:val="tx1"/>
            </w14:solidFill>
          </w14:textFill>
        </w:rPr>
      </w:pPr>
    </w:p>
    <w:p w14:paraId="02024E49">
      <w:pPr>
        <w:snapToGrid w:val="0"/>
        <w:spacing w:line="360" w:lineRule="auto"/>
        <w:ind w:firstLine="3465" w:firstLineChars="1650"/>
        <w:rPr>
          <w:rFonts w:ascii="宋体" w:hAnsi="宋体" w:eastAsia="宋体" w:cs="Times New Roman"/>
          <w:color w:val="000000" w:themeColor="text1"/>
          <w:kern w:val="3"/>
          <w:szCs w:val="24"/>
          <w:highlight w:val="none"/>
          <w:u w:val="single"/>
          <w14:textFill>
            <w14:solidFill>
              <w14:schemeClr w14:val="tx1"/>
            </w14:solidFill>
          </w14:textFill>
        </w:rPr>
      </w:pPr>
      <w:r>
        <w:rPr>
          <w:rFonts w:ascii="宋体" w:hAnsi="宋体" w:eastAsia="宋体" w:cs="Times New Roman"/>
          <w:color w:val="000000" w:themeColor="text1"/>
          <w:kern w:val="3"/>
          <w:szCs w:val="24"/>
          <w:highlight w:val="none"/>
          <w14:textFill>
            <w14:solidFill>
              <w14:schemeClr w14:val="tx1"/>
            </w14:solidFill>
          </w14:textFill>
        </w:rPr>
        <w:t>投 标 人：</w:t>
      </w:r>
      <w:r>
        <w:rPr>
          <w:rFonts w:ascii="宋体" w:hAnsi="宋体" w:eastAsia="宋体" w:cs="Times New Roman"/>
          <w:color w:val="000000" w:themeColor="text1"/>
          <w:kern w:val="3"/>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（企业数字证书电子签名）</w:t>
      </w:r>
    </w:p>
    <w:p w14:paraId="29EA17AB">
      <w:pPr>
        <w:spacing w:before="120" w:after="120" w:line="360" w:lineRule="auto"/>
        <w:ind w:left="340" w:leftChars="162" w:firstLine="474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77985513">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1AA012B"/>
                          <w:p w14:paraId="011CB533"/>
                          <w:p w14:paraId="3C9B7969"/>
                          <w:p w14:paraId="39D7EF77"/>
                          <w:p w14:paraId="66F43AE4">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MEMEdNAAgAAiAQAAA4AAAAAAAAAAQAgAAAA&#10;JwEAAGRycy9lMm9Eb2MueG1sUEsFBgAAAAAGAAYAWQEAANkFAAAAAA==&#10;">
                <v:fill on="t" focussize="0,0"/>
                <v:stroke color="#000000" miterlimit="8" joinstyle="miter"/>
                <v:imagedata o:title=""/>
                <o:lock v:ext="edit" aspectratio="f"/>
                <v:textbox>
                  <w:txbxContent>
                    <w:p w14:paraId="41AA012B"/>
                    <w:p w14:paraId="011CB533"/>
                    <w:p w14:paraId="3C9B7969"/>
                    <w:p w14:paraId="39D7EF77"/>
                    <w:p w14:paraId="66F43AE4">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287BF3B"/>
                          <w:p w14:paraId="7DAF9EDB"/>
                          <w:p w14:paraId="74DB25CE"/>
                          <w:p w14:paraId="6F57706D"/>
                          <w:p w14:paraId="4B5CFC57">
                            <w:pPr>
                              <w:jc w:val="center"/>
                              <w:rPr>
                                <w:szCs w:val="21"/>
                              </w:rPr>
                            </w:pPr>
                            <w:r>
                              <w:rPr>
                                <w:rFonts w:hint="eastAsia"/>
                                <w:szCs w:val="21"/>
                              </w:rPr>
                              <w:t>法定代表人身份证反面</w:t>
                            </w:r>
                          </w:p>
                          <w:p w14:paraId="53BB2926">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QRZNHZAAAACgEAAA8AAAAAAAAAAQAgAAAAIgAA&#10;AGRycy9kb3ducmV2LnhtbFBLAQIUABQAAAAIAIdO4kA2Wq5mQAIAAIgEAAAOAAAAAAAAAAEAIAAA&#10;ACgBAABkcnMvZTJvRG9jLnhtbFBLBQYAAAAABgAGAFkBAADaBQAAAAA=&#10;">
                <v:fill on="t" focussize="0,0"/>
                <v:stroke color="#000000" miterlimit="8" joinstyle="miter"/>
                <v:imagedata o:title=""/>
                <o:lock v:ext="edit" aspectratio="f"/>
                <v:textbox>
                  <w:txbxContent>
                    <w:p w14:paraId="5287BF3B"/>
                    <w:p w14:paraId="7DAF9EDB"/>
                    <w:p w14:paraId="74DB25CE"/>
                    <w:p w14:paraId="6F57706D"/>
                    <w:p w14:paraId="4B5CFC57">
                      <w:pPr>
                        <w:jc w:val="center"/>
                        <w:rPr>
                          <w:szCs w:val="21"/>
                        </w:rPr>
                      </w:pPr>
                      <w:r>
                        <w:rPr>
                          <w:rFonts w:hint="eastAsia"/>
                          <w:szCs w:val="21"/>
                        </w:rPr>
                        <w:t>法定代表人身份证反面</w:t>
                      </w:r>
                    </w:p>
                    <w:p w14:paraId="53BB2926">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EAEC328"/>
                          <w:p w14:paraId="74EA4802"/>
                          <w:p w14:paraId="18F480F2"/>
                          <w:p w14:paraId="252FD30B"/>
                          <w:p w14:paraId="446FF19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AdmSBlAAgAAigQAAA4AAAAAAAAAAQAgAAAA&#10;JwEAAGRycy9lMm9Eb2MueG1sUEsFBgAAAAAGAAYAWQEAANkFAAAAAA==&#10;">
                <v:fill on="t" focussize="0,0"/>
                <v:stroke color="#000000" miterlimit="8" joinstyle="miter"/>
                <v:imagedata o:title=""/>
                <o:lock v:ext="edit" aspectratio="f"/>
                <v:textbox>
                  <w:txbxContent>
                    <w:p w14:paraId="3EAEC328"/>
                    <w:p w14:paraId="74EA4802"/>
                    <w:p w14:paraId="18F480F2"/>
                    <w:p w14:paraId="252FD30B"/>
                    <w:p w14:paraId="446FF19A">
                      <w:pPr>
                        <w:jc w:val="center"/>
                      </w:pPr>
                      <w:r>
                        <w:rPr>
                          <w:rFonts w:hint="eastAsia"/>
                        </w:rPr>
                        <w:t>身份证正面</w:t>
                      </w:r>
                    </w:p>
                  </w:txbxContent>
                </v:textbox>
              </v:shape>
            </w:pict>
          </mc:Fallback>
        </mc:AlternateContent>
      </w:r>
    </w:p>
    <w:p w14:paraId="46BAFA0B">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E74002E">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B48BD9F">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F86DCF4">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E6CFF04">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D44CC0E">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6BD46D2">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0566F6F">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7B2B2A5">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244883F">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p>
    <w:p w14:paraId="36893A4E">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14:paraId="6B29D08B">
      <w:pPr>
        <w:autoSpaceDE w:val="0"/>
        <w:autoSpaceDN w:val="0"/>
        <w:adjustRightInd w:val="0"/>
        <w:jc w:val="left"/>
        <w:rPr>
          <w:rFonts w:ascii="宋体" w:hAnsi="宋体" w:eastAsia="宋体" w:cs="宋体"/>
          <w:color w:val="000000" w:themeColor="text1"/>
          <w:kern w:val="0"/>
          <w:szCs w:val="21"/>
          <w:highlight w:val="none"/>
          <w14:textFill>
            <w14:solidFill>
              <w14:schemeClr w14:val="tx1"/>
            </w14:solidFill>
          </w14:textFill>
        </w:rPr>
      </w:pPr>
    </w:p>
    <w:p w14:paraId="175D4533">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说明：由投标人使用投标人的企业数字证书电子签名。</w:t>
      </w: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b/>
          <w:color w:val="000000" w:themeColor="text1"/>
          <w:szCs w:val="24"/>
          <w:highlight w:val="none"/>
          <w14:textFill>
            <w14:solidFill>
              <w14:schemeClr w14:val="tx1"/>
            </w14:solidFill>
          </w14:textFill>
        </w:rPr>
        <w:t>（2）法定代表人授权书格式</w:t>
      </w:r>
    </w:p>
    <w:p w14:paraId="2951885F">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p>
    <w:p w14:paraId="1427DE65">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p>
    <w:p w14:paraId="23D5BB51">
      <w:pPr>
        <w:spacing w:before="120" w:after="120"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致：东莞市水务集团供水有限公司</w:t>
      </w:r>
    </w:p>
    <w:p w14:paraId="4C6E4809">
      <w:pPr>
        <w:spacing w:before="120" w:after="120"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lang w:eastAsia="zh-CN"/>
          <w14:textFill>
            <w14:solidFill>
              <w14:schemeClr w14:val="tx1"/>
            </w14:solidFill>
          </w14:textFill>
        </w:rPr>
        <w:t>东莞市供水计量设施更新项目(2025年计量仪表采购)－螺翼式远传水表</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应评标委员会的要求对投标文件进行澄清、进行合同谈判和签署合同，以我公司的名义处理一切与本次投标有关的事宜，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14:paraId="76DC2121">
      <w:pPr>
        <w:spacing w:before="120" w:after="1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14:paraId="12856DEC">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14:paraId="5D803F10">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w:t>
      </w:r>
      <w:r>
        <w:rPr>
          <w:rFonts w:hint="eastAsia" w:ascii="宋体" w:hAnsi="宋体" w:eastAsia="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（企业数字证书电子签名）</w:t>
      </w:r>
    </w:p>
    <w:p w14:paraId="7B1C44A9">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14:paraId="02E1D296">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w:t>
      </w:r>
      <w:r>
        <w:rPr>
          <w:rFonts w:hint="eastAsia" w:ascii="宋体" w:hAnsi="宋体" w:eastAsia="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（电子签名）</w:t>
      </w:r>
    </w:p>
    <w:p w14:paraId="44811478">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63CDBE94">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w:t>
      </w:r>
      <w:r>
        <w:rPr>
          <w:rFonts w:hint="eastAsia" w:ascii="宋体" w:hAnsi="宋体" w:eastAsia="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（电子签名）</w:t>
      </w:r>
    </w:p>
    <w:p w14:paraId="41D41C28">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16130961">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14:paraId="0FDE9764">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14:paraId="52D36374">
      <w:pPr>
        <w:pStyle w:val="39"/>
        <w:widowControl w:val="0"/>
        <w:snapToGrid w:val="0"/>
        <w:spacing w:before="0" w:beforeAutospacing="0" w:after="0" w:afterAutospacing="0" w:line="360" w:lineRule="auto"/>
        <w:jc w:val="center"/>
        <w:rPr>
          <w:rFonts w:eastAsia="宋体" w:cs="宋体"/>
          <w:b/>
          <w:color w:val="000000" w:themeColor="text1"/>
          <w:sz w:val="21"/>
          <w:szCs w:val="21"/>
          <w:highlight w:val="none"/>
          <w:lang w:bidi="ar"/>
          <w14:textFill>
            <w14:solidFill>
              <w14:schemeClr w14:val="tx1"/>
            </w14:solidFill>
          </w14:textFill>
        </w:rPr>
      </w:pPr>
    </w:p>
    <w:p w14:paraId="30D63C79">
      <w:pPr>
        <w:widowControl/>
        <w:autoSpaceDE w:val="0"/>
        <w:autoSpaceDN w:val="0"/>
        <w:spacing w:before="120" w:after="120" w:line="360" w:lineRule="auto"/>
        <w:ind w:right="781" w:rightChars="372" w:firstLine="422"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lang w:bidi="ar"/>
          <w14:textFill>
            <w14:solidFill>
              <w14:schemeClr w14:val="tx1"/>
            </w14:solidFill>
          </w14:textFill>
        </w:rPr>
        <w:t>说明：由投标人使用投标人的企业数字证书，法定代表人</w:t>
      </w:r>
      <w:r>
        <w:rPr>
          <w:rFonts w:hint="eastAsia" w:ascii="宋体" w:hAnsi="宋体" w:eastAsia="宋体" w:cs="宋体"/>
          <w:b/>
          <w:bCs/>
          <w:color w:val="000000" w:themeColor="text1"/>
          <w:sz w:val="21"/>
          <w:szCs w:val="21"/>
          <w:highlight w:val="none"/>
          <w:u w:val="single"/>
          <w:lang w:eastAsia="zh-CN" w:bidi="ar"/>
          <w14:textFill>
            <w14:solidFill>
              <w14:schemeClr w14:val="tx1"/>
            </w14:solidFill>
          </w14:textFill>
        </w:rPr>
        <w:t>、</w:t>
      </w:r>
      <w:r>
        <w:rPr>
          <w:rFonts w:hint="eastAsia" w:ascii="宋体" w:hAnsi="宋体" w:eastAsia="宋体" w:cs="宋体"/>
          <w:b/>
          <w:bCs/>
          <w:color w:val="000000" w:themeColor="text1"/>
          <w:sz w:val="21"/>
          <w:szCs w:val="21"/>
          <w:highlight w:val="none"/>
          <w:u w:val="single"/>
          <w:lang w:bidi="ar"/>
          <w14:textFill>
            <w14:solidFill>
              <w14:schemeClr w14:val="tx1"/>
            </w14:solidFill>
          </w14:textFill>
        </w:rPr>
        <w:t>其授权代表数字证书电子签名。</w:t>
      </w: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法定代表人、被授权人身份证原件扫描件</w:t>
      </w:r>
    </w:p>
    <w:p w14:paraId="6E20A04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4445" t="4445" r="5080" b="508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E68F297"/>
                          <w:p w14:paraId="34A035AC"/>
                          <w:p w14:paraId="6C63C690"/>
                          <w:p w14:paraId="0B136510"/>
                          <w:p w14:paraId="5EA5EC89">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hED3nZAAAACgEAAA8AAAAAAAAAAQAgAAAAIgAA&#10;AGRycy9kb3ducmV2LnhtbFBLAQIUABQAAAAIAIdO4kCh2c7tQAIAAIoEAAAOAAAAAAAAAAEAIAAA&#10;ACgBAABkcnMvZTJvRG9jLnhtbFBLBQYAAAAABgAGAFkBAADaBQAAAAA=&#10;">
                <v:fill on="t" focussize="0,0"/>
                <v:stroke color="#000000" miterlimit="8" joinstyle="miter"/>
                <v:imagedata o:title=""/>
                <o:lock v:ext="edit" aspectratio="f"/>
                <v:textbox>
                  <w:txbxContent>
                    <w:p w14:paraId="7E68F297"/>
                    <w:p w14:paraId="34A035AC"/>
                    <w:p w14:paraId="6C63C690"/>
                    <w:p w14:paraId="0B136510"/>
                    <w:p w14:paraId="5EA5EC89">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FD1EA5C"/>
                          <w:p w14:paraId="27018941"/>
                          <w:p w14:paraId="45F5B6D3"/>
                          <w:p w14:paraId="4FE2AE40"/>
                          <w:p w14:paraId="279AF9C6">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uZQGVz8CAACKBAAADgAAAAAAAAABACAAAAAn&#10;AQAAZHJzL2Uyb0RvYy54bWxQSwUGAAAAAAYABgBZAQAA2AUAAAAA&#10;">
                <v:fill on="t" focussize="0,0"/>
                <v:stroke color="#000000" miterlimit="8" joinstyle="miter"/>
                <v:imagedata o:title=""/>
                <o:lock v:ext="edit" aspectratio="f"/>
                <v:textbox>
                  <w:txbxContent>
                    <w:p w14:paraId="3FD1EA5C"/>
                    <w:p w14:paraId="27018941"/>
                    <w:p w14:paraId="45F5B6D3"/>
                    <w:p w14:paraId="4FE2AE40"/>
                    <w:p w14:paraId="279AF9C6">
                      <w:pPr>
                        <w:jc w:val="center"/>
                        <w:rPr>
                          <w:rFonts w:hAnsi="宋体"/>
                        </w:rPr>
                      </w:pPr>
                      <w:r>
                        <w:rPr>
                          <w:rFonts w:hint="eastAsia" w:hAnsi="宋体"/>
                        </w:rPr>
                        <w:t>法定代表人身份证正面</w:t>
                      </w:r>
                    </w:p>
                  </w:txbxContent>
                </v:textbox>
              </v:shape>
            </w:pict>
          </mc:Fallback>
        </mc:AlternateContent>
      </w:r>
    </w:p>
    <w:p w14:paraId="7958F30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83BF44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057B49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C7AA91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0BBB050">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E9E5C02">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A85D62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563E68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56E78A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5080" t="4445" r="13970" b="1460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029357D"/>
                          <w:p w14:paraId="4B946D49">
                            <w:pPr>
                              <w:jc w:val="center"/>
                              <w:rPr>
                                <w:rFonts w:hAnsi="宋体"/>
                                <w:color w:val="FF0000"/>
                              </w:rPr>
                            </w:pPr>
                          </w:p>
                          <w:p w14:paraId="5E7AC454">
                            <w:pPr>
                              <w:jc w:val="center"/>
                              <w:rPr>
                                <w:rFonts w:hAnsi="宋体"/>
                                <w:color w:val="FF0000"/>
                              </w:rPr>
                            </w:pPr>
                          </w:p>
                          <w:p w14:paraId="7868EEA7">
                            <w:pPr>
                              <w:jc w:val="center"/>
                              <w:rPr>
                                <w:rFonts w:hAnsi="宋体"/>
                                <w:color w:val="FF0000"/>
                              </w:rPr>
                            </w:pPr>
                          </w:p>
                          <w:p w14:paraId="30F7A1FC">
                            <w:pPr>
                              <w:jc w:val="center"/>
                            </w:pPr>
                            <w:r>
                              <w:rPr>
                                <w:rFonts w:hint="eastAsia" w:hAnsi="宋体"/>
                              </w:rPr>
                              <w:t>被授权人身份证反面</w:t>
                            </w:r>
                          </w:p>
                          <w:p w14:paraId="4F9AE4FA"/>
                          <w:p w14:paraId="3AB2FDCE"/>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2B8iPZAAAACgEAAA8AAAAAAAAAAQAgAAAA&#10;IgAAAGRycy9kb3ducmV2LnhtbFBLAQIUABQAAAAIAIdO4kA1PIUIQwIAAIoEAAAOAAAAAAAAAAEA&#10;IAAAACgBAABkcnMvZTJvRG9jLnhtbFBLBQYAAAAABgAGAFkBAADdBQAAAAA=&#10;">
                <v:fill on="t" focussize="0,0"/>
                <v:stroke color="#000000" miterlimit="8" joinstyle="miter"/>
                <v:imagedata o:title=""/>
                <o:lock v:ext="edit" aspectratio="f"/>
                <v:textbox>
                  <w:txbxContent>
                    <w:p w14:paraId="1029357D"/>
                    <w:p w14:paraId="4B946D49">
                      <w:pPr>
                        <w:jc w:val="center"/>
                        <w:rPr>
                          <w:rFonts w:hAnsi="宋体"/>
                          <w:color w:val="FF0000"/>
                        </w:rPr>
                      </w:pPr>
                    </w:p>
                    <w:p w14:paraId="5E7AC454">
                      <w:pPr>
                        <w:jc w:val="center"/>
                        <w:rPr>
                          <w:rFonts w:hAnsi="宋体"/>
                          <w:color w:val="FF0000"/>
                        </w:rPr>
                      </w:pPr>
                    </w:p>
                    <w:p w14:paraId="7868EEA7">
                      <w:pPr>
                        <w:jc w:val="center"/>
                        <w:rPr>
                          <w:rFonts w:hAnsi="宋体"/>
                          <w:color w:val="FF0000"/>
                        </w:rPr>
                      </w:pPr>
                    </w:p>
                    <w:p w14:paraId="30F7A1FC">
                      <w:pPr>
                        <w:jc w:val="center"/>
                      </w:pPr>
                      <w:r>
                        <w:rPr>
                          <w:rFonts w:hint="eastAsia" w:hAnsi="宋体"/>
                        </w:rPr>
                        <w:t>被授权人身份证反面</w:t>
                      </w:r>
                    </w:p>
                    <w:p w14:paraId="4F9AE4FA"/>
                    <w:p w14:paraId="3AB2FDCE"/>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5080" t="4445" r="13970" b="1460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D5CB438"/>
                          <w:p w14:paraId="6D5FBEDC">
                            <w:pPr>
                              <w:jc w:val="center"/>
                              <w:rPr>
                                <w:rFonts w:hAnsi="宋体"/>
                                <w:color w:val="FF0000"/>
                              </w:rPr>
                            </w:pPr>
                          </w:p>
                          <w:p w14:paraId="5282554C">
                            <w:pPr>
                              <w:jc w:val="center"/>
                              <w:rPr>
                                <w:rFonts w:hAnsi="宋体"/>
                                <w:color w:val="FF0000"/>
                              </w:rPr>
                            </w:pPr>
                          </w:p>
                          <w:p w14:paraId="184B9B40">
                            <w:pPr>
                              <w:jc w:val="center"/>
                              <w:rPr>
                                <w:rFonts w:hAnsi="宋体"/>
                                <w:color w:val="FF0000"/>
                              </w:rPr>
                            </w:pPr>
                          </w:p>
                          <w:p w14:paraId="429C21DC">
                            <w:pPr>
                              <w:jc w:val="center"/>
                            </w:pPr>
                            <w:r>
                              <w:rPr>
                                <w:rFonts w:hint="eastAsia" w:hAnsi="宋体"/>
                              </w:rPr>
                              <w:t>被授权人身份证正面</w:t>
                            </w:r>
                          </w:p>
                          <w:p w14:paraId="5470A109"/>
                          <w:p w14:paraId="1C4999D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LFRAn2AAAAAkBAAAPAAAAAAAAAAEAIAAAACIA&#10;AABkcnMvZG93bnJldi54bWxQSwECFAAUAAAACACHTuJATJvcz0ICAACKBAAADgAAAAAAAAABACAA&#10;AAAnAQAAZHJzL2Uyb0RvYy54bWxQSwUGAAAAAAYABgBZAQAA2wUAAAAA&#10;">
                <v:fill on="t" focussize="0,0"/>
                <v:stroke color="#000000" miterlimit="8" joinstyle="miter"/>
                <v:imagedata o:title=""/>
                <o:lock v:ext="edit" aspectratio="f"/>
                <v:textbox>
                  <w:txbxContent>
                    <w:p w14:paraId="5D5CB438"/>
                    <w:p w14:paraId="6D5FBEDC">
                      <w:pPr>
                        <w:jc w:val="center"/>
                        <w:rPr>
                          <w:rFonts w:hAnsi="宋体"/>
                          <w:color w:val="FF0000"/>
                        </w:rPr>
                      </w:pPr>
                    </w:p>
                    <w:p w14:paraId="5282554C">
                      <w:pPr>
                        <w:jc w:val="center"/>
                        <w:rPr>
                          <w:rFonts w:hAnsi="宋体"/>
                          <w:color w:val="FF0000"/>
                        </w:rPr>
                      </w:pPr>
                    </w:p>
                    <w:p w14:paraId="184B9B40">
                      <w:pPr>
                        <w:jc w:val="center"/>
                        <w:rPr>
                          <w:rFonts w:hAnsi="宋体"/>
                          <w:color w:val="FF0000"/>
                        </w:rPr>
                      </w:pPr>
                    </w:p>
                    <w:p w14:paraId="429C21DC">
                      <w:pPr>
                        <w:jc w:val="center"/>
                      </w:pPr>
                      <w:r>
                        <w:rPr>
                          <w:rFonts w:hint="eastAsia" w:hAnsi="宋体"/>
                        </w:rPr>
                        <w:t>被授权人身份证正面</w:t>
                      </w:r>
                    </w:p>
                    <w:p w14:paraId="5470A109"/>
                    <w:p w14:paraId="1C4999D8"/>
                  </w:txbxContent>
                </v:textbox>
              </v:shape>
            </w:pict>
          </mc:Fallback>
        </mc:AlternateContent>
      </w:r>
    </w:p>
    <w:p w14:paraId="74168BC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02C7DFB">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F85425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CE1C9D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FF3154C">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23E6E44">
      <w:pPr>
        <w:widowControl/>
        <w:autoSpaceDE w:val="0"/>
        <w:autoSpaceDN w:val="0"/>
        <w:spacing w:before="120" w:after="120" w:line="360" w:lineRule="auto"/>
        <w:ind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7" w:type="first"/>
          <w:footerReference r:id="rId6"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14:paraId="212E1CE9">
      <w:pPr>
        <w:autoSpaceDE/>
        <w:autoSpaceDN/>
        <w:adjustRightInd/>
        <w:spacing w:line="360" w:lineRule="auto"/>
        <w:jc w:val="left"/>
        <w:outlineLvl w:val="3"/>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4.4 制造商</w:t>
      </w:r>
      <w:r>
        <w:rPr>
          <w:rFonts w:hint="eastAsia" w:ascii="宋体" w:hAnsi="宋体" w:eastAsia="宋体" w:cs="宋体"/>
          <w:b/>
          <w:color w:val="000000" w:themeColor="text1"/>
          <w:kern w:val="0"/>
          <w:sz w:val="30"/>
          <w:szCs w:val="30"/>
          <w:highlight w:val="none"/>
          <w:lang w:eastAsia="zh-CN"/>
          <w14:textFill>
            <w14:solidFill>
              <w14:schemeClr w14:val="tx1"/>
            </w14:solidFill>
          </w14:textFill>
        </w:rPr>
        <w:t>资格声明和制造商售后服务承诺函及独家授权书</w:t>
      </w:r>
    </w:p>
    <w:p w14:paraId="7F7B6C50">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（1）制造商资格声明</w:t>
      </w:r>
    </w:p>
    <w:p w14:paraId="3015B19B">
      <w:pPr>
        <w:spacing w:line="360" w:lineRule="auto"/>
        <w:ind w:firstLine="517" w:firstLineChars="245"/>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根据实际情况选用，本格式适用于：（1）投标人为在境内依法登记注册、能独立承担民事责任能力，具有生产制造本次投标螺翼式远传水表的制造商时提供；（2）投标人为投标螺翼式远传水表制造商直接就本项目独家授权在境内依法登记注册成立、能独立承担民事责任能力的经销商时提供。]</w:t>
      </w:r>
    </w:p>
    <w:p w14:paraId="18ACE84B">
      <w:pPr>
        <w:numPr>
          <w:ilvl w:val="0"/>
          <w:numId w:val="3"/>
        </w:numPr>
        <w:tabs>
          <w:tab w:val="left" w:pos="426"/>
          <w:tab w:val="left" w:pos="2700"/>
        </w:tabs>
        <w:autoSpaceDE/>
        <w:autoSpaceDN/>
        <w:snapToGrid w:val="0"/>
        <w:spacing w:line="360" w:lineRule="auto"/>
        <w:ind w:left="720" w:hanging="720"/>
        <w:jc w:val="both"/>
        <w:outlineLvl w:val="9"/>
        <w:rPr>
          <w:rFonts w:hint="eastAsia" w:ascii="宋体" w:hAnsi="宋体" w:eastAsia="宋体" w:cs="宋体"/>
          <w:color w:val="000000" w:themeColor="text1"/>
          <w:sz w:val="21"/>
          <w:szCs w:val="21"/>
          <w:highlight w:val="none"/>
          <w14:textFill>
            <w14:solidFill>
              <w14:schemeClr w14:val="tx1"/>
            </w14:solidFill>
          </w14:textFill>
        </w:rPr>
      </w:pPr>
      <w:bookmarkStart w:id="988" w:name="_Toc15069"/>
      <w:r>
        <w:rPr>
          <w:rFonts w:hint="eastAsia" w:ascii="宋体" w:hAnsi="宋体" w:eastAsia="宋体" w:cs="宋体"/>
          <w:color w:val="000000" w:themeColor="text1"/>
          <w:sz w:val="21"/>
          <w:szCs w:val="21"/>
          <w:highlight w:val="none"/>
          <w14:textFill>
            <w14:solidFill>
              <w14:schemeClr w14:val="tx1"/>
            </w14:solidFill>
          </w14:textFill>
        </w:rPr>
        <w:t>名称及概况：</w:t>
      </w:r>
      <w:bookmarkEnd w:id="988"/>
    </w:p>
    <w:p w14:paraId="0C5040B4">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产品制造商名称：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AD2F407">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总部地址：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邮政编码：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ECDCF02">
      <w:pPr>
        <w:tabs>
          <w:tab w:val="left" w:pos="426"/>
          <w:tab w:val="left" w:pos="900"/>
        </w:tabs>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电话号码：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AE24DE6">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成立和/或注册日期：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8663AC0">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法定代表人姓名：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4DF05BC">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产品制造商代表姓名、联系电话和地址：</w:t>
      </w:r>
    </w:p>
    <w:p w14:paraId="19D64DA0">
      <w:pPr>
        <w:tabs>
          <w:tab w:val="left" w:pos="426"/>
        </w:tabs>
        <w:snapToGrid w:val="0"/>
        <w:spacing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F7A2909">
      <w:pPr>
        <w:numPr>
          <w:ilvl w:val="0"/>
          <w:numId w:val="3"/>
        </w:numPr>
        <w:tabs>
          <w:tab w:val="left" w:pos="426"/>
          <w:tab w:val="left" w:pos="2700"/>
        </w:tabs>
        <w:autoSpaceDE/>
        <w:autoSpaceDN/>
        <w:snapToGrid w:val="0"/>
        <w:spacing w:line="360" w:lineRule="auto"/>
        <w:ind w:left="720" w:hanging="7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(1)制造投标货物的主要设备、设施及有关情况：</w:t>
      </w:r>
    </w:p>
    <w:tbl>
      <w:tblPr>
        <w:tblStyle w:val="44"/>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14:paraId="20C4F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noWrap w:val="0"/>
            <w:vAlign w:val="center"/>
          </w:tcPr>
          <w:p w14:paraId="0F3A646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制造投标货物的工厂名称</w:t>
            </w:r>
          </w:p>
        </w:tc>
        <w:tc>
          <w:tcPr>
            <w:tcW w:w="1963" w:type="dxa"/>
            <w:noWrap w:val="0"/>
            <w:vAlign w:val="center"/>
          </w:tcPr>
          <w:p w14:paraId="32740F9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制造投标货物的工厂地址</w:t>
            </w:r>
          </w:p>
        </w:tc>
        <w:tc>
          <w:tcPr>
            <w:tcW w:w="1636" w:type="dxa"/>
            <w:noWrap w:val="0"/>
            <w:vAlign w:val="center"/>
          </w:tcPr>
          <w:p w14:paraId="73951C6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制造投标货物的主要生产设备设施名称及数量</w:t>
            </w:r>
          </w:p>
        </w:tc>
        <w:tc>
          <w:tcPr>
            <w:tcW w:w="1473" w:type="dxa"/>
            <w:noWrap w:val="0"/>
            <w:vAlign w:val="center"/>
          </w:tcPr>
          <w:p w14:paraId="1E9C686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购买年份</w:t>
            </w:r>
          </w:p>
        </w:tc>
        <w:tc>
          <w:tcPr>
            <w:tcW w:w="1472" w:type="dxa"/>
            <w:noWrap w:val="0"/>
            <w:vAlign w:val="center"/>
          </w:tcPr>
          <w:p w14:paraId="045FD5C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年生产能力</w:t>
            </w:r>
          </w:p>
        </w:tc>
        <w:tc>
          <w:tcPr>
            <w:tcW w:w="1270" w:type="dxa"/>
            <w:noWrap w:val="0"/>
            <w:vAlign w:val="center"/>
          </w:tcPr>
          <w:p w14:paraId="02701DF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职工人数</w:t>
            </w:r>
          </w:p>
        </w:tc>
      </w:tr>
      <w:tr w14:paraId="5E06B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noWrap w:val="0"/>
            <w:vAlign w:val="center"/>
          </w:tcPr>
          <w:p w14:paraId="1C7AE27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63" w:type="dxa"/>
            <w:noWrap w:val="0"/>
            <w:vAlign w:val="center"/>
          </w:tcPr>
          <w:p w14:paraId="7AEEBBC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36" w:type="dxa"/>
            <w:noWrap w:val="0"/>
            <w:vAlign w:val="center"/>
          </w:tcPr>
          <w:p w14:paraId="48BC3C5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3" w:type="dxa"/>
            <w:noWrap w:val="0"/>
            <w:vAlign w:val="center"/>
          </w:tcPr>
          <w:p w14:paraId="3747755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2" w:type="dxa"/>
            <w:noWrap w:val="0"/>
            <w:vAlign w:val="center"/>
          </w:tcPr>
          <w:p w14:paraId="404A500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noWrap w:val="0"/>
            <w:vAlign w:val="center"/>
          </w:tcPr>
          <w:p w14:paraId="4F3ED26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B160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noWrap w:val="0"/>
            <w:vAlign w:val="center"/>
          </w:tcPr>
          <w:p w14:paraId="56223CC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63" w:type="dxa"/>
            <w:noWrap w:val="0"/>
            <w:vAlign w:val="center"/>
          </w:tcPr>
          <w:p w14:paraId="375C44D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36" w:type="dxa"/>
            <w:noWrap w:val="0"/>
            <w:vAlign w:val="center"/>
          </w:tcPr>
          <w:p w14:paraId="5A72C01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3" w:type="dxa"/>
            <w:noWrap w:val="0"/>
            <w:vAlign w:val="center"/>
          </w:tcPr>
          <w:p w14:paraId="5797FC2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2" w:type="dxa"/>
            <w:noWrap w:val="0"/>
            <w:vAlign w:val="center"/>
          </w:tcPr>
          <w:p w14:paraId="4B38613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noWrap w:val="0"/>
            <w:vAlign w:val="center"/>
          </w:tcPr>
          <w:p w14:paraId="7A71C96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2E9C338D">
      <w:pPr>
        <w:tabs>
          <w:tab w:val="left" w:pos="426"/>
          <w:tab w:val="left" w:pos="2700"/>
        </w:tabs>
        <w:autoSpaceDE/>
        <w:autoSpaceDN/>
        <w:snapToGrid w:val="0"/>
        <w:spacing w:line="360" w:lineRule="auto"/>
        <w:ind w:left="720"/>
        <w:jc w:val="both"/>
        <w:rPr>
          <w:rFonts w:hint="eastAsia" w:ascii="宋体" w:hAnsi="宋体" w:eastAsia="宋体" w:cs="宋体"/>
          <w:color w:val="000000" w:themeColor="text1"/>
          <w:sz w:val="21"/>
          <w:szCs w:val="21"/>
          <w:highlight w:val="none"/>
          <w14:textFill>
            <w14:solidFill>
              <w14:schemeClr w14:val="tx1"/>
            </w14:solidFill>
          </w14:textFill>
        </w:rPr>
      </w:pPr>
    </w:p>
    <w:p w14:paraId="56E302C7">
      <w:pPr>
        <w:snapToGrid w:val="0"/>
        <w:spacing w:line="360" w:lineRule="auto"/>
        <w:ind w:firstLine="35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(2)投标货物中本制造商不生产，而需从其它制造商购买的主要零部件：</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2B35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2590A8A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主要零部件名称</w:t>
            </w:r>
          </w:p>
        </w:tc>
        <w:tc>
          <w:tcPr>
            <w:tcW w:w="3102" w:type="dxa"/>
            <w:noWrap w:val="0"/>
            <w:vAlign w:val="center"/>
          </w:tcPr>
          <w:p w14:paraId="7FA5E58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制造厂名称</w:t>
            </w:r>
          </w:p>
        </w:tc>
        <w:tc>
          <w:tcPr>
            <w:tcW w:w="3100" w:type="dxa"/>
            <w:noWrap w:val="0"/>
            <w:vAlign w:val="center"/>
          </w:tcPr>
          <w:p w14:paraId="4ACBDCEE">
            <w:pPr>
              <w:spacing w:line="360" w:lineRule="auto"/>
              <w:ind w:firstLine="1050" w:firstLineChars="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14:paraId="7153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23B2F9F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2" w:type="dxa"/>
            <w:noWrap w:val="0"/>
            <w:vAlign w:val="center"/>
          </w:tcPr>
          <w:p w14:paraId="1691729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14:paraId="045EE9D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F84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3A350F2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102" w:type="dxa"/>
            <w:noWrap w:val="0"/>
            <w:vAlign w:val="center"/>
          </w:tcPr>
          <w:p w14:paraId="656050D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14:paraId="25EF095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76D54CB8">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3、易损件供应商的名称和地址： </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1A91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7F132DA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易损件名称</w:t>
            </w:r>
          </w:p>
        </w:tc>
        <w:tc>
          <w:tcPr>
            <w:tcW w:w="3097" w:type="dxa"/>
            <w:noWrap w:val="0"/>
            <w:vAlign w:val="center"/>
          </w:tcPr>
          <w:p w14:paraId="31DE8DCF">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p>
        </w:tc>
        <w:tc>
          <w:tcPr>
            <w:tcW w:w="3095" w:type="dxa"/>
            <w:noWrap w:val="0"/>
            <w:vAlign w:val="center"/>
          </w:tcPr>
          <w:p w14:paraId="77E4154E">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14:paraId="7B01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5C70AEFC">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097" w:type="dxa"/>
            <w:noWrap w:val="0"/>
            <w:vAlign w:val="center"/>
          </w:tcPr>
          <w:p w14:paraId="6AA64359">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09DA9D65">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14:paraId="2A2C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602C74A2">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14:paraId="2B7AD8A2">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39830B05">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14:paraId="44612DC8">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4、近三年该货物主要销售给国内、外主要客户的名称地址：</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12B8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06A2D082">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客户名称</w:t>
            </w:r>
          </w:p>
        </w:tc>
        <w:tc>
          <w:tcPr>
            <w:tcW w:w="3097" w:type="dxa"/>
            <w:noWrap w:val="0"/>
            <w:vAlign w:val="center"/>
          </w:tcPr>
          <w:p w14:paraId="5EB4F0F7">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销售货物</w:t>
            </w:r>
          </w:p>
        </w:tc>
        <w:tc>
          <w:tcPr>
            <w:tcW w:w="3095" w:type="dxa"/>
            <w:noWrap w:val="0"/>
            <w:vAlign w:val="center"/>
          </w:tcPr>
          <w:p w14:paraId="46738B83">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r>
      <w:tr w14:paraId="24DC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516676E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097" w:type="dxa"/>
            <w:noWrap w:val="0"/>
            <w:vAlign w:val="center"/>
          </w:tcPr>
          <w:p w14:paraId="03C656DE">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51BF6996">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14:paraId="52CB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048553BE">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14:paraId="590789F7">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51076753">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14:paraId="59AD63FA">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043D693B">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5、其他情况：(公司简介、技术力量、本制造商生产投标货物的经验等)</w:t>
      </w:r>
    </w:p>
    <w:p w14:paraId="3DEE3C07">
      <w:pPr>
        <w:autoSpaceDE/>
        <w:autoSpaceDN/>
        <w:adjustRightInd/>
        <w:spacing w:line="360" w:lineRule="auto"/>
        <w:ind w:firstLine="424" w:firstLineChars="202"/>
        <w:jc w:val="both"/>
        <w:rPr>
          <w:rFonts w:hint="eastAsia" w:ascii="宋体" w:hAnsi="宋体" w:eastAsia="宋体" w:cs="宋体"/>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p>
    <w:p w14:paraId="11DE670A">
      <w:pPr>
        <w:autoSpaceDE/>
        <w:autoSpaceDN/>
        <w:adjustRightInd/>
        <w:spacing w:line="360" w:lineRule="auto"/>
        <w:ind w:firstLine="420" w:firstLineChars="2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兹证明上述声明是真实的、正确的，并提供了全部能提供的资料和数据，我们同意遵照贵方要求出示有关证明文件。</w:t>
      </w:r>
    </w:p>
    <w:p w14:paraId="0BF896E1">
      <w:pPr>
        <w:autoSpaceDE/>
        <w:autoSpaceDN/>
        <w:adjustRightInd/>
        <w:spacing w:line="360" w:lineRule="auto"/>
        <w:ind w:left="567" w:leftChars="270" w:firstLine="420"/>
        <w:jc w:val="both"/>
        <w:rPr>
          <w:rFonts w:hint="eastAsia" w:ascii="宋体" w:hAnsi="宋体" w:eastAsia="宋体" w:cs="宋体"/>
          <w:color w:val="000000" w:themeColor="text1"/>
          <w:kern w:val="2"/>
          <w:sz w:val="21"/>
          <w:szCs w:val="21"/>
          <w:highlight w:val="none"/>
          <w14:textFill>
            <w14:solidFill>
              <w14:schemeClr w14:val="tx1"/>
            </w14:solidFill>
          </w14:textFill>
        </w:rPr>
      </w:pPr>
    </w:p>
    <w:p w14:paraId="79256BE2">
      <w:pPr>
        <w:autoSpaceDE/>
        <w:autoSpaceDN/>
        <w:adjustRightInd/>
        <w:spacing w:line="360" w:lineRule="auto"/>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产品制造商名称：</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（境内工商注册的产品制造商必须同时加盖法人公章）</w:t>
      </w:r>
    </w:p>
    <w:p w14:paraId="54B06DF9">
      <w:pPr>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14:paraId="73036FBE">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7D0F5CA">
      <w:pPr>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515B570">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663D2CF">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3065522">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D2E9F33">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E81D531">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392C796">
      <w:pPr>
        <w:spacing w:line="360" w:lineRule="auto"/>
        <w:ind w:firstLine="600"/>
        <w:rPr>
          <w:rFonts w:hint="eastAsia" w:ascii="宋体" w:hAnsi="宋体" w:eastAsia="宋体" w:cs="宋体"/>
          <w:color w:val="000000" w:themeColor="text1"/>
          <w:sz w:val="21"/>
          <w:szCs w:val="21"/>
          <w:highlight w:val="none"/>
          <w:u w:val="single"/>
          <w14:textFill>
            <w14:solidFill>
              <w14:schemeClr w14:val="tx1"/>
            </w14:solidFill>
          </w14:textFill>
        </w:rPr>
      </w:pPr>
    </w:p>
    <w:p w14:paraId="11A40D07">
      <w:pPr>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备注：</w:t>
      </w:r>
      <w:r>
        <w:rPr>
          <w:rFonts w:hint="eastAsia" w:ascii="宋体" w:hAnsi="宋体" w:eastAsia="宋体" w:cs="宋体"/>
          <w:b/>
          <w:color w:val="000000" w:themeColor="text1"/>
          <w:szCs w:val="21"/>
          <w:highlight w:val="none"/>
          <w14:textFill>
            <w14:solidFill>
              <w14:schemeClr w14:val="tx1"/>
            </w14:solidFill>
          </w14:textFill>
        </w:rPr>
        <w:t>制造商资格声明</w:t>
      </w:r>
      <w:r>
        <w:rPr>
          <w:rFonts w:hint="eastAsia" w:ascii="宋体" w:hAnsi="宋体" w:eastAsia="宋体" w:cs="宋体"/>
          <w:b/>
          <w:color w:val="000000" w:themeColor="text1"/>
          <w:kern w:val="2"/>
          <w:sz w:val="21"/>
          <w:szCs w:val="21"/>
          <w:highlight w:val="none"/>
          <w14:textFill>
            <w14:solidFill>
              <w14:schemeClr w14:val="tx1"/>
            </w14:solidFill>
          </w14:textFill>
        </w:rPr>
        <w:t>必须提供原件</w:t>
      </w: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扫描件</w:t>
      </w:r>
      <w:r>
        <w:rPr>
          <w:rFonts w:hint="eastAsia" w:ascii="宋体" w:hAnsi="宋体" w:eastAsia="宋体" w:cs="宋体"/>
          <w:b/>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扫描件上传后需由投标人使用投标人的企业数字证书电子签名</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kern w:val="2"/>
          <w:sz w:val="21"/>
          <w:szCs w:val="21"/>
          <w:highlight w:val="none"/>
          <w14:textFill>
            <w14:solidFill>
              <w14:schemeClr w14:val="tx1"/>
            </w14:solidFill>
          </w14:textFill>
        </w:rPr>
        <w:t>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14:paraId="441219EE">
      <w:pPr>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br w:type="page"/>
      </w:r>
    </w:p>
    <w:p w14:paraId="1435C87D">
      <w:pPr>
        <w:pageBreakBefore/>
        <w:snapToGrid w:val="0"/>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制造商资格声明</w:t>
      </w:r>
    </w:p>
    <w:p w14:paraId="5B3BD3DD">
      <w:pPr>
        <w:spacing w:line="360" w:lineRule="auto"/>
        <w:ind w:firstLine="422" w:firstLineChars="200"/>
        <w:rPr>
          <w:rFonts w:hint="eastAsia" w:ascii="宋体" w:hAnsi="宋体" w:eastAsia="宋体" w:cs="宋体"/>
          <w:b/>
          <w:color w:val="000000" w:themeColor="text1"/>
          <w:kern w:val="2"/>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（投标人根据实际情况选用，本格式适用于：</w:t>
      </w:r>
      <w:r>
        <w:rPr>
          <w:rFonts w:hint="eastAsia" w:ascii="宋体" w:hAnsi="宋体" w:eastAsia="宋体" w:cs="宋体"/>
          <w:b/>
          <w:color w:val="000000" w:themeColor="text1"/>
          <w:sz w:val="21"/>
          <w:szCs w:val="21"/>
          <w:highlight w:val="none"/>
          <w:u w:val="single"/>
          <w14:textFill>
            <w14:solidFill>
              <w14:schemeClr w14:val="tx1"/>
            </w14:solidFill>
          </w14:textFill>
        </w:rPr>
        <w:t>境外品牌境外螺翼式远传水表的生产制造商通过境内的办事机构</w:t>
      </w:r>
      <w:r>
        <w:rPr>
          <w:rFonts w:hint="eastAsia" w:ascii="宋体" w:hAnsi="宋体" w:eastAsia="宋体" w:cs="宋体"/>
          <w:b/>
          <w:color w:val="000000" w:themeColor="text1"/>
          <w:kern w:val="2"/>
          <w:sz w:val="21"/>
          <w:szCs w:val="21"/>
          <w:highlight w:val="none"/>
          <w:u w:val="single"/>
          <w14:textFill>
            <w14:solidFill>
              <w14:schemeClr w14:val="tx1"/>
            </w14:solidFill>
          </w14:textFill>
        </w:rPr>
        <w:t>独家授权在境内依法登记注册成立、能独立承担民事责任能力的经销商参与投标时提供</w:t>
      </w:r>
      <w:r>
        <w:rPr>
          <w:rFonts w:hint="eastAsia" w:ascii="宋体" w:hAnsi="宋体" w:eastAsia="宋体" w:cs="宋体"/>
          <w:b/>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w:t>
      </w:r>
    </w:p>
    <w:p w14:paraId="7B154F15">
      <w:pPr>
        <w:numPr>
          <w:ilvl w:val="0"/>
          <w:numId w:val="0"/>
        </w:numPr>
        <w:tabs>
          <w:tab w:val="left" w:pos="567"/>
          <w:tab w:val="left" w:pos="2700"/>
        </w:tabs>
        <w:autoSpaceDE/>
        <w:autoSpaceDN/>
        <w:snapToGrid w:val="0"/>
        <w:spacing w:line="360" w:lineRule="auto"/>
        <w:ind w:left="567" w:leftChars="0" w:hanging="567"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bookmarkStart w:id="989" w:name="_Toc27966"/>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名称及概况：</w:t>
      </w:r>
      <w:bookmarkEnd w:id="989"/>
    </w:p>
    <w:p w14:paraId="169AD624">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产品制造商名称：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96BACB4">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总部地址：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邮政编码：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30FBECD">
      <w:pPr>
        <w:tabs>
          <w:tab w:val="left" w:pos="567"/>
          <w:tab w:val="left" w:pos="900"/>
        </w:tabs>
        <w:snapToGrid w:val="0"/>
        <w:spacing w:line="360" w:lineRule="auto"/>
        <w:ind w:left="504" w:leftChars="220" w:hanging="42" w:hangingChars="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电话号码：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830852A">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成立和/或注册日期：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254AE30">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法定代表人姓名：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33A8F65">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制造商代表姓名、联系电话和地址：</w:t>
      </w:r>
    </w:p>
    <w:p w14:paraId="43DDBF3E">
      <w:pPr>
        <w:tabs>
          <w:tab w:val="left" w:pos="567"/>
        </w:tabs>
        <w:snapToGrid w:val="0"/>
        <w:spacing w:line="360" w:lineRule="auto"/>
        <w:ind w:left="567" w:hanging="567"/>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F6CA22C">
      <w:pPr>
        <w:numPr>
          <w:ilvl w:val="0"/>
          <w:numId w:val="0"/>
        </w:numPr>
        <w:tabs>
          <w:tab w:val="left" w:pos="567"/>
        </w:tabs>
        <w:autoSpaceDE/>
        <w:autoSpaceDN/>
        <w:snapToGrid w:val="0"/>
        <w:spacing w:line="360" w:lineRule="auto"/>
        <w:ind w:left="565" w:leftChars="-1"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境内办事机构名称：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07FFD97">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总部地址：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邮政编码：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EC4627D">
      <w:pPr>
        <w:tabs>
          <w:tab w:val="left" w:pos="567"/>
          <w:tab w:val="left" w:pos="900"/>
        </w:tabs>
        <w:snapToGrid w:val="0"/>
        <w:spacing w:line="360" w:lineRule="auto"/>
        <w:ind w:left="500" w:leftChars="2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电话号码：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5CDD17E">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成立和/或注册日期：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1FC0D30">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法定代表人姓名：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C8175D5">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境内办事机构代表姓名、联系电话和地址：</w:t>
      </w:r>
    </w:p>
    <w:p w14:paraId="52CAFCCA">
      <w:pPr>
        <w:tabs>
          <w:tab w:val="left" w:pos="567"/>
        </w:tabs>
        <w:snapToGrid w:val="0"/>
        <w:spacing w:line="360" w:lineRule="auto"/>
        <w:ind w:left="567" w:hanging="567"/>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AF883D7">
      <w:pPr>
        <w:numPr>
          <w:ilvl w:val="0"/>
          <w:numId w:val="0"/>
        </w:numPr>
        <w:tabs>
          <w:tab w:val="left" w:pos="426"/>
          <w:tab w:val="left" w:pos="2700"/>
        </w:tabs>
        <w:autoSpaceDE/>
        <w:autoSpaceDN/>
        <w:snapToGrid w:val="0"/>
        <w:spacing w:line="360" w:lineRule="auto"/>
        <w:ind w:left="720" w:leftChars="0" w:hanging="720" w:firstLineChars="0"/>
        <w:jc w:val="both"/>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 xml:space="preserve"> (1)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产品制造商制造投标货物的主要设备、设施及有关情况：</w:t>
      </w:r>
    </w:p>
    <w:tbl>
      <w:tblPr>
        <w:tblStyle w:val="44"/>
        <w:tblW w:w="80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14:paraId="7FEAB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noWrap w:val="0"/>
            <w:vAlign w:val="center"/>
          </w:tcPr>
          <w:p w14:paraId="1DFB8BB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制造投标货物的工厂名称</w:t>
            </w:r>
          </w:p>
        </w:tc>
        <w:tc>
          <w:tcPr>
            <w:tcW w:w="1701" w:type="dxa"/>
            <w:noWrap w:val="0"/>
            <w:vAlign w:val="center"/>
          </w:tcPr>
          <w:p w14:paraId="3C06BEC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制造投标货物的工厂地址</w:t>
            </w:r>
          </w:p>
        </w:tc>
        <w:tc>
          <w:tcPr>
            <w:tcW w:w="1417" w:type="dxa"/>
            <w:noWrap w:val="0"/>
            <w:vAlign w:val="center"/>
          </w:tcPr>
          <w:p w14:paraId="39F98BC7">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制造投标货物的主要生产设备设施名称及数量</w:t>
            </w:r>
          </w:p>
        </w:tc>
        <w:tc>
          <w:tcPr>
            <w:tcW w:w="1276" w:type="dxa"/>
            <w:noWrap w:val="0"/>
            <w:vAlign w:val="center"/>
          </w:tcPr>
          <w:p w14:paraId="4EA41AF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购买年份</w:t>
            </w:r>
          </w:p>
        </w:tc>
        <w:tc>
          <w:tcPr>
            <w:tcW w:w="1276" w:type="dxa"/>
            <w:noWrap w:val="0"/>
            <w:vAlign w:val="center"/>
          </w:tcPr>
          <w:p w14:paraId="2636377E">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年生产能力</w:t>
            </w:r>
          </w:p>
        </w:tc>
        <w:tc>
          <w:tcPr>
            <w:tcW w:w="1100" w:type="dxa"/>
            <w:noWrap w:val="0"/>
            <w:vAlign w:val="center"/>
          </w:tcPr>
          <w:p w14:paraId="4156431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职工人数</w:t>
            </w:r>
          </w:p>
        </w:tc>
      </w:tr>
      <w:tr w14:paraId="51DB6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noWrap w:val="0"/>
            <w:vAlign w:val="center"/>
          </w:tcPr>
          <w:p w14:paraId="4341347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01" w:type="dxa"/>
            <w:noWrap w:val="0"/>
            <w:vAlign w:val="center"/>
          </w:tcPr>
          <w:p w14:paraId="1254F949">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noWrap w:val="0"/>
            <w:vAlign w:val="center"/>
          </w:tcPr>
          <w:p w14:paraId="5047538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6" w:type="dxa"/>
            <w:noWrap w:val="0"/>
            <w:vAlign w:val="center"/>
          </w:tcPr>
          <w:p w14:paraId="0C696ED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6" w:type="dxa"/>
            <w:noWrap w:val="0"/>
            <w:vAlign w:val="center"/>
          </w:tcPr>
          <w:p w14:paraId="0233A3AC">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0" w:type="dxa"/>
            <w:noWrap w:val="0"/>
            <w:vAlign w:val="center"/>
          </w:tcPr>
          <w:p w14:paraId="682948D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BEFE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noWrap w:val="0"/>
            <w:vAlign w:val="center"/>
          </w:tcPr>
          <w:p w14:paraId="253859A9">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701" w:type="dxa"/>
            <w:noWrap w:val="0"/>
            <w:vAlign w:val="center"/>
          </w:tcPr>
          <w:p w14:paraId="671184AA">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noWrap w:val="0"/>
            <w:vAlign w:val="center"/>
          </w:tcPr>
          <w:p w14:paraId="7FE59AD8">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6" w:type="dxa"/>
            <w:noWrap w:val="0"/>
            <w:vAlign w:val="center"/>
          </w:tcPr>
          <w:p w14:paraId="1E397530">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6" w:type="dxa"/>
            <w:noWrap w:val="0"/>
            <w:vAlign w:val="center"/>
          </w:tcPr>
          <w:p w14:paraId="1115366A">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00" w:type="dxa"/>
            <w:noWrap w:val="0"/>
            <w:vAlign w:val="center"/>
          </w:tcPr>
          <w:p w14:paraId="40EF54D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2A240DCB">
      <w:pPr>
        <w:spacing w:line="360" w:lineRule="auto"/>
        <w:ind w:right="-26"/>
        <w:rPr>
          <w:rFonts w:hint="eastAsia" w:ascii="宋体" w:hAnsi="宋体" w:eastAsia="宋体" w:cs="宋体"/>
          <w:b/>
          <w:bCs/>
          <w:color w:val="000000" w:themeColor="text1"/>
          <w:kern w:val="2"/>
          <w:sz w:val="21"/>
          <w:szCs w:val="21"/>
          <w:highlight w:val="none"/>
          <w14:textFill>
            <w14:solidFill>
              <w14:schemeClr w14:val="tx1"/>
            </w14:solidFill>
          </w14:textFill>
        </w:rPr>
      </w:pPr>
    </w:p>
    <w:p w14:paraId="21AEFFD2">
      <w:pPr>
        <w:snapToGrid w:val="0"/>
        <w:spacing w:line="360" w:lineRule="auto"/>
        <w:ind w:firstLine="35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 投标货物中本产品制造商不生产，而需从其它制造商购买的主要零部件：</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4D5D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478A284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主要零部件名称</w:t>
            </w:r>
          </w:p>
        </w:tc>
        <w:tc>
          <w:tcPr>
            <w:tcW w:w="3102" w:type="dxa"/>
            <w:noWrap w:val="0"/>
            <w:vAlign w:val="center"/>
          </w:tcPr>
          <w:p w14:paraId="71AF4F5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制造厂名称</w:t>
            </w:r>
          </w:p>
        </w:tc>
        <w:tc>
          <w:tcPr>
            <w:tcW w:w="3100" w:type="dxa"/>
            <w:noWrap w:val="0"/>
            <w:vAlign w:val="center"/>
          </w:tcPr>
          <w:p w14:paraId="04A3D00A">
            <w:pPr>
              <w:spacing w:line="360" w:lineRule="auto"/>
              <w:ind w:firstLine="1050" w:firstLineChars="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14:paraId="0CC0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35275AA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2" w:type="dxa"/>
            <w:noWrap w:val="0"/>
            <w:vAlign w:val="center"/>
          </w:tcPr>
          <w:p w14:paraId="6B485884">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14:paraId="0CA097F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808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08A0286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102" w:type="dxa"/>
            <w:noWrap w:val="0"/>
            <w:vAlign w:val="center"/>
          </w:tcPr>
          <w:p w14:paraId="261E668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14:paraId="08F7207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5C3B8624">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3、易损件供应商的名称和地址： </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17DB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3BD2DF1A">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易损件名称</w:t>
            </w:r>
          </w:p>
        </w:tc>
        <w:tc>
          <w:tcPr>
            <w:tcW w:w="3097" w:type="dxa"/>
            <w:noWrap w:val="0"/>
            <w:vAlign w:val="center"/>
          </w:tcPr>
          <w:p w14:paraId="1446BC2D">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p>
        </w:tc>
        <w:tc>
          <w:tcPr>
            <w:tcW w:w="3095" w:type="dxa"/>
            <w:noWrap w:val="0"/>
            <w:vAlign w:val="center"/>
          </w:tcPr>
          <w:p w14:paraId="76A45C9F">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14:paraId="4008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07EA426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097" w:type="dxa"/>
            <w:noWrap w:val="0"/>
            <w:vAlign w:val="center"/>
          </w:tcPr>
          <w:p w14:paraId="4EC1DD74">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2BF421BB">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14:paraId="11AE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3C695B2C">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14:paraId="08FD5F71">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1EC4F1E1">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14:paraId="4DBD508C">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4、近三年该货物主要销售给国内、外主要客户的名称地址：</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567A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77E315AB">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客户名称</w:t>
            </w:r>
          </w:p>
        </w:tc>
        <w:tc>
          <w:tcPr>
            <w:tcW w:w="3097" w:type="dxa"/>
            <w:noWrap w:val="0"/>
            <w:vAlign w:val="center"/>
          </w:tcPr>
          <w:p w14:paraId="042FE4F8">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销售货物</w:t>
            </w:r>
          </w:p>
        </w:tc>
        <w:tc>
          <w:tcPr>
            <w:tcW w:w="3095" w:type="dxa"/>
            <w:noWrap w:val="0"/>
            <w:vAlign w:val="center"/>
          </w:tcPr>
          <w:p w14:paraId="62A4D33A">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r>
      <w:tr w14:paraId="7861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67B83438">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7" w:type="dxa"/>
            <w:noWrap w:val="0"/>
            <w:vAlign w:val="center"/>
          </w:tcPr>
          <w:p w14:paraId="14C1D993">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5F3D8DBE">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14:paraId="475D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3FF66397">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14:paraId="5AB8FEBF">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5A34D435">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14:paraId="668AC349">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5、其他情况：(公司简介、技术力量、产品制造商生产</w:t>
      </w:r>
      <w:r>
        <w:rPr>
          <w:rFonts w:hint="eastAsia" w:ascii="宋体" w:hAnsi="宋体" w:eastAsia="宋体" w:cs="宋体"/>
          <w:color w:val="000000" w:themeColor="text1"/>
          <w:sz w:val="21"/>
          <w:szCs w:val="21"/>
          <w:highlight w:val="none"/>
          <w14:textFill>
            <w14:solidFill>
              <w14:schemeClr w14:val="tx1"/>
            </w14:solidFill>
          </w14:textFill>
        </w:rPr>
        <w:t>投标</w:t>
      </w:r>
      <w:r>
        <w:rPr>
          <w:rFonts w:hint="eastAsia" w:ascii="宋体" w:hAnsi="宋体" w:eastAsia="宋体" w:cs="宋体"/>
          <w:color w:val="000000" w:themeColor="text1"/>
          <w:kern w:val="2"/>
          <w:sz w:val="21"/>
          <w:szCs w:val="21"/>
          <w:highlight w:val="none"/>
          <w14:textFill>
            <w14:solidFill>
              <w14:schemeClr w14:val="tx1"/>
            </w14:solidFill>
          </w14:textFill>
        </w:rPr>
        <w:t>货物的经验等)</w:t>
      </w:r>
    </w:p>
    <w:p w14:paraId="2662624D">
      <w:pPr>
        <w:autoSpaceDE/>
        <w:autoSpaceDN/>
        <w:adjustRightInd/>
        <w:spacing w:line="360" w:lineRule="auto"/>
        <w:ind w:firstLine="424" w:firstLineChars="202"/>
        <w:jc w:val="both"/>
        <w:rPr>
          <w:rFonts w:hint="eastAsia" w:ascii="宋体" w:hAnsi="宋体" w:eastAsia="宋体" w:cs="宋体"/>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p>
    <w:p w14:paraId="22DD5BB0">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6、附我方作为境外品牌境外生产的产品生产制造商在境内的办事机构的证明文件</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原件扫描</w:t>
      </w:r>
      <w:r>
        <w:rPr>
          <w:rFonts w:hint="eastAsia" w:ascii="宋体" w:hAnsi="宋体" w:eastAsia="宋体" w:cs="宋体"/>
          <w:color w:val="000000" w:themeColor="text1"/>
          <w:kern w:val="2"/>
          <w:sz w:val="21"/>
          <w:szCs w:val="21"/>
          <w:highlight w:val="none"/>
          <w14:textFill>
            <w14:solidFill>
              <w14:schemeClr w14:val="tx1"/>
            </w14:solidFill>
          </w14:textFill>
        </w:rPr>
        <w:t>件{证明文件可为显示其作为境外产品制造商分公司的营业执照、或反映其作为境外产品制造商子公司的章程(或出资证明、或反映出资人为境外产品制造商的营业执照)或境外产品制造商的书面证明或官网显示其关系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扫描</w:t>
      </w:r>
      <w:r>
        <w:rPr>
          <w:rFonts w:hint="eastAsia" w:ascii="宋体" w:hAnsi="宋体" w:eastAsia="宋体" w:cs="宋体"/>
          <w:color w:val="000000" w:themeColor="text1"/>
          <w:kern w:val="2"/>
          <w:sz w:val="21"/>
          <w:szCs w:val="21"/>
          <w:highlight w:val="none"/>
          <w14:textFill>
            <w14:solidFill>
              <w14:schemeClr w14:val="tx1"/>
            </w14:solidFill>
          </w14:textFill>
        </w:rPr>
        <w:t>件}，否则本资格声明无效。</w:t>
      </w:r>
    </w:p>
    <w:p w14:paraId="2F16B804">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p>
    <w:p w14:paraId="77CB04CA">
      <w:pPr>
        <w:autoSpaceDE/>
        <w:autoSpaceDN/>
        <w:adjustRightInd/>
        <w:spacing w:line="360" w:lineRule="auto"/>
        <w:ind w:firstLine="525" w:firstLineChars="25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兹证明上述声明是真实的、正确的，并提供了全部能提供的资料和数据，我们同意遵照贵方要求出示有关证明文件。</w:t>
      </w:r>
    </w:p>
    <w:p w14:paraId="4DD71FAC">
      <w:pPr>
        <w:autoSpaceDE/>
        <w:autoSpaceDN/>
        <w:adjustRightInd/>
        <w:spacing w:line="360" w:lineRule="auto"/>
        <w:ind w:firstLine="525" w:firstLineChars="2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境外品牌境外生产的产品生产制造商</w:t>
      </w:r>
      <w:r>
        <w:rPr>
          <w:rFonts w:hint="eastAsia" w:ascii="宋体" w:hAnsi="宋体" w:eastAsia="宋体" w:cs="宋体"/>
          <w:bCs/>
          <w:color w:val="000000" w:themeColor="text1"/>
          <w:kern w:val="2"/>
          <w:sz w:val="21"/>
          <w:szCs w:val="21"/>
          <w:highlight w:val="none"/>
          <w14:textFill>
            <w14:solidFill>
              <w14:schemeClr w14:val="tx1"/>
            </w14:solidFill>
          </w14:textFill>
        </w:rPr>
        <w:t>在境内的办事机构</w:t>
      </w:r>
      <w:r>
        <w:rPr>
          <w:rFonts w:hint="eastAsia" w:ascii="宋体" w:hAnsi="宋体" w:eastAsia="宋体" w:cs="宋体"/>
          <w:color w:val="000000" w:themeColor="text1"/>
          <w:kern w:val="2"/>
          <w:sz w:val="21"/>
          <w:szCs w:val="21"/>
          <w:highlight w:val="none"/>
          <w14:textFill>
            <w14:solidFill>
              <w14:schemeClr w14:val="tx1"/>
            </w14:solidFill>
          </w14:textFill>
        </w:rPr>
        <w:t>名称：</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（在境内工商注册的办事机构必须同时加盖公章）</w:t>
      </w:r>
    </w:p>
    <w:p w14:paraId="38BC8257">
      <w:pPr>
        <w:snapToGrid w:val="0"/>
        <w:spacing w:line="360" w:lineRule="auto"/>
        <w:ind w:firstLine="525" w:firstLineChars="2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14:paraId="679317CE">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663CCC1">
      <w:pPr>
        <w:snapToGrid w:val="0"/>
        <w:spacing w:line="360" w:lineRule="auto"/>
        <w:ind w:firstLine="525" w:firstLineChars="2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8DAB335">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1E17586">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18018F5">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82F001C">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911869A">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167878C">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0F8B2F88">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备注：</w:t>
      </w:r>
      <w:r>
        <w:rPr>
          <w:rFonts w:hint="eastAsia" w:ascii="宋体" w:hAnsi="宋体" w:eastAsia="宋体" w:cs="宋体"/>
          <w:color w:val="000000" w:themeColor="text1"/>
          <w:kern w:val="2"/>
          <w:sz w:val="21"/>
          <w:szCs w:val="20"/>
          <w:highlight w:val="none"/>
          <w14:textFill>
            <w14:solidFill>
              <w14:schemeClr w14:val="tx1"/>
            </w14:solidFill>
          </w14:textFill>
        </w:rPr>
        <w:t xml:space="preserve"> </w:t>
      </w:r>
      <w:r>
        <w:rPr>
          <w:rFonts w:hint="eastAsia" w:ascii="宋体" w:hAnsi="宋体" w:eastAsia="宋体" w:cs="宋体"/>
          <w:b/>
          <w:color w:val="000000" w:themeColor="text1"/>
          <w:kern w:val="2"/>
          <w:sz w:val="21"/>
          <w:szCs w:val="21"/>
          <w:highlight w:val="none"/>
          <w14:textFill>
            <w14:solidFill>
              <w14:schemeClr w14:val="tx1"/>
            </w14:solidFill>
          </w14:textFill>
        </w:rPr>
        <w:t>投标文件必须提供原件</w:t>
      </w: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扫描件</w:t>
      </w:r>
      <w:r>
        <w:rPr>
          <w:rFonts w:hint="eastAsia" w:ascii="宋体" w:hAnsi="宋体" w:eastAsia="宋体" w:cs="宋体"/>
          <w:b/>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扫描件上传后需由投标人使用投标人的企业数字证书电子签名</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kern w:val="2"/>
          <w:sz w:val="21"/>
          <w:szCs w:val="21"/>
          <w:highlight w:val="none"/>
          <w14:textFill>
            <w14:solidFill>
              <w14:schemeClr w14:val="tx1"/>
            </w14:solidFill>
          </w14:textFill>
        </w:rPr>
        <w:t>出具本声明的办事机构为在境内工商注册的办事机构时，本资格声明每页需加盖其公章；出具本声明的办事机构为未在境内工商注册的办事机构时，本资格声明每页由其法定代表人签名(或盖私章)代替加盖公章。</w:t>
      </w:r>
    </w:p>
    <w:p w14:paraId="33F16E39">
      <w:pPr>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br w:type="page"/>
      </w:r>
    </w:p>
    <w:p w14:paraId="6E6FABE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（3）</w:t>
      </w:r>
      <w:r>
        <w:rPr>
          <w:rFonts w:hint="eastAsia" w:ascii="宋体" w:hAnsi="宋体" w:eastAsia="宋体" w:cs="宋体"/>
          <w:b/>
          <w:color w:val="000000" w:themeColor="text1"/>
          <w:kern w:val="2"/>
          <w:sz w:val="21"/>
          <w:szCs w:val="21"/>
          <w:highlight w:val="none"/>
          <w14:textFill>
            <w14:solidFill>
              <w14:schemeClr w14:val="tx1"/>
            </w14:solidFill>
          </w14:textFill>
        </w:rPr>
        <w:t>制造商售后服务承诺函及独家授权书</w:t>
      </w:r>
    </w:p>
    <w:p w14:paraId="4310BCD5">
      <w:pPr>
        <w:keepNext w:val="0"/>
        <w:keepLines w:val="0"/>
        <w:pageBreakBefore w:val="0"/>
        <w:widowControl w:val="0"/>
        <w:kinsoku/>
        <w:wordWrap/>
        <w:overflowPunct/>
        <w:topLinePunct w:val="0"/>
        <w:autoSpaceDE/>
        <w:autoSpaceDN/>
        <w:bidi w:val="0"/>
        <w:adjustRightInd/>
        <w:snapToGrid/>
        <w:spacing w:line="380" w:lineRule="exact"/>
        <w:ind w:firstLine="3584" w:firstLineChars="1700"/>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①制造商售后服务承诺函</w:t>
      </w:r>
    </w:p>
    <w:p w14:paraId="258AFE3D">
      <w:pPr>
        <w:keepNext w:val="0"/>
        <w:keepLines w:val="0"/>
        <w:pageBreakBefore w:val="0"/>
        <w:widowControl w:val="0"/>
        <w:kinsoku/>
        <w:wordWrap/>
        <w:overflowPunct/>
        <w:topLinePunct w:val="0"/>
        <w:autoSpaceDE/>
        <w:autoSpaceDN/>
        <w:bidi w:val="0"/>
        <w:adjustRightInd/>
        <w:snapToGrid/>
        <w:spacing w:line="380" w:lineRule="exact"/>
        <w:ind w:firstLine="1054" w:firstLineChars="500"/>
        <w:textAlignment w:val="auto"/>
        <w:rPr>
          <w:rFonts w:hint="eastAsia" w:ascii="宋体" w:hAnsi="宋体" w:eastAsia="宋体" w:cs="宋体"/>
          <w:b/>
          <w:color w:val="000000" w:themeColor="text1"/>
          <w:kern w:val="2"/>
          <w:sz w:val="21"/>
          <w:szCs w:val="21"/>
          <w:highlight w:val="none"/>
          <w:u w:val="singl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（投标人根据实际情况选用，本格式适用于：投标人为制造商时提供。）</w:t>
      </w:r>
    </w:p>
    <w:p w14:paraId="2DB6DAC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lang w:eastAsia="zh-CN"/>
          <w14:textFill>
            <w14:solidFill>
              <w14:schemeClr w14:val="tx1"/>
            </w14:solidFill>
          </w14:textFill>
        </w:rPr>
        <w:t>东莞市水务集团供水有限公司</w:t>
      </w:r>
    </w:p>
    <w:p w14:paraId="2024AAB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我方就</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东莞市供水计量设施更新项目(2025年计量仪表采购)－螺翼式远传水表</w:t>
      </w:r>
      <w:r>
        <w:rPr>
          <w:rFonts w:hint="eastAsia" w:ascii="宋体" w:hAnsi="宋体" w:eastAsia="宋体" w:cs="宋体"/>
          <w:color w:val="000000" w:themeColor="text1"/>
          <w:sz w:val="21"/>
          <w:szCs w:val="21"/>
          <w:highlight w:val="none"/>
          <w14:textFill>
            <w14:solidFill>
              <w14:schemeClr w14:val="tx1"/>
            </w14:solidFill>
          </w14:textFill>
        </w:rPr>
        <w:t>售后服务事宜承诺如下：</w:t>
      </w:r>
    </w:p>
    <w:p w14:paraId="58A147D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1、我方向贵方提供技术支持，包括但不限于直接委派专业技术人员（含外籍人员的翻译人员）参与设计联络、到达工地现场对设备进行安装，相关费用无需贵方负责。</w:t>
      </w:r>
    </w:p>
    <w:p w14:paraId="60317C5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2、我方对我方提供货物的质量和售后服务承担全部责任。本次提供的货物按以下方式提供售后服务：</w:t>
      </w:r>
    </w:p>
    <w:p w14:paraId="01BCEBE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color w:val="000000" w:themeColor="text1"/>
          <w:sz w:val="21"/>
          <w:szCs w:val="21"/>
          <w:highlight w:val="none"/>
          <w14:textFill>
            <w14:solidFill>
              <w14:schemeClr w14:val="tx1"/>
            </w14:solidFill>
          </w14:textFill>
        </w:rPr>
        <w:t>在</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个月</w:t>
      </w:r>
      <w:r>
        <w:rPr>
          <w:rFonts w:hint="eastAsia" w:ascii="宋体" w:hAnsi="宋体" w:eastAsia="宋体" w:cs="宋体"/>
          <w:color w:val="000000" w:themeColor="text1"/>
          <w:sz w:val="21"/>
          <w:szCs w:val="21"/>
          <w:highlight w:val="none"/>
          <w14:textFill>
            <w14:solidFill>
              <w14:schemeClr w14:val="tx1"/>
            </w14:solidFill>
          </w14:textFill>
        </w:rPr>
        <w:t>内提供免费的质保期保修服务，质保期按每批次货物送达贵方指定地点交货验收合格并开具发票之日算起。</w:t>
      </w:r>
      <w:r>
        <w:rPr>
          <w:rFonts w:hint="eastAsia" w:ascii="宋体" w:hAnsi="宋体" w:eastAsia="宋体" w:cs="宋体"/>
          <w:b/>
          <w:color w:val="000000" w:themeColor="text1"/>
          <w:sz w:val="21"/>
          <w:szCs w:val="21"/>
          <w:highlight w:val="none"/>
          <w14:textFill>
            <w14:solidFill>
              <w14:schemeClr w14:val="tx1"/>
            </w14:solidFill>
          </w14:textFill>
        </w:rPr>
        <w:t>若上述质保期填写数值为非整数，我方同意按小数点后的数字向上取整的方式调整承诺的质保期数值。</w:t>
      </w:r>
    </w:p>
    <w:p w14:paraId="48EA10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2DB8CCD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990" w:name="_Toc25868"/>
      <w:r>
        <w:rPr>
          <w:rFonts w:hint="eastAsia" w:ascii="宋体" w:hAnsi="宋体" w:eastAsia="宋体" w:cs="宋体"/>
          <w:color w:val="000000" w:themeColor="text1"/>
          <w:sz w:val="21"/>
          <w:szCs w:val="21"/>
          <w:highlight w:val="none"/>
          <w14:textFill>
            <w14:solidFill>
              <w14:schemeClr w14:val="tx1"/>
            </w14:solidFill>
          </w14:textFill>
        </w:rPr>
        <w:t>3、我方此次参与贵方投标的产品如下：</w:t>
      </w:r>
      <w:bookmarkEnd w:id="990"/>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0B18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1FB3CD2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2E204D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FB7466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A84628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8749A4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6FD15B4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0140C8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r>
      <w:tr w14:paraId="547D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366F7CD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DC00E9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732953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566CFE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5940DA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31C0CF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AC9F3E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D47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50E9543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2DDA415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FED266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F528C7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EA707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5E8E6EF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11259D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F34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59908DD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EBFA99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6FD3C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BCACD0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B7E6FC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65612D8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89034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7DA8E3B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我方保证：我方提供的产品既非试验产品也非积压产品，而是于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年投产的成熟产品，且生产（完工）日期不早于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月；在可以预见的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（天）内，我方没有对该型号产品进行升级、停产、淘汰的计划。    </w:t>
      </w:r>
    </w:p>
    <w:p w14:paraId="2DA0B27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991" w:name="_Toc7677"/>
      <w:r>
        <w:rPr>
          <w:rFonts w:hint="eastAsia" w:ascii="宋体" w:hAnsi="宋体" w:eastAsia="宋体" w:cs="宋体"/>
          <w:color w:val="000000" w:themeColor="text1"/>
          <w:sz w:val="21"/>
          <w:szCs w:val="21"/>
          <w:highlight w:val="none"/>
          <w14:textFill>
            <w14:solidFill>
              <w14:schemeClr w14:val="tx1"/>
            </w14:solidFill>
          </w14:textFill>
        </w:rPr>
        <w:t>4、我方同意按照贵方要求提供与投标产品有关的一切数据或资料。</w:t>
      </w:r>
      <w:bookmarkEnd w:id="991"/>
    </w:p>
    <w:p w14:paraId="5547D69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14:paraId="31D05D6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06D355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470430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D03A70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网址：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0A9C16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90604C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签发日期：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1C82489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p>
    <w:p w14:paraId="7B2CF1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备注: 投标文件必须提供原件</w:t>
      </w: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扫描件</w:t>
      </w:r>
      <w:r>
        <w:rPr>
          <w:rFonts w:hint="eastAsia" w:ascii="宋体" w:hAnsi="宋体" w:eastAsia="宋体" w:cs="宋体"/>
          <w:b/>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扫描件上传后需由投标人使用投标人的企业数字证书电子签名</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kern w:val="2"/>
          <w:sz w:val="21"/>
          <w:szCs w:val="21"/>
          <w:highlight w:val="none"/>
          <w14:textFill>
            <w14:solidFill>
              <w14:schemeClr w14:val="tx1"/>
            </w14:solidFill>
          </w14:textFill>
        </w:rPr>
        <w:t>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14:paraId="151AB707">
      <w:pPr>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br w:type="page"/>
      </w:r>
    </w:p>
    <w:p w14:paraId="31571E1F">
      <w:pPr>
        <w:pageBreakBefore/>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②</w:t>
      </w:r>
      <w:r>
        <w:rPr>
          <w:rFonts w:hint="eastAsia" w:ascii="宋体" w:hAnsi="宋体" w:eastAsia="宋体" w:cs="宋体"/>
          <w:b/>
          <w:bCs/>
          <w:color w:val="000000" w:themeColor="text1"/>
          <w:sz w:val="21"/>
          <w:szCs w:val="21"/>
          <w:highlight w:val="none"/>
          <w:lang w:val="zh-CN"/>
          <w14:textFill>
            <w14:solidFill>
              <w14:schemeClr w14:val="tx1"/>
            </w14:solidFill>
          </w14:textFill>
        </w:rPr>
        <w:t>制造商独家授权书</w:t>
      </w:r>
    </w:p>
    <w:p w14:paraId="5CBAD616">
      <w:pPr>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（投标人根据实际情况选用，本格式适用于：</w:t>
      </w:r>
      <w:r>
        <w:rPr>
          <w:rFonts w:hint="eastAsia" w:ascii="宋体" w:hAnsi="宋体" w:eastAsia="宋体" w:cs="宋体"/>
          <w:b/>
          <w:color w:val="000000" w:themeColor="text1"/>
          <w:sz w:val="21"/>
          <w:szCs w:val="21"/>
          <w:highlight w:val="none"/>
          <w:u w:val="single"/>
          <w14:textFill>
            <w14:solidFill>
              <w14:schemeClr w14:val="tx1"/>
            </w14:solidFill>
          </w14:textFill>
        </w:rPr>
        <w:t>投标人是经销商时提供</w:t>
      </w:r>
      <w:r>
        <w:rPr>
          <w:rFonts w:hint="eastAsia" w:ascii="宋体" w:hAnsi="宋体" w:eastAsia="宋体" w:cs="宋体"/>
          <w:b/>
          <w:color w:val="000000" w:themeColor="text1"/>
          <w:sz w:val="21"/>
          <w:szCs w:val="21"/>
          <w:highlight w:val="none"/>
          <w14:textFill>
            <w14:solidFill>
              <w14:schemeClr w14:val="tx1"/>
            </w14:solidFill>
          </w14:textFill>
        </w:rPr>
        <w:t>。）</w:t>
      </w:r>
    </w:p>
    <w:p w14:paraId="66373D00">
      <w:pPr>
        <w:spacing w:before="120" w:beforeLines="50" w:after="120" w:afterLines="50"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lang w:eastAsia="zh-CN"/>
          <w14:textFill>
            <w14:solidFill>
              <w14:schemeClr w14:val="tx1"/>
            </w14:solidFill>
          </w14:textFill>
        </w:rPr>
        <w:t>东莞市水务集团供水有限公司</w:t>
      </w:r>
    </w:p>
    <w:p w14:paraId="658AA6AB">
      <w:pPr>
        <w:snapToGrid w:val="0"/>
        <w:spacing w:before="120" w:beforeLines="50" w:after="120" w:afterLines="50"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（产品制造商名称）是按</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（国家名称）法律成立的一家公司，主要营业地址设在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。兹证明参加贵方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东莞市供水计量设施更新项目(2025年计量仪表采购)－螺翼式远传水表</w:t>
      </w:r>
      <w:r>
        <w:rPr>
          <w:rFonts w:hint="eastAsia" w:ascii="宋体" w:hAnsi="宋体" w:eastAsia="宋体" w:cs="宋体"/>
          <w:color w:val="000000" w:themeColor="text1"/>
          <w:sz w:val="21"/>
          <w:szCs w:val="21"/>
          <w:highlight w:val="none"/>
          <w:u w:val="single"/>
          <w14:textFill>
            <w14:solidFill>
              <w14:schemeClr w14:val="tx1"/>
            </w14:solidFill>
          </w14:textFill>
        </w:rPr>
        <w:t>（招标编号：</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的按</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（国家名称）法律成立的、主要营业地址在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（下称“投标人”）作为我方真正的、</w:t>
      </w:r>
      <w:r>
        <w:rPr>
          <w:rFonts w:hint="eastAsia" w:ascii="宋体" w:hAnsi="宋体" w:eastAsia="宋体" w:cs="宋体"/>
          <w:b/>
          <w:color w:val="000000" w:themeColor="text1"/>
          <w:sz w:val="21"/>
          <w:szCs w:val="21"/>
          <w:highlight w:val="none"/>
          <w14:textFill>
            <w14:solidFill>
              <w14:schemeClr w14:val="tx1"/>
            </w14:solidFill>
          </w14:textFill>
        </w:rPr>
        <w:t>唯一合法</w:t>
      </w:r>
      <w:r>
        <w:rPr>
          <w:rFonts w:hint="eastAsia" w:ascii="宋体" w:hAnsi="宋体" w:eastAsia="宋体" w:cs="宋体"/>
          <w:color w:val="000000" w:themeColor="text1"/>
          <w:sz w:val="21"/>
          <w:szCs w:val="21"/>
          <w:highlight w:val="none"/>
          <w14:textFill>
            <w14:solidFill>
              <w14:schemeClr w14:val="tx1"/>
            </w14:solidFill>
          </w14:textFill>
        </w:rPr>
        <w:t>的授权参与本项目投标、合同签订、售后服务等相关事项的经销商：</w:t>
      </w:r>
    </w:p>
    <w:p w14:paraId="32AF808B">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1、我方确认，投标人就</w:t>
      </w:r>
      <w:r>
        <w:rPr>
          <w:rFonts w:hint="eastAsia" w:ascii="宋体" w:hAnsi="宋体" w:eastAsia="宋体" w:cs="Times New Roman"/>
          <w:b/>
          <w:bCs/>
          <w:color w:val="000000" w:themeColor="text1"/>
          <w:kern w:val="0"/>
          <w:szCs w:val="21"/>
          <w:highlight w:val="none"/>
          <w:u w:val="single"/>
          <w:lang w:eastAsia="zh-CN"/>
          <w14:textFill>
            <w14:solidFill>
              <w14:schemeClr w14:val="tx1"/>
            </w14:solidFill>
          </w14:textFill>
        </w:rPr>
        <w:t>东莞市供水计量设施更新项目(2025年计量仪表采购)－螺翼式远传水表</w:t>
      </w:r>
      <w:r>
        <w:rPr>
          <w:rFonts w:hint="eastAsia" w:ascii="宋体" w:hAnsi="宋体" w:eastAsia="宋体" w:cs="宋体"/>
          <w:color w:val="000000" w:themeColor="text1"/>
          <w:sz w:val="21"/>
          <w:szCs w:val="21"/>
          <w:highlight w:val="none"/>
          <w14:textFill>
            <w14:solidFill>
              <w14:schemeClr w14:val="tx1"/>
            </w14:solidFill>
          </w14:textFill>
        </w:rPr>
        <w:t>提供货物时附带的出厂质量标准、售后服务承诺等合法有效，并对我方具有约束力。</w:t>
      </w:r>
    </w:p>
    <w:p w14:paraId="6F2A018E">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2、我方向贵方提供技术支持，包括但不限于直接委派专业技术人员（含外籍人员的翻译人员）参与设计联络、到达工地现场对设备进行安装，相关费用无需贵方负责。</w:t>
      </w:r>
    </w:p>
    <w:p w14:paraId="40254D55">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3、作为产品制造商，我方对我方提供货物的质量和售后服务承担全部责任。本次提供的货物按以下方式提供售后服务：</w:t>
      </w:r>
    </w:p>
    <w:p w14:paraId="6DBDE0B7">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color w:val="000000" w:themeColor="text1"/>
          <w:sz w:val="21"/>
          <w:szCs w:val="21"/>
          <w:highlight w:val="none"/>
          <w14:textFill>
            <w14:solidFill>
              <w14:schemeClr w14:val="tx1"/>
            </w14:solidFill>
          </w14:textFill>
        </w:rPr>
        <w:t>在</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个月</w:t>
      </w:r>
      <w:r>
        <w:rPr>
          <w:rFonts w:hint="eastAsia" w:ascii="宋体" w:hAnsi="宋体" w:eastAsia="宋体" w:cs="宋体"/>
          <w:color w:val="000000" w:themeColor="text1"/>
          <w:sz w:val="21"/>
          <w:szCs w:val="21"/>
          <w:highlight w:val="none"/>
          <w14:textFill>
            <w14:solidFill>
              <w14:schemeClr w14:val="tx1"/>
            </w14:solidFill>
          </w14:textFill>
        </w:rPr>
        <w:t>内提供免费的质保期保修服务，质保期按每批次货物送达贵方指定地点交货验收合格并开具发票之日算起。</w:t>
      </w:r>
      <w:r>
        <w:rPr>
          <w:rFonts w:hint="eastAsia" w:ascii="宋体" w:hAnsi="宋体" w:eastAsia="宋体" w:cs="宋体"/>
          <w:b/>
          <w:color w:val="000000" w:themeColor="text1"/>
          <w:sz w:val="21"/>
          <w:szCs w:val="21"/>
          <w:highlight w:val="none"/>
          <w14:textFill>
            <w14:solidFill>
              <w14:schemeClr w14:val="tx1"/>
            </w14:solidFill>
          </w14:textFill>
        </w:rPr>
        <w:t>若上述质保期填写数值为非整数，我方同意按小数点后的数字向上取整的方式调整承诺的质保期数值。</w:t>
      </w:r>
    </w:p>
    <w:p w14:paraId="19FDB169">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2CC9DE26">
      <w:pPr>
        <w:snapToGrid w:val="0"/>
        <w:spacing w:before="120" w:beforeLines="50" w:after="120" w:afterLines="50"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bookmarkStart w:id="992" w:name="_Toc27273"/>
      <w:r>
        <w:rPr>
          <w:rFonts w:hint="eastAsia" w:ascii="宋体" w:hAnsi="宋体" w:eastAsia="宋体" w:cs="宋体"/>
          <w:color w:val="000000" w:themeColor="text1"/>
          <w:sz w:val="21"/>
          <w:szCs w:val="21"/>
          <w:highlight w:val="none"/>
          <w14:textFill>
            <w14:solidFill>
              <w14:schemeClr w14:val="tx1"/>
            </w14:solidFill>
          </w14:textFill>
        </w:rPr>
        <w:t>4、我方此次参与贵方投标的产品如下：</w:t>
      </w:r>
      <w:bookmarkEnd w:id="992"/>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772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3138B12">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47A396E">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7405EEE">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E8E55D5">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E1C128F">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7E7DACA">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4515E5F">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数量</w:t>
            </w:r>
          </w:p>
        </w:tc>
      </w:tr>
      <w:tr w14:paraId="6EF6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69A66B87">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B2907C7">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10D1A37">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F104417">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F5A487D">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E5AEA12">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D7AED35">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3F36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637C528">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C414C9D">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D753970">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C49EAD1">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B153E42">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6780A3B">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27A3847">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62E5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3303FA91">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00299AF">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68E238D">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9A76CF6">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4BBE484">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BE89AA9">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44016F6">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bl>
    <w:p w14:paraId="2DF81695">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我方保证：我方提供的产品既非试验产品也非积压产品，而是于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年投产的成熟产品，且生产（完工）日期不早于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月；在可以预见的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（天）内，我方没有对该型号产品进行升级、停产、淘汰的计划。 </w:t>
      </w:r>
    </w:p>
    <w:p w14:paraId="7E2422A7">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5、我方同意按照贵方要求提供与投标产品有关的一切数据或资料。</w:t>
      </w:r>
    </w:p>
    <w:p w14:paraId="5E0D3DF7">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6、本授权函不得进行二次授权或转授权，否则无效。</w:t>
      </w:r>
    </w:p>
    <w:p w14:paraId="4C0F08FA">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出具授权书的产品制造商（或境外品牌境外生产的产品生产制造商</w:t>
      </w:r>
      <w:r>
        <w:rPr>
          <w:rFonts w:hint="eastAsia" w:ascii="宋体" w:hAnsi="宋体" w:eastAsia="宋体" w:cs="宋体"/>
          <w:bCs/>
          <w:color w:val="000000" w:themeColor="text1"/>
          <w:sz w:val="21"/>
          <w:szCs w:val="21"/>
          <w:highlight w:val="none"/>
          <w14:textFill>
            <w14:solidFill>
              <w14:schemeClr w14:val="tx1"/>
            </w14:solidFill>
          </w14:textFill>
        </w:rPr>
        <w:t>境内的办事机构）</w:t>
      </w:r>
      <w:r>
        <w:rPr>
          <w:rFonts w:hint="eastAsia" w:ascii="宋体" w:hAnsi="宋体" w:eastAsia="宋体" w:cs="宋体"/>
          <w:color w:val="000000" w:themeColor="text1"/>
          <w:sz w:val="21"/>
          <w:szCs w:val="21"/>
          <w:highlight w:val="none"/>
          <w14:textFill>
            <w14:solidFill>
              <w14:schemeClr w14:val="tx1"/>
            </w14:solidFill>
          </w14:textFill>
        </w:rPr>
        <w:t>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5CB2960">
      <w:pPr>
        <w:snapToGrid w:val="0"/>
        <w:spacing w:before="120" w:beforeLines="50" w:after="120" w:afterLines="5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(其中，境内工商注册的产品制造商必须同时加盖法人公章，若境外品牌境外生产的产品生产制造商</w:t>
      </w:r>
      <w:r>
        <w:rPr>
          <w:rFonts w:hint="eastAsia" w:ascii="宋体" w:hAnsi="宋体" w:eastAsia="宋体" w:cs="宋体"/>
          <w:bCs/>
          <w:color w:val="000000" w:themeColor="text1"/>
          <w:sz w:val="21"/>
          <w:szCs w:val="21"/>
          <w:highlight w:val="none"/>
          <w14:textFill>
            <w14:solidFill>
              <w14:schemeClr w14:val="tx1"/>
            </w14:solidFill>
          </w14:textFill>
        </w:rPr>
        <w:t>境内的办事机构</w:t>
      </w:r>
      <w:r>
        <w:rPr>
          <w:rFonts w:hint="eastAsia" w:ascii="宋体" w:hAnsi="宋体" w:eastAsia="宋体" w:cs="宋体"/>
          <w:color w:val="000000" w:themeColor="text1"/>
          <w:sz w:val="21"/>
          <w:szCs w:val="21"/>
          <w:highlight w:val="none"/>
          <w14:textFill>
            <w14:solidFill>
              <w14:schemeClr w14:val="tx1"/>
            </w14:solidFill>
          </w14:textFill>
        </w:rPr>
        <w:t>在境内工商注册的，必须同时加盖公章)</w:t>
      </w:r>
    </w:p>
    <w:p w14:paraId="0A729653">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14:paraId="33B7B6B9">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EB4A224">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057054D">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E55A638">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A93B9F1">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A0F5843">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签发日期：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4551FA52">
      <w:pPr>
        <w:snapToGrid w:val="0"/>
        <w:spacing w:before="120" w:beforeLines="50" w:after="120" w:afterLines="50"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6096705A">
      <w:pPr>
        <w:autoSpaceDE/>
        <w:autoSpaceDN/>
        <w:adjustRightInd/>
        <w:spacing w:line="360" w:lineRule="auto"/>
        <w:rPr>
          <w:rFonts w:hint="eastAsia" w:hAnsi="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备注：投标文件必须提供原件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扫描件</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扫描件上传后需由投标人使用投标人的企业数字证书电子签名</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7F4F8C5D">
      <w:pPr>
        <w:rPr>
          <w:color w:val="000000" w:themeColor="text1"/>
          <w:highlight w:val="none"/>
          <w14:textFill>
            <w14:solidFill>
              <w14:schemeClr w14:val="tx1"/>
            </w14:solidFill>
          </w14:textFill>
        </w:rPr>
      </w:pPr>
    </w:p>
    <w:p w14:paraId="4FDBC630">
      <w:pPr>
        <w:autoSpaceDE/>
        <w:autoSpaceDN/>
        <w:adjustRightInd/>
        <w:spacing w:line="360" w:lineRule="auto"/>
        <w:jc w:val="left"/>
        <w:outlineLvl w:val="9"/>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p>
    <w:bookmarkEnd w:id="911"/>
    <w:bookmarkEnd w:id="912"/>
    <w:bookmarkEnd w:id="913"/>
    <w:bookmarkEnd w:id="951"/>
    <w:bookmarkEnd w:id="952"/>
    <w:bookmarkEnd w:id="953"/>
    <w:bookmarkEnd w:id="965"/>
    <w:bookmarkEnd w:id="977"/>
    <w:bookmarkEnd w:id="978"/>
    <w:bookmarkEnd w:id="979"/>
    <w:bookmarkEnd w:id="980"/>
    <w:bookmarkEnd w:id="981"/>
    <w:bookmarkEnd w:id="982"/>
    <w:bookmarkEnd w:id="983"/>
    <w:bookmarkEnd w:id="984"/>
    <w:bookmarkEnd w:id="985"/>
    <w:bookmarkEnd w:id="986"/>
    <w:bookmarkEnd w:id="987"/>
    <w:p w14:paraId="529344B0">
      <w:pPr>
        <w:pStyle w:val="5"/>
        <w:pageBreakBefore/>
        <w:spacing w:line="360" w:lineRule="auto"/>
        <w:rPr>
          <w:rFonts w:hint="eastAsia" w:ascii="宋体" w:hAnsi="宋体" w:eastAsia="宋体" w:cs="宋体"/>
          <w:b/>
          <w:color w:val="000000" w:themeColor="text1"/>
          <w:sz w:val="30"/>
          <w:szCs w:val="30"/>
          <w:highlight w:val="none"/>
          <w:lang w:val="zh-CN"/>
          <w14:textFill>
            <w14:solidFill>
              <w14:schemeClr w14:val="tx1"/>
            </w14:solidFill>
          </w14:textFill>
        </w:rPr>
      </w:pPr>
      <w:bookmarkStart w:id="993" w:name="_Toc32328"/>
      <w:bookmarkStart w:id="994" w:name="_Toc12400"/>
      <w:bookmarkStart w:id="995" w:name="_Toc15716"/>
      <w:bookmarkStart w:id="996" w:name="_Toc195714386"/>
      <w:bookmarkStart w:id="997" w:name="_Toc21507"/>
      <w:bookmarkStart w:id="998" w:name="_Toc140596933"/>
      <w:bookmarkStart w:id="999" w:name="_Toc94107214"/>
      <w:bookmarkStart w:id="1000" w:name="_Toc1977730"/>
      <w:bookmarkStart w:id="1001" w:name="_Toc142508373"/>
      <w:bookmarkStart w:id="1002" w:name="_Toc104991880"/>
      <w:r>
        <w:rPr>
          <w:rFonts w:hint="eastAsia" w:ascii="宋体" w:hAnsi="宋体" w:eastAsia="宋体" w:cs="宋体"/>
          <w:b/>
          <w:color w:val="000000" w:themeColor="text1"/>
          <w:sz w:val="30"/>
          <w:szCs w:val="30"/>
          <w:highlight w:val="none"/>
          <w:lang w:val="en-US" w:eastAsia="zh-CN"/>
          <w14:textFill>
            <w14:solidFill>
              <w14:schemeClr w14:val="tx1"/>
            </w14:solidFill>
          </w14:textFill>
        </w:rPr>
        <w:t>4</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sz w:val="30"/>
          <w:szCs w:val="30"/>
          <w:highlight w:val="none"/>
          <w14:textFill>
            <w14:solidFill>
              <w14:schemeClr w14:val="tx1"/>
            </w14:solidFill>
          </w14:textFill>
        </w:rPr>
        <w:t xml:space="preserve"> </w:t>
      </w:r>
      <w:r>
        <w:rPr>
          <w:rFonts w:hint="eastAsia" w:ascii="宋体" w:hAnsi="宋体" w:eastAsia="宋体" w:cs="宋体"/>
          <w:b/>
          <w:bCs/>
          <w:color w:val="000000" w:themeColor="text1"/>
          <w:kern w:val="2"/>
          <w:sz w:val="30"/>
          <w:szCs w:val="30"/>
          <w:highlight w:val="none"/>
          <w14:textFill>
            <w14:solidFill>
              <w14:schemeClr w14:val="tx1"/>
            </w14:solidFill>
          </w14:textFill>
        </w:rPr>
        <w:t>资格业绩</w:t>
      </w:r>
      <w:r>
        <w:rPr>
          <w:rFonts w:hint="eastAsia"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bCs/>
          <w:color w:val="000000" w:themeColor="text1"/>
          <w:sz w:val="30"/>
          <w:szCs w:val="30"/>
          <w:highlight w:val="none"/>
          <w:lang w:val="zh-CN"/>
          <w14:textFill>
            <w14:solidFill>
              <w14:schemeClr w14:val="tx1"/>
            </w14:solidFill>
          </w14:textFill>
        </w:rPr>
        <w:t>投标人提供一份2022年1月1日以来（合同签订日期为2022年1月1日或以后）螺翼式远传水表在国内的销售业绩</w:t>
      </w:r>
      <w:bookmarkEnd w:id="993"/>
      <w:bookmarkEnd w:id="994"/>
      <w:bookmarkEnd w:id="995"/>
      <w:r>
        <w:rPr>
          <w:rFonts w:hint="eastAsia" w:ascii="宋体" w:hAnsi="宋体" w:eastAsia="宋体" w:cs="宋体"/>
          <w:b/>
          <w:bCs/>
          <w:color w:val="000000" w:themeColor="text1"/>
          <w:sz w:val="30"/>
          <w:szCs w:val="30"/>
          <w:highlight w:val="none"/>
          <w14:textFill>
            <w14:solidFill>
              <w14:schemeClr w14:val="tx1"/>
            </w14:solidFill>
          </w14:textFill>
        </w:rPr>
        <w:t>】</w:t>
      </w:r>
      <w:bookmarkEnd w:id="996"/>
      <w:bookmarkEnd w:id="997"/>
    </w:p>
    <w:p w14:paraId="3A990D4A">
      <w:pPr>
        <w:spacing w:line="360" w:lineRule="auto"/>
        <w:rPr>
          <w:rFonts w:ascii="宋体" w:hAnsi="宋体" w:eastAsia="宋体" w:cs="宋体"/>
          <w:b/>
          <w:color w:val="000000" w:themeColor="text1"/>
          <w:szCs w:val="21"/>
          <w:highlight w:val="none"/>
          <w:lang w:val="zh-CN"/>
          <w14:textFill>
            <w14:solidFill>
              <w14:schemeClr w14:val="tx1"/>
            </w14:solidFill>
          </w14:textFill>
        </w:rPr>
      </w:pPr>
    </w:p>
    <w:tbl>
      <w:tblPr>
        <w:tblStyle w:val="44"/>
        <w:tblW w:w="4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953"/>
        <w:gridCol w:w="2150"/>
        <w:gridCol w:w="1080"/>
        <w:gridCol w:w="930"/>
        <w:gridCol w:w="1077"/>
        <w:gridCol w:w="1498"/>
        <w:gridCol w:w="1386"/>
      </w:tblGrid>
      <w:tr w14:paraId="189B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525" w:type="pct"/>
            <w:vAlign w:val="center"/>
          </w:tcPr>
          <w:p w14:paraId="509526ED">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184" w:type="pct"/>
            <w:vAlign w:val="center"/>
          </w:tcPr>
          <w:p w14:paraId="661459DE">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595" w:type="pct"/>
            <w:vAlign w:val="center"/>
          </w:tcPr>
          <w:p w14:paraId="3078501F">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合同标的货物名称</w:t>
            </w:r>
          </w:p>
        </w:tc>
        <w:tc>
          <w:tcPr>
            <w:tcW w:w="512" w:type="pct"/>
            <w:vAlign w:val="center"/>
          </w:tcPr>
          <w:p w14:paraId="736A879D">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合同标的货物品牌</w:t>
            </w:r>
          </w:p>
        </w:tc>
        <w:tc>
          <w:tcPr>
            <w:tcW w:w="593" w:type="pct"/>
            <w:vAlign w:val="center"/>
          </w:tcPr>
          <w:p w14:paraId="58395D23">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合同</w:t>
            </w:r>
            <w:r>
              <w:rPr>
                <w:rFonts w:hint="eastAsia" w:ascii="宋体" w:hAnsi="宋体" w:eastAsia="宋体" w:cs="宋体"/>
                <w:color w:val="000000" w:themeColor="text1"/>
                <w:szCs w:val="21"/>
                <w:highlight w:val="none"/>
                <w14:textFill>
                  <w14:solidFill>
                    <w14:schemeClr w14:val="tx1"/>
                  </w14:solidFill>
                </w14:textFill>
              </w:rPr>
              <w:t>签</w:t>
            </w:r>
            <w:r>
              <w:rPr>
                <w:rFonts w:hint="eastAsia" w:ascii="宋体" w:hAnsi="宋体" w:eastAsia="宋体" w:cs="宋体"/>
                <w:color w:val="000000" w:themeColor="text1"/>
                <w:szCs w:val="21"/>
                <w:highlight w:val="none"/>
                <w:lang w:val="en-US" w:eastAsia="zh-CN"/>
                <w14:textFill>
                  <w14:solidFill>
                    <w14:schemeClr w14:val="tx1"/>
                  </w14:solidFill>
                </w14:textFill>
              </w:rPr>
              <w:t>订</w:t>
            </w:r>
            <w:r>
              <w:rPr>
                <w:rFonts w:hint="eastAsia" w:ascii="宋体" w:hAnsi="宋体" w:eastAsia="宋体" w:cs="宋体"/>
                <w:color w:val="000000" w:themeColor="text1"/>
                <w:szCs w:val="21"/>
                <w:highlight w:val="none"/>
                <w14:textFill>
                  <w14:solidFill>
                    <w14:schemeClr w14:val="tx1"/>
                  </w14:solidFill>
                </w14:textFill>
              </w:rPr>
              <w:t>日期</w:t>
            </w:r>
          </w:p>
        </w:tc>
        <w:tc>
          <w:tcPr>
            <w:tcW w:w="825" w:type="pct"/>
            <w:vAlign w:val="center"/>
          </w:tcPr>
          <w:p w14:paraId="275EB92F">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合同购</w:t>
            </w:r>
            <w:r>
              <w:rPr>
                <w:rFonts w:hint="eastAsia" w:ascii="宋体" w:hAnsi="宋体" w:eastAsia="宋体" w:cs="宋体"/>
                <w:color w:val="000000" w:themeColor="text1"/>
                <w:szCs w:val="21"/>
                <w:highlight w:val="none"/>
                <w14:textFill>
                  <w14:solidFill>
                    <w14:schemeClr w14:val="tx1"/>
                  </w14:solidFill>
                </w14:textFill>
              </w:rPr>
              <w:t>买方联系人及电话</w:t>
            </w:r>
          </w:p>
        </w:tc>
        <w:tc>
          <w:tcPr>
            <w:tcW w:w="763" w:type="pct"/>
            <w:vAlign w:val="center"/>
          </w:tcPr>
          <w:p w14:paraId="79D2A649">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14:paraId="2FB6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61143B8B">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184" w:type="pct"/>
            <w:vAlign w:val="center"/>
          </w:tcPr>
          <w:p w14:paraId="5833AC9F">
            <w:pPr>
              <w:jc w:val="center"/>
              <w:rPr>
                <w:rFonts w:ascii="宋体" w:hAnsi="宋体" w:eastAsia="宋体" w:cs="宋体"/>
                <w:color w:val="000000" w:themeColor="text1"/>
                <w:szCs w:val="21"/>
                <w:highlight w:val="none"/>
                <w14:textFill>
                  <w14:solidFill>
                    <w14:schemeClr w14:val="tx1"/>
                  </w14:solidFill>
                </w14:textFill>
              </w:rPr>
            </w:pPr>
          </w:p>
        </w:tc>
        <w:tc>
          <w:tcPr>
            <w:tcW w:w="595" w:type="pct"/>
            <w:vAlign w:val="center"/>
          </w:tcPr>
          <w:p w14:paraId="7E87AD15">
            <w:pPr>
              <w:jc w:val="center"/>
              <w:rPr>
                <w:rFonts w:ascii="宋体" w:hAnsi="宋体" w:eastAsia="宋体" w:cs="宋体"/>
                <w:color w:val="000000" w:themeColor="text1"/>
                <w:szCs w:val="21"/>
                <w:highlight w:val="none"/>
                <w14:textFill>
                  <w14:solidFill>
                    <w14:schemeClr w14:val="tx1"/>
                  </w14:solidFill>
                </w14:textFill>
              </w:rPr>
            </w:pPr>
          </w:p>
        </w:tc>
        <w:tc>
          <w:tcPr>
            <w:tcW w:w="512" w:type="pct"/>
            <w:vAlign w:val="center"/>
          </w:tcPr>
          <w:p w14:paraId="5D76B207">
            <w:pPr>
              <w:jc w:val="center"/>
              <w:rPr>
                <w:rFonts w:ascii="宋体" w:hAnsi="宋体" w:eastAsia="宋体" w:cs="宋体"/>
                <w:color w:val="000000" w:themeColor="text1"/>
                <w:szCs w:val="21"/>
                <w:highlight w:val="none"/>
                <w14:textFill>
                  <w14:solidFill>
                    <w14:schemeClr w14:val="tx1"/>
                  </w14:solidFill>
                </w14:textFill>
              </w:rPr>
            </w:pPr>
          </w:p>
        </w:tc>
        <w:tc>
          <w:tcPr>
            <w:tcW w:w="593" w:type="pct"/>
            <w:vAlign w:val="center"/>
          </w:tcPr>
          <w:p w14:paraId="6079B87F">
            <w:pPr>
              <w:jc w:val="center"/>
              <w:rPr>
                <w:rFonts w:ascii="宋体" w:hAnsi="宋体" w:eastAsia="宋体" w:cs="宋体"/>
                <w:color w:val="000000" w:themeColor="text1"/>
                <w:szCs w:val="21"/>
                <w:highlight w:val="none"/>
                <w14:textFill>
                  <w14:solidFill>
                    <w14:schemeClr w14:val="tx1"/>
                  </w14:solidFill>
                </w14:textFill>
              </w:rPr>
            </w:pPr>
          </w:p>
        </w:tc>
        <w:tc>
          <w:tcPr>
            <w:tcW w:w="825" w:type="pct"/>
            <w:vAlign w:val="center"/>
          </w:tcPr>
          <w:p w14:paraId="6A5F03AA">
            <w:pPr>
              <w:jc w:val="center"/>
              <w:rPr>
                <w:rFonts w:ascii="宋体" w:hAnsi="宋体" w:eastAsia="宋体" w:cs="宋体"/>
                <w:color w:val="000000" w:themeColor="text1"/>
                <w:szCs w:val="21"/>
                <w:highlight w:val="none"/>
                <w14:textFill>
                  <w14:solidFill>
                    <w14:schemeClr w14:val="tx1"/>
                  </w14:solidFill>
                </w14:textFill>
              </w:rPr>
            </w:pPr>
          </w:p>
        </w:tc>
        <w:tc>
          <w:tcPr>
            <w:tcW w:w="763" w:type="pct"/>
            <w:vAlign w:val="center"/>
          </w:tcPr>
          <w:p w14:paraId="4D1490F5">
            <w:pPr>
              <w:jc w:val="center"/>
              <w:rPr>
                <w:rFonts w:ascii="宋体" w:hAnsi="宋体" w:eastAsia="宋体" w:cs="宋体"/>
                <w:color w:val="000000" w:themeColor="text1"/>
                <w:szCs w:val="21"/>
                <w:highlight w:val="none"/>
                <w14:textFill>
                  <w14:solidFill>
                    <w14:schemeClr w14:val="tx1"/>
                  </w14:solidFill>
                </w14:textFill>
              </w:rPr>
            </w:pPr>
          </w:p>
        </w:tc>
      </w:tr>
      <w:tr w14:paraId="638C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016C9F36">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184" w:type="pct"/>
            <w:vAlign w:val="center"/>
          </w:tcPr>
          <w:p w14:paraId="396A12A3">
            <w:pPr>
              <w:jc w:val="center"/>
              <w:rPr>
                <w:rFonts w:ascii="宋体" w:hAnsi="宋体" w:eastAsia="宋体" w:cs="宋体"/>
                <w:color w:val="000000" w:themeColor="text1"/>
                <w:szCs w:val="21"/>
                <w:highlight w:val="none"/>
                <w14:textFill>
                  <w14:solidFill>
                    <w14:schemeClr w14:val="tx1"/>
                  </w14:solidFill>
                </w14:textFill>
              </w:rPr>
            </w:pPr>
          </w:p>
        </w:tc>
        <w:tc>
          <w:tcPr>
            <w:tcW w:w="595" w:type="pct"/>
            <w:vAlign w:val="center"/>
          </w:tcPr>
          <w:p w14:paraId="434B88CB">
            <w:pPr>
              <w:jc w:val="center"/>
              <w:rPr>
                <w:rFonts w:ascii="宋体" w:hAnsi="宋体" w:eastAsia="宋体" w:cs="宋体"/>
                <w:color w:val="000000" w:themeColor="text1"/>
                <w:szCs w:val="21"/>
                <w:highlight w:val="none"/>
                <w14:textFill>
                  <w14:solidFill>
                    <w14:schemeClr w14:val="tx1"/>
                  </w14:solidFill>
                </w14:textFill>
              </w:rPr>
            </w:pPr>
          </w:p>
        </w:tc>
        <w:tc>
          <w:tcPr>
            <w:tcW w:w="512" w:type="pct"/>
            <w:vAlign w:val="center"/>
          </w:tcPr>
          <w:p w14:paraId="7AA9185A">
            <w:pPr>
              <w:jc w:val="center"/>
              <w:rPr>
                <w:rFonts w:ascii="宋体" w:hAnsi="宋体" w:eastAsia="宋体" w:cs="宋体"/>
                <w:color w:val="000000" w:themeColor="text1"/>
                <w:szCs w:val="21"/>
                <w:highlight w:val="none"/>
                <w14:textFill>
                  <w14:solidFill>
                    <w14:schemeClr w14:val="tx1"/>
                  </w14:solidFill>
                </w14:textFill>
              </w:rPr>
            </w:pPr>
          </w:p>
        </w:tc>
        <w:tc>
          <w:tcPr>
            <w:tcW w:w="593" w:type="pct"/>
            <w:vAlign w:val="center"/>
          </w:tcPr>
          <w:p w14:paraId="7F004A09">
            <w:pPr>
              <w:jc w:val="center"/>
              <w:rPr>
                <w:rFonts w:ascii="宋体" w:hAnsi="宋体" w:eastAsia="宋体" w:cs="宋体"/>
                <w:color w:val="000000" w:themeColor="text1"/>
                <w:szCs w:val="21"/>
                <w:highlight w:val="none"/>
                <w14:textFill>
                  <w14:solidFill>
                    <w14:schemeClr w14:val="tx1"/>
                  </w14:solidFill>
                </w14:textFill>
              </w:rPr>
            </w:pPr>
          </w:p>
        </w:tc>
        <w:tc>
          <w:tcPr>
            <w:tcW w:w="825" w:type="pct"/>
            <w:vAlign w:val="center"/>
          </w:tcPr>
          <w:p w14:paraId="7C1914D4">
            <w:pPr>
              <w:jc w:val="center"/>
              <w:rPr>
                <w:rFonts w:ascii="宋体" w:hAnsi="宋体" w:eastAsia="宋体" w:cs="宋体"/>
                <w:color w:val="000000" w:themeColor="text1"/>
                <w:szCs w:val="21"/>
                <w:highlight w:val="none"/>
                <w14:textFill>
                  <w14:solidFill>
                    <w14:schemeClr w14:val="tx1"/>
                  </w14:solidFill>
                </w14:textFill>
              </w:rPr>
            </w:pPr>
          </w:p>
        </w:tc>
        <w:tc>
          <w:tcPr>
            <w:tcW w:w="763" w:type="pct"/>
            <w:vAlign w:val="center"/>
          </w:tcPr>
          <w:p w14:paraId="1BB41668">
            <w:pPr>
              <w:jc w:val="center"/>
              <w:rPr>
                <w:rFonts w:ascii="宋体" w:hAnsi="宋体" w:eastAsia="宋体" w:cs="宋体"/>
                <w:color w:val="000000" w:themeColor="text1"/>
                <w:szCs w:val="21"/>
                <w:highlight w:val="none"/>
                <w14:textFill>
                  <w14:solidFill>
                    <w14:schemeClr w14:val="tx1"/>
                  </w14:solidFill>
                </w14:textFill>
              </w:rPr>
            </w:pPr>
          </w:p>
        </w:tc>
      </w:tr>
      <w:tr w14:paraId="12DC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273C736B">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184" w:type="pct"/>
            <w:vAlign w:val="center"/>
          </w:tcPr>
          <w:p w14:paraId="33ECBCB3">
            <w:pPr>
              <w:jc w:val="center"/>
              <w:rPr>
                <w:rFonts w:ascii="宋体" w:hAnsi="宋体" w:eastAsia="宋体" w:cs="宋体"/>
                <w:color w:val="000000" w:themeColor="text1"/>
                <w:szCs w:val="21"/>
                <w:highlight w:val="none"/>
                <w14:textFill>
                  <w14:solidFill>
                    <w14:schemeClr w14:val="tx1"/>
                  </w14:solidFill>
                </w14:textFill>
              </w:rPr>
            </w:pPr>
          </w:p>
        </w:tc>
        <w:tc>
          <w:tcPr>
            <w:tcW w:w="595" w:type="pct"/>
            <w:vAlign w:val="center"/>
          </w:tcPr>
          <w:p w14:paraId="6F14A115">
            <w:pPr>
              <w:jc w:val="center"/>
              <w:rPr>
                <w:rFonts w:ascii="宋体" w:hAnsi="宋体" w:eastAsia="宋体" w:cs="宋体"/>
                <w:color w:val="000000" w:themeColor="text1"/>
                <w:szCs w:val="21"/>
                <w:highlight w:val="none"/>
                <w14:textFill>
                  <w14:solidFill>
                    <w14:schemeClr w14:val="tx1"/>
                  </w14:solidFill>
                </w14:textFill>
              </w:rPr>
            </w:pPr>
          </w:p>
        </w:tc>
        <w:tc>
          <w:tcPr>
            <w:tcW w:w="512" w:type="pct"/>
            <w:vAlign w:val="center"/>
          </w:tcPr>
          <w:p w14:paraId="6B041D8F">
            <w:pPr>
              <w:jc w:val="center"/>
              <w:rPr>
                <w:rFonts w:ascii="宋体" w:hAnsi="宋体" w:eastAsia="宋体" w:cs="宋体"/>
                <w:color w:val="000000" w:themeColor="text1"/>
                <w:szCs w:val="21"/>
                <w:highlight w:val="none"/>
                <w14:textFill>
                  <w14:solidFill>
                    <w14:schemeClr w14:val="tx1"/>
                  </w14:solidFill>
                </w14:textFill>
              </w:rPr>
            </w:pPr>
          </w:p>
        </w:tc>
        <w:tc>
          <w:tcPr>
            <w:tcW w:w="593" w:type="pct"/>
            <w:vAlign w:val="center"/>
          </w:tcPr>
          <w:p w14:paraId="024E5A58">
            <w:pPr>
              <w:jc w:val="center"/>
              <w:rPr>
                <w:rFonts w:ascii="宋体" w:hAnsi="宋体" w:eastAsia="宋体" w:cs="宋体"/>
                <w:color w:val="000000" w:themeColor="text1"/>
                <w:szCs w:val="21"/>
                <w:highlight w:val="none"/>
                <w14:textFill>
                  <w14:solidFill>
                    <w14:schemeClr w14:val="tx1"/>
                  </w14:solidFill>
                </w14:textFill>
              </w:rPr>
            </w:pPr>
          </w:p>
        </w:tc>
        <w:tc>
          <w:tcPr>
            <w:tcW w:w="825" w:type="pct"/>
            <w:vAlign w:val="center"/>
          </w:tcPr>
          <w:p w14:paraId="160E8A51">
            <w:pPr>
              <w:jc w:val="center"/>
              <w:rPr>
                <w:rFonts w:ascii="宋体" w:hAnsi="宋体" w:eastAsia="宋体" w:cs="宋体"/>
                <w:color w:val="000000" w:themeColor="text1"/>
                <w:szCs w:val="21"/>
                <w:highlight w:val="none"/>
                <w14:textFill>
                  <w14:solidFill>
                    <w14:schemeClr w14:val="tx1"/>
                  </w14:solidFill>
                </w14:textFill>
              </w:rPr>
            </w:pPr>
          </w:p>
        </w:tc>
        <w:tc>
          <w:tcPr>
            <w:tcW w:w="763" w:type="pct"/>
            <w:vAlign w:val="center"/>
          </w:tcPr>
          <w:p w14:paraId="61BF4653">
            <w:pPr>
              <w:jc w:val="center"/>
              <w:rPr>
                <w:rFonts w:ascii="宋体" w:hAnsi="宋体" w:eastAsia="宋体" w:cs="宋体"/>
                <w:color w:val="000000" w:themeColor="text1"/>
                <w:szCs w:val="21"/>
                <w:highlight w:val="none"/>
                <w14:textFill>
                  <w14:solidFill>
                    <w14:schemeClr w14:val="tx1"/>
                  </w14:solidFill>
                </w14:textFill>
              </w:rPr>
            </w:pPr>
          </w:p>
        </w:tc>
      </w:tr>
      <w:tr w14:paraId="7231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0F058444">
            <w:pPr>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1184" w:type="pct"/>
            <w:vAlign w:val="center"/>
          </w:tcPr>
          <w:p w14:paraId="2FE60CAF">
            <w:pPr>
              <w:jc w:val="center"/>
              <w:rPr>
                <w:rFonts w:ascii="宋体" w:hAnsi="宋体" w:eastAsia="宋体" w:cs="宋体"/>
                <w:color w:val="000000" w:themeColor="text1"/>
                <w:szCs w:val="21"/>
                <w:highlight w:val="none"/>
                <w14:textFill>
                  <w14:solidFill>
                    <w14:schemeClr w14:val="tx1"/>
                  </w14:solidFill>
                </w14:textFill>
              </w:rPr>
            </w:pPr>
          </w:p>
        </w:tc>
        <w:tc>
          <w:tcPr>
            <w:tcW w:w="595" w:type="pct"/>
            <w:vAlign w:val="center"/>
          </w:tcPr>
          <w:p w14:paraId="44ADDEE0">
            <w:pPr>
              <w:jc w:val="center"/>
              <w:rPr>
                <w:rFonts w:ascii="宋体" w:hAnsi="宋体" w:eastAsia="宋体" w:cs="宋体"/>
                <w:color w:val="000000" w:themeColor="text1"/>
                <w:szCs w:val="21"/>
                <w:highlight w:val="none"/>
                <w14:textFill>
                  <w14:solidFill>
                    <w14:schemeClr w14:val="tx1"/>
                  </w14:solidFill>
                </w14:textFill>
              </w:rPr>
            </w:pPr>
          </w:p>
        </w:tc>
        <w:tc>
          <w:tcPr>
            <w:tcW w:w="512" w:type="pct"/>
            <w:vAlign w:val="center"/>
          </w:tcPr>
          <w:p w14:paraId="34213F17">
            <w:pPr>
              <w:jc w:val="center"/>
              <w:rPr>
                <w:rFonts w:ascii="宋体" w:hAnsi="宋体" w:eastAsia="宋体" w:cs="宋体"/>
                <w:color w:val="000000" w:themeColor="text1"/>
                <w:szCs w:val="21"/>
                <w:highlight w:val="none"/>
                <w14:textFill>
                  <w14:solidFill>
                    <w14:schemeClr w14:val="tx1"/>
                  </w14:solidFill>
                </w14:textFill>
              </w:rPr>
            </w:pPr>
          </w:p>
        </w:tc>
        <w:tc>
          <w:tcPr>
            <w:tcW w:w="593" w:type="pct"/>
            <w:vAlign w:val="center"/>
          </w:tcPr>
          <w:p w14:paraId="627789EF">
            <w:pPr>
              <w:jc w:val="center"/>
              <w:rPr>
                <w:rFonts w:ascii="宋体" w:hAnsi="宋体" w:eastAsia="宋体" w:cs="宋体"/>
                <w:color w:val="000000" w:themeColor="text1"/>
                <w:szCs w:val="21"/>
                <w:highlight w:val="none"/>
                <w14:textFill>
                  <w14:solidFill>
                    <w14:schemeClr w14:val="tx1"/>
                  </w14:solidFill>
                </w14:textFill>
              </w:rPr>
            </w:pPr>
          </w:p>
        </w:tc>
        <w:tc>
          <w:tcPr>
            <w:tcW w:w="825" w:type="pct"/>
            <w:vAlign w:val="center"/>
          </w:tcPr>
          <w:p w14:paraId="59502D70">
            <w:pPr>
              <w:jc w:val="center"/>
              <w:rPr>
                <w:rFonts w:ascii="宋体" w:hAnsi="宋体" w:eastAsia="宋体" w:cs="宋体"/>
                <w:color w:val="000000" w:themeColor="text1"/>
                <w:szCs w:val="21"/>
                <w:highlight w:val="none"/>
                <w14:textFill>
                  <w14:solidFill>
                    <w14:schemeClr w14:val="tx1"/>
                  </w14:solidFill>
                </w14:textFill>
              </w:rPr>
            </w:pPr>
          </w:p>
        </w:tc>
        <w:tc>
          <w:tcPr>
            <w:tcW w:w="763" w:type="pct"/>
            <w:vAlign w:val="center"/>
          </w:tcPr>
          <w:p w14:paraId="4E2FCCC6">
            <w:pPr>
              <w:jc w:val="center"/>
              <w:rPr>
                <w:rFonts w:ascii="宋体" w:hAnsi="宋体" w:eastAsia="宋体" w:cs="宋体"/>
                <w:color w:val="000000" w:themeColor="text1"/>
                <w:szCs w:val="21"/>
                <w:highlight w:val="none"/>
                <w14:textFill>
                  <w14:solidFill>
                    <w14:schemeClr w14:val="tx1"/>
                  </w14:solidFill>
                </w14:textFill>
              </w:rPr>
            </w:pPr>
          </w:p>
        </w:tc>
      </w:tr>
    </w:tbl>
    <w:p w14:paraId="6BD0CCAF">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p>
    <w:p w14:paraId="046CE019">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资格业绩证明材料提交要求：</w:t>
      </w:r>
    </w:p>
    <w:p w14:paraId="33667930">
      <w:pPr>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（1）作为投标人资格条件证明的业绩放置在此处；</w:t>
      </w:r>
    </w:p>
    <w:p w14:paraId="7F4B7BF2">
      <w:pPr>
        <w:spacing w:line="360" w:lineRule="auto"/>
        <w:ind w:left="422" w:hanging="422" w:hangingChars="201"/>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业绩须同时提供⑴螺翼式远传水表销售合同复印件（合同卖方为投标人，需显示合同买方公章），⑵已供货产品任意一张发票复印件（发票开具日期须在本项目招标公告发布之日前）</w:t>
      </w:r>
      <w:r>
        <w:rPr>
          <w:rFonts w:hint="eastAsia" w:ascii="宋体" w:hAnsi="宋体" w:eastAsia="宋体" w:cs="宋体"/>
          <w:color w:val="000000" w:themeColor="text1"/>
          <w:szCs w:val="21"/>
          <w:highlight w:val="none"/>
          <w:lang w:eastAsia="zh-CN"/>
          <w14:textFill>
            <w14:solidFill>
              <w14:schemeClr w14:val="tx1"/>
            </w14:solidFill>
          </w14:textFill>
        </w:rPr>
        <w:t>；</w:t>
      </w:r>
    </w:p>
    <w:p w14:paraId="229C144F">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）若合同无法反映评分条件（合同签订日期为2022年1月1日或以后，合同标的必须包含螺翼式远传水表）的，还需提供产品购买方出具的书面补充说明文件复印件作为辅助证明（需显示购买方公章）</w:t>
      </w:r>
      <w:r>
        <w:rPr>
          <w:rFonts w:hint="eastAsia" w:ascii="宋体" w:hAnsi="宋体" w:eastAsia="宋体" w:cs="Times New Roman"/>
          <w:color w:val="000000" w:themeColor="text1"/>
          <w:szCs w:val="24"/>
          <w:highlight w:val="none"/>
          <w:lang w:val="zh-CN"/>
          <w14:textFill>
            <w14:solidFill>
              <w14:schemeClr w14:val="tx1"/>
            </w14:solidFill>
          </w14:textFill>
        </w:rPr>
        <w:t>；</w:t>
      </w:r>
    </w:p>
    <w:p w14:paraId="10F78600">
      <w:pPr>
        <w:spacing w:line="360" w:lineRule="auto"/>
        <w:ind w:left="424" w:hanging="424" w:hangingChars="201"/>
        <w:rPr>
          <w:rFonts w:hint="eastAsia" w:ascii="宋体" w:hAnsi="宋体" w:eastAsia="宋体" w:cs="宋体"/>
          <w:b/>
          <w:color w:val="000000" w:themeColor="text1"/>
          <w:szCs w:val="21"/>
          <w:highlight w:val="none"/>
          <w:lang w:val="zh-CN"/>
          <w14:textFill>
            <w14:solidFill>
              <w14:schemeClr w14:val="tx1"/>
            </w14:solidFill>
          </w14:textFill>
        </w:rPr>
      </w:pPr>
      <w:bookmarkStart w:id="1003" w:name="_Toc12931"/>
      <w:bookmarkStart w:id="1004" w:name="_Toc24862"/>
      <w:bookmarkStart w:id="1005" w:name="_Toc20010"/>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4</w:t>
      </w:r>
      <w:r>
        <w:rPr>
          <w:rFonts w:hint="eastAsia" w:ascii="宋体" w:hAnsi="宋体" w:eastAsia="宋体" w:cs="宋体"/>
          <w:b/>
          <w:color w:val="000000" w:themeColor="text1"/>
          <w:szCs w:val="21"/>
          <w:highlight w:val="none"/>
          <w:lang w:val="zh-CN"/>
          <w14:textFill>
            <w14:solidFill>
              <w14:schemeClr w14:val="tx1"/>
            </w14:solidFill>
          </w14:textFill>
        </w:rPr>
        <w:t>）</w:t>
      </w:r>
      <w:bookmarkEnd w:id="1003"/>
      <w:bookmarkEnd w:id="1004"/>
      <w:bookmarkEnd w:id="1005"/>
      <w:r>
        <w:rPr>
          <w:rFonts w:hint="eastAsia" w:ascii="宋体" w:hAnsi="宋体" w:eastAsia="宋体" w:cs="宋体"/>
          <w:b/>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未按上述要求在此格式下提供证明材料的业绩，或在此格式下所附材料无法证明符合资格要求的业绩，按无效投标文件处理。</w:t>
      </w:r>
    </w:p>
    <w:p w14:paraId="206E583F">
      <w:pPr>
        <w:autoSpaceDE/>
        <w:autoSpaceDN/>
        <w:adjustRightInd/>
        <w:spacing w:line="360" w:lineRule="auto"/>
        <w:ind w:left="424" w:hanging="422" w:hangingChars="201"/>
        <w:jc w:val="righ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33CE584D">
      <w:pPr>
        <w:autoSpaceDE w:val="0"/>
        <w:autoSpaceDN w:val="0"/>
        <w:adjustRightInd w:val="0"/>
        <w:spacing w:line="360" w:lineRule="auto"/>
        <w:ind w:firstLine="4200" w:firstLineChars="2000"/>
        <w:rPr>
          <w:rFonts w:hint="eastAsia" w:ascii="宋体" w:hAnsi="宋体" w:eastAsia="宋体" w:cs="宋体"/>
          <w:color w:val="000000" w:themeColor="text1"/>
          <w:szCs w:val="21"/>
          <w:highlight w:val="none"/>
          <w:lang w:val="zh-CN"/>
          <w14:textFill>
            <w14:solidFill>
              <w14:schemeClr w14:val="tx1"/>
            </w14:solidFill>
          </w14:textFill>
        </w:rPr>
      </w:pPr>
    </w:p>
    <w:p w14:paraId="74A0690C">
      <w:pPr>
        <w:autoSpaceDE w:val="0"/>
        <w:autoSpaceDN w:val="0"/>
        <w:adjustRightInd w:val="0"/>
        <w:spacing w:line="360" w:lineRule="auto"/>
        <w:ind w:firstLine="4200" w:firstLineChars="200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1BFC3E07">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p>
    <w:p w14:paraId="3578CB85">
      <w:pPr>
        <w:widowControl/>
        <w:autoSpaceDE w:val="0"/>
        <w:autoSpaceDN w:val="0"/>
        <w:adjustRightInd w:val="0"/>
        <w:spacing w:line="360" w:lineRule="auto"/>
        <w:ind w:left="0" w:leftChars="0"/>
        <w:jc w:val="center"/>
        <w:rPr>
          <w:rFonts w:ascii="宋体" w:hAnsi="宋体" w:eastAsia="宋体" w:cs="宋体"/>
          <w:b/>
          <w:bCs/>
          <w:color w:val="000000" w:themeColor="text1"/>
          <w:kern w:val="0"/>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说明：由投标人使用投标人的企业数字证书电子签名。</w:t>
      </w:r>
    </w:p>
    <w:p w14:paraId="049B95E2">
      <w:pPr>
        <w:rPr>
          <w:rFonts w:ascii="宋体" w:hAnsi="宋体" w:eastAsia="宋体" w:cs="宋体"/>
          <w:b/>
          <w:color w:val="000000" w:themeColor="text1"/>
          <w:kern w:val="0"/>
          <w:sz w:val="30"/>
          <w:szCs w:val="30"/>
          <w:highlight w:val="none"/>
          <w14:textFill>
            <w14:solidFill>
              <w14:schemeClr w14:val="tx1"/>
            </w14:solidFill>
          </w14:textFill>
        </w:rPr>
      </w:pPr>
    </w:p>
    <w:p w14:paraId="363277B5">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bookmarkStart w:id="1006" w:name="_Toc7508"/>
      <w:bookmarkStart w:id="1007" w:name="_Toc195714387"/>
      <w:bookmarkStart w:id="1008" w:name="_Toc21843"/>
      <w:bookmarkStart w:id="1009" w:name="_Toc8121"/>
      <w:bookmarkStart w:id="1010" w:name="_Toc8599"/>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2AA0AAF7">
      <w:pPr>
        <w:tabs>
          <w:tab w:val="left" w:pos="567"/>
        </w:tabs>
        <w:autoSpaceDE w:val="0"/>
        <w:autoSpaceDN w:val="0"/>
        <w:adjustRightInd w:val="0"/>
        <w:spacing w:line="360" w:lineRule="auto"/>
        <w:jc w:val="left"/>
        <w:outlineLvl w:val="3"/>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hint="eastAsia" w:ascii="宋体" w:hAnsi="宋体" w:eastAsia="宋体" w:cs="宋体"/>
          <w:b/>
          <w:color w:val="000000" w:themeColor="text1"/>
          <w:kern w:val="0"/>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最近3年投标人牵涉的其他（失信和违法）处罚说明格式</w:t>
      </w:r>
      <w:bookmarkEnd w:id="998"/>
      <w:bookmarkEnd w:id="999"/>
      <w:bookmarkEnd w:id="1000"/>
      <w:bookmarkEnd w:id="1001"/>
      <w:bookmarkEnd w:id="1002"/>
      <w:bookmarkEnd w:id="1006"/>
      <w:bookmarkEnd w:id="1007"/>
      <w:bookmarkEnd w:id="1008"/>
      <w:bookmarkEnd w:id="1009"/>
      <w:bookmarkEnd w:id="1010"/>
    </w:p>
    <w:p w14:paraId="49DC966D">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540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4253" w:type="dxa"/>
            <w:vAlign w:val="center"/>
          </w:tcPr>
          <w:p w14:paraId="0062E035">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14:paraId="5DF8CF1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14:paraId="117084E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14:paraId="3277160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096C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4B87BC5A">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14:paraId="3D673EF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4A7A101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5D3B5DC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6FEA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91C3A5D">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14:paraId="39CB7BC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43CF738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0B2FCA3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73C0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47F1789F">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是否被认定为政府采购严重违法失信行为记录名单</w:t>
            </w:r>
          </w:p>
        </w:tc>
        <w:tc>
          <w:tcPr>
            <w:tcW w:w="1417" w:type="dxa"/>
            <w:vAlign w:val="center"/>
          </w:tcPr>
          <w:p w14:paraId="5A6F95D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08D441D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7EFB3AD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5E4D032A">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60196544">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“认定时间”列填“无”；若受到相关处罚的应附处罚相关材料扫描件；若出现相关处罚的处罚期满,但处罚公示没有及时更新的情况,投标人须提供相关材料</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扫描件</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14:paraId="32E84831">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14:paraId="232625C1">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p>
    <w:p w14:paraId="67DF85AA">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513B2AAE">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5FCAC49D">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3CD767E2">
      <w:pPr>
        <w:autoSpaceDE w:val="0"/>
        <w:autoSpaceDN w:val="0"/>
        <w:adjustRightInd w:val="0"/>
        <w:spacing w:line="360" w:lineRule="auto"/>
        <w:ind w:firstLine="3780" w:firstLineChars="180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29B55387">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p>
    <w:p w14:paraId="260EA516">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说明：由投标人使用投标人的企业数字证书电子签名。</w:t>
      </w:r>
    </w:p>
    <w:p w14:paraId="46807B60">
      <w:pPr>
        <w:autoSpaceDE w:val="0"/>
        <w:autoSpaceDN w:val="0"/>
        <w:adjustRightInd w:val="0"/>
        <w:spacing w:line="360" w:lineRule="auto"/>
        <w:ind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p>
    <w:p w14:paraId="5DBE517E">
      <w:pPr>
        <w:rPr>
          <w:rFonts w:ascii="宋体" w:hAnsi="宋体" w:eastAsia="宋体" w:cs="宋体"/>
          <w:color w:val="000000" w:themeColor="text1"/>
          <w:szCs w:val="24"/>
          <w:highlight w:val="none"/>
          <w:lang w:val="zh-CN"/>
          <w14:textFill>
            <w14:solidFill>
              <w14:schemeClr w14:val="tx1"/>
            </w14:solidFill>
          </w14:textFill>
        </w:rPr>
      </w:pPr>
      <w:bookmarkStart w:id="1011" w:name="_Toc1977731"/>
      <w:bookmarkStart w:id="1012" w:name="_Toc142508374"/>
      <w:bookmarkStart w:id="1013" w:name="_Toc94107215"/>
      <w:bookmarkStart w:id="1014" w:name="_Toc486167714"/>
      <w:bookmarkStart w:id="1015" w:name="_Toc140596934"/>
      <w:bookmarkStart w:id="1016" w:name="_Toc102860079"/>
      <w:bookmarkStart w:id="1017" w:name="_Toc533708126"/>
      <w:bookmarkStart w:id="1018" w:name="_Toc30939"/>
      <w:bookmarkStart w:id="1019" w:name="_Toc102860423"/>
      <w:bookmarkStart w:id="1020" w:name="_Toc104991881"/>
      <w:bookmarkStart w:id="1021" w:name="_Toc6412"/>
      <w:bookmarkStart w:id="1022" w:name="_Toc2031_WPSOffice_Level2"/>
      <w:r>
        <w:rPr>
          <w:rFonts w:ascii="宋体" w:hAnsi="宋体" w:eastAsia="宋体" w:cs="宋体"/>
          <w:color w:val="000000" w:themeColor="text1"/>
          <w:szCs w:val="24"/>
          <w:highlight w:val="none"/>
          <w:lang w:val="zh-CN"/>
          <w14:textFill>
            <w14:solidFill>
              <w14:schemeClr w14:val="tx1"/>
            </w14:solidFill>
          </w14:textFill>
        </w:rPr>
        <w:br w:type="page"/>
      </w:r>
    </w:p>
    <w:p w14:paraId="7F581CE4">
      <w:pPr>
        <w:tabs>
          <w:tab w:val="left" w:pos="567"/>
        </w:tabs>
        <w:autoSpaceDE w:val="0"/>
        <w:autoSpaceDN w:val="0"/>
        <w:adjustRightInd w:val="0"/>
        <w:spacing w:line="360" w:lineRule="auto"/>
        <w:jc w:val="left"/>
        <w:outlineLvl w:val="3"/>
        <w:rPr>
          <w:rFonts w:ascii="宋体" w:hAnsi="宋体" w:eastAsia="宋体" w:cs="Times New Roman"/>
          <w:color w:val="000000" w:themeColor="text1"/>
          <w:kern w:val="0"/>
          <w:szCs w:val="21"/>
          <w:highlight w:val="none"/>
          <w:u w:val="single"/>
          <w14:textFill>
            <w14:solidFill>
              <w14:schemeClr w14:val="tx1"/>
            </w14:solidFill>
          </w14:textFill>
        </w:rPr>
      </w:pPr>
      <w:bookmarkStart w:id="1023" w:name="_Toc18145"/>
      <w:bookmarkStart w:id="1024" w:name="_Toc17508"/>
      <w:bookmarkStart w:id="1025" w:name="_Toc195714388"/>
      <w:r>
        <w:rPr>
          <w:rFonts w:hint="eastAsia" w:ascii="宋体" w:hAnsi="宋体" w:eastAsia="宋体" w:cs="宋体"/>
          <w:b/>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0613DF0B">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1026"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1026"/>
    </w:p>
    <w:p w14:paraId="30FFE9B5">
      <w:pPr>
        <w:autoSpaceDE w:val="0"/>
        <w:autoSpaceDN w:val="0"/>
        <w:adjustRightInd w:val="0"/>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14:paraId="65A35F24">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14:paraId="7E9A0DCC">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14:paraId="1E748CEB">
      <w:pPr>
        <w:autoSpaceDE w:val="0"/>
        <w:autoSpaceDN w:val="0"/>
        <w:adjustRightInd w:val="0"/>
        <w:spacing w:line="360" w:lineRule="auto"/>
        <w:ind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14:paraId="6BE65649">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14:paraId="3CE7CFE7">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14:paraId="3FFF4BC9">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14:paraId="08A4E2BB">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（4）法人代表：__________________________________________</w:t>
      </w:r>
    </w:p>
    <w:p w14:paraId="159D9AC6">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14:paraId="236F80D4">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14:paraId="374D3CB1">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14:paraId="299D77BA">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14:paraId="54457305">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14:paraId="7F004EF7">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14:paraId="2BCB4740">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14:paraId="3E3403B4">
      <w:pPr>
        <w:autoSpaceDE w:val="0"/>
        <w:autoSpaceDN w:val="0"/>
        <w:adjustRightInd w:val="0"/>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14:paraId="4E658EE0">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14:paraId="163033BA">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14:paraId="7E11FA52">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329001F6">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14:paraId="5AFF7272">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7A22F526">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（3）东莞市内设有分支机构情况介绍[应提供该分支机构的多证合一营业执照原件扫描件等证明材料]（若无前述分支机构的无需介绍）。</w:t>
      </w:r>
    </w:p>
    <w:p w14:paraId="63D98A0C">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14:paraId="7B94A6D1">
      <w:pPr>
        <w:autoSpaceDE w:val="0"/>
        <w:autoSpaceDN w:val="0"/>
        <w:adjustRightInd w:val="0"/>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14:paraId="05F56152">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508981D6">
      <w:pPr>
        <w:autoSpaceDE w:val="0"/>
        <w:autoSpaceDN w:val="0"/>
        <w:adjustRightInd w:val="0"/>
        <w:spacing w:line="360" w:lineRule="auto"/>
        <w:ind w:firstLine="3780" w:firstLineChars="180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439FCBB8">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p>
    <w:p w14:paraId="38269075">
      <w:pPr>
        <w:autoSpaceDE w:val="0"/>
        <w:autoSpaceDN w:val="0"/>
        <w:adjustRightInd w:val="0"/>
        <w:spacing w:line="360" w:lineRule="auto"/>
        <w:jc w:val="center"/>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说明：由投标人使用投标人的企业数字证书电子签名。</w:t>
      </w:r>
    </w:p>
    <w:p w14:paraId="47EB3A7C">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1027" w:name="_Toc104991882"/>
      <w:bookmarkStart w:id="1028" w:name="_Toc102860080"/>
      <w:bookmarkStart w:id="1029" w:name="_Toc102860424"/>
      <w:bookmarkStart w:id="1030" w:name="_Toc285"/>
      <w:bookmarkStart w:id="1031" w:name="_Toc94107216"/>
      <w:bookmarkStart w:id="1032" w:name="_Toc142508375"/>
      <w:bookmarkStart w:id="1033" w:name="_Toc195714389"/>
      <w:bookmarkStart w:id="1034" w:name="_Toc140596935"/>
      <w:bookmarkStart w:id="1035" w:name="_Toc29014"/>
      <w:bookmarkStart w:id="1036" w:name="_Toc10443"/>
      <w:bookmarkStart w:id="1037" w:name="_Toc4023"/>
      <w:bookmarkStart w:id="1038" w:name="_Toc1977733"/>
      <w:bookmarkStart w:id="1039" w:name="_Toc9051_WPSOffice_Level2"/>
      <w:bookmarkStart w:id="1040" w:name="_Toc486167715"/>
      <w:bookmarkStart w:id="1041" w:name="_Toc533708128"/>
      <w:r>
        <w:rPr>
          <w:rFonts w:hint="eastAsia" w:ascii="宋体" w:hAnsi="宋体" w:eastAsia="宋体" w:cs="宋体"/>
          <w:b/>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1027"/>
      <w:bookmarkEnd w:id="1028"/>
      <w:bookmarkEnd w:id="1029"/>
      <w:bookmarkEnd w:id="1030"/>
      <w:bookmarkEnd w:id="1031"/>
      <w:bookmarkEnd w:id="1032"/>
      <w:bookmarkEnd w:id="1033"/>
      <w:bookmarkEnd w:id="1034"/>
      <w:bookmarkEnd w:id="1035"/>
      <w:bookmarkEnd w:id="1036"/>
      <w:bookmarkEnd w:id="1037"/>
    </w:p>
    <w:p w14:paraId="70A0A088">
      <w:pPr>
        <w:autoSpaceDE w:val="0"/>
        <w:autoSpaceDN w:val="0"/>
        <w:adjustRightIn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14:paraId="0DEDDB2A">
      <w:pPr>
        <w:autoSpaceDE w:val="0"/>
        <w:autoSpaceDN w:val="0"/>
        <w:adjustRightIn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9815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F8E8AC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tc>
        <w:tc>
          <w:tcPr>
            <w:tcW w:w="1944" w:type="dxa"/>
            <w:vAlign w:val="center"/>
          </w:tcPr>
          <w:p w14:paraId="6973278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14:paraId="3690421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14:paraId="2C0986D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14:paraId="695BE38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14:paraId="6F388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57135DA">
            <w:pPr>
              <w:autoSpaceDE w:val="0"/>
              <w:autoSpaceDN w:val="0"/>
              <w:adjustRightIn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p>
        </w:tc>
        <w:tc>
          <w:tcPr>
            <w:tcW w:w="1944" w:type="dxa"/>
            <w:vAlign w:val="center"/>
          </w:tcPr>
          <w:p w14:paraId="6B9AF60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6E23F3D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14:paraId="403D982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0F81867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2474B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0A035A5">
            <w:pPr>
              <w:autoSpaceDE w:val="0"/>
              <w:autoSpaceDN w:val="0"/>
              <w:adjustRightIn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tc>
        <w:tc>
          <w:tcPr>
            <w:tcW w:w="1944" w:type="dxa"/>
            <w:vAlign w:val="center"/>
          </w:tcPr>
          <w:p w14:paraId="6F22E59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36F5F35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4E24F59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4215BFB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3B9A2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BC3BAB3">
            <w:pPr>
              <w:autoSpaceDE w:val="0"/>
              <w:autoSpaceDN w:val="0"/>
              <w:adjustRightIn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1944" w:type="dxa"/>
            <w:vAlign w:val="center"/>
          </w:tcPr>
          <w:p w14:paraId="7003C1E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659C22A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5EDB264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0ACDA3B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7DD44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6B6BF1C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14:paraId="157F9F8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711D8D0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190C9844">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2732CF25">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5CCFB73A">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p>
    <w:p w14:paraId="1F5616C8">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p>
    <w:p w14:paraId="2F13D983">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0E9E55F5">
      <w:pPr>
        <w:autoSpaceDE w:val="0"/>
        <w:autoSpaceDN w:val="0"/>
        <w:adjustRightInd w:val="0"/>
        <w:spacing w:line="360" w:lineRule="auto"/>
        <w:ind w:firstLine="3780" w:firstLineChars="180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17E4965C">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p>
    <w:p w14:paraId="298CF9F8">
      <w:pPr>
        <w:autoSpaceDE w:val="0"/>
        <w:autoSpaceDN w:val="0"/>
        <w:adjustRightInd w:val="0"/>
        <w:spacing w:line="360" w:lineRule="auto"/>
        <w:jc w:val="center"/>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说明：由投标人使用投标人的企业数字证书电子签名。</w:t>
      </w:r>
    </w:p>
    <w:p w14:paraId="42E36D84">
      <w:pPr>
        <w:autoSpaceDE w:val="0"/>
        <w:autoSpaceDN w:val="0"/>
        <w:adjustRightInd w:val="0"/>
        <w:spacing w:line="360" w:lineRule="auto"/>
        <w:ind w:firstLine="6274" w:firstLineChars="2976"/>
        <w:rPr>
          <w:rFonts w:ascii="宋体" w:hAnsi="宋体" w:eastAsia="宋体" w:cs="宋体"/>
          <w:b/>
          <w:bCs/>
          <w:color w:val="000000" w:themeColor="text1"/>
          <w:kern w:val="0"/>
          <w:szCs w:val="21"/>
          <w:highlight w:val="none"/>
          <w14:textFill>
            <w14:solidFill>
              <w14:schemeClr w14:val="tx1"/>
            </w14:solidFill>
          </w14:textFill>
        </w:rPr>
        <w:sectPr>
          <w:footerReference r:id="rId9" w:type="first"/>
          <w:footerReference r:id="rId8" w:type="default"/>
          <w:pgSz w:w="11907" w:h="16840"/>
          <w:pgMar w:top="1701" w:right="1418" w:bottom="851" w:left="1418" w:header="720" w:footer="720" w:gutter="0"/>
          <w:pgNumType w:fmt="decimal"/>
          <w:cols w:space="720" w:num="1"/>
          <w:titlePg/>
          <w:docGrid w:linePitch="326" w:charSpace="0"/>
        </w:sectPr>
      </w:pPr>
    </w:p>
    <w:bookmarkEnd w:id="1038"/>
    <w:bookmarkEnd w:id="1039"/>
    <w:bookmarkEnd w:id="1040"/>
    <w:bookmarkEnd w:id="1041"/>
    <w:p w14:paraId="5AD0C017">
      <w:pPr>
        <w:tabs>
          <w:tab w:val="left" w:pos="567"/>
        </w:tabs>
        <w:autoSpaceDE w:val="0"/>
        <w:autoSpaceDN w:val="0"/>
        <w:adjustRightInd w:val="0"/>
        <w:spacing w:line="360" w:lineRule="auto"/>
        <w:jc w:val="left"/>
        <w:outlineLvl w:val="3"/>
        <w:rPr>
          <w:rFonts w:ascii="宋体" w:hAnsi="宋体" w:eastAsia="宋体" w:cs="宋体"/>
          <w:b/>
          <w:color w:val="000000" w:themeColor="text1"/>
          <w:kern w:val="0"/>
          <w:sz w:val="32"/>
          <w:szCs w:val="32"/>
          <w:highlight w:val="none"/>
          <w:lang w:val="zh-CN"/>
          <w14:textFill>
            <w14:solidFill>
              <w14:schemeClr w14:val="tx1"/>
            </w14:solidFill>
          </w14:textFill>
        </w:rPr>
      </w:pPr>
      <w:bookmarkStart w:id="1042" w:name="_Toc102860425"/>
      <w:bookmarkStart w:id="1043" w:name="_Toc333"/>
      <w:bookmarkStart w:id="1044" w:name="_Toc142508376"/>
      <w:bookmarkStart w:id="1045" w:name="_Toc17995"/>
      <w:bookmarkStart w:id="1046" w:name="_Toc486167716"/>
      <w:bookmarkStart w:id="1047" w:name="_Toc104991883"/>
      <w:bookmarkStart w:id="1048" w:name="_Toc6028"/>
      <w:bookmarkStart w:id="1049" w:name="_Toc26821"/>
      <w:bookmarkStart w:id="1050" w:name="_Toc102860081"/>
      <w:bookmarkStart w:id="1051" w:name="_Toc94107217"/>
      <w:bookmarkStart w:id="1052" w:name="_Toc533708130"/>
      <w:bookmarkStart w:id="1053" w:name="_Toc1977736"/>
      <w:bookmarkStart w:id="1054" w:name="_Toc739_WPSOffice_Level2"/>
      <w:bookmarkStart w:id="1055" w:name="_Toc195714390"/>
      <w:bookmarkStart w:id="1056" w:name="_Toc140596936"/>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七</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1DE5D86B">
      <w:pPr>
        <w:autoSpaceDE w:val="0"/>
        <w:autoSpaceDN w:val="0"/>
        <w:adjustRightInd w:val="0"/>
        <w:spacing w:line="360" w:lineRule="auto"/>
        <w:jc w:val="center"/>
        <w:rPr>
          <w:rFonts w:hint="eastAsia" w:ascii="宋体" w:hAnsi="宋体" w:eastAsia="宋体" w:cs="宋体"/>
          <w:b/>
          <w:bCs/>
          <w:color w:val="000000" w:themeColor="text1"/>
          <w:kern w:val="0"/>
          <w:sz w:val="28"/>
          <w:szCs w:val="30"/>
          <w:highlight w:val="none"/>
          <w:lang w:val="zh-CN"/>
          <w14:textFill>
            <w14:solidFill>
              <w14:schemeClr w14:val="tx1"/>
            </w14:solidFill>
          </w14:textFill>
        </w:rPr>
      </w:pPr>
      <w:bookmarkStart w:id="1057"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东莞市供水计量设施更新项目(2025年计量仪表采购)－螺翼式远传水表</w:t>
      </w:r>
    </w:p>
    <w:p w14:paraId="3F400925">
      <w:pP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r>
        <w:rPr>
          <w:rFonts w:hint="eastAsia" w:ascii="宋体" w:hAnsi="宋体" w:eastAsia="宋体" w:cs="宋体"/>
          <w:b/>
          <w:bCs/>
          <w:color w:val="000000" w:themeColor="text1"/>
          <w:kern w:val="0"/>
          <w:sz w:val="28"/>
          <w:szCs w:val="30"/>
          <w:highlight w:val="none"/>
          <w:lang w:val="zh-CN"/>
          <w14:textFill>
            <w14:solidFill>
              <w14:schemeClr w14:val="tx1"/>
            </w14:solidFill>
          </w14:textFill>
        </w:rPr>
        <w:t>合同条款偏离表</w:t>
      </w:r>
      <w:bookmarkEnd w:id="1057"/>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136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0C309D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480" w:type="dxa"/>
            <w:gridSpan w:val="2"/>
            <w:vAlign w:val="center"/>
          </w:tcPr>
          <w:p w14:paraId="02155B8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4870" w:type="dxa"/>
            <w:gridSpan w:val="2"/>
            <w:vAlign w:val="center"/>
          </w:tcPr>
          <w:p w14:paraId="55BC5BC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14:paraId="468B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3773E22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1425" w:type="dxa"/>
            <w:vAlign w:val="center"/>
          </w:tcPr>
          <w:p w14:paraId="7AD7B24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3055" w:type="dxa"/>
            <w:vAlign w:val="center"/>
          </w:tcPr>
          <w:p w14:paraId="5BA6CE7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346" w:type="dxa"/>
            <w:vAlign w:val="center"/>
          </w:tcPr>
          <w:p w14:paraId="6DE2796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3524" w:type="dxa"/>
            <w:vAlign w:val="center"/>
          </w:tcPr>
          <w:p w14:paraId="2837740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14:paraId="529C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8B4A0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425" w:type="dxa"/>
            <w:vAlign w:val="center"/>
          </w:tcPr>
          <w:p w14:paraId="5085639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第一条</w:t>
            </w:r>
          </w:p>
        </w:tc>
        <w:tc>
          <w:tcPr>
            <w:tcW w:w="3055" w:type="dxa"/>
            <w:vAlign w:val="center"/>
          </w:tcPr>
          <w:p w14:paraId="2CD9F21F">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合同项目</w:t>
            </w:r>
          </w:p>
        </w:tc>
        <w:tc>
          <w:tcPr>
            <w:tcW w:w="1346" w:type="dxa"/>
            <w:vAlign w:val="center"/>
          </w:tcPr>
          <w:p w14:paraId="01DFFAF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148DE5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89C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596C4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425" w:type="dxa"/>
            <w:vAlign w:val="center"/>
          </w:tcPr>
          <w:p w14:paraId="03EA433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第二条</w:t>
            </w:r>
          </w:p>
        </w:tc>
        <w:tc>
          <w:tcPr>
            <w:tcW w:w="3055" w:type="dxa"/>
            <w:vAlign w:val="center"/>
          </w:tcPr>
          <w:p w14:paraId="1954A42D">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暂定价</w:t>
            </w:r>
          </w:p>
        </w:tc>
        <w:tc>
          <w:tcPr>
            <w:tcW w:w="1346" w:type="dxa"/>
            <w:vAlign w:val="center"/>
          </w:tcPr>
          <w:p w14:paraId="49F6AA8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00A694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248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ED18B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425" w:type="dxa"/>
            <w:vAlign w:val="center"/>
          </w:tcPr>
          <w:p w14:paraId="2D80F4E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第三条</w:t>
            </w:r>
          </w:p>
        </w:tc>
        <w:tc>
          <w:tcPr>
            <w:tcW w:w="3055" w:type="dxa"/>
            <w:vAlign w:val="center"/>
          </w:tcPr>
          <w:p w14:paraId="25D1E38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合同组成</w:t>
            </w:r>
          </w:p>
        </w:tc>
        <w:tc>
          <w:tcPr>
            <w:tcW w:w="1346" w:type="dxa"/>
            <w:vAlign w:val="center"/>
          </w:tcPr>
          <w:p w14:paraId="0A6B230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EBA3EA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45B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14:paraId="70A70B9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1425" w:type="dxa"/>
            <w:vAlign w:val="center"/>
          </w:tcPr>
          <w:p w14:paraId="0E09569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第四条</w:t>
            </w:r>
          </w:p>
        </w:tc>
        <w:tc>
          <w:tcPr>
            <w:tcW w:w="3055" w:type="dxa"/>
            <w:vAlign w:val="center"/>
          </w:tcPr>
          <w:p w14:paraId="26FA829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技术要求</w:t>
            </w:r>
          </w:p>
        </w:tc>
        <w:tc>
          <w:tcPr>
            <w:tcW w:w="1346" w:type="dxa"/>
            <w:vAlign w:val="center"/>
          </w:tcPr>
          <w:p w14:paraId="68E38A0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5B3157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90B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24A3DE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425" w:type="dxa"/>
            <w:vAlign w:val="center"/>
          </w:tcPr>
          <w:p w14:paraId="1E35AEF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第五条</w:t>
            </w:r>
          </w:p>
        </w:tc>
        <w:tc>
          <w:tcPr>
            <w:tcW w:w="3055" w:type="dxa"/>
            <w:vAlign w:val="center"/>
          </w:tcPr>
          <w:p w14:paraId="150BA88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质量保证</w:t>
            </w:r>
          </w:p>
        </w:tc>
        <w:tc>
          <w:tcPr>
            <w:tcW w:w="1346" w:type="dxa"/>
            <w:vAlign w:val="center"/>
          </w:tcPr>
          <w:p w14:paraId="383E870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F938BC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4BC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30C52E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425" w:type="dxa"/>
            <w:vAlign w:val="center"/>
          </w:tcPr>
          <w:p w14:paraId="3F6CFBF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第六条</w:t>
            </w:r>
          </w:p>
        </w:tc>
        <w:tc>
          <w:tcPr>
            <w:tcW w:w="3055" w:type="dxa"/>
            <w:vAlign w:val="center"/>
          </w:tcPr>
          <w:p w14:paraId="6992F78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包装、运输与装卸</w:t>
            </w:r>
          </w:p>
        </w:tc>
        <w:tc>
          <w:tcPr>
            <w:tcW w:w="1346" w:type="dxa"/>
            <w:vAlign w:val="center"/>
          </w:tcPr>
          <w:p w14:paraId="0074CEE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A1B98D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871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9124BB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1425" w:type="dxa"/>
            <w:vAlign w:val="center"/>
          </w:tcPr>
          <w:p w14:paraId="31EB9B9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第七条</w:t>
            </w:r>
          </w:p>
        </w:tc>
        <w:tc>
          <w:tcPr>
            <w:tcW w:w="3055" w:type="dxa"/>
            <w:vAlign w:val="center"/>
          </w:tcPr>
          <w:p w14:paraId="3D6BA70A">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保险</w:t>
            </w:r>
          </w:p>
        </w:tc>
        <w:tc>
          <w:tcPr>
            <w:tcW w:w="1346" w:type="dxa"/>
            <w:vAlign w:val="center"/>
          </w:tcPr>
          <w:p w14:paraId="13E297C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AC651A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CC5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40C74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1425" w:type="dxa"/>
            <w:vAlign w:val="center"/>
          </w:tcPr>
          <w:p w14:paraId="410E444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第八条</w:t>
            </w:r>
          </w:p>
        </w:tc>
        <w:tc>
          <w:tcPr>
            <w:tcW w:w="3055" w:type="dxa"/>
            <w:vAlign w:val="center"/>
          </w:tcPr>
          <w:p w14:paraId="2B3B480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交货约定</w:t>
            </w:r>
          </w:p>
        </w:tc>
        <w:tc>
          <w:tcPr>
            <w:tcW w:w="1346" w:type="dxa"/>
            <w:vAlign w:val="center"/>
          </w:tcPr>
          <w:p w14:paraId="632818E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487571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159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D3DA6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1425" w:type="dxa"/>
            <w:vAlign w:val="center"/>
          </w:tcPr>
          <w:p w14:paraId="5CB8F6E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第九条</w:t>
            </w:r>
          </w:p>
        </w:tc>
        <w:tc>
          <w:tcPr>
            <w:tcW w:w="3055" w:type="dxa"/>
            <w:vAlign w:val="center"/>
          </w:tcPr>
          <w:p w14:paraId="74DC86B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验收</w:t>
            </w:r>
          </w:p>
        </w:tc>
        <w:tc>
          <w:tcPr>
            <w:tcW w:w="1346" w:type="dxa"/>
            <w:vAlign w:val="center"/>
          </w:tcPr>
          <w:p w14:paraId="64114F8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26B487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3E9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4AD1E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1425" w:type="dxa"/>
            <w:vAlign w:val="center"/>
          </w:tcPr>
          <w:p w14:paraId="5A564B0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第十条</w:t>
            </w:r>
          </w:p>
        </w:tc>
        <w:tc>
          <w:tcPr>
            <w:tcW w:w="3055" w:type="dxa"/>
            <w:vAlign w:val="center"/>
          </w:tcPr>
          <w:p w14:paraId="15F46F1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价款的支付</w:t>
            </w:r>
          </w:p>
        </w:tc>
        <w:tc>
          <w:tcPr>
            <w:tcW w:w="1346" w:type="dxa"/>
            <w:vAlign w:val="center"/>
          </w:tcPr>
          <w:p w14:paraId="19C062B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E8A191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295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4F2B4F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425" w:type="dxa"/>
            <w:vAlign w:val="center"/>
          </w:tcPr>
          <w:p w14:paraId="08CC8BE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第十一条</w:t>
            </w:r>
          </w:p>
        </w:tc>
        <w:tc>
          <w:tcPr>
            <w:tcW w:w="3055" w:type="dxa"/>
            <w:vAlign w:val="center"/>
          </w:tcPr>
          <w:p w14:paraId="74F6D633">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技术服务和培训</w:t>
            </w:r>
          </w:p>
        </w:tc>
        <w:tc>
          <w:tcPr>
            <w:tcW w:w="1346" w:type="dxa"/>
            <w:vAlign w:val="center"/>
          </w:tcPr>
          <w:p w14:paraId="70B492F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DEF6E0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734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D04BB5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1425" w:type="dxa"/>
            <w:vAlign w:val="center"/>
          </w:tcPr>
          <w:p w14:paraId="2223E72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第十二条</w:t>
            </w:r>
          </w:p>
        </w:tc>
        <w:tc>
          <w:tcPr>
            <w:tcW w:w="3055" w:type="dxa"/>
            <w:vAlign w:val="center"/>
          </w:tcPr>
          <w:p w14:paraId="3109ADF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履约担保</w:t>
            </w:r>
          </w:p>
        </w:tc>
        <w:tc>
          <w:tcPr>
            <w:tcW w:w="1346" w:type="dxa"/>
            <w:vAlign w:val="center"/>
          </w:tcPr>
          <w:p w14:paraId="438E92C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EBEA70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11A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985844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1425" w:type="dxa"/>
            <w:vAlign w:val="center"/>
          </w:tcPr>
          <w:p w14:paraId="192466A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第十三条</w:t>
            </w:r>
          </w:p>
        </w:tc>
        <w:tc>
          <w:tcPr>
            <w:tcW w:w="3055" w:type="dxa"/>
            <w:vAlign w:val="center"/>
          </w:tcPr>
          <w:p w14:paraId="2554D6A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订单全款独立银行保函</w:t>
            </w:r>
          </w:p>
        </w:tc>
        <w:tc>
          <w:tcPr>
            <w:tcW w:w="1346" w:type="dxa"/>
            <w:vAlign w:val="center"/>
          </w:tcPr>
          <w:p w14:paraId="74E84F3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C23898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000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91C3C4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1425" w:type="dxa"/>
            <w:vAlign w:val="center"/>
          </w:tcPr>
          <w:p w14:paraId="7321794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第十四条</w:t>
            </w:r>
          </w:p>
        </w:tc>
        <w:tc>
          <w:tcPr>
            <w:tcW w:w="3055" w:type="dxa"/>
            <w:vAlign w:val="center"/>
          </w:tcPr>
          <w:p w14:paraId="14FF467B">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技术资料</w:t>
            </w:r>
          </w:p>
        </w:tc>
        <w:tc>
          <w:tcPr>
            <w:tcW w:w="1346" w:type="dxa"/>
            <w:vAlign w:val="center"/>
          </w:tcPr>
          <w:p w14:paraId="12622CE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28A339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0AB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23744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425" w:type="dxa"/>
            <w:vAlign w:val="center"/>
          </w:tcPr>
          <w:p w14:paraId="3DCBEC8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第十五条</w:t>
            </w:r>
          </w:p>
        </w:tc>
        <w:tc>
          <w:tcPr>
            <w:tcW w:w="3055" w:type="dxa"/>
            <w:vAlign w:val="center"/>
          </w:tcPr>
          <w:p w14:paraId="59A79F3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权利保证</w:t>
            </w:r>
          </w:p>
        </w:tc>
        <w:tc>
          <w:tcPr>
            <w:tcW w:w="1346" w:type="dxa"/>
            <w:vAlign w:val="center"/>
          </w:tcPr>
          <w:p w14:paraId="08D337B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0DA7FC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3EC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29AAA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1425" w:type="dxa"/>
            <w:vAlign w:val="center"/>
          </w:tcPr>
          <w:p w14:paraId="5BCA54B3">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第十六条</w:t>
            </w:r>
          </w:p>
        </w:tc>
        <w:tc>
          <w:tcPr>
            <w:tcW w:w="3055" w:type="dxa"/>
            <w:vAlign w:val="center"/>
          </w:tcPr>
          <w:p w14:paraId="0B8C7FF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不可抗力</w:t>
            </w:r>
          </w:p>
        </w:tc>
        <w:tc>
          <w:tcPr>
            <w:tcW w:w="1346" w:type="dxa"/>
            <w:vAlign w:val="center"/>
          </w:tcPr>
          <w:p w14:paraId="0E41231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D7E05B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81A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B4CD8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w:t>
            </w:r>
          </w:p>
        </w:tc>
        <w:tc>
          <w:tcPr>
            <w:tcW w:w="1425" w:type="dxa"/>
            <w:vAlign w:val="center"/>
          </w:tcPr>
          <w:p w14:paraId="7B6DC77C">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第十七条</w:t>
            </w:r>
          </w:p>
        </w:tc>
        <w:tc>
          <w:tcPr>
            <w:tcW w:w="3055" w:type="dxa"/>
            <w:vAlign w:val="center"/>
          </w:tcPr>
          <w:p w14:paraId="4F25367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索赔</w:t>
            </w:r>
          </w:p>
        </w:tc>
        <w:tc>
          <w:tcPr>
            <w:tcW w:w="1346" w:type="dxa"/>
            <w:vAlign w:val="center"/>
          </w:tcPr>
          <w:p w14:paraId="2A324F2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B266DC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65D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D6B3B7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w:t>
            </w:r>
          </w:p>
        </w:tc>
        <w:tc>
          <w:tcPr>
            <w:tcW w:w="1425" w:type="dxa"/>
            <w:vAlign w:val="center"/>
          </w:tcPr>
          <w:p w14:paraId="4D27AFEA">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第十八条</w:t>
            </w:r>
          </w:p>
        </w:tc>
        <w:tc>
          <w:tcPr>
            <w:tcW w:w="3055" w:type="dxa"/>
            <w:vAlign w:val="center"/>
          </w:tcPr>
          <w:p w14:paraId="1A31893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违约责任</w:t>
            </w:r>
          </w:p>
        </w:tc>
        <w:tc>
          <w:tcPr>
            <w:tcW w:w="1346" w:type="dxa"/>
            <w:vAlign w:val="center"/>
          </w:tcPr>
          <w:p w14:paraId="3BF7056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91CF33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F71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FAEC5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w:t>
            </w:r>
          </w:p>
        </w:tc>
        <w:tc>
          <w:tcPr>
            <w:tcW w:w="1425" w:type="dxa"/>
            <w:vAlign w:val="center"/>
          </w:tcPr>
          <w:p w14:paraId="12BFFAC8">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第十九条</w:t>
            </w:r>
          </w:p>
        </w:tc>
        <w:tc>
          <w:tcPr>
            <w:tcW w:w="3055" w:type="dxa"/>
            <w:vAlign w:val="center"/>
          </w:tcPr>
          <w:p w14:paraId="0C784F4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争议解决</w:t>
            </w:r>
          </w:p>
        </w:tc>
        <w:tc>
          <w:tcPr>
            <w:tcW w:w="1346" w:type="dxa"/>
            <w:vAlign w:val="center"/>
          </w:tcPr>
          <w:p w14:paraId="455E5F9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0AEA16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BEF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7050B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w:t>
            </w:r>
          </w:p>
        </w:tc>
        <w:tc>
          <w:tcPr>
            <w:tcW w:w="1425" w:type="dxa"/>
            <w:vAlign w:val="center"/>
          </w:tcPr>
          <w:p w14:paraId="5242EF56">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第二十条</w:t>
            </w:r>
          </w:p>
        </w:tc>
        <w:tc>
          <w:tcPr>
            <w:tcW w:w="3055" w:type="dxa"/>
            <w:vAlign w:val="center"/>
          </w:tcPr>
          <w:p w14:paraId="3CCC677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p>
        </w:tc>
        <w:tc>
          <w:tcPr>
            <w:tcW w:w="1346" w:type="dxa"/>
            <w:vAlign w:val="center"/>
          </w:tcPr>
          <w:p w14:paraId="4D80409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2E6651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A0C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8239C1D">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1425" w:type="dxa"/>
            <w:vAlign w:val="center"/>
          </w:tcPr>
          <w:p w14:paraId="0D31C4F4">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附件2</w:t>
            </w:r>
          </w:p>
        </w:tc>
        <w:tc>
          <w:tcPr>
            <w:tcW w:w="3055" w:type="dxa"/>
            <w:vAlign w:val="center"/>
          </w:tcPr>
          <w:p w14:paraId="55C1571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《供货货物清单》（模版）</w:t>
            </w:r>
          </w:p>
        </w:tc>
        <w:tc>
          <w:tcPr>
            <w:tcW w:w="1346" w:type="dxa"/>
            <w:vAlign w:val="center"/>
          </w:tcPr>
          <w:p w14:paraId="0F98B18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3EDEBC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3C9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B75996">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w:t>
            </w:r>
          </w:p>
        </w:tc>
        <w:tc>
          <w:tcPr>
            <w:tcW w:w="1425" w:type="dxa"/>
            <w:vAlign w:val="center"/>
          </w:tcPr>
          <w:p w14:paraId="6AA889E6">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附件3</w:t>
            </w:r>
          </w:p>
        </w:tc>
        <w:tc>
          <w:tcPr>
            <w:tcW w:w="3055" w:type="dxa"/>
            <w:vAlign w:val="center"/>
          </w:tcPr>
          <w:p w14:paraId="3BE2C427">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东莞市水务集团供水有限公司货物到货验收表</w:t>
            </w:r>
          </w:p>
        </w:tc>
        <w:tc>
          <w:tcPr>
            <w:tcW w:w="1346" w:type="dxa"/>
            <w:vAlign w:val="center"/>
          </w:tcPr>
          <w:p w14:paraId="32CB12E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CF5528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0D5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EB892E">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23</w:t>
            </w:r>
          </w:p>
        </w:tc>
        <w:tc>
          <w:tcPr>
            <w:tcW w:w="1425" w:type="dxa"/>
            <w:vAlign w:val="center"/>
          </w:tcPr>
          <w:p w14:paraId="68E5C069">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附件5</w:t>
            </w:r>
          </w:p>
        </w:tc>
        <w:tc>
          <w:tcPr>
            <w:tcW w:w="3055" w:type="dxa"/>
            <w:vAlign w:val="center"/>
          </w:tcPr>
          <w:p w14:paraId="6B86CD9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廉洁协议书</w:t>
            </w:r>
          </w:p>
        </w:tc>
        <w:tc>
          <w:tcPr>
            <w:tcW w:w="1346" w:type="dxa"/>
            <w:vAlign w:val="center"/>
          </w:tcPr>
          <w:p w14:paraId="01B289C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089A21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667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95FCD43">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w:t>
            </w:r>
          </w:p>
        </w:tc>
        <w:tc>
          <w:tcPr>
            <w:tcW w:w="1425" w:type="dxa"/>
            <w:vAlign w:val="center"/>
          </w:tcPr>
          <w:p w14:paraId="6BA60A95">
            <w:pPr>
              <w:pStyle w:val="69"/>
              <w:snapToGrid w:val="0"/>
              <w:spacing w:before="120" w:beforeLines="50" w:line="360" w:lineRule="auto"/>
              <w:ind w:firstLine="0" w:firstLineChars="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eastAsia="宋体" w:cs="宋体"/>
                <w:color w:val="000000" w:themeColor="text1"/>
                <w:kern w:val="2"/>
                <w:sz w:val="21"/>
                <w:szCs w:val="21"/>
                <w:highlight w:val="none"/>
                <w:lang w:val="en-US" w:eastAsia="zh-CN"/>
                <w14:textFill>
                  <w14:solidFill>
                    <w14:schemeClr w14:val="tx1"/>
                  </w14:solidFill>
                </w14:textFill>
              </w:rPr>
              <w:t>一</w:t>
            </w:r>
          </w:p>
        </w:tc>
        <w:tc>
          <w:tcPr>
            <w:tcW w:w="3055" w:type="dxa"/>
            <w:vAlign w:val="center"/>
          </w:tcPr>
          <w:p w14:paraId="6A194863">
            <w:pPr>
              <w:pStyle w:val="69"/>
              <w:snapToGrid w:val="0"/>
              <w:spacing w:before="120" w:beforeLines="50" w:line="360" w:lineRule="auto"/>
              <w:ind w:firstLine="0" w:firstLineChars="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eastAsia="宋体" w:cs="宋体"/>
                <w:color w:val="000000" w:themeColor="text1"/>
                <w:kern w:val="2"/>
                <w:sz w:val="21"/>
                <w:szCs w:val="21"/>
                <w:highlight w:val="none"/>
                <w14:textFill>
                  <w14:solidFill>
                    <w14:schemeClr w14:val="tx1"/>
                  </w14:solidFill>
                </w14:textFill>
              </w:rPr>
              <w:t>不可撤销银行履约保函</w:t>
            </w:r>
          </w:p>
        </w:tc>
        <w:tc>
          <w:tcPr>
            <w:tcW w:w="1346" w:type="dxa"/>
            <w:vAlign w:val="center"/>
          </w:tcPr>
          <w:p w14:paraId="7478DFA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DD74A0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43C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D9E6D40">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25</w:t>
            </w:r>
          </w:p>
        </w:tc>
        <w:tc>
          <w:tcPr>
            <w:tcW w:w="1425" w:type="dxa"/>
            <w:vAlign w:val="center"/>
          </w:tcPr>
          <w:p w14:paraId="35F9D290">
            <w:pPr>
              <w:pStyle w:val="69"/>
              <w:snapToGrid w:val="0"/>
              <w:spacing w:before="120" w:beforeLines="50" w:line="360" w:lineRule="auto"/>
              <w:ind w:firstLine="0" w:firstLineChars="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eastAsia="宋体" w:cs="宋体"/>
                <w:color w:val="000000" w:themeColor="text1"/>
                <w:kern w:val="2"/>
                <w:sz w:val="21"/>
                <w:szCs w:val="21"/>
                <w:highlight w:val="none"/>
                <w14:textFill>
                  <w14:solidFill>
                    <w14:schemeClr w14:val="tx1"/>
                  </w14:solidFill>
                </w14:textFill>
              </w:rPr>
              <w:t>二</w:t>
            </w:r>
          </w:p>
        </w:tc>
        <w:tc>
          <w:tcPr>
            <w:tcW w:w="3055" w:type="dxa"/>
            <w:vAlign w:val="center"/>
          </w:tcPr>
          <w:p w14:paraId="08BB80AA">
            <w:pPr>
              <w:pStyle w:val="69"/>
              <w:snapToGrid w:val="0"/>
              <w:spacing w:before="120" w:beforeLines="50" w:line="360" w:lineRule="auto"/>
              <w:ind w:firstLine="0" w:firstLineChars="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eastAsia="宋体" w:cs="宋体"/>
                <w:color w:val="000000" w:themeColor="text1"/>
                <w:kern w:val="2"/>
                <w:sz w:val="21"/>
                <w:szCs w:val="21"/>
                <w:highlight w:val="none"/>
                <w14:textFill>
                  <w14:solidFill>
                    <w14:schemeClr w14:val="tx1"/>
                  </w14:solidFill>
                </w14:textFill>
              </w:rPr>
              <w:t>履约保证保险凭证</w:t>
            </w:r>
          </w:p>
        </w:tc>
        <w:tc>
          <w:tcPr>
            <w:tcW w:w="1346" w:type="dxa"/>
            <w:vAlign w:val="center"/>
          </w:tcPr>
          <w:p w14:paraId="2BAEAE1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479E86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2AE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21A279">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26</w:t>
            </w:r>
          </w:p>
        </w:tc>
        <w:tc>
          <w:tcPr>
            <w:tcW w:w="1425" w:type="dxa"/>
            <w:vAlign w:val="center"/>
          </w:tcPr>
          <w:p w14:paraId="015A19C4">
            <w:pPr>
              <w:pStyle w:val="69"/>
              <w:snapToGrid w:val="0"/>
              <w:spacing w:before="120" w:beforeLines="50" w:line="360" w:lineRule="auto"/>
              <w:ind w:firstLine="0" w:firstLineChars="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eastAsia="宋体" w:cs="宋体"/>
                <w:color w:val="000000" w:themeColor="text1"/>
                <w:kern w:val="2"/>
                <w:sz w:val="21"/>
                <w:szCs w:val="21"/>
                <w:highlight w:val="none"/>
                <w14:textFill>
                  <w14:solidFill>
                    <w14:schemeClr w14:val="tx1"/>
                  </w14:solidFill>
                </w14:textFill>
              </w:rPr>
              <w:t>三</w:t>
            </w:r>
          </w:p>
        </w:tc>
        <w:tc>
          <w:tcPr>
            <w:tcW w:w="3055" w:type="dxa"/>
            <w:vAlign w:val="center"/>
          </w:tcPr>
          <w:p w14:paraId="0A142F83">
            <w:pPr>
              <w:pStyle w:val="69"/>
              <w:snapToGrid w:val="0"/>
              <w:spacing w:before="120" w:beforeLines="50" w:line="360" w:lineRule="auto"/>
              <w:ind w:firstLine="0" w:firstLineChars="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eastAsia="宋体" w:cs="宋体"/>
                <w:color w:val="000000" w:themeColor="text1"/>
                <w:kern w:val="2"/>
                <w:sz w:val="21"/>
                <w:szCs w:val="21"/>
                <w:highlight w:val="none"/>
                <w14:textFill>
                  <w14:solidFill>
                    <w14:schemeClr w14:val="tx1"/>
                  </w14:solidFill>
                </w14:textFill>
              </w:rPr>
              <w:t>担保公司履约担保书</w:t>
            </w:r>
          </w:p>
        </w:tc>
        <w:tc>
          <w:tcPr>
            <w:tcW w:w="1346" w:type="dxa"/>
            <w:vAlign w:val="center"/>
          </w:tcPr>
          <w:p w14:paraId="4EF353B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DBA612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487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BE60E0">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27</w:t>
            </w:r>
          </w:p>
        </w:tc>
        <w:tc>
          <w:tcPr>
            <w:tcW w:w="1425" w:type="dxa"/>
            <w:vAlign w:val="center"/>
          </w:tcPr>
          <w:p w14:paraId="78E257CF">
            <w:pPr>
              <w:pStyle w:val="69"/>
              <w:snapToGrid w:val="0"/>
              <w:spacing w:before="120" w:beforeLines="50" w:line="360" w:lineRule="auto"/>
              <w:ind w:firstLine="0" w:firstLineChars="0"/>
              <w:jc w:val="center"/>
              <w:rPr>
                <w:rFonts w:hint="eastAsia" w:asci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eastAsia="宋体" w:cs="宋体"/>
                <w:color w:val="000000" w:themeColor="text1"/>
                <w:kern w:val="2"/>
                <w:sz w:val="21"/>
                <w:szCs w:val="21"/>
                <w:highlight w:val="none"/>
                <w:lang w:val="en-US" w:eastAsia="zh-CN"/>
                <w14:textFill>
                  <w14:solidFill>
                    <w14:schemeClr w14:val="tx1"/>
                  </w14:solidFill>
                </w14:textFill>
              </w:rPr>
              <w:t>四</w:t>
            </w:r>
          </w:p>
        </w:tc>
        <w:tc>
          <w:tcPr>
            <w:tcW w:w="3055" w:type="dxa"/>
            <w:vAlign w:val="center"/>
          </w:tcPr>
          <w:p w14:paraId="2010A302">
            <w:pPr>
              <w:pStyle w:val="69"/>
              <w:snapToGrid w:val="0"/>
              <w:spacing w:before="120" w:beforeLines="50" w:line="360" w:lineRule="auto"/>
              <w:ind w:firstLine="0" w:firstLineChars="0"/>
              <w:jc w:val="center"/>
              <w:rPr>
                <w:rFonts w:hint="eastAsia" w:ascii="宋体" w:eastAsia="宋体" w:cs="宋体"/>
                <w:color w:val="000000" w:themeColor="text1"/>
                <w:kern w:val="2"/>
                <w:sz w:val="21"/>
                <w:szCs w:val="21"/>
                <w:highlight w:val="none"/>
                <w14:textFill>
                  <w14:solidFill>
                    <w14:schemeClr w14:val="tx1"/>
                  </w14:solidFill>
                </w14:textFill>
              </w:rPr>
            </w:pPr>
            <w:r>
              <w:rPr>
                <w:rFonts w:hint="eastAsia" w:ascii="宋体" w:eastAsia="宋体" w:cs="宋体"/>
                <w:color w:val="000000" w:themeColor="text1"/>
                <w:kern w:val="2"/>
                <w:sz w:val="21"/>
                <w:szCs w:val="21"/>
                <w:highlight w:val="none"/>
                <w14:textFill>
                  <w14:solidFill>
                    <w14:schemeClr w14:val="tx1"/>
                  </w14:solidFill>
                </w14:textFill>
              </w:rPr>
              <w:t>订单全款独立银行保函</w:t>
            </w:r>
          </w:p>
        </w:tc>
        <w:tc>
          <w:tcPr>
            <w:tcW w:w="1346" w:type="dxa"/>
            <w:vAlign w:val="center"/>
          </w:tcPr>
          <w:p w14:paraId="643FA6E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655323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bl>
    <w:p w14:paraId="4619854D">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39F1911A">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7276BADF">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16417765">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6C537D58">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14:paraId="6EA61DDE">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14:paraId="7EA5BF7B">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6A333F2C">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4302BEF0">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p>
    <w:p w14:paraId="299AF9FB">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5384753E">
      <w:pPr>
        <w:autoSpaceDE w:val="0"/>
        <w:autoSpaceDN w:val="0"/>
        <w:adjustRightInd w:val="0"/>
        <w:spacing w:line="360" w:lineRule="auto"/>
        <w:ind w:firstLine="3780" w:firstLineChars="180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1AE67866">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p>
    <w:p w14:paraId="4E26B944">
      <w:pPr>
        <w:autoSpaceDE w:val="0"/>
        <w:autoSpaceDN w:val="0"/>
        <w:adjustRightInd w:val="0"/>
        <w:spacing w:line="360" w:lineRule="auto"/>
        <w:jc w:val="center"/>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说明：由投标人使用投标人的企业数字证书电子签名。</w:t>
      </w:r>
    </w:p>
    <w:p w14:paraId="1932FE0E">
      <w:pPr>
        <w:tabs>
          <w:tab w:val="left" w:pos="567"/>
        </w:tabs>
        <w:autoSpaceDE w:val="0"/>
        <w:autoSpaceDN w:val="0"/>
        <w:adjustRightInd w:val="0"/>
        <w:spacing w:line="360" w:lineRule="auto"/>
        <w:jc w:val="left"/>
        <w:outlineLvl w:val="3"/>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1058" w:name="_Toc5473"/>
      <w:bookmarkStart w:id="1059" w:name="_Toc195714391"/>
      <w:bookmarkStart w:id="1060" w:name="_Toc102860082"/>
      <w:bookmarkStart w:id="1061" w:name="_Toc142508377"/>
      <w:bookmarkStart w:id="1062" w:name="_Toc31371"/>
      <w:bookmarkStart w:id="1063" w:name="_Toc94107218"/>
      <w:bookmarkStart w:id="1064" w:name="_Toc102860426"/>
      <w:bookmarkStart w:id="1065" w:name="_Toc104991884"/>
      <w:bookmarkStart w:id="1066" w:name="_Toc29505"/>
      <w:bookmarkStart w:id="1067" w:name="_Toc13179"/>
      <w:bookmarkStart w:id="1068" w:name="_Toc140596937"/>
      <w:bookmarkStart w:id="1069" w:name="_Toc486167717"/>
      <w:bookmarkStart w:id="1070" w:name="_Toc27980_WPSOffice_Level2"/>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、业绩表格式</w:t>
      </w:r>
      <w:bookmarkEnd w:id="1058"/>
      <w:bookmarkEnd w:id="1059"/>
      <w:bookmarkEnd w:id="1060"/>
      <w:bookmarkEnd w:id="1061"/>
      <w:bookmarkEnd w:id="1062"/>
      <w:bookmarkEnd w:id="1063"/>
      <w:bookmarkEnd w:id="1064"/>
      <w:bookmarkEnd w:id="1065"/>
      <w:bookmarkEnd w:id="1066"/>
      <w:bookmarkEnd w:id="1067"/>
      <w:bookmarkEnd w:id="1068"/>
    </w:p>
    <w:p w14:paraId="3823089B">
      <w:pPr>
        <w:autoSpaceDE w:val="0"/>
        <w:autoSpaceDN w:val="0"/>
        <w:adjustRightInd w:val="0"/>
        <w:spacing w:line="360" w:lineRule="auto"/>
        <w:jc w:val="center"/>
        <w:outlineLvl w:val="9"/>
        <w:rPr>
          <w:rFonts w:ascii="宋体" w:hAnsi="宋体" w:eastAsia="宋体" w:cs="Times New Roman"/>
          <w:b/>
          <w:bCs/>
          <w:color w:val="000000" w:themeColor="text1"/>
          <w:sz w:val="30"/>
          <w:szCs w:val="30"/>
          <w:highlight w:val="none"/>
          <w14:textFill>
            <w14:solidFill>
              <w14:schemeClr w14:val="tx1"/>
            </w14:solidFill>
          </w14:textFill>
        </w:rPr>
      </w:pPr>
      <w:bookmarkStart w:id="1071" w:name="_Toc21352"/>
      <w:bookmarkStart w:id="1072" w:name="_Toc195714393"/>
      <w:r>
        <w:rPr>
          <w:rFonts w:hint="eastAsia" w:ascii="宋体" w:hAnsi="宋体" w:eastAsia="宋体" w:cs="宋体"/>
          <w:b/>
          <w:bCs/>
          <w:color w:val="000000" w:themeColor="text1"/>
          <w:sz w:val="30"/>
          <w:szCs w:val="30"/>
          <w:highlight w:val="none"/>
          <w:lang w:bidi="ar"/>
          <w14:textFill>
            <w14:solidFill>
              <w14:schemeClr w14:val="tx1"/>
            </w14:solidFill>
          </w14:textFill>
        </w:rPr>
        <w:t xml:space="preserve"> 投标人2022年1月1日</w:t>
      </w:r>
      <w:r>
        <w:rPr>
          <w:rFonts w:hint="eastAsia" w:ascii="宋体" w:hAnsi="宋体" w:eastAsia="宋体" w:cs="宋体"/>
          <w:b/>
          <w:bCs/>
          <w:color w:val="000000" w:themeColor="text1"/>
          <w:sz w:val="30"/>
          <w:szCs w:val="30"/>
          <w:highlight w:val="none"/>
          <w:lang w:val="en-US" w:eastAsia="zh-CN" w:bidi="ar"/>
          <w14:textFill>
            <w14:solidFill>
              <w14:schemeClr w14:val="tx1"/>
            </w14:solidFill>
          </w14:textFill>
        </w:rPr>
        <w:t>以来</w:t>
      </w:r>
      <w:r>
        <w:rPr>
          <w:rFonts w:hint="eastAsia" w:ascii="宋体" w:hAnsi="宋体" w:eastAsia="宋体" w:cs="宋体"/>
          <w:b/>
          <w:bCs/>
          <w:color w:val="000000" w:themeColor="text1"/>
          <w:sz w:val="30"/>
          <w:szCs w:val="30"/>
          <w:highlight w:val="none"/>
          <w:lang w:bidi="ar"/>
          <w14:textFill>
            <w14:solidFill>
              <w14:schemeClr w14:val="tx1"/>
            </w14:solidFill>
          </w14:textFill>
        </w:rPr>
        <w:t>（合同签订日期为2022年1月1日或以后）完成的投标品牌螺翼式远传水表</w:t>
      </w:r>
      <w:r>
        <w:rPr>
          <w:rFonts w:hint="eastAsia" w:ascii="宋体" w:hAnsi="宋体" w:eastAsia="宋体" w:cs="宋体"/>
          <w:b/>
          <w:bCs/>
          <w:color w:val="000000" w:themeColor="text1"/>
          <w:sz w:val="30"/>
          <w:szCs w:val="30"/>
          <w:highlight w:val="none"/>
          <w:lang w:val="en-US" w:eastAsia="zh-CN" w:bidi="ar"/>
          <w14:textFill>
            <w14:solidFill>
              <w14:schemeClr w14:val="tx1"/>
            </w14:solidFill>
          </w14:textFill>
        </w:rPr>
        <w:t>在国内的销售</w:t>
      </w:r>
      <w:r>
        <w:rPr>
          <w:rFonts w:hint="eastAsia" w:ascii="宋体" w:hAnsi="宋体" w:eastAsia="宋体" w:cs="宋体"/>
          <w:b/>
          <w:bCs/>
          <w:color w:val="000000" w:themeColor="text1"/>
          <w:sz w:val="30"/>
          <w:szCs w:val="30"/>
          <w:highlight w:val="none"/>
          <w:lang w:bidi="ar"/>
          <w14:textFill>
            <w14:solidFill>
              <w14:schemeClr w14:val="tx1"/>
            </w14:solidFill>
          </w14:textFill>
        </w:rPr>
        <w:t>业绩表</w:t>
      </w:r>
      <w:bookmarkEnd w:id="1071"/>
      <w:bookmarkEnd w:id="1072"/>
    </w:p>
    <w:tbl>
      <w:tblPr>
        <w:tblStyle w:val="44"/>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025"/>
        <w:gridCol w:w="2544"/>
        <w:gridCol w:w="935"/>
        <w:gridCol w:w="937"/>
        <w:gridCol w:w="937"/>
        <w:gridCol w:w="1105"/>
        <w:gridCol w:w="1145"/>
        <w:gridCol w:w="1004"/>
      </w:tblGrid>
      <w:tr w14:paraId="684A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1F902845">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序号</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E31F5C3">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项目名称</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11292ECA">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合同标的货物名称</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289DC9C9">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合同标的货物品牌</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596B97DC">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合同金额（万元）</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2DA56B1B">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合同</w:t>
            </w:r>
            <w:r>
              <w:rPr>
                <w:rFonts w:hint="eastAsia" w:ascii="宋体" w:hAnsi="宋体" w:eastAsia="宋体" w:cs="宋体"/>
                <w:color w:val="000000" w:themeColor="text1"/>
                <w:szCs w:val="21"/>
                <w:highlight w:val="none"/>
                <w:lang w:bidi="ar"/>
                <w14:textFill>
                  <w14:solidFill>
                    <w14:schemeClr w14:val="tx1"/>
                  </w14:solidFill>
                </w14:textFill>
              </w:rPr>
              <w:t>签</w:t>
            </w:r>
            <w:r>
              <w:rPr>
                <w:rFonts w:hint="eastAsia" w:ascii="宋体" w:hAnsi="宋体" w:eastAsia="宋体" w:cs="宋体"/>
                <w:color w:val="000000" w:themeColor="text1"/>
                <w:szCs w:val="21"/>
                <w:highlight w:val="none"/>
                <w:lang w:val="en-US" w:eastAsia="zh-CN" w:bidi="ar"/>
                <w14:textFill>
                  <w14:solidFill>
                    <w14:schemeClr w14:val="tx1"/>
                  </w14:solidFill>
                </w14:textFill>
              </w:rPr>
              <w:t>订</w:t>
            </w:r>
            <w:r>
              <w:rPr>
                <w:rFonts w:hint="eastAsia" w:ascii="宋体" w:hAnsi="宋体" w:eastAsia="宋体" w:cs="宋体"/>
                <w:color w:val="000000" w:themeColor="text1"/>
                <w:szCs w:val="21"/>
                <w:highlight w:val="none"/>
                <w:lang w:bidi="ar"/>
                <w14:textFill>
                  <w14:solidFill>
                    <w14:schemeClr w14:val="tx1"/>
                  </w14:solidFill>
                </w14:textFill>
              </w:rPr>
              <w:t>日期</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03AD944">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购</w:t>
            </w:r>
            <w:r>
              <w:rPr>
                <w:rFonts w:hint="eastAsia" w:ascii="宋体" w:hAnsi="宋体" w:eastAsia="宋体" w:cs="宋体"/>
                <w:color w:val="000000" w:themeColor="text1"/>
                <w:szCs w:val="21"/>
                <w:highlight w:val="none"/>
                <w:lang w:bidi="ar"/>
                <w14:textFill>
                  <w14:solidFill>
                    <w14:schemeClr w14:val="tx1"/>
                  </w14:solidFill>
                </w14:textFill>
              </w:rPr>
              <w:t>买方联系人及电话</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504A51BE">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备注</w:t>
            </w:r>
          </w:p>
        </w:tc>
      </w:tr>
      <w:tr w14:paraId="33E9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29C4F94B">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B981627">
            <w:pPr>
              <w:jc w:val="center"/>
              <w:rPr>
                <w:rFonts w:ascii="宋体" w:hAnsi="宋体" w:eastAsia="宋体" w:cs="宋体"/>
                <w:color w:val="000000" w:themeColor="text1"/>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7056D460">
            <w:pPr>
              <w:jc w:val="center"/>
              <w:rPr>
                <w:rFonts w:ascii="宋体" w:hAnsi="宋体" w:eastAsia="宋体" w:cs="宋体"/>
                <w:color w:val="000000" w:themeColor="text1"/>
                <w:szCs w:val="21"/>
                <w:highlight w:val="none"/>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3A94DA66">
            <w:pPr>
              <w:jc w:val="center"/>
              <w:rPr>
                <w:rFonts w:ascii="宋体" w:hAnsi="宋体" w:eastAsia="宋体" w:cs="宋体"/>
                <w:color w:val="000000" w:themeColor="text1"/>
                <w:szCs w:val="21"/>
                <w:highlight w:val="none"/>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2EA3F556">
            <w:pPr>
              <w:jc w:val="center"/>
              <w:rPr>
                <w:rFonts w:ascii="宋体" w:hAnsi="宋体" w:eastAsia="宋体" w:cs="宋体"/>
                <w:color w:val="000000" w:themeColor="text1"/>
                <w:szCs w:val="21"/>
                <w:highlight w:val="none"/>
                <w14:textFill>
                  <w14:solidFill>
                    <w14:schemeClr w14:val="tx1"/>
                  </w14:solidFill>
                </w14:textFill>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E952EAA">
            <w:pPr>
              <w:jc w:val="center"/>
              <w:rPr>
                <w:rFonts w:ascii="宋体" w:hAnsi="宋体" w:eastAsia="宋体" w:cs="宋体"/>
                <w:color w:val="000000" w:themeColor="text1"/>
                <w:szCs w:val="21"/>
                <w:highlight w:val="none"/>
                <w14:textFill>
                  <w14:solidFill>
                    <w14:schemeClr w14:val="tx1"/>
                  </w14:solidFill>
                </w14:textFill>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F18CF92">
            <w:pPr>
              <w:jc w:val="center"/>
              <w:rPr>
                <w:rFonts w:ascii="宋体" w:hAnsi="宋体" w:eastAsia="宋体" w:cs="宋体"/>
                <w:color w:val="000000" w:themeColor="text1"/>
                <w:szCs w:val="21"/>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716952C8">
            <w:pPr>
              <w:jc w:val="center"/>
              <w:rPr>
                <w:rFonts w:ascii="宋体" w:hAnsi="宋体" w:eastAsia="宋体" w:cs="宋体"/>
                <w:color w:val="000000" w:themeColor="text1"/>
                <w:szCs w:val="21"/>
                <w:highlight w:val="none"/>
                <w14:textFill>
                  <w14:solidFill>
                    <w14:schemeClr w14:val="tx1"/>
                  </w14:solidFill>
                </w14:textFill>
              </w:rPr>
            </w:pPr>
          </w:p>
        </w:tc>
      </w:tr>
      <w:tr w14:paraId="48B6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1A1606FB">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7DB87AFF">
            <w:pPr>
              <w:jc w:val="center"/>
              <w:rPr>
                <w:rFonts w:ascii="宋体" w:hAnsi="宋体" w:eastAsia="宋体" w:cs="宋体"/>
                <w:color w:val="000000" w:themeColor="text1"/>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5AB053EC">
            <w:pPr>
              <w:jc w:val="center"/>
              <w:rPr>
                <w:rFonts w:ascii="宋体" w:hAnsi="宋体" w:eastAsia="宋体" w:cs="宋体"/>
                <w:color w:val="000000" w:themeColor="text1"/>
                <w:szCs w:val="21"/>
                <w:highlight w:val="none"/>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06D3CF96">
            <w:pPr>
              <w:jc w:val="center"/>
              <w:rPr>
                <w:rFonts w:ascii="宋体" w:hAnsi="宋体" w:eastAsia="宋体" w:cs="宋体"/>
                <w:color w:val="000000" w:themeColor="text1"/>
                <w:szCs w:val="21"/>
                <w:highlight w:val="none"/>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1A8691E3">
            <w:pPr>
              <w:jc w:val="center"/>
              <w:rPr>
                <w:rFonts w:ascii="宋体" w:hAnsi="宋体" w:eastAsia="宋体" w:cs="宋体"/>
                <w:color w:val="000000" w:themeColor="text1"/>
                <w:szCs w:val="21"/>
                <w:highlight w:val="none"/>
                <w14:textFill>
                  <w14:solidFill>
                    <w14:schemeClr w14:val="tx1"/>
                  </w14:solidFill>
                </w14:textFill>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3F176DEB">
            <w:pPr>
              <w:jc w:val="center"/>
              <w:rPr>
                <w:rFonts w:ascii="宋体" w:hAnsi="宋体" w:eastAsia="宋体" w:cs="宋体"/>
                <w:color w:val="000000" w:themeColor="text1"/>
                <w:szCs w:val="21"/>
                <w:highlight w:val="none"/>
                <w14:textFill>
                  <w14:solidFill>
                    <w14:schemeClr w14:val="tx1"/>
                  </w14:solidFill>
                </w14:textFill>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DE00FC2">
            <w:pPr>
              <w:jc w:val="center"/>
              <w:rPr>
                <w:rFonts w:ascii="宋体" w:hAnsi="宋体" w:eastAsia="宋体" w:cs="宋体"/>
                <w:color w:val="000000" w:themeColor="text1"/>
                <w:szCs w:val="21"/>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15FC2BD7">
            <w:pPr>
              <w:jc w:val="center"/>
              <w:rPr>
                <w:rFonts w:ascii="宋体" w:hAnsi="宋体" w:eastAsia="宋体" w:cs="宋体"/>
                <w:color w:val="000000" w:themeColor="text1"/>
                <w:szCs w:val="21"/>
                <w:highlight w:val="none"/>
                <w14:textFill>
                  <w14:solidFill>
                    <w14:schemeClr w14:val="tx1"/>
                  </w14:solidFill>
                </w14:textFill>
              </w:rPr>
            </w:pPr>
          </w:p>
        </w:tc>
      </w:tr>
      <w:tr w14:paraId="6005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6BCDC3F0">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0817270E">
            <w:pPr>
              <w:jc w:val="center"/>
              <w:rPr>
                <w:rFonts w:ascii="宋体" w:hAnsi="宋体" w:eastAsia="宋体" w:cs="宋体"/>
                <w:color w:val="000000" w:themeColor="text1"/>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7CFC1CDE">
            <w:pPr>
              <w:jc w:val="center"/>
              <w:rPr>
                <w:rFonts w:ascii="宋体" w:hAnsi="宋体" w:eastAsia="宋体" w:cs="宋体"/>
                <w:color w:val="000000" w:themeColor="text1"/>
                <w:szCs w:val="21"/>
                <w:highlight w:val="none"/>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6D17047E">
            <w:pPr>
              <w:jc w:val="center"/>
              <w:rPr>
                <w:rFonts w:ascii="宋体" w:hAnsi="宋体" w:eastAsia="宋体" w:cs="宋体"/>
                <w:color w:val="000000" w:themeColor="text1"/>
                <w:szCs w:val="21"/>
                <w:highlight w:val="none"/>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43C071BC">
            <w:pPr>
              <w:jc w:val="center"/>
              <w:rPr>
                <w:rFonts w:ascii="宋体" w:hAnsi="宋体" w:eastAsia="宋体" w:cs="宋体"/>
                <w:color w:val="000000" w:themeColor="text1"/>
                <w:szCs w:val="21"/>
                <w:highlight w:val="none"/>
                <w14:textFill>
                  <w14:solidFill>
                    <w14:schemeClr w14:val="tx1"/>
                  </w14:solidFill>
                </w14:textFill>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4020E2C">
            <w:pPr>
              <w:jc w:val="center"/>
              <w:rPr>
                <w:rFonts w:ascii="宋体" w:hAnsi="宋体" w:eastAsia="宋体" w:cs="宋体"/>
                <w:color w:val="000000" w:themeColor="text1"/>
                <w:szCs w:val="21"/>
                <w:highlight w:val="none"/>
                <w14:textFill>
                  <w14:solidFill>
                    <w14:schemeClr w14:val="tx1"/>
                  </w14:solidFill>
                </w14:textFill>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FA5FCB9">
            <w:pPr>
              <w:jc w:val="center"/>
              <w:rPr>
                <w:rFonts w:ascii="宋体" w:hAnsi="宋体" w:eastAsia="宋体" w:cs="宋体"/>
                <w:color w:val="000000" w:themeColor="text1"/>
                <w:szCs w:val="21"/>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7016B7E0">
            <w:pPr>
              <w:jc w:val="center"/>
              <w:rPr>
                <w:rFonts w:ascii="宋体" w:hAnsi="宋体" w:eastAsia="宋体" w:cs="宋体"/>
                <w:color w:val="000000" w:themeColor="text1"/>
                <w:szCs w:val="21"/>
                <w:highlight w:val="none"/>
                <w14:textFill>
                  <w14:solidFill>
                    <w14:schemeClr w14:val="tx1"/>
                  </w14:solidFill>
                </w14:textFill>
              </w:rPr>
            </w:pPr>
          </w:p>
        </w:tc>
      </w:tr>
    </w:tbl>
    <w:p w14:paraId="7E59C16C">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bidi="ar"/>
          <w14:textFill>
            <w14:solidFill>
              <w14:schemeClr w14:val="tx1"/>
            </w14:solidFill>
          </w14:textFill>
        </w:rPr>
        <w:t xml:space="preserve"> </w:t>
      </w:r>
    </w:p>
    <w:p w14:paraId="5A06682C">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备注：</w:t>
      </w:r>
    </w:p>
    <w:p w14:paraId="071AE4F1">
      <w:pPr>
        <w:autoSpaceDE w:val="0"/>
        <w:autoSpaceDN w:val="0"/>
        <w:adjustRightInd w:val="0"/>
        <w:snapToGrid w:val="0"/>
        <w:spacing w:line="360" w:lineRule="auto"/>
        <w:ind w:left="481" w:leftChars="-41" w:hanging="567" w:hangingChars="270"/>
        <w:jc w:val="left"/>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（1）业绩按单项合同金额从高到低的方式排列；</w:t>
      </w:r>
      <w:r>
        <w:rPr>
          <w:rFonts w:hint="eastAsia" w:ascii="宋体" w:hAnsi="宋体" w:eastAsia="宋体" w:cs="宋体"/>
          <w:b/>
          <w:bCs/>
          <w:color w:val="000000" w:themeColor="text1"/>
          <w:szCs w:val="21"/>
          <w:highlight w:val="none"/>
          <w:lang w:bidi="ar"/>
          <w14:textFill>
            <w14:solidFill>
              <w14:schemeClr w14:val="tx1"/>
            </w14:solidFill>
          </w14:textFill>
        </w:rPr>
        <w:t>同一个单项合同的业绩可以同时在资格业绩和评分业绩重复放置；</w:t>
      </w:r>
    </w:p>
    <w:p w14:paraId="4AA8B932">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Times New Roman"/>
          <w:color w:val="000000" w:themeColor="text1"/>
          <w:szCs w:val="21"/>
          <w:highlight w:val="none"/>
          <w:lang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）业绩须同时提供⑴投标品牌螺翼式远传水表销售合同复印件（</w:t>
      </w:r>
      <w:r>
        <w:rPr>
          <w:rFonts w:hint="eastAsia" w:ascii="宋体" w:hAnsi="宋体" w:eastAsia="宋体" w:cs="宋体"/>
          <w:color w:val="000000" w:themeColor="text1"/>
          <w:szCs w:val="21"/>
          <w:highlight w:val="none"/>
          <w:lang w:val="zh-CN" w:bidi="ar"/>
          <w14:textFill>
            <w14:solidFill>
              <w14:schemeClr w14:val="tx1"/>
            </w14:solidFill>
          </w14:textFill>
        </w:rPr>
        <w:t>合同卖方可为投标品牌螺翼式远传水表的制造商，也可为投标品牌螺翼式远传水表的代理商/经销商</w:t>
      </w:r>
      <w:r>
        <w:rPr>
          <w:rFonts w:hint="eastAsia" w:ascii="宋体" w:hAnsi="宋体" w:eastAsia="宋体" w:cs="宋体"/>
          <w:color w:val="000000" w:themeColor="text1"/>
          <w:szCs w:val="21"/>
          <w:highlight w:val="none"/>
          <w:lang w:bidi="ar"/>
          <w14:textFill>
            <w14:solidFill>
              <w14:schemeClr w14:val="tx1"/>
            </w14:solidFill>
          </w14:textFill>
        </w:rPr>
        <w:t>，需显示合同买方公章），⑵已供货产品任意一张发票复印件（发票开具日期须在本项目招标公告发布之日前），否则不得分</w:t>
      </w:r>
      <w:r>
        <w:rPr>
          <w:rFonts w:hint="eastAsia" w:ascii="宋体" w:hAnsi="宋体" w:eastAsia="宋体" w:cs="宋体"/>
          <w:color w:val="000000" w:themeColor="text1"/>
          <w:szCs w:val="21"/>
          <w:highlight w:val="none"/>
          <w:lang w:eastAsia="zh-CN" w:bidi="ar"/>
          <w14:textFill>
            <w14:solidFill>
              <w14:schemeClr w14:val="tx1"/>
            </w14:solidFill>
          </w14:textFill>
        </w:rPr>
        <w:t>；</w:t>
      </w:r>
    </w:p>
    <w:p w14:paraId="7793A03B">
      <w:pPr>
        <w:autoSpaceDE w:val="0"/>
        <w:autoSpaceDN w:val="0"/>
        <w:adjustRightInd w:val="0"/>
        <w:snapToGrid w:val="0"/>
        <w:spacing w:line="360" w:lineRule="auto"/>
        <w:ind w:left="481" w:leftChars="-41" w:hanging="567" w:hangingChars="270"/>
        <w:jc w:val="left"/>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若合同无法反映评分条件（合同签订日期为2022年1月1日或以后，合同标的必须包含投标品牌螺翼式远传水表、合同金额）的，还需提供产品购买方出具的书面补充说明文件复印件作为辅助证明（需显示购买方公章），否则不得分；</w:t>
      </w:r>
    </w:p>
    <w:p w14:paraId="2C33BB6A">
      <w:pPr>
        <w:autoSpaceDE w:val="0"/>
        <w:autoSpaceDN w:val="0"/>
        <w:adjustRightInd w:val="0"/>
        <w:snapToGrid w:val="0"/>
        <w:spacing w:line="360" w:lineRule="auto"/>
        <w:ind w:left="481" w:leftChars="-41" w:hanging="567" w:hangingChars="270"/>
        <w:jc w:val="left"/>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eastAsia="zh-CN" w:bidi="ar"/>
          <w14:textFill>
            <w14:solidFill>
              <w14:schemeClr w14:val="tx1"/>
            </w14:solidFill>
          </w14:textFill>
        </w:rPr>
        <w:t>）若业绩为框架式协议或资格入围无明确金额的合同，必须同时提供合同期限内已供货发票金额统计表和发票复印件；</w:t>
      </w:r>
    </w:p>
    <w:p w14:paraId="67F3E2C4">
      <w:pPr>
        <w:autoSpaceDE/>
        <w:autoSpaceDN/>
        <w:adjustRightInd/>
        <w:snapToGrid w:val="0"/>
        <w:spacing w:line="360" w:lineRule="auto"/>
        <w:ind w:left="481" w:leftChars="-41"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b/>
          <w:bCs/>
          <w:color w:val="000000" w:themeColor="text1"/>
          <w:szCs w:val="21"/>
          <w:highlight w:val="none"/>
          <w:lang w:bidi="ar"/>
          <w14:textFill>
            <w14:solidFill>
              <w14:schemeClr w14:val="tx1"/>
            </w14:solidFill>
          </w14:textFill>
        </w:rPr>
        <w:t>未按上述要求在此格式下提供证明材料的业绩，或在此格式下所附材料无法证明填报项目符合本项评分要求的业绩，在评标时将不予考虑。</w:t>
      </w:r>
    </w:p>
    <w:p w14:paraId="59F13F4C">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476BF915">
      <w:pPr>
        <w:autoSpaceDE w:val="0"/>
        <w:autoSpaceDN w:val="0"/>
        <w:adjustRightInd w:val="0"/>
        <w:spacing w:line="360" w:lineRule="auto"/>
        <w:ind w:firstLine="3780" w:firstLineChars="180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4ABEEABC">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p>
    <w:p w14:paraId="3CC0CE58">
      <w:pPr>
        <w:widowControl/>
        <w:autoSpaceDE w:val="0"/>
        <w:autoSpaceDN w:val="0"/>
        <w:adjustRightInd w:val="0"/>
        <w:spacing w:line="360" w:lineRule="auto"/>
        <w:ind w:left="0" w:leftChars="0"/>
        <w:jc w:val="center"/>
        <w:rPr>
          <w:rFonts w:ascii="宋体" w:hAnsi="宋体" w:eastAsia="宋体" w:cs="宋体"/>
          <w:b/>
          <w:bCs/>
          <w:color w:val="000000" w:themeColor="text1"/>
          <w:kern w:val="0"/>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说明：由投标人使用投标人的企业数字证书电子签名。</w:t>
      </w:r>
      <w:bookmarkEnd w:id="1069"/>
      <w:bookmarkEnd w:id="1070"/>
      <w:bookmarkStart w:id="1073" w:name="_Toc94107221"/>
      <w:bookmarkStart w:id="1074" w:name="_Toc140596939"/>
      <w:bookmarkStart w:id="1075" w:name="_Toc24616"/>
      <w:bookmarkStart w:id="1076" w:name="_Toc2007"/>
      <w:bookmarkStart w:id="1077" w:name="_Toc102860428"/>
      <w:bookmarkStart w:id="1078" w:name="_Toc104991886"/>
      <w:bookmarkStart w:id="1079" w:name="_Toc102860084"/>
      <w:bookmarkStart w:id="1080" w:name="_Toc1977738"/>
      <w:bookmarkStart w:id="1081" w:name="_Toc142508379"/>
      <w:bookmarkStart w:id="1082" w:name="_Toc29652"/>
      <w:bookmarkStart w:id="1083" w:name="_Toc533708134"/>
      <w:bookmarkStart w:id="1084" w:name="_Toc486167721"/>
    </w:p>
    <w:p w14:paraId="1507F549">
      <w:pPr>
        <w:tabs>
          <w:tab w:val="left" w:pos="567"/>
        </w:tabs>
        <w:autoSpaceDE w:val="0"/>
        <w:autoSpaceDN w:val="0"/>
        <w:adjustRightInd w:val="0"/>
        <w:spacing w:line="360" w:lineRule="auto"/>
        <w:jc w:val="left"/>
        <w:outlineLvl w:val="2"/>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br w:type="page"/>
      </w:r>
      <w:bookmarkStart w:id="1085" w:name="_Toc6121"/>
      <w:bookmarkStart w:id="1086" w:name="_Toc15474"/>
      <w:bookmarkStart w:id="1087" w:name="_Toc8243"/>
      <w:bookmarkStart w:id="1088" w:name="_Toc25869"/>
      <w:bookmarkStart w:id="1089" w:name="_Toc18474"/>
      <w:bookmarkStart w:id="1090" w:name="_Toc30436"/>
      <w:bookmarkStart w:id="1091" w:name="_Toc17785"/>
      <w:r>
        <w:rPr>
          <w:rFonts w:hint="eastAsia" w:ascii="宋体" w:hAnsi="宋体" w:eastAsia="宋体" w:cs="宋体"/>
          <w:b/>
          <w:color w:val="000000" w:themeColor="text1"/>
          <w:kern w:val="0"/>
          <w:sz w:val="32"/>
          <w:szCs w:val="32"/>
          <w:highlight w:val="none"/>
          <w:lang w:val="zh-CN"/>
          <w14:textFill>
            <w14:solidFill>
              <w14:schemeClr w14:val="tx1"/>
            </w14:solidFill>
          </w14:textFill>
        </w:rPr>
        <w:t>附表：已供货产品发票金额统计表</w:t>
      </w:r>
      <w:bookmarkEnd w:id="1085"/>
      <w:bookmarkEnd w:id="1086"/>
      <w:bookmarkEnd w:id="1087"/>
      <w:bookmarkEnd w:id="1088"/>
      <w:bookmarkEnd w:id="1089"/>
      <w:bookmarkEnd w:id="1090"/>
      <w:bookmarkEnd w:id="1091"/>
    </w:p>
    <w:tbl>
      <w:tblPr>
        <w:tblStyle w:val="4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14:paraId="02D6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153EF1FD">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项目名称</w:t>
            </w:r>
          </w:p>
        </w:tc>
        <w:tc>
          <w:tcPr>
            <w:tcW w:w="5503" w:type="dxa"/>
            <w:gridSpan w:val="5"/>
            <w:noWrap w:val="0"/>
            <w:vAlign w:val="center"/>
          </w:tcPr>
          <w:p w14:paraId="353D88EF">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2A1B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76AB7CBF">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合同约定的供货期</w:t>
            </w:r>
          </w:p>
        </w:tc>
        <w:tc>
          <w:tcPr>
            <w:tcW w:w="5503" w:type="dxa"/>
            <w:gridSpan w:val="5"/>
            <w:noWrap w:val="0"/>
            <w:vAlign w:val="center"/>
          </w:tcPr>
          <w:p w14:paraId="5A22C0AB">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482F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0B1332FA">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发票抬头（</w:t>
            </w:r>
            <w:r>
              <w:rPr>
                <w:rFonts w:hint="eastAsia" w:ascii="宋体" w:hAnsi="宋体"/>
                <w:color w:val="000000" w:themeColor="text1"/>
                <w:sz w:val="21"/>
                <w:highlight w:val="none"/>
                <w14:textFill>
                  <w14:solidFill>
                    <w14:schemeClr w14:val="tx1"/>
                  </w14:solidFill>
                </w14:textFill>
              </w:rPr>
              <w:t>合同买方）</w:t>
            </w:r>
          </w:p>
        </w:tc>
        <w:tc>
          <w:tcPr>
            <w:tcW w:w="5503" w:type="dxa"/>
            <w:gridSpan w:val="5"/>
            <w:noWrap w:val="0"/>
            <w:vAlign w:val="center"/>
          </w:tcPr>
          <w:p w14:paraId="527E4119">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0090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53B03F4A">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3202" w:type="dxa"/>
            <w:noWrap w:val="0"/>
            <w:vAlign w:val="center"/>
          </w:tcPr>
          <w:p w14:paraId="701D794C">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发票名目</w:t>
            </w:r>
          </w:p>
        </w:tc>
        <w:tc>
          <w:tcPr>
            <w:tcW w:w="1416" w:type="dxa"/>
            <w:noWrap w:val="0"/>
            <w:vAlign w:val="center"/>
          </w:tcPr>
          <w:p w14:paraId="4C0B5AA6">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发票金额（单位：万元）</w:t>
            </w:r>
          </w:p>
        </w:tc>
        <w:tc>
          <w:tcPr>
            <w:tcW w:w="1274" w:type="dxa"/>
            <w:noWrap w:val="0"/>
            <w:vAlign w:val="center"/>
          </w:tcPr>
          <w:p w14:paraId="7AA7B31E">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发票号码</w:t>
            </w:r>
          </w:p>
        </w:tc>
        <w:tc>
          <w:tcPr>
            <w:tcW w:w="1558" w:type="dxa"/>
            <w:noWrap w:val="0"/>
            <w:vAlign w:val="center"/>
          </w:tcPr>
          <w:p w14:paraId="0A013777">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发票所属时期</w:t>
            </w:r>
          </w:p>
        </w:tc>
        <w:tc>
          <w:tcPr>
            <w:tcW w:w="1241" w:type="dxa"/>
            <w:noWrap w:val="0"/>
            <w:vAlign w:val="center"/>
          </w:tcPr>
          <w:p w14:paraId="09FC73B7">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16A9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6757141B">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3202" w:type="dxa"/>
            <w:noWrap w:val="0"/>
            <w:vAlign w:val="center"/>
          </w:tcPr>
          <w:p w14:paraId="1332AD10">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7C419C5D">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1043ADF3">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7509B85E">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66484941">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35FC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6B6C1837">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p>
        </w:tc>
        <w:tc>
          <w:tcPr>
            <w:tcW w:w="3202" w:type="dxa"/>
            <w:noWrap w:val="0"/>
            <w:vAlign w:val="center"/>
          </w:tcPr>
          <w:p w14:paraId="20E8249A">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08015333">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0FA35328">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1814EA40">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4BC7B29D">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0DA8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ACB6A1D">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3202" w:type="dxa"/>
            <w:noWrap w:val="0"/>
            <w:vAlign w:val="center"/>
          </w:tcPr>
          <w:p w14:paraId="1FC0A0E2">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133F215F">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1EF7EF6E">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7F4F5E60">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751E493C">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4266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61A7BDD9">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p>
        </w:tc>
        <w:tc>
          <w:tcPr>
            <w:tcW w:w="3202" w:type="dxa"/>
            <w:noWrap w:val="0"/>
            <w:vAlign w:val="center"/>
          </w:tcPr>
          <w:p w14:paraId="1DFA939F">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036E3691">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71CA9C3B">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3C51F22A">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5395327C">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2718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14:paraId="33AF0D39">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发票金额合计（单位：万元）</w:t>
            </w:r>
          </w:p>
        </w:tc>
        <w:tc>
          <w:tcPr>
            <w:tcW w:w="5489" w:type="dxa"/>
            <w:gridSpan w:val="4"/>
            <w:noWrap w:val="0"/>
            <w:vAlign w:val="center"/>
          </w:tcPr>
          <w:p w14:paraId="4E1017CF">
            <w:pPr>
              <w:pStyle w:val="21"/>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bl>
    <w:p w14:paraId="57929886">
      <w:pPr>
        <w:tabs>
          <w:tab w:val="left" w:pos="567"/>
        </w:tabs>
        <w:autoSpaceDE w:val="0"/>
        <w:autoSpaceDN w:val="0"/>
        <w:adjustRightInd w:val="0"/>
        <w:spacing w:line="360" w:lineRule="auto"/>
        <w:jc w:val="left"/>
        <w:outlineLvl w:val="2"/>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pPr>
    </w:p>
    <w:p w14:paraId="72E88FD7">
      <w:pPr>
        <w:tabs>
          <w:tab w:val="left" w:pos="567"/>
        </w:tabs>
        <w:autoSpaceDE w:val="0"/>
        <w:autoSpaceDN w:val="0"/>
        <w:adjustRightInd w:val="0"/>
        <w:spacing w:line="360" w:lineRule="auto"/>
        <w:jc w:val="left"/>
        <w:outlineLvl w:val="2"/>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bookmarkStart w:id="1092" w:name="_Toc8294"/>
      <w:bookmarkStart w:id="1093" w:name="_Toc4525"/>
      <w:bookmarkStart w:id="1094" w:name="_Toc2204"/>
      <w:bookmarkStart w:id="1095" w:name="_Toc6915"/>
      <w:bookmarkStart w:id="1096" w:name="_Toc22278"/>
      <w:bookmarkStart w:id="1097" w:name="_Toc12467"/>
      <w:bookmarkStart w:id="1098" w:name="_Toc6076"/>
      <w:bookmarkStart w:id="1099" w:name="_Toc8408"/>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备注：</w:t>
      </w:r>
      <w:bookmarkEnd w:id="1092"/>
      <w:bookmarkEnd w:id="1093"/>
      <w:bookmarkEnd w:id="1094"/>
      <w:bookmarkEnd w:id="1095"/>
      <w:bookmarkEnd w:id="1096"/>
      <w:bookmarkEnd w:id="1097"/>
      <w:bookmarkEnd w:id="1098"/>
      <w:bookmarkEnd w:id="1099"/>
    </w:p>
    <w:p w14:paraId="134CC008">
      <w:pPr>
        <w:tabs>
          <w:tab w:val="left" w:pos="567"/>
        </w:tabs>
        <w:autoSpaceDE w:val="0"/>
        <w:autoSpaceDN w:val="0"/>
        <w:adjustRightInd w:val="0"/>
        <w:spacing w:line="360" w:lineRule="auto"/>
        <w:jc w:val="left"/>
        <w:outlineLvl w:val="2"/>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bookmarkStart w:id="1100" w:name="_Toc13421"/>
      <w:bookmarkStart w:id="1101" w:name="_Toc6351"/>
      <w:bookmarkStart w:id="1102" w:name="_Toc30492"/>
      <w:bookmarkStart w:id="1103" w:name="_Toc13245"/>
      <w:bookmarkStart w:id="1104" w:name="_Toc1657"/>
      <w:bookmarkStart w:id="1105" w:name="_Toc9974"/>
      <w:bookmarkStart w:id="1106" w:name="_Toc23284"/>
      <w:bookmarkStart w:id="1107" w:name="_Toc22702"/>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（1）本统计表及供货发票复印件应后附于合同复印件；</w:t>
      </w:r>
      <w:bookmarkEnd w:id="1100"/>
      <w:bookmarkEnd w:id="1101"/>
      <w:bookmarkEnd w:id="1102"/>
      <w:bookmarkEnd w:id="1103"/>
      <w:bookmarkEnd w:id="1104"/>
      <w:bookmarkEnd w:id="1105"/>
      <w:bookmarkEnd w:id="1106"/>
      <w:bookmarkEnd w:id="1107"/>
    </w:p>
    <w:p w14:paraId="08ECB88B">
      <w:pPr>
        <w:tabs>
          <w:tab w:val="left" w:pos="567"/>
        </w:tabs>
        <w:autoSpaceDE w:val="0"/>
        <w:autoSpaceDN w:val="0"/>
        <w:adjustRightInd w:val="0"/>
        <w:spacing w:line="360" w:lineRule="auto"/>
        <w:ind w:left="420" w:hanging="420" w:hangingChars="200"/>
        <w:jc w:val="left"/>
        <w:outlineLvl w:val="2"/>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bookmarkStart w:id="1108" w:name="_Toc17367"/>
      <w:bookmarkStart w:id="1109" w:name="_Toc28598"/>
      <w:bookmarkStart w:id="1110" w:name="_Toc28449"/>
      <w:bookmarkStart w:id="1111" w:name="_Toc85"/>
      <w:bookmarkStart w:id="1112" w:name="_Toc4175"/>
      <w:bookmarkStart w:id="1113" w:name="_Toc21692"/>
      <w:bookmarkStart w:id="1114" w:name="_Toc29203"/>
      <w:bookmarkStart w:id="1115" w:name="_Toc29856"/>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（2）发票抬头应为合同买方，收款人应为合同卖方，且发票名目、所属时期应与合同约定内容一致，否则不计分。</w:t>
      </w:r>
      <w:bookmarkEnd w:id="1108"/>
      <w:bookmarkEnd w:id="1109"/>
      <w:bookmarkEnd w:id="1110"/>
      <w:bookmarkEnd w:id="1111"/>
      <w:bookmarkEnd w:id="1112"/>
      <w:bookmarkEnd w:id="1113"/>
      <w:bookmarkEnd w:id="1114"/>
      <w:bookmarkEnd w:id="1115"/>
    </w:p>
    <w:p w14:paraId="4DB73B20">
      <w:pPr>
        <w:autoSpaceDE w:val="0"/>
        <w:autoSpaceDN w:val="0"/>
        <w:adjustRightInd w:val="0"/>
        <w:spacing w:line="360" w:lineRule="auto"/>
        <w:rPr>
          <w:rFonts w:ascii="宋体" w:hAnsi="宋体" w:eastAsia="宋体" w:cs="Times New Roman"/>
          <w:b/>
          <w:bCs/>
          <w:color w:val="000000" w:themeColor="text1"/>
          <w:sz w:val="30"/>
          <w:szCs w:val="30"/>
          <w:highlight w:val="none"/>
          <w:lang w:val="zh-CN"/>
          <w14:textFill>
            <w14:solidFill>
              <w14:schemeClr w14:val="tx1"/>
            </w14:solidFill>
          </w14:textFill>
        </w:rPr>
      </w:pPr>
    </w:p>
    <w:p w14:paraId="25C8CF3A">
      <w:pPr>
        <w:autoSpaceDE w:val="0"/>
        <w:autoSpaceDN w:val="0"/>
        <w:adjustRightInd w:val="0"/>
        <w:spacing w:line="360" w:lineRule="auto"/>
        <w:ind w:firstLine="602"/>
        <w:rPr>
          <w:rFonts w:ascii="宋体" w:hAnsi="宋体" w:eastAsia="宋体" w:cs="Times New Roman"/>
          <w:b/>
          <w:bCs/>
          <w:color w:val="000000" w:themeColor="text1"/>
          <w:sz w:val="30"/>
          <w:szCs w:val="30"/>
          <w:highlight w:val="none"/>
          <w:lang w:val="zh-CN"/>
          <w14:textFill>
            <w14:solidFill>
              <w14:schemeClr w14:val="tx1"/>
            </w14:solidFill>
          </w14:textFill>
        </w:rPr>
      </w:pPr>
    </w:p>
    <w:p w14:paraId="2AC856CC">
      <w:pPr>
        <w:rPr>
          <w:rFonts w:ascii="宋体" w:hAnsi="宋体" w:eastAsia="宋体" w:cs="宋体"/>
          <w:b/>
          <w:bCs/>
          <w:color w:val="000000" w:themeColor="text1"/>
          <w:kern w:val="0"/>
          <w:sz w:val="32"/>
          <w:szCs w:val="32"/>
          <w:highlight w:val="none"/>
          <w:lang w:val="zh-CN"/>
          <w14:textFill>
            <w14:solidFill>
              <w14:schemeClr w14:val="tx1"/>
            </w14:solidFill>
          </w14:textFill>
        </w:rPr>
      </w:pPr>
    </w:p>
    <w:p w14:paraId="6C94B715">
      <w:pP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bookmarkStart w:id="1116" w:name="_Toc28042"/>
      <w:bookmarkStart w:id="1117" w:name="_Toc195714398"/>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br w:type="page"/>
      </w:r>
    </w:p>
    <w:p w14:paraId="3EE8C12F">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九</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bookmarkEnd w:id="1073"/>
      <w:bookmarkEnd w:id="1074"/>
      <w:bookmarkEnd w:id="1075"/>
      <w:bookmarkEnd w:id="1076"/>
      <w:bookmarkEnd w:id="1077"/>
      <w:bookmarkEnd w:id="1078"/>
      <w:bookmarkEnd w:id="1079"/>
      <w:bookmarkEnd w:id="1080"/>
      <w:bookmarkEnd w:id="1081"/>
      <w:bookmarkEnd w:id="1082"/>
      <w:bookmarkEnd w:id="1116"/>
      <w:bookmarkEnd w:id="1117"/>
    </w:p>
    <w:p w14:paraId="4326FF8B">
      <w:pPr>
        <w:keepNext w:val="0"/>
        <w:keepLines w:val="0"/>
        <w:pageBreakBefore w:val="0"/>
        <w:widowControl w:val="0"/>
        <w:kinsoku/>
        <w:wordWrap/>
        <w:overflowPunct/>
        <w:topLinePunct w:val="0"/>
        <w:autoSpaceDE/>
        <w:autoSpaceDN/>
        <w:bidi w:val="0"/>
        <w:adjustRightInd/>
        <w:snapToGrid/>
        <w:jc w:val="center"/>
        <w:textAlignment w:val="auto"/>
        <w:outlineLvl w:val="3"/>
        <w:rPr>
          <w:rFonts w:ascii="宋体" w:hAnsi="宋体" w:eastAsia="宋体" w:cs="宋体"/>
          <w:b/>
          <w:color w:val="000000" w:themeColor="text1"/>
          <w:kern w:val="0"/>
          <w:sz w:val="32"/>
          <w:szCs w:val="32"/>
          <w:highlight w:val="none"/>
          <w14:textFill>
            <w14:solidFill>
              <w14:schemeClr w14:val="tx1"/>
            </w14:solidFill>
          </w14:textFill>
        </w:rPr>
      </w:pPr>
      <w:bookmarkStart w:id="1118" w:name="_Toc195714399"/>
      <w:bookmarkStart w:id="1119" w:name="_Toc4972"/>
      <w:bookmarkStart w:id="1120" w:name="_Toc142508380"/>
      <w:bookmarkStart w:id="1121" w:name="_Toc27482"/>
      <w:bookmarkStart w:id="1122" w:name="_Toc1977739"/>
      <w:bookmarkStart w:id="1123" w:name="_Toc94107222"/>
      <w:bookmarkStart w:id="1124" w:name="_Toc18038"/>
      <w:bookmarkStart w:id="1125" w:name="_Toc102860429"/>
      <w:bookmarkStart w:id="1126" w:name="_Toc31916"/>
      <w:bookmarkStart w:id="1127" w:name="_Toc140596940"/>
      <w:bookmarkStart w:id="1128" w:name="_Toc104991887"/>
      <w:bookmarkStart w:id="1129" w:name="_Toc102860085"/>
      <w:r>
        <w:rPr>
          <w:rFonts w:hint="eastAsia" w:ascii="宋体" w:hAnsi="宋体" w:eastAsia="宋体" w:cs="宋体"/>
          <w:b/>
          <w:color w:val="000000" w:themeColor="text1"/>
          <w:kern w:val="0"/>
          <w:sz w:val="32"/>
          <w:szCs w:val="32"/>
          <w:highlight w:val="none"/>
          <w14:textFill>
            <w14:solidFill>
              <w14:schemeClr w14:val="tx1"/>
            </w14:solidFill>
          </w14:textFill>
        </w:rPr>
        <w:t>二  技术标格式</w:t>
      </w:r>
      <w:bookmarkEnd w:id="1118"/>
      <w:bookmarkEnd w:id="1119"/>
    </w:p>
    <w:p w14:paraId="24DB0E2C">
      <w:pPr>
        <w:jc w:val="left"/>
        <w:rPr>
          <w:rFonts w:ascii="宋体" w:hAnsi="宋体" w:eastAsia="宋体" w:cs="宋体"/>
          <w:b/>
          <w:color w:val="000000" w:themeColor="text1"/>
          <w:kern w:val="0"/>
          <w:sz w:val="32"/>
          <w:szCs w:val="32"/>
          <w:highlight w:val="none"/>
          <w14:textFill>
            <w14:solidFill>
              <w14:schemeClr w14:val="tx1"/>
            </w14:solidFill>
          </w14:textFill>
        </w:rPr>
      </w:pPr>
    </w:p>
    <w:bookmarkEnd w:id="1083"/>
    <w:bookmarkEnd w:id="1120"/>
    <w:bookmarkEnd w:id="1121"/>
    <w:bookmarkEnd w:id="1122"/>
    <w:bookmarkEnd w:id="1123"/>
    <w:bookmarkEnd w:id="1124"/>
    <w:bookmarkEnd w:id="1125"/>
    <w:bookmarkEnd w:id="1126"/>
    <w:bookmarkEnd w:id="1127"/>
    <w:bookmarkEnd w:id="1128"/>
    <w:bookmarkEnd w:id="1129"/>
    <w:p w14:paraId="2CFF3D01">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br w:type="page"/>
      </w:r>
      <w:bookmarkEnd w:id="1084"/>
      <w:bookmarkStart w:id="1130" w:name="_Toc104991888"/>
      <w:bookmarkStart w:id="1131" w:name="_Toc140596941"/>
      <w:bookmarkStart w:id="1132" w:name="_Toc1977740"/>
      <w:bookmarkStart w:id="1133" w:name="_Toc102860086"/>
      <w:bookmarkStart w:id="1134" w:name="_Toc94107223"/>
      <w:bookmarkStart w:id="1135" w:name="_Toc102860430"/>
      <w:bookmarkStart w:id="1136" w:name="_Toc533708135"/>
      <w:bookmarkStart w:id="1137" w:name="_Toc142508381"/>
    </w:p>
    <w:p w14:paraId="076B6BE9">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753096B4">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04FD7AF1">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68AD2F9D">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1E5B4542">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43E43365">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6C2D96A6">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58818CBF">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04ADF4A1">
      <w:pPr>
        <w:pStyle w:val="21"/>
        <w:spacing w:line="360" w:lineRule="auto"/>
        <w:jc w:val="center"/>
        <w:rPr>
          <w:rFonts w:ascii="宋体" w:hAnsi="宋体" w:cs="宋体"/>
          <w:color w:val="000000" w:themeColor="text1"/>
          <w:sz w:val="84"/>
          <w:highlight w:val="none"/>
          <w14:textFill>
            <w14:solidFill>
              <w14:schemeClr w14:val="tx1"/>
            </w14:solidFill>
          </w14:textFill>
        </w:rPr>
      </w:pPr>
      <w:r>
        <w:rPr>
          <w:rFonts w:hint="eastAsia" w:ascii="宋体" w:hAnsi="宋体" w:cs="宋体"/>
          <w:color w:val="000000" w:themeColor="text1"/>
          <w:sz w:val="84"/>
          <w:highlight w:val="none"/>
          <w14:textFill>
            <w14:solidFill>
              <w14:schemeClr w14:val="tx1"/>
            </w14:solidFill>
          </w14:textFill>
        </w:rPr>
        <w:t>投 标 文 件</w:t>
      </w:r>
    </w:p>
    <w:p w14:paraId="1B6F91AD">
      <w:pPr>
        <w:pStyle w:val="21"/>
        <w:spacing w:line="360" w:lineRule="auto"/>
        <w:rPr>
          <w:rFonts w:ascii="宋体" w:hAnsi="宋体" w:cs="宋体"/>
          <w:color w:val="000000" w:themeColor="text1"/>
          <w:highlight w:val="none"/>
          <w14:textFill>
            <w14:solidFill>
              <w14:schemeClr w14:val="tx1"/>
            </w14:solidFill>
          </w14:textFill>
        </w:rPr>
      </w:pPr>
    </w:p>
    <w:p w14:paraId="2EF498C1">
      <w:pPr>
        <w:pStyle w:val="21"/>
        <w:spacing w:line="360" w:lineRule="auto"/>
        <w:rPr>
          <w:rFonts w:ascii="宋体" w:hAnsi="宋体" w:cs="宋体"/>
          <w:color w:val="000000" w:themeColor="text1"/>
          <w:highlight w:val="none"/>
          <w14:textFill>
            <w14:solidFill>
              <w14:schemeClr w14:val="tx1"/>
            </w14:solidFill>
          </w14:textFill>
        </w:rPr>
      </w:pPr>
    </w:p>
    <w:p w14:paraId="78C1D16B">
      <w:pPr>
        <w:pStyle w:val="21"/>
        <w:spacing w:line="360" w:lineRule="auto"/>
        <w:rPr>
          <w:rFonts w:ascii="宋体" w:hAnsi="宋体" w:cs="宋体"/>
          <w:color w:val="000000" w:themeColor="text1"/>
          <w:highlight w:val="none"/>
          <w14:textFill>
            <w14:solidFill>
              <w14:schemeClr w14:val="tx1"/>
            </w14:solidFill>
          </w14:textFill>
        </w:rPr>
      </w:pPr>
    </w:p>
    <w:p w14:paraId="2A170D2A">
      <w:pPr>
        <w:pStyle w:val="21"/>
        <w:spacing w:line="360" w:lineRule="auto"/>
        <w:rPr>
          <w:rFonts w:ascii="宋体" w:hAnsi="宋体" w:cs="宋体"/>
          <w:color w:val="000000" w:themeColor="text1"/>
          <w:highlight w:val="none"/>
          <w14:textFill>
            <w14:solidFill>
              <w14:schemeClr w14:val="tx1"/>
            </w14:solidFill>
          </w14:textFill>
        </w:rPr>
      </w:pPr>
    </w:p>
    <w:p w14:paraId="5701D810">
      <w:pPr>
        <w:pStyle w:val="21"/>
        <w:spacing w:line="360" w:lineRule="auto"/>
        <w:rPr>
          <w:rFonts w:ascii="宋体" w:hAnsi="宋体" w:cs="宋体"/>
          <w:color w:val="000000" w:themeColor="text1"/>
          <w:highlight w:val="none"/>
          <w14:textFill>
            <w14:solidFill>
              <w14:schemeClr w14:val="tx1"/>
            </w14:solidFill>
          </w14:textFill>
        </w:rPr>
      </w:pPr>
    </w:p>
    <w:p w14:paraId="4626FAE9">
      <w:pPr>
        <w:pStyle w:val="21"/>
        <w:spacing w:line="360" w:lineRule="auto"/>
        <w:rPr>
          <w:rFonts w:ascii="宋体" w:hAnsi="宋体" w:cs="宋体"/>
          <w:color w:val="000000" w:themeColor="text1"/>
          <w:highlight w:val="none"/>
          <w14:textFill>
            <w14:solidFill>
              <w14:schemeClr w14:val="tx1"/>
            </w14:solidFill>
          </w14:textFill>
        </w:rPr>
      </w:pPr>
    </w:p>
    <w:p w14:paraId="51FFF7AC">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招标编号：</w:t>
      </w:r>
      <w:r>
        <w:rPr>
          <w:rFonts w:hint="eastAsia" w:ascii="宋体" w:hAnsi="宋体" w:cs="宋体"/>
          <w:color w:val="000000" w:themeColor="text1"/>
          <w:sz w:val="30"/>
          <w:highlight w:val="none"/>
          <w:u w:val="single"/>
          <w14:textFill>
            <w14:solidFill>
              <w14:schemeClr w14:val="tx1"/>
            </w14:solidFill>
          </w14:textFill>
        </w:rPr>
        <w:t xml:space="preserve">                      </w:t>
      </w:r>
    </w:p>
    <w:p w14:paraId="30491EEC">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项目名称：</w:t>
      </w:r>
      <w:r>
        <w:rPr>
          <w:rFonts w:hint="eastAsia" w:ascii="宋体" w:hAnsi="宋体" w:cs="宋体"/>
          <w:color w:val="000000" w:themeColor="text1"/>
          <w:sz w:val="30"/>
          <w:highlight w:val="none"/>
          <w:u w:val="single"/>
          <w14:textFill>
            <w14:solidFill>
              <w14:schemeClr w14:val="tx1"/>
            </w14:solidFill>
          </w14:textFill>
        </w:rPr>
        <w:t xml:space="preserve">                      </w:t>
      </w:r>
    </w:p>
    <w:p w14:paraId="302FEE55">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投标文件内容：</w:t>
      </w:r>
      <w:r>
        <w:rPr>
          <w:rFonts w:hint="eastAsia" w:ascii="宋体" w:hAnsi="宋体" w:cs="宋体"/>
          <w:color w:val="000000" w:themeColor="text1"/>
          <w:sz w:val="30"/>
          <w:highlight w:val="none"/>
          <w:u w:val="single"/>
          <w14:textFill>
            <w14:solidFill>
              <w14:schemeClr w14:val="tx1"/>
            </w14:solidFill>
          </w14:textFill>
        </w:rPr>
        <w:t xml:space="preserve"> 投标文件技术标 </w:t>
      </w:r>
    </w:p>
    <w:p w14:paraId="41671F6F">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招标人：</w:t>
      </w:r>
      <w:r>
        <w:rPr>
          <w:rFonts w:hint="eastAsia" w:ascii="宋体" w:hAnsi="宋体" w:cs="宋体"/>
          <w:color w:val="000000" w:themeColor="text1"/>
          <w:sz w:val="30"/>
          <w:highlight w:val="none"/>
          <w:u w:val="single"/>
          <w14:textFill>
            <w14:solidFill>
              <w14:schemeClr w14:val="tx1"/>
            </w14:solidFill>
          </w14:textFill>
        </w:rPr>
        <w:t xml:space="preserve">                        </w:t>
      </w:r>
    </w:p>
    <w:p w14:paraId="7148C3FB">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投标人：</w:t>
      </w:r>
      <w:r>
        <w:rPr>
          <w:rFonts w:hint="eastAsia" w:ascii="宋体" w:hAnsi="宋体" w:cs="宋体"/>
          <w:color w:val="000000" w:themeColor="text1"/>
          <w:sz w:val="30"/>
          <w:highlight w:val="none"/>
          <w:u w:val="single"/>
          <w14:textFill>
            <w14:solidFill>
              <w14:schemeClr w14:val="tx1"/>
            </w14:solidFill>
          </w14:textFill>
        </w:rPr>
        <w:t xml:space="preserve">    （企业数字证书电子签名）   </w:t>
      </w:r>
    </w:p>
    <w:p w14:paraId="6C4EFA62">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年</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月</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日</w:t>
      </w:r>
    </w:p>
    <w:p w14:paraId="7C426FD9">
      <w:pPr>
        <w:pStyle w:val="21"/>
        <w:spacing w:line="360" w:lineRule="auto"/>
        <w:rPr>
          <w:rFonts w:ascii="宋体" w:hAnsi="宋体" w:cs="宋体"/>
          <w:color w:val="000000" w:themeColor="text1"/>
          <w:highlight w:val="none"/>
          <w14:textFill>
            <w14:solidFill>
              <w14:schemeClr w14:val="tx1"/>
            </w14:solidFill>
          </w14:textFill>
        </w:rPr>
      </w:pPr>
    </w:p>
    <w:p w14:paraId="08C09150">
      <w:pPr>
        <w:pStyle w:val="2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5672701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center"/>
        <w:textAlignment w:val="auto"/>
        <w:outlineLvl w:val="3"/>
        <w:rPr>
          <w:rFonts w:ascii="宋体" w:hAnsi="宋体" w:eastAsia="宋体" w:cs="宋体"/>
          <w:b/>
          <w:color w:val="000000" w:themeColor="text1"/>
          <w:kern w:val="0"/>
          <w:sz w:val="24"/>
          <w:szCs w:val="24"/>
          <w:highlight w:val="none"/>
          <w14:textFill>
            <w14:solidFill>
              <w14:schemeClr w14:val="tx1"/>
            </w14:solidFill>
          </w14:textFill>
        </w:rPr>
      </w:pPr>
      <w:bookmarkStart w:id="1138" w:name="_Toc195714400"/>
      <w:bookmarkStart w:id="1139" w:name="_Toc14054"/>
      <w:r>
        <w:rPr>
          <w:rFonts w:hint="eastAsia" w:ascii="宋体" w:hAnsi="宋体" w:eastAsia="宋体" w:cs="宋体"/>
          <w:b/>
          <w:color w:val="000000" w:themeColor="text1"/>
          <w:kern w:val="0"/>
          <w:sz w:val="24"/>
          <w:szCs w:val="24"/>
          <w:highlight w:val="none"/>
          <w14:textFill>
            <w14:solidFill>
              <w14:schemeClr w14:val="tx1"/>
            </w14:solidFill>
          </w14:textFill>
        </w:rPr>
        <w:t>目录</w:t>
      </w:r>
      <w:bookmarkEnd w:id="1138"/>
      <w:bookmarkEnd w:id="1139"/>
    </w:p>
    <w:p w14:paraId="0BBB162C">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一、用户需求的响应程度；</w:t>
      </w:r>
    </w:p>
    <w:p w14:paraId="10F5A8D1">
      <w:pPr>
        <w:spacing w:line="360" w:lineRule="auto"/>
        <w:ind w:left="443" w:leftChars="77" w:hanging="281" w:hangingChars="134"/>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1.1用户需求偏离表；</w:t>
      </w:r>
    </w:p>
    <w:p w14:paraId="187C5D9D">
      <w:pPr>
        <w:spacing w:line="360" w:lineRule="auto"/>
        <w:ind w:left="443" w:leftChars="77" w:hanging="281" w:hangingChars="134"/>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1.2关于“★2.2.14”条款的承诺函(投标人自行编写)；</w:t>
      </w:r>
    </w:p>
    <w:p w14:paraId="167BBF37">
      <w:pPr>
        <w:spacing w:line="360" w:lineRule="auto"/>
        <w:ind w:left="443" w:leftChars="77" w:hanging="281" w:hangingChars="134"/>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1.3关于“★2.3.7”条款的产品说明书和承诺函(投标人自行编写)；</w:t>
      </w:r>
    </w:p>
    <w:p w14:paraId="4F04CE23">
      <w:pPr>
        <w:spacing w:line="360" w:lineRule="auto"/>
        <w:ind w:left="443" w:leftChars="77" w:hanging="281" w:hangingChars="134"/>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1.4关于“★2.3.10”条款的承诺函(投标人自行编写)；</w:t>
      </w:r>
    </w:p>
    <w:p w14:paraId="239EE3C4">
      <w:pPr>
        <w:spacing w:line="360" w:lineRule="auto"/>
        <w:ind w:left="443" w:leftChars="77" w:hanging="281" w:hangingChars="134"/>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1.5关于“★2.3.11”条款的承诺函(投标人自行编写)；</w:t>
      </w:r>
    </w:p>
    <w:p w14:paraId="062300FC">
      <w:pPr>
        <w:spacing w:line="360" w:lineRule="auto"/>
        <w:ind w:left="443" w:leftChars="77" w:hanging="281" w:hangingChars="134"/>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1.6关于“▲2.3.5”条款的证明材料(投标人提供相关水表用户使用情况及证明材料)；</w:t>
      </w:r>
    </w:p>
    <w:p w14:paraId="0360B4D7">
      <w:pPr>
        <w:spacing w:line="360" w:lineRule="auto"/>
        <w:ind w:left="443" w:leftChars="77" w:hanging="281" w:hangingChars="134"/>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二、供货货物清单表（货物明细中包含的货物名称、品牌、产地、规格、型号、数量的内容）；</w:t>
      </w:r>
    </w:p>
    <w:p w14:paraId="13E797CF">
      <w:pPr>
        <w:spacing w:line="360" w:lineRule="auto"/>
        <w:ind w:left="443" w:leftChars="77" w:hanging="281" w:hangingChars="134"/>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三、研发能力及产品先进性的证明材料；</w:t>
      </w:r>
    </w:p>
    <w:p w14:paraId="2F71E45B">
      <w:pPr>
        <w:spacing w:line="360" w:lineRule="auto"/>
        <w:ind w:left="443" w:leftChars="77" w:hanging="281" w:hangingChars="134"/>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四、投标产品的设计及性能的证明材料；</w:t>
      </w:r>
    </w:p>
    <w:p w14:paraId="3FF7C706">
      <w:pPr>
        <w:spacing w:line="360" w:lineRule="auto"/>
        <w:ind w:left="443" w:leftChars="77" w:hanging="281" w:hangingChars="134"/>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五、生产制造能力的证明材料；</w:t>
      </w:r>
    </w:p>
    <w:p w14:paraId="1482BBBB">
      <w:pPr>
        <w:spacing w:line="360" w:lineRule="auto"/>
        <w:ind w:left="443" w:leftChars="77" w:hanging="281" w:hangingChars="13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六</w:t>
      </w:r>
      <w:r>
        <w:rPr>
          <w:rFonts w:hint="eastAsia" w:ascii="宋体" w:hAnsi="宋体" w:eastAsia="宋体" w:cs="宋体"/>
          <w:color w:val="000000" w:themeColor="text1"/>
          <w:kern w:val="0"/>
          <w:szCs w:val="21"/>
          <w:highlight w:val="none"/>
          <w14:textFill>
            <w14:solidFill>
              <w14:schemeClr w14:val="tx1"/>
            </w14:solidFill>
          </w14:textFill>
        </w:rPr>
        <w:t>、售后服务方案；</w:t>
      </w:r>
    </w:p>
    <w:p w14:paraId="247D8740">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七、</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7346F488">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2BEB853E">
      <w:pPr>
        <w:tabs>
          <w:tab w:val="left" w:pos="567"/>
        </w:tabs>
        <w:autoSpaceDE w:val="0"/>
        <w:autoSpaceDN w:val="0"/>
        <w:adjustRightInd w:val="0"/>
        <w:spacing w:line="360" w:lineRule="auto"/>
        <w:jc w:val="left"/>
        <w:outlineLvl w:val="3"/>
        <w:rPr>
          <w:rFonts w:ascii="宋体" w:hAnsi="宋体" w:eastAsia="宋体" w:cs="宋体"/>
          <w:b/>
          <w:color w:val="000000" w:themeColor="text1"/>
          <w:kern w:val="0"/>
          <w:sz w:val="30"/>
          <w:szCs w:val="30"/>
          <w:highlight w:val="none"/>
          <w14:textFill>
            <w14:solidFill>
              <w14:schemeClr w14:val="tx1"/>
            </w14:solidFill>
          </w14:textFill>
        </w:rPr>
      </w:pPr>
      <w:bookmarkStart w:id="1140" w:name="_Toc27934"/>
      <w:bookmarkStart w:id="1141" w:name="_Toc195714401"/>
      <w:bookmarkStart w:id="1142" w:name="_Toc18999"/>
      <w:bookmarkStart w:id="1143" w:name="_Toc30448"/>
      <w:bookmarkStart w:id="1144" w:name="_Toc24129"/>
      <w:r>
        <w:rPr>
          <w:rFonts w:hint="eastAsia" w:ascii="宋体" w:hAnsi="宋体" w:eastAsia="宋体" w:cs="宋体"/>
          <w:b/>
          <w:color w:val="000000" w:themeColor="text1"/>
          <w:kern w:val="0"/>
          <w:sz w:val="30"/>
          <w:szCs w:val="30"/>
          <w:highlight w:val="none"/>
          <w14:textFill>
            <w14:solidFill>
              <w14:schemeClr w14:val="tx1"/>
            </w14:solidFill>
          </w14:textFill>
        </w:rPr>
        <w:t>一、</w:t>
      </w:r>
      <w:bookmarkEnd w:id="1130"/>
      <w:bookmarkEnd w:id="1131"/>
      <w:bookmarkEnd w:id="1132"/>
      <w:bookmarkEnd w:id="1133"/>
      <w:bookmarkEnd w:id="1134"/>
      <w:bookmarkEnd w:id="1135"/>
      <w:bookmarkEnd w:id="1136"/>
      <w:bookmarkEnd w:id="1137"/>
      <w:bookmarkEnd w:id="1140"/>
      <w:bookmarkEnd w:id="1141"/>
      <w:bookmarkEnd w:id="1142"/>
      <w:bookmarkEnd w:id="1143"/>
      <w:bookmarkEnd w:id="1144"/>
      <w:r>
        <w:rPr>
          <w:rFonts w:hint="eastAsia" w:ascii="宋体" w:hAnsi="宋体" w:eastAsia="宋体" w:cs="宋体"/>
          <w:b/>
          <w:color w:val="000000" w:themeColor="text1"/>
          <w:kern w:val="0"/>
          <w:sz w:val="30"/>
          <w:szCs w:val="30"/>
          <w:highlight w:val="none"/>
          <w14:textFill>
            <w14:solidFill>
              <w14:schemeClr w14:val="tx1"/>
            </w14:solidFill>
          </w14:textFill>
        </w:rPr>
        <w:t>用户需求的响应程度</w:t>
      </w:r>
    </w:p>
    <w:p w14:paraId="2EA47683">
      <w:pPr>
        <w:spacing w:before="120" w:after="120" w:line="360" w:lineRule="auto"/>
        <w:jc w:val="both"/>
        <w:rPr>
          <w:rFonts w:hint="eastAsia" w:ascii="宋体" w:hAnsi="宋体" w:eastAsia="宋体" w:cs="宋体"/>
          <w:b/>
          <w:color w:val="000000" w:themeColor="text1"/>
          <w:kern w:val="0"/>
          <w:sz w:val="30"/>
          <w:szCs w:val="30"/>
          <w:highlight w:val="none"/>
          <w:lang w:val="zh-CN"/>
          <w14:textFill>
            <w14:solidFill>
              <w14:schemeClr w14:val="tx1"/>
            </w14:solidFill>
          </w14:textFill>
        </w:rPr>
      </w:pPr>
      <w:bookmarkStart w:id="1145" w:name="_Toc17449_WPSOffice_Level3"/>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1.1 </w:t>
      </w:r>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p>
    <w:p w14:paraId="5DB0D8D1">
      <w:pPr>
        <w:spacing w:before="120" w:after="120"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1145"/>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
        <w:gridCol w:w="680"/>
        <w:gridCol w:w="8207"/>
        <w:gridCol w:w="371"/>
        <w:gridCol w:w="371"/>
        <w:gridCol w:w="371"/>
      </w:tblGrid>
      <w:tr w14:paraId="6E97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9" w:type="pct"/>
            <w:vMerge w:val="restart"/>
            <w:vAlign w:val="center"/>
          </w:tcPr>
          <w:p w14:paraId="31D0B4C0">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序号</w:t>
            </w:r>
          </w:p>
        </w:tc>
        <w:tc>
          <w:tcPr>
            <w:tcW w:w="3551" w:type="pct"/>
            <w:gridSpan w:val="2"/>
            <w:vAlign w:val="center"/>
          </w:tcPr>
          <w:p w14:paraId="38A63DC4">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招标文件要求</w:t>
            </w:r>
          </w:p>
        </w:tc>
        <w:tc>
          <w:tcPr>
            <w:tcW w:w="1169" w:type="pct"/>
            <w:gridSpan w:val="3"/>
            <w:vAlign w:val="center"/>
          </w:tcPr>
          <w:p w14:paraId="437F8C7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投标文件内容</w:t>
            </w:r>
          </w:p>
        </w:tc>
      </w:tr>
      <w:tr w14:paraId="3D93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9" w:type="pct"/>
            <w:vMerge w:val="continue"/>
            <w:vAlign w:val="center"/>
          </w:tcPr>
          <w:p w14:paraId="5380E49C">
            <w:pPr>
              <w:keepNext/>
              <w:keepLines/>
              <w:spacing w:line="400" w:lineRule="exact"/>
              <w:jc w:val="center"/>
              <w:outlineLvl w:val="0"/>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4509478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条款号</w:t>
            </w:r>
          </w:p>
        </w:tc>
        <w:tc>
          <w:tcPr>
            <w:tcW w:w="3092" w:type="pct"/>
            <w:vAlign w:val="center"/>
          </w:tcPr>
          <w:p w14:paraId="4C66083F">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简要内容</w:t>
            </w:r>
          </w:p>
        </w:tc>
        <w:tc>
          <w:tcPr>
            <w:tcW w:w="348" w:type="pct"/>
            <w:vAlign w:val="center"/>
          </w:tcPr>
          <w:p w14:paraId="39B5F353">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偏离情况</w:t>
            </w:r>
          </w:p>
        </w:tc>
        <w:tc>
          <w:tcPr>
            <w:tcW w:w="418" w:type="pct"/>
            <w:vAlign w:val="center"/>
          </w:tcPr>
          <w:p w14:paraId="433EDD9B">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实质性响应的具体内容</w:t>
            </w:r>
          </w:p>
        </w:tc>
        <w:tc>
          <w:tcPr>
            <w:tcW w:w="403" w:type="pct"/>
            <w:vAlign w:val="center"/>
          </w:tcPr>
          <w:p w14:paraId="60409C3A">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对应证明材料页码</w:t>
            </w:r>
          </w:p>
        </w:tc>
      </w:tr>
      <w:tr w14:paraId="4490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79" w:type="pct"/>
            <w:vAlign w:val="center"/>
          </w:tcPr>
          <w:p w14:paraId="614075CD">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bookmarkStart w:id="1146" w:name="_Toc32583"/>
            <w:bookmarkStart w:id="1147" w:name="_Toc195714402"/>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459" w:type="pct"/>
            <w:vAlign w:val="center"/>
          </w:tcPr>
          <w:p w14:paraId="17877D96">
            <w:pPr>
              <w:jc w:val="center"/>
              <w:rPr>
                <w:rFonts w:hint="default"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w:t>
            </w:r>
          </w:p>
        </w:tc>
        <w:tc>
          <w:tcPr>
            <w:tcW w:w="3092" w:type="pct"/>
            <w:vAlign w:val="center"/>
          </w:tcPr>
          <w:p w14:paraId="01783624">
            <w:pPr>
              <w:jc w:val="center"/>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项目概况</w:t>
            </w:r>
          </w:p>
        </w:tc>
        <w:tc>
          <w:tcPr>
            <w:tcW w:w="348" w:type="pct"/>
            <w:vAlign w:val="center"/>
          </w:tcPr>
          <w:p w14:paraId="165806E6">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2DB5DD30">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7C9A26E3">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1592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vAlign w:val="center"/>
          </w:tcPr>
          <w:p w14:paraId="356C1B7D">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w:t>
            </w:r>
          </w:p>
        </w:tc>
        <w:tc>
          <w:tcPr>
            <w:tcW w:w="459" w:type="pct"/>
            <w:vAlign w:val="center"/>
          </w:tcPr>
          <w:p w14:paraId="13BDBE8F">
            <w:pPr>
              <w:jc w:val="center"/>
              <w:rPr>
                <w:rFonts w:hint="default"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一</w:t>
            </w:r>
          </w:p>
        </w:tc>
        <w:tc>
          <w:tcPr>
            <w:tcW w:w="3092" w:type="pct"/>
            <w:vAlign w:val="center"/>
          </w:tcPr>
          <w:p w14:paraId="767A509B">
            <w:pPr>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总体要求</w:t>
            </w:r>
          </w:p>
        </w:tc>
        <w:tc>
          <w:tcPr>
            <w:tcW w:w="348" w:type="pct"/>
            <w:vAlign w:val="center"/>
          </w:tcPr>
          <w:p w14:paraId="660C708A">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EF39B75">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08459727">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7EE4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vAlign w:val="center"/>
          </w:tcPr>
          <w:p w14:paraId="1679FCCB">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w:t>
            </w:r>
          </w:p>
        </w:tc>
        <w:tc>
          <w:tcPr>
            <w:tcW w:w="459" w:type="pct"/>
            <w:vAlign w:val="center"/>
          </w:tcPr>
          <w:p w14:paraId="1A8B5298">
            <w:pPr>
              <w:jc w:val="center"/>
              <w:rPr>
                <w:rFonts w:hint="default"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w:t>
            </w:r>
          </w:p>
        </w:tc>
        <w:tc>
          <w:tcPr>
            <w:tcW w:w="3092" w:type="pct"/>
            <w:vAlign w:val="center"/>
          </w:tcPr>
          <w:p w14:paraId="25D43582">
            <w:pPr>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水表技术要求</w:t>
            </w:r>
          </w:p>
        </w:tc>
        <w:tc>
          <w:tcPr>
            <w:tcW w:w="348" w:type="pct"/>
            <w:vAlign w:val="center"/>
          </w:tcPr>
          <w:p w14:paraId="5F609BD2">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8E82757">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2FA63BE1">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74DC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vAlign w:val="center"/>
          </w:tcPr>
          <w:p w14:paraId="3D4143B2">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4</w:t>
            </w:r>
          </w:p>
        </w:tc>
        <w:tc>
          <w:tcPr>
            <w:tcW w:w="459" w:type="pct"/>
            <w:vAlign w:val="center"/>
          </w:tcPr>
          <w:p w14:paraId="37A3F693">
            <w:pPr>
              <w:jc w:val="center"/>
              <w:rPr>
                <w:rFonts w:hint="default"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三</w:t>
            </w:r>
          </w:p>
        </w:tc>
        <w:tc>
          <w:tcPr>
            <w:tcW w:w="3092" w:type="pct"/>
            <w:vAlign w:val="center"/>
          </w:tcPr>
          <w:p w14:paraId="7CA5F49A">
            <w:pPr>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物联网终端传输规约要求</w:t>
            </w:r>
          </w:p>
        </w:tc>
        <w:tc>
          <w:tcPr>
            <w:tcW w:w="348" w:type="pct"/>
            <w:vAlign w:val="center"/>
          </w:tcPr>
          <w:p w14:paraId="4C36C67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7ACC13D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2E741CD9">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3672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vAlign w:val="center"/>
          </w:tcPr>
          <w:p w14:paraId="350125BF">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5</w:t>
            </w:r>
          </w:p>
        </w:tc>
        <w:tc>
          <w:tcPr>
            <w:tcW w:w="459" w:type="pct"/>
            <w:vAlign w:val="center"/>
          </w:tcPr>
          <w:p w14:paraId="46A415CF">
            <w:pPr>
              <w:jc w:val="center"/>
              <w:rPr>
                <w:rFonts w:hint="default"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四</w:t>
            </w:r>
          </w:p>
        </w:tc>
        <w:tc>
          <w:tcPr>
            <w:tcW w:w="3092" w:type="pct"/>
            <w:vAlign w:val="center"/>
          </w:tcPr>
          <w:p w14:paraId="374BB25B">
            <w:pPr>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售后服务及质保期</w:t>
            </w:r>
          </w:p>
        </w:tc>
        <w:tc>
          <w:tcPr>
            <w:tcW w:w="348" w:type="pct"/>
            <w:vAlign w:val="center"/>
          </w:tcPr>
          <w:p w14:paraId="68D6F206">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79CF9B40">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4524CF3F">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4140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vAlign w:val="center"/>
          </w:tcPr>
          <w:p w14:paraId="367775B3">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6</w:t>
            </w:r>
          </w:p>
        </w:tc>
        <w:tc>
          <w:tcPr>
            <w:tcW w:w="459" w:type="pct"/>
            <w:vAlign w:val="center"/>
          </w:tcPr>
          <w:p w14:paraId="418240C5">
            <w:pPr>
              <w:jc w:val="center"/>
              <w:rPr>
                <w:rFonts w:hint="default"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五</w:t>
            </w:r>
          </w:p>
        </w:tc>
        <w:tc>
          <w:tcPr>
            <w:tcW w:w="3092" w:type="pct"/>
            <w:vAlign w:val="center"/>
          </w:tcPr>
          <w:p w14:paraId="160D6A6C">
            <w:pPr>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货款结算方式</w:t>
            </w:r>
          </w:p>
        </w:tc>
        <w:tc>
          <w:tcPr>
            <w:tcW w:w="348" w:type="pct"/>
            <w:vAlign w:val="center"/>
          </w:tcPr>
          <w:p w14:paraId="0341F36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5F3539C7">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00AAA585">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01FE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vAlign w:val="center"/>
          </w:tcPr>
          <w:p w14:paraId="40D13E6B">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7</w:t>
            </w:r>
          </w:p>
        </w:tc>
        <w:tc>
          <w:tcPr>
            <w:tcW w:w="459" w:type="pct"/>
            <w:vAlign w:val="center"/>
          </w:tcPr>
          <w:p w14:paraId="4F05E5AC">
            <w:pPr>
              <w:jc w:val="center"/>
              <w:rPr>
                <w:rFonts w:hint="default"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六</w:t>
            </w:r>
          </w:p>
        </w:tc>
        <w:tc>
          <w:tcPr>
            <w:tcW w:w="3092" w:type="pct"/>
            <w:vAlign w:val="center"/>
          </w:tcPr>
          <w:p w14:paraId="5C514B16">
            <w:pPr>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货款支付方式</w:t>
            </w:r>
          </w:p>
        </w:tc>
        <w:tc>
          <w:tcPr>
            <w:tcW w:w="348" w:type="pct"/>
            <w:vAlign w:val="center"/>
          </w:tcPr>
          <w:p w14:paraId="2A071B47">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6FAA5249">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5F9BF0CE">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5DCC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vAlign w:val="center"/>
          </w:tcPr>
          <w:p w14:paraId="55887FAA">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8</w:t>
            </w:r>
          </w:p>
        </w:tc>
        <w:tc>
          <w:tcPr>
            <w:tcW w:w="459" w:type="pct"/>
            <w:vAlign w:val="center"/>
          </w:tcPr>
          <w:p w14:paraId="68593806">
            <w:pPr>
              <w:jc w:val="center"/>
              <w:rPr>
                <w:rFonts w:hint="default"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七</w:t>
            </w:r>
          </w:p>
        </w:tc>
        <w:tc>
          <w:tcPr>
            <w:tcW w:w="3092" w:type="pct"/>
            <w:vAlign w:val="center"/>
          </w:tcPr>
          <w:p w14:paraId="7F03E6D1">
            <w:pPr>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预算表</w:t>
            </w:r>
          </w:p>
        </w:tc>
        <w:tc>
          <w:tcPr>
            <w:tcW w:w="348" w:type="pct"/>
            <w:vAlign w:val="center"/>
          </w:tcPr>
          <w:p w14:paraId="36772E1A">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2A168488">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22DBEC7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18DE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45617948">
            <w:pPr>
              <w:keepNext/>
              <w:keepLines/>
              <w:spacing w:line="400" w:lineRule="exact"/>
              <w:jc w:val="left"/>
              <w:outlineLvl w:val="2"/>
              <w:rPr>
                <w:rFonts w:ascii="宋体" w:hAnsi="宋体" w:eastAsia="宋体" w:cs="宋体"/>
                <w:color w:val="000000" w:themeColor="text1"/>
                <w:kern w:val="0"/>
                <w:sz w:val="18"/>
                <w:szCs w:val="18"/>
                <w:highlight w:val="none"/>
                <w14:textFill>
                  <w14:solidFill>
                    <w14:schemeClr w14:val="tx1"/>
                  </w14:solidFill>
                </w14:textFill>
              </w:rPr>
            </w:pPr>
            <w:bookmarkStart w:id="1148" w:name="_Toc17184"/>
            <w:bookmarkStart w:id="1149" w:name="_Toc13052"/>
            <w:bookmarkStart w:id="1150" w:name="_Toc21189"/>
            <w:bookmarkStart w:id="1151" w:name="_Toc18591"/>
            <w:bookmarkStart w:id="1152" w:name="_Toc19300"/>
            <w:r>
              <w:rPr>
                <w:rFonts w:hint="eastAsia" w:ascii="宋体" w:hAnsi="宋体" w:eastAsia="宋体" w:cs="宋体"/>
                <w:color w:val="000000" w:themeColor="text1"/>
                <w:kern w:val="0"/>
                <w:sz w:val="18"/>
                <w:szCs w:val="18"/>
                <w:highlight w:val="none"/>
                <w14:textFill>
                  <w14:solidFill>
                    <w14:schemeClr w14:val="tx1"/>
                  </w14:solidFill>
                </w14:textFill>
              </w:rPr>
              <w:t>用户需求书“★”条款汇总：</w:t>
            </w:r>
            <w:bookmarkEnd w:id="1146"/>
            <w:bookmarkEnd w:id="1147"/>
            <w:bookmarkEnd w:id="1148"/>
            <w:bookmarkEnd w:id="1149"/>
            <w:bookmarkEnd w:id="1150"/>
            <w:bookmarkEnd w:id="1151"/>
            <w:bookmarkEnd w:id="1152"/>
          </w:p>
        </w:tc>
      </w:tr>
      <w:tr w14:paraId="7EE1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4D79965F">
            <w:pPr>
              <w:spacing w:line="400" w:lineRule="exact"/>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459" w:type="pct"/>
            <w:vAlign w:val="center"/>
          </w:tcPr>
          <w:p w14:paraId="489CC6D3">
            <w:pPr>
              <w:jc w:val="center"/>
              <w:rPr>
                <w:rFonts w:hint="default"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二、2.1.3</w:t>
            </w:r>
          </w:p>
        </w:tc>
        <w:tc>
          <w:tcPr>
            <w:tcW w:w="3092" w:type="pct"/>
            <w:vAlign w:val="center"/>
          </w:tcPr>
          <w:p w14:paraId="7533B9F2">
            <w:pPr>
              <w:spacing w:line="360" w:lineRule="auto"/>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★2.1.3 防护等级：IP68。</w:t>
            </w:r>
          </w:p>
        </w:tc>
        <w:tc>
          <w:tcPr>
            <w:tcW w:w="348" w:type="pct"/>
            <w:vAlign w:val="center"/>
          </w:tcPr>
          <w:p w14:paraId="09C6DD94">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0DBE2B4">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04C614C0">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0065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59F7646A">
            <w:pPr>
              <w:spacing w:line="400" w:lineRule="exact"/>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w:t>
            </w:r>
          </w:p>
        </w:tc>
        <w:tc>
          <w:tcPr>
            <w:tcW w:w="459" w:type="pct"/>
            <w:vAlign w:val="center"/>
          </w:tcPr>
          <w:p w14:paraId="793FB554">
            <w:pPr>
              <w:jc w:val="center"/>
              <w:rPr>
                <w:rFonts w:hint="default" w:ascii="宋体" w:hAnsi="宋体" w:eastAsia="宋体" w:cs="Times New Roman"/>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二、2.2.2</w:t>
            </w:r>
          </w:p>
        </w:tc>
        <w:tc>
          <w:tcPr>
            <w:tcW w:w="3092" w:type="pct"/>
            <w:vAlign w:val="center"/>
          </w:tcPr>
          <w:p w14:paraId="6DB969B2">
            <w:pPr>
              <w:spacing w:line="360" w:lineRule="auto"/>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★2.2.2 水表准确度等级：2级。</w:t>
            </w:r>
          </w:p>
        </w:tc>
        <w:tc>
          <w:tcPr>
            <w:tcW w:w="348" w:type="pct"/>
            <w:vAlign w:val="center"/>
          </w:tcPr>
          <w:p w14:paraId="20FE9B83">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73C3B2A0">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6F9B3E1E">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0F13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 w:type="pct"/>
            <w:vAlign w:val="center"/>
          </w:tcPr>
          <w:p w14:paraId="40ED34AA">
            <w:pPr>
              <w:spacing w:line="400" w:lineRule="exact"/>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w:t>
            </w:r>
          </w:p>
        </w:tc>
        <w:tc>
          <w:tcPr>
            <w:tcW w:w="459" w:type="pct"/>
            <w:vAlign w:val="center"/>
          </w:tcPr>
          <w:p w14:paraId="00755C18">
            <w:pPr>
              <w:jc w:val="center"/>
              <w:rPr>
                <w:rFonts w:ascii="宋体" w:hAnsi="宋体" w:eastAsia="宋体" w:cs="Times New Roman"/>
                <w:bCs/>
                <w:color w:val="000000" w:themeColor="text1"/>
                <w:kern w:val="0"/>
                <w:sz w:val="18"/>
                <w:szCs w:val="18"/>
                <w:highlight w:val="none"/>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二、2.2.4</w:t>
            </w:r>
          </w:p>
        </w:tc>
        <w:tc>
          <w:tcPr>
            <w:tcW w:w="3092" w:type="pct"/>
            <w:vAlign w:val="center"/>
          </w:tcPr>
          <w:p w14:paraId="7CF03134">
            <w:pPr>
              <w:spacing w:line="360" w:lineRule="auto"/>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★2.2.4 流量参数要求</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213"/>
              <w:gridCol w:w="1765"/>
              <w:gridCol w:w="1935"/>
              <w:gridCol w:w="1698"/>
            </w:tblGrid>
            <w:tr w14:paraId="5FC4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noWrap/>
                  <w:vAlign w:val="center"/>
                </w:tcPr>
                <w:p w14:paraId="347F048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水表类型</w:t>
                  </w:r>
                </w:p>
              </w:tc>
              <w:tc>
                <w:tcPr>
                  <w:tcW w:w="1402" w:type="dxa"/>
                  <w:noWrap/>
                  <w:vAlign w:val="center"/>
                </w:tcPr>
                <w:p w14:paraId="385461D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公称口径</w:t>
                  </w:r>
                </w:p>
                <w:p w14:paraId="6003A33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DN(mm)</w:t>
                  </w:r>
                </w:p>
              </w:tc>
              <w:tc>
                <w:tcPr>
                  <w:tcW w:w="2058" w:type="dxa"/>
                  <w:noWrap/>
                  <w:vAlign w:val="center"/>
                </w:tcPr>
                <w:p w14:paraId="14A20DE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常用流量</w:t>
                  </w:r>
                </w:p>
                <w:p w14:paraId="247EFCA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Q3（m³/h）</w:t>
                  </w:r>
                </w:p>
              </w:tc>
              <w:tc>
                <w:tcPr>
                  <w:tcW w:w="2260" w:type="dxa"/>
                  <w:noWrap/>
                  <w:vAlign w:val="center"/>
                </w:tcPr>
                <w:p w14:paraId="6BA338F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常用流量/最小流量</w:t>
                  </w:r>
                </w:p>
                <w:p w14:paraId="4EDD089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Q3/Q1</w:t>
                  </w:r>
                </w:p>
              </w:tc>
              <w:tc>
                <w:tcPr>
                  <w:tcW w:w="1978" w:type="dxa"/>
                  <w:noWrap/>
                  <w:vAlign w:val="center"/>
                </w:tcPr>
                <w:p w14:paraId="47D5480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分界流量/最小流量Q2/Q1</w:t>
                  </w:r>
                </w:p>
              </w:tc>
            </w:tr>
            <w:tr w14:paraId="13A5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restart"/>
                  <w:noWrap/>
                  <w:vAlign w:val="center"/>
                </w:tcPr>
                <w:p w14:paraId="45A6879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垂直螺翼式远传水表</w:t>
                  </w:r>
                </w:p>
              </w:tc>
              <w:tc>
                <w:tcPr>
                  <w:tcW w:w="1402" w:type="dxa"/>
                  <w:noWrap/>
                  <w:vAlign w:val="center"/>
                </w:tcPr>
                <w:p w14:paraId="614D4F5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2058" w:type="dxa"/>
                  <w:noWrap/>
                  <w:vAlign w:val="center"/>
                </w:tcPr>
                <w:p w14:paraId="1D8FAAB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w:t>
                  </w:r>
                </w:p>
              </w:tc>
              <w:tc>
                <w:tcPr>
                  <w:tcW w:w="2260" w:type="dxa"/>
                  <w:noWrap/>
                  <w:vAlign w:val="center"/>
                </w:tcPr>
                <w:p w14:paraId="0AE4672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7D38A45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32BB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center"/>
                </w:tcPr>
                <w:p w14:paraId="0FDDDEA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281BA7D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058" w:type="dxa"/>
                  <w:noWrap/>
                  <w:vAlign w:val="center"/>
                </w:tcPr>
                <w:p w14:paraId="72CF95E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260" w:type="dxa"/>
                  <w:noWrap/>
                  <w:vAlign w:val="center"/>
                </w:tcPr>
                <w:p w14:paraId="7688865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31F59C8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7B7F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center"/>
                </w:tcPr>
                <w:p w14:paraId="6A0A91E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49A618C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150</w:t>
                  </w:r>
                </w:p>
              </w:tc>
              <w:tc>
                <w:tcPr>
                  <w:tcW w:w="2058" w:type="dxa"/>
                  <w:noWrap/>
                  <w:vAlign w:val="center"/>
                </w:tcPr>
                <w:p w14:paraId="1604B40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250</w:t>
                  </w:r>
                </w:p>
              </w:tc>
              <w:tc>
                <w:tcPr>
                  <w:tcW w:w="2260" w:type="dxa"/>
                  <w:noWrap/>
                  <w:vAlign w:val="center"/>
                </w:tcPr>
                <w:p w14:paraId="3B5BE70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7D8D5EB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441A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center"/>
                </w:tcPr>
                <w:p w14:paraId="54842F8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54E782F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w:t>
                  </w:r>
                </w:p>
              </w:tc>
              <w:tc>
                <w:tcPr>
                  <w:tcW w:w="2058" w:type="dxa"/>
                  <w:noWrap/>
                  <w:vAlign w:val="center"/>
                </w:tcPr>
                <w:p w14:paraId="74C553E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w:t>
                  </w:r>
                </w:p>
              </w:tc>
              <w:tc>
                <w:tcPr>
                  <w:tcW w:w="2260" w:type="dxa"/>
                  <w:noWrap/>
                  <w:vAlign w:val="center"/>
                </w:tcPr>
                <w:p w14:paraId="04B85C4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4649F70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7330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restart"/>
                  <w:noWrap/>
                  <w:vAlign w:val="center"/>
                </w:tcPr>
                <w:p w14:paraId="0981E88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水平螺翼式远传水表</w:t>
                  </w:r>
                </w:p>
              </w:tc>
              <w:tc>
                <w:tcPr>
                  <w:tcW w:w="1402" w:type="dxa"/>
                  <w:noWrap/>
                  <w:vAlign w:val="center"/>
                </w:tcPr>
                <w:p w14:paraId="2737844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2058" w:type="dxa"/>
                  <w:noWrap/>
                  <w:vAlign w:val="center"/>
                </w:tcPr>
                <w:p w14:paraId="00D9D1E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260" w:type="dxa"/>
                  <w:noWrap/>
                  <w:vAlign w:val="center"/>
                </w:tcPr>
                <w:p w14:paraId="43B1A8C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38DCF9B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0E5C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top"/>
                </w:tcPr>
                <w:p w14:paraId="3383640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3633306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058" w:type="dxa"/>
                  <w:noWrap/>
                  <w:vAlign w:val="center"/>
                </w:tcPr>
                <w:p w14:paraId="5693E36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2260" w:type="dxa"/>
                  <w:noWrap/>
                  <w:vAlign w:val="center"/>
                </w:tcPr>
                <w:p w14:paraId="1B59643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4BA1DE6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238D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top"/>
                </w:tcPr>
                <w:p w14:paraId="28E8503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21CE461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150</w:t>
                  </w:r>
                </w:p>
              </w:tc>
              <w:tc>
                <w:tcPr>
                  <w:tcW w:w="2058" w:type="dxa"/>
                  <w:noWrap/>
                  <w:vAlign w:val="center"/>
                </w:tcPr>
                <w:p w14:paraId="3423A9E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w:t>
                  </w:r>
                </w:p>
              </w:tc>
              <w:tc>
                <w:tcPr>
                  <w:tcW w:w="2260" w:type="dxa"/>
                  <w:noWrap/>
                  <w:vAlign w:val="center"/>
                </w:tcPr>
                <w:p w14:paraId="4B077B8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0EFEBA8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r w14:paraId="2A8F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9" w:type="dxa"/>
                  <w:vMerge w:val="continue"/>
                  <w:noWrap/>
                  <w:vAlign w:val="top"/>
                </w:tcPr>
                <w:p w14:paraId="13D7F33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02" w:type="dxa"/>
                  <w:noWrap/>
                  <w:vAlign w:val="center"/>
                </w:tcPr>
                <w:p w14:paraId="4732E0D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w:t>
                  </w:r>
                </w:p>
              </w:tc>
              <w:tc>
                <w:tcPr>
                  <w:tcW w:w="2058" w:type="dxa"/>
                  <w:noWrap/>
                  <w:vAlign w:val="center"/>
                </w:tcPr>
                <w:p w14:paraId="637092A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630</w:t>
                  </w:r>
                </w:p>
              </w:tc>
              <w:tc>
                <w:tcPr>
                  <w:tcW w:w="2260" w:type="dxa"/>
                  <w:noWrap/>
                  <w:vAlign w:val="center"/>
                </w:tcPr>
                <w:p w14:paraId="158ADC2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≥160</w:t>
                  </w:r>
                </w:p>
              </w:tc>
              <w:tc>
                <w:tcPr>
                  <w:tcW w:w="1978" w:type="dxa"/>
                  <w:noWrap/>
                  <w:vAlign w:val="center"/>
                </w:tcPr>
                <w:p w14:paraId="52F50F7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r>
          </w:tbl>
          <w:p w14:paraId="296EFD91">
            <w:pPr>
              <w:spacing w:line="360" w:lineRule="auto"/>
              <w:rPr>
                <w:rFonts w:hint="eastAsia" w:ascii="宋体" w:hAnsi="宋体" w:eastAsia="宋体"/>
                <w:color w:val="000000" w:themeColor="text1"/>
                <w:sz w:val="18"/>
                <w:szCs w:val="18"/>
                <w:highlight w:val="none"/>
                <w14:textFill>
                  <w14:solidFill>
                    <w14:schemeClr w14:val="tx1"/>
                  </w14:solidFill>
                </w14:textFill>
              </w:rPr>
            </w:pPr>
          </w:p>
        </w:tc>
        <w:tc>
          <w:tcPr>
            <w:tcW w:w="348" w:type="pct"/>
            <w:vAlign w:val="center"/>
          </w:tcPr>
          <w:p w14:paraId="0D4CC33C">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1F7F3FA0">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45AF4FA4">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2958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21163119">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4</w:t>
            </w:r>
          </w:p>
        </w:tc>
        <w:tc>
          <w:tcPr>
            <w:tcW w:w="459" w:type="pct"/>
            <w:vAlign w:val="center"/>
          </w:tcPr>
          <w:p w14:paraId="7D4244DC">
            <w:pPr>
              <w:jc w:val="center"/>
              <w:rPr>
                <w:rFonts w:hint="eastAsia"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二、2.2.6</w:t>
            </w:r>
          </w:p>
        </w:tc>
        <w:tc>
          <w:tcPr>
            <w:tcW w:w="3092" w:type="pct"/>
            <w:vAlign w:val="center"/>
          </w:tcPr>
          <w:p w14:paraId="1D23ECD6">
            <w:pPr>
              <w:spacing w:line="360" w:lineRule="auto"/>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★2.2.6 水表应印有有“东莞水务集团供水公司L0G0+客服热线96968”字样（具体样式中标后由招标人提供），其中印刷费计入投标报价。</w:t>
            </w:r>
          </w:p>
          <w:p w14:paraId="7E10086D">
            <w:pPr>
              <w:spacing w:line="360" w:lineRule="auto"/>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水表外壳、指示装置或铭牌、不可分离的表盖上，应集中或分散标明计量参数、流向箭头、公称口径、制造年月和编号等信息。</w:t>
            </w:r>
          </w:p>
        </w:tc>
        <w:tc>
          <w:tcPr>
            <w:tcW w:w="348" w:type="pct"/>
            <w:vAlign w:val="center"/>
          </w:tcPr>
          <w:p w14:paraId="47DF1619">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638BE06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7F6BF745">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0CF6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02001D7B">
            <w:pPr>
              <w:spacing w:line="400" w:lineRule="exact"/>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5</w:t>
            </w:r>
          </w:p>
        </w:tc>
        <w:tc>
          <w:tcPr>
            <w:tcW w:w="459" w:type="pct"/>
            <w:vAlign w:val="center"/>
          </w:tcPr>
          <w:p w14:paraId="63FFB1B2">
            <w:pPr>
              <w:jc w:val="center"/>
              <w:rPr>
                <w:rFonts w:hint="default" w:ascii="宋体" w:hAnsi="宋体" w:eastAsia="宋体" w:cs="Times New Roman"/>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二、2.2.14</w:t>
            </w:r>
          </w:p>
        </w:tc>
        <w:tc>
          <w:tcPr>
            <w:tcW w:w="3092" w:type="pct"/>
            <w:vAlign w:val="center"/>
          </w:tcPr>
          <w:p w14:paraId="5A55AF14">
            <w:pPr>
              <w:spacing w:line="360" w:lineRule="auto"/>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★2.2.14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r>
              <w:rPr>
                <w:rFonts w:hint="eastAsia" w:ascii="宋体" w:hAnsi="宋体" w:eastAsia="宋体"/>
                <w:b/>
                <w:bCs/>
                <w:color w:val="000000" w:themeColor="text1"/>
                <w:sz w:val="18"/>
                <w:szCs w:val="18"/>
                <w:highlight w:val="none"/>
                <w14:textFill>
                  <w14:solidFill>
                    <w14:schemeClr w14:val="tx1"/>
                  </w14:solidFill>
                </w14:textFill>
              </w:rPr>
              <w:t>（</w:t>
            </w:r>
            <w:r>
              <w:rPr>
                <w:rFonts w:hint="eastAsia" w:ascii="宋体" w:hAnsi="宋体" w:eastAsia="宋体"/>
                <w:b/>
                <w:bCs/>
                <w:color w:val="000000" w:themeColor="text1"/>
                <w:sz w:val="18"/>
                <w:szCs w:val="18"/>
                <w:highlight w:val="none"/>
                <w:lang w:val="en-US" w:eastAsia="zh-CN"/>
                <w14:textFill>
                  <w14:solidFill>
                    <w14:schemeClr w14:val="tx1"/>
                  </w14:solidFill>
                </w14:textFill>
              </w:rPr>
              <w:t>投标阶段</w:t>
            </w:r>
            <w:r>
              <w:rPr>
                <w:rFonts w:hint="eastAsia" w:ascii="宋体" w:hAnsi="宋体" w:eastAsia="宋体"/>
                <w:b/>
                <w:bCs/>
                <w:color w:val="000000" w:themeColor="text1"/>
                <w:sz w:val="18"/>
                <w:szCs w:val="18"/>
                <w:highlight w:val="none"/>
                <w14:textFill>
                  <w14:solidFill>
                    <w14:schemeClr w14:val="tx1"/>
                  </w14:solidFill>
                </w14:textFill>
              </w:rPr>
              <w:t>需</w:t>
            </w:r>
            <w:r>
              <w:rPr>
                <w:rFonts w:hint="eastAsia" w:ascii="宋体" w:hAnsi="宋体" w:eastAsia="宋体"/>
                <w:b/>
                <w:bCs/>
                <w:color w:val="000000" w:themeColor="text1"/>
                <w:sz w:val="18"/>
                <w:szCs w:val="18"/>
                <w:highlight w:val="none"/>
                <w:lang w:val="en-US" w:eastAsia="zh-CN"/>
                <w14:textFill>
                  <w14:solidFill>
                    <w14:schemeClr w14:val="tx1"/>
                  </w14:solidFill>
                </w14:textFill>
              </w:rPr>
              <w:t>就上述事项</w:t>
            </w:r>
            <w:r>
              <w:rPr>
                <w:rFonts w:hint="eastAsia" w:ascii="宋体" w:hAnsi="宋体" w:eastAsia="宋体"/>
                <w:b/>
                <w:bCs/>
                <w:color w:val="000000" w:themeColor="text1"/>
                <w:sz w:val="18"/>
                <w:szCs w:val="18"/>
                <w:highlight w:val="none"/>
                <w14:textFill>
                  <w14:solidFill>
                    <w14:schemeClr w14:val="tx1"/>
                  </w14:solidFill>
                </w14:textFill>
              </w:rPr>
              <w:t>提供相关承诺文件）</w:t>
            </w:r>
            <w:r>
              <w:rPr>
                <w:rFonts w:hint="eastAsia" w:ascii="宋体" w:hAnsi="宋体" w:eastAsia="宋体"/>
                <w:color w:val="000000" w:themeColor="text1"/>
                <w:sz w:val="18"/>
                <w:szCs w:val="18"/>
                <w:highlight w:val="none"/>
                <w14:textFill>
                  <w14:solidFill>
                    <w14:schemeClr w14:val="tx1"/>
                  </w14:solidFill>
                </w14:textFill>
              </w:rPr>
              <w:t>。</w:t>
            </w:r>
          </w:p>
        </w:tc>
        <w:tc>
          <w:tcPr>
            <w:tcW w:w="348" w:type="pct"/>
            <w:vAlign w:val="center"/>
          </w:tcPr>
          <w:p w14:paraId="663FD7D4">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12EACB22">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4AFB4762">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46E0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4C73A414">
            <w:pPr>
              <w:spacing w:line="400" w:lineRule="exact"/>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6</w:t>
            </w:r>
          </w:p>
        </w:tc>
        <w:tc>
          <w:tcPr>
            <w:tcW w:w="459" w:type="pct"/>
            <w:vAlign w:val="center"/>
          </w:tcPr>
          <w:p w14:paraId="61CF8028">
            <w:pPr>
              <w:jc w:val="center"/>
              <w:rPr>
                <w:rFonts w:hint="default" w:ascii="宋体" w:hAnsi="宋体" w:eastAsia="宋体" w:cs="Times New Roman"/>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二、2.3.7</w:t>
            </w:r>
          </w:p>
        </w:tc>
        <w:tc>
          <w:tcPr>
            <w:tcW w:w="3092" w:type="pct"/>
            <w:vAlign w:val="center"/>
          </w:tcPr>
          <w:p w14:paraId="68DC9CCD">
            <w:pPr>
              <w:spacing w:line="360" w:lineRule="auto"/>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★2.3.7 水表远传模块采用无线通讯，应取得工信部颁发的入网许可证、无线电核准证书，通讯方式：支持NB-IoT无线物联网远传通讯。采用东莞本地通信运营商的通讯网络实现数据传输，并提供属地化日常通信运维服务</w:t>
            </w:r>
            <w:r>
              <w:rPr>
                <w:rFonts w:hint="eastAsia" w:ascii="宋体" w:hAnsi="宋体" w:eastAsia="宋体"/>
                <w:b/>
                <w:bCs/>
                <w:color w:val="000000" w:themeColor="text1"/>
                <w:sz w:val="18"/>
                <w:szCs w:val="18"/>
                <w:highlight w:val="none"/>
                <w14:textFill>
                  <w14:solidFill>
                    <w14:schemeClr w14:val="tx1"/>
                  </w14:solidFill>
                </w14:textFill>
              </w:rPr>
              <w:t>（需提供产品说明书和相关承诺文件）</w:t>
            </w:r>
            <w:r>
              <w:rPr>
                <w:rFonts w:hint="eastAsia" w:ascii="宋体" w:hAnsi="宋体" w:eastAsia="宋体"/>
                <w:color w:val="000000" w:themeColor="text1"/>
                <w:sz w:val="18"/>
                <w:szCs w:val="18"/>
                <w:highlight w:val="none"/>
                <w14:textFill>
                  <w14:solidFill>
                    <w14:schemeClr w14:val="tx1"/>
                  </w14:solidFill>
                </w14:textFill>
              </w:rPr>
              <w:t>。</w:t>
            </w:r>
          </w:p>
        </w:tc>
        <w:tc>
          <w:tcPr>
            <w:tcW w:w="348" w:type="pct"/>
            <w:vAlign w:val="center"/>
          </w:tcPr>
          <w:p w14:paraId="0C012C45">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28C9BFEE">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14AA1596">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3096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290BC8A4">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7</w:t>
            </w:r>
          </w:p>
        </w:tc>
        <w:tc>
          <w:tcPr>
            <w:tcW w:w="459" w:type="pct"/>
            <w:vAlign w:val="center"/>
          </w:tcPr>
          <w:p w14:paraId="4C254A83">
            <w:pPr>
              <w:jc w:val="center"/>
              <w:rPr>
                <w:rFonts w:hint="default" w:ascii="宋体" w:hAnsi="宋体" w:eastAsia="宋体" w:cs="Times New Roman"/>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二、2.3.10</w:t>
            </w:r>
          </w:p>
        </w:tc>
        <w:tc>
          <w:tcPr>
            <w:tcW w:w="3092" w:type="pct"/>
            <w:vAlign w:val="center"/>
          </w:tcPr>
          <w:p w14:paraId="3AE8BFE5">
            <w:pPr>
              <w:spacing w:line="360" w:lineRule="auto"/>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★2.3.10 远传模块的通讯协议需符合招标人物联网终端传输规约的有关要求</w:t>
            </w:r>
            <w:r>
              <w:rPr>
                <w:rFonts w:hint="eastAsia" w:ascii="宋体" w:hAnsi="宋体" w:eastAsia="宋体"/>
                <w:b/>
                <w:bCs/>
                <w:color w:val="000000" w:themeColor="text1"/>
                <w:sz w:val="18"/>
                <w:szCs w:val="18"/>
                <w:highlight w:val="none"/>
                <w14:textFill>
                  <w14:solidFill>
                    <w14:schemeClr w14:val="tx1"/>
                  </w14:solidFill>
                </w14:textFill>
              </w:rPr>
              <w:t>（需提供相关承诺文件）</w:t>
            </w:r>
            <w:r>
              <w:rPr>
                <w:rFonts w:hint="eastAsia" w:ascii="宋体" w:hAnsi="宋体" w:eastAsia="宋体"/>
                <w:color w:val="000000" w:themeColor="text1"/>
                <w:sz w:val="18"/>
                <w:szCs w:val="18"/>
                <w:highlight w:val="none"/>
                <w14:textFill>
                  <w14:solidFill>
                    <w14:schemeClr w14:val="tx1"/>
                  </w14:solidFill>
                </w14:textFill>
              </w:rPr>
              <w:t>。</w:t>
            </w:r>
          </w:p>
        </w:tc>
        <w:tc>
          <w:tcPr>
            <w:tcW w:w="348" w:type="pct"/>
            <w:vAlign w:val="center"/>
          </w:tcPr>
          <w:p w14:paraId="6E859D1E">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30321179">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4FB80451">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3A96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3EC295C1">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8</w:t>
            </w:r>
          </w:p>
        </w:tc>
        <w:tc>
          <w:tcPr>
            <w:tcW w:w="459" w:type="pct"/>
            <w:vAlign w:val="center"/>
          </w:tcPr>
          <w:p w14:paraId="50EE1256">
            <w:pPr>
              <w:jc w:val="center"/>
              <w:rPr>
                <w:rFonts w:hint="default" w:ascii="宋体" w:hAnsi="宋体" w:eastAsia="宋体" w:cs="Times New Roman"/>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二、2.3.11</w:t>
            </w:r>
          </w:p>
        </w:tc>
        <w:tc>
          <w:tcPr>
            <w:tcW w:w="3092" w:type="pct"/>
            <w:vAlign w:val="center"/>
          </w:tcPr>
          <w:p w14:paraId="04BB2456">
            <w:pPr>
              <w:spacing w:line="360" w:lineRule="auto"/>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★2.3.11 平台对接：所有数据按招标人要求无缝融合到招标人智能水表管理系统，中标人需无偿配合远传水表的接入工作</w:t>
            </w:r>
            <w:r>
              <w:rPr>
                <w:rFonts w:hint="eastAsia" w:ascii="宋体" w:hAnsi="宋体" w:eastAsia="宋体"/>
                <w:b/>
                <w:bCs/>
                <w:color w:val="000000" w:themeColor="text1"/>
                <w:sz w:val="18"/>
                <w:szCs w:val="18"/>
                <w:highlight w:val="none"/>
                <w14:textFill>
                  <w14:solidFill>
                    <w14:schemeClr w14:val="tx1"/>
                  </w14:solidFill>
                </w14:textFill>
              </w:rPr>
              <w:t>（需提供可无缝接入招标人所指定的系统管理平台的承诺函）</w:t>
            </w:r>
            <w:r>
              <w:rPr>
                <w:rFonts w:hint="eastAsia" w:ascii="宋体" w:hAnsi="宋体" w:eastAsia="宋体"/>
                <w:color w:val="000000" w:themeColor="text1"/>
                <w:sz w:val="18"/>
                <w:szCs w:val="18"/>
                <w:highlight w:val="none"/>
                <w14:textFill>
                  <w14:solidFill>
                    <w14:schemeClr w14:val="tx1"/>
                  </w14:solidFill>
                </w14:textFill>
              </w:rPr>
              <w:t>。</w:t>
            </w:r>
          </w:p>
        </w:tc>
        <w:tc>
          <w:tcPr>
            <w:tcW w:w="348" w:type="pct"/>
            <w:vAlign w:val="center"/>
          </w:tcPr>
          <w:p w14:paraId="06A8B0AC">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6FE73693">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5512D1CF">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3EE8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73BEE1D">
            <w:pPr>
              <w:keepNext/>
              <w:keepLines/>
              <w:spacing w:line="400" w:lineRule="exact"/>
              <w:jc w:val="left"/>
              <w:outlineLvl w:val="2"/>
              <w:rPr>
                <w:rFonts w:ascii="宋体" w:hAnsi="宋体" w:eastAsia="宋体" w:cs="宋体"/>
                <w:color w:val="000000" w:themeColor="text1"/>
                <w:kern w:val="0"/>
                <w:sz w:val="18"/>
                <w:szCs w:val="18"/>
                <w:highlight w:val="none"/>
                <w14:textFill>
                  <w14:solidFill>
                    <w14:schemeClr w14:val="tx1"/>
                  </w14:solidFill>
                </w14:textFill>
              </w:rPr>
            </w:pPr>
            <w:bookmarkStart w:id="1153" w:name="_Toc2096"/>
            <w:bookmarkStart w:id="1154" w:name="_Toc3718"/>
            <w:bookmarkStart w:id="1155" w:name="_Toc8535"/>
            <w:bookmarkStart w:id="1156" w:name="_Toc10034"/>
            <w:r>
              <w:rPr>
                <w:rFonts w:hint="eastAsia" w:ascii="宋体" w:hAnsi="宋体" w:eastAsia="宋体" w:cs="宋体"/>
                <w:color w:val="000000" w:themeColor="text1"/>
                <w:kern w:val="0"/>
                <w:sz w:val="18"/>
                <w:szCs w:val="18"/>
                <w:highlight w:val="none"/>
                <w14:textFill>
                  <w14:solidFill>
                    <w14:schemeClr w14:val="tx1"/>
                  </w14:solidFill>
                </w14:textFill>
              </w:rPr>
              <w:t>用户需求书“</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18"/>
                <w:szCs w:val="18"/>
                <w:highlight w:val="none"/>
                <w14:textFill>
                  <w14:solidFill>
                    <w14:schemeClr w14:val="tx1"/>
                  </w14:solidFill>
                </w14:textFill>
              </w:rPr>
              <w:t>”条款汇总：</w:t>
            </w:r>
            <w:bookmarkEnd w:id="1153"/>
            <w:bookmarkEnd w:id="1154"/>
            <w:bookmarkEnd w:id="1155"/>
            <w:bookmarkEnd w:id="1156"/>
          </w:p>
        </w:tc>
      </w:tr>
      <w:tr w14:paraId="72A5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3CA422BC">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459" w:type="pct"/>
            <w:vAlign w:val="center"/>
          </w:tcPr>
          <w:p w14:paraId="77757541">
            <w:pPr>
              <w:jc w:val="center"/>
              <w:rPr>
                <w:rFonts w:hint="default" w:ascii="宋体" w:hAnsi="宋体" w:eastAsia="宋体" w:cs="Times New Roman"/>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二、2.1.4</w:t>
            </w:r>
          </w:p>
        </w:tc>
        <w:tc>
          <w:tcPr>
            <w:tcW w:w="3092" w:type="pct"/>
            <w:vAlign w:val="center"/>
          </w:tcPr>
          <w:p w14:paraId="31B96491">
            <w:pPr>
              <w:spacing w:line="360" w:lineRule="auto"/>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▲2.1.4 电磁环境等级：不低于E1级。</w:t>
            </w:r>
          </w:p>
        </w:tc>
        <w:tc>
          <w:tcPr>
            <w:tcW w:w="348" w:type="pct"/>
            <w:vAlign w:val="center"/>
          </w:tcPr>
          <w:p w14:paraId="2A074E20">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5FB083F8">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2DD2F6FC">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483F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6324C542">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w:t>
            </w:r>
          </w:p>
        </w:tc>
        <w:tc>
          <w:tcPr>
            <w:tcW w:w="459" w:type="pct"/>
            <w:vAlign w:val="center"/>
          </w:tcPr>
          <w:p w14:paraId="4BCF5FB9">
            <w:pPr>
              <w:jc w:val="center"/>
              <w:rPr>
                <w:rFonts w:hint="default" w:ascii="宋体" w:hAnsi="宋体" w:eastAsia="宋体" w:cs="Times New Roman"/>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二、2.2.8</w:t>
            </w:r>
          </w:p>
        </w:tc>
        <w:tc>
          <w:tcPr>
            <w:tcW w:w="3092" w:type="pct"/>
            <w:vAlign w:val="center"/>
          </w:tcPr>
          <w:p w14:paraId="2F17BCE2">
            <w:pPr>
              <w:spacing w:line="360" w:lineRule="auto"/>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▲2.2.8 环境等级：C级或O级（安装在室外的固定水表），水表须完全防磁，在任何外磁场干扰下不影响水表的正常计量性能。</w:t>
            </w:r>
          </w:p>
        </w:tc>
        <w:tc>
          <w:tcPr>
            <w:tcW w:w="348" w:type="pct"/>
            <w:vAlign w:val="center"/>
          </w:tcPr>
          <w:p w14:paraId="44A8A70E">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A7C01F8">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42A780CF">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63CA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7E1DC42E">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w:t>
            </w:r>
          </w:p>
        </w:tc>
        <w:tc>
          <w:tcPr>
            <w:tcW w:w="459" w:type="pct"/>
            <w:vAlign w:val="center"/>
          </w:tcPr>
          <w:p w14:paraId="7382E74F">
            <w:pPr>
              <w:jc w:val="center"/>
              <w:rPr>
                <w:rFonts w:hint="default" w:ascii="宋体" w:hAnsi="宋体" w:eastAsia="宋体" w:cs="Times New Roman"/>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二、2.2.12</w:t>
            </w:r>
          </w:p>
        </w:tc>
        <w:tc>
          <w:tcPr>
            <w:tcW w:w="3092" w:type="pct"/>
            <w:vAlign w:val="center"/>
          </w:tcPr>
          <w:p w14:paraId="2870AF2C">
            <w:pPr>
              <w:spacing w:line="360" w:lineRule="auto"/>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▲2.2.12 基表具备数据输出接口，机电转换技术采取无磁传感技术。</w:t>
            </w:r>
          </w:p>
        </w:tc>
        <w:tc>
          <w:tcPr>
            <w:tcW w:w="348" w:type="pct"/>
            <w:vAlign w:val="center"/>
          </w:tcPr>
          <w:p w14:paraId="10F8AA7A">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379D46E2">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0A142277">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1678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0BFCED35">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4</w:t>
            </w:r>
          </w:p>
        </w:tc>
        <w:tc>
          <w:tcPr>
            <w:tcW w:w="459" w:type="pct"/>
            <w:vAlign w:val="center"/>
          </w:tcPr>
          <w:p w14:paraId="1B1341BD">
            <w:pPr>
              <w:jc w:val="center"/>
              <w:rPr>
                <w:rFonts w:hint="default" w:ascii="宋体" w:hAnsi="宋体" w:eastAsia="宋体" w:cs="Times New Roman"/>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二、2.3.2</w:t>
            </w:r>
          </w:p>
        </w:tc>
        <w:tc>
          <w:tcPr>
            <w:tcW w:w="3092" w:type="pct"/>
            <w:vAlign w:val="center"/>
          </w:tcPr>
          <w:p w14:paraId="29A6588D">
            <w:pPr>
              <w:spacing w:line="360" w:lineRule="auto"/>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▲2.3.2 数据采集：支持采集累计正、反向累计流量数据，数据采集精确到0.1m³或1m³，支持时钟同步功能和低电压报警功能。默认上报频次为2次/日，水量数据采集周期为15分钟/次。可通过应用平台进行高频率上报周期设置，最小做到15分钟周期上报，最小数据采集和存储时间间隔为1分钟。</w:t>
            </w:r>
          </w:p>
        </w:tc>
        <w:tc>
          <w:tcPr>
            <w:tcW w:w="348" w:type="pct"/>
            <w:vAlign w:val="center"/>
          </w:tcPr>
          <w:p w14:paraId="52A30133">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5A46A809">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31B409A5">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1CE9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9" w:type="pct"/>
            <w:vAlign w:val="center"/>
          </w:tcPr>
          <w:p w14:paraId="2DCDD84F">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5</w:t>
            </w:r>
          </w:p>
        </w:tc>
        <w:tc>
          <w:tcPr>
            <w:tcW w:w="459" w:type="pct"/>
            <w:vAlign w:val="center"/>
          </w:tcPr>
          <w:p w14:paraId="3F420E9E">
            <w:pPr>
              <w:jc w:val="center"/>
              <w:rPr>
                <w:rFonts w:hint="default" w:ascii="宋体" w:hAnsi="宋体" w:eastAsia="宋体" w:cs="Times New Roman"/>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bCs/>
                <w:color w:val="000000" w:themeColor="text1"/>
                <w:sz w:val="18"/>
                <w:szCs w:val="18"/>
                <w:highlight w:val="none"/>
                <w:lang w:val="en-US" w:eastAsia="zh-CN"/>
                <w14:textFill>
                  <w14:solidFill>
                    <w14:schemeClr w14:val="tx1"/>
                  </w14:solidFill>
                </w14:textFill>
              </w:rPr>
              <w:t>二、2.3.5</w:t>
            </w:r>
          </w:p>
        </w:tc>
        <w:tc>
          <w:tcPr>
            <w:tcW w:w="3092" w:type="pct"/>
            <w:vAlign w:val="center"/>
          </w:tcPr>
          <w:p w14:paraId="239693CB">
            <w:pPr>
              <w:spacing w:line="360" w:lineRule="auto"/>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▲2.3.5 日数据传输成功率≥99% ，抄读准确率≥99%</w:t>
            </w:r>
            <w:r>
              <w:rPr>
                <w:rFonts w:hint="eastAsia" w:ascii="宋体" w:hAnsi="宋体" w:eastAsia="宋体"/>
                <w:b/>
                <w:bCs/>
                <w:color w:val="000000" w:themeColor="text1"/>
                <w:sz w:val="18"/>
                <w:szCs w:val="18"/>
                <w:highlight w:val="none"/>
                <w14:textFill>
                  <w14:solidFill>
                    <w14:schemeClr w14:val="tx1"/>
                  </w14:solidFill>
                </w14:textFill>
              </w:rPr>
              <w:t>（投标人提供相关水表用户使用情况及证明材料）。</w:t>
            </w:r>
          </w:p>
        </w:tc>
        <w:tc>
          <w:tcPr>
            <w:tcW w:w="348" w:type="pct"/>
            <w:vAlign w:val="center"/>
          </w:tcPr>
          <w:p w14:paraId="3FF76CB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2E74AB73">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03" w:type="pct"/>
            <w:vAlign w:val="center"/>
          </w:tcPr>
          <w:p w14:paraId="6CEA0EAF">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bl>
    <w:p w14:paraId="2E99E762">
      <w:pPr>
        <w:spacing w:line="360" w:lineRule="auto"/>
        <w:rPr>
          <w:rFonts w:ascii="宋体" w:hAnsi="宋体" w:eastAsia="宋体" w:cs="宋体"/>
          <w:color w:val="000000" w:themeColor="text1"/>
          <w:szCs w:val="21"/>
          <w:highlight w:val="none"/>
          <w14:textFill>
            <w14:solidFill>
              <w14:schemeClr w14:val="tx1"/>
            </w14:solidFill>
          </w14:textFill>
        </w:rPr>
      </w:pPr>
    </w:p>
    <w:p w14:paraId="78E968A3">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3CA485C9">
      <w:pPr>
        <w:spacing w:line="360" w:lineRule="auto"/>
        <w:ind w:left="605" w:leftChars="18" w:hanging="567" w:hangingChars="270"/>
        <w:rPr>
          <w:rFonts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投标人应对照招标文件用户需求书的响应，逐条逐项、如实地填写“偏离情况”</w:t>
      </w:r>
      <w:r>
        <w:rPr>
          <w:rFonts w:hint="eastAsia" w:ascii="宋体" w:hAnsi="宋体" w:eastAsia="宋体" w:cs="宋体"/>
          <w:b/>
          <w:color w:val="000000" w:themeColor="text1"/>
          <w:szCs w:val="21"/>
          <w:highlight w:val="none"/>
          <w:u w:val="single"/>
          <w:lang w:eastAsia="zh-CN"/>
          <w14:textFill>
            <w14:solidFill>
              <w14:schemeClr w14:val="tx1"/>
            </w14:solidFill>
          </w14:textFill>
        </w:rPr>
        <w:t>。</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或</w:t>
      </w:r>
      <w:r>
        <w:rPr>
          <w:rFonts w:hint="eastAsia" w:ascii="宋体" w:hAnsi="宋体" w:eastAsia="宋体" w:cs="宋体"/>
          <w:b/>
          <w:color w:val="000000" w:themeColor="text1"/>
          <w:szCs w:val="21"/>
          <w:highlight w:val="none"/>
          <w:u w:val="single"/>
          <w14:textFill>
            <w14:solidFill>
              <w14:schemeClr w14:val="tx1"/>
            </w14:solidFill>
          </w14:textFill>
        </w:rPr>
        <w:t>“▲”</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条款，</w:t>
      </w:r>
      <w:r>
        <w:rPr>
          <w:rFonts w:hint="eastAsia" w:ascii="宋体" w:hAnsi="宋体" w:eastAsia="宋体" w:cs="宋体"/>
          <w:b/>
          <w:color w:val="000000" w:themeColor="text1"/>
          <w:szCs w:val="21"/>
          <w:highlight w:val="none"/>
          <w:u w:val="single"/>
          <w14:textFill>
            <w14:solidFill>
              <w14:schemeClr w14:val="tx1"/>
            </w14:solidFill>
          </w14:textFill>
        </w:rPr>
        <w:t>须逐条逐项、如实地填写“偏离情况”，未填写“★”条款</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及</w:t>
      </w:r>
      <w:r>
        <w:rPr>
          <w:rFonts w:hint="eastAsia" w:ascii="宋体" w:hAnsi="宋体" w:eastAsia="宋体" w:cs="宋体"/>
          <w:b/>
          <w:color w:val="000000" w:themeColor="text1"/>
          <w:szCs w:val="21"/>
          <w:highlight w:val="none"/>
          <w:u w:val="single"/>
          <w14:textFill>
            <w14:solidFill>
              <w14:schemeClr w14:val="tx1"/>
            </w14:solidFill>
          </w14:textFill>
        </w:rPr>
        <w:t>“▲”</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条款</w:t>
      </w:r>
      <w:r>
        <w:rPr>
          <w:rFonts w:hint="eastAsia" w:ascii="宋体" w:hAnsi="宋体" w:eastAsia="宋体" w:cs="宋体"/>
          <w:b/>
          <w:color w:val="000000" w:themeColor="text1"/>
          <w:szCs w:val="21"/>
          <w:highlight w:val="none"/>
          <w:u w:val="single"/>
          <w14:textFill>
            <w14:solidFill>
              <w14:schemeClr w14:val="tx1"/>
            </w14:solidFill>
          </w14:textFill>
        </w:rPr>
        <w:t>以外的条款的，视为完全满足招标文件要求。</w:t>
      </w:r>
    </w:p>
    <w:p w14:paraId="1EFAD6C7">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094EB3CD">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4BB6DE99">
      <w:pPr>
        <w:spacing w:line="360" w:lineRule="auto"/>
        <w:ind w:left="607" w:leftChars="18" w:hanging="569" w:hangingChars="270"/>
        <w:rPr>
          <w:rFonts w:ascii="宋体" w:hAnsi="宋体" w:eastAsia="宋体" w:cs="Times New Roman"/>
          <w:b/>
          <w:color w:val="000000" w:themeColor="text1"/>
          <w:kern w:val="0"/>
          <w:sz w:val="24"/>
          <w:szCs w:val="21"/>
          <w:highlight w:val="none"/>
          <w:u w:val="singl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w:t>
      </w:r>
      <w:r>
        <w:rPr>
          <w:rFonts w:ascii="宋体" w:hAnsi="宋体" w:eastAsia="宋体" w:cs="Times New Roman"/>
          <w:b/>
          <w:color w:val="000000" w:themeColor="text1"/>
          <w:kern w:val="0"/>
          <w:szCs w:val="21"/>
          <w:highlight w:val="none"/>
          <w:u w:val="single"/>
          <w14:textFill>
            <w14:solidFill>
              <w14:schemeClr w14:val="tx1"/>
            </w14:solidFill>
          </w14:textFill>
        </w:rPr>
        <w:t>要求或</w:t>
      </w:r>
      <w:r>
        <w:rPr>
          <w:rFonts w:hint="eastAsia" w:ascii="宋体" w:hAnsi="宋体" w:eastAsia="宋体" w:cs="Times New Roman"/>
          <w:b/>
          <w:color w:val="000000" w:themeColor="text1"/>
          <w:kern w:val="0"/>
          <w:szCs w:val="21"/>
          <w:highlight w:val="none"/>
          <w:u w:val="single"/>
          <w14:textFill>
            <w14:solidFill>
              <w14:schemeClr w14:val="tx1"/>
            </w14:solidFill>
          </w14:textFill>
        </w:rPr>
        <w:t>技术</w:t>
      </w:r>
      <w:r>
        <w:rPr>
          <w:rFonts w:ascii="宋体" w:hAnsi="宋体" w:eastAsia="宋体" w:cs="Times New Roman"/>
          <w:b/>
          <w:color w:val="000000" w:themeColor="text1"/>
          <w:kern w:val="0"/>
          <w:szCs w:val="21"/>
          <w:highlight w:val="none"/>
          <w:u w:val="single"/>
          <w14:textFill>
            <w14:solidFill>
              <w14:schemeClr w14:val="tx1"/>
            </w14:solidFill>
          </w14:textFill>
        </w:rPr>
        <w:t>性能要求。投标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w:t>
      </w:r>
      <w:r>
        <w:rPr>
          <w:rFonts w:hint="eastAsia" w:ascii="宋体" w:hAnsi="宋体" w:eastAsia="宋体" w:cs="Times New Roman"/>
          <w:b/>
          <w:color w:val="000000" w:themeColor="text1"/>
          <w:kern w:val="0"/>
          <w:szCs w:val="21"/>
          <w:highlight w:val="none"/>
          <w:u w:val="single"/>
          <w14:textFill>
            <w14:solidFill>
              <w14:schemeClr w14:val="tx1"/>
            </w14:solidFill>
          </w14:textFill>
        </w:rPr>
        <w:t>条款</w:t>
      </w:r>
      <w:r>
        <w:rPr>
          <w:rFonts w:ascii="宋体" w:hAnsi="宋体" w:eastAsia="宋体" w:cs="Times New Roman"/>
          <w:b/>
          <w:color w:val="000000" w:themeColor="text1"/>
          <w:kern w:val="0"/>
          <w:szCs w:val="21"/>
          <w:highlight w:val="none"/>
          <w:u w:val="single"/>
          <w14:textFill>
            <w14:solidFill>
              <w14:schemeClr w14:val="tx1"/>
            </w14:solidFill>
          </w14:textFill>
        </w:rPr>
        <w:t>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处理</w:t>
      </w:r>
      <w:r>
        <w:rPr>
          <w:rFonts w:ascii="宋体" w:hAnsi="宋体" w:eastAsia="宋体" w:cs="Times New Roman"/>
          <w:b/>
          <w:color w:val="000000" w:themeColor="text1"/>
          <w:kern w:val="0"/>
          <w:sz w:val="24"/>
          <w:szCs w:val="21"/>
          <w:highlight w:val="none"/>
          <w:u w:val="single"/>
          <w:lang w:val="zh-CN"/>
          <w14:textFill>
            <w14:solidFill>
              <w14:schemeClr w14:val="tx1"/>
            </w14:solidFill>
          </w14:textFill>
        </w:rPr>
        <w:t>。</w:t>
      </w:r>
    </w:p>
    <w:p w14:paraId="17A9B9A1">
      <w:pPr>
        <w:spacing w:line="360" w:lineRule="auto"/>
        <w:ind w:left="607" w:leftChars="18" w:hanging="569" w:hangingChars="27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宋体"/>
          <w:b/>
          <w:color w:val="000000" w:themeColor="text1"/>
          <w:szCs w:val="21"/>
          <w:highlight w:val="none"/>
          <w:u w:val="single"/>
          <w14:textFill>
            <w14:solidFill>
              <w14:schemeClr w14:val="tx1"/>
            </w14:solidFill>
          </w14:textFill>
        </w:rPr>
        <w:t>“▲”标志的条款为评审的重要指标，投标人若有“▲”条款未响应或负偏离，将导致其响应性评审扣分，并不会按无效响应处理。投标人若有非“▲”条款未响应或负偏离，将导致其响应性评审扣分，并不会按无效响应处理。</w:t>
      </w:r>
    </w:p>
    <w:p w14:paraId="14047F7A">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p>
    <w:p w14:paraId="4AE44944">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p>
    <w:p w14:paraId="46DC5B77">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401BA0DE">
      <w:pPr>
        <w:autoSpaceDE w:val="0"/>
        <w:autoSpaceDN w:val="0"/>
        <w:adjustRightInd w:val="0"/>
        <w:spacing w:line="360" w:lineRule="auto"/>
        <w:ind w:firstLine="3780" w:firstLineChars="180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4683DA67">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p>
    <w:p w14:paraId="1AC39A23">
      <w:pPr>
        <w:widowControl/>
        <w:autoSpaceDE w:val="0"/>
        <w:autoSpaceDN w:val="0"/>
        <w:adjustRightInd w:val="0"/>
        <w:spacing w:line="36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说明：由投标人使用投标人的企业数字证书电子签名。</w:t>
      </w:r>
    </w:p>
    <w:p w14:paraId="2A1B64EA">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311957CB">
      <w:pPr>
        <w:spacing w:before="120" w:after="120" w:line="360" w:lineRule="auto"/>
        <w:jc w:val="both"/>
        <w:rPr>
          <w:rFonts w:hint="eastAsia" w:ascii="宋体" w:hAnsi="宋体" w:eastAsia="宋体" w:cs="宋体"/>
          <w:b/>
          <w:color w:val="000000" w:themeColor="text1"/>
          <w:kern w:val="0"/>
          <w:sz w:val="30"/>
          <w:szCs w:val="30"/>
          <w:highlight w:val="none"/>
          <w:lang w:val="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1.2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投标阶段需就上述事项提供相关承诺文件）。</w:t>
      </w:r>
    </w:p>
    <w:p w14:paraId="23FC9139">
      <w:pPr>
        <w:spacing w:before="120" w:after="120" w:line="360" w:lineRule="auto"/>
        <w:jc w:val="both"/>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38C36816">
      <w:pPr>
        <w:spacing w:before="0" w:after="0" w:line="240" w:lineRule="auto"/>
        <w:jc w:val="left"/>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258415C7">
      <w:pPr>
        <w:spacing w:before="120" w:after="120" w:line="360" w:lineRule="auto"/>
        <w:jc w:val="both"/>
        <w:rPr>
          <w:rFonts w:hint="eastAsia" w:ascii="宋体" w:hAnsi="宋体" w:eastAsia="宋体" w:cs="宋体"/>
          <w:b/>
          <w:color w:val="000000" w:themeColor="text1"/>
          <w:kern w:val="0"/>
          <w:sz w:val="30"/>
          <w:szCs w:val="30"/>
          <w:highlight w:val="none"/>
          <w:lang w:val="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1.3 </w:t>
      </w:r>
      <w:r>
        <w:rPr>
          <w:rFonts w:hint="eastAsia" w:ascii="宋体" w:hAnsi="宋体" w:eastAsia="宋体" w:cs="宋体"/>
          <w:b/>
          <w:color w:val="000000" w:themeColor="text1"/>
          <w:kern w:val="0"/>
          <w:sz w:val="30"/>
          <w:szCs w:val="30"/>
          <w:highlight w:val="none"/>
          <w:lang w:val="zh-CN"/>
          <w14:textFill>
            <w14:solidFill>
              <w14:schemeClr w14:val="tx1"/>
            </w14:solidFill>
          </w14:textFill>
        </w:rPr>
        <w:t>水表远传模块采用无线通讯，应取得工信部颁发的入网许可证、无线电核准证书，通讯方式：支持NB-IoT无线物联网远传通讯。采用东莞本地通信运营商的通讯网络实现数据传输，并提供属地化日常通信运维服务（需提供产品说明书和相关承诺文件）。</w:t>
      </w:r>
    </w:p>
    <w:p w14:paraId="42C49C8B">
      <w:pPr>
        <w:spacing w:before="120" w:after="120" w:line="360" w:lineRule="auto"/>
        <w:jc w:val="both"/>
        <w:rPr>
          <w:rFonts w:hint="eastAsia" w:ascii="宋体" w:hAnsi="宋体" w:eastAsia="宋体" w:cs="宋体"/>
          <w:b/>
          <w:color w:val="000000" w:themeColor="text1"/>
          <w:kern w:val="0"/>
          <w:sz w:val="30"/>
          <w:szCs w:val="30"/>
          <w:highlight w:val="none"/>
          <w:lang w:val="zh-CN"/>
          <w14:textFill>
            <w14:solidFill>
              <w14:schemeClr w14:val="tx1"/>
            </w14:solidFill>
          </w14:textFill>
        </w:rPr>
      </w:pPr>
    </w:p>
    <w:p w14:paraId="19D25D3D">
      <w:pPr>
        <w:spacing w:before="0" w:after="0" w:line="240" w:lineRule="auto"/>
        <w:jc w:val="left"/>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71033023">
      <w:pPr>
        <w:spacing w:before="120" w:after="120" w:line="360" w:lineRule="auto"/>
        <w:jc w:val="both"/>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1.4 远传模块的通讯协议需符合招标人物联网终端传输规约的有关要求（需提供相关承诺文件）。</w:t>
      </w:r>
    </w:p>
    <w:p w14:paraId="76DCCAF7">
      <w:pPr>
        <w:spacing w:before="120" w:after="120" w:line="360" w:lineRule="auto"/>
        <w:jc w:val="both"/>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14FD70D7">
      <w:pPr>
        <w:spacing w:before="0" w:after="0" w:line="240" w:lineRule="auto"/>
        <w:jc w:val="left"/>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02B27540">
      <w:pPr>
        <w:spacing w:before="120" w:after="120" w:line="360" w:lineRule="auto"/>
        <w:jc w:val="both"/>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1.5 平台对接：所有数据按招标人要求无缝融合到招标人智能水表管理系统，中标人需无偿配合远传水表的接入工作（需提供可无缝接入招标人所指定的系统管理平台的承诺函）。</w:t>
      </w:r>
    </w:p>
    <w:p w14:paraId="6049921F">
      <w:pPr>
        <w:spacing w:before="120" w:after="120" w:line="360" w:lineRule="auto"/>
        <w:jc w:val="both"/>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69A7B0A7">
      <w:pPr>
        <w:spacing w:before="0" w:after="0" w:line="240" w:lineRule="auto"/>
        <w:jc w:val="left"/>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7FC44AB4">
      <w:pPr>
        <w:spacing w:before="120" w:after="120" w:line="360" w:lineRule="auto"/>
        <w:jc w:val="both"/>
        <w:rPr>
          <w:rFonts w:hint="eastAsia" w:ascii="宋体" w:hAnsi="宋体" w:eastAsia="宋体" w:cs="宋体"/>
          <w:b/>
          <w:color w:val="000000" w:themeColor="text1"/>
          <w:kern w:val="0"/>
          <w:sz w:val="30"/>
          <w:szCs w:val="30"/>
          <w:highlight w:val="none"/>
          <w:lang w:val="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1.6 日数据传输成功率≥99% ，抄读准确率≥99%（投标人提供相关水表用户使用情况及证明材料）。</w:t>
      </w:r>
    </w:p>
    <w:p w14:paraId="44D06305">
      <w:pPr>
        <w:autoSpaceDE w:val="0"/>
        <w:autoSpaceDN w:val="0"/>
        <w:adjustRightInd w:val="0"/>
        <w:ind w:left="15" w:leftChars="-50" w:hanging="120"/>
        <w:jc w:val="left"/>
        <w:rPr>
          <w:rFonts w:ascii="宋体" w:hAnsi="宋体" w:eastAsia="宋体" w:cs="宋体"/>
          <w:color w:val="000000" w:themeColor="text1"/>
          <w:kern w:val="0"/>
          <w:szCs w:val="21"/>
          <w:highlight w:val="none"/>
          <w14:textFill>
            <w14:solidFill>
              <w14:schemeClr w14:val="tx1"/>
            </w14:solidFill>
          </w14:textFill>
        </w:rPr>
      </w:pPr>
    </w:p>
    <w:p w14:paraId="5A2952F8">
      <w:pPr>
        <w:tabs>
          <w:tab w:val="left" w:pos="567"/>
        </w:tabs>
        <w:autoSpaceDE w:val="0"/>
        <w:autoSpaceDN w:val="0"/>
        <w:adjustRightInd w:val="0"/>
        <w:spacing w:line="360" w:lineRule="auto"/>
        <w:jc w:val="left"/>
        <w:outlineLvl w:val="9"/>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Start w:id="1157" w:name="_Toc140596949"/>
      <w:bookmarkStart w:id="1158" w:name="_Toc102860438"/>
      <w:bookmarkStart w:id="1159" w:name="_Toc102860094"/>
      <w:bookmarkStart w:id="1160" w:name="_Toc142508389"/>
      <w:bookmarkStart w:id="1161" w:name="_Toc104991896"/>
      <w:bookmarkStart w:id="1162" w:name="_Toc533708139"/>
    </w:p>
    <w:p w14:paraId="7915FF36">
      <w:pPr>
        <w:tabs>
          <w:tab w:val="left" w:pos="567"/>
        </w:tabs>
        <w:autoSpaceDE w:val="0"/>
        <w:autoSpaceDN w:val="0"/>
        <w:adjustRightInd w:val="0"/>
        <w:spacing w:line="360" w:lineRule="auto"/>
        <w:jc w:val="left"/>
        <w:outlineLvl w:val="3"/>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eastAsia="zh-CN"/>
          <w14:textFill>
            <w14:solidFill>
              <w14:schemeClr w14:val="tx1"/>
            </w14:solidFill>
          </w14:textFill>
        </w:rPr>
        <w:t>供货货物清单表</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格式</w:t>
      </w:r>
    </w:p>
    <w:p w14:paraId="2DEFF970">
      <w:pPr>
        <w:autoSpaceDE w:val="0"/>
        <w:autoSpaceDN w:val="0"/>
        <w:adjustRightInd w:val="0"/>
        <w:ind w:right="-23" w:rightChars="-11"/>
        <w:jc w:val="center"/>
        <w:rPr>
          <w:rFonts w:ascii="宋体" w:hAnsi="宋体" w:eastAsia="宋体" w:cs="宋体"/>
          <w:b/>
          <w:color w:val="000000" w:themeColor="text1"/>
          <w:sz w:val="30"/>
          <w:szCs w:val="30"/>
          <w:highlight w:val="none"/>
          <w:lang w:val="zh-CN"/>
          <w14:textFill>
            <w14:solidFill>
              <w14:schemeClr w14:val="tx1"/>
            </w14:solidFill>
          </w14:textFill>
        </w:rPr>
      </w:pPr>
      <w:r>
        <w:rPr>
          <w:rFonts w:hint="eastAsia" w:ascii="宋体" w:hAnsi="宋体" w:eastAsia="宋体" w:cs="宋体"/>
          <w:b/>
          <w:color w:val="000000" w:themeColor="text1"/>
          <w:sz w:val="30"/>
          <w:szCs w:val="30"/>
          <w:highlight w:val="none"/>
          <w:lang w:val="zh-CN"/>
          <w14:textFill>
            <w14:solidFill>
              <w14:schemeClr w14:val="tx1"/>
            </w14:solidFill>
          </w14:textFill>
        </w:rPr>
        <w:t>供货货物清单表</w:t>
      </w:r>
    </w:p>
    <w:p w14:paraId="040D591D">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bl>
      <w:tblPr>
        <w:tblStyle w:val="44"/>
        <w:tblW w:w="10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71"/>
        <w:gridCol w:w="1092"/>
        <w:gridCol w:w="833"/>
        <w:gridCol w:w="850"/>
        <w:gridCol w:w="1212"/>
        <w:gridCol w:w="700"/>
        <w:gridCol w:w="800"/>
        <w:gridCol w:w="1093"/>
        <w:gridCol w:w="1101"/>
        <w:gridCol w:w="956"/>
      </w:tblGrid>
      <w:tr w14:paraId="01F3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65" w:type="dxa"/>
            <w:gridSpan w:val="11"/>
            <w:tcBorders>
              <w:top w:val="single" w:color="auto" w:sz="4" w:space="0"/>
              <w:left w:val="single" w:color="auto" w:sz="4" w:space="0"/>
              <w:bottom w:val="single" w:color="auto" w:sz="4" w:space="0"/>
              <w:right w:val="single" w:color="auto" w:sz="4" w:space="0"/>
            </w:tcBorders>
            <w:noWrap w:val="0"/>
            <w:vAlign w:val="center"/>
          </w:tcPr>
          <w:p w14:paraId="1424F9FB">
            <w:pPr>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货物明细</w:t>
            </w:r>
          </w:p>
        </w:tc>
      </w:tr>
      <w:tr w14:paraId="7DD9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2D5CDB1">
            <w:pPr>
              <w:pStyle w:val="24"/>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3613E4AA">
            <w:pPr>
              <w:pStyle w:val="24"/>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货物名称</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57C168AD">
            <w:pPr>
              <w:pStyle w:val="24"/>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口径规格</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FBF1772">
            <w:pPr>
              <w:pStyle w:val="24"/>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品牌</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C2938EE">
            <w:pPr>
              <w:pStyle w:val="24"/>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产地</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A84898A">
            <w:pPr>
              <w:pStyle w:val="24"/>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规格、型号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C2F7F78">
            <w:pPr>
              <w:pStyle w:val="24"/>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单位</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3656C923">
            <w:pPr>
              <w:pStyle w:val="24"/>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38E667B0">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生产厂家</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6EF3383">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主要技术参数</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49E75892">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r>
      <w:tr w14:paraId="48A3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AB4755D">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171" w:type="dxa"/>
            <w:vMerge w:val="restart"/>
            <w:tcBorders>
              <w:top w:val="single" w:color="auto" w:sz="4" w:space="0"/>
              <w:left w:val="single" w:color="auto" w:sz="4" w:space="0"/>
              <w:right w:val="single" w:color="auto" w:sz="4" w:space="0"/>
            </w:tcBorders>
            <w:noWrap w:val="0"/>
            <w:vAlign w:val="center"/>
          </w:tcPr>
          <w:p w14:paraId="1B22390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垂直螺翼式水表</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BDB9F6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DN80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2FFE6C56">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D9F3EE3">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F62F843">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A60363E">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225181F9">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0"/>
            <w:vAlign w:val="top"/>
          </w:tcPr>
          <w:p w14:paraId="128F83D5">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782A13D9">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6EDCF359">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729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C81AFA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1171" w:type="dxa"/>
            <w:vMerge w:val="continue"/>
            <w:tcBorders>
              <w:left w:val="single" w:color="auto" w:sz="4" w:space="0"/>
              <w:right w:val="single" w:color="auto" w:sz="4" w:space="0"/>
            </w:tcBorders>
            <w:noWrap w:val="0"/>
            <w:vAlign w:val="center"/>
          </w:tcPr>
          <w:p w14:paraId="1C92132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091D836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DN100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2AD03FB">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B5810BB">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C726F08">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1DFD99B">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41DB7994">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0"/>
            <w:vAlign w:val="top"/>
          </w:tcPr>
          <w:p w14:paraId="65761DEE">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3445C950">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0BFB0556">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CD2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AD2D1C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1171" w:type="dxa"/>
            <w:vMerge w:val="continue"/>
            <w:tcBorders>
              <w:left w:val="single" w:color="auto" w:sz="4" w:space="0"/>
              <w:right w:val="single" w:color="auto" w:sz="4" w:space="0"/>
            </w:tcBorders>
            <w:noWrap w:val="0"/>
            <w:vAlign w:val="center"/>
          </w:tcPr>
          <w:p w14:paraId="137BF2D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21F66EC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DN150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39961D1">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D65AF92">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675268B">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0E29E19">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0F586362">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0"/>
            <w:vAlign w:val="top"/>
          </w:tcPr>
          <w:p w14:paraId="1E0100BD">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1B7880D1">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2758B773">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278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C92E85D">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p>
        </w:tc>
        <w:tc>
          <w:tcPr>
            <w:tcW w:w="1171" w:type="dxa"/>
            <w:vMerge w:val="continue"/>
            <w:tcBorders>
              <w:left w:val="single" w:color="auto" w:sz="4" w:space="0"/>
              <w:bottom w:val="single" w:color="auto" w:sz="4" w:space="0"/>
              <w:right w:val="single" w:color="auto" w:sz="4" w:space="0"/>
            </w:tcBorders>
            <w:noWrap w:val="0"/>
            <w:vAlign w:val="center"/>
          </w:tcPr>
          <w:p w14:paraId="7AE304A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18C05C5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DN200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61397FDE">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B22E66E">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9104BC1">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E98A128">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447F1DB2">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0"/>
            <w:vAlign w:val="top"/>
          </w:tcPr>
          <w:p w14:paraId="644C60A5">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339C4371">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7356A4A5">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964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B7483B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c>
          <w:tcPr>
            <w:tcW w:w="1171" w:type="dxa"/>
            <w:vMerge w:val="restart"/>
            <w:tcBorders>
              <w:top w:val="single" w:color="auto" w:sz="4" w:space="0"/>
              <w:left w:val="single" w:color="auto" w:sz="4" w:space="0"/>
              <w:right w:val="single" w:color="auto" w:sz="4" w:space="0"/>
            </w:tcBorders>
            <w:noWrap w:val="0"/>
            <w:vAlign w:val="center"/>
          </w:tcPr>
          <w:p w14:paraId="400F6C7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水平螺翼式水表</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51DC793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DN80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697D8AD">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37E86E3">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F9C42C8">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3923F619">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6541182D">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0"/>
            <w:vAlign w:val="top"/>
          </w:tcPr>
          <w:p w14:paraId="4503D683">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6DD06DA1">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0D0A1041">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F51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C0015B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p>
        </w:tc>
        <w:tc>
          <w:tcPr>
            <w:tcW w:w="1171" w:type="dxa"/>
            <w:vMerge w:val="continue"/>
            <w:tcBorders>
              <w:left w:val="single" w:color="auto" w:sz="4" w:space="0"/>
              <w:right w:val="single" w:color="auto" w:sz="4" w:space="0"/>
            </w:tcBorders>
            <w:noWrap w:val="0"/>
            <w:vAlign w:val="center"/>
          </w:tcPr>
          <w:p w14:paraId="6E6C6CE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18915737">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DN100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341A86D">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B26EE0C">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80E4BFC">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15A891CA">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3A8CE7B0">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0"/>
            <w:vAlign w:val="top"/>
          </w:tcPr>
          <w:p w14:paraId="28353549">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629DCA18">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7A9B42C0">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538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BE6485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1171" w:type="dxa"/>
            <w:vMerge w:val="continue"/>
            <w:tcBorders>
              <w:left w:val="single" w:color="auto" w:sz="4" w:space="0"/>
              <w:right w:val="single" w:color="auto" w:sz="4" w:space="0"/>
            </w:tcBorders>
            <w:noWrap w:val="0"/>
            <w:vAlign w:val="center"/>
          </w:tcPr>
          <w:p w14:paraId="14A3010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AE3847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DN150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6EBCA521">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94D06A2">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52CD9EA">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53877781">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44585043">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0"/>
            <w:vAlign w:val="top"/>
          </w:tcPr>
          <w:p w14:paraId="5FB5B99E">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68323B4E">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717D5757">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EFB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CF087F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1171" w:type="dxa"/>
            <w:vMerge w:val="continue"/>
            <w:tcBorders>
              <w:left w:val="single" w:color="auto" w:sz="4" w:space="0"/>
              <w:bottom w:val="single" w:color="auto" w:sz="4" w:space="0"/>
              <w:right w:val="single" w:color="auto" w:sz="4" w:space="0"/>
            </w:tcBorders>
            <w:noWrap w:val="0"/>
            <w:vAlign w:val="center"/>
          </w:tcPr>
          <w:p w14:paraId="7281E4C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FD3182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DN200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647E672">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9F162A6">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B5E6860">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CAA0D8E">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743E072C">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0"/>
            <w:vAlign w:val="top"/>
          </w:tcPr>
          <w:p w14:paraId="0A5EDEF2">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25F51DB5">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784EC18E">
            <w:pPr>
              <w:pStyle w:val="24"/>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64B96D78">
      <w:pPr>
        <w:autoSpaceDE/>
        <w:autoSpaceDN/>
        <w:adjustRightInd/>
        <w:snapToGrid/>
        <w:spacing w:line="240" w:lineRule="auto"/>
        <w:ind w:firstLine="0" w:firstLineChars="0"/>
        <w:jc w:val="left"/>
        <w:rPr>
          <w:rFonts w:hint="eastAsia" w:ascii="宋体" w:hAnsi="宋体" w:eastAsia="宋体" w:cs="Times New Roman"/>
          <w:color w:val="000000" w:themeColor="text1"/>
          <w:kern w:val="0"/>
          <w:szCs w:val="21"/>
          <w:highlight w:val="none"/>
          <w14:textFill>
            <w14:solidFill>
              <w14:schemeClr w14:val="tx1"/>
            </w14:solidFill>
          </w14:textFill>
        </w:rPr>
      </w:pPr>
    </w:p>
    <w:p w14:paraId="41EAD3E4">
      <w:pPr>
        <w:autoSpaceDE/>
        <w:autoSpaceDN/>
        <w:adjustRightInd/>
        <w:snapToGrid/>
        <w:spacing w:line="240" w:lineRule="auto"/>
        <w:ind w:firstLine="0" w:firstLineChars="0"/>
        <w:jc w:val="left"/>
        <w:rPr>
          <w:rFonts w:hint="eastAsia" w:ascii="宋体" w:hAnsi="宋体" w:eastAsia="宋体" w:cs="Times New Roman"/>
          <w:color w:val="000000" w:themeColor="text1"/>
          <w:kern w:val="0"/>
          <w:szCs w:val="21"/>
          <w:highlight w:val="none"/>
          <w14:textFill>
            <w14:solidFill>
              <w14:schemeClr w14:val="tx1"/>
            </w14:solidFill>
          </w14:textFill>
        </w:rPr>
      </w:pPr>
    </w:p>
    <w:p w14:paraId="44C90B5C">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备注：</w:t>
      </w:r>
    </w:p>
    <w:p w14:paraId="1481940F">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（1）投标人应列明按《用户需求书》所要求的全部货物的明细清单；</w:t>
      </w:r>
    </w:p>
    <w:p w14:paraId="2CFFD797">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lang w:val="zh-CN"/>
          <w14:textFill>
            <w14:solidFill>
              <w14:schemeClr w14:val="tx1"/>
            </w14:solidFill>
          </w14:textFill>
        </w:rPr>
        <w:t>）表格可根据实际货物种类自行扩展。</w:t>
      </w:r>
    </w:p>
    <w:p w14:paraId="073BE7CD">
      <w:pPr>
        <w:autoSpaceDE w:val="0"/>
        <w:autoSpaceDN w:val="0"/>
        <w:adjustRightInd w:val="0"/>
        <w:spacing w:line="360" w:lineRule="auto"/>
        <w:ind w:firstLine="4200" w:firstLineChars="2000"/>
        <w:jc w:val="left"/>
        <w:rPr>
          <w:rFonts w:ascii="宋体" w:hAnsi="宋体" w:eastAsia="宋体" w:cs="Times New Roman"/>
          <w:color w:val="000000" w:themeColor="text1"/>
          <w:kern w:val="3"/>
          <w:szCs w:val="21"/>
          <w:highlight w:val="none"/>
          <w14:textFill>
            <w14:solidFill>
              <w14:schemeClr w14:val="tx1"/>
            </w14:solidFill>
          </w14:textFill>
        </w:rPr>
      </w:pPr>
    </w:p>
    <w:p w14:paraId="6A2C87A2">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67551345">
      <w:pPr>
        <w:autoSpaceDE w:val="0"/>
        <w:autoSpaceDN w:val="0"/>
        <w:adjustRightInd w:val="0"/>
        <w:spacing w:line="360" w:lineRule="auto"/>
        <w:ind w:firstLine="3780" w:firstLineChars="180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3C017E44">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p>
    <w:p w14:paraId="0BAEA63C">
      <w:pPr>
        <w:widowControl/>
        <w:autoSpaceDE w:val="0"/>
        <w:autoSpaceDN w:val="0"/>
        <w:adjustRightInd w:val="0"/>
        <w:spacing w:line="36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说明：由投标人使用投标人的企业数字证书电子签名。</w:t>
      </w:r>
    </w:p>
    <w:p w14:paraId="76A9424E">
      <w:pPr>
        <w:autoSpaceDE/>
        <w:autoSpaceDN/>
        <w:adjustRightInd/>
        <w:spacing w:line="240" w:lineRule="auto"/>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793EABFD">
      <w:pPr>
        <w:numPr>
          <w:ilvl w:val="0"/>
          <w:numId w:val="4"/>
        </w:numPr>
        <w:autoSpaceDE/>
        <w:autoSpaceDN/>
        <w:adjustRightInd/>
        <w:spacing w:line="240" w:lineRule="auto"/>
        <w:jc w:val="left"/>
        <w:outlineLvl w:val="3"/>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研发能力及产品先进性的证明材料</w:t>
      </w:r>
    </w:p>
    <w:p w14:paraId="3A5713E8">
      <w:pPr>
        <w:autoSpaceDE w:val="0"/>
        <w:autoSpaceDN w:val="0"/>
        <w:adjustRightInd w:val="0"/>
        <w:outlineLvl w:val="9"/>
        <w:rPr>
          <w:rFonts w:hint="eastAsia"/>
          <w:color w:val="000000" w:themeColor="text1"/>
          <w:highlight w:val="none"/>
          <w14:textFill>
            <w14:solidFill>
              <w14:schemeClr w14:val="tx1"/>
            </w14:solidFill>
          </w14:textFill>
        </w:rPr>
      </w:pPr>
    </w:p>
    <w:p w14:paraId="18B5176E">
      <w:pPr>
        <w:numPr>
          <w:ilvl w:val="-1"/>
          <w:numId w:val="0"/>
        </w:numPr>
        <w:autoSpaceDE/>
        <w:autoSpaceDN/>
        <w:adjustRightInd/>
        <w:spacing w:line="360" w:lineRule="auto"/>
        <w:jc w:val="left"/>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说明：投标人应提供相关的许可、批复、专利证书、技术认证证书及其他相关资料等证明文件的扫描件，其中ISO10012(或GB/T19022测量管理体系认证证书除提供证书扫描件外，还需提供能显示证书有效状态的全国认证认可信息公共服务平台(http://cx.cnca.cn/)查询结果凭证{凭证界面需显示有“全国认证认可信息公共服务平台”或“认证证书(需显示网址cx.cnca.cn)”}，以投标人提供的上述资料作为评审依据，未按要求提供上述资料或不能体现与投标人（或所投产品制造商）关系的不得分</w:t>
      </w:r>
      <w:r>
        <w:rPr>
          <w:rFonts w:hint="eastAsia" w:ascii="宋体" w:hAnsi="宋体" w:eastAsia="宋体" w:cs="宋体"/>
          <w:b/>
          <w:color w:val="000000" w:themeColor="text1"/>
          <w:kern w:val="0"/>
          <w:szCs w:val="21"/>
          <w:highlight w:val="none"/>
          <w14:textFill>
            <w14:solidFill>
              <w14:schemeClr w14:val="tx1"/>
            </w14:solidFill>
          </w14:textFill>
        </w:rPr>
        <w:t>。</w:t>
      </w:r>
    </w:p>
    <w:p w14:paraId="1162F45A">
      <w:pPr>
        <w:numPr>
          <w:ilvl w:val="-1"/>
          <w:numId w:val="0"/>
        </w:numPr>
        <w:autoSpaceDE/>
        <w:autoSpaceDN/>
        <w:adjustRightInd/>
        <w:spacing w:line="240" w:lineRule="auto"/>
        <w:jc w:val="left"/>
        <w:outlineLvl w:val="9"/>
        <w:rPr>
          <w:rFonts w:hint="eastAsia" w:ascii="宋体" w:hAnsi="宋体" w:eastAsia="宋体" w:cs="宋体"/>
          <w:b/>
          <w:color w:val="000000" w:themeColor="text1"/>
          <w:kern w:val="0"/>
          <w:szCs w:val="21"/>
          <w:highlight w:val="none"/>
          <w14:textFill>
            <w14:solidFill>
              <w14:schemeClr w14:val="tx1"/>
            </w14:solidFill>
          </w14:textFill>
        </w:rPr>
      </w:pPr>
    </w:p>
    <w:p w14:paraId="73018F3E">
      <w:pPr>
        <w:numPr>
          <w:ilvl w:val="-1"/>
          <w:numId w:val="0"/>
        </w:numPr>
        <w:autoSpaceDE/>
        <w:autoSpaceDN/>
        <w:adjustRightInd/>
        <w:spacing w:line="240" w:lineRule="auto"/>
        <w:jc w:val="center"/>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3A133629">
      <w:pPr>
        <w:autoSpaceDE/>
        <w:autoSpaceDN/>
        <w:adjustRightInd/>
        <w:spacing w:line="240" w:lineRule="auto"/>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p>
    <w:p w14:paraId="6A6C3108">
      <w:pPr>
        <w:tabs>
          <w:tab w:val="left" w:pos="567"/>
        </w:tabs>
        <w:autoSpaceDE w:val="0"/>
        <w:autoSpaceDN w:val="0"/>
        <w:adjustRightInd w:val="0"/>
        <w:spacing w:line="360" w:lineRule="auto"/>
        <w:jc w:val="left"/>
        <w:outlineLvl w:val="3"/>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0"/>
          <w:szCs w:val="30"/>
          <w:highlight w:val="none"/>
          <w14:textFill>
            <w14:solidFill>
              <w14:schemeClr w14:val="tx1"/>
            </w14:solidFill>
          </w14:textFill>
        </w:rPr>
        <w:t>、投标产品的设计及性能的证明材料</w:t>
      </w:r>
    </w:p>
    <w:p w14:paraId="3B2FCF31">
      <w:pPr>
        <w:numPr>
          <w:ilvl w:val="-1"/>
          <w:numId w:val="0"/>
        </w:numPr>
        <w:autoSpaceDE/>
        <w:autoSpaceDN/>
        <w:adjustRightInd/>
        <w:spacing w:line="360" w:lineRule="auto"/>
        <w:jc w:val="left"/>
        <w:outlineLvl w:val="9"/>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说明：1、投标人必须提供投标产品性能说明书或其他能体现投标产品性能的证明材料，以此证明材料作为依据进行评审；2、投标人提供的水表类型【提供：DN100垂直螺翼式水表和DN100水平螺翼式水表】的省级或省级以上质量监督检测机构或第三方具有 CMA 资格的检测机构或第三方具有CNAS 认证的检测机构出具的检验报告进行评审。</w:t>
      </w:r>
    </w:p>
    <w:p w14:paraId="2446A83C">
      <w:pPr>
        <w:numPr>
          <w:ilvl w:val="-1"/>
          <w:numId w:val="0"/>
        </w:numPr>
        <w:autoSpaceDE/>
        <w:autoSpaceDN/>
        <w:adjustRightInd/>
        <w:spacing w:line="360" w:lineRule="auto"/>
        <w:jc w:val="left"/>
        <w:outlineLvl w:val="9"/>
        <w:rPr>
          <w:rFonts w:hint="eastAsia" w:ascii="宋体" w:hAnsi="宋体" w:eastAsia="宋体" w:cs="宋体"/>
          <w:b/>
          <w:color w:val="000000" w:themeColor="text1"/>
          <w:kern w:val="0"/>
          <w:szCs w:val="21"/>
          <w:highlight w:val="none"/>
          <w:lang w:val="en-US" w:eastAsia="zh-CN"/>
          <w14:textFill>
            <w14:solidFill>
              <w14:schemeClr w14:val="tx1"/>
            </w14:solidFill>
          </w14:textFill>
        </w:rPr>
      </w:pPr>
    </w:p>
    <w:p w14:paraId="4A03D1AE">
      <w:pPr>
        <w:autoSpaceDE/>
        <w:autoSpaceDN/>
        <w:adjustRightInd/>
        <w:spacing w:line="240" w:lineRule="auto"/>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4BD757C6">
      <w:pPr>
        <w:tabs>
          <w:tab w:val="left" w:pos="567"/>
        </w:tabs>
        <w:autoSpaceDE w:val="0"/>
        <w:autoSpaceDN w:val="0"/>
        <w:adjustRightInd w:val="0"/>
        <w:spacing w:line="360" w:lineRule="auto"/>
        <w:jc w:val="left"/>
        <w:outlineLvl w:val="3"/>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五、生产制造能力的证明材料</w:t>
      </w:r>
    </w:p>
    <w:p w14:paraId="10F42CC2">
      <w:pPr>
        <w:numPr>
          <w:ilvl w:val="-1"/>
          <w:numId w:val="0"/>
        </w:numPr>
        <w:autoSpaceDE/>
        <w:autoSpaceDN/>
        <w:adjustRightInd/>
        <w:spacing w:line="360" w:lineRule="auto"/>
        <w:jc w:val="left"/>
        <w:outlineLvl w:val="9"/>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说明：投标人应提供2025年1月1日或以后拍摄的有关生产设备、检测设备、制造工艺流程及质检设备的照片/图片（照片/图片须清晰反映拍摄时间，否则评标时将不予考虑），以及相关设备设施清单和（付款单位/购买方为所投产品制造商）采购合同及购置发票原件扫描件等证明材料，以投标人提供的上述资料作为评审依据。</w:t>
      </w:r>
    </w:p>
    <w:p w14:paraId="7ECEF6CF">
      <w:pPr>
        <w:numPr>
          <w:ilvl w:val="-1"/>
          <w:numId w:val="0"/>
        </w:numPr>
        <w:autoSpaceDE/>
        <w:autoSpaceDN/>
        <w:adjustRightInd/>
        <w:spacing w:line="360" w:lineRule="auto"/>
        <w:jc w:val="left"/>
        <w:outlineLvl w:val="9"/>
        <w:rPr>
          <w:rFonts w:hint="eastAsia" w:ascii="宋体" w:hAnsi="宋体" w:eastAsia="宋体" w:cs="宋体"/>
          <w:b/>
          <w:color w:val="000000" w:themeColor="text1"/>
          <w:kern w:val="0"/>
          <w:szCs w:val="21"/>
          <w:highlight w:val="none"/>
          <w:lang w:val="en-US" w:eastAsia="zh-CN"/>
          <w14:textFill>
            <w14:solidFill>
              <w14:schemeClr w14:val="tx1"/>
            </w14:solidFill>
          </w14:textFill>
        </w:rPr>
      </w:pPr>
    </w:p>
    <w:p w14:paraId="1CFFA186">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476EDB34">
      <w:pPr>
        <w:tabs>
          <w:tab w:val="left" w:pos="567"/>
        </w:tabs>
        <w:autoSpaceDE w:val="0"/>
        <w:autoSpaceDN w:val="0"/>
        <w:adjustRightInd w:val="0"/>
        <w:spacing w:line="360" w:lineRule="auto"/>
        <w:jc w:val="left"/>
        <w:outlineLvl w:val="3"/>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六、售后服务方案</w:t>
      </w:r>
    </w:p>
    <w:p w14:paraId="2BF75EC8">
      <w:pPr>
        <w:tabs>
          <w:tab w:val="left" w:pos="567"/>
        </w:tabs>
        <w:autoSpaceDE w:val="0"/>
        <w:autoSpaceDN w:val="0"/>
        <w:adjustRightInd w:val="0"/>
        <w:spacing w:line="360" w:lineRule="auto"/>
        <w:jc w:val="left"/>
        <w:outlineLvl w:val="3"/>
        <w:rPr>
          <w:rFonts w:hint="default"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6.1 售后服务方案</w:t>
      </w:r>
    </w:p>
    <w:p w14:paraId="2AFDB4E5">
      <w:pPr>
        <w:numPr>
          <w:ilvl w:val="-1"/>
          <w:numId w:val="0"/>
        </w:numPr>
        <w:autoSpaceDE/>
        <w:autoSpaceDN/>
        <w:adjustRightInd/>
        <w:spacing w:line="360" w:lineRule="auto"/>
        <w:jc w:val="left"/>
        <w:outlineLvl w:val="9"/>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Cs w:val="21"/>
          <w:highlight w:val="none"/>
          <w:lang w:val="en-US" w:eastAsia="zh-CN"/>
          <w14:textFill>
            <w14:solidFill>
              <w14:schemeClr w14:val="tx1"/>
            </w14:solidFill>
          </w14:textFill>
        </w:rPr>
        <w:t>说明：投标人自行编写。</w:t>
      </w:r>
    </w:p>
    <w:p w14:paraId="2F8A0056">
      <w:pPr>
        <w:numPr>
          <w:ilvl w:val="-1"/>
          <w:numId w:val="0"/>
        </w:numPr>
        <w:autoSpaceDE/>
        <w:autoSpaceDN/>
        <w:adjustRightInd/>
        <w:spacing w:line="360" w:lineRule="auto"/>
        <w:jc w:val="left"/>
        <w:outlineLvl w:val="9"/>
        <w:rPr>
          <w:rFonts w:hint="eastAsia" w:ascii="宋体" w:hAnsi="宋体" w:eastAsia="宋体" w:cs="宋体"/>
          <w:b/>
          <w:color w:val="000000" w:themeColor="text1"/>
          <w:kern w:val="0"/>
          <w:szCs w:val="21"/>
          <w:highlight w:val="none"/>
          <w:lang w:val="en-US" w:eastAsia="zh-CN"/>
          <w14:textFill>
            <w14:solidFill>
              <w14:schemeClr w14:val="tx1"/>
            </w14:solidFill>
          </w14:textFill>
        </w:rPr>
      </w:pPr>
    </w:p>
    <w:p w14:paraId="65143BEF">
      <w:pPr>
        <w:numPr>
          <w:ilvl w:val="-1"/>
          <w:numId w:val="0"/>
        </w:numPr>
        <w:autoSpaceDE/>
        <w:autoSpaceDN/>
        <w:adjustRightInd/>
        <w:spacing w:line="360" w:lineRule="auto"/>
        <w:jc w:val="left"/>
        <w:outlineLvl w:val="9"/>
        <w:rPr>
          <w:rFonts w:hint="eastAsia" w:ascii="宋体" w:hAnsi="宋体" w:eastAsia="宋体" w:cs="宋体"/>
          <w:b/>
          <w:color w:val="000000" w:themeColor="text1"/>
          <w:kern w:val="0"/>
          <w:szCs w:val="21"/>
          <w:highlight w:val="none"/>
          <w:lang w:val="en-US" w:eastAsia="zh-CN"/>
          <w14:textFill>
            <w14:solidFill>
              <w14:schemeClr w14:val="tx1"/>
            </w14:solidFill>
          </w14:textFill>
        </w:rPr>
      </w:pPr>
    </w:p>
    <w:p w14:paraId="04F9E33A">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073A48AF">
      <w:pPr>
        <w:tabs>
          <w:tab w:val="left" w:pos="567"/>
        </w:tabs>
        <w:autoSpaceDE w:val="0"/>
        <w:autoSpaceDN w:val="0"/>
        <w:adjustRightInd w:val="0"/>
        <w:spacing w:line="360" w:lineRule="auto"/>
        <w:jc w:val="left"/>
        <w:outlineLvl w:val="3"/>
        <w:rPr>
          <w:rFonts w:hint="default"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6.2 售后服务响应时间承诺表</w:t>
      </w:r>
    </w:p>
    <w:p w14:paraId="04EEFF5B">
      <w:pPr>
        <w:jc w:val="center"/>
        <w:rPr>
          <w:rFonts w:hint="eastAsia" w:ascii="宋体" w:hAnsi="宋体" w:eastAsia="宋体" w:cs="宋体"/>
          <w:b/>
          <w:color w:val="000000" w:themeColor="text1"/>
          <w:sz w:val="28"/>
          <w:szCs w:val="30"/>
          <w:highlight w:val="none"/>
          <w14:textFill>
            <w14:solidFill>
              <w14:schemeClr w14:val="tx1"/>
            </w14:solidFill>
          </w14:textFill>
        </w:rPr>
      </w:pPr>
      <w:r>
        <w:rPr>
          <w:rFonts w:hint="eastAsia" w:ascii="宋体" w:hAnsi="宋体" w:eastAsia="宋体" w:cs="宋体"/>
          <w:b/>
          <w:color w:val="000000" w:themeColor="text1"/>
          <w:sz w:val="28"/>
          <w:szCs w:val="30"/>
          <w:highlight w:val="none"/>
          <w14:textFill>
            <w14:solidFill>
              <w14:schemeClr w14:val="tx1"/>
            </w14:solidFill>
          </w14:textFill>
        </w:rPr>
        <w:t>售后服务响应时间承诺表</w:t>
      </w:r>
    </w:p>
    <w:tbl>
      <w:tblPr>
        <w:tblStyle w:val="44"/>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15"/>
      </w:tblGrid>
      <w:tr w14:paraId="6786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8" w:type="dxa"/>
            <w:noWrap w:val="0"/>
            <w:vAlign w:val="center"/>
          </w:tcPr>
          <w:p w14:paraId="491E1E4F">
            <w:pPr>
              <w:spacing w:line="360" w:lineRule="auto"/>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序号</w:t>
            </w:r>
          </w:p>
        </w:tc>
        <w:tc>
          <w:tcPr>
            <w:tcW w:w="9115" w:type="dxa"/>
            <w:noWrap w:val="0"/>
            <w:vAlign w:val="center"/>
          </w:tcPr>
          <w:p w14:paraId="4C7500B8">
            <w:pPr>
              <w:spacing w:line="360" w:lineRule="auto"/>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承诺事项</w:t>
            </w:r>
          </w:p>
        </w:tc>
      </w:tr>
      <w:tr w14:paraId="0E01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5303CD8E">
            <w:pPr>
              <w:spacing w:line="360" w:lineRule="auto"/>
              <w:jc w:val="cente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1</w:t>
            </w:r>
          </w:p>
        </w:tc>
        <w:tc>
          <w:tcPr>
            <w:tcW w:w="9115" w:type="dxa"/>
            <w:noWrap w:val="0"/>
            <w:vAlign w:val="center"/>
          </w:tcPr>
          <w:p w14:paraId="0BE0EED0">
            <w:pPr>
              <w:spacing w:line="360" w:lineRule="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我方承诺在合同规定的质保期内，在接到招标人的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售后服务</w:t>
            </w:r>
            <w:r>
              <w:rPr>
                <w:rFonts w:hint="eastAsia" w:ascii="宋体" w:hAnsi="宋体" w:eastAsia="宋体" w:cs="宋体"/>
                <w:color w:val="000000" w:themeColor="text1"/>
                <w:sz w:val="21"/>
                <w:szCs w:val="21"/>
                <w:highlight w:val="none"/>
                <w14:textFill>
                  <w14:solidFill>
                    <w14:schemeClr w14:val="tx1"/>
                  </w14:solidFill>
                </w14:textFill>
              </w:rPr>
              <w:t>通知后</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小时</w:t>
            </w:r>
            <w:r>
              <w:rPr>
                <w:rFonts w:hint="eastAsia" w:ascii="宋体" w:hAnsi="宋体" w:eastAsia="宋体" w:cs="宋体"/>
                <w:color w:val="000000" w:themeColor="text1"/>
                <w:sz w:val="21"/>
                <w:szCs w:val="21"/>
                <w:highlight w:val="none"/>
                <w14:textFill>
                  <w14:solidFill>
                    <w14:schemeClr w14:val="tx1"/>
                  </w14:solidFill>
                </w14:textFill>
              </w:rPr>
              <w:t>内响应，</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小时</w:t>
            </w:r>
            <w:r>
              <w:rPr>
                <w:rFonts w:hint="eastAsia" w:ascii="宋体" w:hAnsi="宋体" w:eastAsia="宋体" w:cs="宋体"/>
                <w:color w:val="000000" w:themeColor="text1"/>
                <w:sz w:val="21"/>
                <w:szCs w:val="21"/>
                <w:highlight w:val="none"/>
                <w14:textFill>
                  <w14:solidFill>
                    <w14:schemeClr w14:val="tx1"/>
                  </w14:solidFill>
                </w14:textFill>
              </w:rPr>
              <w:t>内到达项目现场进行维修等服务。</w:t>
            </w:r>
          </w:p>
        </w:tc>
      </w:tr>
    </w:tbl>
    <w:p w14:paraId="04E81113">
      <w:pPr>
        <w:spacing w:line="360" w:lineRule="auto"/>
        <w:ind w:left="360" w:right="420" w:firstLine="3255" w:firstLineChars="1550"/>
        <w:rPr>
          <w:rFonts w:hint="eastAsia" w:ascii="宋体" w:hAnsi="宋体" w:eastAsia="宋体" w:cs="宋体"/>
          <w:color w:val="000000" w:themeColor="text1"/>
          <w:sz w:val="21"/>
          <w:szCs w:val="21"/>
          <w:highlight w:val="none"/>
          <w14:textFill>
            <w14:solidFill>
              <w14:schemeClr w14:val="tx1"/>
            </w14:solidFill>
          </w14:textFill>
        </w:rPr>
      </w:pPr>
    </w:p>
    <w:p w14:paraId="25CCEBED">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14:paraId="690F86F5">
      <w:pPr>
        <w:spacing w:line="360" w:lineRule="auto"/>
        <w:ind w:firstLine="424" w:firstLineChars="201"/>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1.本表承诺事项若未填或漏填的，视为投标人按用户需求书响应。</w:t>
      </w:r>
    </w:p>
    <w:p w14:paraId="4143D916">
      <w:pPr>
        <w:spacing w:line="360" w:lineRule="auto"/>
        <w:ind w:firstLine="424" w:firstLineChars="201"/>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2.本表承诺事项若与投标文件其他地方表述不一致的，以本承诺表为准。</w:t>
      </w:r>
    </w:p>
    <w:p w14:paraId="45B1B4DB">
      <w:pPr>
        <w:spacing w:line="360" w:lineRule="auto"/>
        <w:ind w:left="360" w:right="420" w:firstLine="3255" w:firstLineChars="1550"/>
        <w:rPr>
          <w:rFonts w:hint="eastAsia" w:ascii="宋体" w:hAnsi="宋体" w:eastAsia="宋体" w:cs="宋体"/>
          <w:color w:val="000000" w:themeColor="text1"/>
          <w:kern w:val="3"/>
          <w:highlight w:val="none"/>
          <w14:textFill>
            <w14:solidFill>
              <w14:schemeClr w14:val="tx1"/>
            </w14:solidFill>
          </w14:textFill>
        </w:rPr>
      </w:pPr>
    </w:p>
    <w:p w14:paraId="3651FD92">
      <w:pPr>
        <w:autoSpaceDE w:val="0"/>
        <w:autoSpaceDN w:val="0"/>
        <w:adjustRightInd w:val="0"/>
        <w:spacing w:line="360" w:lineRule="auto"/>
        <w:ind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（企业数字证书电子签名）</w:t>
      </w:r>
    </w:p>
    <w:p w14:paraId="372D87F0">
      <w:pPr>
        <w:autoSpaceDE w:val="0"/>
        <w:autoSpaceDN w:val="0"/>
        <w:adjustRightInd w:val="0"/>
        <w:spacing w:line="360" w:lineRule="auto"/>
        <w:ind w:firstLine="3780" w:firstLineChars="180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160BF734">
      <w:pPr>
        <w:autoSpaceDE w:val="0"/>
        <w:autoSpaceDN w:val="0"/>
        <w:adjustRightInd w:val="0"/>
        <w:spacing w:line="360" w:lineRule="auto"/>
        <w:jc w:val="center"/>
        <w:rPr>
          <w:rFonts w:ascii="宋体" w:hAnsi="宋体" w:eastAsia="宋体" w:cs="Times New Roman"/>
          <w:b/>
          <w:bCs/>
          <w:color w:val="000000" w:themeColor="text1"/>
          <w:szCs w:val="24"/>
          <w:highlight w:val="none"/>
          <w:lang w:val="zh-CN"/>
          <w14:textFill>
            <w14:solidFill>
              <w14:schemeClr w14:val="tx1"/>
            </w14:solidFill>
          </w14:textFill>
        </w:rPr>
      </w:pPr>
    </w:p>
    <w:p w14:paraId="28A841F3">
      <w:pPr>
        <w:widowControl/>
        <w:autoSpaceDE w:val="0"/>
        <w:autoSpaceDN w:val="0"/>
        <w:adjustRightInd w:val="0"/>
        <w:spacing w:line="36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说明：由投标人使用投标人的企业数字证书电子签名。</w:t>
      </w:r>
    </w:p>
    <w:p w14:paraId="6D356C28">
      <w:pPr>
        <w:autoSpaceDE/>
        <w:autoSpaceDN/>
        <w:adjustRightInd/>
        <w:spacing w:line="240" w:lineRule="auto"/>
        <w:jc w:val="left"/>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bookmarkEnd w:id="1157"/>
    <w:bookmarkEnd w:id="1158"/>
    <w:bookmarkEnd w:id="1159"/>
    <w:bookmarkEnd w:id="1160"/>
    <w:bookmarkEnd w:id="1161"/>
    <w:p w14:paraId="243B8C75">
      <w:pPr>
        <w:tabs>
          <w:tab w:val="left" w:pos="567"/>
        </w:tabs>
        <w:autoSpaceDE w:val="0"/>
        <w:autoSpaceDN w:val="0"/>
        <w:adjustRightInd w:val="0"/>
        <w:spacing w:line="360" w:lineRule="auto"/>
        <w:jc w:val="left"/>
        <w:outlineLvl w:val="3"/>
        <w:rPr>
          <w:rFonts w:ascii="宋体" w:hAnsi="宋体" w:eastAsia="宋体" w:cs="宋体"/>
          <w:b/>
          <w:color w:val="000000" w:themeColor="text1"/>
          <w:kern w:val="0"/>
          <w:sz w:val="30"/>
          <w:szCs w:val="30"/>
          <w:highlight w:val="none"/>
          <w14:textFill>
            <w14:solidFill>
              <w14:schemeClr w14:val="tx1"/>
            </w14:solidFill>
          </w14:textFill>
        </w:rPr>
      </w:pPr>
      <w:bookmarkStart w:id="1163" w:name="_Toc31805"/>
      <w:bookmarkStart w:id="1164" w:name="_Toc195714409"/>
      <w:r>
        <w:rPr>
          <w:rFonts w:hint="eastAsia" w:ascii="宋体" w:hAnsi="宋体" w:eastAsia="宋体" w:cs="宋体"/>
          <w:b/>
          <w:color w:val="000000" w:themeColor="text1"/>
          <w:kern w:val="0"/>
          <w:sz w:val="30"/>
          <w:szCs w:val="30"/>
          <w:highlight w:val="none"/>
          <w:lang w:val="en-US" w:eastAsia="zh-CN" w:bidi="ar"/>
          <w14:textFill>
            <w14:solidFill>
              <w14:schemeClr w14:val="tx1"/>
            </w14:solidFill>
          </w14:textFill>
        </w:rPr>
        <w:t>七</w:t>
      </w:r>
      <w:r>
        <w:rPr>
          <w:rFonts w:hint="eastAsia" w:ascii="宋体" w:hAnsi="宋体" w:eastAsia="宋体" w:cs="宋体"/>
          <w:b/>
          <w:color w:val="000000" w:themeColor="text1"/>
          <w:kern w:val="0"/>
          <w:sz w:val="30"/>
          <w:szCs w:val="30"/>
          <w:highlight w:val="none"/>
          <w14:textFill>
            <w14:solidFill>
              <w14:schemeClr w14:val="tx1"/>
            </w14:solidFill>
          </w14:textFill>
        </w:rPr>
        <w:t>、投标人认为有必要提供的其它材料（不做强制要求）</w:t>
      </w:r>
      <w:bookmarkEnd w:id="1163"/>
      <w:bookmarkEnd w:id="1164"/>
    </w:p>
    <w:p w14:paraId="658FFFCD">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98BFBAE">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07C58FD4">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02F365C1">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3813B4EE">
      <w:pPr>
        <w:autoSpaceDE/>
        <w:autoSpaceDN/>
        <w:adjustRightInd/>
        <w:jc w:val="left"/>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6BE6C779">
      <w:pPr>
        <w:keepNext w:val="0"/>
        <w:keepLines w:val="0"/>
        <w:pageBreakBefore w:val="0"/>
        <w:widowControl w:val="0"/>
        <w:kinsoku/>
        <w:wordWrap/>
        <w:overflowPunct/>
        <w:topLinePunct w:val="0"/>
        <w:autoSpaceDE/>
        <w:autoSpaceDN/>
        <w:bidi w:val="0"/>
        <w:adjustRightInd/>
        <w:snapToGrid/>
        <w:jc w:val="center"/>
        <w:textAlignment w:val="auto"/>
        <w:outlineLvl w:val="3"/>
        <w:rPr>
          <w:rFonts w:ascii="宋体" w:hAnsi="宋体" w:eastAsia="宋体" w:cs="宋体"/>
          <w:b/>
          <w:color w:val="000000" w:themeColor="text1"/>
          <w:kern w:val="0"/>
          <w:sz w:val="32"/>
          <w:szCs w:val="32"/>
          <w:highlight w:val="none"/>
          <w14:textFill>
            <w14:solidFill>
              <w14:schemeClr w14:val="tx1"/>
            </w14:solidFill>
          </w14:textFill>
        </w:rPr>
      </w:pPr>
      <w:bookmarkStart w:id="1165" w:name="_Toc195714410"/>
      <w:bookmarkStart w:id="1166" w:name="_Toc13980"/>
      <w:r>
        <w:rPr>
          <w:rFonts w:hint="eastAsia" w:ascii="宋体" w:hAnsi="宋体" w:eastAsia="宋体" w:cs="宋体"/>
          <w:b/>
          <w:color w:val="000000" w:themeColor="text1"/>
          <w:kern w:val="0"/>
          <w:sz w:val="32"/>
          <w:szCs w:val="32"/>
          <w:highlight w:val="none"/>
          <w14:textFill>
            <w14:solidFill>
              <w14:schemeClr w14:val="tx1"/>
            </w14:solidFill>
          </w14:textFill>
        </w:rPr>
        <w:t>三  投标文件报价信封格式</w:t>
      </w:r>
      <w:bookmarkEnd w:id="1165"/>
      <w:bookmarkEnd w:id="1166"/>
    </w:p>
    <w:p w14:paraId="578A9F10">
      <w:pPr>
        <w:jc w:val="center"/>
        <w:rPr>
          <w:rFonts w:ascii="宋体" w:hAnsi="宋体" w:eastAsia="宋体" w:cs="宋体"/>
          <w:b/>
          <w:color w:val="000000" w:themeColor="text1"/>
          <w:kern w:val="0"/>
          <w:sz w:val="32"/>
          <w:szCs w:val="32"/>
          <w:highlight w:val="none"/>
          <w14:textFill>
            <w14:solidFill>
              <w14:schemeClr w14:val="tx1"/>
            </w14:solidFill>
          </w14:textFill>
        </w:rPr>
      </w:pPr>
    </w:p>
    <w:p w14:paraId="6EAE9FC2">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本部分由投标人使用电子标书制作软件编制并生成报价信封。报价信封的编制要求详见第二篇投标人须知第17.6.3项。由投标人按格式要求进行电子签名。</w:t>
      </w:r>
    </w:p>
    <w:p w14:paraId="0FFA02C8">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382C7C8D">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05BE2911">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C912DD8">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B273652">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0832CE13">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356BD516">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6B3C2793">
      <w:pPr>
        <w:tabs>
          <w:tab w:val="left" w:pos="1080"/>
        </w:tabs>
        <w:autoSpaceDE w:val="0"/>
        <w:autoSpaceDN w:val="0"/>
        <w:adjustRightInd w:val="0"/>
        <w:spacing w:line="360" w:lineRule="auto"/>
        <w:jc w:val="left"/>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1167" w:name="_Toc17825"/>
      <w:bookmarkStart w:id="1168" w:name="_Toc15947"/>
      <w:bookmarkStart w:id="1169" w:name="_Toc142508390"/>
      <w:bookmarkStart w:id="1170" w:name="_Toc14977"/>
      <w:bookmarkStart w:id="1171" w:name="_Toc2831"/>
      <w:bookmarkStart w:id="1172" w:name="_Toc21059"/>
      <w:bookmarkStart w:id="1173" w:name="_Toc195714411"/>
      <w:bookmarkStart w:id="1174" w:name="_Toc521918141"/>
      <w:bookmarkStart w:id="1175" w:name="_Toc22601_WPSOffice_Level1"/>
      <w:bookmarkStart w:id="1176" w:name="_Toc522047402"/>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1167"/>
      <w:bookmarkEnd w:id="1168"/>
      <w:bookmarkEnd w:id="1169"/>
      <w:bookmarkEnd w:id="1170"/>
      <w:bookmarkEnd w:id="1171"/>
      <w:bookmarkEnd w:id="1172"/>
      <w:bookmarkEnd w:id="1173"/>
    </w:p>
    <w:p w14:paraId="1A5F3FD0">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498A6CE4">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7F1014C5">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02CEC9C1">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08A16E4B">
      <w:pPr>
        <w:autoSpaceDE w:val="0"/>
        <w:autoSpaceDN w:val="0"/>
        <w:adjustRightInd w:val="0"/>
        <w:spacing w:line="360" w:lineRule="auto"/>
        <w:jc w:val="center"/>
        <w:rPr>
          <w:rFonts w:hint="eastAsia" w:ascii="宋体" w:hAnsi="宋体" w:eastAsia="宋体" w:cs="宋体"/>
          <w:b/>
          <w:bCs/>
          <w:color w:val="000000" w:themeColor="text1"/>
          <w:sz w:val="36"/>
          <w:szCs w:val="44"/>
          <w:highlight w:val="none"/>
          <w:lang w:eastAsia="zh-CN"/>
          <w14:textFill>
            <w14:solidFill>
              <w14:schemeClr w14:val="tx1"/>
            </w14:solidFill>
          </w14:textFill>
        </w:rPr>
      </w:pPr>
      <w:r>
        <w:rPr>
          <w:rFonts w:hint="eastAsia" w:ascii="宋体" w:hAnsi="宋体" w:eastAsia="宋体" w:cs="宋体"/>
          <w:b/>
          <w:bCs/>
          <w:color w:val="000000" w:themeColor="text1"/>
          <w:sz w:val="40"/>
          <w:szCs w:val="36"/>
          <w:highlight w:val="none"/>
          <w:lang w:eastAsia="zh-CN"/>
          <w14:textFill>
            <w14:solidFill>
              <w14:schemeClr w14:val="tx1"/>
            </w14:solidFill>
          </w14:textFill>
        </w:rPr>
        <w:t>东莞市供水计量设施更新项目(2025年计量仪表采购)－螺翼式远传水表</w:t>
      </w:r>
    </w:p>
    <w:p w14:paraId="634B7719">
      <w:pPr>
        <w:autoSpaceDE w:val="0"/>
        <w:autoSpaceDN w:val="0"/>
        <w:adjustRightIn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1177"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w:t>
      </w:r>
      <w:r>
        <w:rPr>
          <w:rFonts w:hint="eastAsia" w:ascii="宋体" w:hAnsi="宋体" w:eastAsia="宋体" w:cs="宋体"/>
          <w:b/>
          <w:bCs/>
          <w:color w:val="000000" w:themeColor="text1"/>
          <w:sz w:val="36"/>
          <w:szCs w:val="36"/>
          <w:highlight w:val="none"/>
          <w:u w:val="single"/>
          <w:lang w:val="zh-CN"/>
          <w14:textFill>
            <w14:solidFill>
              <w14:schemeClr w14:val="tx1"/>
            </w14:solidFill>
          </w14:textFill>
        </w:rPr>
        <w:t xml:space="preserve"> SSWSSZ12501140 </w:t>
      </w:r>
      <w:r>
        <w:rPr>
          <w:rFonts w:hint="eastAsia" w:ascii="宋体" w:hAnsi="宋体" w:eastAsia="宋体" w:cs="宋体"/>
          <w:b/>
          <w:bCs/>
          <w:color w:val="000000" w:themeColor="text1"/>
          <w:sz w:val="36"/>
          <w:szCs w:val="36"/>
          <w:highlight w:val="none"/>
          <w:lang w:val="zh-CN"/>
          <w14:textFill>
            <w14:solidFill>
              <w14:schemeClr w14:val="tx1"/>
            </w14:solidFill>
          </w14:textFill>
        </w:rPr>
        <w:t>）</w:t>
      </w:r>
      <w:bookmarkEnd w:id="1177"/>
    </w:p>
    <w:p w14:paraId="1EBC10D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55799B39">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0C6AA96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6D626F61">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25DFAC6">
      <w:pPr>
        <w:autoSpaceDE w:val="0"/>
        <w:autoSpaceDN w:val="0"/>
        <w:adjustRightInd w:val="0"/>
        <w:spacing w:line="400" w:lineRule="atLeast"/>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1178"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1178"/>
    </w:p>
    <w:p w14:paraId="0824453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0C11AB0">
      <w:pPr>
        <w:autoSpaceDE w:val="0"/>
        <w:autoSpaceDN w:val="0"/>
        <w:adjustRightInd w:val="0"/>
        <w:spacing w:line="400" w:lineRule="atLeast"/>
        <w:rPr>
          <w:rFonts w:ascii="宋体" w:hAnsi="宋体" w:eastAsia="宋体" w:cs="宋体"/>
          <w:b/>
          <w:bCs/>
          <w:color w:val="000000" w:themeColor="text1"/>
          <w:sz w:val="36"/>
          <w:szCs w:val="36"/>
          <w:highlight w:val="none"/>
          <w14:textFill>
            <w14:solidFill>
              <w14:schemeClr w14:val="tx1"/>
            </w14:solidFill>
          </w14:textFill>
        </w:rPr>
      </w:pPr>
    </w:p>
    <w:p w14:paraId="1A5FCEA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57D8E0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847F7F6">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85DAEB0">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建成工程咨询股份有限公司</w:t>
      </w:r>
    </w:p>
    <w:p w14:paraId="3DFE9FC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5E2EA5E8">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1179"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1179"/>
    </w:p>
    <w:p w14:paraId="672E94EC">
      <w:pPr>
        <w:autoSpaceDE w:val="0"/>
        <w:autoSpaceDN w:val="0"/>
        <w:adjustRightInd w:val="0"/>
        <w:spacing w:line="400" w:lineRule="atLeast"/>
        <w:jc w:val="center"/>
        <w:rPr>
          <w:rFonts w:ascii="宋体" w:hAnsi="宋体" w:eastAsia="宋体" w:cs="宋体"/>
          <w:color w:val="000000" w:themeColor="text1"/>
          <w:sz w:val="44"/>
          <w:szCs w:val="44"/>
          <w:highlight w:val="none"/>
          <w14:textFill>
            <w14:solidFill>
              <w14:schemeClr w14:val="tx1"/>
            </w14:solidFill>
          </w14:textFill>
        </w:rPr>
      </w:pPr>
    </w:p>
    <w:p w14:paraId="5BEB5E2B">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180"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1180"/>
    </w:p>
    <w:p w14:paraId="29BCAD86">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181"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1181"/>
    </w:p>
    <w:p w14:paraId="6B07842F">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182"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1182"/>
    </w:p>
    <w:p w14:paraId="70E848EC">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183"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1183"/>
    </w:p>
    <w:p w14:paraId="56C1C7B8">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184"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1184"/>
    </w:p>
    <w:p w14:paraId="0C7C640C">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185"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1185"/>
    </w:p>
    <w:p w14:paraId="1787B5DC">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186"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1186"/>
    </w:p>
    <w:p w14:paraId="5782036D">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38069240">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0BDB9878">
      <w:pPr>
        <w:tabs>
          <w:tab w:val="left" w:pos="1080"/>
          <w:tab w:val="right" w:pos="7320"/>
        </w:tabs>
        <w:autoSpaceDE w:val="0"/>
        <w:autoSpaceDN w:val="0"/>
        <w:adjustRightInd w:val="0"/>
        <w:spacing w:line="400" w:lineRule="atLeast"/>
        <w:ind w:left="720" w:hanging="720"/>
        <w:rPr>
          <w:rFonts w:ascii="宋体" w:hAnsi="宋体" w:eastAsia="宋体" w:cs="宋体"/>
          <w:color w:val="000000" w:themeColor="text1"/>
          <w:szCs w:val="30"/>
          <w:highlight w:val="none"/>
          <w14:textFill>
            <w14:solidFill>
              <w14:schemeClr w14:val="tx1"/>
            </w14:solidFill>
          </w14:textFill>
        </w:rPr>
      </w:pPr>
    </w:p>
    <w:p w14:paraId="557AE209">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1187"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1187"/>
    </w:p>
    <w:p w14:paraId="4880040D">
      <w:pPr>
        <w:tabs>
          <w:tab w:val="left" w:pos="567"/>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1、一般规定</w:t>
      </w:r>
    </w:p>
    <w:p w14:paraId="6B320BA9">
      <w:pPr>
        <w:autoSpaceDE w:val="0"/>
        <w:autoSpaceDN w:val="0"/>
        <w:adjustRightInd w:val="0"/>
        <w:spacing w:line="360" w:lineRule="auto"/>
        <w:ind w:left="567" w:hanging="567"/>
        <w:rPr>
          <w:rFonts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lang w:eastAsia="zh-CN"/>
          <w14:textFill>
            <w14:solidFill>
              <w14:schemeClr w14:val="tx1"/>
            </w14:solidFill>
          </w14:textFill>
        </w:rPr>
        <w:t>东莞市供水计量设施更新项目(2025年计量仪表采购)－螺翼式远传水表</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SSWSSZ12501140</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14:paraId="65A14430">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p>
    <w:p w14:paraId="280D65C5">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w:t>
      </w:r>
      <w:r>
        <w:rPr>
          <w:rFonts w:hint="eastAsia" w:ascii="宋体" w:hAnsi="宋体" w:eastAsia="宋体" w:cs="宋体"/>
          <w:color w:val="000000" w:themeColor="text1"/>
          <w:kern w:val="0"/>
          <w:szCs w:val="32"/>
          <w:highlight w:val="none"/>
          <w:lang w:eastAsia="zh-CN"/>
          <w14:textFill>
            <w14:solidFill>
              <w14:schemeClr w14:val="tx1"/>
            </w14:solidFill>
          </w14:textFill>
        </w:rPr>
        <w:t>建成工程咨询股份有限公司</w:t>
      </w:r>
      <w:r>
        <w:rPr>
          <w:rFonts w:hint="eastAsia" w:ascii="宋体" w:hAnsi="宋体" w:eastAsia="宋体" w:cs="宋体"/>
          <w:color w:val="000000" w:themeColor="text1"/>
          <w:kern w:val="0"/>
          <w:szCs w:val="32"/>
          <w:highlight w:val="none"/>
          <w14:textFill>
            <w14:solidFill>
              <w14:schemeClr w14:val="tx1"/>
            </w14:solidFill>
          </w14:textFill>
        </w:rPr>
        <w:t>）组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14:paraId="61851153">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14:paraId="090D17A1">
      <w:pPr>
        <w:numPr>
          <w:ilvl w:val="1"/>
          <w:numId w:val="5"/>
        </w:numPr>
        <w:autoSpaceDE w:val="0"/>
        <w:autoSpaceDN w:val="0"/>
        <w:adjustRightInd w:val="0"/>
        <w:spacing w:line="360" w:lineRule="auto"/>
        <w:ind w:left="565" w:hanging="564" w:hangingChars="269"/>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14:paraId="3F19155A">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2F359806">
      <w:pPr>
        <w:tabs>
          <w:tab w:val="left" w:pos="360"/>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p>
    <w:p w14:paraId="23794697">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r>
        <w:rPr>
          <w:rFonts w:hint="eastAsia" w:ascii="宋体" w:hAnsi="宋体" w:eastAsia="宋体" w:cs="宋体"/>
          <w:color w:val="000000" w:themeColor="text1"/>
          <w:kern w:val="0"/>
          <w:szCs w:val="24"/>
          <w:highlight w:val="none"/>
          <w:lang w:val="en-US" w:eastAsia="zh-CN"/>
          <w14:textFill>
            <w14:solidFill>
              <w14:schemeClr w14:val="tx1"/>
            </w14:solidFill>
          </w14:textFill>
        </w:rPr>
        <w:t>7</w:t>
      </w:r>
      <w:r>
        <w:rPr>
          <w:rFonts w:ascii="宋体" w:hAnsi="宋体" w:eastAsia="宋体" w:cs="宋体"/>
          <w:color w:val="000000" w:themeColor="text1"/>
          <w:kern w:val="0"/>
          <w:szCs w:val="24"/>
          <w:highlight w:val="none"/>
          <w14:textFill>
            <w14:solidFill>
              <w14:schemeClr w14:val="tx1"/>
            </w14:solidFill>
          </w14:textFill>
        </w:rPr>
        <w:t>人以上（含</w:t>
      </w:r>
      <w:r>
        <w:rPr>
          <w:rFonts w:hint="eastAsia" w:ascii="宋体" w:hAnsi="宋体" w:eastAsia="宋体" w:cs="宋体"/>
          <w:color w:val="000000" w:themeColor="text1"/>
          <w:kern w:val="0"/>
          <w:szCs w:val="24"/>
          <w:highlight w:val="none"/>
          <w:lang w:val="en-US" w:eastAsia="zh-CN"/>
          <w14:textFill>
            <w14:solidFill>
              <w14:schemeClr w14:val="tx1"/>
            </w14:solidFill>
          </w14:textFill>
        </w:rPr>
        <w:t>7</w:t>
      </w:r>
      <w:r>
        <w:rPr>
          <w:rFonts w:ascii="宋体" w:hAnsi="宋体" w:eastAsia="宋体" w:cs="宋体"/>
          <w:color w:val="000000" w:themeColor="text1"/>
          <w:kern w:val="0"/>
          <w:szCs w:val="24"/>
          <w:highlight w:val="none"/>
          <w14:textFill>
            <w14:solidFill>
              <w14:schemeClr w14:val="tx1"/>
            </w14:solidFill>
          </w14:textFill>
        </w:rPr>
        <w:t>人）单数</w:t>
      </w:r>
      <w:r>
        <w:rPr>
          <w:rFonts w:hint="eastAsia" w:ascii="宋体" w:hAnsi="宋体" w:eastAsia="宋体" w:cs="宋体"/>
          <w:color w:val="000000" w:themeColor="text1"/>
          <w:kern w:val="0"/>
          <w:szCs w:val="24"/>
          <w:highlight w:val="none"/>
          <w14:textFill>
            <w14:solidFill>
              <w14:schemeClr w14:val="tx1"/>
            </w14:solidFill>
          </w14:textFill>
        </w:rPr>
        <w:t>，其中技术、经济等方面的专家不少于成员总数的三分之二。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14:paraId="33972301">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14:paraId="7545C191">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p>
    <w:p w14:paraId="62C3FBEC">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14:paraId="215219BC">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3D8697E8">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p>
    <w:p w14:paraId="3283AAE7">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14:paraId="6EF18BF4">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14:paraId="3F1CB16B">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14:paraId="026C9B6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14:paraId="68982166">
      <w:pPr>
        <w:autoSpaceDE w:val="0"/>
        <w:autoSpaceDN w:val="0"/>
        <w:adjustRightInd w:val="0"/>
        <w:spacing w:line="360" w:lineRule="auto"/>
        <w:jc w:val="left"/>
        <w:rPr>
          <w:rFonts w:ascii="宋体" w:hAnsi="宋体" w:eastAsia="宋体" w:cs="宋体"/>
          <w:color w:val="000000" w:themeColor="text1"/>
          <w:kern w:val="0"/>
          <w:sz w:val="24"/>
          <w:szCs w:val="24"/>
          <w:highlight w:val="none"/>
          <w:lang w:val="zh-CN"/>
          <w14:textFill>
            <w14:solidFill>
              <w14:schemeClr w14:val="tx1"/>
            </w14:solidFill>
          </w14:textFill>
        </w:rPr>
      </w:pPr>
    </w:p>
    <w:p w14:paraId="00AFFDB6">
      <w:pPr>
        <w:tabs>
          <w:tab w:val="left" w:pos="720"/>
        </w:tabs>
        <w:autoSpaceDE w:val="0"/>
        <w:autoSpaceDN w:val="0"/>
        <w:adjustRightInd w:val="0"/>
        <w:spacing w:line="360" w:lineRule="auto"/>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p>
    <w:p w14:paraId="1BA986F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14:paraId="32067B99">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14:paraId="56208E4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14:paraId="50C07D8C">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14:paraId="2E2643F7">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14:paraId="43F86DC6">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14:paraId="3F2D0310">
      <w:pPr>
        <w:tabs>
          <w:tab w:val="left" w:pos="720"/>
        </w:tabs>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7C9202F5">
      <w:pPr>
        <w:tabs>
          <w:tab w:val="left" w:pos="1547"/>
        </w:tabs>
        <w:autoSpaceDE w:val="0"/>
        <w:autoSpaceDN w:val="0"/>
        <w:adjustRightInd w:val="0"/>
        <w:spacing w:line="360" w:lineRule="auto"/>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5、评审程序</w:t>
      </w:r>
    </w:p>
    <w:p w14:paraId="2C493CFB">
      <w:pPr>
        <w:autoSpaceDE w:val="0"/>
        <w:autoSpaceDN w:val="0"/>
        <w:adjustRightInd w:val="0"/>
        <w:spacing w:line="360" w:lineRule="auto"/>
        <w:ind w:left="567" w:hanging="567"/>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公开招标：</w:t>
      </w:r>
    </w:p>
    <w:p w14:paraId="26B85F10">
      <w:pPr>
        <w:autoSpaceDE w:val="0"/>
        <w:autoSpaceDN w:val="0"/>
        <w:adjustRightInd w:val="0"/>
        <w:spacing w:line="360" w:lineRule="auto"/>
        <w:ind w:left="567" w:hanging="567"/>
        <w:rPr>
          <w:rFonts w:ascii="宋体" w:hAnsi="宋体" w:eastAsia="宋体" w:cs="Times New Roman"/>
          <w:bCs/>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Times New Roman"/>
          <w:color w:val="000000" w:themeColor="text1"/>
          <w:szCs w:val="24"/>
          <w:highlight w:val="none"/>
          <w:lang w:val="zh-CN"/>
          <w14:textFill>
            <w14:solidFill>
              <w14:schemeClr w14:val="tx1"/>
            </w14:solidFill>
          </w14:textFill>
        </w:rPr>
        <w:t>投标</w:t>
      </w:r>
      <w:r>
        <w:rPr>
          <w:rFonts w:hint="eastAsia" w:ascii="宋体" w:hAnsi="宋体" w:eastAsia="宋体" w:cs="Times New Roman"/>
          <w:bCs/>
          <w:color w:val="000000" w:themeColor="text1"/>
          <w:szCs w:val="24"/>
          <w:highlight w:val="none"/>
          <w:lang w:val="zh-CN"/>
          <w14:textFill>
            <w14:solidFill>
              <w14:schemeClr w14:val="tx1"/>
            </w14:solidFill>
          </w14:textFill>
        </w:rPr>
        <w:t>文件做初审，对未能通过初审的投标文件不再进入下一阶段评审。</w:t>
      </w:r>
    </w:p>
    <w:p w14:paraId="32225726">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2</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评标</w:t>
      </w:r>
      <w:r>
        <w:rPr>
          <w:rFonts w:hint="eastAsia" w:ascii="宋体" w:hAnsi="宋体" w:eastAsia="宋体" w:cs="Arial"/>
          <w:color w:val="000000" w:themeColor="text1"/>
          <w:szCs w:val="24"/>
          <w:highlight w:val="none"/>
          <w:lang w:val="zh-CN"/>
          <w14:textFill>
            <w14:solidFill>
              <w14:schemeClr w14:val="tx1"/>
            </w14:solidFill>
          </w14:textFill>
        </w:rPr>
        <w:t>委员会</w:t>
      </w:r>
      <w:r>
        <w:rPr>
          <w:rFonts w:hint="eastAsia" w:ascii="宋体" w:hAnsi="宋体" w:eastAsia="宋体" w:cs="Times New Roman"/>
          <w:color w:val="000000" w:themeColor="text1"/>
          <w:szCs w:val="24"/>
          <w:highlight w:val="none"/>
          <w:lang w:val="zh-CN"/>
          <w14:textFill>
            <w14:solidFill>
              <w14:schemeClr w14:val="tx1"/>
            </w14:solidFill>
          </w14:textFill>
        </w:rPr>
        <w:t>对</w:t>
      </w:r>
      <w:r>
        <w:rPr>
          <w:rFonts w:hint="eastAsia" w:ascii="宋体" w:hAnsi="宋体" w:eastAsia="宋体" w:cs="Arial"/>
          <w:color w:val="000000" w:themeColor="text1"/>
          <w:szCs w:val="24"/>
          <w:highlight w:val="none"/>
          <w:lang w:val="zh-CN"/>
          <w14:textFill>
            <w14:solidFill>
              <w14:schemeClr w14:val="tx1"/>
            </w14:solidFill>
          </w14:textFill>
        </w:rPr>
        <w:t>通过初审的</w:t>
      </w:r>
      <w:r>
        <w:rPr>
          <w:rFonts w:hint="eastAsia" w:ascii="宋体" w:hAnsi="宋体" w:eastAsia="宋体" w:cs="Times New Roman"/>
          <w:color w:val="000000" w:themeColor="text1"/>
          <w:szCs w:val="24"/>
          <w:highlight w:val="none"/>
          <w:lang w:val="zh-CN"/>
          <w14:textFill>
            <w14:solidFill>
              <w14:schemeClr w14:val="tx1"/>
            </w14:solidFill>
          </w14:textFill>
        </w:rPr>
        <w:t>投标人的投标文件进行详细的比较和评价。如需要，进行必要的澄清工作。</w:t>
      </w:r>
    </w:p>
    <w:p w14:paraId="5A9C0B48">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3  依据评分标准以及各项权重，各位评标委员会成员单独就每个投标人的商务状况、技术状况进行比较和评价，分别评出其商务得分和技术得分。</w:t>
      </w:r>
    </w:p>
    <w:p w14:paraId="40F63FA7">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5.4</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对有效投标人的投标报价进行审查和价格评分。</w:t>
      </w:r>
    </w:p>
    <w:p w14:paraId="572750CF">
      <w:pPr>
        <w:autoSpaceDE w:val="0"/>
        <w:autoSpaceDN w:val="0"/>
        <w:adjustRightInd w:val="0"/>
        <w:spacing w:line="360" w:lineRule="auto"/>
        <w:ind w:left="567" w:hanging="567"/>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5.5  将各</w:t>
      </w:r>
      <w:r>
        <w:rPr>
          <w:rFonts w:hint="eastAsia" w:ascii="宋体" w:hAnsi="宋体" w:eastAsia="宋体" w:cs="Times New Roman"/>
          <w:color w:val="000000" w:themeColor="text1"/>
          <w:szCs w:val="24"/>
          <w:highlight w:val="none"/>
          <w:lang w:val="zh-CN"/>
          <w14:textFill>
            <w14:solidFill>
              <w14:schemeClr w14:val="tx1"/>
            </w14:solidFill>
          </w14:textFill>
        </w:rPr>
        <w:t>评委对</w:t>
      </w:r>
      <w:r>
        <w:rPr>
          <w:rFonts w:hint="eastAsia" w:ascii="宋体" w:hAnsi="宋体" w:eastAsia="宋体" w:cs="Times New Roman"/>
          <w:color w:val="000000" w:themeColor="text1"/>
          <w:kern w:val="0"/>
          <w:szCs w:val="24"/>
          <w:highlight w:val="none"/>
          <w:lang w:val="zh-CN"/>
          <w14:textFill>
            <w14:solidFill>
              <w14:schemeClr w14:val="tx1"/>
            </w14:solidFill>
          </w14:textFill>
        </w:rPr>
        <w:t>投标人的技术打分的最终综合得分、商务打分的算术平均值和价格得分相加得出投标人的总分。</w:t>
      </w:r>
    </w:p>
    <w:p w14:paraId="36DFFBE4">
      <w:pPr>
        <w:autoSpaceDE w:val="0"/>
        <w:autoSpaceDN w:val="0"/>
        <w:adjustRightInd w:val="0"/>
        <w:spacing w:line="360" w:lineRule="auto"/>
        <w:ind w:left="567" w:hanging="56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4"/>
          <w:highlight w:val="none"/>
          <w14:textFill>
            <w14:solidFill>
              <w14:schemeClr w14:val="tx1"/>
            </w14:solidFill>
          </w14:textFill>
        </w:rPr>
        <w:t xml:space="preserve">5.6  </w:t>
      </w:r>
      <w:r>
        <w:rPr>
          <w:rFonts w:hint="eastAsia" w:ascii="宋体" w:hAnsi="宋体" w:eastAsia="宋体" w:cs="Times New Roman"/>
          <w:color w:val="000000" w:themeColor="text1"/>
          <w:kern w:val="0"/>
          <w:szCs w:val="21"/>
          <w:highlight w:val="none"/>
          <w14:textFill>
            <w14:solidFill>
              <w14:schemeClr w14:val="tx1"/>
            </w14:solidFill>
          </w14:textFill>
        </w:rPr>
        <w:t>评标委员会将向招标人推荐评标最后综合得分最高的前二名投标人为中标候选人，并标明排列顺序。</w:t>
      </w:r>
    </w:p>
    <w:p w14:paraId="1128CBE1">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7</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根据评审结果编写评标报告。</w:t>
      </w:r>
    </w:p>
    <w:p w14:paraId="178A2B49">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14:paraId="7A19569D">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1188" w:name="_Toc19435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1188"/>
    </w:p>
    <w:p w14:paraId="2DDF8C6F">
      <w:pPr>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14:paraId="6045170F">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2655DF9E">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14:paraId="518CEE99">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2DE93B4F">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14:paraId="2D405893">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14:paraId="13ED5DAE">
      <w:pPr>
        <w:numPr>
          <w:ilvl w:val="0"/>
          <w:numId w:val="0"/>
        </w:numPr>
        <w:autoSpaceDE w:val="0"/>
        <w:autoSpaceDN w:val="0"/>
        <w:adjustRightIn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7、</w:t>
      </w:r>
      <w:r>
        <w:rPr>
          <w:rFonts w:hint="eastAsia" w:ascii="宋体" w:hAnsi="宋体" w:eastAsia="宋体" w:cs="宋体"/>
          <w:b/>
          <w:color w:val="000000" w:themeColor="text1"/>
          <w:szCs w:val="21"/>
          <w:highlight w:val="none"/>
          <w14:textFill>
            <w14:solidFill>
              <w14:schemeClr w14:val="tx1"/>
            </w14:solidFill>
          </w14:textFill>
        </w:rPr>
        <w:t>投标文件出现下列情况之一的，被认定为无效投标：</w:t>
      </w:r>
    </w:p>
    <w:p w14:paraId="733FAD4C">
      <w:pPr>
        <w:numPr>
          <w:ilvl w:val="0"/>
          <w:numId w:val="0"/>
        </w:num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.1 上传的投标文件损坏或无法读取的；</w:t>
      </w:r>
    </w:p>
    <w:p w14:paraId="36C518C1">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.2 经招标人确认，投标人在公共资源交易企业库填报的与本项目密切相关的信息与事实不相符的；</w:t>
      </w:r>
    </w:p>
    <w:p w14:paraId="382B0DE7">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.3 投标文件中使用的本项目招标文件版本，与交易系统上发布的本项目招标文件的最新版本不一致的；</w:t>
      </w:r>
    </w:p>
    <w:p w14:paraId="054C5DC2">
      <w:pPr>
        <w:pStyle w:val="16"/>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7.4 投标产品的制造商及取得投标产品制造商就本次投标独家授权的经销商同时参与本项目投标的</w:t>
      </w:r>
      <w:r>
        <w:rPr>
          <w:rFonts w:hint="eastAsia" w:ascii="宋体" w:hAnsi="宋体" w:eastAsia="宋体" w:cs="宋体"/>
          <w:b/>
          <w:color w:val="000000" w:themeColor="text1"/>
          <w:szCs w:val="21"/>
          <w:highlight w:val="none"/>
          <w:lang w:val="zh-CN"/>
          <w14:textFill>
            <w14:solidFill>
              <w14:schemeClr w14:val="tx1"/>
            </w14:solidFill>
          </w14:textFill>
        </w:rPr>
        <w:t>；</w:t>
      </w:r>
    </w:p>
    <w:p w14:paraId="620FE664">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.5 同一投标产品的制造商通过两家或以上就本次投标独家授权的经销商同时参与本项目投标的；</w:t>
      </w:r>
    </w:p>
    <w:p w14:paraId="7C953E39">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7.6 </w:t>
      </w:r>
      <w:r>
        <w:rPr>
          <w:rFonts w:hint="eastAsia" w:ascii="宋体" w:hAnsi="宋体" w:eastAsia="宋体" w:cs="宋体"/>
          <w:b/>
          <w:color w:val="000000" w:themeColor="text1"/>
          <w:szCs w:val="21"/>
          <w:highlight w:val="none"/>
          <w:lang w:val="zh-CN"/>
          <w14:textFill>
            <w14:solidFill>
              <w14:schemeClr w14:val="tx1"/>
            </w14:solidFill>
          </w14:textFill>
        </w:rPr>
        <w:t>投标文件签名使用的数字证书与签到的投标人名称不一致的；</w:t>
      </w:r>
    </w:p>
    <w:p w14:paraId="27F5872E">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 xml:space="preserve"> 投标人的投标编制MAC信息、投标编制CPU序列号、投标编制硬盘序列号均与其他投标人相同的；</w:t>
      </w:r>
    </w:p>
    <w:p w14:paraId="199C6CE7">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8</w:t>
      </w:r>
      <w:r>
        <w:rPr>
          <w:rFonts w:hint="eastAsia" w:ascii="宋体" w:hAnsi="宋体" w:eastAsia="宋体" w:cs="宋体"/>
          <w:b/>
          <w:color w:val="000000" w:themeColor="text1"/>
          <w:szCs w:val="21"/>
          <w:highlight w:val="none"/>
          <w:lang w:val="zh-CN"/>
          <w14:textFill>
            <w14:solidFill>
              <w14:schemeClr w14:val="tx1"/>
            </w14:solidFill>
          </w14:textFill>
        </w:rPr>
        <w:t xml:space="preserve"> 投标文件附有招标人不能接受的条件的；</w:t>
      </w:r>
    </w:p>
    <w:p w14:paraId="662FA1C7">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9</w:t>
      </w:r>
      <w:r>
        <w:rPr>
          <w:rFonts w:hint="eastAsia" w:ascii="宋体" w:hAnsi="宋体" w:eastAsia="宋体" w:cs="宋体"/>
          <w:b/>
          <w:color w:val="000000" w:themeColor="text1"/>
          <w:szCs w:val="21"/>
          <w:highlight w:val="none"/>
          <w:lang w:val="zh-CN"/>
          <w14:textFill>
            <w14:solidFill>
              <w14:schemeClr w14:val="tx1"/>
            </w14:solidFill>
          </w14:textFill>
        </w:rPr>
        <w:t xml:space="preserve"> 投标人资格不满足第二篇投标人须知第2款的要求；</w:t>
      </w:r>
    </w:p>
    <w:p w14:paraId="50897549">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10</w:t>
      </w:r>
      <w:r>
        <w:rPr>
          <w:rFonts w:hint="eastAsia" w:ascii="宋体" w:hAnsi="宋体" w:eastAsia="宋体" w:cs="宋体"/>
          <w:b/>
          <w:color w:val="000000" w:themeColor="text1"/>
          <w:szCs w:val="21"/>
          <w:highlight w:val="none"/>
          <w:lang w:val="zh-CN"/>
          <w14:textFill>
            <w14:solidFill>
              <w14:schemeClr w14:val="tx1"/>
            </w14:solidFill>
          </w14:textFill>
        </w:rPr>
        <w:t xml:space="preserve"> 投标人未按招标文件要求交纳投标保证金的；</w:t>
      </w:r>
    </w:p>
    <w:p w14:paraId="2E515C09">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.1</w:t>
      </w:r>
      <w:r>
        <w:rPr>
          <w:rFonts w:hint="eastAsia" w:ascii="宋体" w:hAnsi="宋体" w:eastAsia="宋体" w:cs="宋体"/>
          <w:b/>
          <w:color w:val="000000" w:themeColor="text1"/>
          <w:szCs w:val="21"/>
          <w:highlight w:val="none"/>
          <w:lang w:val="en-US" w:eastAsia="zh-CN"/>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 xml:space="preserve"> 投标文件报价信封中填报的投标报价未按照招标文件要求进行折扣系数报价的；</w:t>
      </w:r>
    </w:p>
    <w:p w14:paraId="16249FB4">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.1</w:t>
      </w:r>
      <w:r>
        <w:rPr>
          <w:rFonts w:hint="eastAsia" w:ascii="宋体" w:hAnsi="宋体" w:eastAsia="宋体" w:cs="宋体"/>
          <w:b/>
          <w:color w:val="000000" w:themeColor="text1"/>
          <w:szCs w:val="21"/>
          <w:highlight w:val="none"/>
          <w:lang w:val="en-US" w:eastAsia="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 xml:space="preserve"> 投标人以低于企业成本价报价，且投标人不能合理说明或不能提供相关证明材料；</w:t>
      </w:r>
    </w:p>
    <w:p w14:paraId="55A3C9EC">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.1</w:t>
      </w:r>
      <w:r>
        <w:rPr>
          <w:rFonts w:hint="eastAsia" w:ascii="宋体" w:hAnsi="宋体" w:eastAsia="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lang w:val="zh-CN"/>
          <w14:textFill>
            <w14:solidFill>
              <w14:schemeClr w14:val="tx1"/>
            </w14:solidFill>
          </w14:textFill>
        </w:rPr>
        <w:t xml:space="preserve"> 投标人递交两份或多份内容不同的投标文件，或在一份投标文件中报有两个或多个报价，且未书面声明哪一个有效；</w:t>
      </w:r>
    </w:p>
    <w:p w14:paraId="18156497">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.1</w:t>
      </w:r>
      <w:r>
        <w:rPr>
          <w:rFonts w:hint="eastAsia" w:ascii="宋体" w:hAnsi="宋体" w:eastAsia="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lang w:val="zh-CN"/>
          <w14:textFill>
            <w14:solidFill>
              <w14:schemeClr w14:val="tx1"/>
            </w14:solidFill>
          </w14:textFill>
        </w:rPr>
        <w:t xml:space="preserve"> 投标文件未使用企业数字证书或个人数字证书电子签名的； </w:t>
      </w:r>
    </w:p>
    <w:p w14:paraId="277A694A">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.1</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投标有效期限不符合要求；</w:t>
      </w:r>
    </w:p>
    <w:p w14:paraId="1EA46A76">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.1</w:t>
      </w:r>
      <w:r>
        <w:rPr>
          <w:rFonts w:hint="eastAsia" w:ascii="宋体" w:hAnsi="宋体" w:eastAsia="宋体" w:cs="宋体"/>
          <w:b/>
          <w:color w:val="000000" w:themeColor="text1"/>
          <w:szCs w:val="21"/>
          <w:highlight w:val="none"/>
          <w:lang w:val="en-US" w:eastAsia="zh-CN"/>
          <w14:textFill>
            <w14:solidFill>
              <w14:schemeClr w14:val="tx1"/>
            </w14:solidFill>
          </w14:textFill>
        </w:rPr>
        <w:t>6</w:t>
      </w:r>
      <w:r>
        <w:rPr>
          <w:rFonts w:hint="eastAsia" w:ascii="宋体" w:hAnsi="宋体" w:eastAsia="宋体" w:cs="宋体"/>
          <w:b/>
          <w:color w:val="000000" w:themeColor="text1"/>
          <w:szCs w:val="21"/>
          <w:highlight w:val="none"/>
          <w:lang w:val="zh-CN"/>
          <w14:textFill>
            <w14:solidFill>
              <w14:schemeClr w14:val="tx1"/>
            </w14:solidFill>
          </w14:textFill>
        </w:rPr>
        <w:t xml:space="preserve"> 投标文件未对招标范围内的全部内容进行投标报价或投标方案不是唯一；</w:t>
      </w:r>
    </w:p>
    <w:p w14:paraId="5E4A6047">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.1</w:t>
      </w: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 xml:space="preserve"> 未提供或虚假填写《合同条款偏离表》，或对《合同条款偏离表》有负偏离的；</w:t>
      </w:r>
    </w:p>
    <w:p w14:paraId="18309DB9">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.1</w:t>
      </w:r>
      <w:r>
        <w:rPr>
          <w:rFonts w:hint="eastAsia" w:ascii="宋体" w:hAnsi="宋体" w:eastAsia="宋体" w:cs="宋体"/>
          <w:b/>
          <w:color w:val="000000" w:themeColor="text1"/>
          <w:szCs w:val="21"/>
          <w:highlight w:val="none"/>
          <w:lang w:val="en-US" w:eastAsia="zh-CN"/>
          <w14:textFill>
            <w14:solidFill>
              <w14:schemeClr w14:val="tx1"/>
            </w14:solidFill>
          </w14:textFill>
        </w:rPr>
        <w:t>8</w:t>
      </w:r>
      <w:r>
        <w:rPr>
          <w:rFonts w:hint="eastAsia" w:ascii="宋体" w:hAnsi="宋体" w:eastAsia="宋体" w:cs="宋体"/>
          <w:b/>
          <w:color w:val="000000" w:themeColor="text1"/>
          <w:szCs w:val="21"/>
          <w:highlight w:val="none"/>
          <w:lang w:val="zh-CN"/>
          <w14:textFill>
            <w14:solidFill>
              <w14:schemeClr w14:val="tx1"/>
            </w14:solidFill>
          </w14:textFill>
        </w:rPr>
        <w:t xml:space="preserve"> 未填写或虚假填写《用户需求偏离表》的；</w:t>
      </w:r>
    </w:p>
    <w:p w14:paraId="121B7E3B">
      <w:pPr>
        <w:autoSpaceDE w:val="0"/>
        <w:autoSpaceDN w:val="0"/>
        <w:adjustRightInd w:val="0"/>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.1</w:t>
      </w:r>
      <w:r>
        <w:rPr>
          <w:rFonts w:hint="eastAsia" w:ascii="宋体" w:hAnsi="宋体" w:eastAsia="宋体" w:cs="宋体"/>
          <w:b/>
          <w:color w:val="000000" w:themeColor="text1"/>
          <w:szCs w:val="21"/>
          <w:highlight w:val="none"/>
          <w:lang w:val="en-US" w:eastAsia="zh-CN"/>
          <w14:textFill>
            <w14:solidFill>
              <w14:schemeClr w14:val="tx1"/>
            </w14:solidFill>
          </w14:textFill>
        </w:rPr>
        <w:t>9</w:t>
      </w:r>
      <w:r>
        <w:rPr>
          <w:rFonts w:hint="eastAsia" w:ascii="宋体" w:hAnsi="宋体" w:eastAsia="宋体" w:cs="宋体"/>
          <w:b/>
          <w:color w:val="000000" w:themeColor="text1"/>
          <w:szCs w:val="21"/>
          <w:highlight w:val="none"/>
          <w:lang w:val="zh-CN"/>
          <w14:textFill>
            <w14:solidFill>
              <w14:schemeClr w14:val="tx1"/>
            </w14:solidFill>
          </w14:textFill>
        </w:rPr>
        <w:t xml:space="preserve"> 未响应招标文件提出的实质性要求和条件（标注★的条款）。</w:t>
      </w:r>
    </w:p>
    <w:p w14:paraId="29714A2B">
      <w:pPr>
        <w:autoSpaceDE w:val="0"/>
        <w:autoSpaceDN w:val="0"/>
        <w:adjustRightInd w:val="0"/>
        <w:spacing w:line="360" w:lineRule="auto"/>
        <w:ind w:left="315" w:hanging="316" w:hangingChars="150"/>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20</w:t>
      </w:r>
      <w:r>
        <w:rPr>
          <w:rFonts w:hint="eastAsia" w:ascii="宋体" w:hAnsi="宋体" w:eastAsia="宋体" w:cs="宋体"/>
          <w:b/>
          <w:color w:val="000000" w:themeColor="text1"/>
          <w:szCs w:val="21"/>
          <w:highlight w:val="none"/>
          <w:lang w:val="zh-CN"/>
          <w14:textFill>
            <w14:solidFill>
              <w14:schemeClr w14:val="tx1"/>
            </w14:solidFill>
          </w14:textFill>
        </w:rPr>
        <w:t xml:space="preserve"> 属于招标文件中规定为无效标的；属于法律、法规、规章规定的应作无效投标文件处理的。</w:t>
      </w:r>
    </w:p>
    <w:p w14:paraId="78613CB4">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4EF80AA0">
      <w:pPr>
        <w:spacing w:line="360" w:lineRule="auto"/>
        <w:ind w:left="480"/>
        <w:rPr>
          <w:rFonts w:ascii="宋体" w:hAnsi="宋体" w:eastAsia="宋体" w:cs="宋体"/>
          <w:b/>
          <w:color w:val="000000" w:themeColor="text1"/>
          <w:kern w:val="0"/>
          <w:szCs w:val="21"/>
          <w:highlight w:val="none"/>
          <w14:textFill>
            <w14:solidFill>
              <w14:schemeClr w14:val="tx1"/>
            </w14:solidFill>
          </w14:textFill>
        </w:rPr>
      </w:pPr>
    </w:p>
    <w:p w14:paraId="44C6E0E6">
      <w:pPr>
        <w:tabs>
          <w:tab w:val="left" w:pos="1140"/>
        </w:tabs>
        <w:autoSpaceDE w:val="0"/>
        <w:autoSpaceDN w:val="0"/>
        <w:adjustRightInd w:val="0"/>
        <w:spacing w:line="360" w:lineRule="auto"/>
        <w:ind w:firstLine="3528" w:firstLineChars="1255"/>
        <w:jc w:val="left"/>
        <w:rPr>
          <w:rFonts w:ascii="宋体" w:hAnsi="宋体" w:eastAsia="宋体" w:cs="宋体"/>
          <w:b/>
          <w:bCs/>
          <w:color w:val="000000" w:themeColor="text1"/>
          <w:sz w:val="28"/>
          <w:szCs w:val="28"/>
          <w:highlight w:val="none"/>
          <w14:textFill>
            <w14:solidFill>
              <w14:schemeClr w14:val="tx1"/>
            </w14:solidFill>
          </w14:textFill>
        </w:rPr>
      </w:pPr>
      <w:bookmarkStart w:id="1189"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1189"/>
    </w:p>
    <w:p w14:paraId="6E748418">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14:paraId="1CFC0AC6">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14:paraId="47C26B2D">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3A0023AF">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14:paraId="1031861C">
      <w:pPr>
        <w:spacing w:line="360" w:lineRule="auto"/>
        <w:ind w:left="424" w:hanging="424" w:hangingChars="202"/>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  投标文件报价计算错误的修正</w:t>
      </w:r>
    </w:p>
    <w:p w14:paraId="5ACDE36D">
      <w:pPr>
        <w:spacing w:line="360" w:lineRule="auto"/>
        <w:ind w:left="567"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（1）评标委员会将对确定为实质上响应招标文件要求的投标文件进行校核，看其是否有计算或表达上的错误，修正错误的原则为：</w:t>
      </w:r>
    </w:p>
    <w:p w14:paraId="1DB1B9B0">
      <w:pPr>
        <w:spacing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当以数字表示的金额与以文字表示的金额不一致时，以文字表示的金额为准；</w:t>
      </w:r>
    </w:p>
    <w:p w14:paraId="4050551D">
      <w:pPr>
        <w:spacing w:line="360" w:lineRule="auto"/>
        <w:ind w:left="567" w:hanging="567" w:hangingChars="27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按上述修正</w:t>
      </w:r>
      <w:r>
        <w:rPr>
          <w:rFonts w:hint="eastAsia" w:ascii="宋体" w:hAnsi="宋体" w:eastAsia="宋体" w:cs="宋体"/>
          <w:b/>
          <w:color w:val="000000" w:themeColor="text1"/>
          <w:kern w:val="0"/>
          <w:szCs w:val="21"/>
          <w:highlight w:val="none"/>
          <w:u w:val="single"/>
          <w14:textFill>
            <w14:solidFill>
              <w14:schemeClr w14:val="tx1"/>
            </w14:solidFill>
          </w14:textFill>
        </w:rPr>
        <w:t>错误</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0333CFD2">
      <w:pPr>
        <w:spacing w:line="360" w:lineRule="auto"/>
        <w:ind w:left="567" w:hanging="567" w:hangingChars="27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9.5  若投标人出现超低报价，有可能影响服务质量和不能诚信履约的，</w:t>
      </w:r>
      <w:r>
        <w:rPr>
          <w:rFonts w:hint="eastAsia" w:ascii="宋体" w:hAnsi="宋体" w:eastAsia="宋体" w:cs="宋体"/>
          <w:bCs/>
          <w:color w:val="000000" w:themeColor="text1"/>
          <w:szCs w:val="21"/>
          <w:highlight w:val="none"/>
          <w:lang w:val="zh-CN"/>
          <w14:textFill>
            <w14:solidFill>
              <w14:schemeClr w14:val="tx1"/>
            </w14:solidFill>
          </w14:textFill>
        </w:rPr>
        <w:t>评标委员会将要求该投标人作出书面说明并提供相关证明材料，以确定投标人是否以低于企业成本价报价。</w:t>
      </w:r>
      <w:r>
        <w:rPr>
          <w:rFonts w:hint="eastAsia" w:ascii="宋体" w:hAnsi="宋体" w:eastAsia="宋体" w:cs="宋体"/>
          <w:b/>
          <w:color w:val="000000" w:themeColor="text1"/>
          <w:szCs w:val="21"/>
          <w:highlight w:val="none"/>
          <w:lang w:val="zh-CN"/>
          <w14:textFill>
            <w14:solidFill>
              <w14:schemeClr w14:val="tx1"/>
            </w14:solidFill>
          </w14:textFill>
        </w:rPr>
        <w:t>若投标人不能合理说明或不能提供相关证明材料的，评标委员会将认定其投标报价低于成本，同时否决其投标。</w:t>
      </w:r>
    </w:p>
    <w:p w14:paraId="79D1258E">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bookmarkStart w:id="1190" w:name="_Toc8518_WPSOffice_Level1"/>
    </w:p>
    <w:p w14:paraId="4778C0A2">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1190"/>
    </w:p>
    <w:p w14:paraId="716FBE2F">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4B1F5580">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14:paraId="7FF9FCC8">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14:paraId="7DAD098B">
      <w:pPr>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14:paraId="79C00168">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14:paraId="3CD437FD">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评分主要是为比较各投标人的商务、技术</w:t>
      </w:r>
      <w:r>
        <w:rPr>
          <w:rFonts w:hint="eastAsia" w:ascii="宋体" w:hAnsi="宋体" w:eastAsia="宋体" w:cs="Times New Roman"/>
          <w:color w:val="000000" w:themeColor="text1"/>
          <w:szCs w:val="24"/>
          <w:highlight w:val="none"/>
          <w14:textFill>
            <w14:solidFill>
              <w14:schemeClr w14:val="tx1"/>
            </w14:solidFill>
          </w14:textFill>
        </w:rPr>
        <w:t>和</w:t>
      </w:r>
      <w:r>
        <w:rPr>
          <w:rFonts w:hint="eastAsia" w:ascii="宋体" w:hAnsi="宋体" w:eastAsia="宋体" w:cs="Times New Roman"/>
          <w:color w:val="000000" w:themeColor="text1"/>
          <w:szCs w:val="24"/>
          <w:highlight w:val="none"/>
          <w:lang w:val="zh-CN"/>
          <w14:textFill>
            <w14:solidFill>
              <w14:schemeClr w14:val="tx1"/>
            </w14:solidFill>
          </w14:textFill>
        </w:rPr>
        <w:t>价格综合排序。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评标委员会专家组的每一位评委根据招标文件评分标准对投标文件分别评审，对有效投标人投标文件的商务、技术、报价分别评分。</w:t>
      </w:r>
    </w:p>
    <w:p w14:paraId="41A68773">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（1）评标委员会首先对商务标进行评审，按评标标准打分后，取所有评委评分的平均值得出该投标人的商务评分；</w:t>
      </w:r>
    </w:p>
    <w:p w14:paraId="25044178">
      <w:pPr>
        <w:autoSpaceDE w:val="0"/>
        <w:autoSpaceDN w:val="0"/>
        <w:adjustRightInd w:val="0"/>
        <w:spacing w:line="360" w:lineRule="auto"/>
        <w:ind w:left="565" w:leftChars="-1"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（2）然后评标委员会对技术标进行评审，按评标标准打分后，</w:t>
      </w:r>
      <w:r>
        <w:rPr>
          <w:rFonts w:hint="eastAsia" w:ascii="宋体" w:hAnsi="宋体" w:eastAsia="宋体" w:cs="宋体"/>
          <w:color w:val="000000" w:themeColor="text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评审的评分因素的评分低于权重分值60%的，应在评标报告中作出说明。</w:t>
      </w:r>
    </w:p>
    <w:p w14:paraId="743DF7E6">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（3）最后评标委员会对报价进行评审，按评标标准计算得出该投标人的报价评分。</w:t>
      </w:r>
    </w:p>
    <w:p w14:paraId="1EC870FE">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p>
    <w:p w14:paraId="20BC3319">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14:paraId="388DEF08">
      <w:pPr>
        <w:autoSpaceDE w:val="0"/>
        <w:autoSpaceDN w:val="0"/>
        <w:adjustRightInd w:val="0"/>
        <w:spacing w:line="360" w:lineRule="auto"/>
        <w:ind w:left="42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14:paraId="5E13C626">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p>
    <w:p w14:paraId="356E7F16">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14:paraId="49CB91DC">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14:paraId="36865C0C">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）评分统计表中各投标人技术得分应为最终综合得分，商务和价格得分应为评委打分的算术平均值。</w:t>
      </w:r>
    </w:p>
    <w:p w14:paraId="7AB7DAA6">
      <w:pPr>
        <w:autoSpaceDE w:val="0"/>
        <w:autoSpaceDN w:val="0"/>
        <w:adjustRightInd w:val="0"/>
        <w:spacing w:line="360" w:lineRule="auto"/>
        <w:rPr>
          <w:rFonts w:ascii="宋体" w:hAnsi="宋体" w:eastAsia="宋体" w:cs="宋体"/>
          <w:color w:val="000000" w:themeColor="text1"/>
          <w:szCs w:val="24"/>
          <w:highlight w:val="none"/>
          <w:lang w:val="zh-CN"/>
          <w14:textFill>
            <w14:solidFill>
              <w14:schemeClr w14:val="tx1"/>
            </w14:solidFill>
          </w14:textFill>
        </w:rPr>
      </w:pPr>
    </w:p>
    <w:p w14:paraId="071BF39C">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12、评分因素及分值</w:t>
      </w:r>
    </w:p>
    <w:tbl>
      <w:tblPr>
        <w:tblStyle w:val="44"/>
        <w:tblW w:w="471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10"/>
        <w:gridCol w:w="5371"/>
      </w:tblGrid>
      <w:tr w14:paraId="0652A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7531DD74">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评分因素</w:t>
            </w:r>
          </w:p>
        </w:tc>
        <w:tc>
          <w:tcPr>
            <w:tcW w:w="2745" w:type="pct"/>
            <w:tcBorders>
              <w:top w:val="single" w:color="auto" w:sz="4" w:space="0"/>
              <w:left w:val="single" w:color="auto" w:sz="4" w:space="0"/>
              <w:bottom w:val="single" w:color="auto" w:sz="4" w:space="0"/>
              <w:right w:val="single" w:color="auto" w:sz="4" w:space="0"/>
            </w:tcBorders>
            <w:vAlign w:val="center"/>
          </w:tcPr>
          <w:p w14:paraId="104C876C">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分值</w:t>
            </w:r>
          </w:p>
        </w:tc>
      </w:tr>
      <w:tr w14:paraId="38BB0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3A085C00">
            <w:pPr>
              <w:spacing w:line="400" w:lineRule="exact"/>
              <w:jc w:val="center"/>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1、商务</w:t>
            </w:r>
          </w:p>
        </w:tc>
        <w:tc>
          <w:tcPr>
            <w:tcW w:w="2745" w:type="pct"/>
            <w:tcBorders>
              <w:top w:val="single" w:color="auto" w:sz="4" w:space="0"/>
              <w:left w:val="single" w:color="auto" w:sz="4" w:space="0"/>
              <w:bottom w:val="single" w:color="auto" w:sz="4" w:space="0"/>
              <w:right w:val="single" w:color="auto" w:sz="4" w:space="0"/>
            </w:tcBorders>
            <w:vAlign w:val="center"/>
          </w:tcPr>
          <w:p w14:paraId="333AEC51">
            <w:pPr>
              <w:autoSpaceDE w:val="0"/>
              <w:autoSpaceDN w:val="0"/>
              <w:adjustRightInd w:val="0"/>
              <w:spacing w:line="400" w:lineRule="exact"/>
              <w:jc w:val="center"/>
              <w:rPr>
                <w:rFonts w:hint="default" w:ascii="宋体" w:hAnsi="宋体" w:eastAsia="宋体" w:cs="宋体"/>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30分</w:t>
            </w:r>
          </w:p>
        </w:tc>
      </w:tr>
      <w:tr w14:paraId="0E74C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1E37BF3E">
            <w:pPr>
              <w:spacing w:line="400" w:lineRule="exact"/>
              <w:jc w:val="center"/>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2、技术</w:t>
            </w:r>
          </w:p>
        </w:tc>
        <w:tc>
          <w:tcPr>
            <w:tcW w:w="2745" w:type="pct"/>
            <w:tcBorders>
              <w:top w:val="single" w:color="auto" w:sz="4" w:space="0"/>
              <w:left w:val="single" w:color="auto" w:sz="4" w:space="0"/>
              <w:bottom w:val="single" w:color="auto" w:sz="4" w:space="0"/>
              <w:right w:val="single" w:color="auto" w:sz="4" w:space="0"/>
            </w:tcBorders>
            <w:vAlign w:val="center"/>
          </w:tcPr>
          <w:p w14:paraId="79062357">
            <w:pPr>
              <w:autoSpaceDE w:val="0"/>
              <w:autoSpaceDN w:val="0"/>
              <w:adjustRightInd w:val="0"/>
              <w:spacing w:line="400" w:lineRule="exact"/>
              <w:jc w:val="center"/>
              <w:rPr>
                <w:rFonts w:hint="default" w:ascii="宋体" w:hAnsi="宋体" w:eastAsia="宋体" w:cs="宋体"/>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40分</w:t>
            </w:r>
          </w:p>
        </w:tc>
      </w:tr>
      <w:tr w14:paraId="331B7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0A12FEEF">
            <w:pPr>
              <w:spacing w:line="400" w:lineRule="exact"/>
              <w:jc w:val="center"/>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3、价格</w:t>
            </w:r>
          </w:p>
        </w:tc>
        <w:tc>
          <w:tcPr>
            <w:tcW w:w="2745" w:type="pct"/>
            <w:tcBorders>
              <w:top w:val="single" w:color="auto" w:sz="4" w:space="0"/>
              <w:left w:val="single" w:color="auto" w:sz="4" w:space="0"/>
              <w:bottom w:val="single" w:color="auto" w:sz="4" w:space="0"/>
              <w:right w:val="single" w:color="auto" w:sz="4" w:space="0"/>
            </w:tcBorders>
            <w:vAlign w:val="center"/>
          </w:tcPr>
          <w:p w14:paraId="38B57E14">
            <w:pPr>
              <w:autoSpaceDE w:val="0"/>
              <w:autoSpaceDN w:val="0"/>
              <w:adjustRightInd w:val="0"/>
              <w:spacing w:line="400" w:lineRule="exact"/>
              <w:jc w:val="center"/>
              <w:rPr>
                <w:rFonts w:hint="default" w:ascii="宋体" w:hAnsi="宋体" w:eastAsia="宋体" w:cs="宋体"/>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30分</w:t>
            </w:r>
          </w:p>
        </w:tc>
      </w:tr>
    </w:tbl>
    <w:p w14:paraId="2926ED2D">
      <w:pPr>
        <w:numPr>
          <w:ilvl w:val="0"/>
          <w:numId w:val="6"/>
        </w:numPr>
        <w:autoSpaceDE w:val="0"/>
        <w:autoSpaceDN w:val="0"/>
        <w:adjustRightInd w:val="0"/>
        <w:spacing w:line="360" w:lineRule="auto"/>
        <w:rPr>
          <w:rFonts w:hint="eastAsia" w:ascii="宋体" w:hAnsi="宋体" w:eastAsia="宋体" w:cs="宋体"/>
          <w:b/>
          <w:color w:val="000000" w:themeColor="text1"/>
          <w:szCs w:val="21"/>
          <w:highlight w:val="none"/>
          <w:lang w:bidi="ar"/>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商务：总分</w:t>
      </w:r>
      <w:r>
        <w:rPr>
          <w:rFonts w:hint="eastAsia" w:ascii="宋体" w:hAnsi="宋体" w:eastAsia="宋体" w:cs="宋体"/>
          <w:b/>
          <w:color w:val="000000" w:themeColor="text1"/>
          <w:szCs w:val="21"/>
          <w:highlight w:val="none"/>
          <w:lang w:val="en-US" w:eastAsia="zh-CN" w:bidi="ar"/>
          <w14:textFill>
            <w14:solidFill>
              <w14:schemeClr w14:val="tx1"/>
            </w14:solidFill>
          </w14:textFill>
        </w:rPr>
        <w:t xml:space="preserve"> 30 </w:t>
      </w:r>
      <w:r>
        <w:rPr>
          <w:rFonts w:hint="eastAsia" w:ascii="宋体" w:hAnsi="宋体" w:eastAsia="宋体" w:cs="宋体"/>
          <w:b/>
          <w:color w:val="000000" w:themeColor="text1"/>
          <w:szCs w:val="21"/>
          <w:highlight w:val="none"/>
          <w:lang w:bidi="ar"/>
          <w14:textFill>
            <w14:solidFill>
              <w14:schemeClr w14:val="tx1"/>
            </w14:solidFill>
          </w14:textFill>
        </w:rPr>
        <w:t>分</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03"/>
        <w:gridCol w:w="1297"/>
        <w:gridCol w:w="6471"/>
      </w:tblGrid>
      <w:tr w14:paraId="2968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vAlign w:val="center"/>
          </w:tcPr>
          <w:p w14:paraId="7D5E1B24">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917" w:type="pct"/>
            <w:vAlign w:val="center"/>
          </w:tcPr>
          <w:p w14:paraId="1B16573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评审项目</w:t>
            </w:r>
          </w:p>
        </w:tc>
        <w:tc>
          <w:tcPr>
            <w:tcW w:w="625" w:type="pct"/>
            <w:vAlign w:val="center"/>
          </w:tcPr>
          <w:p w14:paraId="3AA80A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满分值</w:t>
            </w:r>
          </w:p>
        </w:tc>
        <w:tc>
          <w:tcPr>
            <w:tcW w:w="3119" w:type="pct"/>
            <w:vAlign w:val="center"/>
          </w:tcPr>
          <w:p w14:paraId="32BE398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评分内容及评分标准</w:t>
            </w:r>
          </w:p>
        </w:tc>
      </w:tr>
      <w:tr w14:paraId="5D22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494BA0F8">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p>
        </w:tc>
        <w:tc>
          <w:tcPr>
            <w:tcW w:w="917" w:type="pct"/>
            <w:vAlign w:val="center"/>
          </w:tcPr>
          <w:p w14:paraId="1D0573CA">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财务状况</w:t>
            </w:r>
          </w:p>
        </w:tc>
        <w:tc>
          <w:tcPr>
            <w:tcW w:w="625" w:type="pct"/>
            <w:vAlign w:val="center"/>
          </w:tcPr>
          <w:p w14:paraId="74299D38">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c>
          <w:tcPr>
            <w:tcW w:w="3119" w:type="pct"/>
            <w:tcBorders>
              <w:top w:val="single" w:color="auto" w:sz="4" w:space="0"/>
              <w:left w:val="single" w:color="auto" w:sz="4" w:space="0"/>
              <w:bottom w:val="single" w:color="auto" w:sz="4" w:space="0"/>
              <w:right w:val="single" w:color="auto" w:sz="4" w:space="0"/>
            </w:tcBorders>
            <w:vAlign w:val="center"/>
          </w:tcPr>
          <w:p w14:paraId="2D2AFDC0">
            <w:pPr>
              <w:keepNext w:val="0"/>
              <w:keepLines w:val="0"/>
              <w:pageBreakBefore w:val="0"/>
              <w:widowControl w:val="0"/>
              <w:kinsoku/>
              <w:wordWrap/>
              <w:overflowPunct/>
              <w:topLinePunct w:val="0"/>
              <w:bidi w:val="0"/>
              <w:snapToGrid w:val="0"/>
              <w:spacing w:line="400" w:lineRule="exac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投标人202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年-202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年三个年度，每具有1个年度盈利的得1分，满分3分。</w:t>
            </w:r>
          </w:p>
          <w:p w14:paraId="3415448F">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备注：盈利指净利润为正数（非零、非负数），投标人应提供202</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年、202</w:t>
            </w:r>
            <w:r>
              <w:rPr>
                <w:rFonts w:hint="eastAsia" w:ascii="宋体" w:hAnsi="宋体" w:eastAsia="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年、202</w:t>
            </w:r>
            <w:r>
              <w:rPr>
                <w:rFonts w:hint="eastAsia" w:ascii="宋体" w:hAnsi="宋体" w:eastAsia="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年三个年度的财务报表，净利润以对应年度经审计的财务报表为准，应提供经独立会计师事务所审计过的有效的财务报表原件扫描件；未提供前述财务报表或财务报表未能反映净利润的，不得分。</w:t>
            </w:r>
          </w:p>
        </w:tc>
      </w:tr>
      <w:tr w14:paraId="19BF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78D15A98">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p>
        </w:tc>
        <w:tc>
          <w:tcPr>
            <w:tcW w:w="917" w:type="pct"/>
            <w:vAlign w:val="center"/>
          </w:tcPr>
          <w:p w14:paraId="04DB15A1">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tc>
        <w:tc>
          <w:tcPr>
            <w:tcW w:w="625" w:type="pct"/>
            <w:vAlign w:val="center"/>
          </w:tcPr>
          <w:p w14:paraId="0C059BCF">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27分</w:t>
            </w:r>
          </w:p>
        </w:tc>
        <w:tc>
          <w:tcPr>
            <w:tcW w:w="3119" w:type="pct"/>
            <w:tcBorders>
              <w:top w:val="single" w:color="auto" w:sz="4" w:space="0"/>
              <w:left w:val="single" w:color="auto" w:sz="4" w:space="0"/>
              <w:bottom w:val="single" w:color="auto" w:sz="4" w:space="0"/>
              <w:right w:val="single" w:color="auto" w:sz="4" w:space="0"/>
            </w:tcBorders>
            <w:vAlign w:val="center"/>
          </w:tcPr>
          <w:p w14:paraId="5F76DD0E">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2022年1月1日以来（业绩的时间以合同签订的日期为准）投标品牌螺翼式远传水表在国内的销售业绩，按下列情况评分，本项业绩评审满分27分。</w:t>
            </w:r>
          </w:p>
          <w:p w14:paraId="3B91D543">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（1）单项合同金额≥</w:t>
            </w:r>
            <w:r>
              <w:rPr>
                <w:rFonts w:hint="eastAsia" w:ascii="宋体" w:hAnsi="宋体" w:eastAsia="宋体" w:cs="宋体"/>
                <w:color w:val="000000" w:themeColor="text1"/>
                <w:szCs w:val="21"/>
                <w:highlight w:val="none"/>
                <w:lang w:val="en-US" w:eastAsia="zh-CN"/>
                <w14:textFill>
                  <w14:solidFill>
                    <w14:schemeClr w14:val="tx1"/>
                  </w14:solidFill>
                </w14:textFill>
              </w:rPr>
              <w:t>800</w:t>
            </w:r>
            <w:r>
              <w:rPr>
                <w:rFonts w:hint="eastAsia" w:ascii="宋体" w:hAnsi="宋体" w:eastAsia="宋体" w:cs="宋体"/>
                <w:color w:val="000000" w:themeColor="text1"/>
                <w:szCs w:val="21"/>
                <w:highlight w:val="none"/>
                <w14:textFill>
                  <w14:solidFill>
                    <w14:schemeClr w14:val="tx1"/>
                  </w14:solidFill>
                </w14:textFill>
              </w:rPr>
              <w:t>万元的前述业绩，每项得</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p w14:paraId="5D17B97D">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500</w:t>
            </w:r>
            <w:r>
              <w:rPr>
                <w:rFonts w:hint="eastAsia" w:ascii="宋体" w:hAnsi="宋体" w:eastAsia="宋体" w:cs="宋体"/>
                <w:color w:val="000000" w:themeColor="text1"/>
                <w:szCs w:val="21"/>
                <w:highlight w:val="none"/>
                <w14:textFill>
                  <w14:solidFill>
                    <w14:schemeClr w14:val="tx1"/>
                  </w14:solidFill>
                </w14:textFill>
              </w:rPr>
              <w:t>万元≤单项合同金额＜</w:t>
            </w:r>
            <w:r>
              <w:rPr>
                <w:rFonts w:hint="eastAsia" w:ascii="宋体" w:hAnsi="宋体" w:eastAsia="宋体" w:cs="宋体"/>
                <w:color w:val="000000" w:themeColor="text1"/>
                <w:szCs w:val="21"/>
                <w:highlight w:val="none"/>
                <w:lang w:val="en-US" w:eastAsia="zh-CN"/>
                <w14:textFill>
                  <w14:solidFill>
                    <w14:schemeClr w14:val="tx1"/>
                  </w14:solidFill>
                </w14:textFill>
              </w:rPr>
              <w:t>800</w:t>
            </w:r>
            <w:r>
              <w:rPr>
                <w:rFonts w:hint="eastAsia" w:ascii="宋体" w:hAnsi="宋体" w:eastAsia="宋体" w:cs="宋体"/>
                <w:color w:val="000000" w:themeColor="text1"/>
                <w:szCs w:val="21"/>
                <w:highlight w:val="none"/>
                <w14:textFill>
                  <w14:solidFill>
                    <w14:schemeClr w14:val="tx1"/>
                  </w14:solidFill>
                </w14:textFill>
              </w:rPr>
              <w:t>万元的前述业绩，每项得</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p>
          <w:p w14:paraId="14DF9FB5">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300</w:t>
            </w:r>
            <w:r>
              <w:rPr>
                <w:rFonts w:hint="eastAsia" w:ascii="宋体" w:hAnsi="宋体" w:eastAsia="宋体" w:cs="宋体"/>
                <w:color w:val="000000" w:themeColor="text1"/>
                <w:szCs w:val="21"/>
                <w:highlight w:val="none"/>
                <w14:textFill>
                  <w14:solidFill>
                    <w14:schemeClr w14:val="tx1"/>
                  </w14:solidFill>
                </w14:textFill>
              </w:rPr>
              <w:t>万元≤单项合同金额＜</w:t>
            </w:r>
            <w:r>
              <w:rPr>
                <w:rFonts w:hint="eastAsia" w:ascii="宋体" w:hAnsi="宋体" w:eastAsia="宋体" w:cs="宋体"/>
                <w:color w:val="000000" w:themeColor="text1"/>
                <w:szCs w:val="21"/>
                <w:highlight w:val="none"/>
                <w:lang w:val="en-US" w:eastAsia="zh-CN"/>
                <w14:textFill>
                  <w14:solidFill>
                    <w14:schemeClr w14:val="tx1"/>
                  </w14:solidFill>
                </w14:textFill>
              </w:rPr>
              <w:t>500万元</w:t>
            </w:r>
            <w:r>
              <w:rPr>
                <w:rFonts w:hint="eastAsia" w:ascii="宋体" w:hAnsi="宋体" w:eastAsia="宋体" w:cs="宋体"/>
                <w:color w:val="000000" w:themeColor="text1"/>
                <w:szCs w:val="21"/>
                <w:highlight w:val="none"/>
                <w14:textFill>
                  <w14:solidFill>
                    <w14:schemeClr w14:val="tx1"/>
                  </w14:solidFill>
                </w14:textFill>
              </w:rPr>
              <w:t>的前述业绩，每项得</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分，本子项满分12分</w:t>
            </w:r>
            <w:r>
              <w:rPr>
                <w:rFonts w:hint="eastAsia" w:ascii="宋体" w:hAnsi="宋体" w:eastAsia="宋体" w:cs="宋体"/>
                <w:color w:val="000000" w:themeColor="text1"/>
                <w:szCs w:val="21"/>
                <w:highlight w:val="none"/>
                <w:lang w:eastAsia="zh-CN"/>
                <w14:textFill>
                  <w14:solidFill>
                    <w14:schemeClr w14:val="tx1"/>
                  </w14:solidFill>
                </w14:textFill>
              </w:rPr>
              <w:t>。</w:t>
            </w:r>
          </w:p>
          <w:p w14:paraId="4FFCE091">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200</w:t>
            </w:r>
            <w:r>
              <w:rPr>
                <w:rFonts w:hint="eastAsia" w:ascii="宋体" w:hAnsi="宋体" w:eastAsia="宋体" w:cs="宋体"/>
                <w:color w:val="000000" w:themeColor="text1"/>
                <w:szCs w:val="21"/>
                <w:highlight w:val="none"/>
                <w14:textFill>
                  <w14:solidFill>
                    <w14:schemeClr w14:val="tx1"/>
                  </w14:solidFill>
                </w14:textFill>
              </w:rPr>
              <w:t>万元≤单项合同金额＜</w:t>
            </w:r>
            <w:r>
              <w:rPr>
                <w:rFonts w:hint="eastAsia" w:ascii="宋体" w:hAnsi="宋体" w:eastAsia="宋体" w:cs="宋体"/>
                <w:color w:val="000000" w:themeColor="text1"/>
                <w:szCs w:val="21"/>
                <w:highlight w:val="none"/>
                <w:lang w:val="en-US" w:eastAsia="zh-CN"/>
                <w14:textFill>
                  <w14:solidFill>
                    <w14:schemeClr w14:val="tx1"/>
                  </w14:solidFill>
                </w14:textFill>
              </w:rPr>
              <w:t>300万元</w:t>
            </w:r>
            <w:r>
              <w:rPr>
                <w:rFonts w:hint="eastAsia" w:ascii="宋体" w:hAnsi="宋体" w:eastAsia="宋体" w:cs="宋体"/>
                <w:color w:val="000000" w:themeColor="text1"/>
                <w:szCs w:val="21"/>
                <w:highlight w:val="none"/>
                <w14:textFill>
                  <w14:solidFill>
                    <w14:schemeClr w14:val="tx1"/>
                  </w14:solidFill>
                </w14:textFill>
              </w:rPr>
              <w:t>的前述业绩，每项得1分，本子项满分6分。</w:t>
            </w:r>
          </w:p>
          <w:p w14:paraId="62CA99CF">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p w14:paraId="2C11054F">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①业绩须同时提供⑴投标品牌螺翼式远传水表销售合同复印件（</w:t>
            </w:r>
            <w:r>
              <w:rPr>
                <w:rFonts w:hint="eastAsia" w:ascii="宋体" w:hAnsi="宋体" w:eastAsia="宋体" w:cs="宋体"/>
                <w:b/>
                <w:bCs/>
                <w:color w:val="000000" w:themeColor="text1"/>
                <w:kern w:val="0"/>
                <w:szCs w:val="21"/>
                <w:highlight w:val="none"/>
                <w:lang w:val="zh-CN"/>
                <w14:textFill>
                  <w14:solidFill>
                    <w14:schemeClr w14:val="tx1"/>
                  </w14:solidFill>
                </w14:textFill>
              </w:rPr>
              <w:t>合同卖方可为投标品牌螺翼式远传水表的制造商，也可为投标品牌螺翼式远传水表的代理商/经销商</w:t>
            </w:r>
            <w:r>
              <w:rPr>
                <w:rFonts w:hint="eastAsia" w:ascii="宋体" w:hAnsi="宋体" w:eastAsia="宋体" w:cs="宋体"/>
                <w:b/>
                <w:bCs/>
                <w:color w:val="000000" w:themeColor="text1"/>
                <w:szCs w:val="21"/>
                <w:highlight w:val="none"/>
                <w14:textFill>
                  <w14:solidFill>
                    <w14:schemeClr w14:val="tx1"/>
                  </w14:solidFill>
                </w14:textFill>
              </w:rPr>
              <w:t>，需显示合同买方公章），⑵已供货产品任意一张发票复印件（发票开具日期须在本项目招标公告发布之日前），否则不得分；</w:t>
            </w:r>
          </w:p>
          <w:p w14:paraId="0D3ACDA3">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②若合同无法反映评分条件（合同签订日期为2022年1月1日或以后，合同标的必须包含投标品牌螺翼式远传水表、合同金额）的，还需提供产品购买方出具的书面补充说明文件复印件作为辅助证明（需显示购买方公章），否则不得分；</w:t>
            </w:r>
          </w:p>
          <w:p w14:paraId="5AABDBBC">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③若业绩为框架式协议或资格入围无明确金额的合同，必须同时提供合同期限内已供货发票金额统计表和发票复印件。</w:t>
            </w:r>
          </w:p>
        </w:tc>
      </w:tr>
    </w:tbl>
    <w:p w14:paraId="6A2BB4F5">
      <w:pPr>
        <w:pStyle w:val="16"/>
        <w:numPr>
          <w:ilvl w:val="-1"/>
          <w:numId w:val="0"/>
        </w:numPr>
        <w:rPr>
          <w:color w:val="000000" w:themeColor="text1"/>
          <w:highlight w:val="none"/>
          <w14:textFill>
            <w14:solidFill>
              <w14:schemeClr w14:val="tx1"/>
            </w14:solidFill>
          </w14:textFill>
        </w:rPr>
      </w:pPr>
    </w:p>
    <w:p w14:paraId="109637E1">
      <w:pPr>
        <w:autoSpaceDE w:val="0"/>
        <w:autoSpaceDN w:val="0"/>
        <w:adjustRightInd w:val="0"/>
        <w:spacing w:line="360" w:lineRule="auto"/>
        <w:rPr>
          <w:rFonts w:hint="eastAsia" w:ascii="宋体" w:hAnsi="宋体" w:eastAsia="宋体" w:cs="宋体"/>
          <w:b/>
          <w:color w:val="000000" w:themeColor="text1"/>
          <w:szCs w:val="21"/>
          <w:highlight w:val="none"/>
          <w:lang w:bidi="ar"/>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（2）技术：总分</w:t>
      </w:r>
      <w:r>
        <w:rPr>
          <w:rFonts w:hint="eastAsia" w:ascii="宋体" w:hAnsi="宋体" w:eastAsia="宋体" w:cs="宋体"/>
          <w:b/>
          <w:color w:val="000000" w:themeColor="text1"/>
          <w:szCs w:val="21"/>
          <w:highlight w:val="none"/>
          <w:lang w:val="en-US" w:eastAsia="zh-CN" w:bidi="ar"/>
          <w14:textFill>
            <w14:solidFill>
              <w14:schemeClr w14:val="tx1"/>
            </w14:solidFill>
          </w14:textFill>
        </w:rPr>
        <w:t xml:space="preserve"> 40 </w:t>
      </w:r>
      <w:r>
        <w:rPr>
          <w:rFonts w:hint="eastAsia" w:ascii="宋体" w:hAnsi="宋体" w:eastAsia="宋体" w:cs="宋体"/>
          <w:b/>
          <w:color w:val="000000" w:themeColor="text1"/>
          <w:szCs w:val="21"/>
          <w:highlight w:val="none"/>
          <w:lang w:bidi="ar"/>
          <w14:textFill>
            <w14:solidFill>
              <w14:schemeClr w14:val="tx1"/>
            </w14:solidFill>
          </w14:textFill>
        </w:rPr>
        <w:t>分</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02"/>
        <w:gridCol w:w="1297"/>
        <w:gridCol w:w="6472"/>
      </w:tblGrid>
      <w:tr w14:paraId="4000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vAlign w:val="center"/>
          </w:tcPr>
          <w:p w14:paraId="6C076508">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917" w:type="pct"/>
            <w:vAlign w:val="center"/>
          </w:tcPr>
          <w:p w14:paraId="43D08C2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评审项目</w:t>
            </w:r>
          </w:p>
        </w:tc>
        <w:tc>
          <w:tcPr>
            <w:tcW w:w="625" w:type="pct"/>
            <w:vAlign w:val="center"/>
          </w:tcPr>
          <w:p w14:paraId="1CC0861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满分值</w:t>
            </w:r>
          </w:p>
        </w:tc>
        <w:tc>
          <w:tcPr>
            <w:tcW w:w="3120" w:type="pct"/>
            <w:vAlign w:val="center"/>
          </w:tcPr>
          <w:p w14:paraId="4E564A8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评分内容及评分标准</w:t>
            </w:r>
          </w:p>
        </w:tc>
      </w:tr>
      <w:tr w14:paraId="3A2F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7" w:type="pct"/>
            <w:vMerge w:val="restart"/>
            <w:vAlign w:val="center"/>
          </w:tcPr>
          <w:p w14:paraId="14D710FB">
            <w:pPr>
              <w:keepNext w:val="0"/>
              <w:keepLines w:val="0"/>
              <w:pageBreakBefore w:val="0"/>
              <w:widowControl w:val="0"/>
              <w:kinsoku/>
              <w:wordWrap/>
              <w:overflowPunct/>
              <w:topLinePunct w:val="0"/>
              <w:autoSpaceDE/>
              <w:autoSpaceDN/>
              <w:bidi w:val="0"/>
              <w:adjustRightInd/>
              <w:snapToGrid/>
              <w:spacing w:line="400" w:lineRule="exact"/>
              <w:ind w:left="-53" w:leftChars="-25" w:right="-38" w:rightChars="-18" w:firstLine="2"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p>
        </w:tc>
        <w:tc>
          <w:tcPr>
            <w:tcW w:w="917" w:type="pct"/>
            <w:vMerge w:val="restart"/>
            <w:shd w:val="clear" w:color="auto" w:fill="auto"/>
            <w:vAlign w:val="center"/>
          </w:tcPr>
          <w:p w14:paraId="258C2B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用户需求响应程度</w:t>
            </w:r>
          </w:p>
        </w:tc>
        <w:tc>
          <w:tcPr>
            <w:tcW w:w="625" w:type="pct"/>
            <w:vMerge w:val="restart"/>
            <w:shd w:val="clear" w:color="auto" w:fill="auto"/>
            <w:vAlign w:val="center"/>
          </w:tcPr>
          <w:p w14:paraId="295A2C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9分</w:t>
            </w:r>
          </w:p>
        </w:tc>
        <w:tc>
          <w:tcPr>
            <w:tcW w:w="3120" w:type="pct"/>
            <w:vMerge w:val="restart"/>
            <w:tcBorders>
              <w:top w:val="single" w:color="auto" w:sz="4" w:space="0"/>
              <w:left w:val="single" w:color="auto" w:sz="4" w:space="0"/>
              <w:right w:val="single" w:color="auto" w:sz="4" w:space="0"/>
            </w:tcBorders>
            <w:shd w:val="clear" w:color="auto" w:fill="auto"/>
            <w:vAlign w:val="center"/>
          </w:tcPr>
          <w:p w14:paraId="5B82F1A9">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根据用户需求偏离表的偏离情况进行评审计分，完全满足用户需求的要求得满分，每项带“▲”号的条款负偏离或未响应的，扣2分；每一处非“▲”号条款负偏离或未响应的，扣1分；同时参照其投标文件中产品技术性能说明等技术资料的内容进行对比，每发现一处投标人填写为无偏离或正偏离，但评标委员会评审认定其为负偏离的，每处扣3分；本项最低分为0分。</w:t>
            </w:r>
          </w:p>
        </w:tc>
      </w:tr>
      <w:tr w14:paraId="224F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37" w:type="pct"/>
            <w:vMerge w:val="continue"/>
            <w:vAlign w:val="center"/>
          </w:tcPr>
          <w:p w14:paraId="7C3B1063">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17" w:type="pct"/>
            <w:vMerge w:val="continue"/>
            <w:vAlign w:val="center"/>
          </w:tcPr>
          <w:p w14:paraId="39380EFF">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5" w:type="pct"/>
            <w:vMerge w:val="continue"/>
            <w:vAlign w:val="center"/>
          </w:tcPr>
          <w:p w14:paraId="12D67351">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120" w:type="pct"/>
            <w:vMerge w:val="continue"/>
            <w:tcBorders>
              <w:left w:val="single" w:color="auto" w:sz="4" w:space="0"/>
              <w:bottom w:val="single" w:color="auto" w:sz="4" w:space="0"/>
              <w:right w:val="single" w:color="auto" w:sz="4" w:space="0"/>
            </w:tcBorders>
            <w:vAlign w:val="center"/>
          </w:tcPr>
          <w:p w14:paraId="6463F96C">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221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Align w:val="center"/>
          </w:tcPr>
          <w:p w14:paraId="0E951DD8">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917" w:type="pct"/>
            <w:shd w:val="clear" w:color="auto" w:fill="auto"/>
            <w:vAlign w:val="center"/>
          </w:tcPr>
          <w:p w14:paraId="198DF6A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研发能力及产品先进性</w:t>
            </w:r>
          </w:p>
        </w:tc>
        <w:tc>
          <w:tcPr>
            <w:tcW w:w="625" w:type="pct"/>
            <w:shd w:val="clear" w:color="auto" w:fill="auto"/>
            <w:vAlign w:val="center"/>
          </w:tcPr>
          <w:p w14:paraId="48D80A8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16分</w:t>
            </w:r>
          </w:p>
        </w:tc>
        <w:tc>
          <w:tcPr>
            <w:tcW w:w="3120" w:type="pct"/>
            <w:tcBorders>
              <w:top w:val="single" w:color="auto" w:sz="4" w:space="0"/>
              <w:left w:val="single" w:color="auto" w:sz="4" w:space="0"/>
              <w:right w:val="single" w:color="auto" w:sz="4" w:space="0"/>
            </w:tcBorders>
            <w:shd w:val="clear" w:color="auto" w:fill="auto"/>
            <w:vAlign w:val="center"/>
          </w:tcPr>
          <w:p w14:paraId="7E4B2A6E">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（1）企业研发能力（6分）:</w:t>
            </w:r>
          </w:p>
          <w:p w14:paraId="293CC07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①投标人</w:t>
            </w: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或</w:t>
            </w:r>
            <w:r>
              <w:rPr>
                <w:rFonts w:hint="eastAsia" w:ascii="宋体" w:hAnsi="宋体" w:eastAsia="宋体" w:cs="宋体"/>
                <w:color w:val="000000" w:themeColor="text1"/>
                <w:szCs w:val="21"/>
                <w:highlight w:val="none"/>
                <w:lang w:eastAsia="zh-CN" w:bidi="ar"/>
                <w14:textFill>
                  <w14:solidFill>
                    <w14:schemeClr w14:val="tx1"/>
                  </w14:solidFill>
                </w14:textFill>
              </w:rPr>
              <w:t>所投产品制造商）</w:t>
            </w:r>
            <w:r>
              <w:rPr>
                <w:rFonts w:hint="eastAsia" w:ascii="宋体" w:hAnsi="宋体" w:eastAsia="宋体" w:cs="宋体"/>
                <w:color w:val="000000" w:themeColor="text1"/>
                <w:szCs w:val="21"/>
                <w:highlight w:val="none"/>
                <w:lang w:bidi="ar"/>
                <w14:textFill>
                  <w14:solidFill>
                    <w14:schemeClr w14:val="tx1"/>
                  </w14:solidFill>
                </w14:textFill>
              </w:rPr>
              <w:t xml:space="preserve">建有省（部）级或以上技术研发中心/工程中心/研究院等研究机构的（须取得行政部门相关许可或批复等证明文件），得3分； </w:t>
            </w:r>
          </w:p>
          <w:p w14:paraId="3B2384B4">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②投标人</w:t>
            </w: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或</w:t>
            </w:r>
            <w:r>
              <w:rPr>
                <w:rFonts w:hint="eastAsia" w:ascii="宋体" w:hAnsi="宋体" w:eastAsia="宋体" w:cs="宋体"/>
                <w:color w:val="000000" w:themeColor="text1"/>
                <w:szCs w:val="21"/>
                <w:highlight w:val="none"/>
                <w:lang w:eastAsia="zh-CN" w:bidi="ar"/>
                <w14:textFill>
                  <w14:solidFill>
                    <w14:schemeClr w14:val="tx1"/>
                  </w14:solidFill>
                </w14:textFill>
              </w:rPr>
              <w:t>所投产品制造商）</w:t>
            </w:r>
            <w:r>
              <w:rPr>
                <w:rFonts w:hint="eastAsia" w:ascii="宋体" w:hAnsi="宋体" w:eastAsia="宋体" w:cs="宋体"/>
                <w:color w:val="000000" w:themeColor="text1"/>
                <w:szCs w:val="21"/>
                <w:highlight w:val="none"/>
                <w:lang w:bidi="ar"/>
                <w14:textFill>
                  <w14:solidFill>
                    <w14:schemeClr w14:val="tx1"/>
                  </w14:solidFill>
                </w14:textFill>
              </w:rPr>
              <w:t xml:space="preserve">取得中国合格评定国家认可委员会实验室认可证书（有效期内的CNAS证书）或具备质量技术监督部门颁发的检验检测机构资质认定证书（有效期内的CMA证书），得3分。 </w:t>
            </w:r>
          </w:p>
          <w:p w14:paraId="2592B143">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（2）专利数量（5分）：投标人</w:t>
            </w: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或</w:t>
            </w:r>
            <w:r>
              <w:rPr>
                <w:rFonts w:hint="eastAsia" w:ascii="宋体" w:hAnsi="宋体" w:eastAsia="宋体" w:cs="宋体"/>
                <w:color w:val="000000" w:themeColor="text1"/>
                <w:szCs w:val="21"/>
                <w:highlight w:val="none"/>
                <w:lang w:eastAsia="zh-CN" w:bidi="ar"/>
                <w14:textFill>
                  <w14:solidFill>
                    <w14:schemeClr w14:val="tx1"/>
                  </w14:solidFill>
                </w14:textFill>
              </w:rPr>
              <w:t>所投产品制造商）</w:t>
            </w:r>
            <w:r>
              <w:rPr>
                <w:rFonts w:hint="eastAsia" w:ascii="宋体" w:hAnsi="宋体" w:eastAsia="宋体" w:cs="宋体"/>
                <w:color w:val="000000" w:themeColor="text1"/>
                <w:szCs w:val="21"/>
                <w:highlight w:val="none"/>
                <w:lang w:bidi="ar"/>
                <w14:textFill>
                  <w14:solidFill>
                    <w14:schemeClr w14:val="tx1"/>
                  </w14:solidFill>
                </w14:textFill>
              </w:rPr>
              <w:t>具有应用于投标产品的发明专利证书或实用新型专利证书，且投标人</w:t>
            </w: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或</w:t>
            </w:r>
            <w:r>
              <w:rPr>
                <w:rFonts w:hint="eastAsia" w:ascii="宋体" w:hAnsi="宋体" w:eastAsia="宋体" w:cs="宋体"/>
                <w:color w:val="000000" w:themeColor="text1"/>
                <w:szCs w:val="21"/>
                <w:highlight w:val="none"/>
                <w:lang w:eastAsia="zh-CN" w:bidi="ar"/>
                <w14:textFill>
                  <w14:solidFill>
                    <w14:schemeClr w14:val="tx1"/>
                  </w14:solidFill>
                </w14:textFill>
              </w:rPr>
              <w:t>所投产品制造商）</w:t>
            </w:r>
            <w:r>
              <w:rPr>
                <w:rFonts w:hint="eastAsia" w:ascii="宋体" w:hAnsi="宋体" w:eastAsia="宋体" w:cs="宋体"/>
                <w:color w:val="000000" w:themeColor="text1"/>
                <w:szCs w:val="21"/>
                <w:highlight w:val="none"/>
                <w:lang w:bidi="ar"/>
                <w14:textFill>
                  <w14:solidFill>
                    <w14:schemeClr w14:val="tx1"/>
                  </w14:solidFill>
                </w14:textFill>
              </w:rPr>
              <w:t xml:space="preserve">须为专利权人，每获得过1项得0.5分；本子项最高得5分。 </w:t>
            </w:r>
          </w:p>
          <w:p w14:paraId="5B1F8F52">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（3）技术认证（</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bidi="ar"/>
                <w14:textFill>
                  <w14:solidFill>
                    <w14:schemeClr w14:val="tx1"/>
                  </w14:solidFill>
                </w14:textFill>
              </w:rPr>
              <w:t>分）：投标人</w:t>
            </w: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或</w:t>
            </w:r>
            <w:r>
              <w:rPr>
                <w:rFonts w:hint="eastAsia" w:ascii="宋体" w:hAnsi="宋体" w:eastAsia="宋体" w:cs="宋体"/>
                <w:color w:val="000000" w:themeColor="text1"/>
                <w:szCs w:val="21"/>
                <w:highlight w:val="none"/>
                <w:lang w:eastAsia="zh-CN" w:bidi="ar"/>
                <w14:textFill>
                  <w14:solidFill>
                    <w14:schemeClr w14:val="tx1"/>
                  </w14:solidFill>
                </w14:textFill>
              </w:rPr>
              <w:t>所投产品制造商）</w:t>
            </w:r>
            <w:r>
              <w:rPr>
                <w:rFonts w:hint="eastAsia" w:ascii="宋体" w:hAnsi="宋体" w:eastAsia="宋体" w:cs="宋体"/>
                <w:color w:val="000000" w:themeColor="text1"/>
                <w:szCs w:val="21"/>
                <w:highlight w:val="none"/>
                <w:lang w:bidi="ar"/>
                <w14:textFill>
                  <w14:solidFill>
                    <w14:schemeClr w14:val="tx1"/>
                  </w14:solidFill>
                </w14:textFill>
              </w:rPr>
              <w:t>获得有效期内的国际证书（OIML、MID、CE、NSF、WRAS、ACS、AS4020）</w:t>
            </w: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ISO</w:t>
            </w:r>
            <w:r>
              <w:rPr>
                <w:rFonts w:hint="eastAsia" w:ascii="宋体" w:hAnsi="宋体" w:eastAsia="宋体" w:cs="宋体"/>
                <w:color w:val="000000" w:themeColor="text1"/>
                <w:szCs w:val="21"/>
                <w:highlight w:val="none"/>
                <w:lang w:eastAsia="zh-CN" w:bidi="ar"/>
                <w14:textFill>
                  <w14:solidFill>
                    <w14:schemeClr w14:val="tx1"/>
                  </w14:solidFill>
                </w14:textFill>
              </w:rPr>
              <w:t xml:space="preserve">10012(或GB/T </w:t>
            </w:r>
            <w:r>
              <w:rPr>
                <w:rFonts w:hint="eastAsia" w:ascii="宋体" w:hAnsi="宋体" w:eastAsia="宋体" w:cs="宋体"/>
                <w:color w:val="000000" w:themeColor="text1"/>
                <w:szCs w:val="21"/>
                <w:highlight w:val="none"/>
                <w:lang w:val="en-US" w:eastAsia="zh-CN" w:bidi="ar"/>
                <w14:textFill>
                  <w14:solidFill>
                    <w14:schemeClr w14:val="tx1"/>
                  </w14:solidFill>
                </w14:textFill>
              </w:rPr>
              <w:t>19</w:t>
            </w:r>
            <w:r>
              <w:rPr>
                <w:rFonts w:hint="eastAsia" w:ascii="宋体" w:hAnsi="宋体" w:eastAsia="宋体" w:cs="宋体"/>
                <w:color w:val="000000" w:themeColor="text1"/>
                <w:szCs w:val="21"/>
                <w:highlight w:val="none"/>
                <w:lang w:eastAsia="zh-CN" w:bidi="ar"/>
                <w14:textFill>
                  <w14:solidFill>
                    <w14:schemeClr w14:val="tx1"/>
                  </w14:solidFill>
                </w14:textFill>
              </w:rPr>
              <w:t>022)测量管理体系认证证书</w:t>
            </w:r>
            <w:r>
              <w:rPr>
                <w:rFonts w:hint="eastAsia" w:ascii="宋体" w:hAnsi="宋体" w:eastAsia="宋体" w:cs="宋体"/>
                <w:color w:val="000000" w:themeColor="text1"/>
                <w:szCs w:val="21"/>
                <w:highlight w:val="none"/>
                <w:lang w:bidi="ar"/>
                <w14:textFill>
                  <w14:solidFill>
                    <w14:schemeClr w14:val="tx1"/>
                  </w14:solidFill>
                </w14:textFill>
              </w:rPr>
              <w:t>的,每个证书得 1 分,本子项最高得</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bidi="ar"/>
                <w14:textFill>
                  <w14:solidFill>
                    <w14:schemeClr w14:val="tx1"/>
                  </w14:solidFill>
                </w14:textFill>
              </w:rPr>
              <w:t>分。如为非中文证书的，须提供中文译本并注明属于前述证书的类型，否则不得分。中文译本及注明内容无法体现评分要求的，不得分。中标后，招标人有权要求提供</w:t>
            </w:r>
            <w:r>
              <w:rPr>
                <w:rFonts w:hint="eastAsia" w:ascii="宋体" w:hAnsi="宋体" w:eastAsia="宋体" w:cs="宋体"/>
                <w:color w:val="000000" w:themeColor="text1"/>
                <w:szCs w:val="21"/>
                <w:highlight w:val="none"/>
                <w:lang w:val="en-US" w:eastAsia="zh-CN" w:bidi="ar"/>
                <w14:textFill>
                  <w14:solidFill>
                    <w14:schemeClr w14:val="tx1"/>
                  </w14:solidFill>
                </w14:textFill>
              </w:rPr>
              <w:t>技术认证证书</w:t>
            </w:r>
            <w:r>
              <w:rPr>
                <w:rFonts w:hint="eastAsia" w:ascii="宋体" w:hAnsi="宋体" w:eastAsia="宋体" w:cs="宋体"/>
                <w:color w:val="000000" w:themeColor="text1"/>
                <w:szCs w:val="21"/>
                <w:highlight w:val="none"/>
                <w:lang w:bidi="ar"/>
                <w14:textFill>
                  <w14:solidFill>
                    <w14:schemeClr w14:val="tx1"/>
                  </w14:solidFill>
                </w14:textFill>
              </w:rPr>
              <w:t xml:space="preserve">的证明材料进行复核。 </w:t>
            </w:r>
          </w:p>
          <w:p w14:paraId="2E747AEF">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000000" w:themeColor="text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备注：投标人应提供相关的许可、批复、专利证书、</w:t>
            </w:r>
            <w:r>
              <w:rPr>
                <w:rFonts w:hint="eastAsia" w:ascii="宋体" w:hAnsi="宋体" w:eastAsia="宋体" w:cs="宋体"/>
                <w:b/>
                <w:bCs/>
                <w:color w:val="000000" w:themeColor="text1"/>
                <w:szCs w:val="21"/>
                <w:highlight w:val="none"/>
                <w:lang w:val="en-US" w:eastAsia="zh-CN" w:bidi="ar"/>
                <w14:textFill>
                  <w14:solidFill>
                    <w14:schemeClr w14:val="tx1"/>
                  </w14:solidFill>
                </w14:textFill>
              </w:rPr>
              <w:t>技术认证证书</w:t>
            </w:r>
            <w:r>
              <w:rPr>
                <w:rFonts w:hint="eastAsia" w:ascii="宋体" w:hAnsi="宋体" w:eastAsia="宋体" w:cs="宋体"/>
                <w:b/>
                <w:bCs/>
                <w:color w:val="000000" w:themeColor="text1"/>
                <w:szCs w:val="21"/>
                <w:highlight w:val="none"/>
                <w:lang w:bidi="ar"/>
                <w14:textFill>
                  <w14:solidFill>
                    <w14:schemeClr w14:val="tx1"/>
                  </w14:solidFill>
                </w14:textFill>
              </w:rPr>
              <w:t>及其他相关资料等证明文件的扫描件，其中</w:t>
            </w:r>
            <w:r>
              <w:rPr>
                <w:rFonts w:hint="eastAsia" w:ascii="宋体" w:hAnsi="宋体" w:eastAsia="宋体" w:cs="宋体"/>
                <w:b/>
                <w:bCs/>
                <w:color w:val="000000" w:themeColor="text1"/>
                <w:szCs w:val="21"/>
                <w:highlight w:val="none"/>
                <w:lang w:val="en-US" w:eastAsia="zh-CN" w:bidi="ar"/>
                <w14:textFill>
                  <w14:solidFill>
                    <w14:schemeClr w14:val="tx1"/>
                  </w14:solidFill>
                </w14:textFill>
              </w:rPr>
              <w:t>ISO</w:t>
            </w:r>
            <w:r>
              <w:rPr>
                <w:rFonts w:hint="eastAsia" w:ascii="宋体" w:hAnsi="宋体" w:eastAsia="宋体" w:cs="宋体"/>
                <w:b/>
                <w:bCs/>
                <w:color w:val="000000" w:themeColor="text1"/>
                <w:szCs w:val="21"/>
                <w:highlight w:val="none"/>
                <w:lang w:bidi="ar"/>
                <w14:textFill>
                  <w14:solidFill>
                    <w14:schemeClr w14:val="tx1"/>
                  </w14:solidFill>
                </w14:textFill>
              </w:rPr>
              <w:t>10012(或GB/T</w:t>
            </w:r>
            <w:r>
              <w:rPr>
                <w:rFonts w:hint="eastAsia" w:ascii="宋体" w:hAnsi="宋体" w:eastAsia="宋体" w:cs="宋体"/>
                <w:b/>
                <w:bCs/>
                <w:color w:val="000000" w:themeColor="text1"/>
                <w:szCs w:val="21"/>
                <w:highlight w:val="none"/>
                <w:lang w:val="en-US" w:eastAsia="zh-CN" w:bidi="ar"/>
                <w14:textFill>
                  <w14:solidFill>
                    <w14:schemeClr w14:val="tx1"/>
                  </w14:solidFill>
                </w14:textFill>
              </w:rPr>
              <w:t>19</w:t>
            </w:r>
            <w:r>
              <w:rPr>
                <w:rFonts w:hint="eastAsia" w:ascii="宋体" w:hAnsi="宋体" w:eastAsia="宋体" w:cs="宋体"/>
                <w:b/>
                <w:bCs/>
                <w:color w:val="000000" w:themeColor="text1"/>
                <w:szCs w:val="21"/>
                <w:highlight w:val="none"/>
                <w:lang w:bidi="ar"/>
                <w14:textFill>
                  <w14:solidFill>
                    <w14:schemeClr w14:val="tx1"/>
                  </w14:solidFill>
                </w14:textFill>
              </w:rPr>
              <w:t>022测量管理体系认证证书除提供证书扫描件外，还需提供能显示证书有效状态的全国认证认可信息公共服务平台(http:</w:t>
            </w:r>
            <w:r>
              <w:rPr>
                <w:rFonts w:hint="eastAsia" w:ascii="宋体" w:hAnsi="宋体" w:eastAsia="宋体" w:cs="宋体"/>
                <w:b/>
                <w:bCs/>
                <w:color w:val="000000" w:themeColor="text1"/>
                <w:szCs w:val="21"/>
                <w:highlight w:val="none"/>
                <w:lang w:val="en-US" w:eastAsia="zh-CN" w:bidi="ar"/>
                <w14:textFill>
                  <w14:solidFill>
                    <w14:schemeClr w14:val="tx1"/>
                  </w14:solidFill>
                </w14:textFill>
              </w:rPr>
              <w:t>//</w:t>
            </w:r>
            <w:r>
              <w:rPr>
                <w:rFonts w:hint="eastAsia" w:ascii="宋体" w:hAnsi="宋体" w:eastAsia="宋体" w:cs="宋体"/>
                <w:b/>
                <w:bCs/>
                <w:color w:val="000000" w:themeColor="text1"/>
                <w:szCs w:val="21"/>
                <w:highlight w:val="none"/>
                <w:lang w:bidi="ar"/>
                <w14:textFill>
                  <w14:solidFill>
                    <w14:schemeClr w14:val="tx1"/>
                  </w14:solidFill>
                </w14:textFill>
              </w:rPr>
              <w:t>cx</w:t>
            </w:r>
            <w:r>
              <w:rPr>
                <w:rFonts w:hint="eastAsia" w:ascii="宋体" w:hAnsi="宋体" w:eastAsia="宋体" w:cs="宋体"/>
                <w:b/>
                <w:bCs/>
                <w:color w:val="000000" w:themeColor="text1"/>
                <w:szCs w:val="21"/>
                <w:highlight w:val="none"/>
                <w:lang w:val="en-US" w:eastAsia="zh-CN" w:bidi="ar"/>
                <w14:textFill>
                  <w14:solidFill>
                    <w14:schemeClr w14:val="tx1"/>
                  </w14:solidFill>
                </w14:textFill>
              </w:rPr>
              <w:t>.cn</w:t>
            </w:r>
            <w:r>
              <w:rPr>
                <w:rFonts w:hint="eastAsia" w:ascii="宋体" w:hAnsi="宋体" w:eastAsia="宋体" w:cs="宋体"/>
                <w:b/>
                <w:bCs/>
                <w:color w:val="000000" w:themeColor="text1"/>
                <w:szCs w:val="21"/>
                <w:highlight w:val="none"/>
                <w:lang w:bidi="ar"/>
                <w14:textFill>
                  <w14:solidFill>
                    <w14:schemeClr w14:val="tx1"/>
                  </w14:solidFill>
                </w14:textFill>
              </w:rPr>
              <w:t>ca</w:t>
            </w:r>
            <w:r>
              <w:rPr>
                <w:rFonts w:hint="eastAsia" w:ascii="宋体" w:hAnsi="宋体" w:eastAsia="宋体" w:cs="宋体"/>
                <w:b/>
                <w:bCs/>
                <w:color w:val="000000" w:themeColor="text1"/>
                <w:szCs w:val="21"/>
                <w:highlight w:val="none"/>
                <w:lang w:val="en-US" w:eastAsia="zh-CN" w:bidi="ar"/>
                <w14:textFill>
                  <w14:solidFill>
                    <w14:schemeClr w14:val="tx1"/>
                  </w14:solidFill>
                </w14:textFill>
              </w:rPr>
              <w:t>.cn/</w:t>
            </w:r>
            <w:r>
              <w:rPr>
                <w:rFonts w:hint="eastAsia" w:ascii="宋体" w:hAnsi="宋体" w:eastAsia="宋体" w:cs="宋体"/>
                <w:b/>
                <w:bCs/>
                <w:color w:val="000000" w:themeColor="text1"/>
                <w:szCs w:val="21"/>
                <w:highlight w:val="none"/>
                <w:lang w:bidi="ar"/>
                <w14:textFill>
                  <w14:solidFill>
                    <w14:schemeClr w14:val="tx1"/>
                  </w14:solidFill>
                </w14:textFill>
              </w:rPr>
              <w:t>)查询结果凭证{凭证界面需显示有“全国认证认可信息公共服务平台”或“认证证书(需</w:t>
            </w:r>
            <w:r>
              <w:rPr>
                <w:rFonts w:hint="eastAsia" w:ascii="宋体" w:hAnsi="宋体" w:eastAsia="宋体" w:cs="宋体"/>
                <w:b/>
                <w:bCs/>
                <w:color w:val="000000" w:themeColor="text1"/>
                <w:szCs w:val="21"/>
                <w:highlight w:val="none"/>
                <w:lang w:val="en-US" w:eastAsia="zh-CN" w:bidi="ar"/>
                <w14:textFill>
                  <w14:solidFill>
                    <w14:schemeClr w14:val="tx1"/>
                  </w14:solidFill>
                </w14:textFill>
              </w:rPr>
              <w:t>显示</w:t>
            </w:r>
            <w:r>
              <w:rPr>
                <w:rFonts w:hint="eastAsia" w:ascii="宋体" w:hAnsi="宋体" w:eastAsia="宋体" w:cs="宋体"/>
                <w:b/>
                <w:bCs/>
                <w:color w:val="000000" w:themeColor="text1"/>
                <w:szCs w:val="21"/>
                <w:highlight w:val="none"/>
                <w:lang w:bidi="ar"/>
                <w14:textFill>
                  <w14:solidFill>
                    <w14:schemeClr w14:val="tx1"/>
                  </w14:solidFill>
                </w14:textFill>
              </w:rPr>
              <w:t>网址cx.</w:t>
            </w:r>
            <w:r>
              <w:rPr>
                <w:rFonts w:hint="eastAsia" w:ascii="宋体" w:hAnsi="宋体" w:eastAsia="宋体" w:cs="宋体"/>
                <w:b/>
                <w:bCs/>
                <w:color w:val="000000" w:themeColor="text1"/>
                <w:szCs w:val="21"/>
                <w:highlight w:val="none"/>
                <w:lang w:val="en-US" w:eastAsia="zh-CN" w:bidi="ar"/>
                <w14:textFill>
                  <w14:solidFill>
                    <w14:schemeClr w14:val="tx1"/>
                  </w14:solidFill>
                </w14:textFill>
              </w:rPr>
              <w:t>cn</w:t>
            </w:r>
            <w:r>
              <w:rPr>
                <w:rFonts w:hint="eastAsia" w:ascii="宋体" w:hAnsi="宋体" w:eastAsia="宋体" w:cs="宋体"/>
                <w:b/>
                <w:bCs/>
                <w:color w:val="000000" w:themeColor="text1"/>
                <w:szCs w:val="21"/>
                <w:highlight w:val="none"/>
                <w:lang w:bidi="ar"/>
                <w14:textFill>
                  <w14:solidFill>
                    <w14:schemeClr w14:val="tx1"/>
                  </w14:solidFill>
                </w14:textFill>
              </w:rPr>
              <w:t>ca.</w:t>
            </w:r>
            <w:r>
              <w:rPr>
                <w:rFonts w:hint="eastAsia" w:ascii="宋体" w:hAnsi="宋体" w:eastAsia="宋体" w:cs="宋体"/>
                <w:b/>
                <w:bCs/>
                <w:color w:val="000000" w:themeColor="text1"/>
                <w:szCs w:val="21"/>
                <w:highlight w:val="none"/>
                <w:lang w:val="en-US" w:eastAsia="zh-CN" w:bidi="ar"/>
                <w14:textFill>
                  <w14:solidFill>
                    <w14:schemeClr w14:val="tx1"/>
                  </w14:solidFill>
                </w14:textFill>
              </w:rPr>
              <w:t>cn</w:t>
            </w:r>
            <w:r>
              <w:rPr>
                <w:rFonts w:hint="eastAsia" w:ascii="宋体" w:hAnsi="宋体" w:eastAsia="宋体" w:cs="宋体"/>
                <w:b/>
                <w:bCs/>
                <w:color w:val="000000" w:themeColor="text1"/>
                <w:szCs w:val="21"/>
                <w:highlight w:val="none"/>
                <w:lang w:bidi="ar"/>
                <w14:textFill>
                  <w14:solidFill>
                    <w14:schemeClr w14:val="tx1"/>
                  </w14:solidFill>
                </w14:textFill>
              </w:rPr>
              <w:t>)”</w:t>
            </w:r>
            <w:r>
              <w:rPr>
                <w:rFonts w:hint="eastAsia" w:ascii="宋体" w:hAnsi="宋体" w:eastAsia="宋体" w:cs="宋体"/>
                <w:b/>
                <w:bCs/>
                <w:color w:val="000000" w:themeColor="text1"/>
                <w:szCs w:val="21"/>
                <w:highlight w:val="none"/>
                <w:lang w:val="en-US" w:eastAsia="zh-CN" w:bidi="ar"/>
                <w14:textFill>
                  <w14:solidFill>
                    <w14:schemeClr w14:val="tx1"/>
                  </w14:solidFill>
                </w14:textFill>
              </w:rPr>
              <w:t>}</w:t>
            </w:r>
            <w:r>
              <w:rPr>
                <w:rFonts w:hint="eastAsia" w:ascii="宋体" w:hAnsi="宋体" w:eastAsia="宋体" w:cs="宋体"/>
                <w:b/>
                <w:bCs/>
                <w:color w:val="000000" w:themeColor="text1"/>
                <w:szCs w:val="21"/>
                <w:highlight w:val="none"/>
                <w:lang w:bidi="ar"/>
                <w14:textFill>
                  <w14:solidFill>
                    <w14:schemeClr w14:val="tx1"/>
                  </w14:solidFill>
                </w14:textFill>
              </w:rPr>
              <w:t>，以投标人提供的上述资料作为评审依据，未按要求提供上述资料或不能体现与投标人</w:t>
            </w:r>
            <w:r>
              <w:rPr>
                <w:rFonts w:hint="eastAsia" w:ascii="宋体" w:hAnsi="宋体" w:eastAsia="宋体" w:cs="宋体"/>
                <w:b/>
                <w:bCs/>
                <w:color w:val="000000" w:themeColor="text1"/>
                <w:szCs w:val="21"/>
                <w:highlight w:val="none"/>
                <w:lang w:eastAsia="zh-CN" w:bidi="ar"/>
                <w14:textFill>
                  <w14:solidFill>
                    <w14:schemeClr w14:val="tx1"/>
                  </w14:solidFill>
                </w14:textFill>
              </w:rPr>
              <w:t>（</w:t>
            </w:r>
            <w:r>
              <w:rPr>
                <w:rFonts w:hint="eastAsia" w:ascii="宋体" w:hAnsi="宋体" w:eastAsia="宋体" w:cs="宋体"/>
                <w:b/>
                <w:bCs/>
                <w:color w:val="000000" w:themeColor="text1"/>
                <w:szCs w:val="21"/>
                <w:highlight w:val="none"/>
                <w:lang w:val="en-US" w:eastAsia="zh-CN" w:bidi="ar"/>
                <w14:textFill>
                  <w14:solidFill>
                    <w14:schemeClr w14:val="tx1"/>
                  </w14:solidFill>
                </w14:textFill>
              </w:rPr>
              <w:t>或</w:t>
            </w:r>
            <w:r>
              <w:rPr>
                <w:rFonts w:hint="eastAsia" w:ascii="宋体" w:hAnsi="宋体" w:eastAsia="宋体" w:cs="宋体"/>
                <w:b/>
                <w:bCs/>
                <w:color w:val="000000" w:themeColor="text1"/>
                <w:szCs w:val="21"/>
                <w:highlight w:val="none"/>
                <w:lang w:eastAsia="zh-CN" w:bidi="ar"/>
                <w14:textFill>
                  <w14:solidFill>
                    <w14:schemeClr w14:val="tx1"/>
                  </w14:solidFill>
                </w14:textFill>
              </w:rPr>
              <w:t>所投产品制造商）</w:t>
            </w:r>
            <w:r>
              <w:rPr>
                <w:rFonts w:hint="eastAsia" w:ascii="宋体" w:hAnsi="宋体" w:eastAsia="宋体" w:cs="宋体"/>
                <w:b/>
                <w:bCs/>
                <w:color w:val="000000" w:themeColor="text1"/>
                <w:szCs w:val="21"/>
                <w:highlight w:val="none"/>
                <w:lang w:bidi="ar"/>
                <w14:textFill>
                  <w14:solidFill>
                    <w14:schemeClr w14:val="tx1"/>
                  </w14:solidFill>
                </w14:textFill>
              </w:rPr>
              <w:t>关系的不得分。</w:t>
            </w:r>
          </w:p>
        </w:tc>
      </w:tr>
      <w:tr w14:paraId="516D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337" w:type="pct"/>
            <w:shd w:val="clear" w:color="auto" w:fill="auto"/>
            <w:vAlign w:val="center"/>
          </w:tcPr>
          <w:p w14:paraId="62B0B77B">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917" w:type="pct"/>
            <w:shd w:val="clear" w:color="auto" w:fill="auto"/>
            <w:vAlign w:val="center"/>
          </w:tcPr>
          <w:p w14:paraId="79D10DC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投标产品的设计及性能</w:t>
            </w:r>
          </w:p>
        </w:tc>
        <w:tc>
          <w:tcPr>
            <w:tcW w:w="625" w:type="pct"/>
            <w:shd w:val="clear" w:color="auto" w:fill="auto"/>
            <w:vAlign w:val="center"/>
          </w:tcPr>
          <w:p w14:paraId="1868523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5分</w:t>
            </w:r>
          </w:p>
        </w:tc>
        <w:tc>
          <w:tcPr>
            <w:tcW w:w="3120" w:type="pct"/>
            <w:tcBorders>
              <w:top w:val="single" w:color="auto" w:sz="4" w:space="0"/>
              <w:left w:val="single" w:color="auto" w:sz="4" w:space="0"/>
              <w:right w:val="single" w:color="auto" w:sz="4" w:space="0"/>
            </w:tcBorders>
            <w:shd w:val="clear" w:color="auto" w:fill="auto"/>
            <w:vAlign w:val="center"/>
          </w:tcPr>
          <w:p w14:paraId="2D49AF37">
            <w:pPr>
              <w:keepNext w:val="0"/>
              <w:keepLines w:val="0"/>
              <w:suppressLineNumbers w:val="0"/>
              <w:spacing w:before="0" w:beforeAutospacing="0" w:after="0" w:afterAutospacing="0" w:line="400" w:lineRule="exact"/>
              <w:ind w:left="0" w:right="0"/>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所投品牌螺翼式远传水表的读数设计、抗磨损设计、远传模块可拆卸维护、计量参数、计量准确度、防腐工艺、机芯材质、防护等级、密封性能、抗干扰性能、远传模块电池性能和设计寿命、远传模块维修便利性及数据采集性能等进行评审：</w:t>
            </w:r>
          </w:p>
          <w:p w14:paraId="15AEDC56">
            <w:pPr>
              <w:keepNext w:val="0"/>
              <w:keepLines w:val="0"/>
              <w:suppressLineNumbers w:val="0"/>
              <w:spacing w:before="0" w:beforeAutospacing="0" w:after="0" w:afterAutospacing="0" w:line="400" w:lineRule="exact"/>
              <w:ind w:left="0" w:right="0"/>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优：产品设计合理、实用、美观，读数显示清晰，拆装维护便利，计量性能响应度高，技术性能先进，性能稳定可靠，能完全满足并优于采购需求，得5分；</w:t>
            </w:r>
          </w:p>
          <w:p w14:paraId="258C0CFA">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良：产品设计合理，读数显示较清晰，拆装维护较方便，计量性能响应度较高，技术性能较好，性能稳定，能满足采购需求，得3.5分；</w:t>
            </w:r>
          </w:p>
          <w:p w14:paraId="736B83AF">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中：产品设计一般，读数显示清晰度一般，拆装维护便利度一般，计量性能响应度一般，技术性能一般，运行稳定性一般，基本能满足采购需求，得2分；</w:t>
            </w:r>
          </w:p>
          <w:p w14:paraId="4837FA52">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差：产品设计说明基本符合要求，结构设计基本合理，制造工艺一般，维护不够方便；技术性能基本达标，功能响应基本满足要求，运行基本稳定</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，得1分；</w:t>
            </w:r>
          </w:p>
          <w:p w14:paraId="5598BBD6">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未提供的，得0分。</w:t>
            </w:r>
          </w:p>
          <w:p w14:paraId="3903E8B8">
            <w:pPr>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备注：1、投标人必须提供投标产品性能说明书或其他能体现投标产品性能的证明材料，以此证明材料作为依据进行评审；</w:t>
            </w:r>
            <w:r>
              <w:rPr>
                <w:rFonts w:hint="default" w:ascii="宋体" w:hAnsi="宋体" w:eastAsia="宋体" w:cs="宋体"/>
                <w:b/>
                <w:bCs/>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、投标人提供的水表类型【提供：DN100垂直螺翼式水表和DN100水平螺翼式水表】的省级或省级以上质量监督检测机构或第三方具有 CMA 资格的检测机构或第三方具有CNAS 认证的检测机构出具的检验报告进行评审。</w:t>
            </w:r>
          </w:p>
        </w:tc>
      </w:tr>
      <w:tr w14:paraId="5D09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7" w:type="pct"/>
            <w:shd w:val="clear" w:color="auto" w:fill="auto"/>
            <w:vAlign w:val="center"/>
          </w:tcPr>
          <w:p w14:paraId="6CF13018">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917" w:type="pct"/>
            <w:shd w:val="clear" w:color="auto" w:fill="auto"/>
            <w:vAlign w:val="center"/>
          </w:tcPr>
          <w:p w14:paraId="1D0E3B7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生产制造能力</w:t>
            </w:r>
          </w:p>
        </w:tc>
        <w:tc>
          <w:tcPr>
            <w:tcW w:w="625" w:type="pct"/>
            <w:shd w:val="clear" w:color="auto" w:fill="auto"/>
            <w:vAlign w:val="center"/>
          </w:tcPr>
          <w:p w14:paraId="22AE2B33">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4分</w:t>
            </w:r>
          </w:p>
        </w:tc>
        <w:tc>
          <w:tcPr>
            <w:tcW w:w="3120" w:type="pct"/>
            <w:tcBorders>
              <w:top w:val="single" w:color="auto" w:sz="4" w:space="0"/>
              <w:left w:val="single" w:color="auto" w:sz="4" w:space="0"/>
              <w:right w:val="single" w:color="auto" w:sz="4" w:space="0"/>
            </w:tcBorders>
            <w:shd w:val="clear" w:color="auto" w:fill="auto"/>
            <w:vAlign w:val="center"/>
          </w:tcPr>
          <w:p w14:paraId="3F5A572A">
            <w:pPr>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根据投标人（或所投产品制造商）的生产设备、检测设备、制造工艺流程及质检手段（包括各类设备的单台价值及档次水平、生产能力、工艺质量、试压和误差检测的效率）等进行评审： </w:t>
            </w:r>
          </w:p>
          <w:p w14:paraId="17067602">
            <w:pPr>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优：生产、检测设备质量高、生产管理流程高效、产品质量检测能力先进，得4分； </w:t>
            </w:r>
          </w:p>
          <w:p w14:paraId="4B7A9B9F">
            <w:pPr>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良：生产、检测设备质量比较高、生产管理流程比较稳定、产品质量检测能力较好，得3分； </w:t>
            </w:r>
          </w:p>
          <w:p w14:paraId="145C9240">
            <w:pPr>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中：生产、检测设备质量一般、生产管理流程效率一般、产品质量检测能力一般，得2分； </w:t>
            </w:r>
          </w:p>
          <w:p w14:paraId="0E3F431C">
            <w:pPr>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差：具备基本的生产与检测设备，生产管理流程初步建立，产品质量检测能力较为基础，得1分；</w:t>
            </w:r>
          </w:p>
          <w:p w14:paraId="184C414E">
            <w:pPr>
              <w:spacing w:line="400" w:lineRule="exact"/>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未提供生产制造能力方案及相关证明材料的，不得分。</w:t>
            </w:r>
          </w:p>
          <w:p w14:paraId="3B57F8DD">
            <w:pPr>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备注：投标人应提供2025年1月1日或以后拍摄的有关生产设备、检测设备、制造工艺流程及质检设备的照片/图片（照片/图片须清晰反映拍摄时间，否则评标时将不予考虑），以及相关设备设施清单和（付款单位/购买方为所投产品制造商）采购合同及购置发票原件扫描件等证明材料，以投标人提供的上述资料作为评审依据。</w:t>
            </w:r>
          </w:p>
        </w:tc>
      </w:tr>
      <w:tr w14:paraId="3350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37" w:type="pct"/>
            <w:vMerge w:val="restart"/>
            <w:vAlign w:val="center"/>
          </w:tcPr>
          <w:p w14:paraId="1FBF5D20">
            <w:pPr>
              <w:keepNext w:val="0"/>
              <w:keepLines w:val="0"/>
              <w:pageBreakBefore w:val="0"/>
              <w:widowControl w:val="0"/>
              <w:kinsoku/>
              <w:wordWrap/>
              <w:overflowPunct/>
              <w:topLinePunct w:val="0"/>
              <w:bidi w:val="0"/>
              <w:snapToGrid w:val="0"/>
              <w:spacing w:line="400" w:lineRule="exact"/>
              <w:ind w:left="-53" w:leftChars="-25" w:right="-38" w:rightChars="-18" w:firstLine="2"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917" w:type="pct"/>
            <w:vMerge w:val="restart"/>
            <w:shd w:val="clear" w:color="auto" w:fill="auto"/>
            <w:vAlign w:val="center"/>
          </w:tcPr>
          <w:p w14:paraId="62E46225">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售后服务方案</w:t>
            </w:r>
          </w:p>
        </w:tc>
        <w:tc>
          <w:tcPr>
            <w:tcW w:w="625" w:type="pct"/>
            <w:shd w:val="clear" w:color="auto" w:fill="auto"/>
            <w:vAlign w:val="center"/>
          </w:tcPr>
          <w:p w14:paraId="2A4DD7C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4分</w:t>
            </w:r>
          </w:p>
        </w:tc>
        <w:tc>
          <w:tcPr>
            <w:tcW w:w="3120" w:type="pct"/>
            <w:tcBorders>
              <w:top w:val="single" w:color="auto" w:sz="4" w:space="0"/>
              <w:left w:val="single" w:color="auto" w:sz="4" w:space="0"/>
              <w:right w:val="single" w:color="auto" w:sz="4" w:space="0"/>
            </w:tcBorders>
            <w:shd w:val="clear" w:color="auto" w:fill="auto"/>
            <w:vAlign w:val="center"/>
          </w:tcPr>
          <w:p w14:paraId="266BD32C">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 xml:space="preserve">1、根据投标人提供的售后服务机构配置（包括技术服务人员数量及水平、备品配件数量、保修部件范围及方式），售后服务的便利性，应急处理方式，培训计划等进行评审： </w:t>
            </w:r>
          </w:p>
          <w:p w14:paraId="6B280B42">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 xml:space="preserve">优：售后服务机构配置的技术服务人员数量、备品配件数量充足；技术服务水平高，保修部件范围广及方式优；售后服务便利、应急处理方式完善；培训计划内容非常详实完善、科学合理和保障及时充分，得4分； </w:t>
            </w:r>
          </w:p>
          <w:p w14:paraId="207C434F">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 xml:space="preserve">良：售后服务机构配置的技术服务人员数量、备品配件数量较充足；技术服务水平较高，保修部件范围较广及方式较优；售后服务较便利、应急处理方式较完善；培训计划内容比较详实完善、可行性较好、保障性和及时性较好，得3分； </w:t>
            </w:r>
          </w:p>
          <w:p w14:paraId="74185D94">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 xml:space="preserve">中：售后服务机构配置的技术服务人员数量、备品配件数量一般；技术服务水平一般，保修部件范围及方式一般；售后服务便利性一般、应急处理方式一般；培训计划内容基本详实完善、基本可行、保障性和及时性一般，得2分； </w:t>
            </w:r>
          </w:p>
          <w:p w14:paraId="53079E32">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差：售后服务机构配置的技术服务人员数量和备品配件数量基本满足项目需求；技术服务水平、保修方式较为基础；售后服务便利性一般，应急处理方式单一；培训计划内容简单，可行性、保障性和及时性存在一定局限，得1分；</w:t>
            </w:r>
          </w:p>
          <w:p w14:paraId="47E9914A">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Cs w:val="21"/>
                <w:highlight w:val="none"/>
                <w:shd w:val="clear" w:color="auto" w:fill="auto"/>
                <w:lang w:val="en-US" w:eastAsia="zh-CN"/>
                <w14:textFill>
                  <w14:solidFill>
                    <w14:schemeClr w14:val="tx1"/>
                  </w14:solidFill>
                </w14:textFill>
              </w:rPr>
              <w:t>未提供售后服务方案的，不得分。</w:t>
            </w:r>
          </w:p>
        </w:tc>
      </w:tr>
      <w:tr w14:paraId="5D71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37" w:type="pct"/>
            <w:vMerge w:val="continue"/>
            <w:vAlign w:val="center"/>
          </w:tcPr>
          <w:p w14:paraId="461826EA">
            <w:pPr>
              <w:keepNext w:val="0"/>
              <w:keepLines w:val="0"/>
              <w:pageBreakBefore w:val="0"/>
              <w:widowControl w:val="0"/>
              <w:kinsoku/>
              <w:wordWrap/>
              <w:overflowPunct/>
              <w:topLinePunct w:val="0"/>
              <w:bidi w:val="0"/>
              <w:snapToGrid w:val="0"/>
              <w:spacing w:line="400" w:lineRule="exact"/>
              <w:ind w:left="-53" w:leftChars="-25" w:right="-38" w:rightChars="-18" w:firstLine="2"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917" w:type="pct"/>
            <w:vMerge w:val="continue"/>
            <w:shd w:val="clear" w:color="auto" w:fill="auto"/>
            <w:vAlign w:val="center"/>
          </w:tcPr>
          <w:p w14:paraId="1B97DB78">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p>
        </w:tc>
        <w:tc>
          <w:tcPr>
            <w:tcW w:w="625" w:type="pct"/>
            <w:shd w:val="clear" w:color="auto" w:fill="auto"/>
            <w:vAlign w:val="center"/>
          </w:tcPr>
          <w:p w14:paraId="4C7F462E">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p>
        </w:tc>
        <w:tc>
          <w:tcPr>
            <w:tcW w:w="3120" w:type="pct"/>
            <w:tcBorders>
              <w:top w:val="single" w:color="auto" w:sz="4" w:space="0"/>
              <w:left w:val="single" w:color="auto" w:sz="4" w:space="0"/>
              <w:right w:val="single" w:color="auto" w:sz="4" w:space="0"/>
            </w:tcBorders>
            <w:shd w:val="clear" w:color="auto" w:fill="auto"/>
            <w:vAlign w:val="center"/>
          </w:tcPr>
          <w:p w14:paraId="12A59F3E">
            <w:pPr>
              <w:spacing w:line="400" w:lineRule="exact"/>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根据投标人承诺的</w:t>
            </w:r>
            <w:r>
              <w:rPr>
                <w:rFonts w:hint="eastAsia" w:ascii="宋体" w:hAnsi="宋体" w:eastAsia="宋体" w:cs="宋体"/>
                <w:color w:val="000000" w:themeColor="text1"/>
                <w:szCs w:val="21"/>
                <w:highlight w:val="none"/>
                <w:lang w:val="en-US" w:eastAsia="zh-CN"/>
                <w14:textFill>
                  <w14:solidFill>
                    <w14:schemeClr w14:val="tx1"/>
                  </w14:solidFill>
                </w14:textFill>
              </w:rPr>
              <w:t>售后服务</w:t>
            </w:r>
            <w:r>
              <w:rPr>
                <w:rFonts w:hint="eastAsia" w:ascii="宋体" w:hAnsi="宋体" w:eastAsia="宋体" w:cs="宋体"/>
                <w:color w:val="000000" w:themeColor="text1"/>
                <w:szCs w:val="21"/>
                <w:highlight w:val="none"/>
                <w14:textFill>
                  <w14:solidFill>
                    <w14:schemeClr w14:val="tx1"/>
                  </w14:solidFill>
                </w14:textFill>
              </w:rPr>
              <w:t>响应时间进行评审：</w:t>
            </w:r>
          </w:p>
          <w:p w14:paraId="11937FFC">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①承诺在接到招标人的</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售后服务通知</w:t>
            </w:r>
            <w:r>
              <w:rPr>
                <w:rFonts w:hint="eastAsia" w:ascii="宋体" w:hAnsi="宋体" w:eastAsia="宋体" w:cs="宋体"/>
                <w:b w:val="0"/>
                <w:bCs w:val="0"/>
                <w:color w:val="000000" w:themeColor="text1"/>
                <w:szCs w:val="21"/>
                <w:highlight w:val="none"/>
                <w14:textFill>
                  <w14:solidFill>
                    <w14:schemeClr w14:val="tx1"/>
                  </w14:solidFill>
                </w14:textFill>
              </w:rPr>
              <w:t xml:space="preserve">后3小时内响应，16小时内到达项目现场进行维修等服务的，得1分； </w:t>
            </w:r>
          </w:p>
          <w:p w14:paraId="1560F459">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②承诺在接到招标人的</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售后服务通知</w:t>
            </w:r>
            <w:r>
              <w:rPr>
                <w:rFonts w:hint="eastAsia" w:ascii="宋体" w:hAnsi="宋体" w:eastAsia="宋体" w:cs="宋体"/>
                <w:b w:val="0"/>
                <w:bCs w:val="0"/>
                <w:color w:val="000000" w:themeColor="text1"/>
                <w:szCs w:val="21"/>
                <w:highlight w:val="none"/>
                <w14:textFill>
                  <w14:solidFill>
                    <w14:schemeClr w14:val="tx1"/>
                  </w14:solidFill>
                </w14:textFill>
              </w:rPr>
              <w:t xml:space="preserve">后2小时内响应，8小时内到达项目现场进行维修等服务的，得2分。 </w:t>
            </w:r>
          </w:p>
          <w:p w14:paraId="02F2DD5E">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备注：根据《</w:t>
            </w:r>
            <w:r>
              <w:rPr>
                <w:rFonts w:hint="eastAsia" w:ascii="宋体" w:hAnsi="宋体" w:eastAsia="宋体" w:cs="宋体"/>
                <w:b/>
                <w:bCs/>
                <w:color w:val="000000" w:themeColor="text1"/>
                <w:szCs w:val="21"/>
                <w:highlight w:val="none"/>
                <w:lang w:val="en-US" w:eastAsia="zh-CN"/>
                <w14:textFill>
                  <w14:solidFill>
                    <w14:schemeClr w14:val="tx1"/>
                  </w14:solidFill>
                </w14:textFill>
              </w:rPr>
              <w:t>售后服务</w:t>
            </w:r>
            <w:r>
              <w:rPr>
                <w:rFonts w:hint="eastAsia" w:ascii="宋体" w:hAnsi="宋体" w:eastAsia="宋体" w:cs="宋体"/>
                <w:b/>
                <w:bCs/>
                <w:color w:val="000000" w:themeColor="text1"/>
                <w:szCs w:val="21"/>
                <w:highlight w:val="none"/>
                <w14:textFill>
                  <w14:solidFill>
                    <w14:schemeClr w14:val="tx1"/>
                  </w14:solidFill>
                </w14:textFill>
              </w:rPr>
              <w:t>响应时间承诺表》进行评审。</w:t>
            </w:r>
          </w:p>
        </w:tc>
      </w:tr>
    </w:tbl>
    <w:p w14:paraId="00E3FA2C">
      <w:pPr>
        <w:widowControl/>
        <w:jc w:val="left"/>
        <w:rPr>
          <w:rFonts w:ascii="宋体" w:hAnsi="宋体" w:eastAsia="宋体" w:cs="宋体"/>
          <w:color w:val="000000" w:themeColor="text1"/>
          <w:szCs w:val="24"/>
          <w:highlight w:val="none"/>
          <w:lang w:val="zh-CN"/>
          <w14:textFill>
            <w14:solidFill>
              <w14:schemeClr w14:val="tx1"/>
            </w14:solidFill>
          </w14:textFill>
        </w:rPr>
      </w:pPr>
    </w:p>
    <w:p w14:paraId="1A9A0338">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备注：</w:t>
      </w:r>
    </w:p>
    <w:p w14:paraId="12D87744">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①分数出现小数点，保留小数点后2位，从小数点后第3位四舍五入。</w:t>
      </w:r>
    </w:p>
    <w:p w14:paraId="4F01A03D">
      <w:pPr>
        <w:autoSpaceDE w:val="0"/>
        <w:autoSpaceDN w:val="0"/>
        <w:adjustRightInd w:val="0"/>
        <w:spacing w:line="360" w:lineRule="auto"/>
        <w:ind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②</w:t>
      </w:r>
      <w:r>
        <w:rPr>
          <w:rFonts w:hint="eastAsia" w:ascii="宋体" w:hAnsi="宋体" w:eastAsia="宋体" w:cs="宋体"/>
          <w:b/>
          <w:color w:val="000000" w:themeColor="text1"/>
          <w:szCs w:val="21"/>
          <w:highlight w:val="none"/>
          <w:lang w:val="zh-CN"/>
          <w14:textFill>
            <w14:solidFill>
              <w14:schemeClr w14:val="tx1"/>
            </w14:solidFill>
          </w14:textFill>
        </w:rPr>
        <w:t>上述“评分项目”中按</w:t>
      </w:r>
      <w:r>
        <w:rPr>
          <w:rFonts w:hint="eastAsia" w:ascii="宋体" w:hAnsi="宋体" w:eastAsia="宋体" w:cs="宋体"/>
          <w:b/>
          <w:color w:val="000000" w:themeColor="text1"/>
          <w:szCs w:val="24"/>
          <w:highlight w:val="none"/>
          <w:lang w:val="zh-CN"/>
          <w14:textFill>
            <w14:solidFill>
              <w14:schemeClr w14:val="tx1"/>
            </w14:solidFill>
          </w14:textFill>
        </w:rPr>
        <w:t>“优、中、差”评审的，若低于该项满分分值60%时，评标专家需详细填写该项低分的充分理由，例如：该项目内容存在违反国家有关标准和规范或与项目实际不符等原则性问题。</w:t>
      </w:r>
    </w:p>
    <w:p w14:paraId="072FE50A">
      <w:pPr>
        <w:autoSpaceDE w:val="0"/>
        <w:autoSpaceDN w:val="0"/>
        <w:adjustRightInd w:val="0"/>
        <w:spacing w:line="360" w:lineRule="auto"/>
        <w:ind w:firstLine="422"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4"/>
          <w:highlight w:val="none"/>
          <w:lang w:val="en-US" w:eastAsia="zh-CN"/>
          <w14:textFill>
            <w14:solidFill>
              <w14:schemeClr w14:val="tx1"/>
            </w14:solidFill>
          </w14:textFill>
        </w:rPr>
        <w:t>③</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14:textFill>
            <w14:solidFill>
              <w14:schemeClr w14:val="tx1"/>
            </w14:solidFill>
          </w14:textFill>
        </w:rPr>
        <w:t>确定该项的评分。</w:t>
      </w:r>
    </w:p>
    <w:p w14:paraId="0E5BDCBA">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（3）价格评分方法</w:t>
      </w:r>
    </w:p>
    <w:p w14:paraId="0EBD3275">
      <w:pPr>
        <w:spacing w:line="360" w:lineRule="auto"/>
        <w:ind w:firstLine="422" w:firstLineChars="200"/>
        <w:rPr>
          <w:rFonts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8"/>
          <w:highlight w:val="none"/>
          <w:lang w:val="zh-CN"/>
          <w14:textFill>
            <w14:solidFill>
              <w14:schemeClr w14:val="tx1"/>
            </w14:solidFill>
          </w14:textFill>
        </w:rPr>
        <w:t xml:space="preserve">1）经济文件的符合性审查 </w:t>
      </w:r>
    </w:p>
    <w:p w14:paraId="6026D7A5">
      <w:pPr>
        <w:spacing w:line="360" w:lineRule="auto"/>
        <w:ind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356E1234">
      <w:pPr>
        <w:autoSpaceDE w:val="0"/>
        <w:autoSpaceDN w:val="0"/>
        <w:adjustRightInd w:val="0"/>
        <w:spacing w:line="360" w:lineRule="auto"/>
        <w:ind w:firstLine="420" w:firstLineChars="200"/>
        <w:rPr>
          <w:rFonts w:ascii="宋体" w:hAnsi="宋体" w:eastAsia="宋体" w:cs="宋体"/>
          <w:b/>
          <w:color w:val="000000" w:themeColor="text1"/>
          <w:szCs w:val="24"/>
          <w:highlight w:val="none"/>
          <w:u w:val="singl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若投标人出现超低报价，</w:t>
      </w:r>
      <w:r>
        <w:rPr>
          <w:rFonts w:hint="eastAsia" w:ascii="宋体" w:hAnsi="宋体" w:eastAsia="宋体" w:cs="宋体"/>
          <w:color w:val="000000" w:themeColor="text1"/>
          <w:kern w:val="0"/>
          <w:szCs w:val="21"/>
          <w:highlight w:val="none"/>
          <w14:textFill>
            <w14:solidFill>
              <w14:schemeClr w14:val="tx1"/>
            </w14:solidFill>
          </w14:textFill>
        </w:rPr>
        <w:t>有可能影响服务质量和不能诚信履约的，</w:t>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1"/>
          <w:highlight w:val="none"/>
          <w:lang w:val="zh-CN"/>
          <w14:textFill>
            <w14:solidFill>
              <w14:schemeClr w14:val="tx1"/>
            </w14:solidFill>
          </w14:textFill>
        </w:rPr>
        <w:t>将要求该投标人作出书面说明并提供相关证明材料，</w:t>
      </w:r>
      <w:r>
        <w:rPr>
          <w:rFonts w:hint="eastAsia" w:ascii="宋体" w:hAnsi="宋体" w:eastAsia="宋体" w:cs="宋体"/>
          <w:color w:val="000000" w:themeColor="text1"/>
          <w:szCs w:val="24"/>
          <w:highlight w:val="none"/>
          <w:lang w:val="zh-CN"/>
          <w14:textFill>
            <w14:solidFill>
              <w14:schemeClr w14:val="tx1"/>
            </w14:solidFill>
          </w14:textFill>
        </w:rPr>
        <w:t>以确定投标人是否以低于企业成本价报价。</w:t>
      </w:r>
      <w:r>
        <w:rPr>
          <w:rFonts w:hint="eastAsia" w:ascii="宋体" w:hAnsi="宋体" w:eastAsia="宋体" w:cs="宋体"/>
          <w:b/>
          <w:color w:val="000000" w:themeColor="text1"/>
          <w:szCs w:val="24"/>
          <w:highlight w:val="none"/>
          <w:u w:val="single"/>
          <w:lang w:val="zh-CN"/>
          <w14:textFill>
            <w14:solidFill>
              <w14:schemeClr w14:val="tx1"/>
            </w14:solidFill>
          </w14:textFill>
        </w:rPr>
        <w:t>若投标人不能合理说明或不能提供相关证明材料的，评标委员会将认定其投标报价低于成本，同时否决其投标。</w:t>
      </w:r>
    </w:p>
    <w:p w14:paraId="48A4DD24">
      <w:pPr>
        <w:spacing w:line="360" w:lineRule="auto"/>
        <w:ind w:firstLine="422" w:firstLineChars="20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对是否低于企业成本价报价的事宜有争议的投标文件,评标委员会成员将以记名方式表决,根据少数服</w:t>
      </w:r>
      <w:r>
        <w:rPr>
          <w:rFonts w:hint="eastAsia" w:ascii="宋体" w:hAnsi="宋体" w:eastAsia="宋体" w:cs="宋体"/>
          <w:b/>
          <w:color w:val="000000" w:themeColor="text1"/>
          <w:kern w:val="0"/>
          <w:szCs w:val="21"/>
          <w:highlight w:val="none"/>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多数的原则，获多数表决通过的投标人才有资格进入下一阶段的评审,否则将按无效投标处理。</w:t>
      </w:r>
    </w:p>
    <w:p w14:paraId="0E46F858">
      <w:pPr>
        <w:spacing w:line="360" w:lineRule="auto"/>
        <w:ind w:firstLine="422" w:firstLineChars="20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lang w:val="zh-CN"/>
          <w14:textFill>
            <w14:solidFill>
              <w14:schemeClr w14:val="tx1"/>
            </w14:solidFill>
          </w14:textFill>
        </w:rPr>
        <w:t>2</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8"/>
          <w:highlight w:val="none"/>
          <w:lang w:val="zh-CN"/>
          <w14:textFill>
            <w14:solidFill>
              <w14:schemeClr w14:val="tx1"/>
            </w14:solidFill>
          </w14:textFill>
        </w:rPr>
        <w:t>价格评分</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总分</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 xml:space="preserve"> 30 </w:t>
      </w:r>
      <w:r>
        <w:rPr>
          <w:rFonts w:hint="eastAsia" w:ascii="宋体" w:hAnsi="宋体" w:eastAsia="宋体" w:cs="宋体"/>
          <w:b/>
          <w:bCs/>
          <w:color w:val="000000" w:themeColor="text1"/>
          <w:kern w:val="0"/>
          <w:szCs w:val="21"/>
          <w:highlight w:val="none"/>
          <w:lang w:val="zh-CN"/>
          <w14:textFill>
            <w14:solidFill>
              <w14:schemeClr w14:val="tx1"/>
            </w14:solidFill>
          </w14:textFill>
        </w:rPr>
        <w:t>分</w:t>
      </w:r>
    </w:p>
    <w:p w14:paraId="2DEEE43A">
      <w:pPr>
        <w:autoSpaceDN w:val="0"/>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A、根据有效投标人的投标“折扣系数”，最低投标“折扣系数”作为基准</w:t>
      </w:r>
      <w:r>
        <w:rPr>
          <w:rFonts w:hint="eastAsia" w:ascii="宋体" w:hAnsi="宋体" w:eastAsia="宋体" w:cs="宋体"/>
          <w:color w:val="000000" w:themeColor="text1"/>
          <w:kern w:val="0"/>
          <w:szCs w:val="21"/>
          <w:highlight w:val="none"/>
          <w:lang w:val="en-US" w:eastAsia="zh-CN"/>
          <w14:textFill>
            <w14:solidFill>
              <w14:schemeClr w14:val="tx1"/>
            </w14:solidFill>
          </w14:textFill>
        </w:rPr>
        <w:t>系数</w:t>
      </w:r>
      <w:r>
        <w:rPr>
          <w:rFonts w:hint="eastAsia" w:ascii="宋体" w:hAnsi="宋体" w:eastAsia="宋体" w:cs="宋体"/>
          <w:color w:val="000000" w:themeColor="text1"/>
          <w:kern w:val="0"/>
          <w:szCs w:val="21"/>
          <w:highlight w:val="none"/>
          <w14:textFill>
            <w14:solidFill>
              <w14:schemeClr w14:val="tx1"/>
            </w14:solidFill>
          </w14:textFill>
        </w:rPr>
        <w:t>（Y）。投标人投标“折扣系数”（X）等于基准</w:t>
      </w:r>
      <w:r>
        <w:rPr>
          <w:rFonts w:hint="eastAsia" w:ascii="宋体" w:hAnsi="宋体" w:eastAsia="宋体" w:cs="宋体"/>
          <w:color w:val="000000" w:themeColor="text1"/>
          <w:kern w:val="0"/>
          <w:szCs w:val="21"/>
          <w:highlight w:val="none"/>
          <w:lang w:val="en-US" w:eastAsia="zh-CN"/>
          <w14:textFill>
            <w14:solidFill>
              <w14:schemeClr w14:val="tx1"/>
            </w14:solidFill>
          </w14:textFill>
        </w:rPr>
        <w:t>系数</w:t>
      </w:r>
      <w:r>
        <w:rPr>
          <w:rFonts w:hint="eastAsia" w:ascii="宋体" w:hAnsi="宋体" w:eastAsia="宋体" w:cs="宋体"/>
          <w:color w:val="000000" w:themeColor="text1"/>
          <w:kern w:val="0"/>
          <w:szCs w:val="21"/>
          <w:highlight w:val="none"/>
          <w14:textFill>
            <w14:solidFill>
              <w14:schemeClr w14:val="tx1"/>
            </w14:solidFill>
          </w14:textFill>
        </w:rPr>
        <w:t>的得满分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30 </w:t>
      </w:r>
      <w:r>
        <w:rPr>
          <w:rFonts w:hint="eastAsia" w:ascii="宋体" w:hAnsi="宋体" w:eastAsia="宋体" w:cs="宋体"/>
          <w:color w:val="000000" w:themeColor="text1"/>
          <w:kern w:val="0"/>
          <w:szCs w:val="21"/>
          <w:highlight w:val="none"/>
          <w14:textFill>
            <w14:solidFill>
              <w14:schemeClr w14:val="tx1"/>
            </w14:solidFill>
          </w14:textFill>
        </w:rPr>
        <w:t>分，其他投标人的价格得分统一按照下列公式计算：</w:t>
      </w:r>
    </w:p>
    <w:p w14:paraId="0E3DB768">
      <w:pPr>
        <w:autoSpaceDN w:val="0"/>
        <w:adjustRightInd w:val="0"/>
        <w:snapToGrid w:val="0"/>
        <w:spacing w:line="360" w:lineRule="auto"/>
        <w:ind w:firstLine="420"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价格得分=(基准</w:t>
      </w:r>
      <w:r>
        <w:rPr>
          <w:rFonts w:hint="eastAsia" w:ascii="宋体" w:hAnsi="宋体" w:eastAsia="宋体" w:cs="宋体"/>
          <w:color w:val="000000" w:themeColor="text1"/>
          <w:kern w:val="0"/>
          <w:szCs w:val="21"/>
          <w:highlight w:val="none"/>
          <w:lang w:val="en-US" w:eastAsia="zh-CN"/>
          <w14:textFill>
            <w14:solidFill>
              <w14:schemeClr w14:val="tx1"/>
            </w14:solidFill>
          </w14:textFill>
        </w:rPr>
        <w:t>系数</w:t>
      </w:r>
      <w:r>
        <w:rPr>
          <w:rFonts w:hint="eastAsia" w:ascii="宋体" w:hAnsi="宋体" w:eastAsia="宋体" w:cs="宋体"/>
          <w:color w:val="000000" w:themeColor="text1"/>
          <w:kern w:val="0"/>
          <w:szCs w:val="21"/>
          <w:highlight w:val="none"/>
          <w14:textFill>
            <w14:solidFill>
              <w14:schemeClr w14:val="tx1"/>
            </w14:solidFill>
          </w14:textFill>
        </w:rPr>
        <w:t>／投标</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折扣系数</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30</w:t>
      </w:r>
    </w:p>
    <w:p w14:paraId="707244CD">
      <w:pPr>
        <w:autoSpaceDN w:val="0"/>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B、分数出现小数点，保留小数点后2位，从小数点后第3位四舍五入。</w:t>
      </w:r>
    </w:p>
    <w:p w14:paraId="618EDAE6">
      <w:pPr>
        <w:tabs>
          <w:tab w:val="left" w:pos="585"/>
        </w:tabs>
        <w:autoSpaceDE w:val="0"/>
        <w:autoSpaceDN w:val="0"/>
        <w:adjustRightInd w:val="0"/>
        <w:spacing w:line="400" w:lineRule="exac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（4）综合得分</w:t>
      </w:r>
    </w:p>
    <w:p w14:paraId="50EDEAD2">
      <w:pPr>
        <w:spacing w:line="360" w:lineRule="auto"/>
        <w:ind w:firstLine="420" w:firstLineChars="200"/>
        <w:rPr>
          <w:rFonts w:hint="eastAsia" w:ascii="宋体" w:hAnsi="宋体" w:eastAsia="宋体" w:cs="宋体"/>
          <w:color w:val="000000" w:themeColor="text1"/>
          <w:kern w:val="0"/>
          <w:szCs w:val="28"/>
          <w:highlight w:val="none"/>
          <w:lang w:val="zh-CN"/>
          <w14:textFill>
            <w14:solidFill>
              <w14:schemeClr w14:val="tx1"/>
            </w14:solidFill>
          </w14:textFill>
        </w:rPr>
      </w:pPr>
      <w:bookmarkStart w:id="1191" w:name="_Toc31624_WPSOffice_Level2"/>
    </w:p>
    <w:p w14:paraId="23C2F573">
      <w:pPr>
        <w:spacing w:line="360" w:lineRule="auto"/>
        <w:ind w:firstLine="420" w:firstLineChars="200"/>
        <w:rPr>
          <w:rFonts w:ascii="宋体" w:hAnsi="宋体" w:eastAsia="宋体" w:cs="宋体"/>
          <w:color w:val="000000" w:themeColor="text1"/>
          <w:kern w:val="0"/>
          <w:szCs w:val="28"/>
          <w:highlight w:val="none"/>
          <w:lang w:val="zh-CN"/>
          <w14:textFill>
            <w14:solidFill>
              <w14:schemeClr w14:val="tx1"/>
            </w14:solidFill>
          </w14:textFill>
        </w:rPr>
      </w:pPr>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1191"/>
    </w:p>
    <w:p w14:paraId="178DCC7F">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bookmarkStart w:id="1192"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1192"/>
      <w:r>
        <w:rPr>
          <w:rFonts w:hint="eastAsia" w:ascii="宋体" w:hAnsi="宋体" w:eastAsia="宋体" w:cs="宋体"/>
          <w:color w:val="000000" w:themeColor="text1"/>
          <w:kern w:val="0"/>
          <w:szCs w:val="21"/>
          <w:highlight w:val="none"/>
          <w14:textFill>
            <w14:solidFill>
              <w14:schemeClr w14:val="tx1"/>
            </w14:solidFill>
          </w14:textFill>
        </w:rPr>
        <w:t>。</w:t>
      </w:r>
    </w:p>
    <w:p w14:paraId="12B1D984">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14:paraId="5D833D78">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1193"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1193"/>
    </w:p>
    <w:p w14:paraId="25F7EB40">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14:paraId="06CAD728">
      <w:pPr>
        <w:autoSpaceDE w:val="0"/>
        <w:autoSpaceDN w:val="0"/>
        <w:adjustRightInd w:val="0"/>
        <w:spacing w:line="360" w:lineRule="auto"/>
        <w:ind w:left="420" w:leftChars="200" w:firstLine="420" w:firstLineChars="200"/>
        <w:jc w:val="left"/>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如果有两个或以上的投标人的最后综合得分相同，则在最后综合得分相同的投标人中按投标报价</w:t>
      </w:r>
      <w:r>
        <w:rPr>
          <w:rFonts w:hint="eastAsia" w:ascii="宋体" w:hAnsi="宋体" w:eastAsia="宋体" w:cs="Times New Roman"/>
          <w:color w:val="000000" w:themeColor="text1"/>
          <w:kern w:val="0"/>
          <w:szCs w:val="21"/>
          <w:highlight w:val="none"/>
          <w:lang w:val="zh-CN"/>
          <w14:textFill>
            <w14:solidFill>
              <w14:schemeClr w14:val="tx1"/>
            </w14:solidFill>
          </w14:textFill>
        </w:rPr>
        <w:t>由低到高顺序排出次序，报价低的排前，报价高的排后。</w:t>
      </w:r>
      <w:r>
        <w:rPr>
          <w:rFonts w:hint="eastAsia" w:ascii="宋体" w:hAnsi="宋体" w:eastAsia="宋体" w:cs="Times New Roman"/>
          <w:color w:val="000000" w:themeColor="text1"/>
          <w:kern w:val="0"/>
          <w:szCs w:val="21"/>
          <w:highlight w:val="none"/>
          <w14:textFill>
            <w14:solidFill>
              <w14:schemeClr w14:val="tx1"/>
            </w14:solidFill>
          </w14:textFill>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2A46F44">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511AFB58">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bookmarkStart w:id="1194"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1194"/>
    </w:p>
    <w:p w14:paraId="713D8E2B">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14:paraId="45E7240C">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14:paraId="18F1DE62">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14:paraId="580C15A4">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14:paraId="59EB82A9">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14:paraId="67D6E989">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14:paraId="5CFFD7D8">
      <w:pPr>
        <w:autoSpaceDE w:val="0"/>
        <w:autoSpaceDN w:val="0"/>
        <w:adjustRightInd w:val="0"/>
        <w:spacing w:line="360" w:lineRule="auto"/>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14:paraId="22576CEE">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14:paraId="6798F746">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1195"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1195"/>
    </w:p>
    <w:p w14:paraId="3168DC74">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14:paraId="38DF72BF">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14:paraId="2E8FB9CD">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14:paraId="2C08141E">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1551A09F">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92F2565">
      <w:pPr>
        <w:widowControl/>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bookmarkEnd w:id="1162"/>
      <w:bookmarkEnd w:id="1174"/>
      <w:bookmarkEnd w:id="1175"/>
      <w:bookmarkEnd w:id="1176"/>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90104">
    <w:pPr>
      <w:pStyle w:val="2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712742">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4712742">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17987">
    <w:pPr>
      <w:pStyle w:val="2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B000D">
                          <w:pPr>
                            <w:pStyle w:val="29"/>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59B000D">
                    <w:pPr>
                      <w:pStyle w:val="29"/>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970D8">
    <w:pPr>
      <w:pStyle w:val="2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45D0D">
                          <w:pPr>
                            <w:pStyle w:val="2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7645D0D">
                    <w:pPr>
                      <w:pStyle w:val="2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1243">
    <w:pPr>
      <w:pStyle w:val="2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9784E">
                          <w:pPr>
                            <w:pStyle w:val="29"/>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559784E">
                    <w:pPr>
                      <w:pStyle w:val="29"/>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80AD">
    <w:pPr>
      <w:pStyle w:val="2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AB35A">
                          <w:pPr>
                            <w:pStyle w:val="29"/>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6DAB35A">
                    <w:pPr>
                      <w:pStyle w:val="29"/>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C6FB">
    <w:pPr>
      <w:pStyle w:val="2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24BFD">
                          <w:pPr>
                            <w:pStyle w:val="29"/>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E424BFD">
                    <w:pPr>
                      <w:pStyle w:val="29"/>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p w14:paraId="1EB35390">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6547">
    <w:pPr>
      <w:pStyle w:val="29"/>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3DEAC">
                          <w:pPr>
                            <w:pStyle w:val="29"/>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263DEAC">
                    <w:pPr>
                      <w:pStyle w:val="29"/>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0ED85"/>
    <w:multiLevelType w:val="singleLevel"/>
    <w:tmpl w:val="CF60ED85"/>
    <w:lvl w:ilvl="0" w:tentative="0">
      <w:start w:val="3"/>
      <w:numFmt w:val="chineseCounting"/>
      <w:suff w:val="nothing"/>
      <w:lvlText w:val="%1、"/>
      <w:lvlJc w:val="left"/>
      <w:rPr>
        <w:rFonts w:hint="eastAsia"/>
      </w:rPr>
    </w:lvl>
  </w:abstractNum>
  <w:abstractNum w:abstractNumId="1">
    <w:nsid w:val="DDE19B09"/>
    <w:multiLevelType w:val="singleLevel"/>
    <w:tmpl w:val="DDE19B09"/>
    <w:lvl w:ilvl="0" w:tentative="0">
      <w:start w:val="1"/>
      <w:numFmt w:val="decimal"/>
      <w:suff w:val="space"/>
      <w:lvlText w:val="(%1)"/>
      <w:lvlJc w:val="left"/>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1F7F887"/>
    <w:multiLevelType w:val="singleLevel"/>
    <w:tmpl w:val="41F7F887"/>
    <w:lvl w:ilvl="0" w:tentative="0">
      <w:start w:val="1"/>
      <w:numFmt w:val="decimal"/>
      <w:suff w:val="nothing"/>
      <w:lvlText w:val="（%1）"/>
      <w:lvlJc w:val="left"/>
    </w:lvl>
  </w:abstractNum>
  <w:abstractNum w:abstractNumId="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ZDFmYWE3YTY0ZjdjODg3NWJlYzQ1MzZmOTgxY2E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E661C"/>
    <w:rsid w:val="000F0A84"/>
    <w:rsid w:val="000F3174"/>
    <w:rsid w:val="001059DC"/>
    <w:rsid w:val="0010738F"/>
    <w:rsid w:val="0011440A"/>
    <w:rsid w:val="00114519"/>
    <w:rsid w:val="001233ED"/>
    <w:rsid w:val="00127946"/>
    <w:rsid w:val="00131E91"/>
    <w:rsid w:val="00133A48"/>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3F39"/>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45773"/>
    <w:rsid w:val="004551D1"/>
    <w:rsid w:val="0045753C"/>
    <w:rsid w:val="004577C3"/>
    <w:rsid w:val="0046038A"/>
    <w:rsid w:val="00460F3E"/>
    <w:rsid w:val="00464570"/>
    <w:rsid w:val="004761B2"/>
    <w:rsid w:val="00481AFA"/>
    <w:rsid w:val="0049337D"/>
    <w:rsid w:val="004B093D"/>
    <w:rsid w:val="004B14B8"/>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948CE"/>
    <w:rsid w:val="00695AA7"/>
    <w:rsid w:val="006A29A5"/>
    <w:rsid w:val="006A2BD9"/>
    <w:rsid w:val="006A3C57"/>
    <w:rsid w:val="006A4F83"/>
    <w:rsid w:val="006A5072"/>
    <w:rsid w:val="006B5151"/>
    <w:rsid w:val="006C2D84"/>
    <w:rsid w:val="006C2F7D"/>
    <w:rsid w:val="006C3580"/>
    <w:rsid w:val="006C3F4D"/>
    <w:rsid w:val="006C6349"/>
    <w:rsid w:val="006D479F"/>
    <w:rsid w:val="006E2E51"/>
    <w:rsid w:val="006F4BBB"/>
    <w:rsid w:val="006F6DB2"/>
    <w:rsid w:val="00704B3A"/>
    <w:rsid w:val="00710CF8"/>
    <w:rsid w:val="00711E08"/>
    <w:rsid w:val="007138FD"/>
    <w:rsid w:val="00716BB1"/>
    <w:rsid w:val="007172FD"/>
    <w:rsid w:val="007200C8"/>
    <w:rsid w:val="007215F6"/>
    <w:rsid w:val="00721BAA"/>
    <w:rsid w:val="00737401"/>
    <w:rsid w:val="00745968"/>
    <w:rsid w:val="00747A3E"/>
    <w:rsid w:val="007730C9"/>
    <w:rsid w:val="00775150"/>
    <w:rsid w:val="00776B48"/>
    <w:rsid w:val="0078099D"/>
    <w:rsid w:val="00787DE8"/>
    <w:rsid w:val="007942D8"/>
    <w:rsid w:val="00794983"/>
    <w:rsid w:val="00796ED7"/>
    <w:rsid w:val="007A7740"/>
    <w:rsid w:val="007B00BF"/>
    <w:rsid w:val="007B4F1D"/>
    <w:rsid w:val="007C002A"/>
    <w:rsid w:val="007C024B"/>
    <w:rsid w:val="007C4664"/>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1DAB"/>
    <w:rsid w:val="008659E9"/>
    <w:rsid w:val="00867FFD"/>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0F88"/>
    <w:rsid w:val="009077A0"/>
    <w:rsid w:val="009113DE"/>
    <w:rsid w:val="00913121"/>
    <w:rsid w:val="009171D5"/>
    <w:rsid w:val="00917709"/>
    <w:rsid w:val="00917C84"/>
    <w:rsid w:val="009220F2"/>
    <w:rsid w:val="009227C1"/>
    <w:rsid w:val="00923EDB"/>
    <w:rsid w:val="00925D9A"/>
    <w:rsid w:val="00926978"/>
    <w:rsid w:val="00932BD9"/>
    <w:rsid w:val="00943742"/>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395B"/>
    <w:rsid w:val="009C571F"/>
    <w:rsid w:val="009D0461"/>
    <w:rsid w:val="009D4188"/>
    <w:rsid w:val="009D4EFC"/>
    <w:rsid w:val="009D7FA3"/>
    <w:rsid w:val="009E216D"/>
    <w:rsid w:val="009E2C49"/>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1991"/>
    <w:rsid w:val="00C22FAE"/>
    <w:rsid w:val="00C24C44"/>
    <w:rsid w:val="00C26B0C"/>
    <w:rsid w:val="00C30F18"/>
    <w:rsid w:val="00C331D1"/>
    <w:rsid w:val="00C35958"/>
    <w:rsid w:val="00C372A8"/>
    <w:rsid w:val="00C375FF"/>
    <w:rsid w:val="00C40848"/>
    <w:rsid w:val="00C50E47"/>
    <w:rsid w:val="00C562AA"/>
    <w:rsid w:val="00C574F4"/>
    <w:rsid w:val="00C60F6C"/>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5838"/>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7E60"/>
    <w:rsid w:val="00EC134E"/>
    <w:rsid w:val="00ED0445"/>
    <w:rsid w:val="00ED3BD8"/>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31B9"/>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D28C9"/>
    <w:rsid w:val="015059EE"/>
    <w:rsid w:val="01655E65"/>
    <w:rsid w:val="01710365"/>
    <w:rsid w:val="01970CE9"/>
    <w:rsid w:val="01BB3CD7"/>
    <w:rsid w:val="01BD616A"/>
    <w:rsid w:val="01D22D24"/>
    <w:rsid w:val="01D63A04"/>
    <w:rsid w:val="02511F45"/>
    <w:rsid w:val="025A34EF"/>
    <w:rsid w:val="02D20623"/>
    <w:rsid w:val="02D34569"/>
    <w:rsid w:val="02D432A2"/>
    <w:rsid w:val="02F079B0"/>
    <w:rsid w:val="02F343D6"/>
    <w:rsid w:val="03211F11"/>
    <w:rsid w:val="0334789D"/>
    <w:rsid w:val="03525F75"/>
    <w:rsid w:val="035622D5"/>
    <w:rsid w:val="0383270D"/>
    <w:rsid w:val="03AF22EC"/>
    <w:rsid w:val="03B50F2A"/>
    <w:rsid w:val="03E0798B"/>
    <w:rsid w:val="03EA2651"/>
    <w:rsid w:val="03EC461B"/>
    <w:rsid w:val="03F82FC0"/>
    <w:rsid w:val="040354C1"/>
    <w:rsid w:val="04274CAC"/>
    <w:rsid w:val="0429322D"/>
    <w:rsid w:val="04364BB6"/>
    <w:rsid w:val="0442248D"/>
    <w:rsid w:val="0451272A"/>
    <w:rsid w:val="04554F55"/>
    <w:rsid w:val="0455554A"/>
    <w:rsid w:val="047F0912"/>
    <w:rsid w:val="04D055E9"/>
    <w:rsid w:val="050D762A"/>
    <w:rsid w:val="05282AA4"/>
    <w:rsid w:val="056079B5"/>
    <w:rsid w:val="058F7720"/>
    <w:rsid w:val="0592587A"/>
    <w:rsid w:val="06314567"/>
    <w:rsid w:val="065055F6"/>
    <w:rsid w:val="065344DE"/>
    <w:rsid w:val="06A75D00"/>
    <w:rsid w:val="06AE2959"/>
    <w:rsid w:val="06B94F59"/>
    <w:rsid w:val="06C84BF1"/>
    <w:rsid w:val="06D05CDA"/>
    <w:rsid w:val="06E710CA"/>
    <w:rsid w:val="070D455F"/>
    <w:rsid w:val="071426B7"/>
    <w:rsid w:val="071C5217"/>
    <w:rsid w:val="071D4ED9"/>
    <w:rsid w:val="072A0DCF"/>
    <w:rsid w:val="07462FD2"/>
    <w:rsid w:val="076B6E92"/>
    <w:rsid w:val="07902E43"/>
    <w:rsid w:val="07921036"/>
    <w:rsid w:val="07E37E3E"/>
    <w:rsid w:val="07F92E63"/>
    <w:rsid w:val="0835533D"/>
    <w:rsid w:val="08607386"/>
    <w:rsid w:val="08797942"/>
    <w:rsid w:val="087D1CE6"/>
    <w:rsid w:val="08915791"/>
    <w:rsid w:val="08AB7738"/>
    <w:rsid w:val="08AF05F8"/>
    <w:rsid w:val="08CE2541"/>
    <w:rsid w:val="08D5070E"/>
    <w:rsid w:val="08ED6E6B"/>
    <w:rsid w:val="08F33D56"/>
    <w:rsid w:val="09062AF4"/>
    <w:rsid w:val="09403496"/>
    <w:rsid w:val="0942383B"/>
    <w:rsid w:val="0946657C"/>
    <w:rsid w:val="09664528"/>
    <w:rsid w:val="09BC423A"/>
    <w:rsid w:val="0A097F22"/>
    <w:rsid w:val="0A0D0E47"/>
    <w:rsid w:val="0A0D22B5"/>
    <w:rsid w:val="0A171A87"/>
    <w:rsid w:val="0A171CC6"/>
    <w:rsid w:val="0A18019D"/>
    <w:rsid w:val="0A1D552E"/>
    <w:rsid w:val="0A442EC0"/>
    <w:rsid w:val="0A51342A"/>
    <w:rsid w:val="0A8B68D1"/>
    <w:rsid w:val="0A9652E1"/>
    <w:rsid w:val="0AB21F41"/>
    <w:rsid w:val="0AB37C41"/>
    <w:rsid w:val="0ABA0FCF"/>
    <w:rsid w:val="0AF049F1"/>
    <w:rsid w:val="0AF54A38"/>
    <w:rsid w:val="0B3C2236"/>
    <w:rsid w:val="0B6E3B68"/>
    <w:rsid w:val="0BD54A82"/>
    <w:rsid w:val="0BD93E0F"/>
    <w:rsid w:val="0BD95485"/>
    <w:rsid w:val="0BF978D5"/>
    <w:rsid w:val="0C3952B8"/>
    <w:rsid w:val="0C3F46FB"/>
    <w:rsid w:val="0C7B29E0"/>
    <w:rsid w:val="0CB9746C"/>
    <w:rsid w:val="0CCC4FEA"/>
    <w:rsid w:val="0CEA0AED"/>
    <w:rsid w:val="0D3606B5"/>
    <w:rsid w:val="0DAF0B93"/>
    <w:rsid w:val="0DB4420C"/>
    <w:rsid w:val="0DCB6F7B"/>
    <w:rsid w:val="0DE60C74"/>
    <w:rsid w:val="0DF748F5"/>
    <w:rsid w:val="0E0173C4"/>
    <w:rsid w:val="0E19425F"/>
    <w:rsid w:val="0E3C7F4D"/>
    <w:rsid w:val="0E6408AC"/>
    <w:rsid w:val="0E774FF5"/>
    <w:rsid w:val="0EF645A0"/>
    <w:rsid w:val="0F037F40"/>
    <w:rsid w:val="0F241091"/>
    <w:rsid w:val="0F2561EC"/>
    <w:rsid w:val="0F256C33"/>
    <w:rsid w:val="0F370844"/>
    <w:rsid w:val="0F482829"/>
    <w:rsid w:val="0F697A75"/>
    <w:rsid w:val="0F9230D3"/>
    <w:rsid w:val="0FE06513"/>
    <w:rsid w:val="0FE102BB"/>
    <w:rsid w:val="0FF4166E"/>
    <w:rsid w:val="100F50BE"/>
    <w:rsid w:val="10230FB4"/>
    <w:rsid w:val="1038336E"/>
    <w:rsid w:val="104F3F68"/>
    <w:rsid w:val="108C58F8"/>
    <w:rsid w:val="10B72B6A"/>
    <w:rsid w:val="10BC03C7"/>
    <w:rsid w:val="11094EF4"/>
    <w:rsid w:val="1115531E"/>
    <w:rsid w:val="112C42A9"/>
    <w:rsid w:val="11366ED6"/>
    <w:rsid w:val="11764E4D"/>
    <w:rsid w:val="11851182"/>
    <w:rsid w:val="1192379E"/>
    <w:rsid w:val="11CF7AC1"/>
    <w:rsid w:val="11F81CDD"/>
    <w:rsid w:val="1208099D"/>
    <w:rsid w:val="123B0020"/>
    <w:rsid w:val="12B46E52"/>
    <w:rsid w:val="12C22B33"/>
    <w:rsid w:val="12DD1CFF"/>
    <w:rsid w:val="12E32EDE"/>
    <w:rsid w:val="130F4A87"/>
    <w:rsid w:val="131B16E4"/>
    <w:rsid w:val="13223BB5"/>
    <w:rsid w:val="13F85AEA"/>
    <w:rsid w:val="141259D8"/>
    <w:rsid w:val="141C0B09"/>
    <w:rsid w:val="14237C67"/>
    <w:rsid w:val="142C6000"/>
    <w:rsid w:val="14361A0C"/>
    <w:rsid w:val="143C0BC9"/>
    <w:rsid w:val="14526852"/>
    <w:rsid w:val="14583A0A"/>
    <w:rsid w:val="147C72F5"/>
    <w:rsid w:val="150F3DBE"/>
    <w:rsid w:val="153732D2"/>
    <w:rsid w:val="154107F7"/>
    <w:rsid w:val="155142DE"/>
    <w:rsid w:val="156B79B3"/>
    <w:rsid w:val="15747FCD"/>
    <w:rsid w:val="15820CF9"/>
    <w:rsid w:val="158A77F0"/>
    <w:rsid w:val="15A13C38"/>
    <w:rsid w:val="15E12BB1"/>
    <w:rsid w:val="16047038"/>
    <w:rsid w:val="161E3E86"/>
    <w:rsid w:val="16225C7A"/>
    <w:rsid w:val="162E65C0"/>
    <w:rsid w:val="163D1C9C"/>
    <w:rsid w:val="16527416"/>
    <w:rsid w:val="168A3C51"/>
    <w:rsid w:val="16B60189"/>
    <w:rsid w:val="16BF171B"/>
    <w:rsid w:val="16C115CB"/>
    <w:rsid w:val="16CF5E02"/>
    <w:rsid w:val="16DC622B"/>
    <w:rsid w:val="16E6367E"/>
    <w:rsid w:val="16F92E7F"/>
    <w:rsid w:val="1706559C"/>
    <w:rsid w:val="170B2BB3"/>
    <w:rsid w:val="171A2056"/>
    <w:rsid w:val="172D23E1"/>
    <w:rsid w:val="174D4F79"/>
    <w:rsid w:val="174E374F"/>
    <w:rsid w:val="175956CC"/>
    <w:rsid w:val="176C0D57"/>
    <w:rsid w:val="177E4989"/>
    <w:rsid w:val="17887D5F"/>
    <w:rsid w:val="17A54DB5"/>
    <w:rsid w:val="17A60180"/>
    <w:rsid w:val="17A821AF"/>
    <w:rsid w:val="17E01765"/>
    <w:rsid w:val="182745FA"/>
    <w:rsid w:val="182E4DAB"/>
    <w:rsid w:val="18376899"/>
    <w:rsid w:val="18450EF1"/>
    <w:rsid w:val="18606EA6"/>
    <w:rsid w:val="1898484C"/>
    <w:rsid w:val="18A474FD"/>
    <w:rsid w:val="18AA7CC9"/>
    <w:rsid w:val="19713286"/>
    <w:rsid w:val="1A010EDF"/>
    <w:rsid w:val="1A6913D5"/>
    <w:rsid w:val="1A6920CA"/>
    <w:rsid w:val="1A7D4EFE"/>
    <w:rsid w:val="1A8E1B30"/>
    <w:rsid w:val="1AB07CF9"/>
    <w:rsid w:val="1AD559B1"/>
    <w:rsid w:val="1ADD7A62"/>
    <w:rsid w:val="1AE34571"/>
    <w:rsid w:val="1B0940FF"/>
    <w:rsid w:val="1B1B5B79"/>
    <w:rsid w:val="1B667448"/>
    <w:rsid w:val="1B6805D3"/>
    <w:rsid w:val="1BB84D32"/>
    <w:rsid w:val="1BEE10DD"/>
    <w:rsid w:val="1BF105C9"/>
    <w:rsid w:val="1C2756DA"/>
    <w:rsid w:val="1C3B7A96"/>
    <w:rsid w:val="1C7A0F4E"/>
    <w:rsid w:val="1C7C1ACE"/>
    <w:rsid w:val="1CA05B4B"/>
    <w:rsid w:val="1CBA2D9A"/>
    <w:rsid w:val="1CE011DA"/>
    <w:rsid w:val="1CED5B5F"/>
    <w:rsid w:val="1CF814E3"/>
    <w:rsid w:val="1D16347D"/>
    <w:rsid w:val="1D4A4B12"/>
    <w:rsid w:val="1D594678"/>
    <w:rsid w:val="1D735846"/>
    <w:rsid w:val="1D990F18"/>
    <w:rsid w:val="1DB62E2E"/>
    <w:rsid w:val="1DBA2C3C"/>
    <w:rsid w:val="1E3B4C5D"/>
    <w:rsid w:val="1E753AFD"/>
    <w:rsid w:val="1E892D3B"/>
    <w:rsid w:val="1E967206"/>
    <w:rsid w:val="1EAA4A5F"/>
    <w:rsid w:val="1EBD1595"/>
    <w:rsid w:val="1F282554"/>
    <w:rsid w:val="1F4500E3"/>
    <w:rsid w:val="1F5A46D7"/>
    <w:rsid w:val="1F5C3FAB"/>
    <w:rsid w:val="1F6F0182"/>
    <w:rsid w:val="1F6F787D"/>
    <w:rsid w:val="1FA30D6D"/>
    <w:rsid w:val="1FEA5A5B"/>
    <w:rsid w:val="20141E2D"/>
    <w:rsid w:val="2035390D"/>
    <w:rsid w:val="20574252"/>
    <w:rsid w:val="207A1985"/>
    <w:rsid w:val="20880DD0"/>
    <w:rsid w:val="20B75F78"/>
    <w:rsid w:val="20D64231"/>
    <w:rsid w:val="2125070E"/>
    <w:rsid w:val="2164183D"/>
    <w:rsid w:val="21771C10"/>
    <w:rsid w:val="21810AF0"/>
    <w:rsid w:val="21FA7AAB"/>
    <w:rsid w:val="22055633"/>
    <w:rsid w:val="22252D7A"/>
    <w:rsid w:val="222907BE"/>
    <w:rsid w:val="223E0DB0"/>
    <w:rsid w:val="225F310A"/>
    <w:rsid w:val="22602008"/>
    <w:rsid w:val="227036B8"/>
    <w:rsid w:val="229B303C"/>
    <w:rsid w:val="22A85012"/>
    <w:rsid w:val="22AD273C"/>
    <w:rsid w:val="22C62CF4"/>
    <w:rsid w:val="22FA4207"/>
    <w:rsid w:val="23263974"/>
    <w:rsid w:val="23A06120"/>
    <w:rsid w:val="23AC3ABD"/>
    <w:rsid w:val="23D1648D"/>
    <w:rsid w:val="242B2EF0"/>
    <w:rsid w:val="24575689"/>
    <w:rsid w:val="246B437F"/>
    <w:rsid w:val="24A379D0"/>
    <w:rsid w:val="25070D37"/>
    <w:rsid w:val="250A3135"/>
    <w:rsid w:val="250A44A9"/>
    <w:rsid w:val="25127EC9"/>
    <w:rsid w:val="25165074"/>
    <w:rsid w:val="2580651A"/>
    <w:rsid w:val="258276D2"/>
    <w:rsid w:val="25873916"/>
    <w:rsid w:val="25941224"/>
    <w:rsid w:val="25AC7E93"/>
    <w:rsid w:val="25BF34E6"/>
    <w:rsid w:val="25C43228"/>
    <w:rsid w:val="25CC50FC"/>
    <w:rsid w:val="25E13C00"/>
    <w:rsid w:val="25FA2770"/>
    <w:rsid w:val="262B40D4"/>
    <w:rsid w:val="265577FD"/>
    <w:rsid w:val="2668592C"/>
    <w:rsid w:val="268564DD"/>
    <w:rsid w:val="27271343"/>
    <w:rsid w:val="278034D5"/>
    <w:rsid w:val="27B02F57"/>
    <w:rsid w:val="27DF5779"/>
    <w:rsid w:val="27E1545A"/>
    <w:rsid w:val="28093668"/>
    <w:rsid w:val="28273C9B"/>
    <w:rsid w:val="284A2EB1"/>
    <w:rsid w:val="284B0D66"/>
    <w:rsid w:val="28616AD6"/>
    <w:rsid w:val="286D408E"/>
    <w:rsid w:val="286E02B3"/>
    <w:rsid w:val="28700291"/>
    <w:rsid w:val="28814A83"/>
    <w:rsid w:val="288F719F"/>
    <w:rsid w:val="289018A6"/>
    <w:rsid w:val="28AC24C6"/>
    <w:rsid w:val="28C11323"/>
    <w:rsid w:val="28CD7B64"/>
    <w:rsid w:val="28DA73F5"/>
    <w:rsid w:val="28DE0127"/>
    <w:rsid w:val="2940493E"/>
    <w:rsid w:val="297B3849"/>
    <w:rsid w:val="298001BF"/>
    <w:rsid w:val="29AE6B2F"/>
    <w:rsid w:val="29E92677"/>
    <w:rsid w:val="29FF65A7"/>
    <w:rsid w:val="2A35784B"/>
    <w:rsid w:val="2A4276AF"/>
    <w:rsid w:val="2A570191"/>
    <w:rsid w:val="2A947DE8"/>
    <w:rsid w:val="2A9C275D"/>
    <w:rsid w:val="2A9E4307"/>
    <w:rsid w:val="2ACF41CB"/>
    <w:rsid w:val="2AD359D3"/>
    <w:rsid w:val="2AEA2DB3"/>
    <w:rsid w:val="2B163BA8"/>
    <w:rsid w:val="2B4F0E68"/>
    <w:rsid w:val="2B5E4C51"/>
    <w:rsid w:val="2BBD2276"/>
    <w:rsid w:val="2BC90C1A"/>
    <w:rsid w:val="2BD155F1"/>
    <w:rsid w:val="2BFE33E2"/>
    <w:rsid w:val="2BFF6902"/>
    <w:rsid w:val="2C4955AF"/>
    <w:rsid w:val="2C892158"/>
    <w:rsid w:val="2C8972FC"/>
    <w:rsid w:val="2C8E3C12"/>
    <w:rsid w:val="2CB35427"/>
    <w:rsid w:val="2CB73169"/>
    <w:rsid w:val="2CFC2BFE"/>
    <w:rsid w:val="2D4F50B7"/>
    <w:rsid w:val="2D813D35"/>
    <w:rsid w:val="2D89631C"/>
    <w:rsid w:val="2DDB1DA3"/>
    <w:rsid w:val="2DF46565"/>
    <w:rsid w:val="2E2F6C9B"/>
    <w:rsid w:val="2E497DF1"/>
    <w:rsid w:val="2E5F2A8D"/>
    <w:rsid w:val="2E6A4501"/>
    <w:rsid w:val="2E6E5AA9"/>
    <w:rsid w:val="2EAA30AF"/>
    <w:rsid w:val="2EBD59CF"/>
    <w:rsid w:val="2ED7364E"/>
    <w:rsid w:val="2F071B18"/>
    <w:rsid w:val="2F253528"/>
    <w:rsid w:val="2F4A4EE0"/>
    <w:rsid w:val="2F5A49A3"/>
    <w:rsid w:val="2F646705"/>
    <w:rsid w:val="2FAB1145"/>
    <w:rsid w:val="2FBB4D1E"/>
    <w:rsid w:val="2FF41FDE"/>
    <w:rsid w:val="30006BD5"/>
    <w:rsid w:val="301164E2"/>
    <w:rsid w:val="30300457"/>
    <w:rsid w:val="304578D5"/>
    <w:rsid w:val="305807BF"/>
    <w:rsid w:val="307F7AFA"/>
    <w:rsid w:val="308C66BA"/>
    <w:rsid w:val="309415AE"/>
    <w:rsid w:val="30AB47A7"/>
    <w:rsid w:val="30DB5272"/>
    <w:rsid w:val="30DC319E"/>
    <w:rsid w:val="30ED4FC8"/>
    <w:rsid w:val="30F009F7"/>
    <w:rsid w:val="30FB5744"/>
    <w:rsid w:val="30FD40AA"/>
    <w:rsid w:val="31267AAE"/>
    <w:rsid w:val="31444881"/>
    <w:rsid w:val="314D028A"/>
    <w:rsid w:val="31E676C8"/>
    <w:rsid w:val="3202189B"/>
    <w:rsid w:val="320329AC"/>
    <w:rsid w:val="320A66A5"/>
    <w:rsid w:val="320F4EAD"/>
    <w:rsid w:val="322F554F"/>
    <w:rsid w:val="327F07E8"/>
    <w:rsid w:val="32935ADE"/>
    <w:rsid w:val="32A93BC9"/>
    <w:rsid w:val="32CE2FBA"/>
    <w:rsid w:val="334C1F0A"/>
    <w:rsid w:val="33B915C6"/>
    <w:rsid w:val="34086433"/>
    <w:rsid w:val="34237336"/>
    <w:rsid w:val="34266DEB"/>
    <w:rsid w:val="343A2AB0"/>
    <w:rsid w:val="344B7676"/>
    <w:rsid w:val="34A46A8E"/>
    <w:rsid w:val="34AC627E"/>
    <w:rsid w:val="34DE113B"/>
    <w:rsid w:val="34E95E89"/>
    <w:rsid w:val="34F12F90"/>
    <w:rsid w:val="351E001C"/>
    <w:rsid w:val="352805DA"/>
    <w:rsid w:val="35492F45"/>
    <w:rsid w:val="355530AA"/>
    <w:rsid w:val="355D42FC"/>
    <w:rsid w:val="355E7835"/>
    <w:rsid w:val="3566572C"/>
    <w:rsid w:val="35E10E7B"/>
    <w:rsid w:val="35E87898"/>
    <w:rsid w:val="360016DD"/>
    <w:rsid w:val="361000EE"/>
    <w:rsid w:val="3623361D"/>
    <w:rsid w:val="364631D7"/>
    <w:rsid w:val="36517105"/>
    <w:rsid w:val="365B1601"/>
    <w:rsid w:val="36890EF7"/>
    <w:rsid w:val="368928C2"/>
    <w:rsid w:val="36C86BF9"/>
    <w:rsid w:val="36DB257F"/>
    <w:rsid w:val="36E0506A"/>
    <w:rsid w:val="36FA3F13"/>
    <w:rsid w:val="36FB1EA4"/>
    <w:rsid w:val="37032422"/>
    <w:rsid w:val="37272C99"/>
    <w:rsid w:val="373D070E"/>
    <w:rsid w:val="374D1701"/>
    <w:rsid w:val="37850378"/>
    <w:rsid w:val="37D51F88"/>
    <w:rsid w:val="38065969"/>
    <w:rsid w:val="380E11B5"/>
    <w:rsid w:val="38155678"/>
    <w:rsid w:val="38224438"/>
    <w:rsid w:val="385578DD"/>
    <w:rsid w:val="389E4A58"/>
    <w:rsid w:val="38A5129E"/>
    <w:rsid w:val="38BD5663"/>
    <w:rsid w:val="38C65B34"/>
    <w:rsid w:val="38CA6DC7"/>
    <w:rsid w:val="38E76B84"/>
    <w:rsid w:val="38F00B77"/>
    <w:rsid w:val="3914549F"/>
    <w:rsid w:val="39A34800"/>
    <w:rsid w:val="39B57C6A"/>
    <w:rsid w:val="39D013C6"/>
    <w:rsid w:val="39DF350D"/>
    <w:rsid w:val="39E312A5"/>
    <w:rsid w:val="3A00614F"/>
    <w:rsid w:val="3A025137"/>
    <w:rsid w:val="3A0D3672"/>
    <w:rsid w:val="3A1B46F9"/>
    <w:rsid w:val="3A304DCE"/>
    <w:rsid w:val="3A3C6A5B"/>
    <w:rsid w:val="3A726921"/>
    <w:rsid w:val="3A940645"/>
    <w:rsid w:val="3AA34D2C"/>
    <w:rsid w:val="3AA77E3B"/>
    <w:rsid w:val="3AC86541"/>
    <w:rsid w:val="3AD153B9"/>
    <w:rsid w:val="3AD969A0"/>
    <w:rsid w:val="3AF92B9E"/>
    <w:rsid w:val="3B0C28D2"/>
    <w:rsid w:val="3B1B48C3"/>
    <w:rsid w:val="3B1F29B6"/>
    <w:rsid w:val="3B443718"/>
    <w:rsid w:val="3B516536"/>
    <w:rsid w:val="3BA71F2B"/>
    <w:rsid w:val="3BD258C9"/>
    <w:rsid w:val="3BF57D16"/>
    <w:rsid w:val="3BF839C6"/>
    <w:rsid w:val="3C633344"/>
    <w:rsid w:val="3C8A7F52"/>
    <w:rsid w:val="3C950D47"/>
    <w:rsid w:val="3D060D95"/>
    <w:rsid w:val="3D246484"/>
    <w:rsid w:val="3D604F23"/>
    <w:rsid w:val="3D7B3D3F"/>
    <w:rsid w:val="3D7D3613"/>
    <w:rsid w:val="3D803103"/>
    <w:rsid w:val="3DBA6D6D"/>
    <w:rsid w:val="3E232FC0"/>
    <w:rsid w:val="3E375EB7"/>
    <w:rsid w:val="3E8A3B75"/>
    <w:rsid w:val="3E9B4320"/>
    <w:rsid w:val="3EBA2645"/>
    <w:rsid w:val="3EBC016B"/>
    <w:rsid w:val="3EC6723B"/>
    <w:rsid w:val="3EF83BC6"/>
    <w:rsid w:val="3F33629E"/>
    <w:rsid w:val="3F5262EB"/>
    <w:rsid w:val="3F5B255F"/>
    <w:rsid w:val="3F6F1E30"/>
    <w:rsid w:val="3F8213B4"/>
    <w:rsid w:val="3FB72902"/>
    <w:rsid w:val="3FCB1F18"/>
    <w:rsid w:val="3FE45BCB"/>
    <w:rsid w:val="40DC5A18"/>
    <w:rsid w:val="40FB54EF"/>
    <w:rsid w:val="41410D52"/>
    <w:rsid w:val="41502960"/>
    <w:rsid w:val="415305A0"/>
    <w:rsid w:val="416F265F"/>
    <w:rsid w:val="4183060E"/>
    <w:rsid w:val="41CA0DF1"/>
    <w:rsid w:val="41F4275B"/>
    <w:rsid w:val="42083B1B"/>
    <w:rsid w:val="421F2EEA"/>
    <w:rsid w:val="424F13FD"/>
    <w:rsid w:val="425B5621"/>
    <w:rsid w:val="42BC0B52"/>
    <w:rsid w:val="42CE4911"/>
    <w:rsid w:val="42E6560B"/>
    <w:rsid w:val="42F00D2B"/>
    <w:rsid w:val="43346353"/>
    <w:rsid w:val="43401F9C"/>
    <w:rsid w:val="439E42E3"/>
    <w:rsid w:val="43B50E83"/>
    <w:rsid w:val="43E57F01"/>
    <w:rsid w:val="4464546A"/>
    <w:rsid w:val="446472DA"/>
    <w:rsid w:val="4482063F"/>
    <w:rsid w:val="44A27BED"/>
    <w:rsid w:val="44B37668"/>
    <w:rsid w:val="44C77AAC"/>
    <w:rsid w:val="456C22D6"/>
    <w:rsid w:val="45790387"/>
    <w:rsid w:val="458A0FC3"/>
    <w:rsid w:val="45943BEF"/>
    <w:rsid w:val="459D251C"/>
    <w:rsid w:val="45EC0586"/>
    <w:rsid w:val="460320FD"/>
    <w:rsid w:val="462B18D7"/>
    <w:rsid w:val="4687710A"/>
    <w:rsid w:val="468E6891"/>
    <w:rsid w:val="46E22723"/>
    <w:rsid w:val="472E597E"/>
    <w:rsid w:val="47394A4E"/>
    <w:rsid w:val="474E3196"/>
    <w:rsid w:val="475573AE"/>
    <w:rsid w:val="476F0470"/>
    <w:rsid w:val="478101A3"/>
    <w:rsid w:val="47B656EC"/>
    <w:rsid w:val="47D13163"/>
    <w:rsid w:val="47E95008"/>
    <w:rsid w:val="48BB76E5"/>
    <w:rsid w:val="48EC035B"/>
    <w:rsid w:val="490715C7"/>
    <w:rsid w:val="49172B6D"/>
    <w:rsid w:val="492E0DFE"/>
    <w:rsid w:val="4931445C"/>
    <w:rsid w:val="49514A8C"/>
    <w:rsid w:val="49900B72"/>
    <w:rsid w:val="49A11F60"/>
    <w:rsid w:val="49AF724A"/>
    <w:rsid w:val="49C82B23"/>
    <w:rsid w:val="49DA3B9B"/>
    <w:rsid w:val="49E92558"/>
    <w:rsid w:val="4A010F2E"/>
    <w:rsid w:val="4A1A5044"/>
    <w:rsid w:val="4A224AAB"/>
    <w:rsid w:val="4A3E05CE"/>
    <w:rsid w:val="4A932447"/>
    <w:rsid w:val="4A9401EE"/>
    <w:rsid w:val="4A977611"/>
    <w:rsid w:val="4AA93C99"/>
    <w:rsid w:val="4AC578F8"/>
    <w:rsid w:val="4ACF1226"/>
    <w:rsid w:val="4B574B09"/>
    <w:rsid w:val="4B5D4EE5"/>
    <w:rsid w:val="4B641F01"/>
    <w:rsid w:val="4B9304A5"/>
    <w:rsid w:val="4BB01057"/>
    <w:rsid w:val="4BBB3648"/>
    <w:rsid w:val="4BC8467F"/>
    <w:rsid w:val="4C0D2006"/>
    <w:rsid w:val="4C940979"/>
    <w:rsid w:val="4CCE2A6C"/>
    <w:rsid w:val="4CCF375F"/>
    <w:rsid w:val="4CD945DE"/>
    <w:rsid w:val="4CE52F83"/>
    <w:rsid w:val="4CFB049C"/>
    <w:rsid w:val="4CFE53E3"/>
    <w:rsid w:val="4D023BDA"/>
    <w:rsid w:val="4D06388C"/>
    <w:rsid w:val="4D267823"/>
    <w:rsid w:val="4D7B6BE9"/>
    <w:rsid w:val="4D9D6E87"/>
    <w:rsid w:val="4DB265CD"/>
    <w:rsid w:val="4DE759B9"/>
    <w:rsid w:val="4DF0398D"/>
    <w:rsid w:val="4DFD4457"/>
    <w:rsid w:val="4E125654"/>
    <w:rsid w:val="4E233D62"/>
    <w:rsid w:val="4E3E0B9C"/>
    <w:rsid w:val="4E6A3D65"/>
    <w:rsid w:val="4E6B5986"/>
    <w:rsid w:val="4E8924B7"/>
    <w:rsid w:val="4ED82D9F"/>
    <w:rsid w:val="4ED92673"/>
    <w:rsid w:val="4F0A4599"/>
    <w:rsid w:val="4F177B13"/>
    <w:rsid w:val="4F1B4F8F"/>
    <w:rsid w:val="4F581B68"/>
    <w:rsid w:val="4F5D32A4"/>
    <w:rsid w:val="4F7B1E3E"/>
    <w:rsid w:val="4F87699C"/>
    <w:rsid w:val="4F9662AF"/>
    <w:rsid w:val="4FE17411"/>
    <w:rsid w:val="4FE63648"/>
    <w:rsid w:val="4FF954B0"/>
    <w:rsid w:val="501036E9"/>
    <w:rsid w:val="50235A38"/>
    <w:rsid w:val="503B1D58"/>
    <w:rsid w:val="506B19F1"/>
    <w:rsid w:val="50EF6964"/>
    <w:rsid w:val="5105515C"/>
    <w:rsid w:val="512A47D7"/>
    <w:rsid w:val="514C7451"/>
    <w:rsid w:val="515D7E0E"/>
    <w:rsid w:val="51850890"/>
    <w:rsid w:val="51DD7ACF"/>
    <w:rsid w:val="51FC2152"/>
    <w:rsid w:val="5213407A"/>
    <w:rsid w:val="528B5F99"/>
    <w:rsid w:val="529C0587"/>
    <w:rsid w:val="52A511EA"/>
    <w:rsid w:val="52F368EA"/>
    <w:rsid w:val="5314221C"/>
    <w:rsid w:val="532F2D81"/>
    <w:rsid w:val="53624CAE"/>
    <w:rsid w:val="53C51418"/>
    <w:rsid w:val="53CE7CE3"/>
    <w:rsid w:val="53E27730"/>
    <w:rsid w:val="54196C13"/>
    <w:rsid w:val="543B041C"/>
    <w:rsid w:val="54615848"/>
    <w:rsid w:val="546926EB"/>
    <w:rsid w:val="548B08B3"/>
    <w:rsid w:val="54C55B73"/>
    <w:rsid w:val="54F06565"/>
    <w:rsid w:val="550A22CC"/>
    <w:rsid w:val="55461CD0"/>
    <w:rsid w:val="554C3D45"/>
    <w:rsid w:val="55562C6F"/>
    <w:rsid w:val="559A0800"/>
    <w:rsid w:val="55BD2CEE"/>
    <w:rsid w:val="56226FF5"/>
    <w:rsid w:val="562C4293"/>
    <w:rsid w:val="56497832"/>
    <w:rsid w:val="567012E7"/>
    <w:rsid w:val="56876E58"/>
    <w:rsid w:val="568D0277"/>
    <w:rsid w:val="56B37004"/>
    <w:rsid w:val="57392849"/>
    <w:rsid w:val="576A47B0"/>
    <w:rsid w:val="578E3178"/>
    <w:rsid w:val="57C739B1"/>
    <w:rsid w:val="57D91936"/>
    <w:rsid w:val="57DD4F82"/>
    <w:rsid w:val="580659AE"/>
    <w:rsid w:val="587D3F37"/>
    <w:rsid w:val="589477E8"/>
    <w:rsid w:val="589C308F"/>
    <w:rsid w:val="58AA73E6"/>
    <w:rsid w:val="59367EC7"/>
    <w:rsid w:val="59590F80"/>
    <w:rsid w:val="595A2602"/>
    <w:rsid w:val="59633BAD"/>
    <w:rsid w:val="599B6EA3"/>
    <w:rsid w:val="59A3044D"/>
    <w:rsid w:val="59E96214"/>
    <w:rsid w:val="59FB128F"/>
    <w:rsid w:val="5A0B7CD0"/>
    <w:rsid w:val="5A33357F"/>
    <w:rsid w:val="5A4C2893"/>
    <w:rsid w:val="5A8E6A07"/>
    <w:rsid w:val="5A92249C"/>
    <w:rsid w:val="5AA72721"/>
    <w:rsid w:val="5AB01B84"/>
    <w:rsid w:val="5AE60011"/>
    <w:rsid w:val="5B157129"/>
    <w:rsid w:val="5B1909C7"/>
    <w:rsid w:val="5B272254"/>
    <w:rsid w:val="5B37709F"/>
    <w:rsid w:val="5BB0235D"/>
    <w:rsid w:val="5BBD45C1"/>
    <w:rsid w:val="5BE12FA3"/>
    <w:rsid w:val="5BE37C7D"/>
    <w:rsid w:val="5C1D5966"/>
    <w:rsid w:val="5C4D6613"/>
    <w:rsid w:val="5C917C8F"/>
    <w:rsid w:val="5C936557"/>
    <w:rsid w:val="5CAA564F"/>
    <w:rsid w:val="5CD74A08"/>
    <w:rsid w:val="5CE90D0B"/>
    <w:rsid w:val="5CEB0141"/>
    <w:rsid w:val="5CED3EB9"/>
    <w:rsid w:val="5D255365"/>
    <w:rsid w:val="5D355860"/>
    <w:rsid w:val="5D52369F"/>
    <w:rsid w:val="5D8866EC"/>
    <w:rsid w:val="5D967CCA"/>
    <w:rsid w:val="5D9B2DBB"/>
    <w:rsid w:val="5DAA13C6"/>
    <w:rsid w:val="5DAB37DD"/>
    <w:rsid w:val="5DAE1741"/>
    <w:rsid w:val="5DC32E6C"/>
    <w:rsid w:val="5E3E0B9A"/>
    <w:rsid w:val="5E6A3568"/>
    <w:rsid w:val="5EBF421E"/>
    <w:rsid w:val="5EFD3DD9"/>
    <w:rsid w:val="5F1F40D2"/>
    <w:rsid w:val="5F555D46"/>
    <w:rsid w:val="5F9745B0"/>
    <w:rsid w:val="5FBD4249"/>
    <w:rsid w:val="5FE73417"/>
    <w:rsid w:val="60011A2A"/>
    <w:rsid w:val="600E5712"/>
    <w:rsid w:val="6053375C"/>
    <w:rsid w:val="605478C7"/>
    <w:rsid w:val="605B6755"/>
    <w:rsid w:val="607C7302"/>
    <w:rsid w:val="608F64D8"/>
    <w:rsid w:val="60974DF7"/>
    <w:rsid w:val="60F8107F"/>
    <w:rsid w:val="61377DF9"/>
    <w:rsid w:val="61436338"/>
    <w:rsid w:val="62152CE1"/>
    <w:rsid w:val="62297FF7"/>
    <w:rsid w:val="62575399"/>
    <w:rsid w:val="62606EDB"/>
    <w:rsid w:val="62716746"/>
    <w:rsid w:val="62911344"/>
    <w:rsid w:val="62B13874"/>
    <w:rsid w:val="62C57A58"/>
    <w:rsid w:val="62D00E29"/>
    <w:rsid w:val="62E01E19"/>
    <w:rsid w:val="62E418BB"/>
    <w:rsid w:val="62F0715F"/>
    <w:rsid w:val="62F647CF"/>
    <w:rsid w:val="635A1B7D"/>
    <w:rsid w:val="63672753"/>
    <w:rsid w:val="6372336A"/>
    <w:rsid w:val="638E0D2F"/>
    <w:rsid w:val="63984453"/>
    <w:rsid w:val="63A578CC"/>
    <w:rsid w:val="63AD0583"/>
    <w:rsid w:val="64041AE8"/>
    <w:rsid w:val="64632CB3"/>
    <w:rsid w:val="64786EB7"/>
    <w:rsid w:val="64975011"/>
    <w:rsid w:val="64A010A4"/>
    <w:rsid w:val="64D651F4"/>
    <w:rsid w:val="64E25599"/>
    <w:rsid w:val="64E71F99"/>
    <w:rsid w:val="651313E3"/>
    <w:rsid w:val="6531690D"/>
    <w:rsid w:val="653B5B23"/>
    <w:rsid w:val="657607C4"/>
    <w:rsid w:val="65876E75"/>
    <w:rsid w:val="65C5353E"/>
    <w:rsid w:val="65E62E7A"/>
    <w:rsid w:val="6651045E"/>
    <w:rsid w:val="66E71979"/>
    <w:rsid w:val="66EC7F6C"/>
    <w:rsid w:val="66F2338B"/>
    <w:rsid w:val="67402739"/>
    <w:rsid w:val="67BB5990"/>
    <w:rsid w:val="67C63C85"/>
    <w:rsid w:val="681A3036"/>
    <w:rsid w:val="68DB72BC"/>
    <w:rsid w:val="68DD3D60"/>
    <w:rsid w:val="68F13272"/>
    <w:rsid w:val="690A5DF3"/>
    <w:rsid w:val="691E27F7"/>
    <w:rsid w:val="69270753"/>
    <w:rsid w:val="693D3743"/>
    <w:rsid w:val="69586B5E"/>
    <w:rsid w:val="69683870"/>
    <w:rsid w:val="69910C09"/>
    <w:rsid w:val="699110D7"/>
    <w:rsid w:val="69D361E5"/>
    <w:rsid w:val="69E00902"/>
    <w:rsid w:val="69EC5DE8"/>
    <w:rsid w:val="69F452BC"/>
    <w:rsid w:val="69F74334"/>
    <w:rsid w:val="69F85BB3"/>
    <w:rsid w:val="6A0960AB"/>
    <w:rsid w:val="6A210462"/>
    <w:rsid w:val="6A241D9D"/>
    <w:rsid w:val="6A2650D7"/>
    <w:rsid w:val="6A386990"/>
    <w:rsid w:val="6A8614A9"/>
    <w:rsid w:val="6AAC4A3E"/>
    <w:rsid w:val="6AAD178D"/>
    <w:rsid w:val="6AB46016"/>
    <w:rsid w:val="6AB73874"/>
    <w:rsid w:val="6B234F4A"/>
    <w:rsid w:val="6B6047D5"/>
    <w:rsid w:val="6B863082"/>
    <w:rsid w:val="6B984B15"/>
    <w:rsid w:val="6BA14108"/>
    <w:rsid w:val="6BEC0D1C"/>
    <w:rsid w:val="6BF40694"/>
    <w:rsid w:val="6C12075B"/>
    <w:rsid w:val="6C33653A"/>
    <w:rsid w:val="6C567ACE"/>
    <w:rsid w:val="6C5D1BA3"/>
    <w:rsid w:val="6C762F3B"/>
    <w:rsid w:val="6CAD0F6F"/>
    <w:rsid w:val="6CC649E7"/>
    <w:rsid w:val="6CD7423E"/>
    <w:rsid w:val="6CEB7CE9"/>
    <w:rsid w:val="6D27431E"/>
    <w:rsid w:val="6D4A2C62"/>
    <w:rsid w:val="6D593B65"/>
    <w:rsid w:val="6DC2298A"/>
    <w:rsid w:val="6DDA5CDD"/>
    <w:rsid w:val="6E296D1B"/>
    <w:rsid w:val="6E4500F3"/>
    <w:rsid w:val="6E4E6782"/>
    <w:rsid w:val="6E661C4B"/>
    <w:rsid w:val="6E737F96"/>
    <w:rsid w:val="6EB570F1"/>
    <w:rsid w:val="6EEF2659"/>
    <w:rsid w:val="6F174DC6"/>
    <w:rsid w:val="6F4B2CC1"/>
    <w:rsid w:val="6F5F71DE"/>
    <w:rsid w:val="6F77163A"/>
    <w:rsid w:val="6FC4095F"/>
    <w:rsid w:val="6FFD4727"/>
    <w:rsid w:val="70025A76"/>
    <w:rsid w:val="70441BEA"/>
    <w:rsid w:val="70553DF8"/>
    <w:rsid w:val="70773BBF"/>
    <w:rsid w:val="70B950AF"/>
    <w:rsid w:val="70C943AC"/>
    <w:rsid w:val="70D70CB1"/>
    <w:rsid w:val="70F45895"/>
    <w:rsid w:val="711D41EA"/>
    <w:rsid w:val="712B2DAA"/>
    <w:rsid w:val="713741DD"/>
    <w:rsid w:val="713B2DF3"/>
    <w:rsid w:val="717958C4"/>
    <w:rsid w:val="71A8531C"/>
    <w:rsid w:val="71EF23D9"/>
    <w:rsid w:val="72481096"/>
    <w:rsid w:val="724A45D8"/>
    <w:rsid w:val="72603664"/>
    <w:rsid w:val="728313C6"/>
    <w:rsid w:val="728F7281"/>
    <w:rsid w:val="72F352B8"/>
    <w:rsid w:val="73597B32"/>
    <w:rsid w:val="7362231C"/>
    <w:rsid w:val="738A590E"/>
    <w:rsid w:val="7390793D"/>
    <w:rsid w:val="73A409FB"/>
    <w:rsid w:val="73A66718"/>
    <w:rsid w:val="73B60478"/>
    <w:rsid w:val="74177616"/>
    <w:rsid w:val="742F670E"/>
    <w:rsid w:val="74424693"/>
    <w:rsid w:val="745028BB"/>
    <w:rsid w:val="746334D8"/>
    <w:rsid w:val="74825555"/>
    <w:rsid w:val="74C70052"/>
    <w:rsid w:val="750648B2"/>
    <w:rsid w:val="751D3132"/>
    <w:rsid w:val="752E0E4E"/>
    <w:rsid w:val="754E376C"/>
    <w:rsid w:val="755400B4"/>
    <w:rsid w:val="75693463"/>
    <w:rsid w:val="75695C4F"/>
    <w:rsid w:val="75A629FF"/>
    <w:rsid w:val="75A90742"/>
    <w:rsid w:val="75B01AD0"/>
    <w:rsid w:val="75C8506C"/>
    <w:rsid w:val="75CF1E94"/>
    <w:rsid w:val="764C5C54"/>
    <w:rsid w:val="764E578E"/>
    <w:rsid w:val="76B146A9"/>
    <w:rsid w:val="76B37127"/>
    <w:rsid w:val="76B949B4"/>
    <w:rsid w:val="76BE02EA"/>
    <w:rsid w:val="76D14890"/>
    <w:rsid w:val="76D50D6E"/>
    <w:rsid w:val="771F0CBB"/>
    <w:rsid w:val="77281627"/>
    <w:rsid w:val="776C645E"/>
    <w:rsid w:val="777C610E"/>
    <w:rsid w:val="77A2369A"/>
    <w:rsid w:val="77A318EC"/>
    <w:rsid w:val="77E617D9"/>
    <w:rsid w:val="77E90D1D"/>
    <w:rsid w:val="78106856"/>
    <w:rsid w:val="781446B6"/>
    <w:rsid w:val="782D565A"/>
    <w:rsid w:val="783B7DD5"/>
    <w:rsid w:val="788B412F"/>
    <w:rsid w:val="78930E2C"/>
    <w:rsid w:val="78A60180"/>
    <w:rsid w:val="78B00909"/>
    <w:rsid w:val="78B94D42"/>
    <w:rsid w:val="78C22246"/>
    <w:rsid w:val="78E53565"/>
    <w:rsid w:val="78E902A2"/>
    <w:rsid w:val="78FD1E3E"/>
    <w:rsid w:val="79060E41"/>
    <w:rsid w:val="790B0021"/>
    <w:rsid w:val="790D22C6"/>
    <w:rsid w:val="796C6890"/>
    <w:rsid w:val="797D43BF"/>
    <w:rsid w:val="797E3990"/>
    <w:rsid w:val="798E2128"/>
    <w:rsid w:val="79BA3154"/>
    <w:rsid w:val="79C478F8"/>
    <w:rsid w:val="79F44E2E"/>
    <w:rsid w:val="79FE1940"/>
    <w:rsid w:val="7A087E4F"/>
    <w:rsid w:val="7A0B19CB"/>
    <w:rsid w:val="7A287E87"/>
    <w:rsid w:val="7A2F68BA"/>
    <w:rsid w:val="7A4831E2"/>
    <w:rsid w:val="7A583B2A"/>
    <w:rsid w:val="7A5E1AFB"/>
    <w:rsid w:val="7A6D4434"/>
    <w:rsid w:val="7A6D7F90"/>
    <w:rsid w:val="7A9E1A5F"/>
    <w:rsid w:val="7AC1208A"/>
    <w:rsid w:val="7AD41DBD"/>
    <w:rsid w:val="7ADD216B"/>
    <w:rsid w:val="7AE40AEA"/>
    <w:rsid w:val="7AEC35AA"/>
    <w:rsid w:val="7B705F89"/>
    <w:rsid w:val="7B8F3F36"/>
    <w:rsid w:val="7BD008BB"/>
    <w:rsid w:val="7BD06A28"/>
    <w:rsid w:val="7BD83B2F"/>
    <w:rsid w:val="7C093CE8"/>
    <w:rsid w:val="7C2E19A1"/>
    <w:rsid w:val="7C5807CC"/>
    <w:rsid w:val="7C6668FD"/>
    <w:rsid w:val="7C69271F"/>
    <w:rsid w:val="7C765821"/>
    <w:rsid w:val="7C7F6AF7"/>
    <w:rsid w:val="7C9931A2"/>
    <w:rsid w:val="7C9932BE"/>
    <w:rsid w:val="7CA825BD"/>
    <w:rsid w:val="7CC04CEF"/>
    <w:rsid w:val="7CE35C60"/>
    <w:rsid w:val="7CE7709B"/>
    <w:rsid w:val="7D052D9F"/>
    <w:rsid w:val="7D630A43"/>
    <w:rsid w:val="7D6457E7"/>
    <w:rsid w:val="7D6733BC"/>
    <w:rsid w:val="7D990506"/>
    <w:rsid w:val="7DDF73F6"/>
    <w:rsid w:val="7E254984"/>
    <w:rsid w:val="7E3736CB"/>
    <w:rsid w:val="7E5E5106"/>
    <w:rsid w:val="7EB75C7D"/>
    <w:rsid w:val="7EDA019C"/>
    <w:rsid w:val="7EF36664"/>
    <w:rsid w:val="7EFB200E"/>
    <w:rsid w:val="7F8861CA"/>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6"/>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54"/>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50"/>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6"/>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8"/>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8"/>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9"/>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60"/>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1"/>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100"/>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unhideWhenUsed/>
    <w:qFormat/>
    <w:uiPriority w:val="39"/>
    <w:pPr>
      <w:ind w:left="2520" w:leftChars="1200"/>
    </w:p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9"/>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22"/>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9"/>
    <w:unhideWhenUsed/>
    <w:qFormat/>
    <w:uiPriority w:val="99"/>
    <w:pPr>
      <w:jc w:val="left"/>
    </w:pPr>
    <w:rPr>
      <w:rFonts w:hint="eastAsia" w:ascii="等线" w:hAnsi="等线" w:eastAsia="等线" w:cs="Times New Roman"/>
    </w:rPr>
  </w:style>
  <w:style w:type="paragraph" w:styleId="18">
    <w:name w:val="Body Text 3"/>
    <w:basedOn w:val="1"/>
    <w:link w:val="162"/>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20"/>
    <w:link w:val="124"/>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2"/>
    <w:basedOn w:val="1"/>
    <w:link w:val="149"/>
    <w:qFormat/>
    <w:uiPriority w:val="0"/>
    <w:pPr>
      <w:tabs>
        <w:tab w:val="left" w:pos="0"/>
      </w:tabs>
      <w:spacing w:line="400" w:lineRule="atLeast"/>
    </w:pPr>
    <w:rPr>
      <w:rFonts w:ascii="Arial" w:hAnsi="Arial" w:eastAsia="宋体" w:cs="Times New Roman"/>
      <w:color w:val="000000"/>
      <w:szCs w:val="24"/>
    </w:rPr>
  </w:style>
  <w:style w:type="paragraph" w:styleId="21">
    <w:name w:val="Body Text Indent"/>
    <w:basedOn w:val="1"/>
    <w:link w:val="98"/>
    <w:qFormat/>
    <w:uiPriority w:val="0"/>
    <w:pPr>
      <w:ind w:left="567" w:leftChars="270"/>
    </w:pPr>
    <w:rPr>
      <w:rFonts w:ascii="Times New Roman" w:hAnsi="Times New Roman" w:eastAsia="宋体" w:cs="Times New Roman"/>
      <w:szCs w:val="20"/>
    </w:rPr>
  </w:style>
  <w:style w:type="paragraph" w:styleId="22">
    <w:name w:val="toc 5"/>
    <w:basedOn w:val="1"/>
    <w:next w:val="1"/>
    <w:unhideWhenUsed/>
    <w:qFormat/>
    <w:uiPriority w:val="39"/>
    <w:pPr>
      <w:ind w:left="1680" w:leftChars="800"/>
    </w:pPr>
  </w:style>
  <w:style w:type="paragraph" w:styleId="23">
    <w:name w:val="toc 3"/>
    <w:basedOn w:val="1"/>
    <w:next w:val="1"/>
    <w:unhideWhenUsed/>
    <w:qFormat/>
    <w:uiPriority w:val="39"/>
    <w:pPr>
      <w:tabs>
        <w:tab w:val="right" w:leader="dot" w:pos="10144"/>
      </w:tabs>
      <w:ind w:left="840" w:leftChars="400"/>
    </w:pPr>
  </w:style>
  <w:style w:type="paragraph" w:styleId="24">
    <w:name w:val="Plain Text"/>
    <w:basedOn w:val="1"/>
    <w:link w:val="106"/>
    <w:qFormat/>
    <w:uiPriority w:val="0"/>
    <w:rPr>
      <w:rFonts w:ascii="宋体" w:hAnsi="Courier New" w:eastAsia="宋体"/>
    </w:rPr>
  </w:style>
  <w:style w:type="paragraph" w:styleId="25">
    <w:name w:val="toc 8"/>
    <w:basedOn w:val="1"/>
    <w:next w:val="1"/>
    <w:unhideWhenUsed/>
    <w:qFormat/>
    <w:uiPriority w:val="39"/>
    <w:pPr>
      <w:ind w:left="2940" w:leftChars="1400"/>
    </w:pPr>
  </w:style>
  <w:style w:type="paragraph" w:styleId="26">
    <w:name w:val="Date"/>
    <w:basedOn w:val="1"/>
    <w:next w:val="1"/>
    <w:link w:val="114"/>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7">
    <w:name w:val="Body Text Indent 2"/>
    <w:basedOn w:val="1"/>
    <w:link w:val="107"/>
    <w:qFormat/>
    <w:uiPriority w:val="0"/>
    <w:pPr>
      <w:tabs>
        <w:tab w:val="left" w:pos="8640"/>
      </w:tabs>
      <w:ind w:left="1260"/>
    </w:pPr>
    <w:rPr>
      <w:rFonts w:ascii="宋体" w:hAnsi="Times New Roman" w:eastAsia="宋体" w:cs="Times New Roman"/>
      <w:szCs w:val="20"/>
    </w:rPr>
  </w:style>
  <w:style w:type="paragraph" w:styleId="28">
    <w:name w:val="Balloon Text"/>
    <w:basedOn w:val="1"/>
    <w:link w:val="80"/>
    <w:qFormat/>
    <w:uiPriority w:val="0"/>
    <w:rPr>
      <w:rFonts w:ascii="Times New Roman" w:hAnsi="Times New Roman" w:eastAsia="宋体" w:cs="Times New Roman"/>
      <w:sz w:val="18"/>
      <w:szCs w:val="18"/>
    </w:rPr>
  </w:style>
  <w:style w:type="paragraph" w:styleId="29">
    <w:name w:val="footer"/>
    <w:basedOn w:val="1"/>
    <w:link w:val="209"/>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0">
    <w:name w:val="header"/>
    <w:basedOn w:val="1"/>
    <w:link w:val="126"/>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1">
    <w:name w:val="toc 1"/>
    <w:basedOn w:val="1"/>
    <w:next w:val="1"/>
    <w:unhideWhenUsed/>
    <w:qFormat/>
    <w:uiPriority w:val="39"/>
  </w:style>
  <w:style w:type="paragraph" w:styleId="32">
    <w:name w:val="toc 4"/>
    <w:basedOn w:val="1"/>
    <w:next w:val="1"/>
    <w:unhideWhenUsed/>
    <w:qFormat/>
    <w:uiPriority w:val="39"/>
    <w:pPr>
      <w:ind w:left="1260" w:leftChars="600"/>
    </w:pPr>
  </w:style>
  <w:style w:type="paragraph" w:styleId="33">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4">
    <w:name w:val="toc 6"/>
    <w:basedOn w:val="1"/>
    <w:next w:val="1"/>
    <w:unhideWhenUsed/>
    <w:qFormat/>
    <w:uiPriority w:val="39"/>
    <w:pPr>
      <w:ind w:left="2100" w:leftChars="1000"/>
    </w:pPr>
  </w:style>
  <w:style w:type="paragraph" w:styleId="35">
    <w:name w:val="Body Text Indent 3"/>
    <w:basedOn w:val="1"/>
    <w:link w:val="160"/>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6">
    <w:name w:val="toc 2"/>
    <w:basedOn w:val="1"/>
    <w:next w:val="1"/>
    <w:unhideWhenUsed/>
    <w:qFormat/>
    <w:uiPriority w:val="39"/>
    <w:pPr>
      <w:ind w:left="420" w:leftChars="200"/>
    </w:pPr>
  </w:style>
  <w:style w:type="paragraph" w:styleId="37">
    <w:name w:val="toc 9"/>
    <w:basedOn w:val="1"/>
    <w:next w:val="1"/>
    <w:unhideWhenUsed/>
    <w:qFormat/>
    <w:uiPriority w:val="39"/>
    <w:pPr>
      <w:ind w:left="3360" w:leftChars="1600"/>
    </w:pPr>
  </w:style>
  <w:style w:type="paragraph" w:styleId="38">
    <w:name w:val="HTML Preformatted"/>
    <w:basedOn w:val="1"/>
    <w:link w:val="9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9">
    <w:name w:val="Normal (Web)"/>
    <w:basedOn w:val="1"/>
    <w:link w:val="99"/>
    <w:qFormat/>
    <w:uiPriority w:val="0"/>
    <w:pPr>
      <w:widowControl/>
      <w:spacing w:before="100" w:beforeAutospacing="1" w:after="100" w:afterAutospacing="1"/>
      <w:jc w:val="left"/>
    </w:pPr>
    <w:rPr>
      <w:rFonts w:ascii="宋体" w:hAnsi="宋体"/>
      <w:sz w:val="15"/>
      <w:szCs w:val="15"/>
    </w:rPr>
  </w:style>
  <w:style w:type="paragraph" w:styleId="40">
    <w:name w:val="Title"/>
    <w:basedOn w:val="1"/>
    <w:next w:val="1"/>
    <w:link w:val="64"/>
    <w:qFormat/>
    <w:uiPriority w:val="10"/>
    <w:pPr>
      <w:spacing w:before="120" w:after="60" w:line="300" w:lineRule="auto"/>
      <w:jc w:val="left"/>
      <w:outlineLvl w:val="0"/>
    </w:pPr>
    <w:rPr>
      <w:rFonts w:ascii="等线 Light" w:hAnsi="等线 Light" w:eastAsia="仿宋"/>
      <w:b/>
      <w:bCs/>
      <w:sz w:val="28"/>
      <w:szCs w:val="32"/>
    </w:rPr>
  </w:style>
  <w:style w:type="paragraph" w:styleId="41">
    <w:name w:val="annotation subject"/>
    <w:basedOn w:val="17"/>
    <w:next w:val="17"/>
    <w:link w:val="116"/>
    <w:qFormat/>
    <w:uiPriority w:val="99"/>
    <w:pPr>
      <w:autoSpaceDE w:val="0"/>
      <w:autoSpaceDN w:val="0"/>
      <w:adjustRightInd w:val="0"/>
    </w:pPr>
    <w:rPr>
      <w:rFonts w:ascii="宋体" w:hAnsi="Times New Roman" w:eastAsia="宋体"/>
      <w:b/>
      <w:bCs/>
      <w:kern w:val="0"/>
      <w:sz w:val="24"/>
      <w:szCs w:val="24"/>
    </w:rPr>
  </w:style>
  <w:style w:type="paragraph" w:styleId="42">
    <w:name w:val="Body Text First Indent"/>
    <w:basedOn w:val="19"/>
    <w:link w:val="207"/>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43">
    <w:name w:val="Body Text First Indent 2"/>
    <w:basedOn w:val="21"/>
    <w:next w:val="13"/>
    <w:qFormat/>
    <w:uiPriority w:val="0"/>
    <w:pPr>
      <w:widowControl w:val="0"/>
      <w:tabs>
        <w:tab w:val="left" w:pos="1218"/>
        <w:tab w:val="left" w:pos="3544"/>
      </w:tabs>
      <w:adjustRightInd w:val="0"/>
      <w:snapToGrid w:val="0"/>
      <w:spacing w:line="300" w:lineRule="auto"/>
      <w:ind w:left="567" w:leftChars="270" w:firstLine="420"/>
      <w:jc w:val="both"/>
    </w:pPr>
    <w:rPr>
      <w:rFonts w:ascii="Times New Roman" w:hAnsi="Times New Roman" w:eastAsia="宋体" w:cs="Times New Roman"/>
      <w:kern w:val="2"/>
      <w:sz w:val="21"/>
      <w:szCs w:val="28"/>
      <w:lang w:val="en-US" w:eastAsia="zh-CN" w:bidi="ar-SA"/>
    </w:rPr>
  </w:style>
  <w:style w:type="table" w:styleId="45">
    <w:name w:val="Table Grid"/>
    <w:basedOn w:val="4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FollowedHyperlink"/>
    <w:unhideWhenUsed/>
    <w:qFormat/>
    <w:uiPriority w:val="99"/>
    <w:rPr>
      <w:color w:val="954F72"/>
      <w:u w:val="single"/>
    </w:rPr>
  </w:style>
  <w:style w:type="character" w:styleId="49">
    <w:name w:val="Emphasis"/>
    <w:qFormat/>
    <w:uiPriority w:val="0"/>
    <w:rPr>
      <w:i/>
      <w:iCs/>
    </w:rPr>
  </w:style>
  <w:style w:type="character" w:styleId="50">
    <w:name w:val="Hyperlink"/>
    <w:qFormat/>
    <w:uiPriority w:val="99"/>
    <w:rPr>
      <w:rFonts w:hint="default" w:ascii="Arial" w:hAnsi="Arial" w:cs="Arial"/>
      <w:color w:val="000000"/>
      <w:sz w:val="20"/>
      <w:szCs w:val="20"/>
      <w:u w:val="none"/>
    </w:rPr>
  </w:style>
  <w:style w:type="character" w:styleId="51">
    <w:name w:val="annotation reference"/>
    <w:basedOn w:val="46"/>
    <w:qFormat/>
    <w:uiPriority w:val="99"/>
    <w:rPr>
      <w:sz w:val="21"/>
      <w:szCs w:val="21"/>
    </w:rPr>
  </w:style>
  <w:style w:type="paragraph" w:customStyle="1" w:styleId="52">
    <w:name w:val="首行缩进"/>
    <w:basedOn w:val="1"/>
    <w:qFormat/>
    <w:uiPriority w:val="0"/>
    <w:pPr>
      <w:ind w:firstLine="480" w:firstLineChars="200"/>
    </w:pPr>
    <w:rPr>
      <w:lang w:val="zh-CN"/>
    </w:rPr>
  </w:style>
  <w:style w:type="character" w:customStyle="1" w:styleId="53">
    <w:name w:val="标题 1 字符"/>
    <w:basedOn w:val="46"/>
    <w:qFormat/>
    <w:uiPriority w:val="0"/>
    <w:rPr>
      <w:b/>
      <w:bCs/>
      <w:kern w:val="44"/>
      <w:sz w:val="44"/>
      <w:szCs w:val="44"/>
    </w:rPr>
  </w:style>
  <w:style w:type="character" w:customStyle="1" w:styleId="54">
    <w:name w:val="标题 2 字符"/>
    <w:basedOn w:val="46"/>
    <w:link w:val="3"/>
    <w:qFormat/>
    <w:uiPriority w:val="0"/>
    <w:rPr>
      <w:rFonts w:ascii="宋体" w:hAnsi="Calibri" w:eastAsia="宋体" w:cs="Times New Roman"/>
      <w:kern w:val="0"/>
      <w:sz w:val="24"/>
      <w:szCs w:val="24"/>
    </w:rPr>
  </w:style>
  <w:style w:type="character" w:customStyle="1" w:styleId="55">
    <w:name w:val="标题 3 字符"/>
    <w:basedOn w:val="46"/>
    <w:qFormat/>
    <w:uiPriority w:val="0"/>
    <w:rPr>
      <w:b/>
      <w:bCs/>
      <w:sz w:val="32"/>
      <w:szCs w:val="32"/>
    </w:rPr>
  </w:style>
  <w:style w:type="character" w:customStyle="1" w:styleId="56">
    <w:name w:val="标题 4 字符"/>
    <w:basedOn w:val="46"/>
    <w:link w:val="5"/>
    <w:qFormat/>
    <w:uiPriority w:val="9"/>
    <w:rPr>
      <w:rFonts w:ascii="Arial" w:hAnsi="Arial" w:eastAsia="黑体" w:cs="Times New Roman"/>
      <w:b/>
      <w:bCs/>
      <w:kern w:val="0"/>
      <w:sz w:val="28"/>
      <w:szCs w:val="28"/>
    </w:rPr>
  </w:style>
  <w:style w:type="character" w:customStyle="1" w:styleId="57">
    <w:name w:val="标题 5 字符"/>
    <w:basedOn w:val="46"/>
    <w:qFormat/>
    <w:uiPriority w:val="9"/>
    <w:rPr>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link w:val="9"/>
    <w:qFormat/>
    <w:uiPriority w:val="9"/>
    <w:rPr>
      <w:rFonts w:ascii="Times New Roman" w:hAnsi="Calibri" w:eastAsia="黑体" w:cs="Times New Roman"/>
      <w:b/>
      <w:bCs/>
      <w:kern w:val="0"/>
      <w:sz w:val="28"/>
      <w:szCs w:val="24"/>
    </w:rPr>
  </w:style>
  <w:style w:type="character" w:customStyle="1" w:styleId="60">
    <w:name w:val="标题 8 字符"/>
    <w:basedOn w:val="46"/>
    <w:link w:val="10"/>
    <w:qFormat/>
    <w:uiPriority w:val="9"/>
    <w:rPr>
      <w:rFonts w:ascii="Times New Roman" w:hAnsi="Calibri" w:eastAsia="黑体" w:cs="Times New Roman"/>
      <w:b/>
      <w:kern w:val="0"/>
      <w:sz w:val="28"/>
      <w:szCs w:val="24"/>
    </w:rPr>
  </w:style>
  <w:style w:type="character" w:customStyle="1" w:styleId="61">
    <w:name w:val="标题 9 字符"/>
    <w:basedOn w:val="46"/>
    <w:link w:val="11"/>
    <w:qFormat/>
    <w:uiPriority w:val="9"/>
    <w:rPr>
      <w:rFonts w:ascii="Times New Roman" w:hAnsi="Calibri" w:eastAsia="黑体" w:cs="Times New Roman"/>
      <w:b/>
      <w:kern w:val="0"/>
      <w:sz w:val="28"/>
      <w:szCs w:val="24"/>
    </w:rPr>
  </w:style>
  <w:style w:type="character" w:customStyle="1" w:styleId="62">
    <w:name w:val="正文文本缩进 字符"/>
    <w:qFormat/>
    <w:uiPriority w:val="0"/>
    <w:rPr>
      <w:rFonts w:ascii="Times New Roman" w:hAnsi="Times New Roman" w:eastAsia="宋体" w:cs="Times New Roman"/>
      <w:szCs w:val="20"/>
    </w:rPr>
  </w:style>
  <w:style w:type="character" w:customStyle="1" w:styleId="63">
    <w:name w:val="普通(网站) Char"/>
    <w:qFormat/>
    <w:locked/>
    <w:uiPriority w:val="0"/>
    <w:rPr>
      <w:rFonts w:ascii="宋体" w:hAnsi="宋体"/>
      <w:sz w:val="15"/>
      <w:szCs w:val="15"/>
    </w:rPr>
  </w:style>
  <w:style w:type="character" w:customStyle="1" w:styleId="64">
    <w:name w:val="标题 字符1"/>
    <w:link w:val="40"/>
    <w:qFormat/>
    <w:uiPriority w:val="10"/>
    <w:rPr>
      <w:rFonts w:ascii="等线 Light" w:hAnsi="等线 Light" w:eastAsia="仿宋"/>
      <w:b/>
      <w:bCs/>
      <w:sz w:val="28"/>
      <w:szCs w:val="32"/>
    </w:rPr>
  </w:style>
  <w:style w:type="character" w:customStyle="1" w:styleId="65">
    <w:name w:val="日期 Char"/>
    <w:semiHidden/>
    <w:qFormat/>
    <w:uiPriority w:val="99"/>
    <w:rPr>
      <w:kern w:val="2"/>
      <w:sz w:val="21"/>
    </w:rPr>
  </w:style>
  <w:style w:type="character" w:customStyle="1" w:styleId="66">
    <w:name w:val="文档结构图 字符1"/>
    <w:semiHidden/>
    <w:qFormat/>
    <w:uiPriority w:val="99"/>
    <w:rPr>
      <w:rFonts w:ascii="Microsoft YaHei UI" w:hAnsi="Calibri" w:eastAsia="Microsoft YaHei UI" w:cs="Times New Roman"/>
      <w:kern w:val="0"/>
      <w:sz w:val="18"/>
      <w:szCs w:val="18"/>
    </w:rPr>
  </w:style>
  <w:style w:type="character" w:customStyle="1" w:styleId="67">
    <w:name w:val="批注文字 Char"/>
    <w:semiHidden/>
    <w:qFormat/>
    <w:uiPriority w:val="99"/>
    <w:rPr>
      <w:kern w:val="2"/>
      <w:sz w:val="21"/>
    </w:rPr>
  </w:style>
  <w:style w:type="character" w:customStyle="1" w:styleId="68">
    <w:name w:val="正文缩进2格 Char"/>
    <w:link w:val="69"/>
    <w:qFormat/>
    <w:uiPriority w:val="0"/>
    <w:rPr>
      <w:rFonts w:ascii="仿宋_GB2312" w:hAnsi="宋体" w:eastAsia="仿宋_GB231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批注文字 字符"/>
    <w:semiHidden/>
    <w:qFormat/>
    <w:uiPriority w:val="99"/>
    <w:rPr>
      <w:rFonts w:ascii="Times New Roman" w:hAnsi="Times New Roman"/>
      <w:kern w:val="2"/>
      <w:sz w:val="24"/>
      <w:szCs w:val="24"/>
    </w:rPr>
  </w:style>
  <w:style w:type="character" w:customStyle="1" w:styleId="71">
    <w:name w:val="正文文本缩进 Char"/>
    <w:qFormat/>
    <w:uiPriority w:val="0"/>
    <w:rPr>
      <w:rFonts w:ascii="Times New Roman" w:hAnsi="Times New Roman" w:eastAsia="宋体" w:cs="Times New Roman"/>
      <w:szCs w:val="20"/>
      <w:lang w:val="en-US" w:eastAsia="zh-CN"/>
    </w:rPr>
  </w:style>
  <w:style w:type="character" w:customStyle="1" w:styleId="72">
    <w:name w:val="批注框文本 字符1"/>
    <w:semiHidden/>
    <w:qFormat/>
    <w:uiPriority w:val="99"/>
    <w:rPr>
      <w:rFonts w:ascii="宋体" w:hAnsi="Calibri" w:eastAsia="宋体" w:cs="Times New Roman"/>
      <w:kern w:val="0"/>
      <w:sz w:val="18"/>
      <w:szCs w:val="18"/>
    </w:rPr>
  </w:style>
  <w:style w:type="character" w:customStyle="1" w:styleId="73">
    <w:name w:val="List Paragraph Char"/>
    <w:link w:val="74"/>
    <w:qFormat/>
    <w:uiPriority w:val="34"/>
    <w:rPr>
      <w:rFonts w:ascii="Calibri" w:hAnsi="Calibri"/>
    </w:rPr>
  </w:style>
  <w:style w:type="paragraph" w:customStyle="1" w:styleId="74">
    <w:name w:val="列出段落1"/>
    <w:basedOn w:val="1"/>
    <w:link w:val="73"/>
    <w:qFormat/>
    <w:uiPriority w:val="34"/>
    <w:pPr>
      <w:ind w:firstLine="420" w:firstLineChars="200"/>
    </w:pPr>
    <w:rPr>
      <w:rFonts w:ascii="Calibri" w:hAnsi="Calibri"/>
    </w:rPr>
  </w:style>
  <w:style w:type="character" w:customStyle="1" w:styleId="75">
    <w:name w:val="标书正文 字符"/>
    <w:link w:val="76"/>
    <w:qFormat/>
    <w:uiPriority w:val="0"/>
    <w:rPr>
      <w:rFonts w:ascii="Calibri" w:hAnsi="Calibri" w:eastAsia="仿宋"/>
      <w:sz w:val="24"/>
      <w:szCs w:val="21"/>
    </w:rPr>
  </w:style>
  <w:style w:type="paragraph" w:customStyle="1" w:styleId="76">
    <w:name w:val="标书正文"/>
    <w:basedOn w:val="1"/>
    <w:link w:val="75"/>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7">
    <w:name w:val="正文文本 字符"/>
    <w:semiHidden/>
    <w:qFormat/>
    <w:uiPriority w:val="99"/>
    <w:rPr>
      <w:rFonts w:ascii="Times New Roman" w:hAnsi="Times New Roman"/>
      <w:kern w:val="2"/>
      <w:sz w:val="24"/>
      <w:szCs w:val="24"/>
    </w:rPr>
  </w:style>
  <w:style w:type="character" w:customStyle="1" w:styleId="78">
    <w:name w:val="页脚 Char"/>
    <w:qFormat/>
    <w:uiPriority w:val="0"/>
    <w:rPr>
      <w:kern w:val="2"/>
      <w:sz w:val="18"/>
      <w:szCs w:val="18"/>
    </w:rPr>
  </w:style>
  <w:style w:type="character" w:customStyle="1" w:styleId="79">
    <w:name w:val="neir1"/>
    <w:qFormat/>
    <w:uiPriority w:val="0"/>
    <w:rPr>
      <w:rFonts w:hint="default" w:ascii="ˎ̥" w:hAnsi="ˎ̥"/>
      <w:color w:val="333333"/>
      <w:sz w:val="21"/>
      <w:szCs w:val="21"/>
      <w:u w:val="none"/>
    </w:rPr>
  </w:style>
  <w:style w:type="character" w:customStyle="1" w:styleId="80">
    <w:name w:val="批注框文本 字符"/>
    <w:link w:val="28"/>
    <w:qFormat/>
    <w:uiPriority w:val="0"/>
    <w:rPr>
      <w:rFonts w:ascii="Times New Roman" w:hAnsi="Times New Roman" w:eastAsia="宋体" w:cs="Times New Roman"/>
      <w:sz w:val="18"/>
      <w:szCs w:val="18"/>
    </w:rPr>
  </w:style>
  <w:style w:type="character" w:customStyle="1" w:styleId="81">
    <w:name w:val="正文文本 3 字符1"/>
    <w:semiHidden/>
    <w:qFormat/>
    <w:uiPriority w:val="99"/>
    <w:rPr>
      <w:rFonts w:ascii="宋体" w:hAnsi="Calibri" w:eastAsia="宋体" w:cs="Times New Roman"/>
      <w:kern w:val="0"/>
      <w:sz w:val="16"/>
      <w:szCs w:val="16"/>
    </w:rPr>
  </w:style>
  <w:style w:type="character" w:customStyle="1" w:styleId="82">
    <w:name w:val="正文文本 字符3"/>
    <w:semiHidden/>
    <w:qFormat/>
    <w:uiPriority w:val="99"/>
    <w:rPr>
      <w:rFonts w:ascii="宋体" w:hAnsi="Calibri" w:eastAsia="宋体" w:cs="Times New Roman"/>
      <w:kern w:val="0"/>
      <w:sz w:val="24"/>
      <w:szCs w:val="24"/>
    </w:rPr>
  </w:style>
  <w:style w:type="character" w:customStyle="1" w:styleId="83">
    <w:name w:val="日期 字符1"/>
    <w:semiHidden/>
    <w:qFormat/>
    <w:uiPriority w:val="99"/>
    <w:rPr>
      <w:rFonts w:ascii="宋体" w:hAnsi="Calibri" w:eastAsia="宋体" w:cs="Times New Roman"/>
      <w:kern w:val="0"/>
      <w:sz w:val="24"/>
      <w:szCs w:val="24"/>
    </w:rPr>
  </w:style>
  <w:style w:type="character" w:customStyle="1" w:styleId="84">
    <w:name w:val="页脚 Char2"/>
    <w:qFormat/>
    <w:uiPriority w:val="99"/>
    <w:rPr>
      <w:rFonts w:ascii="宋体" w:eastAsia="宋体"/>
      <w:sz w:val="18"/>
      <w:szCs w:val="18"/>
    </w:rPr>
  </w:style>
  <w:style w:type="character" w:customStyle="1" w:styleId="85">
    <w:name w:val="吉奥正文 Char"/>
    <w:link w:val="86"/>
    <w:qFormat/>
    <w:locked/>
    <w:uiPriority w:val="0"/>
    <w:rPr>
      <w:rFonts w:eastAsia="仿宋_GB2312"/>
      <w:sz w:val="28"/>
    </w:rPr>
  </w:style>
  <w:style w:type="paragraph" w:customStyle="1" w:styleId="86">
    <w:name w:val="吉奥正文"/>
    <w:basedOn w:val="1"/>
    <w:link w:val="85"/>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7">
    <w:name w:val="页脚 Char1"/>
    <w:qFormat/>
    <w:uiPriority w:val="99"/>
    <w:rPr>
      <w:rFonts w:ascii="宋体" w:hAnsi="Times New Roman" w:eastAsia="宋体" w:cs="Times New Roman"/>
      <w:kern w:val="0"/>
      <w:sz w:val="18"/>
      <w:szCs w:val="18"/>
    </w:rPr>
  </w:style>
  <w:style w:type="character" w:customStyle="1" w:styleId="88">
    <w:name w:val="标题 字符"/>
    <w:qFormat/>
    <w:uiPriority w:val="10"/>
    <w:rPr>
      <w:rFonts w:ascii="Cambria" w:hAnsi="Cambria" w:eastAsia="宋体" w:cs="Times New Roman"/>
      <w:b/>
      <w:bCs/>
      <w:kern w:val="0"/>
      <w:sz w:val="32"/>
      <w:szCs w:val="32"/>
      <w:lang w:val="en-US" w:eastAsia="zh-CN"/>
    </w:rPr>
  </w:style>
  <w:style w:type="character" w:customStyle="1" w:styleId="89">
    <w:name w:val="题注 字符1"/>
    <w:link w:val="14"/>
    <w:qFormat/>
    <w:uiPriority w:val="0"/>
    <w:rPr>
      <w:rFonts w:ascii="Arial" w:hAnsi="Arial" w:eastAsia="黑体" w:cs="Arial"/>
    </w:rPr>
  </w:style>
  <w:style w:type="character" w:customStyle="1" w:styleId="90">
    <w:name w:val="批注文字 字符2"/>
    <w:qFormat/>
    <w:uiPriority w:val="99"/>
    <w:rPr>
      <w:rFonts w:ascii="宋体" w:hAnsi="Times New Roman" w:eastAsia="宋体" w:cs="Times New Roman"/>
      <w:kern w:val="0"/>
      <w:sz w:val="24"/>
      <w:szCs w:val="24"/>
    </w:rPr>
  </w:style>
  <w:style w:type="character" w:customStyle="1" w:styleId="91">
    <w:name w:val="批注主题 字符1"/>
    <w:semiHidden/>
    <w:qFormat/>
    <w:uiPriority w:val="99"/>
    <w:rPr>
      <w:rFonts w:ascii="宋体" w:hAnsi="Calibri" w:eastAsia="宋体" w:cs="Times New Roman"/>
      <w:b/>
      <w:bCs/>
      <w:kern w:val="0"/>
      <w:sz w:val="24"/>
      <w:szCs w:val="24"/>
    </w:rPr>
  </w:style>
  <w:style w:type="character" w:customStyle="1" w:styleId="92">
    <w:name w:val="HTML 预设格式 字符"/>
    <w:link w:val="38"/>
    <w:qFormat/>
    <w:uiPriority w:val="99"/>
    <w:rPr>
      <w:rFonts w:ascii="Arial" w:hAnsi="Arial" w:eastAsia="宋体" w:cs="Arial"/>
      <w:szCs w:val="21"/>
    </w:rPr>
  </w:style>
  <w:style w:type="character" w:customStyle="1" w:styleId="93">
    <w:name w:val="标题 3.1 Char"/>
    <w:link w:val="94"/>
    <w:qFormat/>
    <w:uiPriority w:val="0"/>
    <w:rPr>
      <w:rFonts w:ascii="宋体" w:hAnsi="宋体"/>
      <w:b/>
      <w:bCs/>
      <w:sz w:val="32"/>
      <w:szCs w:val="32"/>
    </w:rPr>
  </w:style>
  <w:style w:type="paragraph" w:customStyle="1" w:styleId="94">
    <w:name w:val="标题 3.1"/>
    <w:basedOn w:val="4"/>
    <w:link w:val="93"/>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5">
    <w:name w:val="HTML 预设格式 Char1"/>
    <w:semiHidden/>
    <w:qFormat/>
    <w:uiPriority w:val="99"/>
    <w:rPr>
      <w:rFonts w:ascii="Courier New" w:hAnsi="Courier New" w:eastAsia="宋体" w:cs="Courier New"/>
      <w:kern w:val="0"/>
      <w:sz w:val="20"/>
      <w:szCs w:val="20"/>
    </w:rPr>
  </w:style>
  <w:style w:type="character" w:customStyle="1" w:styleId="96">
    <w:name w:val="批注文字 字符1"/>
    <w:qFormat/>
    <w:uiPriority w:val="0"/>
    <w:rPr>
      <w:rFonts w:eastAsia="宋体"/>
      <w:kern w:val="2"/>
      <w:sz w:val="24"/>
      <w:szCs w:val="24"/>
      <w:lang w:val="en-US" w:eastAsia="zh-CN" w:bidi="ar-SA"/>
    </w:rPr>
  </w:style>
  <w:style w:type="character" w:customStyle="1" w:styleId="97">
    <w:name w:val="正文文本缩进 字符2"/>
    <w:semiHidden/>
    <w:qFormat/>
    <w:uiPriority w:val="99"/>
    <w:rPr>
      <w:rFonts w:ascii="宋体" w:hAnsi="Calibri" w:eastAsia="宋体" w:cs="Times New Roman"/>
      <w:kern w:val="0"/>
      <w:sz w:val="24"/>
      <w:szCs w:val="24"/>
    </w:rPr>
  </w:style>
  <w:style w:type="character" w:customStyle="1" w:styleId="98">
    <w:name w:val="正文文本缩进 字符1"/>
    <w:link w:val="21"/>
    <w:qFormat/>
    <w:uiPriority w:val="0"/>
    <w:rPr>
      <w:rFonts w:ascii="Times New Roman" w:hAnsi="Times New Roman" w:eastAsia="宋体" w:cs="Times New Roman"/>
      <w:szCs w:val="20"/>
    </w:rPr>
  </w:style>
  <w:style w:type="character" w:customStyle="1" w:styleId="99">
    <w:name w:val="普通(网站) 字符2"/>
    <w:link w:val="39"/>
    <w:qFormat/>
    <w:locked/>
    <w:uiPriority w:val="0"/>
    <w:rPr>
      <w:rFonts w:ascii="宋体" w:hAnsi="宋体"/>
      <w:sz w:val="15"/>
      <w:szCs w:val="15"/>
    </w:rPr>
  </w:style>
  <w:style w:type="character" w:customStyle="1" w:styleId="100">
    <w:name w:val="模板正文 Char"/>
    <w:link w:val="8"/>
    <w:qFormat/>
    <w:uiPriority w:val="0"/>
    <w:rPr>
      <w:rFonts w:ascii="宋体" w:eastAsia="仿宋"/>
      <w:sz w:val="24"/>
      <w:szCs w:val="21"/>
    </w:rPr>
  </w:style>
  <w:style w:type="character" w:customStyle="1" w:styleId="101">
    <w:name w:val="批注主题 Char"/>
    <w:semiHidden/>
    <w:qFormat/>
    <w:uiPriority w:val="99"/>
    <w:rPr>
      <w:b/>
      <w:bCs/>
      <w:kern w:val="2"/>
      <w:sz w:val="21"/>
    </w:rPr>
  </w:style>
  <w:style w:type="character" w:customStyle="1" w:styleId="102">
    <w:name w:val="正文文本 Char1"/>
    <w:qFormat/>
    <w:uiPriority w:val="0"/>
    <w:rPr>
      <w:rFonts w:ascii="宋体" w:hAnsi="Times New Roman" w:eastAsia="宋体" w:cs="Times New Roman"/>
      <w:kern w:val="0"/>
      <w:sz w:val="24"/>
      <w:szCs w:val="24"/>
    </w:rPr>
  </w:style>
  <w:style w:type="character" w:customStyle="1" w:styleId="103">
    <w:name w:val="正文文本 字符1"/>
    <w:qFormat/>
    <w:uiPriority w:val="99"/>
    <w:rPr>
      <w:rFonts w:ascii="宋体" w:eastAsia="宋体"/>
      <w:b/>
      <w:bCs/>
      <w:sz w:val="84"/>
      <w:szCs w:val="84"/>
      <w:lang w:val="zh-CN"/>
    </w:rPr>
  </w:style>
  <w:style w:type="character" w:customStyle="1" w:styleId="104">
    <w:name w:val="标题 1 Char"/>
    <w:qFormat/>
    <w:uiPriority w:val="9"/>
    <w:rPr>
      <w:rFonts w:ascii="宋体" w:hAnsi="Times New Roman" w:eastAsia="宋体" w:cs="Times New Roman"/>
      <w:kern w:val="0"/>
      <w:sz w:val="24"/>
      <w:szCs w:val="24"/>
    </w:rPr>
  </w:style>
  <w:style w:type="character" w:customStyle="1" w:styleId="105">
    <w:name w:val="正文文本 Char2"/>
    <w:qFormat/>
    <w:uiPriority w:val="99"/>
    <w:rPr>
      <w:rFonts w:ascii="宋体" w:eastAsia="宋体"/>
      <w:b/>
      <w:bCs/>
      <w:sz w:val="84"/>
      <w:szCs w:val="84"/>
      <w:lang w:val="zh-CN"/>
    </w:rPr>
  </w:style>
  <w:style w:type="character" w:customStyle="1" w:styleId="106">
    <w:name w:val="纯文本 字符2"/>
    <w:link w:val="24"/>
    <w:qFormat/>
    <w:uiPriority w:val="0"/>
    <w:rPr>
      <w:rFonts w:ascii="宋体" w:hAnsi="Courier New" w:eastAsia="宋体"/>
    </w:rPr>
  </w:style>
  <w:style w:type="character" w:customStyle="1" w:styleId="107">
    <w:name w:val="正文文本缩进 2 字符"/>
    <w:link w:val="27"/>
    <w:qFormat/>
    <w:uiPriority w:val="0"/>
    <w:rPr>
      <w:rFonts w:ascii="宋体" w:hAnsi="Times New Roman" w:eastAsia="宋体" w:cs="Times New Roman"/>
      <w:szCs w:val="20"/>
    </w:rPr>
  </w:style>
  <w:style w:type="character" w:customStyle="1" w:styleId="108">
    <w:name w:val="HTML Markup"/>
    <w:qFormat/>
    <w:uiPriority w:val="0"/>
    <w:rPr>
      <w:vanish/>
      <w:color w:val="FF0000"/>
    </w:rPr>
  </w:style>
  <w:style w:type="character" w:customStyle="1" w:styleId="109">
    <w:name w:val="页眉 Char1"/>
    <w:qFormat/>
    <w:uiPriority w:val="0"/>
    <w:rPr>
      <w:rFonts w:ascii="宋体" w:hAnsi="Times New Roman" w:eastAsia="宋体" w:cs="Times New Roman"/>
      <w:kern w:val="0"/>
      <w:sz w:val="18"/>
      <w:szCs w:val="18"/>
    </w:rPr>
  </w:style>
  <w:style w:type="character" w:customStyle="1" w:styleId="110">
    <w:name w:val="font11"/>
    <w:basedOn w:val="46"/>
    <w:qFormat/>
    <w:uiPriority w:val="0"/>
    <w:rPr>
      <w:rFonts w:hint="eastAsia" w:ascii="宋体" w:hAnsi="宋体" w:eastAsia="宋体" w:cs="宋体"/>
      <w:color w:val="FF0000"/>
      <w:sz w:val="22"/>
      <w:szCs w:val="22"/>
      <w:u w:val="none"/>
    </w:rPr>
  </w:style>
  <w:style w:type="character" w:customStyle="1" w:styleId="111">
    <w:name w:val="style61"/>
    <w:qFormat/>
    <w:uiPriority w:val="0"/>
    <w:rPr>
      <w:b/>
      <w:bCs/>
    </w:rPr>
  </w:style>
  <w:style w:type="character" w:customStyle="1" w:styleId="112">
    <w:name w:val="表头文字 Char"/>
    <w:link w:val="113"/>
    <w:qFormat/>
    <w:uiPriority w:val="0"/>
    <w:rPr>
      <w:rFonts w:eastAsia="仿宋_GB2312"/>
      <w:b/>
      <w:sz w:val="28"/>
      <w:szCs w:val="21"/>
    </w:rPr>
  </w:style>
  <w:style w:type="paragraph" w:customStyle="1" w:styleId="113">
    <w:name w:val="表头文字"/>
    <w:basedOn w:val="1"/>
    <w:link w:val="112"/>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4">
    <w:name w:val="日期 字符"/>
    <w:link w:val="26"/>
    <w:qFormat/>
    <w:uiPriority w:val="99"/>
    <w:rPr>
      <w:rFonts w:ascii="宋体" w:hAnsi="Times New Roman" w:eastAsia="宋体" w:cs="Times New Roman"/>
      <w:b/>
      <w:bCs/>
      <w:szCs w:val="21"/>
      <w:lang w:val="zh-CN"/>
    </w:rPr>
  </w:style>
  <w:style w:type="character" w:customStyle="1" w:styleId="115">
    <w:name w:val="纯文本 Char1"/>
    <w:qFormat/>
    <w:uiPriority w:val="0"/>
    <w:rPr>
      <w:rFonts w:ascii="宋体" w:hAnsi="Courier New" w:eastAsia="宋体" w:cs="Courier New"/>
      <w:kern w:val="0"/>
      <w:szCs w:val="21"/>
    </w:rPr>
  </w:style>
  <w:style w:type="character" w:customStyle="1" w:styleId="116">
    <w:name w:val="批注主题 字符"/>
    <w:link w:val="41"/>
    <w:qFormat/>
    <w:uiPriority w:val="99"/>
    <w:rPr>
      <w:rFonts w:ascii="宋体" w:hAnsi="Times New Roman" w:eastAsia="宋体" w:cs="Times New Roman"/>
      <w:b/>
      <w:bCs/>
      <w:kern w:val="0"/>
      <w:sz w:val="24"/>
      <w:szCs w:val="24"/>
    </w:rPr>
  </w:style>
  <w:style w:type="character" w:customStyle="1" w:styleId="117">
    <w:name w:val="纯文本 字符"/>
    <w:qFormat/>
    <w:uiPriority w:val="99"/>
    <w:rPr>
      <w:rFonts w:ascii="宋体" w:hAnsi="Courier New" w:eastAsia="宋体" w:cs="Times New Roman"/>
      <w:szCs w:val="20"/>
      <w:lang w:val="en-US" w:eastAsia="zh-CN"/>
    </w:rPr>
  </w:style>
  <w:style w:type="character" w:customStyle="1" w:styleId="118">
    <w:name w:val="font71"/>
    <w:qFormat/>
    <w:uiPriority w:val="0"/>
    <w:rPr>
      <w:rFonts w:hint="eastAsia" w:ascii="宋体" w:hAnsi="宋体" w:eastAsia="宋体" w:cs="宋体"/>
      <w:color w:val="FF0000"/>
      <w:sz w:val="18"/>
      <w:szCs w:val="18"/>
      <w:u w:val="none"/>
    </w:rPr>
  </w:style>
  <w:style w:type="character" w:customStyle="1" w:styleId="119">
    <w:name w:val="font21"/>
    <w:qFormat/>
    <w:uiPriority w:val="0"/>
    <w:rPr>
      <w:rFonts w:hint="eastAsia" w:ascii="宋体" w:hAnsi="宋体" w:eastAsia="宋体" w:cs="宋体"/>
      <w:b/>
      <w:color w:val="000000"/>
      <w:sz w:val="21"/>
      <w:szCs w:val="21"/>
      <w:u w:val="none"/>
    </w:rPr>
  </w:style>
  <w:style w:type="character" w:customStyle="1" w:styleId="120">
    <w:name w:val="纯文本 字符3"/>
    <w:semiHidden/>
    <w:qFormat/>
    <w:uiPriority w:val="99"/>
    <w:rPr>
      <w:rFonts w:ascii="等线" w:hAnsi="Courier New" w:cs="Courier New"/>
      <w:kern w:val="0"/>
      <w:sz w:val="24"/>
      <w:szCs w:val="24"/>
    </w:rPr>
  </w:style>
  <w:style w:type="character" w:customStyle="1" w:styleId="121">
    <w:name w:val="font31"/>
    <w:basedOn w:val="46"/>
    <w:qFormat/>
    <w:uiPriority w:val="0"/>
    <w:rPr>
      <w:rFonts w:hint="eastAsia" w:ascii="宋体" w:hAnsi="宋体" w:eastAsia="宋体" w:cs="宋体"/>
      <w:color w:val="000000"/>
      <w:sz w:val="18"/>
      <w:szCs w:val="18"/>
      <w:u w:val="none"/>
    </w:rPr>
  </w:style>
  <w:style w:type="character" w:customStyle="1" w:styleId="122">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123">
    <w:name w:val="普通(网站) 字符1"/>
    <w:qFormat/>
    <w:locked/>
    <w:uiPriority w:val="0"/>
    <w:rPr>
      <w:rFonts w:ascii="宋体" w:hAnsi="宋体"/>
      <w:sz w:val="15"/>
      <w:szCs w:val="15"/>
    </w:rPr>
  </w:style>
  <w:style w:type="character" w:customStyle="1" w:styleId="124">
    <w:name w:val="正文文本 字符2"/>
    <w:link w:val="19"/>
    <w:qFormat/>
    <w:uiPriority w:val="99"/>
    <w:rPr>
      <w:rFonts w:ascii="宋体" w:eastAsia="宋体"/>
      <w:b/>
      <w:bCs/>
      <w:sz w:val="84"/>
      <w:szCs w:val="84"/>
      <w:lang w:val="zh-CN"/>
    </w:rPr>
  </w:style>
  <w:style w:type="character" w:customStyle="1" w:styleId="125">
    <w:name w:val="标题 5 Char"/>
    <w:semiHidden/>
    <w:qFormat/>
    <w:uiPriority w:val="9"/>
    <w:rPr>
      <w:b/>
      <w:bCs/>
      <w:kern w:val="2"/>
      <w:sz w:val="28"/>
      <w:szCs w:val="28"/>
    </w:rPr>
  </w:style>
  <w:style w:type="character" w:customStyle="1" w:styleId="126">
    <w:name w:val="页眉 字符"/>
    <w:link w:val="30"/>
    <w:qFormat/>
    <w:uiPriority w:val="99"/>
    <w:rPr>
      <w:rFonts w:ascii="宋体" w:eastAsia="宋体"/>
      <w:sz w:val="18"/>
      <w:szCs w:val="18"/>
    </w:rPr>
  </w:style>
  <w:style w:type="character" w:customStyle="1" w:styleId="127">
    <w:name w:val="表格文字 Char"/>
    <w:link w:val="128"/>
    <w:qFormat/>
    <w:uiPriority w:val="0"/>
    <w:rPr>
      <w:rFonts w:eastAsia="仿宋_GB2312"/>
      <w:sz w:val="28"/>
      <w:szCs w:val="24"/>
    </w:rPr>
  </w:style>
  <w:style w:type="paragraph" w:customStyle="1" w:styleId="128">
    <w:name w:val="表格文字"/>
    <w:basedOn w:val="1"/>
    <w:link w:val="127"/>
    <w:qFormat/>
    <w:uiPriority w:val="0"/>
    <w:rPr>
      <w:rFonts w:eastAsia="仿宋_GB2312"/>
      <w:sz w:val="28"/>
      <w:szCs w:val="24"/>
    </w:rPr>
  </w:style>
  <w:style w:type="character" w:customStyle="1" w:styleId="129">
    <w:name w:val="标题 字符2"/>
    <w:qFormat/>
    <w:uiPriority w:val="10"/>
    <w:rPr>
      <w:rFonts w:ascii="等线 Light" w:hAnsi="等线 Light" w:eastAsia="等线 Light" w:cs="Times New Roman"/>
      <w:b/>
      <w:bCs/>
      <w:kern w:val="0"/>
      <w:sz w:val="32"/>
      <w:szCs w:val="32"/>
    </w:rPr>
  </w:style>
  <w:style w:type="character" w:customStyle="1" w:styleId="130">
    <w:name w:val="正文缩进2格 Char Char"/>
    <w:qFormat/>
    <w:uiPriority w:val="0"/>
    <w:rPr>
      <w:rFonts w:ascii="仿宋_GB2312" w:hAnsi="宋体" w:eastAsia="仿宋_GB2312"/>
      <w:kern w:val="2"/>
      <w:sz w:val="31"/>
      <w:szCs w:val="28"/>
      <w:lang w:val="en-US" w:eastAsia="zh-CN" w:bidi="ar-SA"/>
    </w:rPr>
  </w:style>
  <w:style w:type="character" w:customStyle="1" w:styleId="131">
    <w:name w:val="小 Char"/>
    <w:qFormat/>
    <w:uiPriority w:val="0"/>
    <w:rPr>
      <w:rFonts w:ascii="宋体" w:hAnsi="Courier New" w:eastAsia="宋体"/>
      <w:kern w:val="2"/>
      <w:sz w:val="21"/>
      <w:lang w:val="en-US" w:eastAsia="zh-CN" w:bidi="ar-SA"/>
    </w:rPr>
  </w:style>
  <w:style w:type="character" w:customStyle="1" w:styleId="132">
    <w:name w:val="themebody1"/>
    <w:qFormat/>
    <w:uiPriority w:val="0"/>
    <w:rPr>
      <w:color w:val="FFFFFF"/>
    </w:rPr>
  </w:style>
  <w:style w:type="character" w:customStyle="1" w:styleId="133">
    <w:name w:val="页脚 字符1"/>
    <w:semiHidden/>
    <w:qFormat/>
    <w:uiPriority w:val="99"/>
    <w:rPr>
      <w:rFonts w:ascii="宋体" w:hAnsi="Calibri" w:eastAsia="宋体" w:cs="Times New Roman"/>
      <w:kern w:val="0"/>
      <w:sz w:val="18"/>
      <w:szCs w:val="18"/>
    </w:rPr>
  </w:style>
  <w:style w:type="character" w:customStyle="1" w:styleId="134">
    <w:name w:val="列出段落 字符"/>
    <w:link w:val="135"/>
    <w:qFormat/>
    <w:uiPriority w:val="34"/>
    <w:rPr>
      <w:kern w:val="2"/>
      <w:sz w:val="21"/>
      <w:szCs w:val="22"/>
    </w:rPr>
  </w:style>
  <w:style w:type="paragraph" w:styleId="135">
    <w:name w:val="List Paragraph"/>
    <w:basedOn w:val="1"/>
    <w:link w:val="134"/>
    <w:qFormat/>
    <w:uiPriority w:val="34"/>
    <w:pPr>
      <w:ind w:firstLine="420" w:firstLineChars="200"/>
    </w:pPr>
  </w:style>
  <w:style w:type="character" w:customStyle="1" w:styleId="136">
    <w:name w:val="正文文本 Char"/>
    <w:qFormat/>
    <w:uiPriority w:val="99"/>
    <w:rPr>
      <w:rFonts w:ascii="宋体" w:eastAsia="宋体"/>
      <w:b/>
      <w:bCs/>
      <w:sz w:val="84"/>
      <w:szCs w:val="84"/>
      <w:lang w:val="zh-CN"/>
    </w:rPr>
  </w:style>
  <w:style w:type="character" w:customStyle="1" w:styleId="137">
    <w:name w:val="页眉 字符1"/>
    <w:semiHidden/>
    <w:qFormat/>
    <w:uiPriority w:val="99"/>
    <w:rPr>
      <w:rFonts w:ascii="宋体" w:hAnsi="Calibri" w:eastAsia="宋体" w:cs="Times New Roman"/>
      <w:kern w:val="0"/>
      <w:sz w:val="18"/>
      <w:szCs w:val="18"/>
    </w:rPr>
  </w:style>
  <w:style w:type="character" w:customStyle="1" w:styleId="138">
    <w:name w:val="标题 5 字符1"/>
    <w:link w:val="6"/>
    <w:qFormat/>
    <w:uiPriority w:val="9"/>
    <w:rPr>
      <w:rFonts w:ascii="宋体" w:hAnsi="Calibri" w:eastAsia="宋体" w:cs="Times New Roman"/>
      <w:b/>
      <w:bCs/>
      <w:kern w:val="0"/>
      <w:sz w:val="28"/>
      <w:szCs w:val="28"/>
    </w:rPr>
  </w:style>
  <w:style w:type="character" w:customStyle="1" w:styleId="139">
    <w:name w:val="keyfeatures1"/>
    <w:qFormat/>
    <w:uiPriority w:val="0"/>
    <w:rPr>
      <w:rFonts w:hint="default" w:ascii="Arial" w:hAnsi="Arial" w:cs="Arial"/>
      <w:color w:val="003366"/>
      <w:sz w:val="17"/>
      <w:szCs w:val="17"/>
      <w:u w:val="none"/>
    </w:rPr>
  </w:style>
  <w:style w:type="character" w:customStyle="1" w:styleId="140">
    <w:name w:val="题注 字符"/>
    <w:qFormat/>
    <w:uiPriority w:val="0"/>
    <w:rPr>
      <w:rFonts w:ascii="宋体" w:hAnsi="宋体" w:eastAsia="黑体" w:cs="Times New Roman"/>
      <w:b/>
      <w:szCs w:val="21"/>
    </w:rPr>
  </w:style>
  <w:style w:type="character" w:customStyle="1" w:styleId="141">
    <w:name w:val="标题 4 Char"/>
    <w:qFormat/>
    <w:uiPriority w:val="0"/>
    <w:rPr>
      <w:rFonts w:ascii="宋体" w:hAnsi="宋体" w:eastAsia="宋体"/>
      <w:b/>
      <w:kern w:val="2"/>
      <w:sz w:val="21"/>
      <w:szCs w:val="24"/>
      <w:lang w:val="en-US" w:eastAsia="zh-CN" w:bidi="ar-SA"/>
    </w:rPr>
  </w:style>
  <w:style w:type="character" w:customStyle="1" w:styleId="142">
    <w:name w:val="批注文字 字符3"/>
    <w:semiHidden/>
    <w:qFormat/>
    <w:uiPriority w:val="99"/>
    <w:rPr>
      <w:rFonts w:ascii="宋体" w:hAnsi="Calibri" w:eastAsia="宋体" w:cs="Times New Roman"/>
      <w:kern w:val="0"/>
      <w:sz w:val="24"/>
      <w:szCs w:val="24"/>
    </w:rPr>
  </w:style>
  <w:style w:type="character" w:customStyle="1" w:styleId="143">
    <w:name w:val="纯文本 字符1"/>
    <w:qFormat/>
    <w:uiPriority w:val="0"/>
    <w:rPr>
      <w:rFonts w:ascii="宋体" w:hAnsi="Courier New" w:eastAsia="宋体"/>
      <w:kern w:val="2"/>
      <w:sz w:val="21"/>
      <w:szCs w:val="24"/>
      <w:lang w:val="en-US" w:eastAsia="zh-CN" w:bidi="ar-SA"/>
    </w:rPr>
  </w:style>
  <w:style w:type="character" w:customStyle="1" w:styleId="144">
    <w:name w:val="列出段落 Char1"/>
    <w:qFormat/>
    <w:uiPriority w:val="34"/>
    <w:rPr>
      <w:rFonts w:ascii="宋体"/>
      <w:sz w:val="24"/>
      <w:szCs w:val="24"/>
    </w:rPr>
  </w:style>
  <w:style w:type="character" w:customStyle="1" w:styleId="145">
    <w:name w:val="彩色列表 - 着色 1 字符"/>
    <w:link w:val="146"/>
    <w:qFormat/>
    <w:uiPriority w:val="0"/>
    <w:rPr>
      <w:rFonts w:ascii="Calibri" w:hAnsi="Calibri"/>
    </w:rPr>
  </w:style>
  <w:style w:type="paragraph" w:customStyle="1" w:styleId="146">
    <w:name w:val="彩色列表 - 着色 11"/>
    <w:basedOn w:val="1"/>
    <w:link w:val="145"/>
    <w:qFormat/>
    <w:uiPriority w:val="0"/>
    <w:pPr>
      <w:ind w:firstLine="420" w:firstLineChars="200"/>
    </w:pPr>
    <w:rPr>
      <w:rFonts w:ascii="Calibri" w:hAnsi="Calibri"/>
    </w:rPr>
  </w:style>
  <w:style w:type="character" w:customStyle="1" w:styleId="147">
    <w:name w:val="纯文本 Char"/>
    <w:qFormat/>
    <w:uiPriority w:val="0"/>
    <w:rPr>
      <w:rFonts w:ascii="宋体" w:hAnsi="Courier New" w:eastAsia="宋体" w:cs="Times New Roman"/>
      <w:szCs w:val="20"/>
    </w:rPr>
  </w:style>
  <w:style w:type="character" w:customStyle="1" w:styleId="148">
    <w:name w:val="标题 6 字符1"/>
    <w:link w:val="7"/>
    <w:qFormat/>
    <w:uiPriority w:val="9"/>
    <w:rPr>
      <w:rFonts w:ascii="Times New Roman" w:hAnsi="Calibri" w:eastAsia="黑体" w:cs="Times New Roman"/>
      <w:b/>
      <w:bCs/>
      <w:kern w:val="0"/>
      <w:sz w:val="28"/>
      <w:szCs w:val="24"/>
    </w:rPr>
  </w:style>
  <w:style w:type="character" w:customStyle="1" w:styleId="149">
    <w:name w:val="正文文本 2 字符"/>
    <w:link w:val="20"/>
    <w:qFormat/>
    <w:uiPriority w:val="0"/>
    <w:rPr>
      <w:rFonts w:ascii="Arial" w:hAnsi="Arial" w:eastAsia="宋体" w:cs="Times New Roman"/>
      <w:color w:val="000000"/>
      <w:szCs w:val="24"/>
    </w:rPr>
  </w:style>
  <w:style w:type="character" w:customStyle="1" w:styleId="150">
    <w:name w:val="标题 3 字符1"/>
    <w:link w:val="4"/>
    <w:qFormat/>
    <w:uiPriority w:val="0"/>
    <w:rPr>
      <w:rFonts w:ascii="宋体" w:hAnsi="Calibri" w:eastAsia="宋体" w:cs="Times New Roman"/>
      <w:kern w:val="0"/>
      <w:sz w:val="24"/>
      <w:szCs w:val="24"/>
    </w:rPr>
  </w:style>
  <w:style w:type="character" w:customStyle="1" w:styleId="151">
    <w:name w:val="正文文本缩进 2 字符1"/>
    <w:semiHidden/>
    <w:qFormat/>
    <w:uiPriority w:val="99"/>
    <w:rPr>
      <w:rFonts w:ascii="宋体" w:hAnsi="Calibri" w:eastAsia="宋体" w:cs="Times New Roman"/>
      <w:kern w:val="0"/>
      <w:sz w:val="24"/>
      <w:szCs w:val="24"/>
    </w:rPr>
  </w:style>
  <w:style w:type="character" w:customStyle="1" w:styleId="152">
    <w:name w:val="正文文本缩进 3 字符1"/>
    <w:semiHidden/>
    <w:qFormat/>
    <w:uiPriority w:val="99"/>
    <w:rPr>
      <w:rFonts w:ascii="宋体" w:hAnsi="Calibri" w:eastAsia="宋体" w:cs="Times New Roman"/>
      <w:kern w:val="0"/>
      <w:sz w:val="16"/>
      <w:szCs w:val="16"/>
    </w:rPr>
  </w:style>
  <w:style w:type="character" w:customStyle="1" w:styleId="153">
    <w:name w:val="正文文本 2 字符1"/>
    <w:semiHidden/>
    <w:qFormat/>
    <w:uiPriority w:val="99"/>
    <w:rPr>
      <w:rFonts w:ascii="宋体" w:hAnsi="Calibri" w:eastAsia="宋体" w:cs="Times New Roman"/>
      <w:kern w:val="0"/>
      <w:sz w:val="24"/>
      <w:szCs w:val="24"/>
    </w:rPr>
  </w:style>
  <w:style w:type="character" w:customStyle="1" w:styleId="154">
    <w:name w:val="eschoolnr"/>
    <w:qFormat/>
    <w:uiPriority w:val="0"/>
    <w:rPr>
      <w:sz w:val="23"/>
      <w:szCs w:val="23"/>
    </w:rPr>
  </w:style>
  <w:style w:type="character" w:customStyle="1" w:styleId="155">
    <w:name w:val="访问过的超链接1"/>
    <w:qFormat/>
    <w:uiPriority w:val="0"/>
    <w:rPr>
      <w:rFonts w:ascii="Arial" w:hAnsi="Arial" w:cs="Arial"/>
      <w:color w:val="000000"/>
      <w:sz w:val="20"/>
      <w:szCs w:val="20"/>
      <w:u w:val="none"/>
    </w:rPr>
  </w:style>
  <w:style w:type="character" w:customStyle="1" w:styleId="156">
    <w:name w:val="标题 1 字符1"/>
    <w:link w:val="2"/>
    <w:qFormat/>
    <w:uiPriority w:val="0"/>
    <w:rPr>
      <w:rFonts w:ascii="宋体" w:hAnsi="Calibri" w:eastAsia="宋体" w:cs="Times New Roman"/>
      <w:kern w:val="0"/>
      <w:sz w:val="24"/>
      <w:szCs w:val="24"/>
    </w:rPr>
  </w:style>
  <w:style w:type="character" w:customStyle="1" w:styleId="157">
    <w:name w:val="批注文字 Char1"/>
    <w:qFormat/>
    <w:uiPriority w:val="0"/>
    <w:rPr>
      <w:kern w:val="2"/>
      <w:sz w:val="21"/>
      <w:szCs w:val="24"/>
    </w:rPr>
  </w:style>
  <w:style w:type="character" w:customStyle="1" w:styleId="158">
    <w:name w:val="批注框文本 Char"/>
    <w:semiHidden/>
    <w:qFormat/>
    <w:uiPriority w:val="99"/>
    <w:rPr>
      <w:kern w:val="2"/>
      <w:sz w:val="18"/>
      <w:szCs w:val="18"/>
    </w:rPr>
  </w:style>
  <w:style w:type="character" w:customStyle="1" w:styleId="159">
    <w:name w:val="DAS正文 Char"/>
    <w:qFormat/>
    <w:uiPriority w:val="0"/>
    <w:rPr>
      <w:rFonts w:ascii="Verdana" w:hAnsi="Verdana" w:eastAsia="宋体"/>
      <w:kern w:val="2"/>
      <w:sz w:val="21"/>
      <w:szCs w:val="21"/>
      <w:lang w:val="en-US" w:eastAsia="zh-CN" w:bidi="ar-SA"/>
    </w:rPr>
  </w:style>
  <w:style w:type="character" w:customStyle="1" w:styleId="160">
    <w:name w:val="正文文本缩进 3 字符"/>
    <w:link w:val="35"/>
    <w:qFormat/>
    <w:uiPriority w:val="0"/>
    <w:rPr>
      <w:rFonts w:ascii="宋体" w:hAnsi="Times New Roman" w:eastAsia="宋体" w:cs="Times New Roman"/>
      <w:kern w:val="0"/>
      <w:sz w:val="24"/>
      <w:szCs w:val="24"/>
    </w:rPr>
  </w:style>
  <w:style w:type="character" w:customStyle="1" w:styleId="161">
    <w:name w:val="页眉 Char"/>
    <w:qFormat/>
    <w:uiPriority w:val="99"/>
    <w:rPr>
      <w:kern w:val="2"/>
      <w:sz w:val="18"/>
      <w:szCs w:val="18"/>
    </w:rPr>
  </w:style>
  <w:style w:type="character" w:customStyle="1" w:styleId="162">
    <w:name w:val="正文文本 3 字符"/>
    <w:link w:val="18"/>
    <w:qFormat/>
    <w:uiPriority w:val="0"/>
    <w:rPr>
      <w:rFonts w:ascii="宋体" w:hAnsi="Times New Roman" w:eastAsia="宋体" w:cs="Times New Roman"/>
      <w:b/>
      <w:bCs/>
      <w:color w:val="3366FF"/>
      <w:sz w:val="52"/>
      <w:szCs w:val="52"/>
      <w:lang w:val="zh-CN"/>
    </w:rPr>
  </w:style>
  <w:style w:type="character" w:customStyle="1" w:styleId="163">
    <w:name w:val="HTML 预设格式 字符1"/>
    <w:semiHidden/>
    <w:qFormat/>
    <w:uiPriority w:val="99"/>
    <w:rPr>
      <w:rFonts w:ascii="Courier New" w:hAnsi="Courier New" w:eastAsia="宋体" w:cs="Courier New"/>
      <w:kern w:val="0"/>
      <w:sz w:val="20"/>
      <w:szCs w:val="20"/>
    </w:rPr>
  </w:style>
  <w:style w:type="character" w:customStyle="1" w:styleId="164">
    <w:name w:val="彩色列表 - 强调文字颜色 1 Char"/>
    <w:link w:val="165"/>
    <w:qFormat/>
    <w:uiPriority w:val="0"/>
    <w:rPr>
      <w:rFonts w:ascii="宋体"/>
      <w:sz w:val="24"/>
      <w:szCs w:val="24"/>
    </w:rPr>
  </w:style>
  <w:style w:type="paragraph" w:customStyle="1" w:styleId="165">
    <w:name w:val="彩色列表 - 强调文字颜色 11"/>
    <w:basedOn w:val="1"/>
    <w:link w:val="164"/>
    <w:qFormat/>
    <w:uiPriority w:val="0"/>
    <w:pPr>
      <w:autoSpaceDE w:val="0"/>
      <w:autoSpaceDN w:val="0"/>
      <w:adjustRightInd w:val="0"/>
      <w:ind w:firstLine="420" w:firstLineChars="200"/>
      <w:jc w:val="left"/>
    </w:pPr>
    <w:rPr>
      <w:rFonts w:ascii="宋体"/>
      <w:sz w:val="24"/>
      <w:szCs w:val="24"/>
    </w:rPr>
  </w:style>
  <w:style w:type="character" w:customStyle="1" w:styleId="166">
    <w:name w:val="普通(网站) 字符"/>
    <w:qFormat/>
    <w:locked/>
    <w:uiPriority w:val="99"/>
    <w:rPr>
      <w:rFonts w:ascii="宋体" w:hAnsi="宋体" w:eastAsia="宋体" w:cs="Times New Roman"/>
      <w:kern w:val="0"/>
      <w:sz w:val="15"/>
      <w:szCs w:val="15"/>
      <w:lang w:val="en-US" w:eastAsia="zh-CN"/>
    </w:rPr>
  </w:style>
  <w:style w:type="paragraph" w:customStyle="1" w:styleId="167">
    <w:name w:val="_Style 123"/>
    <w:basedOn w:val="1"/>
    <w:next w:val="135"/>
    <w:qFormat/>
    <w:uiPriority w:val="34"/>
    <w:pPr>
      <w:spacing w:line="360" w:lineRule="auto"/>
      <w:ind w:firstLine="420" w:firstLineChars="200"/>
    </w:pPr>
    <w:rPr>
      <w:rFonts w:ascii="Calibri" w:hAnsi="Calibri" w:eastAsia="宋体" w:cs="Times New Roman"/>
    </w:rPr>
  </w:style>
  <w:style w:type="character" w:customStyle="1" w:styleId="168">
    <w:name w:val="纯文本 字符4"/>
    <w:basedOn w:val="46"/>
    <w:semiHidden/>
    <w:qFormat/>
    <w:uiPriority w:val="99"/>
    <w:rPr>
      <w:rFonts w:hAnsi="Courier New" w:cs="Courier New" w:asciiTheme="minorEastAsia"/>
    </w:rPr>
  </w:style>
  <w:style w:type="character" w:customStyle="1" w:styleId="169">
    <w:name w:val="批注文字 字符4"/>
    <w:basedOn w:val="46"/>
    <w:link w:val="17"/>
    <w:semiHidden/>
    <w:qFormat/>
    <w:uiPriority w:val="99"/>
  </w:style>
  <w:style w:type="character" w:customStyle="1" w:styleId="170">
    <w:name w:val="批注主题 字符2"/>
    <w:basedOn w:val="169"/>
    <w:semiHidden/>
    <w:qFormat/>
    <w:uiPriority w:val="99"/>
    <w:rPr>
      <w:b/>
      <w:bCs/>
    </w:rPr>
  </w:style>
  <w:style w:type="character" w:customStyle="1" w:styleId="171">
    <w:name w:val="标题 字符3"/>
    <w:basedOn w:val="46"/>
    <w:qFormat/>
    <w:uiPriority w:val="10"/>
    <w:rPr>
      <w:rFonts w:asciiTheme="majorHAnsi" w:hAnsiTheme="majorHAnsi" w:eastAsiaTheme="majorEastAsia" w:cstheme="majorBidi"/>
      <w:b/>
      <w:bCs/>
      <w:sz w:val="32"/>
      <w:szCs w:val="32"/>
    </w:rPr>
  </w:style>
  <w:style w:type="character" w:customStyle="1" w:styleId="172">
    <w:name w:val="正文文本缩进 字符3"/>
    <w:basedOn w:val="46"/>
    <w:semiHidden/>
    <w:qFormat/>
    <w:uiPriority w:val="99"/>
  </w:style>
  <w:style w:type="character" w:customStyle="1" w:styleId="173">
    <w:name w:val="正文文本 字符4"/>
    <w:basedOn w:val="46"/>
    <w:semiHidden/>
    <w:qFormat/>
    <w:uiPriority w:val="99"/>
  </w:style>
  <w:style w:type="character" w:customStyle="1" w:styleId="174">
    <w:name w:val="正文文本缩进 3 字符2"/>
    <w:basedOn w:val="46"/>
    <w:semiHidden/>
    <w:qFormat/>
    <w:uiPriority w:val="99"/>
    <w:rPr>
      <w:sz w:val="16"/>
      <w:szCs w:val="16"/>
    </w:rPr>
  </w:style>
  <w:style w:type="character" w:customStyle="1" w:styleId="175">
    <w:name w:val="页眉 字符2"/>
    <w:basedOn w:val="46"/>
    <w:semiHidden/>
    <w:qFormat/>
    <w:uiPriority w:val="99"/>
    <w:rPr>
      <w:sz w:val="18"/>
      <w:szCs w:val="18"/>
    </w:rPr>
  </w:style>
  <w:style w:type="character" w:customStyle="1" w:styleId="176">
    <w:name w:val="批注框文本 字符2"/>
    <w:basedOn w:val="46"/>
    <w:semiHidden/>
    <w:qFormat/>
    <w:uiPriority w:val="99"/>
    <w:rPr>
      <w:sz w:val="18"/>
      <w:szCs w:val="18"/>
    </w:rPr>
  </w:style>
  <w:style w:type="character" w:customStyle="1" w:styleId="177">
    <w:name w:val="HTML 预设格式 字符2"/>
    <w:basedOn w:val="46"/>
    <w:semiHidden/>
    <w:qFormat/>
    <w:uiPriority w:val="99"/>
    <w:rPr>
      <w:rFonts w:ascii="Courier New" w:hAnsi="Courier New" w:cs="Courier New"/>
      <w:sz w:val="20"/>
      <w:szCs w:val="20"/>
    </w:rPr>
  </w:style>
  <w:style w:type="character" w:customStyle="1" w:styleId="178">
    <w:name w:val="页脚 字符2"/>
    <w:basedOn w:val="46"/>
    <w:semiHidden/>
    <w:qFormat/>
    <w:uiPriority w:val="99"/>
    <w:rPr>
      <w:sz w:val="18"/>
      <w:szCs w:val="18"/>
    </w:rPr>
  </w:style>
  <w:style w:type="character" w:customStyle="1" w:styleId="179">
    <w:name w:val="正文文本缩进 2 字符2"/>
    <w:basedOn w:val="46"/>
    <w:semiHidden/>
    <w:qFormat/>
    <w:uiPriority w:val="99"/>
  </w:style>
  <w:style w:type="character" w:customStyle="1" w:styleId="180">
    <w:name w:val="正文文本 3 字符2"/>
    <w:basedOn w:val="46"/>
    <w:semiHidden/>
    <w:qFormat/>
    <w:uiPriority w:val="99"/>
    <w:rPr>
      <w:sz w:val="16"/>
      <w:szCs w:val="16"/>
    </w:rPr>
  </w:style>
  <w:style w:type="character" w:customStyle="1" w:styleId="181">
    <w:name w:val="正文文本 2 字符2"/>
    <w:basedOn w:val="46"/>
    <w:semiHidden/>
    <w:qFormat/>
    <w:uiPriority w:val="99"/>
  </w:style>
  <w:style w:type="paragraph" w:customStyle="1" w:styleId="182">
    <w:name w:val="WPSOffice手动目录 3"/>
    <w:qFormat/>
    <w:uiPriority w:val="0"/>
    <w:pPr>
      <w:ind w:left="400" w:leftChars="400"/>
    </w:pPr>
    <w:rPr>
      <w:rFonts w:ascii="Calibri" w:hAnsi="Calibri" w:eastAsia="宋体" w:cs="Times New Roman"/>
      <w:lang w:val="en-US" w:eastAsia="zh-CN" w:bidi="ar-SA"/>
    </w:rPr>
  </w:style>
  <w:style w:type="paragraph" w:customStyle="1" w:styleId="183">
    <w:name w:val="列表段落1"/>
    <w:basedOn w:val="1"/>
    <w:qFormat/>
    <w:uiPriority w:val="0"/>
    <w:pPr>
      <w:ind w:firstLine="420" w:firstLineChars="200"/>
    </w:pPr>
    <w:rPr>
      <w:rFonts w:ascii="Times New Roman" w:hAnsi="Times New Roman" w:eastAsia="宋体" w:cs="Times New Roman"/>
      <w:szCs w:val="20"/>
    </w:rPr>
  </w:style>
  <w:style w:type="character" w:customStyle="1" w:styleId="184">
    <w:name w:val="文档结构图 字符2"/>
    <w:basedOn w:val="46"/>
    <w:semiHidden/>
    <w:qFormat/>
    <w:uiPriority w:val="99"/>
    <w:rPr>
      <w:rFonts w:ascii="Microsoft YaHei UI" w:eastAsia="Microsoft YaHei UI"/>
      <w:sz w:val="18"/>
      <w:szCs w:val="18"/>
    </w:rPr>
  </w:style>
  <w:style w:type="character" w:customStyle="1" w:styleId="185">
    <w:name w:val="日期 字符2"/>
    <w:basedOn w:val="46"/>
    <w:semiHidden/>
    <w:qFormat/>
    <w:uiPriority w:val="99"/>
  </w:style>
  <w:style w:type="paragraph" w:customStyle="1" w:styleId="186">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7">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8">
    <w:name w:val="修订1"/>
    <w:semiHidden/>
    <w:qFormat/>
    <w:uiPriority w:val="99"/>
    <w:rPr>
      <w:rFonts w:ascii="宋体" w:hAnsi="Calibri" w:eastAsia="宋体" w:cs="Times New Roman"/>
      <w:sz w:val="24"/>
      <w:szCs w:val="24"/>
      <w:lang w:val="en-US" w:eastAsia="zh-CN" w:bidi="ar-SA"/>
    </w:rPr>
  </w:style>
  <w:style w:type="paragraph" w:customStyle="1" w:styleId="189">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1">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2">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3">
    <w:name w:val="p0"/>
    <w:basedOn w:val="1"/>
    <w:qFormat/>
    <w:uiPriority w:val="0"/>
    <w:pPr>
      <w:widowControl/>
    </w:pPr>
    <w:rPr>
      <w:rFonts w:ascii="Times New Roman" w:hAnsi="Calibri" w:eastAsia="宋体" w:cs="Times New Roman"/>
      <w:kern w:val="0"/>
      <w:szCs w:val="20"/>
    </w:rPr>
  </w:style>
  <w:style w:type="paragraph" w:customStyle="1" w:styleId="194">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6">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WPSOffice手动目录 1"/>
    <w:qFormat/>
    <w:uiPriority w:val="0"/>
    <w:rPr>
      <w:rFonts w:ascii="Calibri" w:hAnsi="Calibri" w:eastAsia="宋体" w:cs="Times New Roman"/>
      <w:lang w:val="en-US" w:eastAsia="zh-CN" w:bidi="ar-SA"/>
    </w:rPr>
  </w:style>
  <w:style w:type="paragraph" w:customStyle="1" w:styleId="198">
    <w:name w:val="_Style 69"/>
    <w:basedOn w:val="1"/>
    <w:next w:val="135"/>
    <w:qFormat/>
    <w:uiPriority w:val="34"/>
    <w:pPr>
      <w:spacing w:line="360" w:lineRule="auto"/>
      <w:ind w:firstLine="420" w:firstLineChars="200"/>
    </w:pPr>
    <w:rPr>
      <w:rFonts w:ascii="Calibri" w:hAnsi="Calibri" w:eastAsia="宋体" w:cs="Times New Roman"/>
    </w:rPr>
  </w:style>
  <w:style w:type="paragraph" w:customStyle="1" w:styleId="19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0">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1">
    <w:name w:val="彩色底纹 - 着色 11"/>
    <w:semiHidden/>
    <w:qFormat/>
    <w:uiPriority w:val="99"/>
    <w:rPr>
      <w:rFonts w:ascii="宋体" w:hAnsi="Calibri" w:eastAsia="宋体" w:cs="Times New Roman"/>
      <w:sz w:val="24"/>
      <w:szCs w:val="24"/>
      <w:lang w:val="en-US" w:eastAsia="zh-CN" w:bidi="ar-SA"/>
    </w:rPr>
  </w:style>
  <w:style w:type="paragraph" w:customStyle="1" w:styleId="202">
    <w:name w:val="WPSOffice手动目录 2"/>
    <w:qFormat/>
    <w:uiPriority w:val="0"/>
    <w:pPr>
      <w:ind w:left="200" w:leftChars="200"/>
    </w:pPr>
    <w:rPr>
      <w:rFonts w:ascii="Calibri" w:hAnsi="Calibri" w:eastAsia="宋体" w:cs="Times New Roman"/>
      <w:lang w:val="en-US" w:eastAsia="zh-CN" w:bidi="ar-SA"/>
    </w:rPr>
  </w:style>
  <w:style w:type="paragraph" w:customStyle="1" w:styleId="203">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4">
    <w:name w:val="表格文字居中"/>
    <w:basedOn w:val="128"/>
    <w:qFormat/>
    <w:uiPriority w:val="0"/>
    <w:pPr>
      <w:jc w:val="center"/>
    </w:pPr>
    <w:rPr>
      <w:rFonts w:cs="宋体"/>
      <w:szCs w:val="20"/>
    </w:rPr>
  </w:style>
  <w:style w:type="paragraph" w:customStyle="1" w:styleId="205">
    <w:name w:val="正文缩进4格"/>
    <w:basedOn w:val="69"/>
    <w:qFormat/>
    <w:uiPriority w:val="0"/>
    <w:pPr>
      <w:spacing w:line="360" w:lineRule="auto"/>
      <w:ind w:left="964" w:leftChars="314" w:hanging="210" w:hangingChars="100"/>
    </w:pPr>
    <w:rPr>
      <w:rFonts w:ascii="宋体" w:eastAsia="宋体"/>
      <w:sz w:val="21"/>
      <w:szCs w:val="21"/>
      <w:lang w:val="zh-CN"/>
    </w:rPr>
  </w:style>
  <w:style w:type="paragraph" w:customStyle="1" w:styleId="206">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7">
    <w:name w:val="正文首行缩进 字符"/>
    <w:basedOn w:val="124"/>
    <w:link w:val="42"/>
    <w:semiHidden/>
    <w:qFormat/>
    <w:uiPriority w:val="99"/>
    <w:rPr>
      <w:rFonts w:ascii="宋体" w:eastAsia="宋体"/>
      <w:b w:val="0"/>
      <w:bCs w:val="0"/>
      <w:sz w:val="84"/>
      <w:szCs w:val="84"/>
      <w:lang w:val="zh-CN"/>
    </w:rPr>
  </w:style>
  <w:style w:type="paragraph" w:customStyle="1" w:styleId="20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9">
    <w:name w:val="页脚 字符"/>
    <w:basedOn w:val="46"/>
    <w:link w:val="29"/>
    <w:qFormat/>
    <w:uiPriority w:val="0"/>
    <w:rPr>
      <w:kern w:val="2"/>
      <w:sz w:val="18"/>
    </w:rPr>
  </w:style>
  <w:style w:type="paragraph" w:customStyle="1" w:styleId="210">
    <w:name w:val="Table Text"/>
    <w:basedOn w:val="1"/>
    <w:link w:val="211"/>
    <w:qFormat/>
    <w:uiPriority w:val="0"/>
    <w:pPr>
      <w:topLinePunct/>
      <w:adjustRightInd w:val="0"/>
      <w:snapToGrid w:val="0"/>
      <w:spacing w:before="80" w:after="80" w:line="240" w:lineRule="atLeast"/>
      <w:jc w:val="left"/>
    </w:pPr>
    <w:rPr>
      <w:rFonts w:ascii="Times New Roman" w:hAnsi="Times New Roman" w:eastAsia="宋体" w:cs="Times New Roman"/>
      <w:kern w:val="0"/>
      <w:szCs w:val="21"/>
    </w:rPr>
  </w:style>
  <w:style w:type="character" w:customStyle="1" w:styleId="211">
    <w:name w:val="Table Text Char1"/>
    <w:basedOn w:val="46"/>
    <w:link w:val="210"/>
    <w:qFormat/>
    <w:uiPriority w:val="0"/>
    <w:rPr>
      <w:rFonts w:hint="default" w:ascii="Arial" w:hAnsi="Arial" w:cs="Arial"/>
      <w:snapToGrid/>
      <w:sz w:val="21"/>
      <w:szCs w:val="21"/>
    </w:rPr>
  </w:style>
  <w:style w:type="table" w:customStyle="1" w:styleId="212">
    <w:name w:val="Table Normal"/>
    <w:basedOn w:val="44"/>
    <w:semiHidden/>
    <w:qFormat/>
    <w:uiPriority w:val="0"/>
    <w:pPr>
      <w:widowControl w:val="0"/>
      <w:autoSpaceDE w:val="0"/>
      <w:autoSpaceDN w:val="0"/>
    </w:pPr>
    <w:rPr>
      <w:rFonts w:ascii="Calibri" w:hAnsi="Calibri" w:cs="Calibri"/>
      <w:sz w:val="22"/>
      <w:szCs w:val="22"/>
      <w:lang w:eastAsia="en-US"/>
    </w:rPr>
    <w:tblPr>
      <w:tblCellMar>
        <w:left w:w="0" w:type="dxa"/>
        <w:right w:w="0" w:type="dxa"/>
      </w:tblCellMar>
    </w:tblPr>
  </w:style>
  <w:style w:type="paragraph" w:customStyle="1" w:styleId="213">
    <w:name w:val="！正文"/>
    <w:basedOn w:val="1"/>
    <w:qFormat/>
    <w:uiPriority w:val="0"/>
    <w:pPr>
      <w:spacing w:line="360" w:lineRule="auto"/>
      <w:ind w:firstLine="624" w:firstLineChars="200"/>
    </w:pPr>
    <w:rPr>
      <w:rFonts w:ascii="Times New Roman" w:hAnsi="Times New Roman" w:eastAsia="仿宋_GB2312" w:cs="Times New Roman"/>
      <w:bCs/>
      <w:color w:val="000000"/>
      <w:sz w:val="28"/>
      <w:szCs w:val="28"/>
    </w:rPr>
  </w:style>
  <w:style w:type="paragraph" w:customStyle="1" w:styleId="214">
    <w:name w:val="列出段落2"/>
    <w:basedOn w:val="1"/>
    <w:qFormat/>
    <w:uiPriority w:val="99"/>
    <w:pPr>
      <w:ind w:firstLine="420" w:firstLineChars="200"/>
    </w:pPr>
  </w:style>
  <w:style w:type="character" w:customStyle="1" w:styleId="215">
    <w:name w:val="font51"/>
    <w:basedOn w:val="46"/>
    <w:qFormat/>
    <w:uiPriority w:val="0"/>
    <w:rPr>
      <w:rFonts w:hint="eastAsia" w:ascii="微软雅黑" w:hAnsi="微软雅黑" w:eastAsia="微软雅黑" w:cs="微软雅黑"/>
      <w:color w:val="000000"/>
      <w:sz w:val="20"/>
      <w:szCs w:val="20"/>
      <w:u w:val="none"/>
      <w:vertAlign w:val="superscript"/>
    </w:rPr>
  </w:style>
  <w:style w:type="paragraph" w:customStyle="1" w:styleId="216">
    <w:name w:val="_标准条文"/>
    <w:basedOn w:val="1"/>
    <w:qFormat/>
    <w:uiPriority w:val="0"/>
    <w:pPr>
      <w:overflowPunct w:val="0"/>
      <w:snapToGrid w:val="0"/>
      <w:spacing w:line="276" w:lineRule="auto"/>
      <w:ind w:firstLine="420" w:firstLineChars="200"/>
    </w:pPr>
    <w:rPr>
      <w:rFonts w:cs="宋体"/>
      <w:szCs w:val="20"/>
    </w:rPr>
  </w:style>
  <w:style w:type="paragraph" w:customStyle="1" w:styleId="217">
    <w:name w:val="_附录编号标题"/>
    <w:basedOn w:val="1"/>
    <w:next w:val="218"/>
    <w:qFormat/>
    <w:uiPriority w:val="0"/>
    <w:pPr>
      <w:snapToGrid w:val="0"/>
      <w:spacing w:before="567"/>
      <w:jc w:val="center"/>
    </w:pPr>
    <w:rPr>
      <w:rFonts w:eastAsia="黑体"/>
      <w:color w:val="000000"/>
    </w:rPr>
  </w:style>
  <w:style w:type="paragraph" w:customStyle="1" w:styleId="218">
    <w:name w:val="附录标题1"/>
    <w:basedOn w:val="2"/>
    <w:next w:val="219"/>
    <w:qFormat/>
    <w:uiPriority w:val="0"/>
    <w:pPr>
      <w:tabs>
        <w:tab w:val="left" w:pos="300"/>
        <w:tab w:val="left" w:pos="700"/>
      </w:tabs>
      <w:ind w:left="300" w:hanging="300"/>
    </w:pPr>
    <w:rPr>
      <w:color w:val="FFFFFF"/>
      <w:sz w:val="18"/>
    </w:rPr>
  </w:style>
  <w:style w:type="paragraph" w:customStyle="1" w:styleId="219">
    <w:name w:val="附录标题2"/>
    <w:basedOn w:val="3"/>
    <w:next w:val="42"/>
    <w:qFormat/>
    <w:uiPriority w:val="0"/>
    <w:pPr>
      <w:tabs>
        <w:tab w:val="left" w:pos="500"/>
      </w:tabs>
      <w:ind w:left="500" w:hanging="500"/>
    </w:pPr>
    <w:rPr>
      <w:rFonts w:eastAsia="黑体"/>
    </w:rPr>
  </w:style>
  <w:style w:type="paragraph" w:customStyle="1" w:styleId="220">
    <w:name w:val="样式 宋体 行距: 1.5 倍行距"/>
    <w:basedOn w:val="1"/>
    <w:qFormat/>
    <w:uiPriority w:val="0"/>
    <w:pPr>
      <w:jc w:val="center"/>
    </w:pPr>
    <w:rPr>
      <w:rFonts w:ascii="Times New Roman" w:hAnsi="Times New Roman"/>
      <w:b/>
    </w:rPr>
  </w:style>
  <w:style w:type="paragraph" w:customStyle="1" w:styleId="221">
    <w:name w:val="Body Text First Indent1"/>
    <w:qFormat/>
    <w:uiPriority w:val="0"/>
    <w:pPr>
      <w:widowControl w:val="0"/>
      <w:ind w:firstLine="420" w:firstLineChars="10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22609</Words>
  <Characters>24032</Characters>
  <Lines>1232</Lines>
  <Paragraphs>347</Paragraphs>
  <TotalTime>17</TotalTime>
  <ScaleCrop>false</ScaleCrop>
  <LinksUpToDate>false</LinksUpToDate>
  <CharactersWithSpaces>24504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建成</cp:lastModifiedBy>
  <cp:lastPrinted>2025-06-25T13:04:00Z</cp:lastPrinted>
  <dcterms:modified xsi:type="dcterms:W3CDTF">2025-07-01T06:24:05Z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3589D08084A342C9B7F485F5E93E86C0_13</vt:lpwstr>
  </property>
  <property fmtid="{D5CDD505-2E9C-101B-9397-08002B2CF9AE}" pid="4" name="KSOTemplateDocerSaveRecord">
    <vt:lpwstr>eyJoZGlkIjoiNDBjMDczNzc4NWJiMTM1NGU3ZmNlNjVkZDc5MzE0MDgiLCJ1c2VySWQiOiIzNzQxMjY2MjUifQ==</vt:lpwstr>
  </property>
</Properties>
</file>