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0693D">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52"/>
          <w:szCs w:val="52"/>
          <w:highlight w:val="none"/>
          <w:lang w:val="zh-CN"/>
        </w:rPr>
      </w:pPr>
    </w:p>
    <w:p w14:paraId="030BD2E9">
      <w:pPr>
        <w:autoSpaceDE w:val="0"/>
        <w:autoSpaceDN w:val="0"/>
        <w:adjustRightInd w:val="0"/>
        <w:spacing w:line="276" w:lineRule="auto"/>
        <w:ind w:left="357" w:leftChars="170" w:right="-23" w:rightChars="-11"/>
        <w:jc w:val="center"/>
        <w:outlineLvl w:val="0"/>
        <w:rPr>
          <w:rFonts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东莞市水务集团造价咨询服务单位库(2025-2026)采购项目</w:t>
      </w:r>
    </w:p>
    <w:p w14:paraId="7460EBF7">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14:paraId="094975E3">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6FB2D69E">
      <w:pPr>
        <w:autoSpaceDE w:val="0"/>
        <w:autoSpaceDN w:val="0"/>
        <w:adjustRightInd w:val="0"/>
        <w:ind w:right="-23" w:rightChars="-11"/>
        <w:jc w:val="center"/>
        <w:rPr>
          <w:rFonts w:ascii="宋体" w:hAnsi="宋体" w:eastAsia="宋体" w:cs="Times New Roman"/>
          <w:b/>
          <w:bCs/>
          <w:color w:val="auto"/>
          <w:sz w:val="72"/>
          <w:szCs w:val="72"/>
          <w:highlight w:val="none"/>
          <w:lang w:val="zh-CN"/>
        </w:rPr>
      </w:pPr>
    </w:p>
    <w:p w14:paraId="781EBB03">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47AB0D34">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730964F1">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7A172ABC">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7F8DA5E7">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735249F6">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号：SSRSSV12501076</w:t>
      </w:r>
    </w:p>
    <w:p w14:paraId="5117323D">
      <w:pPr>
        <w:autoSpaceDE w:val="0"/>
        <w:autoSpaceDN w:val="0"/>
        <w:adjustRightInd w:val="0"/>
        <w:spacing w:line="480" w:lineRule="auto"/>
        <w:ind w:left="1842" w:leftChars="877" w:firstLine="19" w:firstLineChars="6"/>
        <w:jc w:val="left"/>
        <w:outlineLvl w:val="0"/>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人：东莞市水务集团有限公司</w:t>
      </w:r>
    </w:p>
    <w:p w14:paraId="7DF57CB8">
      <w:pPr>
        <w:autoSpaceDE w:val="0"/>
        <w:autoSpaceDN w:val="0"/>
        <w:adjustRightInd w:val="0"/>
        <w:spacing w:line="480" w:lineRule="auto"/>
        <w:ind w:left="1842" w:leftChars="877" w:firstLine="19" w:firstLineChars="6"/>
        <w:jc w:val="left"/>
        <w:outlineLvl w:val="0"/>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招标代理机构：广东有德招标采购有限公司</w:t>
      </w:r>
    </w:p>
    <w:p w14:paraId="2DF97462">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5F63AD8A">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6CB0C85A">
      <w:pPr>
        <w:autoSpaceDE w:val="0"/>
        <w:autoSpaceDN w:val="0"/>
        <w:adjustRightInd w:val="0"/>
        <w:spacing w:line="360" w:lineRule="auto"/>
        <w:ind w:left="357" w:leftChars="170" w:right="-23" w:rightChars="-11" w:firstLine="321" w:firstLineChars="10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6</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25</w:t>
      </w:r>
      <w:r>
        <w:rPr>
          <w:rFonts w:hint="eastAsia" w:ascii="宋体" w:hAnsi="宋体" w:eastAsia="宋体" w:cs="宋体"/>
          <w:b/>
          <w:bCs/>
          <w:color w:val="auto"/>
          <w:sz w:val="32"/>
          <w:szCs w:val="32"/>
          <w:highlight w:val="none"/>
          <w:lang w:val="zh-CN"/>
        </w:rPr>
        <w:t>日</w:t>
      </w:r>
    </w:p>
    <w:p w14:paraId="079277B0">
      <w:pPr>
        <w:pageBreakBefore/>
        <w:spacing w:line="360" w:lineRule="auto"/>
        <w:jc w:val="center"/>
        <w:outlineLvl w:val="0"/>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重要提示</w:t>
      </w:r>
    </w:p>
    <w:p w14:paraId="6EB10184">
      <w:pPr>
        <w:pStyle w:val="39"/>
        <w:widowControl w:val="0"/>
        <w:spacing w:before="0" w:beforeAutospacing="0" w:after="0" w:afterAutospacing="0" w:line="360" w:lineRule="auto"/>
        <w:ind w:firstLine="480" w:firstLineChars="200"/>
        <w:jc w:val="both"/>
        <w:outlineLvl w:val="0"/>
        <w:rPr>
          <w:rFonts w:eastAsia="宋体" w:cs="宋体"/>
          <w:color w:val="auto"/>
          <w:sz w:val="24"/>
          <w:szCs w:val="24"/>
          <w:highlight w:val="none"/>
          <w:lang w:bidi="ar"/>
        </w:rPr>
      </w:pPr>
      <w:r>
        <w:rPr>
          <w:rFonts w:hint="eastAsia" w:eastAsia="宋体" w:cs="宋体"/>
          <w:color w:val="auto"/>
          <w:sz w:val="24"/>
          <w:szCs w:val="24"/>
          <w:highlight w:val="none"/>
          <w:lang w:bidi="ar"/>
        </w:rPr>
        <w:t>1. 本次招标项目采用电子标书。</w:t>
      </w:r>
    </w:p>
    <w:p w14:paraId="42AE467E">
      <w:pPr>
        <w:pStyle w:val="39"/>
        <w:widowControl w:val="0"/>
        <w:spacing w:before="0" w:beforeAutospacing="0" w:after="0" w:afterAutospacing="0" w:line="360" w:lineRule="auto"/>
        <w:ind w:firstLine="480" w:firstLineChars="200"/>
        <w:jc w:val="both"/>
        <w:rPr>
          <w:rFonts w:eastAsia="宋体" w:cs="宋体"/>
          <w:color w:val="auto"/>
          <w:sz w:val="24"/>
          <w:szCs w:val="24"/>
          <w:highlight w:val="none"/>
          <w:lang w:bidi="ar"/>
        </w:rPr>
      </w:pPr>
      <w:r>
        <w:rPr>
          <w:rFonts w:hint="eastAsia" w:eastAsia="宋体" w:cs="宋体"/>
          <w:color w:val="auto"/>
          <w:sz w:val="24"/>
          <w:szCs w:val="24"/>
          <w:highlight w:val="none"/>
          <w:lang w:bidi="ar"/>
        </w:rPr>
        <w:t>2. 投标人将被要求递交具备法律效力的电子投标文件。为此，投标人应当具备使用依法设立的电子认证服务提供者签发的电子签名认证证书对电子投标文件进行电子签名的能力。投标人可向依法设立的电子认证服务提供者申请办理电子签名认证证书（简称：数字证书，包括企业数字证书和个人数字证书）。</w:t>
      </w:r>
    </w:p>
    <w:p w14:paraId="1C9CEBB6">
      <w:pPr>
        <w:pStyle w:val="39"/>
        <w:widowControl w:val="0"/>
        <w:spacing w:before="0" w:beforeAutospacing="0" w:after="0" w:afterAutospacing="0" w:line="360" w:lineRule="auto"/>
        <w:ind w:firstLine="480" w:firstLineChars="200"/>
        <w:jc w:val="both"/>
        <w:rPr>
          <w:rFonts w:eastAsia="宋体" w:cs="宋体"/>
          <w:color w:val="auto"/>
          <w:sz w:val="24"/>
          <w:szCs w:val="24"/>
          <w:highlight w:val="none"/>
          <w:lang w:bidi="ar"/>
        </w:rPr>
      </w:pPr>
      <w:r>
        <w:rPr>
          <w:rFonts w:hint="eastAsia" w:eastAsia="宋体" w:cs="宋体"/>
          <w:color w:val="auto"/>
          <w:sz w:val="24"/>
          <w:szCs w:val="24"/>
          <w:highlight w:val="none"/>
          <w:lang w:bidi="ar"/>
        </w:rPr>
        <w:t>3. 除特别说明外，招标文件相关条款中提及的以及第六篇“投标文件格式”中包括但不限于“企业数字证书电子签名”及“电子签名”等要求签名的均指由数字证书电子签章或电子签名。</w:t>
      </w:r>
    </w:p>
    <w:p w14:paraId="6C0FE64B">
      <w:pPr>
        <w:pStyle w:val="39"/>
        <w:widowControl w:val="0"/>
        <w:spacing w:before="0" w:beforeAutospacing="0" w:after="0" w:afterAutospacing="0" w:line="360" w:lineRule="auto"/>
        <w:ind w:firstLine="480" w:firstLineChars="200"/>
        <w:jc w:val="both"/>
        <w:rPr>
          <w:rFonts w:eastAsia="宋体" w:cs="宋体"/>
          <w:color w:val="auto"/>
          <w:sz w:val="24"/>
          <w:szCs w:val="24"/>
          <w:highlight w:val="none"/>
          <w:lang w:bidi="ar"/>
        </w:rPr>
      </w:pPr>
      <w:r>
        <w:rPr>
          <w:rFonts w:hint="eastAsia" w:eastAsia="宋体" w:cs="宋体"/>
          <w:color w:val="auto"/>
          <w:sz w:val="24"/>
          <w:szCs w:val="24"/>
          <w:highlight w:val="none"/>
          <w:lang w:bidi="ar"/>
        </w:rPr>
        <w:t>4. 投标人必须使用计算机互联网络（以下简称网络）将投标文件以jjb格式上传提交至东莞市公共资源交易E网通管理平台建设工程交易系统（以下简称交易系统），并在网上签到时，关联到对应的投标项目中。</w:t>
      </w:r>
    </w:p>
    <w:p w14:paraId="3D91DEB4">
      <w:pPr>
        <w:pStyle w:val="39"/>
        <w:widowControl w:val="0"/>
        <w:spacing w:before="0" w:beforeAutospacing="0" w:after="0" w:afterAutospacing="0" w:line="360" w:lineRule="auto"/>
        <w:ind w:firstLine="480" w:firstLineChars="200"/>
        <w:jc w:val="both"/>
        <w:rPr>
          <w:rFonts w:eastAsia="宋体" w:cs="宋体"/>
          <w:color w:val="auto"/>
          <w:sz w:val="24"/>
          <w:szCs w:val="24"/>
          <w:highlight w:val="none"/>
          <w:lang w:bidi="ar"/>
        </w:rPr>
      </w:pPr>
      <w:r>
        <w:rPr>
          <w:rFonts w:hint="eastAsia" w:eastAsia="宋体" w:cs="宋体"/>
          <w:color w:val="auto"/>
          <w:sz w:val="24"/>
          <w:szCs w:val="24"/>
          <w:highlight w:val="none"/>
          <w:lang w:bidi="ar"/>
        </w:rPr>
        <w:t>5. 投标人在交易系统中对投标文件进行解密的电子</w:t>
      </w:r>
      <w:r>
        <w:rPr>
          <w:rFonts w:eastAsia="宋体" w:cs="宋体"/>
          <w:color w:val="auto"/>
          <w:sz w:val="24"/>
          <w:szCs w:val="24"/>
          <w:highlight w:val="none"/>
          <w:lang w:bidi="ar"/>
        </w:rPr>
        <w:t>签名</w:t>
      </w:r>
      <w:r>
        <w:rPr>
          <w:rFonts w:hint="eastAsia" w:eastAsia="宋体" w:cs="宋体"/>
          <w:color w:val="auto"/>
          <w:sz w:val="24"/>
          <w:szCs w:val="24"/>
          <w:highlight w:val="none"/>
          <w:lang w:bidi="ar"/>
        </w:rPr>
        <w:t>认证证书必须为机构证书或制作本项目投标文件的业务证书。</w:t>
      </w:r>
    </w:p>
    <w:p w14:paraId="34ADD22C">
      <w:pPr>
        <w:pStyle w:val="39"/>
        <w:widowControl w:val="0"/>
        <w:spacing w:before="0" w:beforeAutospacing="0" w:after="0" w:afterAutospacing="0" w:line="360" w:lineRule="auto"/>
        <w:ind w:firstLine="480" w:firstLineChars="200"/>
        <w:jc w:val="both"/>
        <w:rPr>
          <w:rFonts w:eastAsia="宋体" w:cs="宋体"/>
          <w:color w:val="auto"/>
          <w:sz w:val="24"/>
          <w:szCs w:val="24"/>
          <w:highlight w:val="none"/>
          <w:lang w:bidi="ar"/>
        </w:rPr>
      </w:pPr>
      <w:r>
        <w:rPr>
          <w:rFonts w:hint="eastAsia" w:eastAsia="宋体" w:cs="宋体"/>
          <w:color w:val="auto"/>
          <w:sz w:val="24"/>
          <w:szCs w:val="24"/>
          <w:highlight w:val="none"/>
          <w:lang w:bidi="ar"/>
        </w:rPr>
        <w:t>6. 投标人应及时提交投标文件，如在投标文件截止时间前因网络等任何原因未能成功上传投标文件，相关后果由投标人自行承担。</w:t>
      </w:r>
    </w:p>
    <w:p w14:paraId="294078EC">
      <w:pPr>
        <w:pStyle w:val="39"/>
        <w:widowControl w:val="0"/>
        <w:spacing w:before="0" w:beforeAutospacing="0" w:after="0" w:afterAutospacing="0" w:line="360" w:lineRule="auto"/>
        <w:ind w:firstLine="480" w:firstLineChars="200"/>
        <w:jc w:val="both"/>
        <w:rPr>
          <w:rFonts w:eastAsia="宋体" w:cs="宋体"/>
          <w:color w:val="auto"/>
          <w:sz w:val="24"/>
          <w:szCs w:val="24"/>
          <w:highlight w:val="none"/>
          <w:lang w:bidi="ar"/>
        </w:rPr>
      </w:pPr>
      <w:r>
        <w:rPr>
          <w:rFonts w:hint="eastAsia" w:eastAsia="宋体" w:cs="宋体"/>
          <w:color w:val="auto"/>
          <w:sz w:val="24"/>
          <w:szCs w:val="24"/>
          <w:highlight w:val="none"/>
          <w:lang w:bidi="ar"/>
        </w:rPr>
        <w:t>7.投标人上传投标文件时，需设置投标文件查询密码（用于查询投标文件递交情况、撤销投标文件及签到时匹配对应的招标文件）。成功上传投标文件后，交易系统将自动随机生成投标文件识别码。识别码是交易系统确认投标人提交投标文件的唯一凭证，投标人须妥善保管。识别码丢失后，投标人将无法找回投标文件，需重新上传提交。</w:t>
      </w:r>
    </w:p>
    <w:p w14:paraId="146C81C9">
      <w:pPr>
        <w:pStyle w:val="39"/>
        <w:widowControl w:val="0"/>
        <w:spacing w:before="0" w:beforeAutospacing="0" w:after="0" w:afterAutospacing="0" w:line="360" w:lineRule="auto"/>
        <w:ind w:firstLine="480" w:firstLineChars="200"/>
        <w:jc w:val="both"/>
        <w:rPr>
          <w:rFonts w:eastAsia="宋体" w:cs="宋体"/>
          <w:color w:val="auto"/>
          <w:sz w:val="24"/>
          <w:szCs w:val="24"/>
          <w:highlight w:val="none"/>
          <w:lang w:bidi="ar"/>
        </w:rPr>
      </w:pPr>
      <w:r>
        <w:rPr>
          <w:rFonts w:hint="eastAsia" w:eastAsia="宋体" w:cs="宋体"/>
          <w:color w:val="auto"/>
          <w:sz w:val="24"/>
          <w:szCs w:val="24"/>
          <w:highlight w:val="none"/>
          <w:lang w:bidi="ar"/>
        </w:rPr>
        <w:t>8.如未在投标文件递交截止时间前匹配对应的投标文件，视为投标人未提交。本招标文件中签到、投标文件匹配、投标保证金关联等时间均以东莞市公共资源交易E网通管理平台时间为准。</w:t>
      </w:r>
    </w:p>
    <w:p w14:paraId="0EE43C5B">
      <w:pPr>
        <w:pStyle w:val="39"/>
        <w:widowControl w:val="0"/>
        <w:spacing w:before="0" w:beforeAutospacing="0" w:after="0" w:afterAutospacing="0" w:line="360" w:lineRule="auto"/>
        <w:ind w:firstLine="480" w:firstLineChars="200"/>
        <w:jc w:val="both"/>
        <w:rPr>
          <w:rFonts w:eastAsia="宋体" w:cs="宋体"/>
          <w:color w:val="auto"/>
          <w:sz w:val="24"/>
          <w:szCs w:val="24"/>
          <w:highlight w:val="none"/>
          <w:lang w:bidi="ar"/>
        </w:rPr>
      </w:pPr>
      <w:r>
        <w:rPr>
          <w:rFonts w:hint="eastAsia" w:eastAsia="宋体" w:cs="宋体"/>
          <w:color w:val="auto"/>
          <w:sz w:val="24"/>
          <w:szCs w:val="24"/>
          <w:highlight w:val="none"/>
          <w:lang w:bidi="ar"/>
        </w:rPr>
        <w:t>9.本招标项目在全国公共资源交易平台（广东省·东莞市）（https://ygp.gdzwfw.gov.cn/#/441900/index）等媒体发布招标公告，本项目招标公告及招标文件的修改、补充在全国公共资源交易平台（广东省·东莞市）发布。发布内容在其他媒体发布的文本如有不同之处，以在全国公共资源交易平台（广东省·东莞市）发布的文本为准。</w:t>
      </w:r>
    </w:p>
    <w:p w14:paraId="1B5D7FA9">
      <w:pPr>
        <w:pStyle w:val="16"/>
        <w:rPr>
          <w:color w:val="auto"/>
          <w:highlight w:val="none"/>
        </w:rPr>
      </w:pPr>
    </w:p>
    <w:sdt>
      <w:sdtPr>
        <w:rPr>
          <w:rFonts w:ascii="宋体" w:hAnsi="宋体" w:eastAsia="宋体" w:cstheme="minorBidi"/>
          <w:color w:val="auto"/>
          <w:kern w:val="2"/>
          <w:sz w:val="21"/>
          <w:szCs w:val="22"/>
          <w:highlight w:val="none"/>
          <w:lang w:val="en-US" w:eastAsia="zh-CN" w:bidi="ar-SA"/>
        </w:rPr>
        <w:id w:val="147477141"/>
        <w15:color w:val="DBDBDB"/>
        <w:docPartObj>
          <w:docPartGallery w:val="Table of Contents"/>
          <w:docPartUnique/>
        </w:docPartObj>
      </w:sdtPr>
      <w:sdtEndPr>
        <w:rPr>
          <w:rFonts w:ascii="宋体" w:hAnsi="宋体" w:eastAsia="宋体" w:cstheme="minorBidi"/>
          <w:color w:val="auto"/>
          <w:kern w:val="2"/>
          <w:sz w:val="21"/>
          <w:szCs w:val="22"/>
          <w:highlight w:val="none"/>
          <w:lang w:val="en-US" w:eastAsia="zh-CN" w:bidi="ar-SA"/>
        </w:rPr>
      </w:sdtEndPr>
      <w:sdtContent>
        <w:p w14:paraId="71865033">
          <w:pPr>
            <w:keepNext w:val="0"/>
            <w:keepLines w:val="0"/>
            <w:pageBreakBefore/>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ascii="宋体" w:hAnsi="宋体" w:eastAsia="宋体"/>
              <w:color w:val="auto"/>
              <w:sz w:val="36"/>
              <w:szCs w:val="40"/>
              <w:highlight w:val="none"/>
            </w:rPr>
          </w:pPr>
          <w:r>
            <w:rPr>
              <w:rFonts w:ascii="宋体" w:hAnsi="宋体" w:eastAsia="宋体"/>
              <w:color w:val="auto"/>
              <w:sz w:val="36"/>
              <w:szCs w:val="40"/>
              <w:highlight w:val="none"/>
            </w:rPr>
            <w:t>目录</w:t>
          </w:r>
        </w:p>
        <w:p w14:paraId="0A1D40E4">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_Toc9529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32"/>
              <w:highlight w:val="none"/>
              <w:lang w:val="zh-CN"/>
            </w:rPr>
            <w:t>第</w:t>
          </w:r>
          <w:r>
            <w:rPr>
              <w:rFonts w:hint="eastAsia" w:ascii="宋体" w:hAnsi="宋体" w:eastAsia="宋体" w:cs="宋体"/>
              <w:bCs/>
              <w:color w:val="auto"/>
              <w:kern w:val="44"/>
              <w:szCs w:val="32"/>
              <w:highlight w:val="none"/>
              <w:lang w:val="en-US" w:eastAsia="zh-CN"/>
            </w:rPr>
            <w:t>一</w:t>
          </w:r>
          <w:r>
            <w:rPr>
              <w:rFonts w:hint="eastAsia" w:ascii="宋体" w:hAnsi="宋体" w:eastAsia="宋体" w:cs="宋体"/>
              <w:bCs/>
              <w:color w:val="auto"/>
              <w:kern w:val="44"/>
              <w:szCs w:val="32"/>
              <w:highlight w:val="none"/>
              <w:lang w:val="zh-CN"/>
            </w:rPr>
            <w:t>篇</w:t>
          </w:r>
          <w:r>
            <w:rPr>
              <w:rFonts w:hint="eastAsia" w:ascii="宋体" w:hAnsi="宋体" w:eastAsia="宋体" w:cs="宋体"/>
              <w:bCs/>
              <w:color w:val="auto"/>
              <w:kern w:val="44"/>
              <w:szCs w:val="32"/>
              <w:highlight w:val="none"/>
            </w:rPr>
            <w:t xml:space="preserve"> </w:t>
          </w:r>
          <w:r>
            <w:rPr>
              <w:rFonts w:hint="eastAsia" w:ascii="宋体" w:hAnsi="宋体" w:eastAsia="宋体" w:cs="宋体"/>
              <w:bCs/>
              <w:color w:val="auto"/>
              <w:kern w:val="44"/>
              <w:szCs w:val="32"/>
              <w:highlight w:val="none"/>
              <w:lang w:val="en-US" w:eastAsia="zh-CN"/>
            </w:rPr>
            <w:t>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_Toc9529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6229911">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_Toc24405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32"/>
              <w:highlight w:val="none"/>
              <w:lang w:val="zh-CN"/>
            </w:rPr>
            <w:t>第二篇</w:t>
          </w:r>
          <w:r>
            <w:rPr>
              <w:rFonts w:hint="eastAsia" w:ascii="宋体" w:hAnsi="宋体" w:eastAsia="宋体" w:cs="宋体"/>
              <w:bCs/>
              <w:color w:val="auto"/>
              <w:kern w:val="44"/>
              <w:szCs w:val="32"/>
              <w:highlight w:val="none"/>
            </w:rPr>
            <w:t xml:space="preserve"> </w:t>
          </w:r>
          <w:r>
            <w:rPr>
              <w:rFonts w:hint="eastAsia" w:ascii="宋体" w:hAnsi="宋体" w:eastAsia="宋体" w:cs="宋体"/>
              <w:bCs/>
              <w:color w:val="auto"/>
              <w:kern w:val="44"/>
              <w:szCs w:val="32"/>
              <w:highlight w:val="none"/>
              <w:lang w:val="zh-CN"/>
            </w:rPr>
            <w:t>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_Toc24405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8CB29B1">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_Toc29769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_Toc29769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8CA5145">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_Toc21700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 资金来源：企业自筹资金。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_Toc21700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B86962A">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_Toc22976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 合格的投标人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_Toc22976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709A5D1">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_Toc2613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3 合格的</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_Toc2613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AF99C54">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_Toc25225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4 其它说明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_Toc25225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2FE6042">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_Toc25760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二、招标文件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_Toc25760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2251EAB">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_Toc9362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5 招标文件的构成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_Toc9362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E5E9B27">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_Toc7112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6 招标文件的异议</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_Toc7112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F7B60B9">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_Toc13298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7 招标文件的澄清及修改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_Toc13298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8F184A0">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_Toc18752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三、投标文件的编制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4DDBE51">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_Toc10850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8 投标使用的文字及度量衡单位</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_Toc10850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DA24285">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_Toc13447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9</w:t>
          </w:r>
          <w:r>
            <w:rPr>
              <w:rFonts w:hint="eastAsia" w:ascii="宋体" w:hAnsi="宋体" w:eastAsia="宋体" w:cs="宋体"/>
              <w:color w:val="auto"/>
              <w:szCs w:val="24"/>
              <w:highlight w:val="none"/>
              <w:lang w:val="zh-CN"/>
            </w:rPr>
            <w:t xml:space="preserve"> </w:t>
          </w:r>
          <w:r>
            <w:rPr>
              <w:rFonts w:hint="eastAsia" w:ascii="宋体" w:hAnsi="宋体" w:eastAsia="宋体" w:cs="宋体"/>
              <w:color w:val="auto"/>
              <w:szCs w:val="21"/>
              <w:highlight w:val="none"/>
              <w:lang w:val="zh-CN"/>
            </w:rPr>
            <w:t>投标文件的组成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_Toc13447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E415462">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_Toc7017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10 投标函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CD30899">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_Toc27908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11 投标报价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_Toc27908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04E305D">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_Toc2284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12 投标报价货币</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81B770A">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_Toc26828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13 证明投标人的合格性和资格的声明文件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_Toc26828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D64448D">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_Toc22622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14 证明</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的合格性并符合招标文件规定的声明文件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_Toc22622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B36C47E">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_Toc3206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15 投标保证金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34F9C39">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_Toc5674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16 投标有效期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_Toc5674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9C459A7">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_Toc15065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17 投标文件的编制和签署</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_Toc15065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61182D3">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_Toc11307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四、投标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_Toc11307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0D2F4B2">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_Toc3466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18 投标文件的加密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_Toc3466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169E41C">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_Toc3867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 xml:space="preserve">19 </w:t>
          </w:r>
          <w:r>
            <w:rPr>
              <w:rFonts w:hint="eastAsia" w:ascii="宋体" w:hAnsi="宋体" w:eastAsia="宋体" w:cs="宋体"/>
              <w:color w:val="auto"/>
              <w:szCs w:val="21"/>
              <w:highlight w:val="none"/>
              <w:lang w:val="zh-CN"/>
            </w:rPr>
            <w:t>投标文件的提交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_Toc3867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4D7AA79">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_Toc2123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 xml:space="preserve">20 </w:t>
          </w:r>
          <w:r>
            <w:rPr>
              <w:rFonts w:hint="eastAsia" w:ascii="宋体" w:hAnsi="宋体" w:eastAsia="宋体" w:cs="宋体"/>
              <w:color w:val="auto"/>
              <w:szCs w:val="21"/>
              <w:highlight w:val="none"/>
              <w:lang w:val="zh-CN"/>
            </w:rPr>
            <w:t>投标会时间、地点及投标文件提交的截止时间</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_Toc2123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08FE257">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_Toc5699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val="zh-CN"/>
            </w:rPr>
            <w:t>投标文件的拒绝</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_Toc5699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430A8F7">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_Toc26166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2 </w:t>
          </w:r>
          <w:r>
            <w:rPr>
              <w:rFonts w:hint="eastAsia" w:ascii="宋体" w:hAnsi="宋体" w:eastAsia="宋体" w:cs="宋体"/>
              <w:color w:val="auto"/>
              <w:szCs w:val="21"/>
              <w:highlight w:val="none"/>
              <w:lang w:val="zh-CN"/>
            </w:rPr>
            <w:t>投标文件的补充、修改与撤回</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_Toc26166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1CF56E2">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_Toc5498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五、开标与评标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_Toc5498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B64E9B5">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_Toc17477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val="zh-CN"/>
            </w:rPr>
            <w:t>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_Toc17477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6A95614">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_Toc29774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24</w:t>
          </w:r>
          <w:r>
            <w:rPr>
              <w:rFonts w:hint="eastAsia"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_Toc29774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6379EBE">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_Toc6241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25</w:t>
          </w:r>
          <w:r>
            <w:rPr>
              <w:rFonts w:hint="eastAsia" w:ascii="宋体" w:hAnsi="宋体" w:eastAsia="宋体" w:cs="宋体"/>
              <w:color w:val="auto"/>
              <w:szCs w:val="21"/>
              <w:highlight w:val="none"/>
              <w:lang w:val="zh-CN"/>
            </w:rPr>
            <w:t xml:space="preserve"> 评标委员会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_Toc6241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679DA94">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_Toc4946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26</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投标文件的有效性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_Toc4946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486F154">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_Toc8692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 xml:space="preserve"> 投标文件的初审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_Toc8692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FAF2461">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_Toc6362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zh-CN"/>
            </w:rPr>
            <w:t xml:space="preserve"> 投标文件的澄清</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_Toc6362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98B296B">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_Toc10292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 xml:space="preserve"> 对投标文件的比较和评价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_Toc10292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F26A471">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_Toc18614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 评标原则及方法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_Toc18614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C86F522">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_Toc15217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 xml:space="preserve">31 </w:t>
          </w:r>
          <w:r>
            <w:rPr>
              <w:rFonts w:hint="eastAsia" w:ascii="宋体" w:hAnsi="宋体" w:eastAsia="宋体" w:cs="宋体"/>
              <w:color w:val="auto"/>
              <w:szCs w:val="21"/>
              <w:highlight w:val="none"/>
              <w:lang w:val="zh-CN"/>
            </w:rPr>
            <w:t>评标结果公示及异议、投诉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_Toc15217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987A80D">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_Toc26283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真实性审查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_Toc26283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20FE661">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_Toc6704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33</w:t>
          </w:r>
          <w:r>
            <w:rPr>
              <w:rFonts w:hint="eastAsia" w:ascii="宋体" w:hAnsi="宋体" w:eastAsia="宋体" w:cs="宋体"/>
              <w:color w:val="auto"/>
              <w:szCs w:val="21"/>
              <w:highlight w:val="none"/>
              <w:lang w:val="zh-CN"/>
            </w:rPr>
            <w:t xml:space="preserve"> 评标委员会和招标人接受或拒绝任何投标或所有投标的权利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_Toc6704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E55C532">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_Toc25011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六、授予合同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_Toc25011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3CDED4E">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_Toc8164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授予合同的准则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_Toc8164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50241AF">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_Toc13906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35</w:t>
          </w:r>
          <w:r>
            <w:rPr>
              <w:rFonts w:hint="eastAsia" w:ascii="宋体" w:hAnsi="宋体" w:eastAsia="宋体" w:cs="宋体"/>
              <w:color w:val="auto"/>
              <w:szCs w:val="21"/>
              <w:highlight w:val="none"/>
              <w:lang w:val="zh-CN"/>
            </w:rPr>
            <w:t xml:space="preserve"> 中标通知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_Toc13906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E284ECE">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_Toc4722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签署合同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_Toc4722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DB72388">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_Toc10371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 xml:space="preserve">37 </w:t>
          </w:r>
          <w:r>
            <w:rPr>
              <w:rFonts w:hint="eastAsia" w:ascii="宋体" w:hAnsi="宋体" w:eastAsia="宋体" w:cs="宋体"/>
              <w:color w:val="auto"/>
              <w:szCs w:val="21"/>
              <w:highlight w:val="none"/>
              <w:lang w:val="zh-CN"/>
            </w:rPr>
            <w:t>履约担保</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_Toc10371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9577098">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_Toc3311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在合同履行中变更采购范围的权利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_Toc3311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13F929D">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_Toc14850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39</w:t>
          </w:r>
          <w:r>
            <w:rPr>
              <w:rFonts w:hint="eastAsia" w:ascii="宋体" w:hAnsi="宋体" w:eastAsia="宋体" w:cs="宋体"/>
              <w:color w:val="auto"/>
              <w:szCs w:val="21"/>
              <w:highlight w:val="none"/>
              <w:lang w:val="zh-CN"/>
            </w:rPr>
            <w:t xml:space="preserve"> 中标服务费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_Toc14850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4D68EC6">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_Toc31030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40</w:t>
          </w:r>
          <w:r>
            <w:rPr>
              <w:rFonts w:hint="eastAsia" w:ascii="宋体" w:hAnsi="宋体" w:eastAsia="宋体" w:cs="宋体"/>
              <w:color w:val="auto"/>
              <w:szCs w:val="21"/>
              <w:highlight w:val="none"/>
              <w:lang w:val="zh-CN"/>
            </w:rPr>
            <w:t xml:space="preserve"> 发票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_Toc31030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880F117">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_Toc10243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41 招标相关补充约定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_Toc10243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12275B5">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_Toc22346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42 本次招标活动的最终解释权归招标代理机构及招标人所有。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_Toc22346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568C5B2">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_Toc21406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32"/>
              <w:highlight w:val="none"/>
              <w:lang w:val="zh-CN"/>
            </w:rPr>
            <w:t>第三篇 用户需求书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_Toc21406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37AD277">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第</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_Toc13960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32"/>
              <w:highlight w:val="none"/>
              <w:lang w:val="zh-CN"/>
            </w:rPr>
            <w:t>四篇 合同条款格式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_Toc13960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9FB6858">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_Toc2749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2"/>
              <w:highlight w:val="none"/>
              <w:lang w:val="zh-CN"/>
            </w:rPr>
            <w:t>第五篇 相关保函格式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_Toc2749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306318A">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_Toc29078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32"/>
              <w:highlight w:val="none"/>
              <w:lang w:val="zh-CN"/>
            </w:rPr>
            <w:t>第六篇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_Toc29078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774122D">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_Toc17208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32"/>
              <w:highlight w:val="none"/>
              <w:lang w:val="zh-CN"/>
            </w:rPr>
            <w:t>附件一：评标工作大纲</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_Toc17208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3B25EEC">
          <w:pPr>
            <w:pStyle w:val="35"/>
            <w:tabs>
              <w:tab w:val="right" w:leader="dot" w:pos="10154"/>
            </w:tabs>
            <w:rPr>
              <w:color w:val="auto"/>
              <w:highlight w:val="none"/>
            </w:rPr>
          </w:pPr>
        </w:p>
        <w:p w14:paraId="494D190F">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r>
            <w:rPr>
              <w:rFonts w:hint="eastAsia" w:ascii="宋体" w:hAnsi="宋体" w:eastAsia="宋体" w:cs="宋体"/>
              <w:color w:val="auto"/>
              <w:highlight w:val="none"/>
            </w:rPr>
            <w:fldChar w:fldCharType="end"/>
          </w:r>
        </w:p>
      </w:sdtContent>
    </w:sdt>
    <w:p w14:paraId="1CE3747E">
      <w:pPr>
        <w:pageBreakBefore/>
        <w:tabs>
          <w:tab w:val="left" w:pos="1080"/>
        </w:tabs>
        <w:autoSpaceDE w:val="0"/>
        <w:autoSpaceDN w:val="0"/>
        <w:adjustRightInd w:val="0"/>
        <w:spacing w:line="360" w:lineRule="auto"/>
        <w:ind w:left="-167" w:leftChars="-100" w:hanging="43"/>
        <w:jc w:val="center"/>
        <w:outlineLvl w:val="1"/>
        <w:rPr>
          <w:rFonts w:hint="default" w:ascii="宋体" w:hAnsi="宋体" w:eastAsia="宋体" w:cs="宋体"/>
          <w:b/>
          <w:bCs/>
          <w:color w:val="auto"/>
          <w:kern w:val="44"/>
          <w:sz w:val="32"/>
          <w:szCs w:val="32"/>
          <w:highlight w:val="none"/>
          <w:lang w:val="en-US" w:eastAsia="zh-CN"/>
        </w:rPr>
      </w:pPr>
      <w:bookmarkStart w:id="0" w:name="_Toc9529"/>
      <w:r>
        <w:rPr>
          <w:rFonts w:hint="eastAsia" w:ascii="宋体" w:hAnsi="宋体" w:eastAsia="宋体" w:cs="宋体"/>
          <w:b/>
          <w:bCs/>
          <w:color w:val="auto"/>
          <w:kern w:val="44"/>
          <w:sz w:val="32"/>
          <w:szCs w:val="32"/>
          <w:highlight w:val="none"/>
          <w:lang w:val="zh-CN"/>
        </w:rPr>
        <w:t>第</w:t>
      </w:r>
      <w:r>
        <w:rPr>
          <w:rFonts w:hint="eastAsia" w:ascii="宋体" w:hAnsi="宋体" w:eastAsia="宋体" w:cs="宋体"/>
          <w:b/>
          <w:bCs/>
          <w:color w:val="auto"/>
          <w:kern w:val="44"/>
          <w:sz w:val="32"/>
          <w:szCs w:val="32"/>
          <w:highlight w:val="none"/>
          <w:lang w:val="en-US" w:eastAsia="zh-CN"/>
        </w:rPr>
        <w:t>一</w:t>
      </w:r>
      <w:r>
        <w:rPr>
          <w:rFonts w:hint="eastAsia" w:ascii="宋体" w:hAnsi="宋体" w:eastAsia="宋体" w:cs="宋体"/>
          <w:b/>
          <w:bCs/>
          <w:color w:val="auto"/>
          <w:kern w:val="44"/>
          <w:sz w:val="32"/>
          <w:szCs w:val="32"/>
          <w:highlight w:val="none"/>
          <w:lang w:val="zh-CN"/>
        </w:rPr>
        <w:t>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en-US" w:eastAsia="zh-CN"/>
        </w:rPr>
        <w:t>招标公告</w:t>
      </w:r>
      <w:bookmarkEnd w:id="0"/>
    </w:p>
    <w:p w14:paraId="6BB1F3B2">
      <w:pPr>
        <w:rPr>
          <w:color w:val="auto"/>
          <w:highlight w:val="none"/>
        </w:rPr>
      </w:pPr>
    </w:p>
    <w:p w14:paraId="5E74B256">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广东有德招标采购有限公司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东莞市水务集团有限公司</w:t>
      </w:r>
      <w:r>
        <w:rPr>
          <w:rFonts w:ascii="宋体" w:hAnsi="宋体" w:eastAsia="宋体" w:cs="Times New Roman"/>
          <w:color w:val="auto"/>
          <w:szCs w:val="21"/>
          <w:highlight w:val="none"/>
          <w:lang w:val="zh-CN"/>
        </w:rPr>
        <w:t>（以下简称“招标人”）的委托，对</w:t>
      </w:r>
      <w:bookmarkStart w:id="1" w:name="_Hlk41903390"/>
      <w:r>
        <w:rPr>
          <w:rFonts w:hint="eastAsia" w:ascii="宋体" w:hAnsi="宋体" w:eastAsia="宋体" w:cs="Times New Roman"/>
          <w:color w:val="auto"/>
          <w:kern w:val="0"/>
          <w:szCs w:val="21"/>
          <w:highlight w:val="none"/>
          <w:lang w:eastAsia="zh-CN"/>
        </w:rPr>
        <w:t>东莞市水务集团造价咨询服务单位库(2025-2026)采购项目</w:t>
      </w:r>
      <w:r>
        <w:rPr>
          <w:rFonts w:ascii="宋体" w:hAnsi="宋体" w:eastAsia="宋体" w:cs="Times New Roman"/>
          <w:color w:val="auto"/>
          <w:szCs w:val="21"/>
          <w:highlight w:val="none"/>
          <w:lang w:val="zh-CN"/>
        </w:rPr>
        <w:t>(招标编号：SSRSSV12501076)</w:t>
      </w:r>
      <w:bookmarkEnd w:id="1"/>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30082BE2">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46B61600">
      <w:pPr>
        <w:numPr>
          <w:ilvl w:val="0"/>
          <w:numId w:val="1"/>
        </w:numPr>
        <w:autoSpaceDE w:val="0"/>
        <w:autoSpaceDN w:val="0"/>
        <w:adjustRightInd w:val="0"/>
        <w:snapToGrid w:val="0"/>
        <w:spacing w:line="360" w:lineRule="auto"/>
        <w:ind w:right="-34"/>
        <w:jc w:val="left"/>
        <w:outlineLvl w:val="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2338"/>
        <w:gridCol w:w="2612"/>
        <w:gridCol w:w="2882"/>
        <w:gridCol w:w="1718"/>
      </w:tblGrid>
      <w:tr w14:paraId="4FB0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395" w:type="pct"/>
            <w:shd w:val="clear" w:color="auto" w:fill="E0E0E0"/>
            <w:vAlign w:val="center"/>
          </w:tcPr>
          <w:p w14:paraId="3DCEE867">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序号</w:t>
            </w:r>
          </w:p>
        </w:tc>
        <w:tc>
          <w:tcPr>
            <w:tcW w:w="1127" w:type="pct"/>
            <w:shd w:val="clear" w:color="auto" w:fill="E0E0E0"/>
            <w:vAlign w:val="center"/>
          </w:tcPr>
          <w:p w14:paraId="544505C3">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采购内容</w:t>
            </w:r>
          </w:p>
        </w:tc>
        <w:tc>
          <w:tcPr>
            <w:tcW w:w="1259" w:type="pct"/>
            <w:shd w:val="clear" w:color="auto" w:fill="E0E0E0"/>
            <w:vAlign w:val="center"/>
          </w:tcPr>
          <w:p w14:paraId="5B6D597A">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协议服务期限</w:t>
            </w:r>
          </w:p>
        </w:tc>
        <w:tc>
          <w:tcPr>
            <w:tcW w:w="1389" w:type="pct"/>
            <w:shd w:val="clear" w:color="auto" w:fill="E0E0E0"/>
            <w:vAlign w:val="center"/>
          </w:tcPr>
          <w:p w14:paraId="0767CDDD">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采购数量</w:t>
            </w:r>
          </w:p>
        </w:tc>
        <w:tc>
          <w:tcPr>
            <w:tcW w:w="828" w:type="pct"/>
            <w:shd w:val="clear" w:color="auto" w:fill="E0E0E0"/>
            <w:vAlign w:val="center"/>
          </w:tcPr>
          <w:p w14:paraId="103D0003">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07EA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395" w:type="pct"/>
            <w:vAlign w:val="center"/>
          </w:tcPr>
          <w:p w14:paraId="1985947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127" w:type="pct"/>
            <w:vAlign w:val="center"/>
          </w:tcPr>
          <w:p w14:paraId="6815E70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造价咨询服务单位库</w:t>
            </w:r>
          </w:p>
        </w:tc>
        <w:tc>
          <w:tcPr>
            <w:tcW w:w="1259" w:type="pct"/>
            <w:vAlign w:val="center"/>
          </w:tcPr>
          <w:p w14:paraId="79C61DD1">
            <w:pPr>
              <w:keepNext w:val="0"/>
              <w:keepLines w:val="0"/>
              <w:suppressLineNumbers w:val="0"/>
              <w:tabs>
                <w:tab w:val="left" w:pos="360"/>
              </w:tabs>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本合同项下供应商库服务期自中标通知书签发之日起2年</w:t>
            </w:r>
          </w:p>
        </w:tc>
        <w:tc>
          <w:tcPr>
            <w:tcW w:w="1389" w:type="pct"/>
            <w:vAlign w:val="center"/>
          </w:tcPr>
          <w:p w14:paraId="59A1F476">
            <w:pPr>
              <w:keepNext w:val="0"/>
              <w:keepLines w:val="0"/>
              <w:suppressLineNumbers w:val="0"/>
              <w:tabs>
                <w:tab w:val="left" w:pos="360"/>
              </w:tabs>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家（ 6 家日常使用单位，2 家候补单位）</w:t>
            </w:r>
          </w:p>
        </w:tc>
        <w:tc>
          <w:tcPr>
            <w:tcW w:w="828" w:type="pct"/>
            <w:vAlign w:val="center"/>
          </w:tcPr>
          <w:p w14:paraId="42C128A8">
            <w:pPr>
              <w:keepNext w:val="0"/>
              <w:keepLines w:val="0"/>
              <w:suppressLineNumbers w:val="0"/>
              <w:tabs>
                <w:tab w:val="left" w:pos="360"/>
              </w:tabs>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详见第三篇用户需求书。</w:t>
            </w:r>
          </w:p>
        </w:tc>
      </w:tr>
    </w:tbl>
    <w:p w14:paraId="5246D62B">
      <w:pPr>
        <w:autoSpaceDE w:val="0"/>
        <w:autoSpaceDN w:val="0"/>
        <w:adjustRightInd w:val="0"/>
        <w:snapToGrid w:val="0"/>
        <w:spacing w:line="360" w:lineRule="auto"/>
        <w:ind w:right="-34" w:firstLine="420" w:firstLineChars="20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（具体内容详见：第三篇用户需求书）。</w:t>
      </w:r>
    </w:p>
    <w:p w14:paraId="1C380BF3">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14:paraId="2CCA9EEC">
      <w:pPr>
        <w:keepNext w:val="0"/>
        <w:keepLines w:val="0"/>
        <w:pageBreakBefore w:val="0"/>
        <w:numPr>
          <w:ilvl w:val="0"/>
          <w:numId w:val="1"/>
        </w:numPr>
        <w:kinsoku/>
        <w:overflowPunct/>
        <w:topLinePunct w:val="0"/>
        <w:autoSpaceDE w:val="0"/>
        <w:autoSpaceDN w:val="0"/>
        <w:bidi w:val="0"/>
        <w:adjustRightInd w:val="0"/>
        <w:snapToGrid w:val="0"/>
        <w:spacing w:line="360" w:lineRule="auto"/>
        <w:ind w:right="-34"/>
        <w:jc w:val="left"/>
        <w:outlineLvl w:val="0"/>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14:paraId="5D76C00B">
      <w:pPr>
        <w:pStyle w:val="168"/>
        <w:keepNext w:val="0"/>
        <w:keepLines w:val="0"/>
        <w:pageBreakBefore w:val="0"/>
        <w:kinsoku/>
        <w:overflowPunct/>
        <w:topLinePunct w:val="0"/>
        <w:bidi w:val="0"/>
        <w:spacing w:line="360" w:lineRule="auto"/>
        <w:ind w:left="422" w:right="-29" w:rightChars="-14" w:hanging="422" w:hangingChars="20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14:paraId="343EB319">
      <w:pPr>
        <w:pStyle w:val="168"/>
        <w:keepNext w:val="0"/>
        <w:keepLines w:val="0"/>
        <w:pageBreakBefore w:val="0"/>
        <w:kinsoku/>
        <w:overflowPunct/>
        <w:topLinePunct w:val="0"/>
        <w:bidi w:val="0"/>
        <w:spacing w:line="360" w:lineRule="auto"/>
        <w:ind w:left="422" w:right="-29" w:rightChars="-14" w:hanging="422" w:hangingChars="200"/>
        <w:jc w:val="both"/>
        <w:rPr>
          <w:rFonts w:hAnsi="宋体" w:eastAsia="宋体"/>
          <w:b/>
          <w:color w:val="auto"/>
          <w:sz w:val="21"/>
          <w:szCs w:val="21"/>
          <w:highlight w:val="none"/>
        </w:rPr>
      </w:pPr>
      <w:bookmarkStart w:id="2" w:name="_Toc25819"/>
      <w:r>
        <w:rPr>
          <w:rFonts w:hint="eastAsia" w:hAnsi="宋体" w:eastAsia="宋体"/>
          <w:b/>
          <w:color w:val="auto"/>
          <w:sz w:val="21"/>
          <w:szCs w:val="21"/>
          <w:highlight w:val="none"/>
          <w:lang w:val="zh-CN"/>
        </w:rPr>
        <w:t xml:space="preserve">2.2 </w:t>
      </w:r>
      <w:r>
        <w:rPr>
          <w:rFonts w:hint="eastAsia" w:hAnsi="宋体" w:eastAsia="宋体" w:cs="宋体"/>
          <w:b/>
          <w:color w:val="auto"/>
          <w:sz w:val="21"/>
          <w:szCs w:val="21"/>
          <w:highlight w:val="none"/>
          <w:lang w:val="zh-CN"/>
        </w:rPr>
        <w:t>投标人</w:t>
      </w:r>
      <w:r>
        <w:rPr>
          <w:rFonts w:hint="eastAsia" w:hAnsi="宋体" w:eastAsia="宋体" w:cs="宋体"/>
          <w:b/>
          <w:color w:val="auto"/>
          <w:sz w:val="21"/>
          <w:szCs w:val="21"/>
          <w:highlight w:val="none"/>
          <w:lang w:val="en-US" w:eastAsia="zh-CN"/>
        </w:rPr>
        <w:t>2022</w:t>
      </w:r>
      <w:r>
        <w:rPr>
          <w:rFonts w:hint="eastAsia" w:hAnsi="宋体" w:eastAsia="宋体" w:cs="宋体"/>
          <w:b/>
          <w:color w:val="auto"/>
          <w:sz w:val="21"/>
          <w:szCs w:val="21"/>
          <w:highlight w:val="none"/>
          <w:lang w:val="zh-CN"/>
        </w:rPr>
        <w:t>年</w:t>
      </w:r>
      <w:r>
        <w:rPr>
          <w:rFonts w:hint="eastAsia" w:hAnsi="宋体" w:eastAsia="宋体" w:cs="宋体"/>
          <w:b/>
          <w:color w:val="auto"/>
          <w:sz w:val="21"/>
          <w:szCs w:val="21"/>
          <w:highlight w:val="none"/>
          <w:lang w:val="en-US" w:eastAsia="zh-CN"/>
        </w:rPr>
        <w:t>1</w:t>
      </w:r>
      <w:r>
        <w:rPr>
          <w:rFonts w:hint="eastAsia" w:hAnsi="宋体" w:eastAsia="宋体" w:cs="宋体"/>
          <w:b/>
          <w:color w:val="auto"/>
          <w:sz w:val="21"/>
          <w:szCs w:val="21"/>
          <w:highlight w:val="none"/>
          <w:lang w:val="zh-CN"/>
        </w:rPr>
        <w:t>月</w:t>
      </w:r>
      <w:r>
        <w:rPr>
          <w:rFonts w:hint="eastAsia" w:hAnsi="宋体" w:eastAsia="宋体" w:cs="宋体"/>
          <w:b/>
          <w:color w:val="auto"/>
          <w:sz w:val="21"/>
          <w:szCs w:val="21"/>
          <w:highlight w:val="none"/>
          <w:lang w:val="en-US" w:eastAsia="zh-CN"/>
        </w:rPr>
        <w:t>1</w:t>
      </w:r>
      <w:r>
        <w:rPr>
          <w:rFonts w:hint="eastAsia" w:hAnsi="宋体" w:eastAsia="宋体" w:cs="宋体"/>
          <w:b/>
          <w:color w:val="auto"/>
          <w:sz w:val="21"/>
          <w:szCs w:val="21"/>
          <w:highlight w:val="none"/>
          <w:lang w:val="zh-CN"/>
        </w:rPr>
        <w:t>日以来具有造价咨询</w:t>
      </w:r>
      <w:r>
        <w:rPr>
          <w:rFonts w:hint="eastAsia" w:ascii="宋体" w:hAnsi="宋体" w:eastAsia="宋体" w:cs="宋体"/>
          <w:b/>
          <w:color w:val="auto"/>
          <w:sz w:val="21"/>
          <w:szCs w:val="21"/>
          <w:highlight w:val="none"/>
          <w:lang w:val="zh-CN"/>
        </w:rPr>
        <w:t>【</w:t>
      </w:r>
      <w:r>
        <w:rPr>
          <w:rFonts w:hint="eastAsia" w:hAnsi="宋体" w:eastAsia="宋体" w:cs="宋体"/>
          <w:b/>
          <w:color w:val="auto"/>
          <w:sz w:val="21"/>
          <w:szCs w:val="21"/>
          <w:highlight w:val="none"/>
          <w:lang w:val="zh-CN"/>
        </w:rPr>
        <w:t>含概算编制、概算审核、预算(或招标控制价)编制、预算(或招标控制价)审核、结算编制和结算审核，以上业绩可包括在同一合同或多份合同内</w:t>
      </w:r>
      <w:r>
        <w:rPr>
          <w:rFonts w:hint="eastAsia" w:ascii="宋体" w:hAnsi="宋体" w:eastAsia="宋体" w:cs="宋体"/>
          <w:b/>
          <w:color w:val="auto"/>
          <w:sz w:val="21"/>
          <w:szCs w:val="21"/>
          <w:highlight w:val="none"/>
          <w:lang w:val="zh-CN"/>
        </w:rPr>
        <w:t>】</w:t>
      </w:r>
      <w:r>
        <w:rPr>
          <w:rFonts w:hint="eastAsia" w:hAnsi="宋体" w:eastAsia="宋体" w:cs="宋体"/>
          <w:b/>
          <w:color w:val="auto"/>
          <w:sz w:val="21"/>
          <w:szCs w:val="21"/>
          <w:highlight w:val="none"/>
          <w:lang w:val="zh-CN"/>
        </w:rPr>
        <w:t>的服务业绩（合同签订日期为</w:t>
      </w:r>
      <w:r>
        <w:rPr>
          <w:rFonts w:hint="eastAsia" w:hAnsi="宋体" w:eastAsia="宋体" w:cs="宋体"/>
          <w:b/>
          <w:color w:val="auto"/>
          <w:sz w:val="21"/>
          <w:szCs w:val="21"/>
          <w:highlight w:val="none"/>
          <w:lang w:val="en-US" w:eastAsia="zh-CN"/>
        </w:rPr>
        <w:t>2022</w:t>
      </w:r>
      <w:r>
        <w:rPr>
          <w:rFonts w:hint="eastAsia" w:hAnsi="宋体" w:eastAsia="宋体" w:cs="宋体"/>
          <w:b/>
          <w:color w:val="auto"/>
          <w:sz w:val="21"/>
          <w:szCs w:val="21"/>
          <w:highlight w:val="none"/>
          <w:lang w:val="zh-CN"/>
        </w:rPr>
        <w:t>年</w:t>
      </w:r>
      <w:r>
        <w:rPr>
          <w:rFonts w:hint="eastAsia" w:hAnsi="宋体" w:eastAsia="宋体" w:cs="宋体"/>
          <w:b/>
          <w:color w:val="auto"/>
          <w:sz w:val="21"/>
          <w:szCs w:val="21"/>
          <w:highlight w:val="none"/>
          <w:lang w:val="en-US" w:eastAsia="zh-CN"/>
        </w:rPr>
        <w:t>1</w:t>
      </w:r>
      <w:r>
        <w:rPr>
          <w:rFonts w:hint="eastAsia" w:hAnsi="宋体" w:eastAsia="宋体" w:cs="宋体"/>
          <w:b/>
          <w:color w:val="auto"/>
          <w:sz w:val="21"/>
          <w:szCs w:val="21"/>
          <w:highlight w:val="none"/>
          <w:lang w:val="zh-CN"/>
        </w:rPr>
        <w:t>月</w:t>
      </w:r>
      <w:r>
        <w:rPr>
          <w:rFonts w:hint="eastAsia" w:hAnsi="宋体" w:eastAsia="宋体" w:cs="宋体"/>
          <w:b/>
          <w:color w:val="auto"/>
          <w:sz w:val="21"/>
          <w:szCs w:val="21"/>
          <w:highlight w:val="none"/>
          <w:lang w:val="en-US" w:eastAsia="zh-CN"/>
        </w:rPr>
        <w:t>1</w:t>
      </w:r>
      <w:r>
        <w:rPr>
          <w:rFonts w:hint="eastAsia" w:hAnsi="宋体" w:eastAsia="宋体" w:cs="宋体"/>
          <w:b/>
          <w:color w:val="auto"/>
          <w:sz w:val="21"/>
          <w:szCs w:val="21"/>
          <w:highlight w:val="none"/>
          <w:lang w:val="zh-CN"/>
        </w:rPr>
        <w:t>日或以后，金额在100万元（含）以上）</w:t>
      </w:r>
      <w:r>
        <w:rPr>
          <w:rFonts w:hint="eastAsia" w:hAnsi="宋体" w:eastAsia="宋体"/>
          <w:b/>
          <w:color w:val="auto"/>
          <w:sz w:val="21"/>
          <w:szCs w:val="21"/>
          <w:highlight w:val="none"/>
          <w:lang w:val="zh-CN"/>
        </w:rPr>
        <w:t>；</w:t>
      </w:r>
    </w:p>
    <w:p w14:paraId="1A3E7274">
      <w:pPr>
        <w:pStyle w:val="168"/>
        <w:keepNext w:val="0"/>
        <w:keepLines w:val="0"/>
        <w:pageBreakBefore w:val="0"/>
        <w:kinsoku/>
        <w:overflowPunct/>
        <w:topLinePunct w:val="0"/>
        <w:bidi w:val="0"/>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rPr>
        <w:t xml:space="preserve">2.3 </w:t>
      </w:r>
      <w:r>
        <w:rPr>
          <w:rFonts w:hint="eastAsia" w:hAnsi="宋体" w:eastAsia="宋体"/>
          <w:b/>
          <w:color w:val="auto"/>
          <w:sz w:val="21"/>
          <w:szCs w:val="21"/>
          <w:highlight w:val="none"/>
          <w:lang w:val="zh-CN"/>
        </w:rPr>
        <w:t>本项目不接受联合体投标</w:t>
      </w:r>
      <w:bookmarkEnd w:id="2"/>
      <w:r>
        <w:rPr>
          <w:rFonts w:hint="eastAsia" w:hAnsi="宋体" w:eastAsia="宋体"/>
          <w:b/>
          <w:color w:val="auto"/>
          <w:sz w:val="21"/>
          <w:szCs w:val="21"/>
          <w:highlight w:val="none"/>
          <w:lang w:val="zh-CN"/>
        </w:rPr>
        <w:t>；</w:t>
      </w:r>
    </w:p>
    <w:p w14:paraId="37DEC1A3">
      <w:pPr>
        <w:pStyle w:val="168"/>
        <w:keepNext w:val="0"/>
        <w:keepLines w:val="0"/>
        <w:pageBreakBefore w:val="0"/>
        <w:kinsoku/>
        <w:overflowPunct/>
        <w:topLinePunct w:val="0"/>
        <w:bidi w:val="0"/>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rPr>
        <w:t>2</w:t>
      </w:r>
      <w:r>
        <w:rPr>
          <w:rFonts w:hint="eastAsia" w:hAnsi="宋体" w:eastAsia="宋体"/>
          <w:b/>
          <w:color w:val="auto"/>
          <w:sz w:val="21"/>
          <w:szCs w:val="21"/>
          <w:highlight w:val="none"/>
          <w:lang w:val="zh-CN"/>
        </w:rPr>
        <w:t>.</w:t>
      </w:r>
      <w:r>
        <w:rPr>
          <w:rFonts w:hint="eastAsia" w:hAnsi="宋体" w:eastAsia="宋体"/>
          <w:b/>
          <w:color w:val="auto"/>
          <w:sz w:val="21"/>
          <w:szCs w:val="21"/>
          <w:highlight w:val="none"/>
        </w:rPr>
        <w:t xml:space="preserve">4 </w:t>
      </w:r>
      <w:r>
        <w:rPr>
          <w:rFonts w:hint="eastAsia" w:hAnsi="宋体" w:eastAsia="宋体"/>
          <w:b/>
          <w:color w:val="auto"/>
          <w:sz w:val="21"/>
          <w:szCs w:val="21"/>
          <w:highlight w:val="none"/>
          <w:lang w:val="zh-CN"/>
        </w:rPr>
        <w:t>其他要求：</w:t>
      </w:r>
    </w:p>
    <w:p w14:paraId="7F399F4E">
      <w:pPr>
        <w:pStyle w:val="168"/>
        <w:keepNext w:val="0"/>
        <w:keepLines w:val="0"/>
        <w:pageBreakBefore w:val="0"/>
        <w:kinsoku/>
        <w:overflowPunct/>
        <w:topLinePunct w:val="0"/>
        <w:autoSpaceDE/>
        <w:autoSpaceDN/>
        <w:bidi w:val="0"/>
        <w:spacing w:line="360" w:lineRule="auto"/>
        <w:ind w:left="420" w:leftChars="200" w:firstLine="0" w:firstLineChars="0"/>
        <w:jc w:val="both"/>
        <w:outlineLvl w:val="1"/>
        <w:rPr>
          <w:rFonts w:hAnsi="宋体" w:eastAsia="宋体"/>
          <w:b/>
          <w:color w:val="auto"/>
          <w:sz w:val="21"/>
          <w:szCs w:val="21"/>
          <w:highlight w:val="none"/>
          <w:lang w:val="zh-CN"/>
        </w:rPr>
      </w:pPr>
      <w:r>
        <w:rPr>
          <w:rFonts w:hint="eastAsia" w:hAnsi="宋体" w:eastAsia="宋体"/>
          <w:b/>
          <w:color w:val="auto"/>
          <w:sz w:val="21"/>
          <w:szCs w:val="21"/>
          <w:highlight w:val="none"/>
          <w:lang w:val="zh-CN"/>
        </w:rPr>
        <w:t>（1）投标人应在东莞市公共资源交易企业库建档；</w:t>
      </w:r>
    </w:p>
    <w:p w14:paraId="0F8B7F91">
      <w:pPr>
        <w:pStyle w:val="168"/>
        <w:keepNext w:val="0"/>
        <w:keepLines w:val="0"/>
        <w:pageBreakBefore w:val="0"/>
        <w:kinsoku/>
        <w:overflowPunct/>
        <w:topLinePunct w:val="0"/>
        <w:autoSpaceDE/>
        <w:autoSpaceDN/>
        <w:bidi w:val="0"/>
        <w:spacing w:line="360" w:lineRule="auto"/>
        <w:ind w:left="420" w:leftChars="200"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在招标文件规定的东莞市公共资源交易E网通管理平台建设工程交易系统（以下简称交易系统）信息数据采集时间前，投标人已在东莞市公共资源交易企业库建档，且法人、法定代表人名称或企业、人员资质证书等与本次招标项目密切相关的信息发生变更时已办结该变更的登记手续，投标人应登录交易系统核实企业填报数据真实有效。</w:t>
      </w:r>
    </w:p>
    <w:p w14:paraId="25A4AE18">
      <w:pPr>
        <w:keepNext w:val="0"/>
        <w:keepLines w:val="0"/>
        <w:pageBreakBefore w:val="0"/>
        <w:kinsoku/>
        <w:overflowPunct/>
        <w:topLinePunct w:val="0"/>
        <w:autoSpaceDE w:val="0"/>
        <w:autoSpaceDN w:val="0"/>
        <w:bidi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62870CEB">
      <w:pPr>
        <w:pStyle w:val="186"/>
        <w:keepNext w:val="0"/>
        <w:keepLines w:val="0"/>
        <w:pageBreakBefore w:val="0"/>
        <w:numPr>
          <w:ilvl w:val="0"/>
          <w:numId w:val="1"/>
        </w:numPr>
        <w:kinsoku/>
        <w:overflowPunct/>
        <w:topLinePunct w:val="0"/>
        <w:bidi w:val="0"/>
        <w:spacing w:line="360" w:lineRule="auto"/>
        <w:ind w:left="426" w:right="-34" w:hanging="426" w:firstLineChars="0"/>
        <w:rPr>
          <w:rFonts w:ascii="宋体" w:hAnsi="宋体" w:cs="宋体"/>
          <w:color w:val="auto"/>
          <w:szCs w:val="21"/>
          <w:highlight w:val="none"/>
        </w:rPr>
      </w:pPr>
      <w:r>
        <w:rPr>
          <w:rFonts w:hint="eastAsia" w:ascii="宋体" w:hAnsi="宋体" w:cs="宋体"/>
          <w:color w:val="auto"/>
          <w:szCs w:val="21"/>
          <w:highlight w:val="none"/>
          <w:lang w:val="zh-CN"/>
        </w:rPr>
        <w:t>获取招标文件的方式：凡有意参加投标者，可于</w:t>
      </w:r>
      <w:r>
        <w:rPr>
          <w:rFonts w:hint="eastAsia" w:ascii="宋体" w:hAnsi="宋体" w:cs="宋体"/>
          <w:color w:val="auto"/>
          <w:szCs w:val="21"/>
          <w:highlight w:val="none"/>
          <w:u w:val="single"/>
          <w:lang w:val="zh-CN"/>
        </w:rPr>
        <w:t>2025年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lang w:val="zh-CN"/>
        </w:rPr>
        <w:t>月</w:t>
      </w:r>
      <w:r>
        <w:rPr>
          <w:rFonts w:hint="eastAsia" w:ascii="宋体" w:hAnsi="宋体" w:cs="宋体"/>
          <w:color w:val="auto"/>
          <w:szCs w:val="21"/>
          <w:highlight w:val="none"/>
          <w:u w:val="single"/>
          <w:lang w:val="en-US" w:eastAsia="zh-CN"/>
        </w:rPr>
        <w:t>25</w:t>
      </w:r>
      <w:r>
        <w:rPr>
          <w:rFonts w:hint="eastAsia" w:ascii="宋体" w:hAnsi="宋体" w:cs="宋体"/>
          <w:color w:val="auto"/>
          <w:szCs w:val="21"/>
          <w:highlight w:val="none"/>
          <w:u w:val="single"/>
          <w:lang w:val="zh-CN"/>
        </w:rPr>
        <w:t>日</w:t>
      </w:r>
      <w:r>
        <w:rPr>
          <w:rFonts w:hint="eastAsia" w:ascii="宋体" w:hAnsi="宋体" w:cs="宋体"/>
          <w:color w:val="auto"/>
          <w:szCs w:val="21"/>
          <w:highlight w:val="none"/>
          <w:lang w:val="zh-CN"/>
        </w:rPr>
        <w:t>至投标截止时间前登录交易系统下载本次招标项目的招标文件等资料。</w:t>
      </w:r>
    </w:p>
    <w:p w14:paraId="7A08D1DB">
      <w:pPr>
        <w:keepNext w:val="0"/>
        <w:keepLines w:val="0"/>
        <w:pageBreakBefore w:val="0"/>
        <w:kinsoku/>
        <w:overflowPunct/>
        <w:topLinePunct w:val="0"/>
        <w:autoSpaceDE w:val="0"/>
        <w:autoSpaceDN w:val="0"/>
        <w:bidi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6B207858">
      <w:pPr>
        <w:keepNext w:val="0"/>
        <w:keepLines w:val="0"/>
        <w:pageBreakBefore w:val="0"/>
        <w:numPr>
          <w:ilvl w:val="0"/>
          <w:numId w:val="1"/>
        </w:numPr>
        <w:kinsoku/>
        <w:overflowPunct/>
        <w:topLinePunct w:val="0"/>
        <w:autoSpaceDE w:val="0"/>
        <w:autoSpaceDN w:val="0"/>
        <w:bidi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62679298">
      <w:pPr>
        <w:keepNext w:val="0"/>
        <w:keepLines w:val="0"/>
        <w:pageBreakBefore w:val="0"/>
        <w:kinsoku/>
        <w:overflowPunct/>
        <w:topLinePunct w:val="0"/>
        <w:autoSpaceDE w:val="0"/>
        <w:autoSpaceDN w:val="0"/>
        <w:bidi w:val="0"/>
        <w:adjustRightInd w:val="0"/>
        <w:spacing w:line="360" w:lineRule="auto"/>
        <w:ind w:right="-29" w:rightChars="-14" w:firstLine="420"/>
        <w:rPr>
          <w:rFonts w:ascii="宋体" w:hAnsi="宋体" w:eastAsia="宋体" w:cs="Times New Roman"/>
          <w:color w:val="auto"/>
          <w:szCs w:val="21"/>
          <w:highlight w:val="none"/>
          <w:lang w:val="zh-CN"/>
        </w:rPr>
      </w:pPr>
    </w:p>
    <w:p w14:paraId="5B48035F">
      <w:pPr>
        <w:keepNext w:val="0"/>
        <w:keepLines w:val="0"/>
        <w:pageBreakBefore w:val="0"/>
        <w:numPr>
          <w:ilvl w:val="0"/>
          <w:numId w:val="1"/>
        </w:numPr>
        <w:kinsoku/>
        <w:overflowPunct/>
        <w:topLinePunct w:val="0"/>
        <w:autoSpaceDE w:val="0"/>
        <w:autoSpaceDN w:val="0"/>
        <w:bidi w:val="0"/>
        <w:adjustRightInd w:val="0"/>
        <w:snapToGrid w:val="0"/>
        <w:spacing w:line="360" w:lineRule="auto"/>
        <w:ind w:right="-34"/>
        <w:jc w:val="left"/>
        <w:outlineLvl w:val="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投标会时间、地点及投标文件提交截止时间</w:t>
      </w:r>
      <w:r>
        <w:rPr>
          <w:rFonts w:ascii="宋体" w:hAnsi="宋体" w:eastAsia="宋体" w:cs="Times New Roman"/>
          <w:color w:val="auto"/>
          <w:szCs w:val="21"/>
          <w:highlight w:val="none"/>
          <w:lang w:val="zh-CN"/>
        </w:rPr>
        <w:t>：</w:t>
      </w:r>
    </w:p>
    <w:p w14:paraId="59843722">
      <w:pPr>
        <w:pStyle w:val="168"/>
        <w:keepNext w:val="0"/>
        <w:keepLines w:val="0"/>
        <w:pageBreakBefore w:val="0"/>
        <w:kinsoku/>
        <w:overflowPunct/>
        <w:topLinePunct w:val="0"/>
        <w:bidi w:val="0"/>
        <w:spacing w:line="360" w:lineRule="auto"/>
        <w:ind w:left="420" w:hanging="420" w:hangingChars="200"/>
        <w:jc w:val="both"/>
        <w:rPr>
          <w:rFonts w:hint="eastAsia" w:hAnsi="宋体" w:eastAsia="宋体"/>
          <w:bCs/>
          <w:color w:val="auto"/>
          <w:sz w:val="21"/>
          <w:szCs w:val="21"/>
          <w:highlight w:val="none"/>
          <w:lang w:val="zh-CN"/>
        </w:rPr>
      </w:pPr>
      <w:r>
        <w:rPr>
          <w:rFonts w:hint="eastAsia" w:hAnsi="宋体" w:eastAsia="宋体"/>
          <w:bCs/>
          <w:color w:val="auto"/>
          <w:sz w:val="21"/>
          <w:szCs w:val="21"/>
          <w:highlight w:val="none"/>
          <w:lang w:val="en-US" w:eastAsia="zh-CN"/>
        </w:rPr>
        <w:t xml:space="preserve">5.1 </w:t>
      </w:r>
      <w:r>
        <w:rPr>
          <w:rFonts w:hint="eastAsia" w:hAnsi="宋体" w:eastAsia="宋体"/>
          <w:bCs/>
          <w:color w:val="auto"/>
          <w:sz w:val="21"/>
          <w:szCs w:val="21"/>
          <w:highlight w:val="none"/>
          <w:lang w:val="zh-CN"/>
        </w:rPr>
        <w:t>投标会召开时间：</w:t>
      </w:r>
      <w:r>
        <w:rPr>
          <w:rFonts w:hint="eastAsia" w:hAnsi="宋体" w:eastAsia="宋体"/>
          <w:bCs/>
          <w:color w:val="auto"/>
          <w:sz w:val="21"/>
          <w:szCs w:val="21"/>
          <w:highlight w:val="none"/>
          <w:u w:val="single"/>
          <w:lang w:val="zh-CN"/>
        </w:rPr>
        <w:t>2025年</w:t>
      </w:r>
      <w:r>
        <w:rPr>
          <w:rFonts w:hint="eastAsia" w:hAnsi="宋体" w:eastAsia="宋体"/>
          <w:bCs/>
          <w:color w:val="auto"/>
          <w:sz w:val="21"/>
          <w:szCs w:val="21"/>
          <w:highlight w:val="none"/>
          <w:u w:val="single"/>
          <w:lang w:val="en-US" w:eastAsia="zh-CN"/>
        </w:rPr>
        <w:t>7</w:t>
      </w:r>
      <w:r>
        <w:rPr>
          <w:rFonts w:hint="eastAsia" w:hAnsi="宋体" w:eastAsia="宋体"/>
          <w:bCs/>
          <w:color w:val="auto"/>
          <w:sz w:val="21"/>
          <w:szCs w:val="21"/>
          <w:highlight w:val="none"/>
          <w:u w:val="single"/>
          <w:lang w:val="zh-CN"/>
        </w:rPr>
        <w:t>月</w:t>
      </w:r>
      <w:r>
        <w:rPr>
          <w:rFonts w:hint="eastAsia" w:hAnsi="宋体" w:eastAsia="宋体"/>
          <w:bCs/>
          <w:color w:val="auto"/>
          <w:sz w:val="21"/>
          <w:szCs w:val="21"/>
          <w:highlight w:val="none"/>
          <w:u w:val="single"/>
          <w:lang w:val="en-US" w:eastAsia="zh-CN"/>
        </w:rPr>
        <w:t>17</w:t>
      </w:r>
      <w:r>
        <w:rPr>
          <w:rFonts w:hint="eastAsia" w:hAnsi="宋体" w:eastAsia="宋体"/>
          <w:bCs/>
          <w:color w:val="auto"/>
          <w:sz w:val="21"/>
          <w:szCs w:val="21"/>
          <w:highlight w:val="none"/>
          <w:u w:val="single"/>
          <w:lang w:val="zh-CN"/>
        </w:rPr>
        <w:t>日</w:t>
      </w:r>
      <w:r>
        <w:rPr>
          <w:rFonts w:hint="eastAsia" w:hAnsi="宋体" w:eastAsia="宋体"/>
          <w:bCs/>
          <w:color w:val="auto"/>
          <w:sz w:val="21"/>
          <w:szCs w:val="21"/>
          <w:highlight w:val="none"/>
          <w:u w:val="single"/>
          <w:lang w:val="en-US" w:eastAsia="zh-CN"/>
        </w:rPr>
        <w:t>9</w:t>
      </w:r>
      <w:r>
        <w:rPr>
          <w:rFonts w:hint="eastAsia" w:hAnsi="宋体" w:eastAsia="宋体"/>
          <w:bCs/>
          <w:color w:val="auto"/>
          <w:sz w:val="21"/>
          <w:szCs w:val="21"/>
          <w:highlight w:val="none"/>
          <w:u w:val="single"/>
          <w:lang w:val="zh-CN"/>
        </w:rPr>
        <w:t>时</w:t>
      </w:r>
      <w:r>
        <w:rPr>
          <w:rFonts w:hint="eastAsia" w:hAnsi="宋体" w:eastAsia="宋体"/>
          <w:bCs/>
          <w:color w:val="auto"/>
          <w:sz w:val="21"/>
          <w:szCs w:val="21"/>
          <w:highlight w:val="none"/>
          <w:u w:val="single"/>
          <w:lang w:val="en-US" w:eastAsia="zh-CN"/>
        </w:rPr>
        <w:t>30</w:t>
      </w:r>
      <w:r>
        <w:rPr>
          <w:rFonts w:hint="eastAsia" w:hAnsi="宋体" w:eastAsia="宋体"/>
          <w:bCs/>
          <w:color w:val="auto"/>
          <w:sz w:val="21"/>
          <w:szCs w:val="21"/>
          <w:highlight w:val="none"/>
          <w:u w:val="single"/>
          <w:lang w:val="zh-CN"/>
        </w:rPr>
        <w:t>分</w:t>
      </w:r>
      <w:r>
        <w:rPr>
          <w:rFonts w:hint="eastAsia" w:hAnsi="宋体" w:eastAsia="宋体"/>
          <w:bCs/>
          <w:color w:val="auto"/>
          <w:sz w:val="21"/>
          <w:szCs w:val="21"/>
          <w:highlight w:val="none"/>
          <w:lang w:val="zh-CN"/>
        </w:rPr>
        <w:t>，投标会召开地点：东莞市南城</w:t>
      </w:r>
      <w:r>
        <w:rPr>
          <w:rFonts w:hint="eastAsia" w:hAnsi="宋体" w:eastAsia="宋体"/>
          <w:bCs/>
          <w:color w:val="auto"/>
          <w:sz w:val="21"/>
          <w:szCs w:val="21"/>
          <w:highlight w:val="none"/>
          <w:lang w:val="en-US" w:eastAsia="zh-CN"/>
        </w:rPr>
        <w:t>街道</w:t>
      </w:r>
      <w:r>
        <w:rPr>
          <w:rFonts w:hint="eastAsia" w:hAnsi="宋体" w:eastAsia="宋体"/>
          <w:bCs/>
          <w:color w:val="auto"/>
          <w:sz w:val="21"/>
          <w:szCs w:val="21"/>
          <w:highlight w:val="none"/>
          <w:lang w:val="zh-CN"/>
        </w:rPr>
        <w:t>西平社区宏伟三路45号东莞市公共资源交易中心开标室（</w:t>
      </w:r>
      <w:r>
        <w:rPr>
          <w:rFonts w:hint="eastAsia" w:hAnsi="宋体" w:eastAsia="宋体"/>
          <w:bCs/>
          <w:color w:val="auto"/>
          <w:sz w:val="21"/>
          <w:szCs w:val="21"/>
          <w:highlight w:val="none"/>
          <w:lang w:val="en-US" w:eastAsia="zh-CN"/>
        </w:rPr>
        <w:t>13</w:t>
      </w:r>
      <w:r>
        <w:rPr>
          <w:rFonts w:hint="eastAsia" w:hAnsi="宋体" w:eastAsia="宋体"/>
          <w:bCs/>
          <w:color w:val="auto"/>
          <w:sz w:val="21"/>
          <w:szCs w:val="21"/>
          <w:highlight w:val="none"/>
          <w:lang w:val="zh-CN"/>
        </w:rPr>
        <w:t>）；</w:t>
      </w:r>
    </w:p>
    <w:p w14:paraId="118AFDD0">
      <w:pPr>
        <w:pStyle w:val="168"/>
        <w:keepNext w:val="0"/>
        <w:keepLines w:val="0"/>
        <w:pageBreakBefore w:val="0"/>
        <w:kinsoku/>
        <w:overflowPunct/>
        <w:topLinePunct w:val="0"/>
        <w:bidi w:val="0"/>
        <w:spacing w:line="360" w:lineRule="auto"/>
        <w:ind w:left="420" w:hanging="420" w:hangingChars="200"/>
        <w:jc w:val="both"/>
        <w:rPr>
          <w:rFonts w:hAnsi="宋体" w:eastAsia="宋体"/>
          <w:bCs/>
          <w:color w:val="auto"/>
          <w:sz w:val="21"/>
          <w:szCs w:val="21"/>
          <w:highlight w:val="none"/>
          <w:lang w:val="zh-CN"/>
        </w:rPr>
      </w:pPr>
      <w:r>
        <w:rPr>
          <w:rFonts w:hint="eastAsia" w:hAnsi="宋体" w:eastAsia="宋体"/>
          <w:bCs/>
          <w:color w:val="auto"/>
          <w:sz w:val="21"/>
          <w:szCs w:val="21"/>
          <w:highlight w:val="none"/>
          <w:lang w:val="zh-CN"/>
        </w:rPr>
        <w:t>5.</w:t>
      </w:r>
      <w:r>
        <w:rPr>
          <w:rFonts w:hint="eastAsia" w:hAnsi="宋体" w:eastAsia="宋体"/>
          <w:bCs/>
          <w:color w:val="auto"/>
          <w:sz w:val="21"/>
          <w:szCs w:val="21"/>
          <w:highlight w:val="none"/>
          <w:lang w:val="en-US" w:eastAsia="zh-CN"/>
        </w:rPr>
        <w:t>2</w:t>
      </w:r>
      <w:r>
        <w:rPr>
          <w:rFonts w:hint="eastAsia" w:hAnsi="宋体" w:eastAsia="宋体"/>
          <w:bCs/>
          <w:color w:val="auto"/>
          <w:sz w:val="21"/>
          <w:szCs w:val="21"/>
          <w:highlight w:val="none"/>
          <w:lang w:val="zh-CN"/>
        </w:rPr>
        <w:t xml:space="preserve"> 投标文件递交的截止时间（投标截止时间，下同）：</w:t>
      </w:r>
      <w:r>
        <w:rPr>
          <w:rFonts w:hint="eastAsia" w:hAnsi="宋体" w:eastAsia="宋体"/>
          <w:bCs/>
          <w:color w:val="auto"/>
          <w:sz w:val="21"/>
          <w:szCs w:val="21"/>
          <w:highlight w:val="none"/>
          <w:u w:val="single"/>
          <w:lang w:val="zh-CN"/>
        </w:rPr>
        <w:t>2025年</w:t>
      </w:r>
      <w:r>
        <w:rPr>
          <w:rFonts w:hint="eastAsia" w:hAnsi="宋体" w:eastAsia="宋体"/>
          <w:bCs/>
          <w:color w:val="auto"/>
          <w:sz w:val="21"/>
          <w:szCs w:val="21"/>
          <w:highlight w:val="none"/>
          <w:u w:val="single"/>
          <w:lang w:val="en-US" w:eastAsia="zh-CN"/>
        </w:rPr>
        <w:t>7</w:t>
      </w:r>
      <w:r>
        <w:rPr>
          <w:rFonts w:hint="eastAsia" w:hAnsi="宋体" w:eastAsia="宋体"/>
          <w:bCs/>
          <w:color w:val="auto"/>
          <w:sz w:val="21"/>
          <w:szCs w:val="21"/>
          <w:highlight w:val="none"/>
          <w:u w:val="single"/>
          <w:lang w:val="zh-CN"/>
        </w:rPr>
        <w:t>月</w:t>
      </w:r>
      <w:r>
        <w:rPr>
          <w:rFonts w:hint="eastAsia" w:hAnsi="宋体" w:eastAsia="宋体"/>
          <w:bCs/>
          <w:color w:val="auto"/>
          <w:sz w:val="21"/>
          <w:szCs w:val="21"/>
          <w:highlight w:val="none"/>
          <w:u w:val="single"/>
          <w:lang w:val="en-US" w:eastAsia="zh-CN"/>
        </w:rPr>
        <w:t>17</w:t>
      </w:r>
      <w:r>
        <w:rPr>
          <w:rFonts w:hint="eastAsia" w:hAnsi="宋体" w:eastAsia="宋体"/>
          <w:bCs/>
          <w:color w:val="auto"/>
          <w:sz w:val="21"/>
          <w:szCs w:val="21"/>
          <w:highlight w:val="none"/>
          <w:u w:val="single"/>
          <w:lang w:val="zh-CN"/>
        </w:rPr>
        <w:t>日</w:t>
      </w:r>
      <w:r>
        <w:rPr>
          <w:rFonts w:hint="eastAsia" w:hAnsi="宋体" w:eastAsia="宋体"/>
          <w:bCs/>
          <w:color w:val="auto"/>
          <w:sz w:val="21"/>
          <w:szCs w:val="21"/>
          <w:highlight w:val="none"/>
          <w:u w:val="single"/>
          <w:lang w:val="en-US" w:eastAsia="zh-CN"/>
        </w:rPr>
        <w:t>9</w:t>
      </w:r>
      <w:r>
        <w:rPr>
          <w:rFonts w:hint="eastAsia" w:hAnsi="宋体" w:eastAsia="宋体"/>
          <w:bCs/>
          <w:color w:val="auto"/>
          <w:sz w:val="21"/>
          <w:szCs w:val="21"/>
          <w:highlight w:val="none"/>
          <w:u w:val="single"/>
          <w:lang w:val="zh-CN"/>
        </w:rPr>
        <w:t>时</w:t>
      </w:r>
      <w:r>
        <w:rPr>
          <w:rFonts w:hint="eastAsia" w:hAnsi="宋体" w:eastAsia="宋体"/>
          <w:bCs/>
          <w:color w:val="auto"/>
          <w:sz w:val="21"/>
          <w:szCs w:val="21"/>
          <w:highlight w:val="none"/>
          <w:u w:val="single"/>
          <w:lang w:val="en-US" w:eastAsia="zh-CN"/>
        </w:rPr>
        <w:t>30</w:t>
      </w:r>
      <w:r>
        <w:rPr>
          <w:rFonts w:hint="eastAsia" w:hAnsi="宋体" w:eastAsia="宋体"/>
          <w:bCs/>
          <w:color w:val="auto"/>
          <w:sz w:val="21"/>
          <w:szCs w:val="21"/>
          <w:highlight w:val="none"/>
          <w:u w:val="single"/>
          <w:lang w:val="zh-CN"/>
        </w:rPr>
        <w:t>分，</w:t>
      </w:r>
      <w:r>
        <w:rPr>
          <w:rFonts w:hint="eastAsia" w:hAnsi="宋体" w:eastAsia="宋体"/>
          <w:bCs/>
          <w:color w:val="auto"/>
          <w:sz w:val="21"/>
          <w:szCs w:val="21"/>
          <w:highlight w:val="none"/>
          <w:lang w:val="zh-CN"/>
        </w:rPr>
        <w:t>地点：通过东莞市公共资源交易E网通管理平台建设工程交易系统网上提交；</w:t>
      </w:r>
    </w:p>
    <w:p w14:paraId="31F80368">
      <w:pPr>
        <w:pStyle w:val="168"/>
        <w:keepNext w:val="0"/>
        <w:keepLines w:val="0"/>
        <w:pageBreakBefore w:val="0"/>
        <w:kinsoku/>
        <w:overflowPunct/>
        <w:topLinePunct w:val="0"/>
        <w:bidi w:val="0"/>
        <w:spacing w:line="360" w:lineRule="auto"/>
        <w:ind w:left="420" w:hanging="420" w:hangingChars="200"/>
        <w:rPr>
          <w:rFonts w:hint="eastAsia" w:hAnsi="宋体" w:eastAsia="宋体"/>
          <w:bCs/>
          <w:color w:val="auto"/>
          <w:sz w:val="21"/>
          <w:szCs w:val="21"/>
          <w:highlight w:val="none"/>
          <w:lang w:val="zh-CN"/>
        </w:rPr>
      </w:pPr>
      <w:r>
        <w:rPr>
          <w:rFonts w:hint="eastAsia" w:hAnsi="宋体" w:eastAsia="宋体"/>
          <w:bCs/>
          <w:color w:val="auto"/>
          <w:sz w:val="21"/>
          <w:szCs w:val="21"/>
          <w:highlight w:val="none"/>
          <w:lang w:val="zh-CN"/>
        </w:rPr>
        <w:t>5.</w:t>
      </w:r>
      <w:r>
        <w:rPr>
          <w:rFonts w:hint="eastAsia" w:hAnsi="宋体" w:eastAsia="宋体"/>
          <w:bCs/>
          <w:color w:val="auto"/>
          <w:sz w:val="21"/>
          <w:szCs w:val="21"/>
          <w:highlight w:val="none"/>
          <w:lang w:val="en-US" w:eastAsia="zh-CN"/>
        </w:rPr>
        <w:t>3</w:t>
      </w:r>
      <w:r>
        <w:rPr>
          <w:rFonts w:hint="eastAsia" w:hAnsi="宋体" w:eastAsia="宋体"/>
          <w:bCs/>
          <w:color w:val="auto"/>
          <w:sz w:val="21"/>
          <w:szCs w:val="21"/>
          <w:highlight w:val="none"/>
          <w:lang w:val="zh-CN"/>
        </w:rPr>
        <w:t xml:space="preserve"> 投标人必须通过交易系统在线上传投标文件，上述方式外提交的投标文件及逾期通过网络上传的电子投标文件，招标人不予受理。</w:t>
      </w:r>
    </w:p>
    <w:p w14:paraId="2FE6AFE0">
      <w:pPr>
        <w:pStyle w:val="168"/>
        <w:keepNext w:val="0"/>
        <w:keepLines w:val="0"/>
        <w:pageBreakBefore w:val="0"/>
        <w:kinsoku/>
        <w:overflowPunct/>
        <w:topLinePunct w:val="0"/>
        <w:bidi w:val="0"/>
        <w:spacing w:line="360" w:lineRule="auto"/>
        <w:ind w:left="420" w:hanging="420" w:hangingChars="200"/>
        <w:rPr>
          <w:rFonts w:hint="eastAsia" w:hAnsi="宋体" w:eastAsia="宋体"/>
          <w:bCs/>
          <w:color w:val="auto"/>
          <w:sz w:val="21"/>
          <w:szCs w:val="21"/>
          <w:highlight w:val="none"/>
          <w:lang w:val="zh-CN"/>
        </w:rPr>
      </w:pPr>
    </w:p>
    <w:p w14:paraId="371C149B">
      <w:pPr>
        <w:keepNext w:val="0"/>
        <w:keepLines w:val="0"/>
        <w:pageBreakBefore w:val="0"/>
        <w:numPr>
          <w:ilvl w:val="0"/>
          <w:numId w:val="1"/>
        </w:numPr>
        <w:kinsoku/>
        <w:overflowPunct/>
        <w:topLinePunct w:val="0"/>
        <w:bidi w:val="0"/>
        <w:snapToGrid w:val="0"/>
        <w:spacing w:line="360" w:lineRule="auto"/>
        <w:ind w:right="-34"/>
        <w:outlineLvl w:val="0"/>
        <w:rPr>
          <w:rFonts w:hint="eastAsia" w:hAnsi="宋体" w:eastAsia="宋体"/>
          <w:bCs/>
          <w:color w:val="auto"/>
          <w:sz w:val="21"/>
          <w:szCs w:val="21"/>
          <w:highlight w:val="none"/>
          <w:lang w:val="zh-CN"/>
        </w:rPr>
      </w:pPr>
      <w:r>
        <w:rPr>
          <w:rFonts w:hint="eastAsia" w:hAnsi="宋体" w:eastAsia="宋体"/>
          <w:bCs/>
          <w:color w:val="auto"/>
          <w:sz w:val="21"/>
          <w:szCs w:val="21"/>
          <w:highlight w:val="none"/>
          <w:lang w:val="zh-CN"/>
        </w:rPr>
        <w:t>开标时间和地点：</w:t>
      </w:r>
    </w:p>
    <w:p w14:paraId="61044375">
      <w:pPr>
        <w:pStyle w:val="168"/>
        <w:keepNext w:val="0"/>
        <w:keepLines w:val="0"/>
        <w:pageBreakBefore w:val="0"/>
        <w:kinsoku/>
        <w:overflowPunct/>
        <w:topLinePunct w:val="0"/>
        <w:bidi w:val="0"/>
        <w:spacing w:line="360" w:lineRule="auto"/>
        <w:ind w:left="420" w:hanging="420" w:hangingChars="200"/>
        <w:outlineLvl w:val="1"/>
        <w:rPr>
          <w:rFonts w:hint="eastAsia" w:hAnsi="宋体" w:eastAsia="宋体"/>
          <w:bCs/>
          <w:color w:val="auto"/>
          <w:sz w:val="21"/>
          <w:szCs w:val="21"/>
          <w:highlight w:val="none"/>
          <w:lang w:val="zh-CN"/>
        </w:rPr>
      </w:pPr>
      <w:r>
        <w:rPr>
          <w:rFonts w:hint="eastAsia" w:hAnsi="宋体" w:eastAsia="宋体"/>
          <w:bCs/>
          <w:color w:val="auto"/>
          <w:sz w:val="21"/>
          <w:szCs w:val="21"/>
          <w:highlight w:val="none"/>
          <w:lang w:val="zh-CN" w:eastAsia="zh-CN"/>
        </w:rPr>
        <w:t xml:space="preserve">6.1 </w:t>
      </w:r>
      <w:r>
        <w:rPr>
          <w:rFonts w:hint="eastAsia" w:hAnsi="宋体" w:eastAsia="宋体"/>
          <w:bCs/>
          <w:color w:val="auto"/>
          <w:sz w:val="21"/>
          <w:szCs w:val="21"/>
          <w:highlight w:val="none"/>
          <w:lang w:val="zh-CN"/>
        </w:rPr>
        <w:t>开标时间：同投标截止时间；</w:t>
      </w:r>
    </w:p>
    <w:p w14:paraId="2F1045B4">
      <w:pPr>
        <w:pStyle w:val="168"/>
        <w:keepNext w:val="0"/>
        <w:keepLines w:val="0"/>
        <w:pageBreakBefore w:val="0"/>
        <w:kinsoku/>
        <w:overflowPunct/>
        <w:topLinePunct w:val="0"/>
        <w:bidi w:val="0"/>
        <w:spacing w:line="360" w:lineRule="auto"/>
        <w:ind w:left="420" w:hanging="420" w:hangingChars="200"/>
        <w:rPr>
          <w:rFonts w:hint="eastAsia" w:hAnsi="宋体" w:eastAsia="宋体"/>
          <w:bCs/>
          <w:color w:val="auto"/>
          <w:sz w:val="21"/>
          <w:szCs w:val="21"/>
          <w:highlight w:val="none"/>
          <w:lang w:val="zh-CN"/>
        </w:rPr>
      </w:pPr>
      <w:r>
        <w:rPr>
          <w:rFonts w:hint="eastAsia" w:hAnsi="宋体" w:eastAsia="宋体"/>
          <w:bCs/>
          <w:color w:val="auto"/>
          <w:sz w:val="21"/>
          <w:szCs w:val="21"/>
          <w:highlight w:val="none"/>
          <w:lang w:val="zh-CN" w:eastAsia="zh-CN"/>
        </w:rPr>
        <w:t xml:space="preserve">6.2 </w:t>
      </w:r>
      <w:r>
        <w:rPr>
          <w:rFonts w:hint="eastAsia" w:hAnsi="宋体" w:eastAsia="宋体"/>
          <w:bCs/>
          <w:color w:val="auto"/>
          <w:sz w:val="21"/>
          <w:szCs w:val="21"/>
          <w:highlight w:val="none"/>
          <w:lang w:val="zh-CN"/>
        </w:rPr>
        <w:t>开标地点：东莞市南城</w:t>
      </w:r>
      <w:r>
        <w:rPr>
          <w:rFonts w:hint="eastAsia" w:hAnsi="宋体" w:eastAsia="宋体"/>
          <w:bCs/>
          <w:color w:val="auto"/>
          <w:sz w:val="21"/>
          <w:szCs w:val="21"/>
          <w:highlight w:val="none"/>
          <w:lang w:val="en-US" w:eastAsia="zh-CN"/>
        </w:rPr>
        <w:t>街道</w:t>
      </w:r>
      <w:r>
        <w:rPr>
          <w:rFonts w:hint="eastAsia" w:hAnsi="宋体" w:eastAsia="宋体"/>
          <w:bCs/>
          <w:color w:val="auto"/>
          <w:sz w:val="21"/>
          <w:szCs w:val="21"/>
          <w:highlight w:val="none"/>
          <w:lang w:val="zh-CN"/>
        </w:rPr>
        <w:t>西平社区宏伟三路45号东莞市公共资源交易中心开标室（</w:t>
      </w:r>
      <w:r>
        <w:rPr>
          <w:rFonts w:hint="eastAsia" w:hAnsi="宋体" w:eastAsia="宋体"/>
          <w:bCs/>
          <w:color w:val="auto"/>
          <w:sz w:val="21"/>
          <w:szCs w:val="21"/>
          <w:highlight w:val="none"/>
          <w:lang w:val="en-US" w:eastAsia="zh-CN"/>
        </w:rPr>
        <w:t>13</w:t>
      </w:r>
      <w:r>
        <w:rPr>
          <w:rFonts w:hint="eastAsia" w:hAnsi="宋体" w:eastAsia="宋体"/>
          <w:bCs/>
          <w:color w:val="auto"/>
          <w:sz w:val="21"/>
          <w:szCs w:val="21"/>
          <w:highlight w:val="none"/>
          <w:lang w:val="zh-CN"/>
        </w:rPr>
        <w:t>）。</w:t>
      </w:r>
    </w:p>
    <w:p w14:paraId="1AB9A245">
      <w:pPr>
        <w:pStyle w:val="168"/>
        <w:keepNext w:val="0"/>
        <w:keepLines w:val="0"/>
        <w:pageBreakBefore w:val="0"/>
        <w:kinsoku/>
        <w:overflowPunct/>
        <w:topLinePunct w:val="0"/>
        <w:bidi w:val="0"/>
        <w:spacing w:line="360" w:lineRule="auto"/>
        <w:ind w:left="420" w:hanging="420" w:hangingChars="200"/>
        <w:rPr>
          <w:rFonts w:hAnsi="宋体" w:eastAsia="宋体"/>
          <w:bCs/>
          <w:color w:val="auto"/>
          <w:sz w:val="21"/>
          <w:szCs w:val="21"/>
          <w:highlight w:val="none"/>
          <w:lang w:val="zh-CN"/>
        </w:rPr>
      </w:pPr>
      <w:r>
        <w:rPr>
          <w:rFonts w:hint="eastAsia" w:hAnsi="宋体" w:eastAsia="宋体"/>
          <w:bCs/>
          <w:color w:val="auto"/>
          <w:sz w:val="21"/>
          <w:szCs w:val="21"/>
          <w:highlight w:val="none"/>
          <w:lang w:val="en-US" w:eastAsia="zh-CN"/>
        </w:rPr>
        <w:t xml:space="preserve">6.3 </w:t>
      </w:r>
      <w:r>
        <w:rPr>
          <w:rFonts w:hint="eastAsia" w:hAnsi="宋体" w:eastAsia="宋体"/>
          <w:bCs/>
          <w:color w:val="auto"/>
          <w:sz w:val="21"/>
          <w:szCs w:val="21"/>
          <w:highlight w:val="none"/>
          <w:lang w:val="zh-CN"/>
        </w:rPr>
        <w:t>对投标人提示如下：开标视频网上直播，建议投标人可通过投标人企业数字证书登录到东莞市公共资源交易中心的E网通管理平台后，可通过“建设工程”栏目，点击“开标直播”、“标室列表”，查看标室直播画面。</w:t>
      </w:r>
    </w:p>
    <w:p w14:paraId="27656BD4">
      <w:pPr>
        <w:keepNext w:val="0"/>
        <w:keepLines w:val="0"/>
        <w:pageBreakBefore w:val="0"/>
        <w:kinsoku/>
        <w:overflowPunct/>
        <w:topLinePunct w:val="0"/>
        <w:autoSpaceDE w:val="0"/>
        <w:autoSpaceDN w:val="0"/>
        <w:bidi w:val="0"/>
        <w:adjustRightInd w:val="0"/>
        <w:spacing w:line="360" w:lineRule="auto"/>
        <w:ind w:left="210" w:leftChars="100" w:right="-29" w:rightChars="-14"/>
        <w:rPr>
          <w:rFonts w:ascii="宋体" w:hAnsi="宋体" w:eastAsia="宋体" w:cs="Times New Roman"/>
          <w:color w:val="auto"/>
          <w:szCs w:val="21"/>
          <w:highlight w:val="none"/>
          <w:lang w:val="zh-CN"/>
        </w:rPr>
      </w:pPr>
    </w:p>
    <w:p w14:paraId="35CCC775">
      <w:pPr>
        <w:keepNext w:val="0"/>
        <w:keepLines w:val="0"/>
        <w:pageBreakBefore w:val="0"/>
        <w:numPr>
          <w:ilvl w:val="0"/>
          <w:numId w:val="1"/>
        </w:numPr>
        <w:kinsoku/>
        <w:wordWrap w:val="0"/>
        <w:overflowPunct/>
        <w:topLinePunct w:val="0"/>
        <w:autoSpaceDE w:val="0"/>
        <w:autoSpaceDN w:val="0"/>
        <w:bidi w:val="0"/>
        <w:adjustRightInd w:val="0"/>
        <w:snapToGrid w:val="0"/>
        <w:spacing w:line="360" w:lineRule="auto"/>
        <w:ind w:left="363" w:right="-34" w:hanging="363"/>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本项目相关公告在以下媒介发布：全国公共资源交易平台（广东省·东莞市）（https://ygp.gdzwfw.gov.cn/#/441900/index）、中国招标投标公共服务平台（www.cebpubservice.com）、东莞市水务集团有限公司网（www.dgswjt.cn）、招标代理机构网站（</w:t>
      </w:r>
      <w:r>
        <w:rPr>
          <w:rFonts w:hint="eastAsia" w:ascii="宋体" w:hAnsi="宋体" w:eastAsia="宋体" w:cs="Times New Roman"/>
          <w:bCs/>
          <w:color w:val="auto"/>
          <w:szCs w:val="21"/>
          <w:highlight w:val="none"/>
          <w:u w:val="single"/>
          <w:lang w:eastAsia="zh-CN"/>
        </w:rPr>
        <w:t>www.youde.net</w:t>
      </w:r>
      <w:r>
        <w:rPr>
          <w:rFonts w:ascii="宋体" w:hAnsi="宋体" w:eastAsia="宋体" w:cs="Times New Roman"/>
          <w:bCs/>
          <w:color w:val="auto"/>
          <w:szCs w:val="21"/>
          <w:highlight w:val="none"/>
        </w:rPr>
        <w:t>）</w:t>
      </w:r>
      <w:r>
        <w:rPr>
          <w:rFonts w:ascii="宋体" w:hAnsi="宋体" w:eastAsia="宋体" w:cs="Times New Roman"/>
          <w:color w:val="auto"/>
          <w:szCs w:val="21"/>
          <w:highlight w:val="none"/>
          <w:lang w:val="zh-CN"/>
        </w:rPr>
        <w:t>。</w:t>
      </w:r>
    </w:p>
    <w:p w14:paraId="30CBC5D2">
      <w:pPr>
        <w:keepNext w:val="0"/>
        <w:keepLines w:val="0"/>
        <w:pageBreakBefore w:val="0"/>
        <w:kinsoku/>
        <w:overflowPunct/>
        <w:topLinePunct w:val="0"/>
        <w:autoSpaceDE w:val="0"/>
        <w:autoSpaceDN w:val="0"/>
        <w:bidi w:val="0"/>
        <w:adjustRightInd w:val="0"/>
        <w:snapToGrid w:val="0"/>
        <w:spacing w:line="360" w:lineRule="auto"/>
        <w:ind w:right="-34"/>
        <w:jc w:val="left"/>
        <w:rPr>
          <w:rFonts w:ascii="宋体" w:hAnsi="宋体" w:eastAsia="宋体" w:cs="Times New Roman"/>
          <w:bCs/>
          <w:color w:val="auto"/>
          <w:szCs w:val="21"/>
          <w:highlight w:val="none"/>
        </w:rPr>
      </w:pPr>
    </w:p>
    <w:p w14:paraId="2FC43DB1">
      <w:pPr>
        <w:keepNext w:val="0"/>
        <w:keepLines w:val="0"/>
        <w:pageBreakBefore w:val="0"/>
        <w:numPr>
          <w:ilvl w:val="0"/>
          <w:numId w:val="1"/>
        </w:numPr>
        <w:kinsoku/>
        <w:overflowPunct/>
        <w:topLinePunct w:val="0"/>
        <w:autoSpaceDE w:val="0"/>
        <w:autoSpaceDN w:val="0"/>
        <w:bidi w:val="0"/>
        <w:adjustRightInd w:val="0"/>
        <w:snapToGrid w:val="0"/>
        <w:spacing w:line="360" w:lineRule="auto"/>
        <w:ind w:right="-34"/>
        <w:jc w:val="left"/>
        <w:outlineLvl w:val="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投标保证金</w:t>
      </w:r>
    </w:p>
    <w:p w14:paraId="55B4ED46">
      <w:pPr>
        <w:pStyle w:val="168"/>
        <w:keepNext w:val="0"/>
        <w:keepLines w:val="0"/>
        <w:pageBreakBefore w:val="0"/>
        <w:kinsoku/>
        <w:overflowPunct/>
        <w:topLinePunct w:val="0"/>
        <w:bidi w:val="0"/>
        <w:spacing w:line="360" w:lineRule="auto"/>
        <w:ind w:left="420" w:hanging="420" w:hangingChars="200"/>
        <w:rPr>
          <w:rFonts w:hint="eastAsia" w:ascii="宋体" w:hAnsi="宋体" w:eastAsia="宋体"/>
          <w:bCs/>
          <w:color w:val="auto"/>
          <w:sz w:val="21"/>
          <w:szCs w:val="21"/>
          <w:highlight w:val="none"/>
          <w:lang w:val="zh-CN"/>
        </w:rPr>
      </w:pPr>
      <w:r>
        <w:rPr>
          <w:rFonts w:hint="eastAsia" w:ascii="宋体" w:hAnsi="宋体" w:eastAsia="宋体"/>
          <w:bCs/>
          <w:color w:val="auto"/>
          <w:sz w:val="21"/>
          <w:szCs w:val="21"/>
          <w:highlight w:val="none"/>
          <w:lang w:val="en-US" w:eastAsia="zh-CN"/>
        </w:rPr>
        <w:t>8</w:t>
      </w:r>
      <w:r>
        <w:rPr>
          <w:rFonts w:hint="eastAsia" w:ascii="宋体" w:hAnsi="宋体" w:eastAsia="宋体"/>
          <w:bCs/>
          <w:color w:val="auto"/>
          <w:sz w:val="21"/>
          <w:szCs w:val="21"/>
          <w:highlight w:val="none"/>
          <w:lang w:val="zh-CN"/>
        </w:rPr>
        <w:t>.1 本次招标投标人须提交投标保证金金额：</w:t>
      </w:r>
      <w:r>
        <w:rPr>
          <w:rFonts w:hint="eastAsia" w:ascii="宋体" w:hAnsi="宋体" w:eastAsia="宋体"/>
          <w:bCs/>
          <w:color w:val="auto"/>
          <w:sz w:val="21"/>
          <w:szCs w:val="21"/>
          <w:highlight w:val="none"/>
          <w:lang w:val="zh-CN" w:eastAsia="zh-CN"/>
        </w:rPr>
        <w:t>50,000.00</w:t>
      </w:r>
      <w:r>
        <w:rPr>
          <w:rFonts w:hint="eastAsia" w:ascii="宋体" w:hAnsi="宋体" w:eastAsia="宋体"/>
          <w:bCs/>
          <w:color w:val="auto"/>
          <w:sz w:val="21"/>
          <w:szCs w:val="21"/>
          <w:highlight w:val="none"/>
          <w:lang w:val="zh-CN"/>
        </w:rPr>
        <w:t>元。</w:t>
      </w:r>
    </w:p>
    <w:p w14:paraId="6FEA11DD">
      <w:pPr>
        <w:pStyle w:val="168"/>
        <w:keepNext w:val="0"/>
        <w:keepLines w:val="0"/>
        <w:pageBreakBefore w:val="0"/>
        <w:kinsoku/>
        <w:overflowPunct/>
        <w:topLinePunct w:val="0"/>
        <w:bidi w:val="0"/>
        <w:spacing w:line="360" w:lineRule="auto"/>
        <w:ind w:left="420" w:hanging="420" w:hangingChars="200"/>
        <w:rPr>
          <w:rFonts w:hint="eastAsia" w:ascii="宋体" w:hAnsi="宋体" w:eastAsia="宋体"/>
          <w:bCs/>
          <w:color w:val="auto"/>
          <w:sz w:val="21"/>
          <w:szCs w:val="21"/>
          <w:highlight w:val="none"/>
          <w:lang w:val="zh-CN"/>
        </w:rPr>
      </w:pPr>
      <w:r>
        <w:rPr>
          <w:rFonts w:hint="eastAsia" w:ascii="宋体" w:hAnsi="宋体" w:eastAsia="宋体"/>
          <w:bCs/>
          <w:color w:val="auto"/>
          <w:sz w:val="21"/>
          <w:szCs w:val="21"/>
          <w:highlight w:val="none"/>
          <w:lang w:val="en-US" w:eastAsia="zh-CN"/>
        </w:rPr>
        <w:t>8</w:t>
      </w:r>
      <w:r>
        <w:rPr>
          <w:rFonts w:hint="eastAsia" w:ascii="宋体" w:hAnsi="宋体" w:eastAsia="宋体"/>
          <w:bCs/>
          <w:color w:val="auto"/>
          <w:sz w:val="21"/>
          <w:szCs w:val="21"/>
          <w:highlight w:val="none"/>
          <w:lang w:val="zh-CN"/>
        </w:rPr>
        <w:t>.2.1</w:t>
      </w:r>
      <w:r>
        <w:rPr>
          <w:rFonts w:hint="eastAsia" w:hAnsi="宋体" w:eastAsia="宋体"/>
          <w:bCs/>
          <w:color w:val="auto"/>
          <w:sz w:val="21"/>
          <w:szCs w:val="21"/>
          <w:highlight w:val="none"/>
          <w:lang w:val="en-US" w:eastAsia="zh-CN"/>
        </w:rPr>
        <w:t xml:space="preserve"> </w:t>
      </w:r>
      <w:r>
        <w:rPr>
          <w:rFonts w:hint="eastAsia" w:ascii="宋体" w:hAnsi="宋体" w:eastAsia="宋体"/>
          <w:bCs/>
          <w:color w:val="auto"/>
          <w:sz w:val="21"/>
          <w:szCs w:val="21"/>
          <w:highlight w:val="none"/>
          <w:lang w:val="zh-CN"/>
        </w:rPr>
        <w:t>投标保证金形式：单项投标保证金；银行电子保函；保险电子保单；</w:t>
      </w:r>
    </w:p>
    <w:p w14:paraId="4AEFE116">
      <w:pPr>
        <w:pStyle w:val="168"/>
        <w:keepNext w:val="0"/>
        <w:keepLines w:val="0"/>
        <w:pageBreakBefore w:val="0"/>
        <w:kinsoku/>
        <w:overflowPunct/>
        <w:topLinePunct w:val="0"/>
        <w:bidi w:val="0"/>
        <w:spacing w:line="360" w:lineRule="auto"/>
        <w:ind w:left="420" w:leftChars="200" w:firstLine="0" w:firstLineChars="0"/>
        <w:rPr>
          <w:rFonts w:hint="eastAsia" w:ascii="宋体" w:hAnsi="宋体" w:eastAsia="宋体"/>
          <w:bCs/>
          <w:color w:val="auto"/>
          <w:sz w:val="21"/>
          <w:szCs w:val="21"/>
          <w:highlight w:val="none"/>
          <w:lang w:val="zh-CN"/>
        </w:rPr>
      </w:pPr>
      <w:r>
        <w:rPr>
          <w:rFonts w:hint="eastAsia" w:ascii="宋体" w:hAnsi="宋体" w:eastAsia="宋体"/>
          <w:bCs/>
          <w:color w:val="auto"/>
          <w:sz w:val="21"/>
          <w:szCs w:val="21"/>
          <w:highlight w:val="none"/>
          <w:lang w:val="zh-CN"/>
        </w:rPr>
        <w:t>其它：      /       。</w:t>
      </w:r>
    </w:p>
    <w:p w14:paraId="39D9CDB3">
      <w:pPr>
        <w:pStyle w:val="168"/>
        <w:keepNext w:val="0"/>
        <w:keepLines w:val="0"/>
        <w:pageBreakBefore w:val="0"/>
        <w:kinsoku/>
        <w:overflowPunct/>
        <w:topLinePunct w:val="0"/>
        <w:bidi w:val="0"/>
        <w:spacing w:line="360" w:lineRule="auto"/>
        <w:ind w:left="420" w:hanging="420" w:hangingChars="200"/>
        <w:outlineLvl w:val="1"/>
        <w:rPr>
          <w:rFonts w:hint="eastAsia" w:ascii="宋体" w:hAnsi="宋体" w:eastAsia="宋体"/>
          <w:bCs/>
          <w:color w:val="auto"/>
          <w:sz w:val="21"/>
          <w:szCs w:val="21"/>
          <w:highlight w:val="none"/>
          <w:lang w:val="zh-CN"/>
        </w:rPr>
      </w:pPr>
      <w:r>
        <w:rPr>
          <w:rFonts w:hint="eastAsia" w:ascii="宋体" w:hAnsi="宋体" w:eastAsia="宋体"/>
          <w:bCs/>
          <w:color w:val="auto"/>
          <w:sz w:val="21"/>
          <w:szCs w:val="21"/>
          <w:highlight w:val="none"/>
          <w:lang w:val="en-US" w:eastAsia="zh-CN"/>
        </w:rPr>
        <w:t>8</w:t>
      </w:r>
      <w:r>
        <w:rPr>
          <w:rFonts w:hint="eastAsia" w:ascii="宋体" w:hAnsi="宋体" w:eastAsia="宋体"/>
          <w:bCs/>
          <w:color w:val="auto"/>
          <w:sz w:val="21"/>
          <w:szCs w:val="21"/>
          <w:highlight w:val="none"/>
          <w:lang w:val="zh-CN"/>
        </w:rPr>
        <w:t>.</w:t>
      </w:r>
      <w:r>
        <w:rPr>
          <w:rFonts w:hint="eastAsia" w:hAnsi="宋体" w:eastAsia="宋体"/>
          <w:bCs/>
          <w:color w:val="auto"/>
          <w:sz w:val="21"/>
          <w:szCs w:val="21"/>
          <w:highlight w:val="none"/>
          <w:lang w:val="en-US" w:eastAsia="zh-CN"/>
        </w:rPr>
        <w:t xml:space="preserve">3 </w:t>
      </w:r>
      <w:r>
        <w:rPr>
          <w:rFonts w:hint="eastAsia" w:ascii="宋体" w:hAnsi="宋体" w:eastAsia="宋体"/>
          <w:bCs/>
          <w:color w:val="auto"/>
          <w:sz w:val="21"/>
          <w:szCs w:val="21"/>
          <w:highlight w:val="none"/>
          <w:lang w:val="zh-CN"/>
        </w:rPr>
        <w:t>投标保证金形式注意事项：</w:t>
      </w:r>
    </w:p>
    <w:p w14:paraId="3E62B6A2">
      <w:pPr>
        <w:pStyle w:val="168"/>
        <w:keepNext w:val="0"/>
        <w:keepLines w:val="0"/>
        <w:pageBreakBefore w:val="0"/>
        <w:kinsoku/>
        <w:overflowPunct/>
        <w:topLinePunct w:val="0"/>
        <w:bidi w:val="0"/>
        <w:spacing w:line="360" w:lineRule="auto"/>
        <w:ind w:left="420" w:hanging="420" w:hangingChars="200"/>
        <w:outlineLvl w:val="2"/>
        <w:rPr>
          <w:rFonts w:hint="eastAsia" w:ascii="宋体" w:hAnsi="宋体" w:eastAsia="宋体"/>
          <w:bCs/>
          <w:color w:val="auto"/>
          <w:sz w:val="21"/>
          <w:szCs w:val="21"/>
          <w:highlight w:val="none"/>
          <w:lang w:val="zh-CN"/>
        </w:rPr>
      </w:pPr>
      <w:r>
        <w:rPr>
          <w:rFonts w:hint="eastAsia" w:ascii="宋体" w:hAnsi="宋体" w:eastAsia="宋体"/>
          <w:bCs/>
          <w:color w:val="auto"/>
          <w:sz w:val="21"/>
          <w:szCs w:val="21"/>
          <w:highlight w:val="none"/>
          <w:lang w:val="zh-CN"/>
        </w:rPr>
        <w:t>（1）投标保证金到账时间应为投标保证金的关联时间。</w:t>
      </w:r>
    </w:p>
    <w:p w14:paraId="68220546">
      <w:pPr>
        <w:pStyle w:val="168"/>
        <w:keepNext w:val="0"/>
        <w:keepLines w:val="0"/>
        <w:pageBreakBefore w:val="0"/>
        <w:kinsoku/>
        <w:overflowPunct/>
        <w:topLinePunct w:val="0"/>
        <w:bidi w:val="0"/>
        <w:spacing w:line="360" w:lineRule="auto"/>
        <w:ind w:left="420" w:hanging="420" w:hangingChars="200"/>
        <w:rPr>
          <w:rFonts w:hint="eastAsia" w:ascii="宋体" w:hAnsi="宋体" w:eastAsia="宋体"/>
          <w:bCs/>
          <w:color w:val="auto"/>
          <w:sz w:val="21"/>
          <w:szCs w:val="21"/>
          <w:highlight w:val="none"/>
          <w:lang w:val="zh-CN"/>
        </w:rPr>
      </w:pPr>
      <w:r>
        <w:rPr>
          <w:rFonts w:hint="eastAsia" w:ascii="宋体" w:hAnsi="宋体" w:eastAsia="宋体"/>
          <w:bCs/>
          <w:color w:val="auto"/>
          <w:sz w:val="21"/>
          <w:szCs w:val="21"/>
          <w:highlight w:val="none"/>
          <w:lang w:val="zh-CN"/>
        </w:rPr>
        <w:t>（2）投标保证金数据超过投标截止时间后到达交易系统的，无法关联。</w:t>
      </w:r>
    </w:p>
    <w:p w14:paraId="1A9B65F0">
      <w:pPr>
        <w:pStyle w:val="168"/>
        <w:keepNext w:val="0"/>
        <w:keepLines w:val="0"/>
        <w:pageBreakBefore w:val="0"/>
        <w:kinsoku/>
        <w:overflowPunct/>
        <w:topLinePunct w:val="0"/>
        <w:bidi w:val="0"/>
        <w:spacing w:line="360" w:lineRule="auto"/>
        <w:ind w:left="420" w:hanging="420" w:hangingChars="200"/>
        <w:outlineLvl w:val="2"/>
        <w:rPr>
          <w:rFonts w:hint="eastAsia" w:ascii="宋体" w:hAnsi="宋体" w:eastAsia="宋体"/>
          <w:bCs/>
          <w:color w:val="auto"/>
          <w:sz w:val="21"/>
          <w:szCs w:val="21"/>
          <w:highlight w:val="none"/>
          <w:lang w:val="zh-CN"/>
        </w:rPr>
      </w:pPr>
      <w:r>
        <w:rPr>
          <w:rFonts w:hint="eastAsia" w:ascii="宋体" w:hAnsi="宋体" w:eastAsia="宋体"/>
          <w:bCs/>
          <w:color w:val="auto"/>
          <w:sz w:val="21"/>
          <w:szCs w:val="21"/>
          <w:highlight w:val="none"/>
          <w:lang w:val="zh-CN"/>
        </w:rPr>
        <w:t>（3）投标人应提前办理投标保证金手续，自行承担数据延误风险。</w:t>
      </w:r>
    </w:p>
    <w:p w14:paraId="1F39D16D">
      <w:pPr>
        <w:keepNext w:val="0"/>
        <w:keepLines w:val="0"/>
        <w:pageBreakBefore w:val="0"/>
        <w:kinsoku/>
        <w:overflowPunct/>
        <w:topLinePunct w:val="0"/>
        <w:autoSpaceDE w:val="0"/>
        <w:autoSpaceDN w:val="0"/>
        <w:bidi w:val="0"/>
        <w:adjustRightInd w:val="0"/>
        <w:snapToGrid w:val="0"/>
        <w:spacing w:line="360" w:lineRule="auto"/>
        <w:ind w:right="-34"/>
        <w:jc w:val="left"/>
        <w:rPr>
          <w:rFonts w:ascii="宋体" w:hAnsi="宋体" w:eastAsia="宋体" w:cs="Times New Roman"/>
          <w:bCs/>
          <w:color w:val="auto"/>
          <w:szCs w:val="21"/>
          <w:highlight w:val="none"/>
        </w:rPr>
      </w:pPr>
    </w:p>
    <w:p w14:paraId="3B7E28F7">
      <w:pPr>
        <w:keepNext w:val="0"/>
        <w:keepLines w:val="0"/>
        <w:pageBreakBefore w:val="0"/>
        <w:numPr>
          <w:ilvl w:val="0"/>
          <w:numId w:val="1"/>
        </w:numPr>
        <w:kinsoku/>
        <w:overflowPunct/>
        <w:topLinePunct w:val="0"/>
        <w:autoSpaceDE w:val="0"/>
        <w:autoSpaceDN w:val="0"/>
        <w:bidi w:val="0"/>
        <w:adjustRightInd w:val="0"/>
        <w:snapToGrid w:val="0"/>
        <w:spacing w:line="360" w:lineRule="auto"/>
        <w:ind w:right="-34"/>
        <w:jc w:val="left"/>
        <w:outlineLvl w:val="0"/>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14:paraId="5772557B">
      <w:pPr>
        <w:keepNext w:val="0"/>
        <w:keepLines w:val="0"/>
        <w:pageBreakBefore w:val="0"/>
        <w:widowControl/>
        <w:kinsoku/>
        <w:overflowPunct/>
        <w:topLinePunct w:val="0"/>
        <w:autoSpaceDE w:val="0"/>
        <w:autoSpaceDN w:val="0"/>
        <w:bidi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东莞市水务集团有限公司</w:t>
      </w:r>
    </w:p>
    <w:p w14:paraId="0044A624">
      <w:pPr>
        <w:keepNext w:val="0"/>
        <w:keepLines w:val="0"/>
        <w:pageBreakBefore w:val="0"/>
        <w:widowControl/>
        <w:kinsoku/>
        <w:overflowPunct/>
        <w:topLinePunct w:val="0"/>
        <w:autoSpaceDE w:val="0"/>
        <w:autoSpaceDN w:val="0"/>
        <w:bidi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东莞市东城街道育华路1号</w:t>
      </w:r>
    </w:p>
    <w:p w14:paraId="26D3B8E1">
      <w:pPr>
        <w:keepNext w:val="0"/>
        <w:keepLines w:val="0"/>
        <w:pageBreakBefore w:val="0"/>
        <w:widowControl/>
        <w:kinsoku/>
        <w:overflowPunct/>
        <w:topLinePunct w:val="0"/>
        <w:autoSpaceDE w:val="0"/>
        <w:autoSpaceDN w:val="0"/>
        <w:bidi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严先生</w:t>
      </w:r>
    </w:p>
    <w:p w14:paraId="173F3045">
      <w:pPr>
        <w:keepNext w:val="0"/>
        <w:keepLines w:val="0"/>
        <w:pageBreakBefore w:val="0"/>
        <w:widowControl/>
        <w:kinsoku/>
        <w:overflowPunct/>
        <w:topLinePunct w:val="0"/>
        <w:autoSpaceDE w:val="0"/>
        <w:autoSpaceDN w:val="0"/>
        <w:bidi w:val="0"/>
        <w:adjustRightInd w:val="0"/>
        <w:spacing w:line="360" w:lineRule="auto"/>
        <w:ind w:right="-31" w:rightChars="-15" w:firstLine="424" w:firstLineChars="202"/>
        <w:jc w:val="left"/>
        <w:textAlignment w:val="bottom"/>
        <w:rPr>
          <w:rFonts w:hint="default" w:ascii="宋体" w:hAnsi="宋体" w:cs="Times New Roman" w:eastAsiaTheme="minorEastAsia"/>
          <w:color w:val="auto"/>
          <w:kern w:val="0"/>
          <w:szCs w:val="21"/>
          <w:highlight w:val="none"/>
          <w:lang w:val="en-US" w:eastAsia="zh-CN"/>
        </w:rPr>
      </w:pPr>
      <w:r>
        <w:rPr>
          <w:rFonts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lang w:val="en-US" w:eastAsia="zh-CN"/>
        </w:rPr>
        <w:t>0769-27289769</w:t>
      </w:r>
    </w:p>
    <w:p w14:paraId="5D88E685">
      <w:pPr>
        <w:keepNext w:val="0"/>
        <w:keepLines w:val="0"/>
        <w:pageBreakBefore w:val="0"/>
        <w:kinsoku/>
        <w:overflowPunct/>
        <w:topLinePunct w:val="0"/>
        <w:autoSpaceDE w:val="0"/>
        <w:autoSpaceDN w:val="0"/>
        <w:bidi w:val="0"/>
        <w:adjustRightInd w:val="0"/>
        <w:spacing w:line="360" w:lineRule="auto"/>
        <w:ind w:right="-29" w:rightChars="-14" w:firstLine="420"/>
        <w:rPr>
          <w:rFonts w:ascii="宋体" w:hAnsi="宋体" w:eastAsia="宋体" w:cs="Times New Roman"/>
          <w:color w:val="auto"/>
          <w:kern w:val="0"/>
          <w:szCs w:val="21"/>
          <w:highlight w:val="none"/>
        </w:rPr>
      </w:pPr>
    </w:p>
    <w:p w14:paraId="13215E01">
      <w:pPr>
        <w:keepNext w:val="0"/>
        <w:keepLines w:val="0"/>
        <w:pageBreakBefore w:val="0"/>
        <w:numPr>
          <w:ilvl w:val="0"/>
          <w:numId w:val="1"/>
        </w:numPr>
        <w:kinsoku/>
        <w:overflowPunct/>
        <w:topLinePunct w:val="0"/>
        <w:autoSpaceDE w:val="0"/>
        <w:autoSpaceDN w:val="0"/>
        <w:bidi w:val="0"/>
        <w:adjustRightInd w:val="0"/>
        <w:snapToGrid w:val="0"/>
        <w:spacing w:line="360" w:lineRule="auto"/>
        <w:ind w:right="-34"/>
        <w:jc w:val="left"/>
        <w:outlineLvl w:val="0"/>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rPr>
        <w:t>及异议受理</w:t>
      </w:r>
      <w:r>
        <w:rPr>
          <w:rFonts w:ascii="宋体" w:hAnsi="宋体" w:eastAsia="宋体" w:cs="Times New Roman"/>
          <w:color w:val="auto"/>
          <w:szCs w:val="21"/>
          <w:highlight w:val="none"/>
        </w:rPr>
        <w:t>联系方式</w:t>
      </w:r>
    </w:p>
    <w:p w14:paraId="2D282BA1">
      <w:pPr>
        <w:keepNext w:val="0"/>
        <w:keepLines w:val="0"/>
        <w:pageBreakBefore w:val="0"/>
        <w:widowControl/>
        <w:kinsoku/>
        <w:overflowPunct/>
        <w:topLinePunct w:val="0"/>
        <w:autoSpaceDE w:val="0"/>
        <w:autoSpaceDN w:val="0"/>
        <w:bidi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bookmarkStart w:id="3" w:name="_Toc15111"/>
      <w:bookmarkStart w:id="4" w:name="_Toc450662847"/>
      <w:bookmarkStart w:id="5" w:name="_Toc142508311"/>
      <w:bookmarkStart w:id="6" w:name="_Toc195714215"/>
      <w:bookmarkStart w:id="7" w:name="_Toc18212"/>
      <w:bookmarkStart w:id="8" w:name="_Toc486167661"/>
      <w:bookmarkStart w:id="9" w:name="_Toc31764_WPSOffice_Level1"/>
      <w:r>
        <w:rPr>
          <w:rFonts w:hint="eastAsia" w:ascii="宋体" w:hAnsi="宋体" w:eastAsia="宋体" w:cs="宋体"/>
          <w:color w:val="auto"/>
          <w:kern w:val="0"/>
          <w:szCs w:val="21"/>
          <w:highlight w:val="none"/>
        </w:rPr>
        <w:t>招标代理机构：广东有德招标采购有限公司</w:t>
      </w:r>
    </w:p>
    <w:p w14:paraId="2F9A309D">
      <w:pPr>
        <w:keepNext w:val="0"/>
        <w:keepLines w:val="0"/>
        <w:pageBreakBefore w:val="0"/>
        <w:widowControl/>
        <w:kinsoku/>
        <w:overflowPunct/>
        <w:topLinePunct w:val="0"/>
        <w:autoSpaceDE w:val="0"/>
        <w:autoSpaceDN w:val="0"/>
        <w:bidi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址：东莞市东城街道新源路海德琥珀台6栋1703室</w:t>
      </w:r>
    </w:p>
    <w:p w14:paraId="27374AE0">
      <w:pPr>
        <w:keepNext w:val="0"/>
        <w:keepLines w:val="0"/>
        <w:pageBreakBefore w:val="0"/>
        <w:widowControl/>
        <w:kinsoku/>
        <w:overflowPunct/>
        <w:topLinePunct w:val="0"/>
        <w:autoSpaceDE w:val="0"/>
        <w:autoSpaceDN w:val="0"/>
        <w:bidi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郑翠婷</w:t>
      </w:r>
    </w:p>
    <w:p w14:paraId="3F4AB55F">
      <w:pPr>
        <w:keepNext w:val="0"/>
        <w:keepLines w:val="0"/>
        <w:pageBreakBefore w:val="0"/>
        <w:widowControl/>
        <w:kinsoku/>
        <w:overflowPunct/>
        <w:topLinePunct w:val="0"/>
        <w:autoSpaceDE w:val="0"/>
        <w:autoSpaceDN w:val="0"/>
        <w:bidi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电  话：</w:t>
      </w:r>
      <w:r>
        <w:rPr>
          <w:rFonts w:hint="eastAsia" w:ascii="宋体" w:hAnsi="宋体" w:eastAsia="宋体" w:cs="宋体"/>
          <w:color w:val="auto"/>
          <w:szCs w:val="21"/>
          <w:highlight w:val="none"/>
        </w:rPr>
        <w:t>0769-23362836</w:t>
      </w:r>
      <w:r>
        <w:rPr>
          <w:rFonts w:hint="eastAsia" w:ascii="宋体" w:hAnsi="宋体" w:eastAsia="宋体" w:cs="宋体"/>
          <w:color w:val="auto"/>
          <w:szCs w:val="21"/>
          <w:highlight w:val="none"/>
          <w:lang w:val="en-US" w:eastAsia="zh-CN"/>
        </w:rPr>
        <w:t>-8019</w:t>
      </w:r>
    </w:p>
    <w:p w14:paraId="73A2B8E2">
      <w:pPr>
        <w:pageBreakBefore/>
        <w:tabs>
          <w:tab w:val="left" w:pos="1080"/>
        </w:tabs>
        <w:autoSpaceDE w:val="0"/>
        <w:autoSpaceDN w:val="0"/>
        <w:adjustRightInd w:val="0"/>
        <w:spacing w:line="360" w:lineRule="auto"/>
        <w:ind w:left="-167" w:leftChars="-100" w:hanging="43"/>
        <w:jc w:val="center"/>
        <w:outlineLvl w:val="1"/>
        <w:rPr>
          <w:rFonts w:ascii="宋体" w:hAnsi="宋体" w:eastAsia="宋体" w:cs="宋体"/>
          <w:b/>
          <w:bCs/>
          <w:color w:val="auto"/>
          <w:kern w:val="44"/>
          <w:sz w:val="32"/>
          <w:szCs w:val="32"/>
          <w:highlight w:val="none"/>
        </w:rPr>
      </w:pPr>
      <w:bookmarkStart w:id="10" w:name="_Toc24405"/>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3"/>
      <w:bookmarkEnd w:id="4"/>
      <w:bookmarkEnd w:id="5"/>
      <w:bookmarkEnd w:id="6"/>
      <w:bookmarkEnd w:id="7"/>
      <w:bookmarkEnd w:id="8"/>
      <w:bookmarkEnd w:id="9"/>
      <w:bookmarkEnd w:id="10"/>
    </w:p>
    <w:p w14:paraId="50A194F7">
      <w:pPr>
        <w:keepNext/>
        <w:keepLine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11" w:name="_Toc15366_WPSOffice_Level2"/>
      <w:bookmarkStart w:id="12" w:name="_Toc29769"/>
      <w:bookmarkStart w:id="13" w:name="_Toc140596871"/>
      <w:bookmarkStart w:id="14" w:name="_Toc195714216"/>
      <w:bookmarkStart w:id="15" w:name="_Toc24479"/>
      <w:bookmarkStart w:id="16" w:name="_Toc142508312"/>
      <w:bookmarkStart w:id="17" w:name="_Toc450662848"/>
      <w:bookmarkStart w:id="18" w:name="_Toc9555"/>
      <w:bookmarkStart w:id="19" w:name="_Toc486167662"/>
      <w:r>
        <w:rPr>
          <w:rFonts w:hint="eastAsia" w:ascii="宋体" w:hAnsi="宋体" w:eastAsia="宋体" w:cs="宋体"/>
          <w:b/>
          <w:bCs/>
          <w:color w:val="auto"/>
          <w:kern w:val="44"/>
          <w:szCs w:val="21"/>
          <w:highlight w:val="none"/>
          <w:lang w:val="zh-CN"/>
        </w:rPr>
        <w:t>一、总则</w:t>
      </w:r>
      <w:bookmarkEnd w:id="11"/>
      <w:bookmarkEnd w:id="12"/>
      <w:bookmarkEnd w:id="13"/>
      <w:bookmarkEnd w:id="14"/>
      <w:bookmarkEnd w:id="15"/>
      <w:bookmarkEnd w:id="16"/>
      <w:bookmarkEnd w:id="17"/>
      <w:bookmarkEnd w:id="18"/>
      <w:bookmarkEnd w:id="19"/>
    </w:p>
    <w:p w14:paraId="1207F72C">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0" w:name="_Toc21700"/>
      <w:bookmarkStart w:id="21" w:name="_Toc23333"/>
      <w:bookmarkStart w:id="22" w:name="_Toc21710_WPSOffice_Level3"/>
      <w:bookmarkStart w:id="23" w:name="_Toc142508313"/>
      <w:bookmarkStart w:id="24" w:name="_Toc450662849"/>
      <w:bookmarkStart w:id="25" w:name="_Toc195714217"/>
      <w:bookmarkStart w:id="26" w:name="_Toc486167663"/>
      <w:bookmarkStart w:id="27" w:name="_Toc9608"/>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20"/>
      <w:bookmarkEnd w:id="21"/>
      <w:bookmarkEnd w:id="22"/>
      <w:bookmarkEnd w:id="23"/>
      <w:bookmarkEnd w:id="24"/>
      <w:bookmarkEnd w:id="25"/>
      <w:bookmarkEnd w:id="26"/>
      <w:bookmarkEnd w:id="27"/>
    </w:p>
    <w:p w14:paraId="50C6CFDA">
      <w:pPr>
        <w:autoSpaceDE w:val="0"/>
        <w:autoSpaceDN w:val="0"/>
        <w:adjustRightInd w:val="0"/>
        <w:jc w:val="left"/>
        <w:rPr>
          <w:rFonts w:ascii="宋体" w:hAnsi="宋体" w:eastAsia="宋体" w:cs="宋体"/>
          <w:color w:val="auto"/>
          <w:kern w:val="0"/>
          <w:sz w:val="24"/>
          <w:szCs w:val="24"/>
          <w:highlight w:val="none"/>
        </w:rPr>
      </w:pPr>
    </w:p>
    <w:p w14:paraId="619D35AA">
      <w:pPr>
        <w:tabs>
          <w:tab w:val="left" w:pos="570"/>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28" w:name="_Toc18557"/>
      <w:bookmarkStart w:id="29" w:name="_Toc80_WPSOffice_Level3"/>
      <w:bookmarkStart w:id="30" w:name="_Toc32244"/>
      <w:bookmarkStart w:id="31" w:name="_Toc450662850"/>
      <w:bookmarkStart w:id="32" w:name="_Toc142508314"/>
      <w:bookmarkStart w:id="33" w:name="_Toc486167664"/>
      <w:bookmarkStart w:id="34" w:name="_Toc22976"/>
      <w:bookmarkStart w:id="35" w:name="_Toc195714218"/>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28"/>
      <w:bookmarkEnd w:id="29"/>
      <w:bookmarkEnd w:id="30"/>
      <w:bookmarkEnd w:id="31"/>
      <w:bookmarkEnd w:id="32"/>
      <w:bookmarkEnd w:id="33"/>
      <w:bookmarkEnd w:id="34"/>
      <w:bookmarkEnd w:id="35"/>
    </w:p>
    <w:p w14:paraId="3CD62D04">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w:t>
      </w:r>
      <w:r>
        <w:rPr>
          <w:rFonts w:hint="eastAsia" w:ascii="宋体" w:hAnsi="宋体" w:eastAsia="宋体" w:cs="宋体"/>
          <w:b/>
          <w:color w:val="auto"/>
          <w:szCs w:val="21"/>
          <w:highlight w:val="none"/>
        </w:rPr>
        <w:t>2.5</w:t>
      </w:r>
      <w:r>
        <w:rPr>
          <w:rFonts w:hint="eastAsia" w:ascii="宋体" w:hAnsi="宋体" w:eastAsia="宋体" w:cs="宋体"/>
          <w:b/>
          <w:color w:val="auto"/>
          <w:szCs w:val="21"/>
          <w:highlight w:val="none"/>
          <w:lang w:val="zh-CN"/>
        </w:rPr>
        <w:t>款的通用要求。</w:t>
      </w:r>
    </w:p>
    <w:p w14:paraId="52DF8D47">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4984AD38">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44149977">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www.creditchina.gov.cn）失信被执行人、重大税收违法失信主体、政府采购严重违法失信行为记录名单（处罚期限届满的除外）</w:t>
      </w:r>
      <w:r>
        <w:rPr>
          <w:rFonts w:hint="eastAsia" w:ascii="宋体" w:hAnsi="宋体" w:eastAsia="宋体" w:cs="宋体"/>
          <w:b/>
          <w:color w:val="auto"/>
          <w:kern w:val="0"/>
          <w:szCs w:val="21"/>
          <w:highlight w:val="none"/>
        </w:rPr>
        <w:t>。</w:t>
      </w:r>
    </w:p>
    <w:p w14:paraId="219DA9C0">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5B28B452">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11F133C6">
      <w:pPr>
        <w:tabs>
          <w:tab w:val="left" w:pos="570"/>
        </w:tabs>
        <w:adjustRightInd w:val="0"/>
        <w:spacing w:line="360" w:lineRule="auto"/>
        <w:ind w:left="357" w:leftChars="-100" w:hanging="567"/>
        <w:jc w:val="left"/>
        <w:outlineLvl w:val="0"/>
        <w:rPr>
          <w:rFonts w:hint="eastAsia" w:ascii="宋体" w:hAnsi="宋体" w:eastAsia="宋体" w:cs="宋体"/>
          <w:b/>
          <w:color w:val="auto"/>
          <w:szCs w:val="21"/>
          <w:highlight w:val="none"/>
          <w:lang w:val="zh-CN" w:eastAsia="zh-CN"/>
        </w:rPr>
      </w:pPr>
      <w:bookmarkStart w:id="36" w:name="_Toc195714219"/>
      <w:bookmarkStart w:id="37" w:name="_Toc8199"/>
      <w:bookmarkStart w:id="38" w:name="_Toc4066"/>
      <w:bookmarkStart w:id="39" w:name="_Toc2613"/>
      <w:bookmarkStart w:id="40" w:name="_Toc11689"/>
      <w:bookmarkStart w:id="41" w:name="_Toc23847_WPSOffice_Level3"/>
      <w:bookmarkStart w:id="42" w:name="_Toc19774"/>
      <w:bookmarkStart w:id="43" w:name="_Toc142508315"/>
      <w:bookmarkStart w:id="44" w:name="_Toc450662851"/>
      <w:bookmarkStart w:id="45" w:name="_Toc486167665"/>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w:t>
      </w:r>
      <w:bookmarkEnd w:id="36"/>
      <w:bookmarkEnd w:id="37"/>
      <w:bookmarkEnd w:id="38"/>
      <w:r>
        <w:rPr>
          <w:rFonts w:hint="eastAsia" w:ascii="宋体" w:hAnsi="宋体" w:eastAsia="宋体" w:cs="宋体"/>
          <w:b/>
          <w:color w:val="auto"/>
          <w:szCs w:val="21"/>
          <w:highlight w:val="none"/>
          <w:lang w:val="en-US" w:eastAsia="zh-CN"/>
        </w:rPr>
        <w:t>服务</w:t>
      </w:r>
      <w:bookmarkEnd w:id="39"/>
    </w:p>
    <w:bookmarkEnd w:id="40"/>
    <w:bookmarkEnd w:id="41"/>
    <w:bookmarkEnd w:id="42"/>
    <w:bookmarkEnd w:id="43"/>
    <w:p w14:paraId="259E6870">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“服务”是指投标人按招标文件规定完成的全部服务内容，其中包括完成服务所需的货物和工程，及须承担的技术支持、培训和其它伴随服务。</w:t>
      </w:r>
    </w:p>
    <w:p w14:paraId="4F978187">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6" w:name="_Toc1977663"/>
      <w:bookmarkStart w:id="47" w:name="_Toc533708063"/>
      <w:r>
        <w:rPr>
          <w:rFonts w:hint="eastAsia" w:ascii="宋体" w:hAnsi="宋体" w:eastAsia="宋体" w:cs="宋体"/>
          <w:color w:val="auto"/>
          <w:szCs w:val="21"/>
          <w:highlight w:val="none"/>
          <w:lang w:val="zh-CN"/>
        </w:rPr>
        <w:t xml:space="preserve">3.2  </w:t>
      </w:r>
      <w:bookmarkEnd w:id="46"/>
      <w:bookmarkEnd w:id="47"/>
      <w:bookmarkStart w:id="48" w:name="_Toc1977665"/>
      <w:bookmarkStart w:id="49" w:name="_Toc5337080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w:t>
      </w: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lang w:val="zh-CN"/>
        </w:rPr>
        <w:t>或</w:t>
      </w: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lang w:val="zh-CN"/>
        </w:rPr>
        <w:t>的任何部分均为最新正式版本</w:t>
      </w:r>
      <w:r>
        <w:rPr>
          <w:rFonts w:hint="eastAsia" w:ascii="宋体" w:hAnsi="宋体" w:eastAsia="宋体" w:cs="宋体"/>
          <w:color w:val="auto"/>
          <w:szCs w:val="21"/>
          <w:highlight w:val="none"/>
          <w:lang w:val="zh-CN"/>
        </w:rPr>
        <w:t>。</w:t>
      </w:r>
      <w:bookmarkEnd w:id="48"/>
      <w:bookmarkEnd w:id="49"/>
    </w:p>
    <w:p w14:paraId="3C2E7DAB">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0" w:name="_Toc1977666"/>
      <w:bookmarkStart w:id="51" w:name="_Toc5337080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 xml:space="preserve">  </w:t>
      </w:r>
      <w:bookmarkEnd w:id="50"/>
      <w:bookmarkEnd w:id="51"/>
      <w:bookmarkStart w:id="52" w:name="_Toc1977667"/>
      <w:bookmarkStart w:id="53" w:name="_Toc533708067"/>
      <w:r>
        <w:rPr>
          <w:rFonts w:hint="eastAsia" w:ascii="宋体" w:hAnsi="宋体" w:eastAsia="宋体" w:cs="宋体"/>
          <w:color w:val="auto"/>
          <w:szCs w:val="21"/>
          <w:highlight w:val="none"/>
          <w:lang w:val="zh-CN"/>
        </w:rPr>
        <w:t>投标人</w:t>
      </w:r>
      <w:r>
        <w:rPr>
          <w:rFonts w:hint="eastAsia" w:ascii="宋体" w:hAnsi="宋体" w:eastAsia="宋体" w:cs="Times New Roman"/>
          <w:color w:val="auto"/>
          <w:kern w:val="0"/>
          <w:szCs w:val="21"/>
          <w:highlight w:val="none"/>
        </w:rPr>
        <w:t>应保证招标人在中华人民共和国使用</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或</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52"/>
      <w:bookmarkEnd w:id="53"/>
    </w:p>
    <w:p w14:paraId="34F08D8A">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4" w:name="_Toc1977668"/>
      <w:bookmarkStart w:id="55" w:name="_Toc5337080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bookmarkEnd w:id="54"/>
      <w:bookmarkEnd w:id="55"/>
      <w:r>
        <w:rPr>
          <w:rFonts w:hint="eastAsia" w:ascii="宋体" w:hAnsi="宋体" w:eastAsia="宋体" w:cs="宋体"/>
          <w:color w:val="auto"/>
          <w:szCs w:val="21"/>
          <w:highlight w:val="none"/>
          <w:lang w:val="zh-CN"/>
        </w:rPr>
        <w:t>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p>
    <w:p w14:paraId="4A9DC192">
      <w:pPr>
        <w:autoSpaceDE w:val="0"/>
        <w:autoSpaceDN w:val="0"/>
        <w:adjustRightInd w:val="0"/>
        <w:spacing w:line="360" w:lineRule="auto"/>
        <w:jc w:val="left"/>
        <w:rPr>
          <w:rFonts w:ascii="宋体" w:hAnsi="宋体" w:eastAsia="宋体" w:cs="宋体"/>
          <w:color w:val="auto"/>
          <w:szCs w:val="21"/>
          <w:highlight w:val="none"/>
          <w:lang w:val="zh-CN"/>
        </w:rPr>
      </w:pPr>
    </w:p>
    <w:p w14:paraId="4F867E92">
      <w:pPr>
        <w:tabs>
          <w:tab w:val="left" w:pos="57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56" w:name="_Toc3404"/>
      <w:bookmarkStart w:id="57" w:name="_Toc25225"/>
      <w:bookmarkStart w:id="58" w:name="_Toc142508316"/>
      <w:bookmarkStart w:id="59" w:name="_Toc11533"/>
      <w:bookmarkStart w:id="60" w:name="_Toc195714220"/>
      <w:bookmarkStart w:id="61" w:name="_Toc9658_WPSOffice_Level3"/>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56"/>
      <w:bookmarkEnd w:id="57"/>
      <w:bookmarkEnd w:id="58"/>
      <w:bookmarkEnd w:id="59"/>
      <w:bookmarkEnd w:id="60"/>
      <w:bookmarkEnd w:id="61"/>
    </w:p>
    <w:p w14:paraId="2B0C2A9F">
      <w:pPr>
        <w:autoSpaceDE w:val="0"/>
        <w:autoSpaceDN w:val="0"/>
        <w:adjustRightInd w:val="0"/>
        <w:spacing w:line="360" w:lineRule="auto"/>
        <w:ind w:left="315" w:leftChars="-100" w:hanging="525" w:hangingChars="250"/>
        <w:outlineLvl w:val="1"/>
        <w:rPr>
          <w:rFonts w:ascii="宋体" w:hAnsi="宋体" w:eastAsia="宋体" w:cs="宋体"/>
          <w:color w:val="auto"/>
          <w:szCs w:val="21"/>
          <w:highlight w:val="none"/>
          <w:lang w:val="zh-CN"/>
        </w:rPr>
      </w:pPr>
      <w:bookmarkStart w:id="62" w:name="_Toc1977670"/>
      <w:bookmarkStart w:id="63" w:name="_Toc533708070"/>
      <w:r>
        <w:rPr>
          <w:rFonts w:hint="eastAsia" w:ascii="宋体" w:hAnsi="宋体" w:eastAsia="宋体" w:cs="宋体"/>
          <w:color w:val="auto"/>
          <w:szCs w:val="21"/>
          <w:highlight w:val="none"/>
          <w:lang w:val="zh-CN"/>
        </w:rPr>
        <w:t>4.1  投标费用</w:t>
      </w:r>
      <w:bookmarkEnd w:id="62"/>
      <w:bookmarkEnd w:id="63"/>
    </w:p>
    <w:p w14:paraId="6E659C6A">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64" w:name="_Toc533708072"/>
      <w:bookmarkStart w:id="65" w:name="_Toc19776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64"/>
      <w:bookmarkEnd w:id="65"/>
    </w:p>
    <w:p w14:paraId="38B92002">
      <w:pPr>
        <w:autoSpaceDE w:val="0"/>
        <w:autoSpaceDN w:val="0"/>
        <w:adjustRightInd w:val="0"/>
        <w:spacing w:line="360" w:lineRule="auto"/>
        <w:ind w:left="315" w:leftChars="-100" w:hanging="525" w:hangingChars="250"/>
        <w:outlineLvl w:val="1"/>
        <w:rPr>
          <w:rFonts w:ascii="宋体" w:hAnsi="宋体" w:eastAsia="宋体" w:cs="宋体"/>
          <w:color w:val="auto"/>
          <w:szCs w:val="21"/>
          <w:highlight w:val="none"/>
          <w:lang w:val="zh-CN"/>
        </w:rPr>
      </w:pPr>
      <w:bookmarkStart w:id="66" w:name="_Toc533708073"/>
      <w:bookmarkStart w:id="67" w:name="_Toc1977673"/>
      <w:r>
        <w:rPr>
          <w:rFonts w:hint="eastAsia" w:ascii="宋体" w:hAnsi="宋体" w:eastAsia="宋体" w:cs="宋体"/>
          <w:color w:val="auto"/>
          <w:szCs w:val="21"/>
          <w:highlight w:val="none"/>
          <w:lang w:val="zh-CN"/>
        </w:rPr>
        <w:t>4.2  踏勘现场</w:t>
      </w:r>
      <w:bookmarkEnd w:id="66"/>
      <w:bookmarkEnd w:id="67"/>
    </w:p>
    <w:p w14:paraId="2FE197EA">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68" w:name="_Toc1977676"/>
      <w:bookmarkStart w:id="69" w:name="_Toc533708076"/>
      <w:r>
        <w:rPr>
          <w:rFonts w:hint="eastAsia" w:ascii="宋体" w:hAnsi="宋体" w:eastAsia="宋体" w:cs="Times New Roman"/>
          <w:color w:val="auto"/>
          <w:kern w:val="0"/>
          <w:szCs w:val="21"/>
          <w:highlight w:val="none"/>
        </w:rPr>
        <w:t>（1）本项目不组织集中踏勘现场和答疑，投标人应自行到实地踏勘考察。</w:t>
      </w:r>
    </w:p>
    <w:p w14:paraId="7A5A52DB">
      <w:pPr>
        <w:autoSpaceDE w:val="0"/>
        <w:autoSpaceDN w:val="0"/>
        <w:adjustRightInd w:val="0"/>
        <w:spacing w:line="360" w:lineRule="auto"/>
        <w:ind w:left="300" w:leftChars="-59" w:hanging="424" w:hangingChars="202"/>
        <w:jc w:val="left"/>
        <w:outlineLvl w:val="2"/>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14:paraId="4C02356F">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4C3142D3">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525E182E">
      <w:pPr>
        <w:autoSpaceDE w:val="0"/>
        <w:autoSpaceDN w:val="0"/>
        <w:adjustRightInd w:val="0"/>
        <w:spacing w:line="360" w:lineRule="auto"/>
        <w:ind w:left="315" w:leftChars="-100" w:hanging="525" w:hangingChars="250"/>
        <w:outlineLvl w:val="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44"/>
      <w:bookmarkEnd w:id="45"/>
      <w:bookmarkEnd w:id="68"/>
      <w:bookmarkEnd w:id="69"/>
    </w:p>
    <w:p w14:paraId="042250A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14:paraId="4D04646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14:paraId="37B056A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（3）开标后，直至向中标人授予合同期间，凡与审查、澄清、评价和比较报价的有关资料以及授标意见等，参与评标工作的有关人员均不得向投标人及与评标无关的其他人透露。</w:t>
      </w:r>
    </w:p>
    <w:p w14:paraId="0AAB4EC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374EA73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349FA72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244AB476">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5088C733">
      <w:pPr>
        <w:keepNext/>
        <w:keepLines/>
        <w:autoSpaceDE w:val="0"/>
        <w:autoSpaceDN w:val="0"/>
        <w:adjustRightInd w:val="0"/>
        <w:spacing w:line="360" w:lineRule="auto"/>
        <w:jc w:val="left"/>
        <w:outlineLvl w:val="2"/>
        <w:rPr>
          <w:rFonts w:ascii="宋体" w:hAnsi="宋体" w:eastAsia="宋体" w:cs="宋体"/>
          <w:b/>
          <w:bCs/>
          <w:color w:val="auto"/>
          <w:kern w:val="44"/>
          <w:szCs w:val="21"/>
          <w:highlight w:val="none"/>
          <w:lang w:val="zh-CN"/>
        </w:rPr>
      </w:pPr>
      <w:bookmarkStart w:id="70" w:name="_Toc450662853"/>
      <w:bookmarkStart w:id="71" w:name="_Toc25760"/>
      <w:bookmarkStart w:id="72" w:name="_Toc486167667"/>
      <w:bookmarkStart w:id="73" w:name="_Toc30507_WPSOffice_Level2"/>
      <w:bookmarkStart w:id="74" w:name="_Toc140596876"/>
      <w:bookmarkStart w:id="75" w:name="_Toc142508317"/>
      <w:bookmarkStart w:id="76" w:name="_Toc195714221"/>
      <w:bookmarkStart w:id="77" w:name="_Toc1565"/>
      <w:bookmarkStart w:id="78" w:name="_Toc5395"/>
      <w:r>
        <w:rPr>
          <w:rFonts w:hint="eastAsia" w:ascii="宋体" w:hAnsi="宋体" w:eastAsia="宋体" w:cs="宋体"/>
          <w:b/>
          <w:bCs/>
          <w:color w:val="auto"/>
          <w:kern w:val="44"/>
          <w:szCs w:val="21"/>
          <w:highlight w:val="none"/>
          <w:lang w:val="zh-CN"/>
        </w:rPr>
        <w:t>二、招标文件</w:t>
      </w:r>
      <w:bookmarkEnd w:id="70"/>
      <w:bookmarkEnd w:id="71"/>
      <w:bookmarkEnd w:id="72"/>
      <w:bookmarkEnd w:id="73"/>
      <w:bookmarkEnd w:id="74"/>
      <w:bookmarkEnd w:id="75"/>
      <w:bookmarkEnd w:id="76"/>
      <w:bookmarkEnd w:id="77"/>
      <w:bookmarkEnd w:id="78"/>
    </w:p>
    <w:p w14:paraId="2C23DC68">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79" w:name="_Toc142508318"/>
      <w:bookmarkStart w:id="80" w:name="_Toc26635_WPSOffice_Level3"/>
      <w:bookmarkStart w:id="81" w:name="_Toc9362"/>
      <w:bookmarkStart w:id="82" w:name="_Toc486167668"/>
      <w:bookmarkStart w:id="83" w:name="_Toc195714222"/>
      <w:bookmarkStart w:id="84" w:name="_Toc2406"/>
      <w:bookmarkStart w:id="85" w:name="_Toc28893"/>
      <w:bookmarkStart w:id="86" w:name="_Toc450662854"/>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79"/>
      <w:bookmarkEnd w:id="80"/>
      <w:bookmarkEnd w:id="81"/>
      <w:bookmarkEnd w:id="82"/>
      <w:bookmarkEnd w:id="83"/>
      <w:bookmarkEnd w:id="84"/>
      <w:bookmarkEnd w:id="85"/>
      <w:bookmarkEnd w:id="86"/>
    </w:p>
    <w:p w14:paraId="6EC83402">
      <w:pPr>
        <w:tabs>
          <w:tab w:val="left" w:pos="567"/>
        </w:tabs>
        <w:autoSpaceDE w:val="0"/>
        <w:autoSpaceDN w:val="0"/>
        <w:adjustRightInd w:val="0"/>
        <w:spacing w:line="360" w:lineRule="auto"/>
        <w:ind w:left="357" w:leftChars="-100" w:hanging="567"/>
        <w:outlineLvl w:val="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2522A2D2">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49374334">
      <w:pPr>
        <w:tabs>
          <w:tab w:val="left" w:pos="1890"/>
        </w:tabs>
        <w:autoSpaceDE w:val="0"/>
        <w:autoSpaceDN w:val="0"/>
        <w:adjustRightInd w:val="0"/>
        <w:spacing w:line="360" w:lineRule="auto"/>
        <w:ind w:firstLine="424" w:firstLineChars="202"/>
        <w:outlineLvl w:val="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14:paraId="37970205">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041985B4">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14:paraId="2867E522">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244E13A7">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24016979">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14:paraId="384A224B">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w:t>
      </w:r>
      <w:r>
        <w:rPr>
          <w:rFonts w:hint="eastAsia" w:ascii="宋体" w:hAnsi="宋体" w:eastAsia="宋体" w:cs="Times New Roman"/>
          <w:b/>
          <w:bCs/>
          <w:color w:val="auto"/>
          <w:szCs w:val="21"/>
          <w:highlight w:val="none"/>
          <w:u w:val="single"/>
          <w:lang w:val="en-US" w:eastAsia="zh-CN"/>
        </w:rPr>
        <w:t>服务</w:t>
      </w:r>
      <w:r>
        <w:rPr>
          <w:rFonts w:hint="eastAsia" w:ascii="宋体" w:hAnsi="宋体" w:eastAsia="宋体" w:cs="Times New Roman"/>
          <w:b/>
          <w:bCs/>
          <w:color w:val="auto"/>
          <w:szCs w:val="21"/>
          <w:highlight w:val="none"/>
          <w:u w:val="single"/>
          <w:lang w:val="zh-CN"/>
        </w:rPr>
        <w:t>必备的条件或重要指示），那么投标人的投标文件将有可能被拒绝接收或评审为无效投标文件</w:t>
      </w:r>
      <w:r>
        <w:rPr>
          <w:rFonts w:hint="eastAsia" w:ascii="宋体" w:hAnsi="宋体" w:eastAsia="宋体" w:cs="宋体"/>
          <w:b/>
          <w:bCs/>
          <w:color w:val="auto"/>
          <w:szCs w:val="21"/>
          <w:highlight w:val="none"/>
          <w:u w:val="single"/>
          <w:lang w:val="zh-CN"/>
        </w:rPr>
        <w:t>。</w:t>
      </w:r>
    </w:p>
    <w:p w14:paraId="6B77AFBD">
      <w:pPr>
        <w:autoSpaceDE w:val="0"/>
        <w:autoSpaceDN w:val="0"/>
        <w:adjustRightInd w:val="0"/>
        <w:spacing w:line="360" w:lineRule="auto"/>
        <w:ind w:left="356" w:leftChars="-99" w:hanging="564" w:hangingChars="269"/>
        <w:outlineLvl w:val="1"/>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0B0FA47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东莞市水务集团有限公司</w:t>
      </w:r>
      <w:r>
        <w:rPr>
          <w:rFonts w:hint="eastAsia" w:ascii="宋体" w:hAnsi="宋体" w:eastAsia="宋体" w:cs="Times New Roman"/>
          <w:color w:val="auto"/>
          <w:kern w:val="0"/>
          <w:szCs w:val="21"/>
          <w:highlight w:val="none"/>
        </w:rPr>
        <w:t>；</w:t>
      </w:r>
    </w:p>
    <w:p w14:paraId="190DC1D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广东有德招标采购有限公司</w:t>
      </w:r>
      <w:r>
        <w:rPr>
          <w:rFonts w:hint="eastAsia" w:ascii="宋体" w:hAnsi="宋体" w:eastAsia="宋体" w:cs="Times New Roman"/>
          <w:color w:val="auto"/>
          <w:kern w:val="0"/>
          <w:szCs w:val="21"/>
          <w:highlight w:val="none"/>
        </w:rPr>
        <w:t>；</w:t>
      </w:r>
    </w:p>
    <w:p w14:paraId="7869061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w:t>
      </w:r>
      <w:r>
        <w:rPr>
          <w:rFonts w:hint="eastAsia" w:ascii="宋体" w:hAnsi="宋体" w:eastAsia="宋体" w:cs="Times New Roman"/>
          <w:color w:val="auto"/>
          <w:kern w:val="0"/>
          <w:szCs w:val="21"/>
          <w:highlight w:val="none"/>
          <w:lang w:eastAsia="zh-CN"/>
        </w:rPr>
        <w:t>东莞市水务集团造价咨询服务单位库(2025-2026)采购项目</w:t>
      </w:r>
      <w:r>
        <w:rPr>
          <w:rFonts w:hint="eastAsia" w:ascii="宋体" w:hAnsi="宋体" w:eastAsia="宋体" w:cs="Times New Roman"/>
          <w:color w:val="auto"/>
          <w:kern w:val="0"/>
          <w:szCs w:val="21"/>
          <w:highlight w:val="none"/>
        </w:rPr>
        <w:t>所需的服务的投标，并向招标代理机构提交投标文件的当事人；</w:t>
      </w:r>
    </w:p>
    <w:p w14:paraId="72B2C08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14:paraId="08DD796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）“中标人”指其投标被招标人接受，并与招标人签订合同的当事人；</w:t>
      </w:r>
    </w:p>
    <w:p w14:paraId="5D6EFC6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）“甲方”指在合同条款中指明的购买货物及有关服务的单位，即</w:t>
      </w:r>
      <w:r>
        <w:rPr>
          <w:rFonts w:hint="eastAsia" w:ascii="宋体" w:hAnsi="宋体" w:eastAsia="宋体" w:cs="Times New Roman"/>
          <w:color w:val="auto"/>
          <w:kern w:val="0"/>
          <w:szCs w:val="21"/>
          <w:highlight w:val="none"/>
          <w:lang w:eastAsia="zh-CN"/>
        </w:rPr>
        <w:t>东莞市水务集团有限公司</w:t>
      </w:r>
      <w:r>
        <w:rPr>
          <w:rFonts w:hint="eastAsia" w:ascii="宋体" w:hAnsi="宋体" w:eastAsia="宋体" w:cs="Times New Roman"/>
          <w:color w:val="auto"/>
          <w:kern w:val="0"/>
          <w:szCs w:val="21"/>
          <w:highlight w:val="none"/>
        </w:rPr>
        <w:t>；</w:t>
      </w:r>
    </w:p>
    <w:p w14:paraId="3F96907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）“乙方”指在合同条款中指明的本合同项下提供货物及有关服务的公司或实体；</w:t>
      </w:r>
    </w:p>
    <w:p w14:paraId="63869FC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）“招标文件”指由招标代理机构发出的本招标文件，包括全部章节和附件；</w:t>
      </w:r>
    </w:p>
    <w:p w14:paraId="5904C92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）“投标文件”指投标人根据本招标文件向招标代理机构提交的全部文件；</w:t>
      </w:r>
    </w:p>
    <w:p w14:paraId="522FE39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14:paraId="1A56B87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）“合同”指由本次招标所产生的合同或合约文件；</w:t>
      </w:r>
    </w:p>
    <w:p w14:paraId="312240E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14:paraId="67B39A6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14:paraId="6B87230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14</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zh-CN"/>
        </w:rPr>
        <w:t>“含税价”系指《中华人民共和国增值税暂行条例》（国务院令第691号修订版）规定的销售额及销项税之和。本招标文件所称的“含税价”和“合同价”指含本采购项目投标人的销项税额，包含了投标人完成合同义务（含投标人代缴代扣、分包及委外服务等所产生的价税）的其他全部费用</w:t>
      </w:r>
      <w:r>
        <w:rPr>
          <w:rFonts w:hint="eastAsia" w:ascii="宋体" w:hAnsi="宋体" w:eastAsia="宋体" w:cs="Times New Roman"/>
          <w:color w:val="auto"/>
          <w:kern w:val="0"/>
          <w:szCs w:val="21"/>
          <w:highlight w:val="none"/>
        </w:rPr>
        <w:t>。</w:t>
      </w:r>
    </w:p>
    <w:p w14:paraId="4D014D19">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660F570E">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87" w:name="_Toc11346"/>
      <w:bookmarkStart w:id="88" w:name="_Toc142508319"/>
      <w:bookmarkStart w:id="89" w:name="_Toc486167669"/>
      <w:bookmarkStart w:id="90" w:name="_Toc3727"/>
      <w:bookmarkStart w:id="91" w:name="_Toc29125_WPSOffice_Level3"/>
      <w:bookmarkStart w:id="92" w:name="_Toc195714223"/>
      <w:bookmarkStart w:id="93" w:name="_Toc450662855"/>
      <w:bookmarkStart w:id="94" w:name="_Toc7112"/>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87"/>
      <w:bookmarkEnd w:id="88"/>
      <w:bookmarkEnd w:id="89"/>
      <w:bookmarkEnd w:id="90"/>
      <w:bookmarkEnd w:id="91"/>
      <w:bookmarkEnd w:id="92"/>
      <w:bookmarkEnd w:id="93"/>
      <w:bookmarkEnd w:id="94"/>
    </w:p>
    <w:p w14:paraId="288CEA09">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投标人或者其他利害关系人对招标文件有异议的，应当在投标截止时间10日前以书面形式</w:t>
      </w:r>
      <w:r>
        <w:rPr>
          <w:rFonts w:ascii="宋体" w:hAnsi="宋体" w:eastAsia="宋体" w:cs="Times New Roman"/>
          <w:color w:val="auto"/>
          <w:szCs w:val="21"/>
          <w:highlight w:val="none"/>
          <w:lang w:val="zh-CN"/>
        </w:rPr>
        <w:t>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hint="eastAsia" w:ascii="宋体" w:hAnsi="宋体" w:eastAsia="宋体" w:cs="Times New Roman"/>
          <w:b w:val="0"/>
          <w:bCs w:val="0"/>
          <w:color w:val="auto"/>
          <w:szCs w:val="21"/>
          <w:highlight w:val="none"/>
          <w:lang w:val="zh-CN"/>
        </w:rPr>
        <w:t>并将材料原件送达招标代理机构，逾期则视为对招标文件所有内容无异议。异议书面材料必须加盖投标人法人公章，并注明联系人、联系电话、联系地址。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03AE4E57">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7B792B3D">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95" w:name="_Toc195714224"/>
      <w:bookmarkStart w:id="96" w:name="_Toc23483_WPSOffice_Level3"/>
      <w:bookmarkStart w:id="97" w:name="_Toc450662856"/>
      <w:bookmarkStart w:id="98" w:name="_Toc17145"/>
      <w:bookmarkStart w:id="99" w:name="_Toc142508320"/>
      <w:bookmarkStart w:id="100" w:name="_Toc29864"/>
      <w:bookmarkStart w:id="101" w:name="_Toc486167670"/>
      <w:bookmarkStart w:id="102" w:name="_Toc13298"/>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95"/>
      <w:bookmarkEnd w:id="96"/>
      <w:bookmarkEnd w:id="97"/>
      <w:bookmarkEnd w:id="98"/>
      <w:bookmarkEnd w:id="99"/>
      <w:bookmarkEnd w:id="100"/>
      <w:bookmarkEnd w:id="101"/>
      <w:bookmarkEnd w:id="102"/>
    </w:p>
    <w:p w14:paraId="1517166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14:paraId="6603A39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14CD965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hint="eastAsia" w:ascii="宋体" w:hAnsi="宋体" w:eastAsia="宋体" w:cs="Times New Roman"/>
          <w:bCs/>
          <w:color w:val="auto"/>
          <w:szCs w:val="21"/>
          <w:highlight w:val="none"/>
        </w:rPr>
        <w:t>全国公共资源交易平台（广东省·东莞市）（https://ygp.gdzwfw.gov.cn/#/441900/index）、</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51"/>
          <w:rFonts w:ascii="宋体" w:hAnsi="宋体" w:eastAsia="宋体" w:cs="Times New Roman"/>
          <w:color w:val="auto"/>
          <w:sz w:val="21"/>
          <w:szCs w:val="21"/>
          <w:highlight w:val="none"/>
        </w:rPr>
        <w:t>www.dgswjt.cn）</w:t>
      </w:r>
      <w:r>
        <w:rPr>
          <w:rStyle w:val="51"/>
          <w:rFonts w:ascii="宋体" w:hAnsi="宋体" w:eastAsia="宋体" w:cs="Times New Roman"/>
          <w:color w:val="auto"/>
          <w:sz w:val="21"/>
          <w:szCs w:val="21"/>
          <w:highlight w:val="none"/>
          <w:lang w:val="zh-CN"/>
        </w:rPr>
        <w:t>、</w:t>
      </w:r>
      <w:r>
        <w:rPr>
          <w:rStyle w:val="51"/>
          <w:rFonts w:hint="eastAsia" w:ascii="宋体" w:hAnsi="宋体" w:eastAsia="宋体" w:cs="Times New Roman"/>
          <w:bCs/>
          <w:color w:val="auto"/>
          <w:kern w:val="0"/>
          <w:sz w:val="21"/>
          <w:szCs w:val="21"/>
          <w:highlight w:val="none"/>
        </w:rPr>
        <w:t>招标代理机构网站（</w:t>
      </w:r>
      <w:r>
        <w:rPr>
          <w:rStyle w:val="51"/>
          <w:rFonts w:hint="eastAsia" w:ascii="宋体" w:hAnsi="宋体" w:eastAsia="宋体" w:cs="Times New Roman"/>
          <w:bCs/>
          <w:color w:val="auto"/>
          <w:kern w:val="0"/>
          <w:sz w:val="21"/>
          <w:szCs w:val="21"/>
          <w:highlight w:val="none"/>
          <w:u w:val="single"/>
          <w:lang w:eastAsia="zh-CN"/>
        </w:rPr>
        <w:t>www.youde.net</w:t>
      </w:r>
      <w:r>
        <w:rPr>
          <w:rStyle w:val="51"/>
          <w:rFonts w:ascii="宋体" w:hAnsi="宋体" w:eastAsia="宋体" w:cs="Times New Roman"/>
          <w:bCs/>
          <w:color w:val="auto"/>
          <w:kern w:val="0"/>
          <w:sz w:val="21"/>
          <w:szCs w:val="21"/>
          <w:highlight w:val="none"/>
        </w:rPr>
        <w:t>）</w:t>
      </w:r>
      <w:r>
        <w:rPr>
          <w:rStyle w:val="51"/>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公布，请各投标人密切留意。</w:t>
      </w:r>
    </w:p>
    <w:p w14:paraId="3BC42509">
      <w:pPr>
        <w:autoSpaceDE w:val="0"/>
        <w:autoSpaceDN w:val="0"/>
        <w:adjustRightInd w:val="0"/>
        <w:spacing w:line="360" w:lineRule="auto"/>
        <w:ind w:left="357" w:leftChars="-100" w:hanging="567"/>
        <w:rPr>
          <w:rFonts w:ascii="宋体" w:hAnsi="宋体" w:eastAsia="宋体" w:cs="宋体"/>
          <w:color w:val="auto"/>
          <w:szCs w:val="21"/>
          <w:highlight w:val="none"/>
        </w:rPr>
      </w:pPr>
    </w:p>
    <w:p w14:paraId="4484DE76">
      <w:pPr>
        <w:keepNext/>
        <w:keepLines/>
        <w:tabs>
          <w:tab w:val="left" w:pos="509"/>
        </w:tab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103" w:name="_Toc195714225"/>
      <w:bookmarkStart w:id="104" w:name="_Toc140596880"/>
      <w:bookmarkStart w:id="105" w:name="_Toc8711"/>
      <w:bookmarkStart w:id="106" w:name="_Toc486167671"/>
      <w:bookmarkStart w:id="107" w:name="_Toc18752"/>
      <w:bookmarkStart w:id="108" w:name="_Toc142508321"/>
      <w:bookmarkStart w:id="109" w:name="_Toc29659_WPSOffice_Level2"/>
      <w:bookmarkStart w:id="110" w:name="_Toc450662857"/>
      <w:bookmarkStart w:id="111" w:name="_Toc23342"/>
      <w:r>
        <w:rPr>
          <w:rFonts w:hint="eastAsia" w:ascii="宋体" w:hAnsi="宋体" w:eastAsia="宋体" w:cs="宋体"/>
          <w:b/>
          <w:bCs/>
          <w:color w:val="auto"/>
          <w:kern w:val="44"/>
          <w:szCs w:val="21"/>
          <w:highlight w:val="none"/>
          <w:lang w:val="zh-CN"/>
        </w:rPr>
        <w:t>三、投标文件的编制</w:t>
      </w:r>
      <w:bookmarkEnd w:id="103"/>
      <w:bookmarkEnd w:id="104"/>
      <w:bookmarkEnd w:id="105"/>
      <w:bookmarkEnd w:id="106"/>
      <w:bookmarkEnd w:id="107"/>
      <w:bookmarkEnd w:id="108"/>
      <w:bookmarkEnd w:id="109"/>
      <w:bookmarkEnd w:id="110"/>
      <w:bookmarkEnd w:id="111"/>
    </w:p>
    <w:p w14:paraId="1E0B6FD7">
      <w:pPr>
        <w:tabs>
          <w:tab w:val="left" w:pos="67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12" w:name="_Toc6244"/>
      <w:bookmarkStart w:id="113" w:name="_Toc10015_WPSOffice_Level3"/>
      <w:bookmarkStart w:id="114" w:name="_Toc195714226"/>
      <w:bookmarkStart w:id="115" w:name="_Toc10850"/>
      <w:bookmarkStart w:id="116" w:name="_Toc450662858"/>
      <w:bookmarkStart w:id="117" w:name="_Toc142508322"/>
      <w:bookmarkStart w:id="118" w:name="_Toc31162"/>
      <w:bookmarkStart w:id="119" w:name="_Toc486167672"/>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12"/>
      <w:bookmarkEnd w:id="113"/>
      <w:bookmarkEnd w:id="114"/>
      <w:bookmarkEnd w:id="115"/>
      <w:bookmarkEnd w:id="116"/>
      <w:bookmarkEnd w:id="117"/>
      <w:bookmarkEnd w:id="118"/>
      <w:bookmarkEnd w:id="119"/>
    </w:p>
    <w:p w14:paraId="31DF8077">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194A718C">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484E3639">
      <w:pPr>
        <w:autoSpaceDE w:val="0"/>
        <w:autoSpaceDN w:val="0"/>
        <w:adjustRightInd w:val="0"/>
        <w:spacing w:line="360" w:lineRule="auto"/>
        <w:rPr>
          <w:rFonts w:ascii="宋体" w:hAnsi="宋体" w:eastAsia="宋体" w:cs="宋体"/>
          <w:color w:val="auto"/>
          <w:szCs w:val="21"/>
          <w:highlight w:val="none"/>
          <w:lang w:val="zh-CN"/>
        </w:rPr>
      </w:pPr>
    </w:p>
    <w:p w14:paraId="06495EE6">
      <w:pPr>
        <w:tabs>
          <w:tab w:val="left" w:pos="540"/>
        </w:tabs>
        <w:autoSpaceDE w:val="0"/>
        <w:autoSpaceDN w:val="0"/>
        <w:adjustRightInd w:val="0"/>
        <w:spacing w:line="360" w:lineRule="auto"/>
        <w:ind w:left="357" w:leftChars="-100" w:hanging="567"/>
        <w:jc w:val="left"/>
        <w:outlineLvl w:val="0"/>
        <w:rPr>
          <w:rFonts w:ascii="宋体" w:hAnsi="宋体" w:eastAsia="宋体" w:cs="宋体"/>
          <w:color w:val="auto"/>
          <w:sz w:val="24"/>
          <w:szCs w:val="24"/>
          <w:highlight w:val="none"/>
          <w:lang w:val="zh-CN"/>
        </w:rPr>
      </w:pPr>
      <w:bookmarkStart w:id="120" w:name="_Toc13447"/>
      <w:bookmarkStart w:id="121" w:name="_Toc142508323"/>
      <w:bookmarkStart w:id="122" w:name="_Toc450662859"/>
      <w:bookmarkStart w:id="123" w:name="_Toc486167673"/>
      <w:bookmarkStart w:id="124" w:name="_Toc14943"/>
      <w:bookmarkStart w:id="125" w:name="_Toc195714227"/>
      <w:bookmarkStart w:id="126" w:name="_Toc7348"/>
      <w:bookmarkStart w:id="127" w:name="_Toc24916_WPSOffice_Level3"/>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20"/>
      <w:bookmarkEnd w:id="121"/>
      <w:bookmarkEnd w:id="122"/>
      <w:bookmarkEnd w:id="123"/>
      <w:bookmarkEnd w:id="124"/>
      <w:bookmarkEnd w:id="125"/>
      <w:bookmarkEnd w:id="126"/>
      <w:bookmarkEnd w:id="127"/>
    </w:p>
    <w:p w14:paraId="0F8EA76D">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商务标、技术标、报价信封三部分组成。</w:t>
      </w:r>
    </w:p>
    <w:p w14:paraId="4E8269A0">
      <w:pPr>
        <w:autoSpaceDE w:val="0"/>
        <w:autoSpaceDN w:val="0"/>
        <w:adjustRightInd w:val="0"/>
        <w:spacing w:line="360" w:lineRule="auto"/>
        <w:ind w:left="422" w:leftChars="-100" w:hanging="632" w:hangingChars="300"/>
        <w:outlineLvl w:val="1"/>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商务标：</w:t>
      </w:r>
    </w:p>
    <w:p w14:paraId="0BBA80CB">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657F7309">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26DEE204">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53C3064A">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14:paraId="18258C5C">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）投标人资格证明文件：</w:t>
      </w:r>
    </w:p>
    <w:p w14:paraId="6E0C2029">
      <w:pPr>
        <w:autoSpaceDE w:val="0"/>
        <w:autoSpaceDN w:val="0"/>
        <w:adjustRightInd w:val="0"/>
        <w:spacing w:line="360" w:lineRule="auto"/>
        <w:ind w:left="283" w:hanging="283" w:hangingChars="135"/>
        <w:outlineLvl w:val="2"/>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hint="eastAsia" w:ascii="宋体" w:hAnsi="宋体" w:eastAsia="宋体" w:cs="Times New Roman"/>
          <w:color w:val="auto"/>
          <w:szCs w:val="21"/>
          <w:highlight w:val="none"/>
          <w:lang w:val="zh-CN"/>
        </w:rPr>
        <w:t>原件扫描件</w:t>
      </w:r>
      <w:r>
        <w:rPr>
          <w:rFonts w:ascii="宋体" w:hAnsi="宋体" w:eastAsia="宋体" w:cs="Times New Roman"/>
          <w:color w:val="auto"/>
          <w:szCs w:val="21"/>
          <w:highlight w:val="none"/>
          <w:lang w:val="zh-CN"/>
        </w:rPr>
        <w:t>；</w:t>
      </w:r>
    </w:p>
    <w:p w14:paraId="4579D62F">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w:t>
      </w:r>
      <w:r>
        <w:rPr>
          <w:rFonts w:hint="eastAsia" w:ascii="宋体" w:hAnsi="宋体" w:eastAsia="宋体" w:cs="Times New Roman"/>
          <w:color w:val="auto"/>
          <w:szCs w:val="21"/>
          <w:highlight w:val="none"/>
          <w:lang w:val="zh-CN"/>
        </w:rPr>
        <w:t>原件扫描件</w:t>
      </w:r>
      <w:r>
        <w:rPr>
          <w:rFonts w:ascii="宋体" w:hAnsi="宋体" w:eastAsia="宋体" w:cs="Times New Roman"/>
          <w:color w:val="auto"/>
          <w:szCs w:val="21"/>
          <w:highlight w:val="none"/>
          <w:lang w:val="zh-CN"/>
        </w:rPr>
        <w:t>（基本存款账户）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，如投标人企业银行账户开户所在地区已取消企业银行账户许可，投标人应提供基本存款账户开户名称、开户银行、账号、编号等信息及相关备案证明（如有）或其他能证明其为基本存款账户的资料原件扫描件</w:t>
      </w:r>
      <w:r>
        <w:rPr>
          <w:rFonts w:ascii="宋体" w:hAnsi="宋体" w:eastAsia="宋体" w:cs="Times New Roman"/>
          <w:color w:val="auto"/>
          <w:szCs w:val="21"/>
          <w:highlight w:val="none"/>
          <w:lang w:val="zh-CN"/>
        </w:rPr>
        <w:t>；</w:t>
      </w:r>
    </w:p>
    <w:p w14:paraId="78081A06">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w:t>
      </w:r>
      <w:r>
        <w:rPr>
          <w:rFonts w:hint="eastAsia" w:ascii="宋体" w:hAnsi="宋体" w:eastAsia="宋体" w:cs="Times New Roman"/>
          <w:color w:val="auto"/>
          <w:szCs w:val="21"/>
          <w:highlight w:val="none"/>
          <w:lang w:val="zh-CN"/>
        </w:rPr>
        <w:t>原件扫描件</w:t>
      </w:r>
      <w:r>
        <w:rPr>
          <w:rFonts w:ascii="宋体" w:hAnsi="宋体" w:eastAsia="宋体" w:cs="Times New Roman"/>
          <w:color w:val="auto"/>
          <w:szCs w:val="21"/>
          <w:highlight w:val="none"/>
          <w:lang w:val="zh-CN"/>
        </w:rPr>
        <w:t>和法定代表人授权书原件</w:t>
      </w:r>
      <w:r>
        <w:rPr>
          <w:rFonts w:hint="eastAsia" w:ascii="宋体" w:hAnsi="宋体" w:eastAsia="宋体" w:cs="Times New Roman"/>
          <w:color w:val="auto"/>
          <w:szCs w:val="21"/>
          <w:highlight w:val="none"/>
          <w:lang w:val="zh-CN"/>
        </w:rPr>
        <w:t>扫描件</w:t>
      </w:r>
      <w:r>
        <w:rPr>
          <w:rFonts w:ascii="宋体" w:hAnsi="宋体" w:eastAsia="宋体" w:cs="Times New Roman"/>
          <w:color w:val="auto"/>
          <w:szCs w:val="21"/>
          <w:highlight w:val="none"/>
          <w:lang w:val="zh-CN"/>
        </w:rPr>
        <w:t>（法定代表人投标时只提供法定代表人身份证明书，委托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14:paraId="6237CE5F">
      <w:pPr>
        <w:tabs>
          <w:tab w:val="left" w:pos="1276"/>
        </w:tabs>
        <w:spacing w:line="360" w:lineRule="auto"/>
        <w:ind w:left="283" w:hanging="283" w:hangingChars="135"/>
        <w:rPr>
          <w:rFonts w:ascii="宋体" w:hAnsi="宋体" w:eastAsia="宋体" w:cs="宋体"/>
          <w:color w:val="auto"/>
          <w:szCs w:val="21"/>
          <w:highlight w:val="none"/>
        </w:rPr>
      </w:pPr>
      <w:r>
        <w:rPr>
          <w:rFonts w:hint="eastAsia" w:ascii="宋体" w:hAnsi="宋体" w:eastAsia="宋体" w:cs="Times New Roman"/>
          <w:color w:val="auto"/>
          <w:szCs w:val="21"/>
          <w:highlight w:val="none"/>
          <w:lang w:val="zh-CN"/>
        </w:rPr>
        <w:t>4</w:t>
      </w:r>
      <w:r>
        <w:rPr>
          <w:rFonts w:hint="eastAsia" w:ascii="宋体" w:hAnsi="宋体" w:eastAsia="宋体" w:cs="宋体"/>
          <w:color w:val="auto"/>
          <w:szCs w:val="21"/>
          <w:highlight w:val="none"/>
        </w:rPr>
        <w:t>）</w:t>
      </w:r>
      <w:r>
        <w:rPr>
          <w:rFonts w:hint="eastAsia" w:ascii="宋体" w:hAnsi="宋体" w:eastAsia="宋体"/>
          <w:color w:val="auto"/>
          <w:szCs w:val="21"/>
          <w:highlight w:val="none"/>
        </w:rPr>
        <w:t>资格业绩【投标人</w:t>
      </w:r>
      <w:r>
        <w:rPr>
          <w:rFonts w:hint="eastAsia" w:ascii="宋体" w:hAnsi="宋体" w:eastAsia="宋体"/>
          <w:color w:val="auto"/>
          <w:szCs w:val="21"/>
          <w:highlight w:val="none"/>
          <w:lang w:val="en-US" w:eastAsia="zh-CN"/>
        </w:rPr>
        <w:t>2022</w:t>
      </w:r>
      <w:r>
        <w:rPr>
          <w:rFonts w:hint="eastAsia" w:ascii="宋体" w:hAnsi="宋体" w:eastAsia="宋体"/>
          <w:color w:val="auto"/>
          <w:szCs w:val="21"/>
          <w:highlight w:val="none"/>
        </w:rPr>
        <w:t>年</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月</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日以来</w:t>
      </w:r>
      <w:r>
        <w:rPr>
          <w:rFonts w:hint="eastAsia" w:hAnsi="宋体" w:eastAsia="宋体"/>
          <w:b/>
          <w:color w:val="auto"/>
          <w:sz w:val="21"/>
          <w:szCs w:val="21"/>
          <w:highlight w:val="none"/>
          <w:lang w:val="zh-CN"/>
        </w:rPr>
        <w:t>具有造价咨询</w:t>
      </w:r>
      <w:r>
        <w:rPr>
          <w:rFonts w:hint="eastAsia" w:hAnsi="宋体" w:eastAsia="宋体"/>
          <w:b/>
          <w:color w:val="auto"/>
          <w:szCs w:val="21"/>
          <w:highlight w:val="none"/>
          <w:lang w:val="zh-CN"/>
        </w:rPr>
        <w:t>（含概算编制、概算审核、预算(或招标控制价)编制、预算(或招标控制价)审核、结算编制和结算审核，以上业绩可包括在同一合同或多份合同内）的服务业绩</w:t>
      </w:r>
      <w:r>
        <w:rPr>
          <w:rFonts w:hint="eastAsia" w:ascii="宋体" w:hAnsi="宋体" w:eastAsia="宋体"/>
          <w:color w:val="auto"/>
          <w:szCs w:val="21"/>
          <w:highlight w:val="none"/>
        </w:rPr>
        <w:t>（合同签订日期为</w:t>
      </w:r>
      <w:r>
        <w:rPr>
          <w:rFonts w:hint="eastAsia" w:ascii="宋体" w:hAnsi="宋体" w:eastAsia="宋体"/>
          <w:color w:val="auto"/>
          <w:szCs w:val="21"/>
          <w:highlight w:val="none"/>
          <w:lang w:val="en-US" w:eastAsia="zh-CN"/>
        </w:rPr>
        <w:t>2022</w:t>
      </w:r>
      <w:r>
        <w:rPr>
          <w:rFonts w:hint="eastAsia" w:ascii="宋体" w:hAnsi="宋体" w:eastAsia="宋体"/>
          <w:color w:val="auto"/>
          <w:szCs w:val="21"/>
          <w:highlight w:val="none"/>
        </w:rPr>
        <w:t>年</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月</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日或以后</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zh-CN" w:eastAsia="zh-CN"/>
        </w:rPr>
        <w:t>金额在100万元（含）以上</w:t>
      </w:r>
      <w:r>
        <w:rPr>
          <w:rFonts w:hint="eastAsia" w:ascii="宋体" w:hAnsi="宋体" w:eastAsia="宋体"/>
          <w:color w:val="auto"/>
          <w:szCs w:val="21"/>
          <w:highlight w:val="none"/>
        </w:rPr>
        <w:t>）</w:t>
      </w:r>
      <w:r>
        <w:rPr>
          <w:rFonts w:hint="eastAsia" w:ascii="宋体" w:hAnsi="宋体" w:eastAsia="宋体"/>
          <w:b w:val="0"/>
          <w:bCs w:val="0"/>
          <w:color w:val="auto"/>
          <w:szCs w:val="21"/>
          <w:highlight w:val="none"/>
          <w:u w:val="none"/>
        </w:rPr>
        <w:t>，资格业绩证明材料提交要求详见招标文件第六篇投标文件格式</w:t>
      </w:r>
      <w:r>
        <w:rPr>
          <w:rFonts w:hint="eastAsia" w:ascii="宋体" w:hAnsi="宋体" w:eastAsia="宋体"/>
          <w:b w:val="0"/>
          <w:bCs w:val="0"/>
          <w:color w:val="auto"/>
          <w:szCs w:val="21"/>
          <w:highlight w:val="none"/>
          <w:u w:val="none"/>
          <w:lang w:val="en-US" w:eastAsia="zh-CN"/>
        </w:rPr>
        <w:t>4</w:t>
      </w:r>
      <w:r>
        <w:rPr>
          <w:rFonts w:hint="eastAsia" w:ascii="宋体" w:hAnsi="宋体" w:eastAsia="宋体"/>
          <w:b w:val="0"/>
          <w:bCs w:val="0"/>
          <w:color w:val="auto"/>
          <w:szCs w:val="21"/>
          <w:highlight w:val="none"/>
          <w:u w:val="none"/>
        </w:rPr>
        <w:t>.4</w:t>
      </w:r>
      <w:r>
        <w:rPr>
          <w:rFonts w:hint="eastAsia" w:ascii="宋体" w:hAnsi="宋体" w:eastAsia="宋体"/>
          <w:color w:val="auto"/>
          <w:szCs w:val="21"/>
          <w:highlight w:val="none"/>
        </w:rPr>
        <w:t>】；</w:t>
      </w:r>
    </w:p>
    <w:p w14:paraId="6BA97130">
      <w:pPr>
        <w:autoSpaceDE w:val="0"/>
        <w:autoSpaceDN w:val="0"/>
        <w:adjustRightInd w:val="0"/>
        <w:spacing w:line="360" w:lineRule="auto"/>
        <w:ind w:left="913" w:hanging="913" w:hangingChars="435"/>
        <w:outlineLvl w:val="2"/>
        <w:rPr>
          <w:rFonts w:ascii="宋体" w:hAnsi="宋体" w:eastAsia="宋体" w:cs="宋体"/>
          <w:color w:val="auto"/>
          <w:szCs w:val="21"/>
          <w:highlight w:val="none"/>
          <w:lang w:val="zh-CN"/>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2935CCFC">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）投标人基本情况一览表；</w:t>
      </w:r>
    </w:p>
    <w:p w14:paraId="1B5271C7">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）投标人财务状况表；</w:t>
      </w:r>
    </w:p>
    <w:p w14:paraId="033F549B">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）合同条款响应程度（合同条款偏离表）；</w:t>
      </w:r>
    </w:p>
    <w:p w14:paraId="57C45CF3">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zh-CN"/>
        </w:rPr>
        <w:t>）业绩表；</w:t>
      </w:r>
    </w:p>
    <w:p w14:paraId="588C71F7">
      <w:pPr>
        <w:tabs>
          <w:tab w:val="left" w:pos="567"/>
        </w:tabs>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承诺书；</w:t>
      </w:r>
    </w:p>
    <w:p w14:paraId="15381CC7">
      <w:pPr>
        <w:tabs>
          <w:tab w:val="left" w:pos="567"/>
        </w:tabs>
        <w:autoSpaceDE w:val="0"/>
        <w:autoSpaceDN w:val="0"/>
        <w:adjustRightInd w:val="0"/>
        <w:spacing w:line="360" w:lineRule="auto"/>
        <w:ind w:left="315" w:leftChars="-100" w:hanging="525" w:hangingChars="250"/>
        <w:rPr>
          <w:color w:val="auto"/>
          <w:highlight w:val="none"/>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w:t>
      </w:r>
      <w:r>
        <w:rPr>
          <w:rFonts w:hint="eastAsia" w:ascii="宋体" w:hAnsi="宋体" w:eastAsia="宋体" w:cs="宋体"/>
          <w:color w:val="auto"/>
          <w:kern w:val="0"/>
          <w:sz w:val="21"/>
          <w:szCs w:val="21"/>
          <w:highlight w:val="none"/>
          <w:lang w:val="en-US" w:eastAsia="zh-CN"/>
        </w:rPr>
        <w:t>投入本项目服务人员情况</w:t>
      </w:r>
      <w:r>
        <w:rPr>
          <w:rFonts w:hint="eastAsia" w:ascii="宋体" w:hAnsi="宋体" w:eastAsia="宋体" w:cs="宋体"/>
          <w:color w:val="auto"/>
          <w:kern w:val="0"/>
          <w:szCs w:val="21"/>
          <w:highlight w:val="none"/>
          <w:lang w:val="zh-CN"/>
        </w:rPr>
        <w:t>（即投入项目人员情况表格式）</w:t>
      </w:r>
      <w:r>
        <w:rPr>
          <w:rFonts w:hint="eastAsia" w:ascii="宋体" w:hAnsi="宋体" w:eastAsia="宋体" w:cs="宋体"/>
          <w:color w:val="auto"/>
          <w:szCs w:val="21"/>
          <w:highlight w:val="none"/>
          <w:lang w:val="zh-CN"/>
        </w:rPr>
        <w:t>；</w:t>
      </w:r>
    </w:p>
    <w:p w14:paraId="4179E758">
      <w:pPr>
        <w:spacing w:line="360" w:lineRule="auto"/>
        <w:ind w:left="105" w:leftChars="-100" w:hanging="315" w:hangingChars="150"/>
        <w:outlineLvl w:val="3"/>
        <w:rPr>
          <w:color w:val="auto"/>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 w:val="21"/>
          <w:szCs w:val="21"/>
          <w:highlight w:val="none"/>
        </w:rPr>
        <w:t>服务便利性</w:t>
      </w:r>
      <w:r>
        <w:rPr>
          <w:rFonts w:hint="eastAsia" w:ascii="宋体" w:hAnsi="宋体" w:eastAsia="宋体" w:cs="宋体"/>
          <w:color w:val="auto"/>
          <w:kern w:val="0"/>
          <w:sz w:val="21"/>
          <w:szCs w:val="21"/>
          <w:highlight w:val="none"/>
          <w:lang w:eastAsia="zh-CN"/>
        </w:rPr>
        <w:t>；</w:t>
      </w:r>
    </w:p>
    <w:p w14:paraId="59F43932">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扫描件等投标人认为有需要证明其具备为本次招标项目提供货物及有关服务能力的有关其它商务文件（不做强制要求）。</w:t>
      </w:r>
    </w:p>
    <w:p w14:paraId="21ED3749">
      <w:pPr>
        <w:autoSpaceDE w:val="0"/>
        <w:autoSpaceDN w:val="0"/>
        <w:adjustRightInd w:val="0"/>
        <w:spacing w:line="360" w:lineRule="auto"/>
        <w:ind w:left="422" w:leftChars="-100" w:hanging="632" w:hangingChars="300"/>
        <w:outlineLvl w:val="1"/>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技术标：</w:t>
      </w:r>
    </w:p>
    <w:p w14:paraId="28B1EDC9">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5D0CAA32">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w:t>
      </w:r>
      <w:r>
        <w:rPr>
          <w:rFonts w:hint="eastAsia" w:ascii="宋体" w:hAnsi="宋体" w:eastAsia="宋体" w:cs="宋体"/>
          <w:color w:val="auto"/>
          <w:kern w:val="0"/>
          <w:szCs w:val="21"/>
          <w:highlight w:val="none"/>
          <w:lang w:val="en-US" w:eastAsia="zh-CN"/>
        </w:rPr>
        <w:t>的</w:t>
      </w:r>
      <w:r>
        <w:rPr>
          <w:rFonts w:hint="eastAsia" w:ascii="宋体" w:hAnsi="宋体" w:eastAsia="宋体" w:cs="宋体"/>
          <w:color w:val="auto"/>
          <w:kern w:val="0"/>
          <w:szCs w:val="21"/>
          <w:highlight w:val="none"/>
        </w:rPr>
        <w:t>响应程度（即用户需求偏离表）；</w:t>
      </w:r>
    </w:p>
    <w:p w14:paraId="7715547E">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工作流程</w:t>
      </w:r>
      <w:r>
        <w:rPr>
          <w:rFonts w:hint="eastAsia" w:ascii="宋体" w:hAnsi="宋体" w:eastAsia="宋体" w:cs="宋体"/>
          <w:bCs w:val="0"/>
          <w:color w:val="auto"/>
          <w:kern w:val="0"/>
          <w:sz w:val="21"/>
          <w:szCs w:val="21"/>
          <w:highlight w:val="none"/>
          <w:lang w:val="en-US" w:eastAsia="zh-CN"/>
        </w:rPr>
        <w:t>及政策了解</w:t>
      </w:r>
      <w:r>
        <w:rPr>
          <w:rFonts w:hint="eastAsia" w:ascii="宋体" w:hAnsi="宋体" w:eastAsia="宋体" w:cs="宋体"/>
          <w:color w:val="auto"/>
          <w:kern w:val="0"/>
          <w:szCs w:val="21"/>
          <w:highlight w:val="none"/>
        </w:rPr>
        <w:t>；</w:t>
      </w:r>
    </w:p>
    <w:p w14:paraId="2F39020D">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bCs w:val="0"/>
          <w:color w:val="auto"/>
          <w:kern w:val="0"/>
          <w:sz w:val="21"/>
          <w:szCs w:val="21"/>
          <w:highlight w:val="none"/>
        </w:rPr>
        <w:t>进度保障</w:t>
      </w:r>
      <w:r>
        <w:rPr>
          <w:rFonts w:hint="eastAsia" w:ascii="宋体" w:hAnsi="宋体" w:eastAsia="宋体" w:cs="宋体"/>
          <w:color w:val="auto"/>
          <w:kern w:val="0"/>
          <w:szCs w:val="21"/>
          <w:highlight w:val="none"/>
        </w:rPr>
        <w:t>；</w:t>
      </w:r>
    </w:p>
    <w:p w14:paraId="5FA1BBF8">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bCs w:val="0"/>
          <w:color w:val="auto"/>
          <w:kern w:val="0"/>
          <w:sz w:val="21"/>
          <w:szCs w:val="21"/>
          <w:highlight w:val="none"/>
          <w:lang w:val="en-US" w:eastAsia="zh-CN"/>
        </w:rPr>
        <w:t>质量保证措施</w:t>
      </w:r>
      <w:r>
        <w:rPr>
          <w:rFonts w:hint="eastAsia" w:ascii="宋体" w:hAnsi="宋体" w:eastAsia="宋体" w:cs="宋体"/>
          <w:color w:val="auto"/>
          <w:kern w:val="0"/>
          <w:szCs w:val="21"/>
          <w:highlight w:val="none"/>
        </w:rPr>
        <w:t>；</w:t>
      </w:r>
    </w:p>
    <w:p w14:paraId="3C552015">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eastAsia="宋体" w:cs="宋体"/>
          <w:bCs w:val="0"/>
          <w:color w:val="auto"/>
          <w:kern w:val="0"/>
          <w:sz w:val="21"/>
          <w:szCs w:val="21"/>
          <w:highlight w:val="none"/>
        </w:rPr>
        <w:t>质量跟踪及信息反馈机制</w:t>
      </w:r>
      <w:r>
        <w:rPr>
          <w:rFonts w:hint="eastAsia" w:ascii="宋体" w:hAnsi="宋体" w:eastAsia="宋体" w:cs="宋体"/>
          <w:color w:val="auto"/>
          <w:kern w:val="0"/>
          <w:szCs w:val="21"/>
          <w:highlight w:val="none"/>
        </w:rPr>
        <w:t>；</w:t>
      </w:r>
    </w:p>
    <w:p w14:paraId="2C651660">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）投标人认为有必要提供的其它材料（不做强制要求）。</w:t>
      </w:r>
    </w:p>
    <w:p w14:paraId="10241FD2">
      <w:pPr>
        <w:autoSpaceDE w:val="0"/>
        <w:autoSpaceDN w:val="0"/>
        <w:adjustRightInd w:val="0"/>
        <w:spacing w:line="360" w:lineRule="auto"/>
        <w:ind w:left="422" w:leftChars="-100" w:hanging="632" w:hangingChars="300"/>
        <w:outlineLvl w:val="1"/>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w:t>
      </w:r>
      <w:r>
        <w:rPr>
          <w:rFonts w:hint="eastAsia" w:ascii="宋体" w:hAnsi="宋体" w:eastAsia="宋体" w:cs="宋体"/>
          <w:b/>
          <w:bCs/>
          <w:color w:val="auto"/>
          <w:szCs w:val="21"/>
          <w:highlight w:val="none"/>
        </w:rPr>
        <w:t>3</w:t>
      </w:r>
      <w:r>
        <w:rPr>
          <w:rFonts w:hint="eastAsia" w:ascii="宋体" w:hAnsi="宋体" w:eastAsia="宋体" w:cs="宋体"/>
          <w:b/>
          <w:bCs/>
          <w:color w:val="auto"/>
          <w:szCs w:val="21"/>
          <w:highlight w:val="none"/>
          <w:lang w:val="zh-CN"/>
        </w:rPr>
        <w:t xml:space="preserve"> 报价信封</w:t>
      </w:r>
    </w:p>
    <w:p w14:paraId="585252CD">
      <w:pPr>
        <w:autoSpaceDE w:val="0"/>
        <w:autoSpaceDN w:val="0"/>
        <w:adjustRightInd w:val="0"/>
        <w:spacing w:line="360" w:lineRule="auto"/>
        <w:ind w:left="420" w:leftChars="200"/>
        <w:rPr>
          <w:rFonts w:ascii="宋体" w:hAnsi="宋体" w:eastAsia="宋体" w:cs="宋体"/>
          <w:color w:val="auto"/>
          <w:szCs w:val="21"/>
          <w:highlight w:val="none"/>
        </w:rPr>
      </w:pPr>
      <w:r>
        <w:rPr>
          <w:rFonts w:hint="eastAsia" w:ascii="宋体" w:hAnsi="宋体" w:eastAsia="宋体" w:cs="宋体"/>
          <w:color w:val="auto"/>
          <w:szCs w:val="21"/>
          <w:highlight w:val="none"/>
        </w:rPr>
        <w:t>按照投标文件格式中的要求进行编制。</w:t>
      </w:r>
    </w:p>
    <w:p w14:paraId="1AE17BF2">
      <w:pPr>
        <w:autoSpaceDE w:val="0"/>
        <w:autoSpaceDN w:val="0"/>
        <w:adjustRightInd w:val="0"/>
        <w:spacing w:line="360" w:lineRule="auto"/>
        <w:ind w:left="317" w:leftChars="-100" w:hanging="527" w:hangingChars="250"/>
        <w:outlineLvl w:val="2"/>
        <w:rPr>
          <w:rFonts w:ascii="宋体" w:hAnsi="宋体" w:eastAsia="宋体" w:cs="宋体"/>
          <w:b/>
          <w:bCs/>
          <w:color w:val="auto"/>
          <w:szCs w:val="21"/>
          <w:highlight w:val="none"/>
        </w:rPr>
      </w:pPr>
      <w:r>
        <w:rPr>
          <w:rFonts w:ascii="宋体" w:hAnsi="宋体" w:eastAsia="宋体" w:cs="宋体"/>
          <w:b/>
          <w:bCs/>
          <w:color w:val="auto"/>
          <w:szCs w:val="21"/>
          <w:highlight w:val="none"/>
        </w:rPr>
        <w:t xml:space="preserve">9.2  </w:t>
      </w:r>
      <w:r>
        <w:rPr>
          <w:rFonts w:hint="eastAsia" w:ascii="宋体" w:hAnsi="宋体" w:eastAsia="宋体" w:cs="宋体"/>
          <w:b/>
          <w:bCs/>
          <w:color w:val="auto"/>
          <w:szCs w:val="21"/>
          <w:highlight w:val="none"/>
        </w:rPr>
        <w:t>投标文件格式</w:t>
      </w:r>
      <w:r>
        <w:rPr>
          <w:rFonts w:ascii="宋体" w:hAnsi="宋体" w:eastAsia="宋体" w:cs="宋体"/>
          <w:b/>
          <w:bCs/>
          <w:color w:val="auto"/>
          <w:szCs w:val="21"/>
          <w:highlight w:val="none"/>
        </w:rPr>
        <w:t xml:space="preserve"> </w:t>
      </w:r>
    </w:p>
    <w:p w14:paraId="6834FBD2">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）商务标必须按招标文件所附的商务标格式编制（参见第六篇）。</w:t>
      </w:r>
    </w:p>
    <w:p w14:paraId="47A5BEAA">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）技术标必须按招标文件所附的技术标格式编制（参见第六篇）。</w:t>
      </w:r>
    </w:p>
    <w:p w14:paraId="7AB8D754">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）报价信封由投标人使用电子标书制作软件编制（参见第六篇）。</w:t>
      </w:r>
    </w:p>
    <w:p w14:paraId="2F8C8133">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 xml:space="preserve">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w:t>
      </w:r>
    </w:p>
    <w:p w14:paraId="13C71CE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 xml:space="preserve">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693BFA67">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4AD9D0C7">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28" w:name="_Toc142508324"/>
      <w:bookmarkStart w:id="129" w:name="_Toc195714228"/>
      <w:bookmarkStart w:id="130" w:name="_Toc450662860"/>
      <w:bookmarkStart w:id="131" w:name="_Toc8675_WPSOffice_Level3"/>
      <w:bookmarkStart w:id="132" w:name="_Toc486167674"/>
      <w:bookmarkStart w:id="133" w:name="_Toc11170"/>
      <w:bookmarkStart w:id="134" w:name="_Toc7017"/>
      <w:bookmarkStart w:id="135" w:name="_Toc13214"/>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28"/>
      <w:bookmarkEnd w:id="129"/>
      <w:bookmarkEnd w:id="130"/>
      <w:bookmarkEnd w:id="131"/>
      <w:bookmarkEnd w:id="132"/>
      <w:bookmarkEnd w:id="133"/>
      <w:bookmarkEnd w:id="134"/>
      <w:bookmarkEnd w:id="135"/>
    </w:p>
    <w:p w14:paraId="22D220C1">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61F1831F">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262A9698">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36" w:name="_Toc15427"/>
      <w:bookmarkStart w:id="137" w:name="_Toc450662861"/>
      <w:bookmarkStart w:id="138" w:name="_Toc27908"/>
      <w:bookmarkStart w:id="139" w:name="_Toc486167675"/>
      <w:bookmarkStart w:id="140" w:name="_Toc195714229"/>
      <w:bookmarkStart w:id="141" w:name="_Toc142508325"/>
      <w:bookmarkStart w:id="142" w:name="_Toc24311"/>
      <w:bookmarkStart w:id="143" w:name="_Toc4385_WPSOffice_Level3"/>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36"/>
      <w:bookmarkEnd w:id="137"/>
      <w:bookmarkEnd w:id="138"/>
      <w:bookmarkEnd w:id="139"/>
      <w:bookmarkEnd w:id="140"/>
      <w:bookmarkEnd w:id="141"/>
      <w:bookmarkEnd w:id="142"/>
      <w:bookmarkEnd w:id="143"/>
    </w:p>
    <w:p w14:paraId="5590F9AA">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w:t>
      </w:r>
      <w:r>
        <w:rPr>
          <w:rFonts w:hint="eastAsia" w:ascii="宋体" w:hAnsi="宋体" w:eastAsia="宋体" w:cs="Times New Roman"/>
          <w:b/>
          <w:color w:val="auto"/>
          <w:szCs w:val="21"/>
          <w:highlight w:val="none"/>
          <w:lang w:val="zh-CN"/>
        </w:rPr>
        <w:t>只允许有一个报价价格，任何有选择的或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6394A92D">
      <w:pPr>
        <w:autoSpaceDE w:val="0"/>
        <w:autoSpaceDN w:val="0"/>
        <w:adjustRightInd w:val="0"/>
        <w:spacing w:line="360" w:lineRule="auto"/>
        <w:ind w:left="357" w:leftChars="-100" w:hanging="567"/>
        <w:outlineLvl w:val="1"/>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投标人的投标报价均包括但不限于以下内容涉及的费用</w:t>
      </w:r>
      <w:r>
        <w:rPr>
          <w:rFonts w:hint="eastAsia" w:ascii="宋体" w:hAnsi="宋体" w:eastAsia="宋体" w:cs="宋体"/>
          <w:color w:val="auto"/>
          <w:kern w:val="0"/>
          <w:szCs w:val="21"/>
          <w:highlight w:val="none"/>
        </w:rPr>
        <w:t>：</w:t>
      </w:r>
    </w:p>
    <w:p w14:paraId="14C4496B">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为完成本项目招标文件和合同约定的单项造价咨询服务范围内的全部工作所需支付的一切费用，为包干价，包括但不限于人员人工费（工资及加班工资、福利、社保、住房公积金、节日补贴、高温津贴、劳保、服装和膳食、意外伤害保险、加班费、住宿补贴、市内交通补贴、培训、经济补偿等）、驻场服务所需的差旅费、食宿费、交通费、通讯费、配合费、办理履约担保所需等费用；</w:t>
      </w:r>
    </w:p>
    <w:p w14:paraId="7F0800E3">
      <w:pPr>
        <w:autoSpaceDE w:val="0"/>
        <w:autoSpaceDN w:val="0"/>
        <w:adjustRightInd w:val="0"/>
        <w:spacing w:line="360" w:lineRule="auto"/>
        <w:ind w:left="357" w:leftChars="-100" w:hanging="567"/>
        <w:outlineLvl w:val="2"/>
        <w:rPr>
          <w:rFonts w:hint="eastAsia" w:ascii="宋体" w:hAnsi="宋体" w:eastAsia="宋体" w:cs="宋体"/>
          <w:color w:val="auto"/>
          <w:kern w:val="0"/>
          <w:szCs w:val="21"/>
          <w:highlight w:val="none"/>
        </w:rPr>
      </w:pPr>
      <w:bookmarkStart w:id="144" w:name="_Toc25314"/>
      <w:r>
        <w:rPr>
          <w:rFonts w:hint="eastAsia" w:ascii="宋体" w:hAnsi="宋体" w:eastAsia="宋体" w:cs="宋体"/>
          <w:color w:val="auto"/>
          <w:kern w:val="0"/>
          <w:szCs w:val="21"/>
          <w:highlight w:val="none"/>
        </w:rPr>
        <w:t>（2）合理利润、税费等；</w:t>
      </w:r>
      <w:bookmarkEnd w:id="144"/>
    </w:p>
    <w:p w14:paraId="53362257">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（3）法律法规、行业公认、完成合同实施过程中由投标人承担的其他直接及间接费用。</w:t>
      </w:r>
    </w:p>
    <w:p w14:paraId="59274BB0">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14:paraId="53048102">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65B20D23">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宋体"/>
          <w:b/>
          <w:bCs/>
          <w:color w:val="auto"/>
          <w:kern w:val="0"/>
          <w:szCs w:val="21"/>
          <w:highlight w:val="none"/>
          <w:lang w:val="zh-CN"/>
        </w:rPr>
        <w:t>本项目投标报价为固定的，即单项造价咨询服务费参照《广东省物价局关于调整我省建设工程造价咨询服务收费的复函（粤价函〔2011〕742号）》计费标准中对应事项的80%计算，各投标单位报价以</w:t>
      </w:r>
      <w:r>
        <w:rPr>
          <w:rFonts w:hint="eastAsia" w:ascii="宋体" w:hAnsi="宋体" w:eastAsia="宋体" w:cs="宋体"/>
          <w:b/>
          <w:bCs/>
          <w:color w:val="auto"/>
          <w:kern w:val="0"/>
          <w:szCs w:val="21"/>
          <w:highlight w:val="none"/>
          <w:lang w:val="en-US" w:eastAsia="zh-CN"/>
        </w:rPr>
        <w:t>折扣系数</w:t>
      </w:r>
      <w:r>
        <w:rPr>
          <w:rFonts w:hint="eastAsia" w:ascii="宋体" w:hAnsi="宋体" w:eastAsia="宋体" w:cs="宋体"/>
          <w:b/>
          <w:bCs/>
          <w:color w:val="auto"/>
          <w:kern w:val="0"/>
          <w:szCs w:val="21"/>
          <w:highlight w:val="none"/>
          <w:lang w:val="zh-CN"/>
        </w:rPr>
        <w:t>形式报价，</w:t>
      </w:r>
      <w:r>
        <w:rPr>
          <w:rFonts w:hint="eastAsia" w:ascii="宋体" w:hAnsi="宋体" w:eastAsia="宋体" w:cs="宋体"/>
          <w:b/>
          <w:bCs/>
          <w:color w:val="auto"/>
          <w:kern w:val="0"/>
          <w:szCs w:val="21"/>
          <w:highlight w:val="none"/>
          <w:lang w:val="en-US" w:eastAsia="zh-CN"/>
        </w:rPr>
        <w:t>折扣系数</w:t>
      </w:r>
      <w:r>
        <w:rPr>
          <w:rFonts w:hint="eastAsia" w:ascii="宋体" w:hAnsi="宋体" w:eastAsia="宋体" w:cs="宋体"/>
          <w:b/>
          <w:bCs/>
          <w:color w:val="auto"/>
          <w:kern w:val="0"/>
          <w:szCs w:val="21"/>
          <w:highlight w:val="none"/>
          <w:lang w:val="zh-CN"/>
        </w:rPr>
        <w:t>须等于</w:t>
      </w:r>
      <w:r>
        <w:rPr>
          <w:rFonts w:hint="eastAsia" w:ascii="宋体" w:hAnsi="宋体" w:eastAsia="宋体" w:cs="宋体"/>
          <w:b/>
          <w:bCs/>
          <w:color w:val="auto"/>
          <w:kern w:val="0"/>
          <w:szCs w:val="21"/>
          <w:highlight w:val="none"/>
          <w:lang w:val="en-US" w:eastAsia="zh-CN"/>
        </w:rPr>
        <w:t>0.8</w:t>
      </w:r>
      <w:r>
        <w:rPr>
          <w:rFonts w:hint="eastAsia" w:ascii="宋体" w:hAnsi="宋体" w:eastAsia="宋体" w:cs="宋体"/>
          <w:b/>
          <w:bCs/>
          <w:color w:val="auto"/>
          <w:kern w:val="0"/>
          <w:szCs w:val="21"/>
          <w:highlight w:val="none"/>
          <w:lang w:val="zh-CN"/>
        </w:rPr>
        <w:t>。</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须按照</w:t>
      </w:r>
      <w:r>
        <w:rPr>
          <w:rFonts w:hint="eastAsia" w:ascii="宋体" w:hAnsi="宋体" w:eastAsia="宋体" w:cs="宋体"/>
          <w:color w:val="auto"/>
          <w:highlight w:val="none"/>
          <w:lang w:val="en-US" w:eastAsia="zh-CN"/>
        </w:rPr>
        <w:t>招标文件中</w:t>
      </w:r>
      <w:r>
        <w:rPr>
          <w:rFonts w:hint="eastAsia" w:ascii="宋体" w:hAnsi="宋体" w:eastAsia="宋体" w:cs="宋体"/>
          <w:color w:val="auto"/>
          <w:highlight w:val="none"/>
        </w:rPr>
        <w:t>规定</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格式要求进行填报投标报价表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否则按无效投标处理</w:t>
      </w:r>
      <w:r>
        <w:rPr>
          <w:rFonts w:hint="eastAsia" w:ascii="宋体" w:hAnsi="宋体" w:eastAsia="宋体" w:cs="Times New Roman"/>
          <w:b/>
          <w:bCs/>
          <w:color w:val="auto"/>
          <w:szCs w:val="21"/>
          <w:highlight w:val="none"/>
          <w:lang w:val="zh-CN"/>
        </w:rPr>
        <w:t>。</w:t>
      </w:r>
    </w:p>
    <w:p w14:paraId="3A59B8C7">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0499AE67">
      <w:pPr>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145" w:name="_Toc142508326"/>
      <w:bookmarkStart w:id="146" w:name="_Toc20312"/>
      <w:bookmarkStart w:id="147" w:name="_Toc195714230"/>
      <w:bookmarkStart w:id="148" w:name="_Toc2284"/>
      <w:bookmarkStart w:id="149" w:name="_Toc3469"/>
      <w:bookmarkStart w:id="150" w:name="_Toc30042_WPSOffice_Level3"/>
      <w:bookmarkStart w:id="151" w:name="_Toc486167676"/>
      <w:bookmarkStart w:id="152" w:name="_Toc450662862"/>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45"/>
      <w:bookmarkEnd w:id="146"/>
      <w:bookmarkEnd w:id="147"/>
      <w:bookmarkEnd w:id="148"/>
      <w:bookmarkEnd w:id="149"/>
      <w:bookmarkEnd w:id="150"/>
      <w:bookmarkEnd w:id="151"/>
      <w:bookmarkEnd w:id="152"/>
    </w:p>
    <w:p w14:paraId="4475E655">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本项目投标报价或以投标报价换算的金额采用的币种为人民币，以其</w:t>
      </w:r>
      <w:r>
        <w:rPr>
          <w:rFonts w:hint="eastAsia" w:ascii="宋体" w:hAnsi="宋体" w:eastAsia="宋体" w:cs="Times New Roman"/>
          <w:b/>
          <w:color w:val="auto"/>
          <w:szCs w:val="21"/>
          <w:highlight w:val="none"/>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1AE0F60A">
      <w:pPr>
        <w:autoSpaceDE w:val="0"/>
        <w:autoSpaceDN w:val="0"/>
        <w:adjustRightInd w:val="0"/>
        <w:spacing w:line="360" w:lineRule="auto"/>
        <w:ind w:left="265" w:leftChars="119" w:hanging="15"/>
        <w:rPr>
          <w:rFonts w:ascii="宋体" w:hAnsi="宋体" w:eastAsia="宋体" w:cs="宋体"/>
          <w:color w:val="auto"/>
          <w:szCs w:val="21"/>
          <w:highlight w:val="none"/>
        </w:rPr>
      </w:pPr>
    </w:p>
    <w:p w14:paraId="28C81FE0">
      <w:pPr>
        <w:tabs>
          <w:tab w:val="left" w:pos="57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53" w:name="_Toc3961"/>
      <w:bookmarkStart w:id="154" w:name="_Toc20031"/>
      <w:bookmarkStart w:id="155" w:name="_Toc195714231"/>
      <w:bookmarkStart w:id="156" w:name="_Toc26828"/>
      <w:bookmarkStart w:id="157" w:name="_Toc142508327"/>
      <w:bookmarkStart w:id="158" w:name="_Toc486167677"/>
      <w:bookmarkStart w:id="159" w:name="_Toc450662863"/>
      <w:bookmarkStart w:id="160" w:name="_Toc9411_WPSOffice_Level3"/>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53"/>
      <w:bookmarkEnd w:id="154"/>
      <w:bookmarkEnd w:id="155"/>
      <w:bookmarkEnd w:id="156"/>
      <w:bookmarkEnd w:id="157"/>
      <w:bookmarkEnd w:id="158"/>
      <w:bookmarkEnd w:id="159"/>
      <w:bookmarkEnd w:id="160"/>
    </w:p>
    <w:p w14:paraId="523A9CE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0A1556E3">
      <w:pPr>
        <w:autoSpaceDE w:val="0"/>
        <w:autoSpaceDN w:val="0"/>
        <w:adjustRightInd w:val="0"/>
        <w:spacing w:line="360" w:lineRule="auto"/>
        <w:ind w:left="357" w:leftChars="-100" w:hanging="567"/>
        <w:outlineLvl w:val="1"/>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03A6055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764F882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6713DDA7">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003CA1FC">
      <w:pPr>
        <w:autoSpaceDE w:val="0"/>
        <w:autoSpaceDN w:val="0"/>
        <w:adjustRightInd w:val="0"/>
        <w:spacing w:line="360" w:lineRule="auto"/>
        <w:ind w:left="357" w:leftChars="-100" w:hanging="567" w:firstLineChars="0"/>
        <w:rPr>
          <w:rFonts w:ascii="宋体" w:hAnsi="宋体" w:eastAsia="宋体" w:cs="宋体"/>
          <w:color w:val="auto"/>
          <w:szCs w:val="21"/>
          <w:highlight w:val="none"/>
        </w:rPr>
      </w:pPr>
    </w:p>
    <w:p w14:paraId="638F45F2">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61" w:name="_Toc486167678"/>
      <w:bookmarkStart w:id="162" w:name="_Toc142508328"/>
      <w:bookmarkStart w:id="163" w:name="_Toc195714232"/>
      <w:bookmarkStart w:id="164" w:name="_Toc450662864"/>
      <w:bookmarkStart w:id="165" w:name="_Toc22622"/>
      <w:bookmarkStart w:id="166" w:name="_Toc27771_WPSOffice_Level3"/>
      <w:bookmarkStart w:id="167" w:name="_Toc8615"/>
      <w:bookmarkStart w:id="168" w:name="_Toc29754"/>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的合格性并符合招标文件规定的声明文件</w:t>
      </w:r>
      <w:bookmarkEnd w:id="161"/>
      <w:bookmarkEnd w:id="162"/>
      <w:bookmarkEnd w:id="163"/>
      <w:bookmarkEnd w:id="164"/>
      <w:bookmarkEnd w:id="165"/>
      <w:bookmarkEnd w:id="166"/>
      <w:bookmarkEnd w:id="167"/>
      <w:bookmarkEnd w:id="168"/>
    </w:p>
    <w:p w14:paraId="37DDB143">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的合格性并符合招标文件规定的声明文件，作为投标文件的一部分。</w:t>
      </w:r>
    </w:p>
    <w:p w14:paraId="59A4BED6">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lang w:eastAsia="zh-CN"/>
        </w:rPr>
        <w:t>相关</w:t>
      </w:r>
      <w:r>
        <w:rPr>
          <w:rFonts w:hint="eastAsia" w:ascii="宋体" w:hAnsi="宋体" w:eastAsia="宋体" w:cs="宋体"/>
          <w:color w:val="auto"/>
          <w:kern w:val="0"/>
          <w:szCs w:val="21"/>
          <w:highlight w:val="none"/>
        </w:rPr>
        <w:t>服务</w:t>
      </w:r>
      <w:r>
        <w:rPr>
          <w:rFonts w:hint="eastAsia" w:ascii="宋体" w:hAnsi="宋体" w:eastAsia="宋体" w:cs="宋体"/>
          <w:color w:val="auto"/>
          <w:szCs w:val="21"/>
          <w:highlight w:val="none"/>
          <w:lang w:val="zh-CN"/>
        </w:rPr>
        <w:t>与招标文件的要求相一致的文件可以是文字资料、图纸和数据资料。</w:t>
      </w:r>
    </w:p>
    <w:p w14:paraId="45E23DDC">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为说明第14.2款的规定，投标人应注意本招标文件在《用户需求书》中对服务要求</w:t>
      </w:r>
      <w:r>
        <w:rPr>
          <w:rFonts w:hint="eastAsia" w:ascii="宋体" w:hAnsi="宋体" w:eastAsia="宋体" w:cs="宋体"/>
          <w:b/>
          <w:color w:val="auto"/>
          <w:szCs w:val="21"/>
          <w:highlight w:val="none"/>
          <w:lang w:val="en-US" w:eastAsia="zh-CN"/>
        </w:rPr>
        <w:t>的</w:t>
      </w:r>
      <w:r>
        <w:rPr>
          <w:rFonts w:hint="eastAsia" w:ascii="宋体" w:hAnsi="宋体" w:eastAsia="宋体" w:cs="宋体"/>
          <w:b/>
          <w:color w:val="auto"/>
          <w:szCs w:val="21"/>
          <w:highlight w:val="none"/>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14:paraId="4F6B47EA">
      <w:pPr>
        <w:autoSpaceDE w:val="0"/>
        <w:autoSpaceDN w:val="0"/>
        <w:adjustRightInd w:val="0"/>
        <w:spacing w:line="360" w:lineRule="auto"/>
        <w:rPr>
          <w:rFonts w:ascii="宋体" w:hAnsi="宋体" w:eastAsia="宋体" w:cs="Times New Roman"/>
          <w:color w:val="auto"/>
          <w:kern w:val="0"/>
          <w:sz w:val="24"/>
          <w:szCs w:val="24"/>
          <w:highlight w:val="none"/>
        </w:rPr>
      </w:pPr>
    </w:p>
    <w:p w14:paraId="2606B230">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69" w:name="_Toc8644"/>
      <w:bookmarkStart w:id="170" w:name="_Toc142508329"/>
      <w:bookmarkStart w:id="171" w:name="_Toc5356_WPSOffice_Level3"/>
      <w:bookmarkStart w:id="172" w:name="_Toc195714233"/>
      <w:bookmarkStart w:id="173" w:name="_Toc486167679"/>
      <w:bookmarkStart w:id="174" w:name="_Toc30555"/>
      <w:bookmarkStart w:id="175" w:name="_Toc3206"/>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69"/>
      <w:bookmarkEnd w:id="170"/>
      <w:bookmarkEnd w:id="171"/>
      <w:bookmarkEnd w:id="172"/>
      <w:bookmarkEnd w:id="173"/>
      <w:bookmarkEnd w:id="174"/>
      <w:bookmarkEnd w:id="175"/>
    </w:p>
    <w:p w14:paraId="3BEC16AD">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.1 投标人在投标截止时间前，应按第一篇《招标公告》中规定的形式和金额提交投标保证金。投标保证金到账时间应为投标保证金的关联时间。投标保证金数据超过投标截止时间后到达交易系统的，无法关联。投标人应提前办理投标保证金手续，自行承担数据延误风险。投标人如发现到账异常情况，须在投标截止时间前向东莞市公共资源交易中心（以下简称交易中心）工作人员提出投标保证金到账异常处理申请。投标人必须在招标人接受的方式中任选一种提交投标保证金。对应于各种方式的投标保证金的提交要求如下：</w:t>
      </w:r>
    </w:p>
    <w:p w14:paraId="5860E359">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（1）若采用单项投标保证金，投标人必须按全国公共资源交易平台（广东省·东莞市）办事指南的规定及时向交易中心缴存单项投标保证金，并确保上述款项在投标文件提交截止时间前匹配到本</w:t>
      </w:r>
      <w:r>
        <w:rPr>
          <w:rFonts w:hint="eastAsia" w:ascii="宋体" w:hAnsi="宋体" w:eastAsia="宋体" w:cs="宋体"/>
          <w:bCs/>
          <w:color w:val="auto"/>
          <w:kern w:val="0"/>
          <w:szCs w:val="21"/>
          <w:highlight w:val="none"/>
          <w:lang w:val="en-US" w:eastAsia="zh-CN"/>
        </w:rPr>
        <w:t>项目</w:t>
      </w:r>
      <w:r>
        <w:rPr>
          <w:rFonts w:hint="eastAsia" w:ascii="宋体" w:hAnsi="宋体" w:eastAsia="宋体" w:cs="宋体"/>
          <w:bCs/>
          <w:color w:val="auto"/>
          <w:kern w:val="0"/>
          <w:szCs w:val="21"/>
          <w:highlight w:val="none"/>
          <w:lang w:val="zh-CN"/>
        </w:rPr>
        <w:t>，否则，其投标保证金视为无效。</w:t>
      </w:r>
    </w:p>
    <w:p w14:paraId="023FEAC3">
      <w:pPr>
        <w:autoSpaceDE w:val="0"/>
        <w:autoSpaceDN w:val="0"/>
        <w:adjustRightInd w:val="0"/>
        <w:spacing w:line="360" w:lineRule="auto"/>
        <w:ind w:left="225" w:leftChars="107" w:firstLine="489" w:firstLineChars="233"/>
        <w:jc w:val="left"/>
        <w:rPr>
          <w:rFonts w:hint="eastAsia" w:ascii="宋体" w:hAnsi="宋体" w:eastAsia="宋体" w:cs="Times New Roman"/>
          <w:bCs w:val="0"/>
          <w:color w:val="auto"/>
          <w:kern w:val="0"/>
          <w:szCs w:val="21"/>
          <w:highlight w:val="none"/>
          <w:lang w:val="zh-CN"/>
        </w:rPr>
      </w:pPr>
      <w:r>
        <w:rPr>
          <w:rFonts w:hint="eastAsia" w:ascii="宋体" w:hAnsi="宋体" w:eastAsia="宋体" w:cs="Times New Roman"/>
          <w:bCs w:val="0"/>
          <w:color w:val="auto"/>
          <w:kern w:val="0"/>
          <w:szCs w:val="21"/>
          <w:highlight w:val="none"/>
          <w:lang w:val="zh-CN"/>
        </w:rPr>
        <w:t>投标截止时间前，已在公共资源交易企业库建档的投标人应将保证金关联至本</w:t>
      </w:r>
      <w:r>
        <w:rPr>
          <w:rFonts w:hint="eastAsia" w:ascii="宋体" w:hAnsi="宋体" w:eastAsia="宋体" w:cs="Times New Roman"/>
          <w:bCs w:val="0"/>
          <w:color w:val="auto"/>
          <w:kern w:val="0"/>
          <w:szCs w:val="21"/>
          <w:highlight w:val="none"/>
          <w:lang w:val="en-US" w:eastAsia="zh-CN"/>
        </w:rPr>
        <w:t>项目</w:t>
      </w:r>
      <w:r>
        <w:rPr>
          <w:rFonts w:hint="eastAsia" w:ascii="宋体" w:hAnsi="宋体" w:eastAsia="宋体" w:cs="Times New Roman"/>
          <w:bCs w:val="0"/>
          <w:color w:val="auto"/>
          <w:kern w:val="0"/>
          <w:szCs w:val="21"/>
          <w:highlight w:val="none"/>
          <w:lang w:val="zh-CN"/>
        </w:rPr>
        <w:t>。具体要求详见全国公共资源交易平台（广东省·东莞市）（网址：https://ygp.gdzwfw.gov.cn/#/441900/index）办事指南中的相关规定。</w:t>
      </w:r>
    </w:p>
    <w:p w14:paraId="48AA2601">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2）按《关于实行投标保证金企业基本账户备案制度的通知》(东建市〔2014〕18号)要求，缴纳的投标保证金须由投标人基本账户转出。投标人开具银行电子保函或保险电子保单存入的保证金（如有）及相关费用须从基本账户转出。投标保证金或相关费用不由其基本账户转入的，交易中心一律不予认定，无法参与投标的相关责任由投标人自行承担。</w:t>
      </w:r>
    </w:p>
    <w:p w14:paraId="59D5B5B8">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3）若采用银行电子保函或保险电子保单，投标人必须按《东莞市住房和城乡建设局关于我市房屋建筑和市政基础设施工程建设项目投标保证金使用银行电子保函及保险电子保单的通知》(东建市〔2022〕6号)规定办理，保证出具的保函或保单有效。保函或保单在投标人签到时关联。</w:t>
      </w:r>
    </w:p>
    <w:p w14:paraId="53F904FA">
      <w:pPr>
        <w:autoSpaceDE w:val="0"/>
        <w:autoSpaceDN w:val="0"/>
        <w:adjustRightInd w:val="0"/>
        <w:spacing w:line="360" w:lineRule="auto"/>
        <w:ind w:left="225" w:leftChars="107" w:firstLine="489" w:firstLineChars="233"/>
        <w:jc w:val="left"/>
        <w:rPr>
          <w:rFonts w:hint="eastAsia" w:ascii="宋体" w:hAnsi="宋体" w:eastAsia="宋体" w:cs="Times New Roman"/>
          <w:bCs w:val="0"/>
          <w:color w:val="auto"/>
          <w:kern w:val="0"/>
          <w:szCs w:val="21"/>
          <w:highlight w:val="none"/>
          <w:lang w:val="zh-CN"/>
        </w:rPr>
      </w:pPr>
      <w:r>
        <w:rPr>
          <w:rFonts w:hint="eastAsia" w:ascii="宋体" w:hAnsi="宋体" w:eastAsia="宋体" w:cs="Times New Roman"/>
          <w:bCs w:val="0"/>
          <w:color w:val="auto"/>
          <w:kern w:val="0"/>
          <w:szCs w:val="21"/>
          <w:highlight w:val="none"/>
          <w:lang w:val="zh-CN"/>
        </w:rPr>
        <w:t>银行电子保函参考样式按照《住房和城乡建设部关于印发工程保函示范文本的通知》（建市〔2021〕11号）执行。 保险公司所提供的建设工程保证保险条款应当经国家金融监督管理总局批准、备案或注册，并在本公司门户网站主动公开单位信息、投保单（范本）以及保险合同含条款（范本）。</w:t>
      </w:r>
    </w:p>
    <w:p w14:paraId="78DE5C9D">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.2 投标人签到时应按本投标人须知第</w:t>
      </w: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.1</w:t>
      </w:r>
      <w:r>
        <w:rPr>
          <w:rFonts w:hint="eastAsia" w:ascii="宋体" w:hAnsi="宋体" w:eastAsia="宋体" w:cs="宋体"/>
          <w:bCs/>
          <w:color w:val="auto"/>
          <w:kern w:val="0"/>
          <w:szCs w:val="21"/>
          <w:highlight w:val="none"/>
          <w:lang w:val="en-US" w:eastAsia="zh-CN"/>
        </w:rPr>
        <w:t>款</w:t>
      </w:r>
      <w:r>
        <w:rPr>
          <w:rFonts w:hint="eastAsia" w:ascii="宋体" w:hAnsi="宋体" w:eastAsia="宋体" w:cs="宋体"/>
          <w:bCs/>
          <w:color w:val="auto"/>
          <w:kern w:val="0"/>
          <w:szCs w:val="21"/>
          <w:highlight w:val="none"/>
          <w:lang w:val="zh-CN"/>
        </w:rPr>
        <w:t>要求提交投标保证金。投标截止时间前，投标人如果撤销签到，已关联的投标保证金同步取消关联；撤销签到的投标人可以重新签到并关联保证金。投标截止后，已关联的投标保证金不能取消关联。</w:t>
      </w:r>
    </w:p>
    <w:p w14:paraId="2F370C7D">
      <w:pPr>
        <w:tabs>
          <w:tab w:val="left" w:pos="567"/>
        </w:tabs>
        <w:autoSpaceDE w:val="0"/>
        <w:autoSpaceDN w:val="0"/>
        <w:adjustRightInd w:val="0"/>
        <w:spacing w:line="360" w:lineRule="auto"/>
        <w:ind w:left="357" w:leftChars="-100" w:hanging="567"/>
        <w:jc w:val="left"/>
        <w:outlineLvl w:val="1"/>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.3 投标保证金退还程序。</w:t>
      </w:r>
    </w:p>
    <w:p w14:paraId="2C90BC35">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（1）对未通过资格</w:t>
      </w:r>
      <w:r>
        <w:rPr>
          <w:rFonts w:hint="eastAsia" w:ascii="宋体" w:hAnsi="宋体" w:eastAsia="宋体" w:cs="宋体"/>
          <w:bCs/>
          <w:color w:val="auto"/>
          <w:kern w:val="0"/>
          <w:szCs w:val="21"/>
          <w:highlight w:val="none"/>
          <w:lang w:val="en-US" w:eastAsia="zh-CN"/>
        </w:rPr>
        <w:t>性</w:t>
      </w:r>
      <w:r>
        <w:rPr>
          <w:rFonts w:hint="eastAsia" w:ascii="宋体" w:hAnsi="宋体" w:eastAsia="宋体" w:cs="宋体"/>
          <w:bCs/>
          <w:color w:val="auto"/>
          <w:kern w:val="0"/>
          <w:szCs w:val="21"/>
          <w:highlight w:val="none"/>
          <w:lang w:val="zh-CN"/>
        </w:rPr>
        <w:t>审查或未通过</w:t>
      </w:r>
      <w:r>
        <w:rPr>
          <w:rFonts w:hint="eastAsia" w:ascii="宋体" w:hAnsi="宋体" w:eastAsia="宋体" w:cs="宋体"/>
          <w:bCs/>
          <w:color w:val="auto"/>
          <w:kern w:val="0"/>
          <w:szCs w:val="21"/>
          <w:highlight w:val="none"/>
          <w:lang w:val="en-US" w:eastAsia="zh-CN"/>
        </w:rPr>
        <w:t>符合性检查</w:t>
      </w:r>
      <w:r>
        <w:rPr>
          <w:rFonts w:hint="eastAsia" w:ascii="宋体" w:hAnsi="宋体" w:eastAsia="宋体" w:cs="宋体"/>
          <w:bCs/>
          <w:color w:val="auto"/>
          <w:kern w:val="0"/>
          <w:szCs w:val="21"/>
          <w:highlight w:val="none"/>
          <w:lang w:val="zh-CN"/>
        </w:rPr>
        <w:t>的投标人，招标人在</w:t>
      </w:r>
      <w:r>
        <w:rPr>
          <w:rFonts w:hint="eastAsia" w:ascii="宋体" w:hAnsi="宋体" w:eastAsia="宋体" w:cs="宋体"/>
          <w:bCs/>
          <w:color w:val="auto"/>
          <w:kern w:val="0"/>
          <w:szCs w:val="21"/>
          <w:highlight w:val="none"/>
          <w:lang w:val="en-US" w:eastAsia="zh-CN"/>
        </w:rPr>
        <w:t>评标会</w:t>
      </w:r>
      <w:r>
        <w:rPr>
          <w:rFonts w:hint="eastAsia" w:ascii="宋体" w:hAnsi="宋体" w:eastAsia="宋体" w:cs="宋体"/>
          <w:bCs/>
          <w:color w:val="auto"/>
          <w:kern w:val="0"/>
          <w:szCs w:val="21"/>
          <w:highlight w:val="none"/>
          <w:lang w:val="zh-CN"/>
        </w:rPr>
        <w:t>结束后第一个工作日向交易中心发送退还指令；</w:t>
      </w:r>
    </w:p>
    <w:p w14:paraId="1CB78DAF">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（2）对除中标候选人外的投标人，招标人在发布评标结果公示后3个工作日内向交易中心发送退还指令；</w:t>
      </w:r>
    </w:p>
    <w:p w14:paraId="07E4D1A3">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（3）招标人与中标人在签订书面合同后3个工作日内向交易中心对中标人及其余中标候选人投标保证金发送退还指令。</w:t>
      </w:r>
    </w:p>
    <w:p w14:paraId="6E3E4919">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（4）若</w:t>
      </w:r>
      <w:r>
        <w:rPr>
          <w:rFonts w:hint="eastAsia" w:ascii="宋体" w:hAnsi="宋体" w:eastAsia="宋体" w:cs="宋体"/>
          <w:bCs/>
          <w:color w:val="auto"/>
          <w:kern w:val="0"/>
          <w:szCs w:val="21"/>
          <w:highlight w:val="none"/>
          <w:lang w:val="en-US" w:eastAsia="zh-CN"/>
        </w:rPr>
        <w:t>项目</w:t>
      </w:r>
      <w:r>
        <w:rPr>
          <w:rFonts w:hint="eastAsia" w:ascii="宋体" w:hAnsi="宋体" w:eastAsia="宋体" w:cs="宋体"/>
          <w:bCs/>
          <w:color w:val="auto"/>
          <w:kern w:val="0"/>
          <w:szCs w:val="21"/>
          <w:highlight w:val="none"/>
          <w:lang w:val="zh-CN"/>
        </w:rPr>
        <w:t>受到监督部门调查时，招标人根据实际情况处理投标保证金退回有关工作。招标人将按调查结果处理涉事投标保证金。</w:t>
      </w:r>
    </w:p>
    <w:p w14:paraId="0408E06E">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（5）如因投诉等异常情况不能正常签发中标通知书，招标人可以退回未中标的且不涉及异常情况处理投标人的投标保证金发送退还指令。</w:t>
      </w:r>
    </w:p>
    <w:p w14:paraId="7567C8FF">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.4 投标保证金有效期应当与投标有效期一致。招标人如果按本</w:t>
      </w:r>
      <w:r>
        <w:rPr>
          <w:rFonts w:hint="eastAsia" w:ascii="宋体" w:hAnsi="宋体" w:eastAsia="宋体" w:cs="宋体"/>
          <w:bCs/>
          <w:color w:val="auto"/>
          <w:kern w:val="0"/>
          <w:szCs w:val="21"/>
          <w:highlight w:val="none"/>
          <w:lang w:val="en-US" w:eastAsia="zh-CN"/>
        </w:rPr>
        <w:t>投标人</w:t>
      </w:r>
      <w:r>
        <w:rPr>
          <w:rFonts w:hint="eastAsia" w:ascii="宋体" w:hAnsi="宋体" w:eastAsia="宋体" w:cs="宋体"/>
          <w:bCs/>
          <w:color w:val="auto"/>
          <w:kern w:val="0"/>
          <w:szCs w:val="21"/>
          <w:highlight w:val="none"/>
          <w:lang w:val="zh-CN"/>
        </w:rPr>
        <w:t>须知第</w:t>
      </w:r>
      <w:r>
        <w:rPr>
          <w:rFonts w:hint="eastAsia" w:ascii="宋体" w:hAnsi="宋体" w:eastAsia="宋体" w:cs="宋体"/>
          <w:bCs/>
          <w:color w:val="auto"/>
          <w:kern w:val="0"/>
          <w:szCs w:val="21"/>
          <w:highlight w:val="none"/>
          <w:lang w:val="en-US" w:eastAsia="zh-CN"/>
        </w:rPr>
        <w:t>16.3款</w:t>
      </w:r>
      <w:r>
        <w:rPr>
          <w:rFonts w:hint="eastAsia" w:ascii="宋体" w:hAnsi="宋体" w:eastAsia="宋体" w:cs="宋体"/>
          <w:bCs/>
          <w:color w:val="auto"/>
          <w:kern w:val="0"/>
          <w:szCs w:val="21"/>
          <w:highlight w:val="none"/>
          <w:lang w:val="zh-CN"/>
        </w:rPr>
        <w:t>的规定延长了投标文件有效期，则投标保证金的有效期也相应延长。</w:t>
      </w:r>
    </w:p>
    <w:p w14:paraId="72E347BC">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 xml:space="preserve">.5 若发生下列情况，招标人在书面通知投标人（或中标人）后有权不予退还投标保证金： </w:t>
      </w:r>
    </w:p>
    <w:p w14:paraId="112C39E0">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（1）投标人在规定的投标截止时间后至投标有效期满之前撤销或修改其投标文件；</w:t>
      </w:r>
    </w:p>
    <w:p w14:paraId="49EC0A27">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（2）中标人未能在规定期限内提交履约担保；</w:t>
      </w:r>
    </w:p>
    <w:p w14:paraId="14E6E122">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（3）未根据</w:t>
      </w:r>
      <w:r>
        <w:rPr>
          <w:rFonts w:hint="eastAsia" w:ascii="宋体" w:hAnsi="宋体" w:eastAsia="宋体" w:cs="宋体"/>
          <w:bCs/>
          <w:color w:val="auto"/>
          <w:kern w:val="0"/>
          <w:szCs w:val="21"/>
          <w:highlight w:val="none"/>
          <w:lang w:val="en-US" w:eastAsia="zh-CN"/>
        </w:rPr>
        <w:t>本投标人须知</w:t>
      </w:r>
      <w:r>
        <w:rPr>
          <w:rFonts w:hint="eastAsia" w:ascii="宋体" w:hAnsi="宋体" w:eastAsia="宋体" w:cs="宋体"/>
          <w:bCs/>
          <w:color w:val="auto"/>
          <w:kern w:val="0"/>
          <w:szCs w:val="21"/>
          <w:highlight w:val="none"/>
          <w:lang w:val="zh-CN"/>
        </w:rPr>
        <w:t>第34条规定签署合同；</w:t>
      </w:r>
    </w:p>
    <w:p w14:paraId="2ABA45A5">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（4）将中标项目转让给他人，或者在投标文件中未说明，且未经招标人同意，将中标项目的合同的权利义务转让给第三方的；</w:t>
      </w:r>
    </w:p>
    <w:p w14:paraId="508CC845">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（5）提供虚假投标文件或虚假补充文件的，或违反《中华人民共和国招标投标法》等有关法律、法规、规章及招标投标相关规定的行为。</w:t>
      </w:r>
    </w:p>
    <w:p w14:paraId="7248A9D7">
      <w:pPr>
        <w:tabs>
          <w:tab w:val="left" w:pos="567"/>
        </w:tabs>
        <w:autoSpaceDE w:val="0"/>
        <w:autoSpaceDN w:val="0"/>
        <w:adjustRightInd w:val="0"/>
        <w:spacing w:line="360" w:lineRule="auto"/>
        <w:ind w:left="357" w:leftChars="-100" w:hanging="567"/>
        <w:jc w:val="left"/>
        <w:outlineLvl w:val="1"/>
        <w:rPr>
          <w:rFonts w:hint="eastAsia" w:ascii="宋体" w:hAnsi="宋体" w:eastAsia="宋体" w:cs="宋体"/>
          <w:bCs/>
          <w:color w:val="auto"/>
          <w:kern w:val="0"/>
          <w:szCs w:val="21"/>
          <w:highlight w:val="none"/>
          <w:lang w:val="en-US"/>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en-US"/>
        </w:rPr>
        <w:t>.6</w:t>
      </w:r>
      <w:r>
        <w:rPr>
          <w:rFonts w:hint="eastAsia" w:ascii="宋体" w:hAnsi="宋体" w:eastAsia="宋体" w:cs="宋体"/>
          <w:bCs/>
          <w:color w:val="auto"/>
          <w:kern w:val="0"/>
          <w:szCs w:val="21"/>
          <w:highlight w:val="none"/>
          <w:lang w:val="en-US" w:eastAsia="zh-CN"/>
        </w:rPr>
        <w:t xml:space="preserve"> </w:t>
      </w:r>
      <w:r>
        <w:rPr>
          <w:rFonts w:hint="eastAsia" w:ascii="宋体" w:hAnsi="宋体" w:eastAsia="宋体" w:cs="宋体"/>
          <w:bCs/>
          <w:color w:val="auto"/>
          <w:kern w:val="0"/>
          <w:szCs w:val="21"/>
          <w:highlight w:val="none"/>
          <w:lang w:val="en-US"/>
        </w:rPr>
        <w:t>对于提交银行电子保函（保险电子保单）的有关注意事项：</w:t>
      </w:r>
    </w:p>
    <w:p w14:paraId="6A095D75">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6.1投标人所提交的银行电子保函（保险电子保单）经核实出现以下情况的，作自动弃权处理：①担保的有效期或金额不符合要求的；②出现不符合招标文件要求或招标人不能接受的条款。</w:t>
      </w:r>
    </w:p>
    <w:p w14:paraId="7A294E24">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6.2投标人应当选择具备银行电子保函（保险电子保单）相关业务的银行（保险公司）开具投标保函（保单）。具备相关业务的银行（保险公司）应满足能与交易中心端口对接、关联基本账户、退款等条件，以保证电子指令的正常发送与接收。</w:t>
      </w:r>
    </w:p>
    <w:p w14:paraId="2F159FFE">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6.3银行电子保函采用“电子保函+电子指令”模式，保险电子保单采用“电子保单+电子指令”模式，即银行（保险公司）向投标人开具电子保函（保单）的同时向交易中心发送经加密的电子指令，投标人自行登录交易系统进行确认。</w:t>
      </w:r>
    </w:p>
    <w:p w14:paraId="58B3833E">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6.4投标人需预留足够的时间，提前办理好银行电子保函或保险电子保单，自行查询确认电子指令是否已经送到交易中心，并核对相关资料和信息的准确性。若投标人未预留足够的时间办理相关手续，因网络或系统等原因导致电子指令超过投标文件递交截止时间未能到达交易系统导致招标人拒绝其投标的，其后果由投标人自行负责。</w:t>
      </w:r>
    </w:p>
    <w:p w14:paraId="053578B2">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7</w:t>
      </w:r>
      <w:r>
        <w:rPr>
          <w:rFonts w:hint="eastAsia" w:ascii="宋体" w:hAnsi="宋体" w:eastAsia="宋体" w:cs="宋体"/>
          <w:bCs/>
          <w:color w:val="auto"/>
          <w:kern w:val="0"/>
          <w:szCs w:val="21"/>
          <w:highlight w:val="none"/>
          <w:lang w:val="en-US" w:eastAsia="zh-CN"/>
        </w:rPr>
        <w:t xml:space="preserve"> </w:t>
      </w:r>
      <w:r>
        <w:rPr>
          <w:rFonts w:hint="eastAsia" w:ascii="宋体" w:hAnsi="宋体" w:eastAsia="宋体" w:cs="宋体"/>
          <w:bCs/>
          <w:color w:val="auto"/>
          <w:kern w:val="0"/>
          <w:szCs w:val="21"/>
          <w:highlight w:val="none"/>
          <w:lang w:val="zh-CN"/>
        </w:rPr>
        <w:t>投标保证金缴存银行帐户见全国公共资源交易平台（广东省·东莞市）办事指南。</w:t>
      </w:r>
    </w:p>
    <w:p w14:paraId="518D4C5F">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7E8E4E6A">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76" w:name="_Toc29607"/>
      <w:bookmarkStart w:id="177" w:name="_Toc142508330"/>
      <w:bookmarkStart w:id="178" w:name="_Toc22649_WPSOffice_Level3"/>
      <w:bookmarkStart w:id="179" w:name="_Toc450662865"/>
      <w:bookmarkStart w:id="180" w:name="_Toc486167680"/>
      <w:bookmarkStart w:id="181" w:name="_Toc195714234"/>
      <w:bookmarkStart w:id="182" w:name="_Toc1458"/>
      <w:bookmarkStart w:id="183" w:name="_Toc5674"/>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176"/>
      <w:bookmarkEnd w:id="177"/>
      <w:bookmarkEnd w:id="178"/>
      <w:bookmarkEnd w:id="179"/>
      <w:bookmarkEnd w:id="180"/>
      <w:bookmarkEnd w:id="181"/>
      <w:bookmarkEnd w:id="182"/>
      <w:bookmarkEnd w:id="183"/>
    </w:p>
    <w:p w14:paraId="4EFD2482">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1FC01C84">
      <w:pPr>
        <w:autoSpaceDE w:val="0"/>
        <w:autoSpaceDN w:val="0"/>
        <w:adjustRightInd w:val="0"/>
        <w:spacing w:line="360" w:lineRule="auto"/>
        <w:ind w:left="357" w:leftChars="-100" w:hanging="567"/>
        <w:outlineLvl w:val="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4397FB5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20A2F905">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74A2C9B7">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84" w:name="_Toc486167681"/>
      <w:bookmarkStart w:id="185" w:name="_Toc25637_WPSOffice_Level3"/>
      <w:bookmarkStart w:id="186" w:name="_Toc15065"/>
      <w:bookmarkStart w:id="187" w:name="_Toc20422"/>
      <w:bookmarkStart w:id="188" w:name="_Toc932"/>
      <w:bookmarkStart w:id="189" w:name="_Toc142508331"/>
      <w:bookmarkStart w:id="190" w:name="_Toc195714235"/>
      <w:bookmarkStart w:id="191" w:name="_Toc450662866"/>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投标文件的编制和签署</w:t>
      </w:r>
      <w:bookmarkEnd w:id="184"/>
      <w:bookmarkEnd w:id="185"/>
      <w:bookmarkEnd w:id="186"/>
      <w:bookmarkEnd w:id="187"/>
      <w:bookmarkEnd w:id="188"/>
      <w:bookmarkEnd w:id="189"/>
      <w:bookmarkEnd w:id="190"/>
      <w:bookmarkEnd w:id="191"/>
    </w:p>
    <w:p w14:paraId="4203DCC8">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投标文件采用电子标书形式编制。投标人使用网络上传投标文件。</w:t>
      </w:r>
    </w:p>
    <w:p w14:paraId="0876A27B">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投标人应使用全国公共资源交易平台（广东省·东莞市发布的投标文件电子标书制作软件（以下简称“电子标书制作软件”）进行投标文件的合成、电子</w:t>
      </w:r>
      <w:r>
        <w:rPr>
          <w:rFonts w:hint="default" w:ascii="宋体" w:hAnsi="宋体" w:eastAsia="宋体" w:cs="宋体"/>
          <w:color w:val="auto"/>
          <w:szCs w:val="21"/>
          <w:highlight w:val="none"/>
          <w:lang w:val="en-US"/>
        </w:rPr>
        <w:t>签名</w:t>
      </w:r>
      <w:r>
        <w:rPr>
          <w:rFonts w:hint="eastAsia" w:ascii="宋体" w:hAnsi="宋体" w:eastAsia="宋体" w:cs="宋体"/>
          <w:color w:val="auto"/>
          <w:szCs w:val="21"/>
          <w:highlight w:val="none"/>
          <w:lang w:val="zh-CN"/>
        </w:rPr>
        <w:t>工作。</w:t>
      </w:r>
    </w:p>
    <w:p w14:paraId="726EEEDB">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投标人应使用依法设立的电子认证服务提供者签发的电子签名认证证书对电子投标文件进行电子签名。该电子</w:t>
      </w:r>
      <w:r>
        <w:rPr>
          <w:rFonts w:hint="default" w:ascii="宋体" w:hAnsi="宋体" w:eastAsia="宋体" w:cs="宋体"/>
          <w:color w:val="auto"/>
          <w:szCs w:val="21"/>
          <w:highlight w:val="none"/>
          <w:lang w:val="en-US"/>
        </w:rPr>
        <w:t>签名</w:t>
      </w:r>
      <w:r>
        <w:rPr>
          <w:rFonts w:hint="eastAsia" w:ascii="宋体" w:hAnsi="宋体" w:eastAsia="宋体" w:cs="宋体"/>
          <w:color w:val="auto"/>
          <w:szCs w:val="21"/>
          <w:highlight w:val="none"/>
          <w:lang w:val="zh-CN"/>
        </w:rPr>
        <w:t>与手写签名或者盖章具有同等的法律效力。</w:t>
      </w:r>
    </w:p>
    <w:p w14:paraId="68BB237E">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.4</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投标人使用电子标书制作软件编制电子投标文件时必须按招标文件相关条款及投标文件格式中的要求进行编制。</w:t>
      </w:r>
    </w:p>
    <w:p w14:paraId="058B3A4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.5</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投标文件应按上述编制的要求编制电子标书。如投标文件未按上述编制要求编制的，所引起交易系统无法检索、读取相关信息时，其结果将由投标人自行承担。</w:t>
      </w:r>
    </w:p>
    <w:p w14:paraId="7EBC0302">
      <w:pPr>
        <w:tabs>
          <w:tab w:val="left" w:pos="567"/>
        </w:tabs>
        <w:autoSpaceDE w:val="0"/>
        <w:autoSpaceDN w:val="0"/>
        <w:adjustRightInd w:val="0"/>
        <w:spacing w:line="360" w:lineRule="auto"/>
        <w:ind w:left="357" w:leftChars="-100" w:hanging="567"/>
        <w:outlineLvl w:val="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.6</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投标文件必须按下列要求编制、使用数字证书电子</w:t>
      </w:r>
      <w:r>
        <w:rPr>
          <w:rFonts w:hint="default" w:ascii="宋体" w:hAnsi="宋体" w:eastAsia="宋体" w:cs="宋体"/>
          <w:color w:val="auto"/>
          <w:szCs w:val="21"/>
          <w:highlight w:val="none"/>
          <w:lang w:val="en-US"/>
        </w:rPr>
        <w:t>签名</w:t>
      </w:r>
      <w:r>
        <w:rPr>
          <w:rFonts w:hint="eastAsia" w:ascii="宋体" w:hAnsi="宋体" w:eastAsia="宋体" w:cs="宋体"/>
          <w:color w:val="auto"/>
          <w:szCs w:val="21"/>
          <w:highlight w:val="none"/>
          <w:lang w:val="en-US" w:eastAsia="zh-CN"/>
        </w:rPr>
        <w:t>：</w:t>
      </w:r>
    </w:p>
    <w:p w14:paraId="28D0121B">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.6.1按本投标人须知第</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lang w:val="zh-CN"/>
        </w:rPr>
        <w:t>条的规定编制，按本投标人须知第1</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条的规定填报投标报价，“投标文件的组成”中列明的内容在投标文件中不能有漏缺。</w:t>
      </w:r>
    </w:p>
    <w:p w14:paraId="53E431DF">
      <w:pPr>
        <w:tabs>
          <w:tab w:val="left" w:pos="567"/>
        </w:tabs>
        <w:autoSpaceDE w:val="0"/>
        <w:autoSpaceDN w:val="0"/>
        <w:adjustRightInd w:val="0"/>
        <w:spacing w:line="360" w:lineRule="auto"/>
        <w:ind w:left="357" w:leftChars="-100" w:hanging="567"/>
        <w:outlineLvl w:val="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.6.2投标文件商务标、技术标编制要求：</w:t>
      </w:r>
    </w:p>
    <w:p w14:paraId="0753B916">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（1）投标文件必须按招标文件中规定的投标文件格式编制，并转换成PDF格式合成到电子投标文件中；</w:t>
      </w:r>
    </w:p>
    <w:p w14:paraId="62F906D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（2）投标文件商务标、技术标必须按招标文件的规定填写，不能出现缺项、缺页、手写、关键语句（或字）错误； </w:t>
      </w:r>
    </w:p>
    <w:p w14:paraId="6EFE32A9">
      <w:pPr>
        <w:tabs>
          <w:tab w:val="left" w:pos="567"/>
        </w:tabs>
        <w:autoSpaceDE w:val="0"/>
        <w:autoSpaceDN w:val="0"/>
        <w:adjustRightInd w:val="0"/>
        <w:spacing w:line="360" w:lineRule="auto"/>
        <w:ind w:left="357" w:leftChars="-100" w:hanging="567"/>
        <w:outlineLvl w:val="3"/>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（3）投标文件的任何一页都不应有涂改、行间插字或删除；</w:t>
      </w:r>
    </w:p>
    <w:p w14:paraId="6F0C269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（4）投标文件商务标、技术标应按其格式要求由投标人的法定代表人或其授权代表电子签名、企业数字证书电子签名；</w:t>
      </w:r>
    </w:p>
    <w:p w14:paraId="1CFF59F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（5）严格按照第六篇投标文件格式内的要求完整、真实的填写《合同条款偏离表》《用户需求偏离表》；</w:t>
      </w:r>
    </w:p>
    <w:p w14:paraId="76D3A625">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（6）投标人要特别加以注意，必须严格按照第六篇商务标格式的要求完整、真实的填写《资格业绩》及提供对应证明资料；</w:t>
      </w:r>
    </w:p>
    <w:p w14:paraId="2C6C2CDC">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（7）投标文件技术标部分必须按招标文件第六篇“技术标格式”编制。</w:t>
      </w:r>
    </w:p>
    <w:p w14:paraId="73FEC135">
      <w:pPr>
        <w:tabs>
          <w:tab w:val="left" w:pos="567"/>
        </w:tabs>
        <w:autoSpaceDE w:val="0"/>
        <w:autoSpaceDN w:val="0"/>
        <w:adjustRightInd w:val="0"/>
        <w:spacing w:line="360" w:lineRule="auto"/>
        <w:ind w:left="357" w:leftChars="-100" w:hanging="567"/>
        <w:outlineLvl w:val="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.6.3投标文件报价信封编制要求：</w:t>
      </w:r>
    </w:p>
    <w:p w14:paraId="21C56C63">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（1）投标人应使用电子标书制作软件编制并生成报价信封，内容根据招标文件设置的报价信封内容按实填报。</w:t>
      </w:r>
    </w:p>
    <w:p w14:paraId="36345B4B">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（2）大写金额数字用“零、壹、贰、叁、肆、伍、陆、柒、捌、玖、拾、佰、仟、万、亿”填写。投标值大写与小写不一致时，以大写数额为准，修正小写数额。</w:t>
      </w:r>
    </w:p>
    <w:p w14:paraId="252EAE1F">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（3）投标文件价格部分应按其格式要求使用依法设立的电子认证服务提供者签发的电子签名认证证书对电子投标文件进行电子签名。该电子签名与手写签名或者盖章具有同等的法律效力。</w:t>
      </w:r>
    </w:p>
    <w:p w14:paraId="06B667BB">
      <w:pPr>
        <w:autoSpaceDE w:val="0"/>
        <w:autoSpaceDN w:val="0"/>
        <w:adjustRightInd w:val="0"/>
        <w:jc w:val="left"/>
        <w:rPr>
          <w:rFonts w:ascii="宋体" w:hAnsi="宋体" w:eastAsia="宋体" w:cs="宋体"/>
          <w:color w:val="auto"/>
          <w:kern w:val="0"/>
          <w:sz w:val="24"/>
          <w:szCs w:val="24"/>
          <w:highlight w:val="none"/>
        </w:rPr>
      </w:pPr>
      <w:bookmarkStart w:id="192" w:name="_Toc450662867"/>
    </w:p>
    <w:p w14:paraId="64FF5F2F">
      <w:pPr>
        <w:keepNext/>
        <w:keepLines/>
        <w:tabs>
          <w:tab w:val="left" w:pos="509"/>
        </w:tabs>
        <w:autoSpaceDE w:val="0"/>
        <w:autoSpaceDN w:val="0"/>
        <w:adjustRightInd w:val="0"/>
        <w:spacing w:line="360" w:lineRule="auto"/>
        <w:jc w:val="left"/>
        <w:outlineLvl w:val="3"/>
        <w:rPr>
          <w:rFonts w:ascii="宋体" w:hAnsi="宋体" w:eastAsia="宋体" w:cs="宋体"/>
          <w:color w:val="auto"/>
          <w:kern w:val="0"/>
          <w:sz w:val="24"/>
          <w:szCs w:val="24"/>
          <w:highlight w:val="none"/>
        </w:rPr>
      </w:pPr>
      <w:bookmarkStart w:id="193" w:name="_Toc140596891"/>
      <w:bookmarkStart w:id="194" w:name="_Toc26605"/>
      <w:bookmarkStart w:id="195" w:name="_Toc17199"/>
      <w:bookmarkStart w:id="196" w:name="_Toc486167682"/>
      <w:bookmarkStart w:id="197" w:name="_Toc22356_WPSOffice_Level2"/>
      <w:bookmarkStart w:id="198" w:name="_Toc195714236"/>
      <w:bookmarkStart w:id="199" w:name="_Toc11307"/>
      <w:bookmarkStart w:id="200" w:name="_Toc142508332"/>
      <w:r>
        <w:rPr>
          <w:rFonts w:hint="eastAsia" w:ascii="宋体" w:hAnsi="宋体" w:eastAsia="宋体" w:cs="宋体"/>
          <w:b/>
          <w:bCs/>
          <w:color w:val="auto"/>
          <w:kern w:val="44"/>
          <w:szCs w:val="21"/>
          <w:highlight w:val="none"/>
          <w:lang w:val="zh-CN"/>
        </w:rPr>
        <w:t>四、投标</w:t>
      </w:r>
      <w:bookmarkEnd w:id="192"/>
      <w:bookmarkEnd w:id="193"/>
      <w:bookmarkEnd w:id="194"/>
      <w:bookmarkEnd w:id="195"/>
      <w:bookmarkEnd w:id="196"/>
      <w:bookmarkEnd w:id="197"/>
      <w:bookmarkEnd w:id="198"/>
      <w:bookmarkEnd w:id="199"/>
      <w:bookmarkEnd w:id="200"/>
    </w:p>
    <w:p w14:paraId="1DFCD6D0">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01" w:name="_Toc486167683"/>
      <w:bookmarkStart w:id="202" w:name="_Toc195714237"/>
      <w:bookmarkStart w:id="203" w:name="_Toc450662868"/>
      <w:bookmarkStart w:id="204" w:name="_Toc29885"/>
      <w:bookmarkStart w:id="205" w:name="_Toc31551"/>
      <w:bookmarkStart w:id="206" w:name="_Toc142508333"/>
      <w:bookmarkStart w:id="207" w:name="_Toc12192_WPSOffice_Level3"/>
      <w:bookmarkStart w:id="208" w:name="_Toc3466"/>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bookmarkEnd w:id="201"/>
      <w:bookmarkEnd w:id="202"/>
      <w:bookmarkEnd w:id="203"/>
      <w:bookmarkEnd w:id="204"/>
      <w:bookmarkEnd w:id="205"/>
      <w:bookmarkEnd w:id="206"/>
      <w:bookmarkEnd w:id="207"/>
      <w:r>
        <w:rPr>
          <w:rFonts w:hint="eastAsia" w:ascii="宋体" w:hAnsi="宋体" w:eastAsia="宋体" w:cs="宋体"/>
          <w:color w:val="auto"/>
          <w:szCs w:val="21"/>
          <w:highlight w:val="none"/>
          <w:lang w:val="zh-CN"/>
        </w:rPr>
        <w:t>投标文件的加密</w:t>
      </w:r>
      <w:bookmarkEnd w:id="208"/>
    </w:p>
    <w:p w14:paraId="7F132087">
      <w:pPr>
        <w:tabs>
          <w:tab w:val="left" w:pos="567"/>
        </w:tabs>
        <w:adjustRightInd w:val="0"/>
        <w:spacing w:line="360" w:lineRule="auto"/>
        <w:ind w:firstLine="144" w:firstLineChars="6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投标人应使用依法设立的电子认证服务提供者签发的电子签章认证证书对电子投标文件进行电子签章并加密。</w:t>
      </w:r>
    </w:p>
    <w:p w14:paraId="1D99348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rPr>
      </w:pPr>
    </w:p>
    <w:p w14:paraId="00409C90">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09" w:name="_Toc195714238"/>
      <w:bookmarkStart w:id="210" w:name="_Toc3867"/>
      <w:r>
        <w:rPr>
          <w:rFonts w:hint="eastAsia" w:ascii="宋体" w:hAnsi="宋体" w:eastAsia="宋体" w:cs="宋体"/>
          <w:color w:val="auto"/>
          <w:szCs w:val="21"/>
          <w:highlight w:val="none"/>
        </w:rPr>
        <w:t xml:space="preserve">19 </w:t>
      </w:r>
      <w:r>
        <w:rPr>
          <w:rFonts w:hint="eastAsia" w:ascii="宋体" w:hAnsi="宋体" w:eastAsia="宋体" w:cs="宋体"/>
          <w:color w:val="auto"/>
          <w:szCs w:val="21"/>
          <w:highlight w:val="none"/>
          <w:lang w:val="zh-CN"/>
        </w:rPr>
        <w:t>投标文件的提交</w:t>
      </w:r>
      <w:bookmarkEnd w:id="209"/>
      <w:bookmarkEnd w:id="210"/>
    </w:p>
    <w:p w14:paraId="0564A59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投标人应在本招标公告规定的投标截止时间前通过交易系统在线上传投标文件。上述方式外提交的投标文件，招标人将不予受理。</w:t>
      </w:r>
    </w:p>
    <w:p w14:paraId="6ADA3944">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在通过交易系统在线上传投标文件时，需设置投标文件查询密码（用于查询投标文件递交情况、撤销投标文件及签到时匹配对应的招标文件）。上传成功后，投标人应打印“电子标书网站上传回执”作为成功上传的凭证。</w:t>
      </w:r>
    </w:p>
    <w:p w14:paraId="2CE7255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投标文件成功上传后，交易系统将生成投标文件识别码。本识别码是投标人提交投标文件的唯一凭证，投标人须妥善保管。识别码丢失后，投标人将无法找回投标文件，需重新上传提交。</w:t>
      </w:r>
    </w:p>
    <w:p w14:paraId="12B7479A">
      <w:pPr>
        <w:tabs>
          <w:tab w:val="left" w:pos="567"/>
        </w:tabs>
        <w:autoSpaceDE w:val="0"/>
        <w:autoSpaceDN w:val="0"/>
        <w:adjustRightInd w:val="0"/>
        <w:spacing w:line="360" w:lineRule="auto"/>
        <w:ind w:left="357" w:leftChars="-100" w:right="15" w:rightChars="7" w:hanging="567"/>
        <w:outlineLvl w:val="1"/>
        <w:rPr>
          <w:rFonts w:ascii="宋体" w:hAnsi="宋体" w:eastAsia="宋体" w:cs="宋体"/>
          <w:color w:val="auto"/>
          <w:szCs w:val="21"/>
          <w:highlight w:val="none"/>
          <w:lang w:val="zh-CN"/>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.4</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投标会议</w:t>
      </w:r>
      <w:r>
        <w:rPr>
          <w:rFonts w:hint="eastAsia" w:ascii="宋体" w:hAnsi="宋体" w:eastAsia="宋体" w:cs="宋体"/>
          <w:color w:val="auto"/>
          <w:szCs w:val="21"/>
          <w:highlight w:val="none"/>
          <w:lang w:val="en-US" w:eastAsia="zh-CN"/>
        </w:rPr>
        <w:t>时间及</w:t>
      </w:r>
      <w:r>
        <w:rPr>
          <w:rFonts w:hint="eastAsia" w:ascii="宋体" w:hAnsi="宋体" w:eastAsia="宋体" w:cs="宋体"/>
          <w:color w:val="auto"/>
          <w:szCs w:val="21"/>
          <w:highlight w:val="none"/>
          <w:lang w:val="zh-CN"/>
        </w:rPr>
        <w:t>地点：见招标公告。</w:t>
      </w:r>
    </w:p>
    <w:p w14:paraId="4AADF60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.5</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逾期送达的或者未按指定方式提交的投标文件，招标人不予受理。</w:t>
      </w:r>
    </w:p>
    <w:p w14:paraId="6C6AF06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187E7FCF">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rPr>
      </w:pPr>
    </w:p>
    <w:p w14:paraId="2E19C5E7">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11" w:name="_Toc2123"/>
      <w:bookmarkStart w:id="212" w:name="_Toc195714239"/>
      <w:r>
        <w:rPr>
          <w:rFonts w:hint="eastAsia" w:ascii="宋体" w:hAnsi="宋体" w:eastAsia="宋体" w:cs="宋体"/>
          <w:color w:val="auto"/>
          <w:szCs w:val="21"/>
          <w:highlight w:val="none"/>
        </w:rPr>
        <w:t xml:space="preserve">20 </w:t>
      </w:r>
      <w:r>
        <w:rPr>
          <w:rFonts w:hint="eastAsia" w:ascii="宋体" w:hAnsi="宋体" w:eastAsia="宋体" w:cs="宋体"/>
          <w:color w:val="auto"/>
          <w:szCs w:val="21"/>
          <w:highlight w:val="none"/>
          <w:lang w:val="zh-CN"/>
        </w:rPr>
        <w:t>投标会时间、地点及投标文件提交的截止时间</w:t>
      </w:r>
      <w:bookmarkEnd w:id="211"/>
      <w:bookmarkEnd w:id="212"/>
    </w:p>
    <w:p w14:paraId="74DBBF8C">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投标人应按招标公告的时间、地点，或根据本投标人须知第</w:t>
      </w:r>
      <w:r>
        <w:rPr>
          <w:rFonts w:hint="eastAsia" w:ascii="宋体" w:hAnsi="宋体" w:eastAsia="宋体" w:cs="宋体"/>
          <w:color w:val="auto"/>
          <w:szCs w:val="21"/>
          <w:highlight w:val="none"/>
        </w:rPr>
        <w:t>7.2</w:t>
      </w:r>
      <w:r>
        <w:rPr>
          <w:rFonts w:hint="eastAsia" w:ascii="宋体" w:hAnsi="宋体" w:eastAsia="宋体" w:cs="宋体"/>
          <w:color w:val="auto"/>
          <w:szCs w:val="21"/>
          <w:highlight w:val="none"/>
          <w:lang w:val="zh-CN"/>
        </w:rPr>
        <w:t xml:space="preserve">款规定所延长的日期和时间之前通过交易系统在线上传投标文件。 </w:t>
      </w:r>
    </w:p>
    <w:p w14:paraId="6F4E91B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招标人有权按本投标人须知第</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条的规定发出补充通知书，延长投标文件递交的截止时间。这时，原截止时间前，招标人与投标人的权利和义务相应延长至新的投标截止时间。</w:t>
      </w:r>
    </w:p>
    <w:p w14:paraId="49EF5FE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63CE977F">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13" w:name="_Toc5699"/>
      <w:bookmarkStart w:id="214" w:name="_Toc195714240"/>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val="zh-CN"/>
        </w:rPr>
        <w:t>投标文件的拒绝</w:t>
      </w:r>
      <w:bookmarkEnd w:id="213"/>
      <w:bookmarkEnd w:id="214"/>
    </w:p>
    <w:p w14:paraId="25EC0909">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投标会上，出现下列情形之一的投标文件，将被招标人拒绝：</w:t>
      </w:r>
    </w:p>
    <w:p w14:paraId="489D887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.1.1招标人在本投标人须知第</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.4款规定的投标截止时间以后或指定方式以外收到的投标文件。</w:t>
      </w:r>
    </w:p>
    <w:p w14:paraId="02C58912">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.1.2投标人未按本投标人须知第</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.4款规定提交的投标文件。</w:t>
      </w:r>
    </w:p>
    <w:p w14:paraId="038B410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16B4FB6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02C155A5">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15" w:name="_Toc26166"/>
      <w:bookmarkStart w:id="216" w:name="_Toc195714241"/>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2 </w:t>
      </w:r>
      <w:r>
        <w:rPr>
          <w:rFonts w:hint="eastAsia" w:ascii="宋体" w:hAnsi="宋体" w:eastAsia="宋体" w:cs="宋体"/>
          <w:color w:val="auto"/>
          <w:szCs w:val="21"/>
          <w:highlight w:val="none"/>
          <w:lang w:val="zh-CN"/>
        </w:rPr>
        <w:t>投标文件的补充、修改与撤回</w:t>
      </w:r>
      <w:bookmarkEnd w:id="215"/>
      <w:bookmarkEnd w:id="216"/>
    </w:p>
    <w:p w14:paraId="70AEA89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在本投标人须知第</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.1款规定的投标截止时间前，投标人可以修改或撤回已递交的投标文件。在投标截止时间之后，投标人不得补充、修改投标文件。</w:t>
      </w:r>
    </w:p>
    <w:p w14:paraId="46A33626">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投标人应使用企业数字证书、投标文件识别码及投标文件查询密码通过网络撤回已递交投标文件。</w:t>
      </w:r>
    </w:p>
    <w:p w14:paraId="4AF853AF">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在投标截止时间至投标有效期满之前，投标人不得撤销其投标文件。投标截止后投标人撤销投标文件的，招标人没收其投标保证金（逾期未解密投标文件的除外）。</w:t>
      </w:r>
    </w:p>
    <w:p w14:paraId="227B41CF">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0725B85D">
      <w:pPr>
        <w:keepNext/>
        <w:keepLines/>
        <w:tabs>
          <w:tab w:val="left" w:pos="509"/>
        </w:tab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217" w:name="_Toc30428"/>
      <w:bookmarkStart w:id="218" w:name="_Toc28824"/>
      <w:bookmarkStart w:id="219" w:name="_Toc140596896"/>
      <w:bookmarkStart w:id="220" w:name="_Toc486167687"/>
      <w:bookmarkStart w:id="221" w:name="_Toc195714242"/>
      <w:bookmarkStart w:id="222" w:name="_Toc1049_WPSOffice_Level2"/>
      <w:bookmarkStart w:id="223" w:name="_Toc142508337"/>
      <w:bookmarkStart w:id="224" w:name="_Toc450662872"/>
      <w:bookmarkStart w:id="225" w:name="_Toc5498"/>
      <w:r>
        <w:rPr>
          <w:rFonts w:hint="eastAsia" w:ascii="宋体" w:hAnsi="宋体" w:eastAsia="宋体" w:cs="宋体"/>
          <w:b/>
          <w:bCs/>
          <w:color w:val="auto"/>
          <w:kern w:val="44"/>
          <w:szCs w:val="21"/>
          <w:highlight w:val="none"/>
          <w:lang w:val="zh-CN"/>
        </w:rPr>
        <w:t>五、开标与评标</w:t>
      </w:r>
      <w:bookmarkEnd w:id="217"/>
      <w:bookmarkEnd w:id="218"/>
      <w:bookmarkEnd w:id="219"/>
      <w:bookmarkEnd w:id="220"/>
      <w:bookmarkEnd w:id="221"/>
      <w:bookmarkEnd w:id="222"/>
      <w:bookmarkEnd w:id="223"/>
      <w:bookmarkEnd w:id="224"/>
      <w:bookmarkEnd w:id="225"/>
    </w:p>
    <w:p w14:paraId="0031FE2E">
      <w:pPr>
        <w:tabs>
          <w:tab w:val="left" w:pos="567"/>
        </w:tabs>
        <w:autoSpaceDE w:val="0"/>
        <w:autoSpaceDN w:val="0"/>
        <w:adjustRightInd w:val="0"/>
        <w:spacing w:line="360" w:lineRule="auto"/>
        <w:ind w:left="357" w:leftChars="-100" w:right="15" w:rightChars="7" w:hanging="567"/>
        <w:outlineLvl w:val="0"/>
        <w:rPr>
          <w:rFonts w:ascii="宋体" w:hAnsi="宋体" w:eastAsia="宋体" w:cs="宋体"/>
          <w:color w:val="auto"/>
          <w:szCs w:val="21"/>
          <w:highlight w:val="none"/>
          <w:lang w:val="zh-CN"/>
        </w:rPr>
      </w:pPr>
      <w:bookmarkStart w:id="226" w:name="_Toc17477"/>
      <w:bookmarkStart w:id="227" w:name="_Toc195714243"/>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val="zh-CN"/>
        </w:rPr>
        <w:t>开标</w:t>
      </w:r>
      <w:bookmarkEnd w:id="226"/>
      <w:bookmarkEnd w:id="227"/>
    </w:p>
    <w:p w14:paraId="56A33D6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招标人在19.1款规定的投标截止时间（开标时间）和19.4款规定的地点召开投标会并公开开标，投标人可在规定的时间和地点参加投标会或通过登录交易系统在线查看开标过程相关信息。</w:t>
      </w:r>
    </w:p>
    <w:p w14:paraId="29E0D8FE">
      <w:pPr>
        <w:tabs>
          <w:tab w:val="left" w:pos="567"/>
        </w:tabs>
        <w:autoSpaceDE w:val="0"/>
        <w:autoSpaceDN w:val="0"/>
        <w:adjustRightInd w:val="0"/>
        <w:spacing w:line="360" w:lineRule="auto"/>
        <w:ind w:left="357" w:leftChars="-100" w:right="15" w:rightChars="7" w:hanging="567"/>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23.2 投标人网上签到时间为开标当天上午6时至投标截止时间，使用企业数字证书（机构证书或业务证书）登录交易系统在线完成投标保证金关联及电子投标文件关联等的网上签到手续。招标人在投标会现场不受理投标人签到事项，因投标人原因造成投标人签到失败、关联相关投标信息错误及不完整的，视为其投标文件无效，招标人将否决其投标。</w:t>
      </w:r>
    </w:p>
    <w:p w14:paraId="06FB246A">
      <w:pPr>
        <w:tabs>
          <w:tab w:val="left" w:pos="567"/>
        </w:tabs>
        <w:autoSpaceDE w:val="0"/>
        <w:autoSpaceDN w:val="0"/>
        <w:adjustRightInd w:val="0"/>
        <w:spacing w:line="360" w:lineRule="auto"/>
        <w:ind w:left="357" w:leftChars="-100" w:right="15" w:rightChars="7" w:hanging="567"/>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23.3 投标人网上签到需要由法定代表人或</w:t>
      </w:r>
      <w:r>
        <w:rPr>
          <w:rFonts w:hint="eastAsia" w:ascii="宋体" w:hAnsi="宋体" w:eastAsia="宋体" w:cs="宋体"/>
          <w:color w:val="auto"/>
          <w:szCs w:val="21"/>
          <w:highlight w:val="none"/>
          <w:lang w:val="zh-CN"/>
        </w:rPr>
        <w:t>其授权代表</w:t>
      </w:r>
      <w:r>
        <w:rPr>
          <w:rFonts w:hint="eastAsia" w:ascii="宋体" w:hAnsi="宋体" w:eastAsia="宋体" w:cs="宋体"/>
          <w:color w:val="auto"/>
          <w:szCs w:val="21"/>
          <w:highlight w:val="none"/>
          <w:lang w:val="en-US" w:eastAsia="zh-CN"/>
        </w:rPr>
        <w:t>进行人脸识别完成签到。（注：投标人在网上签到时须关联的法定代表人</w:t>
      </w:r>
      <w:r>
        <w:rPr>
          <w:rFonts w:hint="eastAsia" w:ascii="宋体" w:hAnsi="宋体" w:eastAsia="宋体" w:cs="宋体"/>
          <w:color w:val="auto"/>
          <w:szCs w:val="21"/>
          <w:highlight w:val="none"/>
          <w:lang w:val="zh-CN"/>
        </w:rPr>
        <w:t>授权代表</w:t>
      </w:r>
      <w:r>
        <w:rPr>
          <w:rFonts w:hint="eastAsia" w:ascii="宋体" w:hAnsi="宋体" w:eastAsia="宋体" w:cs="宋体"/>
          <w:color w:val="auto"/>
          <w:szCs w:val="21"/>
          <w:highlight w:val="none"/>
          <w:lang w:val="en-US" w:eastAsia="zh-CN"/>
        </w:rPr>
        <w:t>为本项目法定代表人授权书列明的被授权人。）</w:t>
      </w:r>
    </w:p>
    <w:p w14:paraId="4FEB506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投标文件提交截止时间后，招标人按本投标人须知第2</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.1款规定拒绝不符合要求的投标文件。</w:t>
      </w:r>
    </w:p>
    <w:p w14:paraId="2B282842">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lang w:val="zh-CN"/>
        </w:rPr>
        <w:t>解密投标文件的时间：投标文件提交截止时间后60分钟内</w:t>
      </w:r>
      <w:r>
        <w:rPr>
          <w:rFonts w:hint="eastAsia" w:ascii="宋体" w:hAnsi="宋体" w:eastAsia="宋体" w:cs="宋体"/>
          <w:b w:val="0"/>
          <w:bCs w:val="0"/>
          <w:color w:val="auto"/>
          <w:szCs w:val="21"/>
          <w:highlight w:val="none"/>
          <w:lang w:val="zh-CN"/>
        </w:rPr>
        <w:t>。</w:t>
      </w:r>
      <w:r>
        <w:rPr>
          <w:rFonts w:hint="eastAsia" w:ascii="宋体" w:hAnsi="宋体" w:eastAsia="宋体" w:cs="宋体"/>
          <w:color w:val="auto"/>
          <w:szCs w:val="21"/>
          <w:highlight w:val="none"/>
          <w:lang w:val="zh-CN"/>
        </w:rPr>
        <w:t>若全部投标文件均在解密时间内完成解密，经招标人确认，可以提前进入下一环节。投标会现场不受理投标人的投标文件解密等事项。因投标人原因造成投标文件未解密的，视为撤销其投标文件；因投标人</w:t>
      </w:r>
      <w:r>
        <w:rPr>
          <w:rFonts w:hint="eastAsia" w:ascii="宋体" w:hAnsi="宋体" w:eastAsia="宋体" w:cs="宋体"/>
          <w:color w:val="auto"/>
          <w:szCs w:val="21"/>
          <w:highlight w:val="none"/>
          <w:lang w:val="en-US" w:eastAsia="zh-CN"/>
        </w:rPr>
        <w:t>之外的</w:t>
      </w:r>
      <w:r>
        <w:rPr>
          <w:rFonts w:hint="eastAsia" w:ascii="宋体" w:hAnsi="宋体" w:eastAsia="宋体" w:cs="宋体"/>
          <w:color w:val="auto"/>
          <w:szCs w:val="21"/>
          <w:highlight w:val="none"/>
          <w:lang w:val="zh-CN"/>
        </w:rPr>
        <w:t>原因造成投标文件未解密的，视为撤回其投标文件。投标文件解密需要由法定代表人或其授权代表进行人脸识别完成解密。</w:t>
      </w:r>
      <w:r>
        <w:rPr>
          <w:rFonts w:hint="eastAsia" w:ascii="宋体" w:hAnsi="宋体" w:eastAsia="宋体" w:cs="宋体"/>
          <w:color w:val="auto"/>
          <w:szCs w:val="21"/>
          <w:highlight w:val="none"/>
          <w:lang w:val="en-US" w:eastAsia="zh-CN"/>
        </w:rPr>
        <w:t>（注：投标人在网上签到时须关联的法定代表人</w:t>
      </w:r>
      <w:r>
        <w:rPr>
          <w:rFonts w:hint="eastAsia" w:ascii="宋体" w:hAnsi="宋体" w:eastAsia="宋体" w:cs="宋体"/>
          <w:color w:val="auto"/>
          <w:szCs w:val="21"/>
          <w:highlight w:val="none"/>
          <w:lang w:val="zh-CN"/>
        </w:rPr>
        <w:t>授权代表</w:t>
      </w:r>
      <w:r>
        <w:rPr>
          <w:rFonts w:hint="eastAsia" w:ascii="宋体" w:hAnsi="宋体" w:eastAsia="宋体" w:cs="宋体"/>
          <w:color w:val="auto"/>
          <w:szCs w:val="21"/>
          <w:highlight w:val="none"/>
          <w:lang w:val="en-US" w:eastAsia="zh-CN"/>
        </w:rPr>
        <w:t>为本项目法定代表人授权书列明的被授权人。）</w:t>
      </w:r>
    </w:p>
    <w:p w14:paraId="0B98538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招标人将所有已解密的电子投标文件，按要求通过开标系统将进入评标环节的投标文件打包并导入评标系统。</w:t>
      </w:r>
    </w:p>
    <w:p w14:paraId="4B6B6DBF">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招标人、招标代理工作人员、监督部门（如有）等有关人员在开标记录上签字确认，开标记录封存。</w:t>
      </w:r>
    </w:p>
    <w:p w14:paraId="78282EAF">
      <w:pPr>
        <w:tabs>
          <w:tab w:val="left" w:pos="567"/>
        </w:tabs>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2D583CCE">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28" w:name="_Toc450662874"/>
      <w:bookmarkStart w:id="229" w:name="_Toc32534"/>
      <w:bookmarkStart w:id="230" w:name="_Toc23059"/>
      <w:bookmarkStart w:id="231" w:name="_Toc142508339"/>
      <w:bookmarkStart w:id="232" w:name="_Toc195714244"/>
      <w:bookmarkStart w:id="233" w:name="_Toc12165_WPSOffice_Level3"/>
      <w:bookmarkStart w:id="234" w:name="_Toc29774"/>
      <w:bookmarkStart w:id="235" w:name="_Toc486167689"/>
      <w:r>
        <w:rPr>
          <w:rFonts w:hint="eastAsia" w:ascii="宋体" w:hAnsi="宋体" w:eastAsia="宋体" w:cs="宋体"/>
          <w:color w:val="auto"/>
          <w:szCs w:val="21"/>
          <w:highlight w:val="none"/>
        </w:rPr>
        <w:t>24</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228"/>
      <w:bookmarkEnd w:id="229"/>
      <w:bookmarkEnd w:id="230"/>
      <w:bookmarkEnd w:id="231"/>
      <w:bookmarkEnd w:id="232"/>
      <w:bookmarkEnd w:id="233"/>
      <w:bookmarkEnd w:id="234"/>
      <w:bookmarkEnd w:id="235"/>
    </w:p>
    <w:p w14:paraId="5B60962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24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580BC60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24</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4B3F4D5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4E1E5BAC">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36" w:name="_Toc15565_WPSOffice_Level3"/>
      <w:bookmarkStart w:id="237" w:name="_Toc6241"/>
      <w:bookmarkStart w:id="238" w:name="_Toc16920"/>
      <w:bookmarkStart w:id="239" w:name="_Toc450662875"/>
      <w:bookmarkStart w:id="240" w:name="_Toc486167690"/>
      <w:bookmarkStart w:id="241" w:name="_Toc800"/>
      <w:bookmarkStart w:id="242" w:name="_Toc195714245"/>
      <w:bookmarkStart w:id="243" w:name="_Toc142508340"/>
      <w:r>
        <w:rPr>
          <w:rFonts w:hint="eastAsia" w:ascii="宋体" w:hAnsi="宋体" w:eastAsia="宋体" w:cs="宋体"/>
          <w:color w:val="auto"/>
          <w:szCs w:val="21"/>
          <w:highlight w:val="none"/>
        </w:rPr>
        <w:t>25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36"/>
      <w:bookmarkEnd w:id="237"/>
      <w:bookmarkEnd w:id="238"/>
      <w:bookmarkEnd w:id="239"/>
      <w:bookmarkEnd w:id="240"/>
      <w:bookmarkEnd w:id="241"/>
      <w:bookmarkEnd w:id="242"/>
      <w:bookmarkEnd w:id="243"/>
    </w:p>
    <w:p w14:paraId="2ACE9FC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25</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46FD78E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25</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290C02C7">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22F4A2FF">
      <w:pPr>
        <w:autoSpaceDE w:val="0"/>
        <w:autoSpaceDN w:val="0"/>
        <w:adjustRightInd w:val="0"/>
        <w:spacing w:line="360" w:lineRule="auto"/>
        <w:ind w:left="357" w:leftChars="-100" w:hanging="567"/>
        <w:outlineLvl w:val="0"/>
        <w:rPr>
          <w:rFonts w:ascii="宋体" w:hAnsi="宋体" w:eastAsia="宋体" w:cs="宋体"/>
          <w:color w:val="auto"/>
          <w:szCs w:val="21"/>
          <w:highlight w:val="none"/>
          <w:lang w:val="zh-CN"/>
        </w:rPr>
      </w:pPr>
      <w:bookmarkStart w:id="244" w:name="_Toc4946"/>
      <w:bookmarkStart w:id="245" w:name="_Toc195714246"/>
      <w:r>
        <w:rPr>
          <w:rFonts w:hint="eastAsia" w:ascii="宋体" w:hAnsi="宋体" w:eastAsia="宋体" w:cs="宋体"/>
          <w:color w:val="auto"/>
          <w:szCs w:val="21"/>
          <w:highlight w:val="none"/>
          <w:lang w:val="zh-CN"/>
        </w:rPr>
        <w:t>26</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投标文件的有效性</w:t>
      </w:r>
      <w:bookmarkEnd w:id="244"/>
      <w:bookmarkEnd w:id="245"/>
    </w:p>
    <w:p w14:paraId="01ADBBF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26.1开标（评标）时，投标文件出现下列情形之一的，应当作为无效投标文件：</w:t>
      </w:r>
    </w:p>
    <w:p w14:paraId="5AF01BC4">
      <w:pPr>
        <w:autoSpaceDE w:val="0"/>
        <w:autoSpaceDN w:val="0"/>
        <w:adjustRightInd w:val="0"/>
        <w:spacing w:line="360" w:lineRule="auto"/>
        <w:ind w:left="357" w:leftChars="-100" w:hanging="567"/>
        <w:outlineLvl w:val="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上传的投标文件损坏或无法读取的；</w:t>
      </w:r>
    </w:p>
    <w:p w14:paraId="73F2EDB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经招标人确认，投标人在公共资源交易企业库填报的与本项目密切相关的信息与事实不相符的；</w:t>
      </w:r>
    </w:p>
    <w:p w14:paraId="409CAB41">
      <w:pPr>
        <w:autoSpaceDE w:val="0"/>
        <w:autoSpaceDN w:val="0"/>
        <w:adjustRightInd w:val="0"/>
        <w:spacing w:line="360" w:lineRule="auto"/>
        <w:ind w:left="357" w:leftChars="-100" w:hanging="567"/>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26.1.3投标文件中使用的本项目招标文件版本，与交易系统上发布的本项目招标文件的最新版本不一致的；</w:t>
      </w:r>
    </w:p>
    <w:p w14:paraId="022AE960">
      <w:pPr>
        <w:autoSpaceDE w:val="0"/>
        <w:autoSpaceDN w:val="0"/>
        <w:adjustRightInd w:val="0"/>
        <w:spacing w:line="360" w:lineRule="auto"/>
        <w:ind w:left="357" w:leftChars="-100" w:hanging="567"/>
        <w:outlineLvl w:val="1"/>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26.1.4</w:t>
      </w:r>
      <w:r>
        <w:rPr>
          <w:rFonts w:hint="eastAsia" w:ascii="宋体" w:hAnsi="宋体" w:eastAsia="宋体" w:cs="宋体"/>
          <w:color w:val="auto"/>
          <w:szCs w:val="21"/>
          <w:highlight w:val="none"/>
          <w:lang w:val="zh-CN"/>
        </w:rPr>
        <w:t>投标文件未使用企业数字证书签名的；</w:t>
      </w:r>
    </w:p>
    <w:p w14:paraId="335673A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投标文件签名使用的数字证书与签到的投标人名称不一致的；</w:t>
      </w:r>
    </w:p>
    <w:p w14:paraId="67680A67">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投标人的投标编制MAC信息、投标编制CPU序列号、投标编制硬盘序列号均与其他投标人相同的；</w:t>
      </w:r>
    </w:p>
    <w:p w14:paraId="2C69771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投标文件附有招标人不能接受的条件的；</w:t>
      </w:r>
    </w:p>
    <w:p w14:paraId="3D89A5C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zh-CN"/>
        </w:rPr>
        <w:t>投标人资格不满足本投标人须知第</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款的要求；</w:t>
      </w:r>
    </w:p>
    <w:p w14:paraId="75924DC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投标人未按招标文件要求交纳投标保证金的；</w:t>
      </w:r>
    </w:p>
    <w:p w14:paraId="668E015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投标文件报价信封中填报的投标报价</w:t>
      </w:r>
      <w:r>
        <w:rPr>
          <w:rFonts w:hint="eastAsia" w:ascii="宋体" w:hAnsi="宋体" w:eastAsia="宋体" w:cs="宋体"/>
          <w:color w:val="auto"/>
          <w:szCs w:val="21"/>
          <w:highlight w:val="none"/>
          <w:lang w:val="zh-CN" w:eastAsia="zh-CN"/>
        </w:rPr>
        <w:t>未按招标文件要求进行填报</w:t>
      </w:r>
      <w:r>
        <w:rPr>
          <w:rFonts w:hint="eastAsia" w:ascii="宋体" w:hAnsi="宋体" w:eastAsia="宋体" w:cs="宋体"/>
          <w:color w:val="auto"/>
          <w:szCs w:val="21"/>
          <w:highlight w:val="none"/>
          <w:lang w:val="zh-CN"/>
        </w:rPr>
        <w:t>；</w:t>
      </w:r>
    </w:p>
    <w:p w14:paraId="46332D4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投标人以低于企业成本价报价，且投标人不能合理说明或不能提供相关证明材料；</w:t>
      </w:r>
    </w:p>
    <w:p w14:paraId="6A43EA5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val="zh-CN"/>
        </w:rPr>
        <w:t>投标人递交两份或多份内容不同的投标文件，或在一份投标文件中报有两个或多个报价，且未书面声明哪一个有效；</w:t>
      </w:r>
    </w:p>
    <w:p w14:paraId="1BDFCED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lang w:val="zh-CN"/>
        </w:rPr>
        <w:t>投标文件未按</w:t>
      </w:r>
      <w:r>
        <w:rPr>
          <w:rFonts w:hint="eastAsia" w:ascii="宋体" w:hAnsi="宋体" w:eastAsia="宋体" w:cs="宋体"/>
          <w:color w:val="auto"/>
          <w:szCs w:val="21"/>
          <w:highlight w:val="none"/>
          <w:lang w:val="en-US" w:eastAsia="zh-CN"/>
        </w:rPr>
        <w:t>本</w:t>
      </w:r>
      <w:r>
        <w:rPr>
          <w:rFonts w:hint="eastAsia" w:ascii="宋体" w:hAnsi="宋体" w:eastAsia="宋体" w:cs="宋体"/>
          <w:color w:val="auto"/>
          <w:szCs w:val="21"/>
          <w:highlight w:val="none"/>
          <w:lang w:val="zh-CN"/>
        </w:rPr>
        <w:t>投标人须知第17</w:t>
      </w:r>
      <w:r>
        <w:rPr>
          <w:rFonts w:hint="eastAsia" w:ascii="宋体" w:hAnsi="宋体" w:eastAsia="宋体" w:cs="宋体"/>
          <w:color w:val="auto"/>
          <w:szCs w:val="21"/>
          <w:highlight w:val="none"/>
          <w:lang w:val="en-US" w:eastAsia="zh-CN"/>
        </w:rPr>
        <w:t>款</w:t>
      </w:r>
      <w:r>
        <w:rPr>
          <w:rFonts w:hint="eastAsia" w:ascii="宋体" w:hAnsi="宋体" w:eastAsia="宋体" w:cs="宋体"/>
          <w:color w:val="auto"/>
          <w:szCs w:val="21"/>
          <w:highlight w:val="none"/>
          <w:lang w:val="zh-CN"/>
        </w:rPr>
        <w:t xml:space="preserve">的要求编制、使用企业数字证书或个人数字证书电子签名的； </w:t>
      </w:r>
    </w:p>
    <w:p w14:paraId="1A19DA10">
      <w:pPr>
        <w:autoSpaceDE w:val="0"/>
        <w:autoSpaceDN w:val="0"/>
        <w:adjustRightInd w:val="0"/>
        <w:spacing w:line="360" w:lineRule="auto"/>
        <w:ind w:left="357" w:leftChars="-100" w:hanging="567"/>
        <w:outlineLvl w:val="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lang w:val="zh-CN"/>
        </w:rPr>
        <w:t>投标有效期限不符合要求；</w:t>
      </w:r>
    </w:p>
    <w:p w14:paraId="2DBBB68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lang w:val="zh-CN"/>
        </w:rPr>
        <w:t>投标文件未对招标范围内的全部内容进行投标报价或投标方案不是唯一；</w:t>
      </w:r>
    </w:p>
    <w:p w14:paraId="4DD5F87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lang w:val="zh-CN"/>
        </w:rPr>
        <w:t>未提供或虚假填写《合同条款偏离表》，或对《合同条款偏离表》有负偏离的；</w:t>
      </w:r>
    </w:p>
    <w:p w14:paraId="47800E57">
      <w:pPr>
        <w:autoSpaceDE w:val="0"/>
        <w:autoSpaceDN w:val="0"/>
        <w:adjustRightInd w:val="0"/>
        <w:spacing w:line="360" w:lineRule="auto"/>
        <w:ind w:left="357" w:leftChars="-100" w:hanging="567"/>
        <w:outlineLvl w:val="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17</w:t>
      </w:r>
      <w:r>
        <w:rPr>
          <w:rFonts w:hint="eastAsia" w:ascii="宋体" w:hAnsi="宋体" w:eastAsia="宋体" w:cs="宋体"/>
          <w:color w:val="auto"/>
          <w:szCs w:val="21"/>
          <w:highlight w:val="none"/>
          <w:lang w:val="zh-CN"/>
        </w:rPr>
        <w:t>未填写或虚假填写《用户需求偏离表》的；</w:t>
      </w:r>
    </w:p>
    <w:p w14:paraId="56D780F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lang w:val="zh-CN"/>
        </w:rPr>
        <w:t>未响应招标文件提出的实质性要求和条件（标注★的条款）；</w:t>
      </w:r>
    </w:p>
    <w:p w14:paraId="6CA81C0D">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lang w:val="zh-CN"/>
        </w:rPr>
        <w:t>属于招标文件中规定为无效标的；属于法律、法规、规章规定的应作无效投标文件处理的。</w:t>
      </w:r>
    </w:p>
    <w:p w14:paraId="33C1E422">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24D92743">
      <w:pPr>
        <w:tabs>
          <w:tab w:val="left" w:pos="567"/>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246" w:name="_Toc486167691"/>
      <w:bookmarkStart w:id="247" w:name="_Toc450662876"/>
      <w:bookmarkStart w:id="248" w:name="_Toc195714247"/>
      <w:bookmarkStart w:id="249" w:name="_Toc12715"/>
      <w:bookmarkStart w:id="250" w:name="_Toc8692"/>
      <w:bookmarkStart w:id="251" w:name="_Toc28910_WPSOffice_Level3"/>
      <w:bookmarkStart w:id="252" w:name="_Toc18668"/>
      <w:bookmarkStart w:id="253" w:name="_Toc142508341"/>
      <w:r>
        <w:rPr>
          <w:rFonts w:hint="eastAsia" w:ascii="宋体" w:hAnsi="宋体" w:eastAsia="宋体" w:cs="宋体"/>
          <w:b/>
          <w:color w:val="auto"/>
          <w:szCs w:val="21"/>
          <w:highlight w:val="none"/>
          <w:lang w:val="zh-CN"/>
        </w:rPr>
        <w:t>2</w:t>
      </w:r>
      <w:r>
        <w:rPr>
          <w:rFonts w:hint="eastAsia" w:ascii="宋体" w:hAnsi="宋体" w:eastAsia="宋体" w:cs="宋体"/>
          <w:b/>
          <w:color w:val="auto"/>
          <w:szCs w:val="21"/>
          <w:highlight w:val="none"/>
        </w:rPr>
        <w:t>7</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246"/>
      <w:bookmarkEnd w:id="247"/>
      <w:bookmarkEnd w:id="248"/>
      <w:bookmarkEnd w:id="249"/>
      <w:bookmarkEnd w:id="250"/>
      <w:bookmarkEnd w:id="251"/>
      <w:bookmarkEnd w:id="252"/>
      <w:bookmarkEnd w:id="253"/>
    </w:p>
    <w:p w14:paraId="608EC1F0">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w:t>
      </w: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zh-CN"/>
        </w:rPr>
        <w:t>.1 资格性检查：依据法律法规和招标文件的规定，对投标文件中的资格证明、投标保证金等进行审查，以确定投标人是否具备投标资格。</w:t>
      </w:r>
    </w:p>
    <w:p w14:paraId="1B640FB4">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w:t>
      </w: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zh-CN"/>
        </w:rPr>
        <w:t>.2 符合性检查：依据招标文件的规定，从投标文件的有效性、完整性和对招标文件的响应程度进行审查，以确定是否对招标文件的实质性要求作出响应。</w:t>
      </w:r>
    </w:p>
    <w:p w14:paraId="23DB1E9A">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222B7108">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54" w:name="_Toc4837"/>
      <w:bookmarkStart w:id="255" w:name="_Toc30225"/>
      <w:bookmarkStart w:id="256" w:name="_Toc6362"/>
      <w:bookmarkStart w:id="257" w:name="_Toc450662877"/>
      <w:bookmarkStart w:id="258" w:name="_Toc338_WPSOffice_Level3"/>
      <w:bookmarkStart w:id="259" w:name="_Toc486167692"/>
      <w:bookmarkStart w:id="260" w:name="_Toc195714248"/>
      <w:bookmarkStart w:id="261" w:name="_Toc142508342"/>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254"/>
      <w:bookmarkEnd w:id="255"/>
      <w:bookmarkEnd w:id="256"/>
      <w:bookmarkEnd w:id="257"/>
      <w:bookmarkEnd w:id="258"/>
      <w:bookmarkEnd w:id="259"/>
      <w:bookmarkEnd w:id="260"/>
      <w:bookmarkEnd w:id="261"/>
    </w:p>
    <w:p w14:paraId="213359E3">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zh-CN"/>
        </w:rPr>
        <w:t>.1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7108E00F">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62" w:name="_Toc450662879"/>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zh-CN"/>
        </w:rPr>
        <w:t xml:space="preserve">.2 </w:t>
      </w:r>
      <w:r>
        <w:rPr>
          <w:rFonts w:hint="eastAsia" w:ascii="宋体" w:hAnsi="宋体" w:eastAsia="宋体" w:cs="宋体"/>
          <w:color w:val="auto"/>
          <w:szCs w:val="21"/>
          <w:highlight w:val="none"/>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因此温馨提示各投标人：编制投标文件时，请认真填写本项目递交投标文件时法定代表人或法定代表人授权书列明的被授权人的联系电话，如招标文件</w:t>
      </w:r>
      <w:r>
        <w:rPr>
          <w:rFonts w:hint="eastAsia" w:ascii="宋体" w:hAnsi="宋体" w:eastAsia="宋体" w:cs="宋体"/>
          <w:color w:val="auto"/>
          <w:szCs w:val="21"/>
          <w:highlight w:val="none"/>
          <w:lang w:val="en-US" w:eastAsia="zh-CN"/>
        </w:rPr>
        <w:t>第六篇</w:t>
      </w:r>
      <w:r>
        <w:rPr>
          <w:rFonts w:hint="eastAsia" w:ascii="宋体" w:hAnsi="宋体" w:eastAsia="宋体" w:cs="宋体"/>
          <w:color w:val="auto"/>
          <w:szCs w:val="21"/>
          <w:highlight w:val="none"/>
          <w:lang w:val="zh-CN"/>
        </w:rPr>
        <w:t>投标文件格式“投标函”</w:t>
      </w:r>
      <w:r>
        <w:rPr>
          <w:rFonts w:hint="eastAsia" w:ascii="宋体" w:hAnsi="宋体" w:eastAsia="宋体" w:cs="宋体"/>
          <w:color w:val="auto"/>
          <w:szCs w:val="21"/>
          <w:highlight w:val="none"/>
          <w:lang w:val="en-US" w:eastAsia="zh-CN"/>
        </w:rPr>
        <w:t>和“法定代表人授权书”</w:t>
      </w:r>
      <w:r>
        <w:rPr>
          <w:rFonts w:hint="eastAsia" w:ascii="宋体" w:hAnsi="宋体" w:eastAsia="宋体" w:cs="宋体"/>
          <w:color w:val="auto"/>
          <w:szCs w:val="21"/>
          <w:highlight w:val="none"/>
          <w:lang w:val="zh-CN"/>
        </w:rPr>
        <w:t>中的</w:t>
      </w:r>
      <w:r>
        <w:rPr>
          <w:rFonts w:hint="eastAsia" w:ascii="宋体" w:hAnsi="宋体" w:eastAsia="宋体" w:cs="宋体"/>
          <w:color w:val="auto"/>
          <w:szCs w:val="21"/>
          <w:highlight w:val="none"/>
          <w:lang w:val="en-US" w:eastAsia="zh-CN"/>
        </w:rPr>
        <w:t>联系方式及电子邮箱</w:t>
      </w:r>
      <w:r>
        <w:rPr>
          <w:rFonts w:hint="eastAsia" w:ascii="宋体" w:hAnsi="宋体" w:eastAsia="宋体" w:cs="宋体"/>
          <w:color w:val="auto"/>
          <w:szCs w:val="21"/>
          <w:highlight w:val="none"/>
          <w:lang w:val="zh-CN"/>
        </w:rPr>
        <w:t>，以便能及时收到澄清通知。</w:t>
      </w:r>
    </w:p>
    <w:p w14:paraId="58651DBA">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p>
    <w:bookmarkEnd w:id="262"/>
    <w:p w14:paraId="20D55178">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63" w:name="_Toc10967"/>
      <w:bookmarkStart w:id="264" w:name="_Toc142508343"/>
      <w:bookmarkStart w:id="265" w:name="_Toc10292"/>
      <w:bookmarkStart w:id="266" w:name="_Toc195714249"/>
      <w:bookmarkStart w:id="267" w:name="_Toc18368_WPSOffice_Level3"/>
      <w:bookmarkStart w:id="268" w:name="_Toc22065"/>
      <w:bookmarkStart w:id="269" w:name="_Toc522047355"/>
      <w:bookmarkStart w:id="270" w:name="_Toc521918096"/>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263"/>
      <w:bookmarkEnd w:id="264"/>
      <w:bookmarkEnd w:id="265"/>
      <w:bookmarkEnd w:id="266"/>
      <w:bookmarkEnd w:id="267"/>
      <w:bookmarkEnd w:id="268"/>
      <w:bookmarkEnd w:id="269"/>
      <w:bookmarkEnd w:id="270"/>
    </w:p>
    <w:p w14:paraId="1F5DC5C9">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lang w:val="zh-CN"/>
        </w:rPr>
        <w:t>详细评审。</w:t>
      </w:r>
    </w:p>
    <w:p w14:paraId="5140E3C0">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5C6714F1">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3DFC8E34">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52436287">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根据上述商务、技术综合评价的权重分配计算出各投标人的综合得分。</w:t>
      </w:r>
    </w:p>
    <w:p w14:paraId="731E5DBA">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71" w:name="_Toc521918097"/>
      <w:bookmarkStart w:id="272" w:name="_Toc522047356"/>
    </w:p>
    <w:p w14:paraId="02B53A8D">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73" w:name="_Toc142508344"/>
      <w:bookmarkStart w:id="274" w:name="_Toc195714250"/>
      <w:bookmarkStart w:id="275" w:name="_Toc27026"/>
      <w:bookmarkStart w:id="276" w:name="_Toc18614"/>
      <w:bookmarkStart w:id="277" w:name="_Toc14804"/>
      <w:bookmarkStart w:id="278" w:name="_Toc21460_WPSOffice_Level3"/>
      <w:r>
        <w:rPr>
          <w:rFonts w:hint="eastAsia" w:ascii="宋体" w:hAnsi="宋体" w:eastAsia="宋体" w:cs="宋体"/>
          <w:color w:val="auto"/>
          <w:szCs w:val="21"/>
          <w:highlight w:val="none"/>
        </w:rPr>
        <w:t>30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271"/>
      <w:bookmarkEnd w:id="272"/>
      <w:bookmarkEnd w:id="273"/>
      <w:bookmarkEnd w:id="274"/>
      <w:bookmarkEnd w:id="275"/>
      <w:bookmarkEnd w:id="276"/>
      <w:bookmarkEnd w:id="277"/>
      <w:bookmarkEnd w:id="278"/>
    </w:p>
    <w:p w14:paraId="3F14BA8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对所有投标文件的评审，都采用相同的程序和标准。按步骤先进行初步评审，再进行商务、技术评审。</w:t>
      </w:r>
    </w:p>
    <w:p w14:paraId="03BCE2DE">
      <w:pPr>
        <w:tabs>
          <w:tab w:val="left" w:pos="360"/>
        </w:tabs>
        <w:autoSpaceDE w:val="0"/>
        <w:autoSpaceDN w:val="0"/>
        <w:adjustRightInd w:val="0"/>
        <w:spacing w:line="360" w:lineRule="auto"/>
        <w:ind w:left="330" w:leftChars="-100" w:right="44" w:rightChars="21" w:hanging="540"/>
        <w:outlineLvl w:val="1"/>
        <w:rPr>
          <w:rFonts w:ascii="宋体" w:hAnsi="宋体" w:eastAsia="宋体" w:cs="宋体"/>
          <w:color w:val="auto"/>
          <w:szCs w:val="21"/>
          <w:highlight w:val="none"/>
          <w:lang w:val="zh-CN"/>
        </w:rPr>
      </w:pP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.2 评标严格按照招标文件的要求和条件进行。</w:t>
      </w:r>
    </w:p>
    <w:p w14:paraId="50B5ED13">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w:t>
      </w:r>
      <w:r>
        <w:rPr>
          <w:rFonts w:hint="eastAsia" w:ascii="宋体" w:hAnsi="宋体" w:eastAsia="宋体" w:cs="宋体"/>
          <w:color w:val="auto"/>
          <w:szCs w:val="21"/>
          <w:highlight w:val="none"/>
        </w:rPr>
        <w:t>29</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0A082B67">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w:t>
      </w:r>
      <w:r>
        <w:rPr>
          <w:rFonts w:hint="eastAsia" w:ascii="宋体" w:hAnsi="宋体" w:eastAsia="宋体" w:cs="宋体"/>
          <w:b/>
          <w:bCs/>
          <w:color w:val="auto"/>
          <w:szCs w:val="21"/>
          <w:highlight w:val="none"/>
          <w:lang w:val="en-US" w:eastAsia="zh-CN"/>
        </w:rPr>
        <w:t>需求家数</w:t>
      </w:r>
      <w:r>
        <w:rPr>
          <w:rFonts w:hint="eastAsia" w:ascii="宋体" w:hAnsi="宋体" w:eastAsia="宋体" w:cs="宋体"/>
          <w:b/>
          <w:bCs/>
          <w:color w:val="auto"/>
          <w:szCs w:val="21"/>
          <w:highlight w:val="none"/>
        </w:rPr>
        <w:t>时，公开招标失败。</w:t>
      </w:r>
    </w:p>
    <w:p w14:paraId="6306FCC0">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6E66405F">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79" w:name="_Toc11615"/>
      <w:bookmarkStart w:id="280" w:name="_Toc15217"/>
      <w:bookmarkStart w:id="281" w:name="_Toc486167694"/>
      <w:bookmarkStart w:id="282" w:name="_Toc465358969"/>
      <w:bookmarkStart w:id="283" w:name="_Toc195714251"/>
      <w:bookmarkStart w:id="284" w:name="_Toc142508345"/>
      <w:bookmarkStart w:id="285" w:name="_Toc32498_WPSOffice_Level3"/>
      <w:bookmarkStart w:id="286" w:name="_Toc4819"/>
      <w:bookmarkStart w:id="287" w:name="_Toc466882017"/>
      <w:r>
        <w:rPr>
          <w:rFonts w:hint="eastAsia" w:ascii="宋体" w:hAnsi="宋体" w:eastAsia="宋体" w:cs="宋体"/>
          <w:color w:val="auto"/>
          <w:szCs w:val="21"/>
          <w:highlight w:val="none"/>
        </w:rPr>
        <w:t xml:space="preserve">31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279"/>
      <w:bookmarkEnd w:id="280"/>
      <w:bookmarkEnd w:id="281"/>
      <w:bookmarkEnd w:id="282"/>
      <w:bookmarkEnd w:id="283"/>
      <w:bookmarkEnd w:id="284"/>
      <w:bookmarkEnd w:id="285"/>
      <w:bookmarkEnd w:id="286"/>
      <w:bookmarkEnd w:id="287"/>
    </w:p>
    <w:p w14:paraId="1369F455">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招标代理机构在招标公告发布媒介公示中标候选人，公示期不得少于3日（最后一日是节假日或公休日的，应顺延到节假日或公休日后第一个工作日）。投标人或者其他利害关系人对评标结果有异议的，应当在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6FAA7B5D">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527FD3AA">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31.2 </w:t>
      </w:r>
      <w:r>
        <w:rPr>
          <w:rFonts w:hint="eastAsia" w:ascii="宋体" w:hAnsi="宋体" w:eastAsia="宋体" w:cs="Times New Roman"/>
          <w:b/>
          <w:color w:val="auto"/>
          <w:szCs w:val="21"/>
          <w:highlight w:val="none"/>
          <w:lang w:val="zh-CN"/>
        </w:rPr>
        <w:t>结果公示后，招标人有权要求中标候选人在结果公示之日起3日（最后一日是节假日或公休日的，应顺延到节假日或公休日后第一个工作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253B9891">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30C6962B">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7D725195">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53C8C586">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0D79865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32C4F491">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056B72C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4635F213">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42997449">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7BA3C690">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650F189E">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0531555F">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362722D5">
      <w:pPr>
        <w:tabs>
          <w:tab w:val="left" w:pos="567"/>
        </w:tabs>
        <w:autoSpaceDE w:val="0"/>
        <w:autoSpaceDN w:val="0"/>
        <w:adjustRightInd w:val="0"/>
        <w:spacing w:line="360" w:lineRule="auto"/>
        <w:ind w:left="288" w:leftChars="-100" w:hanging="498" w:hangingChars="236"/>
        <w:outlineLvl w:val="0"/>
        <w:rPr>
          <w:rFonts w:ascii="宋体" w:hAnsi="宋体" w:eastAsia="宋体" w:cs="宋体"/>
          <w:b/>
          <w:color w:val="auto"/>
          <w:szCs w:val="21"/>
          <w:highlight w:val="none"/>
          <w:lang w:val="zh-CN"/>
        </w:rPr>
      </w:pPr>
      <w:bookmarkStart w:id="288" w:name="_Toc486167695"/>
      <w:bookmarkStart w:id="289" w:name="_Toc142508346"/>
      <w:bookmarkStart w:id="290" w:name="_Toc465358970"/>
      <w:bookmarkStart w:id="291" w:name="_Toc1848_WPSOffice_Level3"/>
      <w:bookmarkStart w:id="292" w:name="_Toc466882018"/>
      <w:bookmarkStart w:id="293" w:name="_Toc26354"/>
      <w:bookmarkStart w:id="294" w:name="_Toc26283"/>
      <w:bookmarkStart w:id="295" w:name="_Toc3154"/>
      <w:bookmarkStart w:id="296" w:name="_Toc195714252"/>
      <w:r>
        <w:rPr>
          <w:rFonts w:hint="eastAsia" w:ascii="宋体" w:hAnsi="宋体" w:eastAsia="宋体" w:cs="宋体"/>
          <w:b/>
          <w:color w:val="auto"/>
          <w:szCs w:val="21"/>
          <w:highlight w:val="none"/>
        </w:rPr>
        <w:t>32</w:t>
      </w:r>
      <w:r>
        <w:rPr>
          <w:rFonts w:hint="eastAsia" w:ascii="宋体" w:hAnsi="宋体" w:eastAsia="宋体" w:cs="宋体"/>
          <w:b/>
          <w:color w:val="auto"/>
          <w:szCs w:val="21"/>
          <w:highlight w:val="none"/>
          <w:lang w:val="zh-CN"/>
        </w:rPr>
        <w:t xml:space="preserve"> 真实性审查</w:t>
      </w:r>
      <w:bookmarkEnd w:id="288"/>
      <w:bookmarkEnd w:id="289"/>
      <w:bookmarkEnd w:id="290"/>
      <w:bookmarkEnd w:id="291"/>
      <w:bookmarkEnd w:id="292"/>
      <w:bookmarkEnd w:id="293"/>
      <w:bookmarkEnd w:id="294"/>
      <w:bookmarkEnd w:id="295"/>
      <w:bookmarkEnd w:id="296"/>
    </w:p>
    <w:p w14:paraId="3FB57939">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32.1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41CCDADF">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32.2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3177F93D">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32.3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w:t>
      </w:r>
      <w:r>
        <w:rPr>
          <w:rFonts w:hint="eastAsia" w:ascii="宋体" w:hAnsi="宋体" w:eastAsia="宋体" w:cs="宋体"/>
          <w:b/>
          <w:color w:val="auto"/>
          <w:szCs w:val="21"/>
          <w:highlight w:val="none"/>
          <w:lang w:eastAsia="zh-CN"/>
        </w:rPr>
        <w:t>本须知</w:t>
      </w:r>
      <w:r>
        <w:rPr>
          <w:rFonts w:hint="eastAsia" w:ascii="宋体" w:hAnsi="宋体" w:eastAsia="宋体" w:cs="宋体"/>
          <w:b/>
          <w:color w:val="auto"/>
          <w:szCs w:val="21"/>
          <w:highlight w:val="none"/>
        </w:rPr>
        <w:t>31</w:t>
      </w:r>
      <w:r>
        <w:rPr>
          <w:rFonts w:ascii="宋体" w:hAnsi="宋体" w:eastAsia="宋体" w:cs="宋体"/>
          <w:b/>
          <w:color w:val="auto"/>
          <w:szCs w:val="21"/>
          <w:highlight w:val="none"/>
        </w:rPr>
        <w:t>.2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w:t>
      </w:r>
      <w:r>
        <w:rPr>
          <w:rFonts w:hint="eastAsia" w:ascii="宋体" w:hAnsi="宋体" w:eastAsia="宋体" w:cs="宋体"/>
          <w:b/>
          <w:color w:val="auto"/>
          <w:szCs w:val="21"/>
          <w:highlight w:val="none"/>
          <w:lang w:eastAsia="zh-CN"/>
        </w:rPr>
        <w:t>撤</w:t>
      </w:r>
      <w:r>
        <w:rPr>
          <w:rFonts w:hint="eastAsia" w:ascii="宋体" w:hAnsi="宋体" w:eastAsia="宋体" w:cs="宋体"/>
          <w:b/>
          <w:color w:val="auto"/>
          <w:szCs w:val="21"/>
          <w:highlight w:val="none"/>
          <w:lang w:val="en-US" w:eastAsia="zh-CN"/>
        </w:rPr>
        <w:t>回</w:t>
      </w:r>
      <w:r>
        <w:rPr>
          <w:rFonts w:hint="eastAsia" w:ascii="宋体" w:hAnsi="宋体" w:eastAsia="宋体" w:cs="宋体"/>
          <w:b/>
          <w:color w:val="auto"/>
          <w:szCs w:val="21"/>
          <w:highlight w:val="none"/>
        </w:rPr>
        <w:t>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7B791BD6">
      <w:pPr>
        <w:autoSpaceDE w:val="0"/>
        <w:autoSpaceDN w:val="0"/>
        <w:adjustRightInd w:val="0"/>
        <w:snapToGrid w:val="0"/>
        <w:spacing w:line="360" w:lineRule="auto"/>
        <w:jc w:val="left"/>
        <w:rPr>
          <w:rFonts w:ascii="宋体" w:hAnsi="宋体" w:eastAsia="宋体" w:cs="宋体"/>
          <w:color w:val="auto"/>
          <w:szCs w:val="21"/>
          <w:highlight w:val="none"/>
        </w:rPr>
      </w:pPr>
      <w:bookmarkStart w:id="297" w:name="_Toc466882019"/>
      <w:bookmarkStart w:id="298" w:name="_Toc465358971"/>
    </w:p>
    <w:p w14:paraId="35C7DAD2">
      <w:pPr>
        <w:tabs>
          <w:tab w:val="left" w:pos="567"/>
        </w:tabs>
        <w:autoSpaceDE w:val="0"/>
        <w:autoSpaceDN w:val="0"/>
        <w:adjustRightInd w:val="0"/>
        <w:spacing w:line="360" w:lineRule="auto"/>
        <w:ind w:left="16" w:leftChars="-59" w:hanging="140" w:hangingChars="67"/>
        <w:outlineLvl w:val="0"/>
        <w:rPr>
          <w:rFonts w:ascii="宋体" w:hAnsi="宋体" w:eastAsia="宋体" w:cs="宋体"/>
          <w:color w:val="auto"/>
          <w:szCs w:val="21"/>
          <w:highlight w:val="none"/>
          <w:lang w:val="zh-CN"/>
        </w:rPr>
      </w:pPr>
      <w:bookmarkStart w:id="299" w:name="_Toc10867_WPSOffice_Level3"/>
      <w:bookmarkStart w:id="300" w:name="_Toc195714253"/>
      <w:bookmarkStart w:id="301" w:name="_Toc486167696"/>
      <w:bookmarkStart w:id="302" w:name="_Toc6704"/>
      <w:bookmarkStart w:id="303" w:name="_Toc142508347"/>
      <w:bookmarkStart w:id="304" w:name="_Toc8654"/>
      <w:bookmarkStart w:id="305" w:name="_Toc23672"/>
      <w:r>
        <w:rPr>
          <w:rFonts w:hint="eastAsia" w:ascii="宋体" w:hAnsi="宋体" w:eastAsia="宋体" w:cs="宋体"/>
          <w:color w:val="auto"/>
          <w:szCs w:val="21"/>
          <w:highlight w:val="none"/>
        </w:rPr>
        <w:t>33</w:t>
      </w:r>
      <w:r>
        <w:rPr>
          <w:rFonts w:hint="eastAsia" w:ascii="宋体" w:hAnsi="宋体" w:eastAsia="宋体" w:cs="宋体"/>
          <w:color w:val="auto"/>
          <w:szCs w:val="21"/>
          <w:highlight w:val="none"/>
          <w:lang w:val="zh-CN"/>
        </w:rPr>
        <w:t xml:space="preserve"> 评标委员会和招标人接受或拒绝任何投标或所有投标的权利</w:t>
      </w:r>
      <w:bookmarkEnd w:id="297"/>
      <w:bookmarkEnd w:id="298"/>
      <w:bookmarkEnd w:id="299"/>
      <w:bookmarkEnd w:id="300"/>
      <w:bookmarkEnd w:id="301"/>
      <w:bookmarkEnd w:id="302"/>
      <w:bookmarkEnd w:id="303"/>
      <w:bookmarkEnd w:id="304"/>
      <w:bookmarkEnd w:id="305"/>
    </w:p>
    <w:p w14:paraId="4BB938C8">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278B1748">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306" w:name="_Toc450662880"/>
    </w:p>
    <w:p w14:paraId="0109B608">
      <w:pPr>
        <w:keepNext/>
        <w:keepLine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307" w:name="_Toc16848_WPSOffice_Level2"/>
      <w:bookmarkStart w:id="308" w:name="_Toc140596907"/>
      <w:bookmarkStart w:id="309" w:name="_Toc142508348"/>
      <w:bookmarkStart w:id="310" w:name="_Toc16789"/>
      <w:bookmarkStart w:id="311" w:name="_Toc486167697"/>
      <w:bookmarkStart w:id="312" w:name="_Toc25011"/>
      <w:bookmarkStart w:id="313" w:name="_Toc27936"/>
      <w:bookmarkStart w:id="314" w:name="_Toc195714254"/>
      <w:r>
        <w:rPr>
          <w:rFonts w:hint="eastAsia" w:ascii="宋体" w:hAnsi="宋体" w:eastAsia="宋体" w:cs="宋体"/>
          <w:b/>
          <w:bCs/>
          <w:color w:val="auto"/>
          <w:kern w:val="44"/>
          <w:szCs w:val="21"/>
          <w:highlight w:val="none"/>
          <w:lang w:val="zh-CN"/>
        </w:rPr>
        <w:t>六、授予合同</w:t>
      </w:r>
      <w:bookmarkEnd w:id="306"/>
      <w:bookmarkEnd w:id="307"/>
      <w:bookmarkEnd w:id="308"/>
      <w:bookmarkEnd w:id="309"/>
      <w:bookmarkEnd w:id="310"/>
      <w:bookmarkEnd w:id="311"/>
      <w:bookmarkEnd w:id="312"/>
      <w:bookmarkEnd w:id="313"/>
      <w:bookmarkEnd w:id="314"/>
    </w:p>
    <w:p w14:paraId="14BF56E7">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15" w:name="_Toc8164"/>
      <w:bookmarkStart w:id="316" w:name="_Toc142508349"/>
      <w:bookmarkStart w:id="317" w:name="_Toc31713"/>
      <w:bookmarkStart w:id="318" w:name="_Toc450662881"/>
      <w:bookmarkStart w:id="319" w:name="_Toc486167698"/>
      <w:bookmarkStart w:id="320" w:name="_Toc195714255"/>
      <w:bookmarkStart w:id="321" w:name="_Toc29383"/>
      <w:bookmarkStart w:id="322" w:name="_Toc6401_WPSOffice_Level3"/>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315"/>
      <w:bookmarkEnd w:id="316"/>
      <w:bookmarkEnd w:id="317"/>
      <w:bookmarkEnd w:id="318"/>
      <w:bookmarkEnd w:id="319"/>
      <w:bookmarkEnd w:id="320"/>
      <w:bookmarkEnd w:id="321"/>
      <w:bookmarkEnd w:id="322"/>
    </w:p>
    <w:p w14:paraId="072BDABE">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w:t>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条、</w:t>
      </w: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33</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2709DB8A">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47420844">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rPr>
        <w:t>34</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409C22D3">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23" w:name="_Toc450662885"/>
    </w:p>
    <w:p w14:paraId="042CFA77">
      <w:pPr>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24" w:name="_Toc13906"/>
      <w:bookmarkStart w:id="325" w:name="_Toc8196"/>
      <w:bookmarkStart w:id="326" w:name="_Toc486167699"/>
      <w:bookmarkStart w:id="327" w:name="_Toc18984"/>
      <w:bookmarkStart w:id="328" w:name="_Toc142508350"/>
      <w:bookmarkStart w:id="329" w:name="_Toc195714256"/>
      <w:bookmarkStart w:id="330" w:name="_Toc6726_WPSOffice_Level3"/>
      <w:r>
        <w:rPr>
          <w:rFonts w:hint="eastAsia" w:ascii="宋体" w:hAnsi="宋体" w:eastAsia="宋体" w:cs="宋体"/>
          <w:color w:val="auto"/>
          <w:szCs w:val="21"/>
          <w:highlight w:val="none"/>
        </w:rPr>
        <w:t>35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323"/>
      <w:bookmarkEnd w:id="324"/>
      <w:bookmarkEnd w:id="325"/>
      <w:bookmarkEnd w:id="326"/>
      <w:bookmarkEnd w:id="327"/>
      <w:bookmarkEnd w:id="328"/>
      <w:bookmarkEnd w:id="329"/>
      <w:bookmarkEnd w:id="330"/>
    </w:p>
    <w:p w14:paraId="7E78CB4D">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31" w:name="_Toc450662886"/>
      <w:r>
        <w:rPr>
          <w:rFonts w:hint="eastAsia" w:ascii="宋体" w:hAnsi="宋体" w:eastAsia="宋体" w:cs="宋体"/>
          <w:color w:val="auto"/>
          <w:szCs w:val="21"/>
          <w:highlight w:val="none"/>
        </w:rPr>
        <w:t>35</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7281AB25">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rPr>
        <w:t>35</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267D468D">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5099F77C">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32" w:name="_Toc28020"/>
      <w:bookmarkStart w:id="333" w:name="_Toc142508351"/>
      <w:bookmarkStart w:id="334" w:name="_Toc195714257"/>
      <w:bookmarkStart w:id="335" w:name="_Toc9694_WPSOffice_Level3"/>
      <w:bookmarkStart w:id="336" w:name="_Toc486167700"/>
      <w:bookmarkStart w:id="337" w:name="_Toc4722"/>
      <w:bookmarkStart w:id="338" w:name="_Toc19127"/>
      <w:r>
        <w:rPr>
          <w:rFonts w:hint="eastAsia" w:ascii="宋体" w:hAnsi="宋体" w:eastAsia="宋体" w:cs="宋体"/>
          <w:color w:val="auto"/>
          <w:szCs w:val="21"/>
          <w:highlight w:val="none"/>
        </w:rPr>
        <w:t>36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331"/>
      <w:bookmarkEnd w:id="332"/>
      <w:bookmarkEnd w:id="333"/>
      <w:bookmarkEnd w:id="334"/>
      <w:bookmarkEnd w:id="335"/>
      <w:bookmarkEnd w:id="336"/>
      <w:bookmarkEnd w:id="337"/>
      <w:bookmarkEnd w:id="338"/>
    </w:p>
    <w:p w14:paraId="1F0705BC">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w:t>
      </w:r>
      <w:r>
        <w:rPr>
          <w:rFonts w:hint="eastAsia" w:ascii="宋体" w:hAnsi="宋体" w:eastAsia="宋体" w:cs="Times New Roman"/>
          <w:b/>
          <w:color w:val="auto"/>
          <w:szCs w:val="21"/>
          <w:highlight w:val="none"/>
          <w:u w:val="single"/>
          <w:lang w:val="en-US" w:eastAsia="zh-CN"/>
        </w:rPr>
        <w:t>入库</w:t>
      </w:r>
      <w:r>
        <w:rPr>
          <w:rFonts w:hint="eastAsia" w:ascii="宋体" w:hAnsi="宋体" w:eastAsia="宋体" w:cs="Times New Roman"/>
          <w:b/>
          <w:color w:val="auto"/>
          <w:szCs w:val="21"/>
          <w:highlight w:val="none"/>
          <w:u w:val="single"/>
          <w:lang w:val="zh-CN"/>
        </w:rPr>
        <w:t>合同，</w:t>
      </w:r>
      <w:r>
        <w:rPr>
          <w:rFonts w:hint="eastAsia" w:ascii="宋体" w:hAnsi="宋体" w:eastAsia="宋体" w:cs="Times New Roman"/>
          <w:b/>
          <w:color w:val="auto"/>
          <w:szCs w:val="21"/>
          <w:highlight w:val="none"/>
          <w:u w:val="single"/>
          <w:lang w:val="en-US" w:eastAsia="zh-CN"/>
        </w:rPr>
        <w:t>后续派单后由</w:t>
      </w:r>
      <w:r>
        <w:rPr>
          <w:rFonts w:hint="eastAsia" w:ascii="宋体" w:hAnsi="宋体" w:eastAsia="宋体" w:cs="Times New Roman"/>
          <w:b/>
          <w:color w:val="auto"/>
          <w:kern w:val="2"/>
          <w:szCs w:val="21"/>
          <w:highlight w:val="none"/>
          <w:u w:val="single"/>
        </w:rPr>
        <w:t>招标人</w:t>
      </w:r>
      <w:r>
        <w:rPr>
          <w:rFonts w:hint="eastAsia" w:ascii="宋体" w:hAnsi="宋体" w:eastAsia="宋体" w:cs="Times New Roman"/>
          <w:b/>
          <w:color w:val="auto"/>
          <w:kern w:val="2"/>
          <w:szCs w:val="21"/>
          <w:highlight w:val="none"/>
          <w:u w:val="single"/>
          <w:lang w:val="en-US" w:eastAsia="zh-CN"/>
        </w:rPr>
        <w:t>及</w:t>
      </w:r>
      <w:r>
        <w:rPr>
          <w:rFonts w:hint="eastAsia" w:ascii="宋体" w:hAnsi="宋体" w:eastAsia="宋体" w:cs="Times New Roman"/>
          <w:b/>
          <w:color w:val="auto"/>
          <w:kern w:val="2"/>
          <w:szCs w:val="21"/>
          <w:highlight w:val="none"/>
          <w:u w:val="single"/>
        </w:rPr>
        <w:t>权属子公司</w:t>
      </w:r>
      <w:r>
        <w:rPr>
          <w:rFonts w:hint="eastAsia" w:ascii="宋体" w:hAnsi="宋体" w:eastAsia="宋体" w:cs="Times New Roman"/>
          <w:b/>
          <w:color w:val="auto"/>
          <w:kern w:val="2"/>
          <w:szCs w:val="21"/>
          <w:highlight w:val="none"/>
          <w:u w:val="single"/>
          <w:lang w:val="en-US" w:eastAsia="zh-CN"/>
        </w:rPr>
        <w:t>分别签署</w:t>
      </w:r>
      <w:r>
        <w:rPr>
          <w:rFonts w:hint="eastAsia" w:ascii="宋体" w:hAnsi="宋体" w:eastAsia="宋体" w:cs="Times New Roman"/>
          <w:b/>
          <w:color w:val="auto"/>
          <w:szCs w:val="21"/>
          <w:highlight w:val="none"/>
          <w:u w:val="single"/>
          <w:lang w:val="en-US" w:eastAsia="zh-CN"/>
        </w:rPr>
        <w:t>单项合同</w:t>
      </w:r>
      <w:r>
        <w:rPr>
          <w:rFonts w:hint="eastAsia" w:ascii="宋体" w:hAnsi="宋体" w:eastAsia="宋体" w:cs="Times New Roman"/>
          <w:b/>
          <w:color w:val="auto"/>
          <w:szCs w:val="21"/>
          <w:highlight w:val="none"/>
          <w:u w:val="single"/>
          <w:lang w:val="zh-CN"/>
        </w:rPr>
        <w:t>，具体签订方式以招标人通知为准。否则招标人有权取消中标资格并按招标文件及法律、法规的规定进行处理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7623447B">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30F8C7FC">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39" w:name="_Toc8181"/>
      <w:bookmarkStart w:id="340" w:name="_Toc486167701"/>
      <w:bookmarkStart w:id="341" w:name="_Toc450662887"/>
      <w:bookmarkStart w:id="342" w:name="_Toc10513_WPSOffice_Level3"/>
      <w:bookmarkStart w:id="343" w:name="_Toc195714258"/>
      <w:bookmarkStart w:id="344" w:name="_Toc142508352"/>
      <w:bookmarkStart w:id="345" w:name="_Toc10371"/>
      <w:bookmarkStart w:id="346" w:name="_Toc5304"/>
      <w:r>
        <w:rPr>
          <w:rFonts w:hint="eastAsia" w:ascii="宋体" w:hAnsi="宋体" w:eastAsia="宋体" w:cs="宋体"/>
          <w:color w:val="auto"/>
          <w:szCs w:val="21"/>
          <w:highlight w:val="none"/>
        </w:rPr>
        <w:t>37</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339"/>
      <w:bookmarkEnd w:id="340"/>
      <w:bookmarkEnd w:id="341"/>
      <w:bookmarkEnd w:id="342"/>
      <w:bookmarkEnd w:id="343"/>
      <w:bookmarkEnd w:id="344"/>
      <w:bookmarkEnd w:id="345"/>
      <w:bookmarkEnd w:id="346"/>
    </w:p>
    <w:p w14:paraId="61948261">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347" w:name="_Toc466882025"/>
      <w:bookmarkStart w:id="348" w:name="_Toc465358977"/>
      <w:r>
        <w:rPr>
          <w:rFonts w:hint="eastAsia" w:ascii="宋体" w:hAnsi="宋体" w:eastAsia="宋体" w:cs="宋体"/>
          <w:bCs/>
          <w:color w:val="auto"/>
          <w:szCs w:val="21"/>
          <w:highlight w:val="none"/>
        </w:rPr>
        <w:t>37</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Times New Roman"/>
          <w:b/>
          <w:bCs/>
          <w:color w:val="auto"/>
          <w:szCs w:val="21"/>
          <w:highlight w:val="none"/>
          <w:u w:val="single"/>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w:t>
      </w:r>
      <w:r>
        <w:rPr>
          <w:rFonts w:hint="eastAsia" w:ascii="宋体" w:hAnsi="宋体" w:eastAsia="宋体" w:cs="Times New Roman"/>
          <w:b/>
          <w:bCs/>
          <w:color w:val="auto"/>
          <w:szCs w:val="21"/>
          <w:highlight w:val="none"/>
          <w:u w:val="single"/>
          <w:lang w:val="en-US" w:eastAsia="zh-CN"/>
        </w:rPr>
        <w:t>¥50,000.00元</w:t>
      </w:r>
      <w:r>
        <w:rPr>
          <w:rFonts w:hint="eastAsia" w:ascii="宋体" w:hAnsi="宋体" w:eastAsia="宋体" w:cs="Times New Roman"/>
          <w:b/>
          <w:bCs/>
          <w:color w:val="auto"/>
          <w:szCs w:val="21"/>
          <w:highlight w:val="none"/>
          <w:u w:val="single"/>
          <w:lang w:val="zh-CN"/>
        </w:rPr>
        <w:t>，采用不可撤销银行履约保函形式的金额为</w:t>
      </w:r>
      <w:r>
        <w:rPr>
          <w:rFonts w:hint="eastAsia" w:ascii="宋体" w:hAnsi="宋体" w:eastAsia="宋体" w:cs="Times New Roman"/>
          <w:b/>
          <w:bCs/>
          <w:color w:val="auto"/>
          <w:szCs w:val="21"/>
          <w:highlight w:val="none"/>
          <w:u w:val="single"/>
          <w:lang w:val="en-US" w:eastAsia="zh-CN"/>
        </w:rPr>
        <w:t>¥75,000.00元</w:t>
      </w:r>
      <w:r>
        <w:rPr>
          <w:rFonts w:hint="eastAsia" w:ascii="宋体" w:hAnsi="宋体" w:eastAsia="宋体" w:cs="Times New Roman"/>
          <w:b/>
          <w:bCs/>
          <w:color w:val="auto"/>
          <w:szCs w:val="21"/>
          <w:highlight w:val="none"/>
          <w:u w:val="single"/>
          <w:lang w:val="zh-CN"/>
        </w:rPr>
        <w:t>，采用</w:t>
      </w:r>
      <w:r>
        <w:rPr>
          <w:rFonts w:hint="eastAsia" w:ascii="宋体" w:hAnsi="宋体" w:eastAsia="宋体" w:cs="Times New Roman"/>
          <w:b/>
          <w:bCs/>
          <w:color w:val="auto"/>
          <w:szCs w:val="21"/>
          <w:highlight w:val="none"/>
          <w:u w:val="single"/>
          <w:lang w:val="en-US" w:eastAsia="zh-CN"/>
        </w:rPr>
        <w:t>履约保证保险</w:t>
      </w:r>
      <w:r>
        <w:rPr>
          <w:rFonts w:hint="eastAsia" w:ascii="宋体" w:hAnsi="宋体" w:eastAsia="宋体" w:cs="Times New Roman"/>
          <w:b/>
          <w:bCs/>
          <w:color w:val="auto"/>
          <w:szCs w:val="21"/>
          <w:highlight w:val="none"/>
          <w:u w:val="single"/>
          <w:lang w:val="zh-CN"/>
        </w:rPr>
        <w:t>形式的金额为</w:t>
      </w:r>
      <w:r>
        <w:rPr>
          <w:rFonts w:hint="eastAsia" w:ascii="宋体" w:hAnsi="宋体" w:eastAsia="宋体" w:cs="Times New Roman"/>
          <w:b/>
          <w:bCs/>
          <w:color w:val="auto"/>
          <w:szCs w:val="21"/>
          <w:highlight w:val="none"/>
          <w:u w:val="single"/>
          <w:lang w:val="en-US" w:eastAsia="zh-CN"/>
        </w:rPr>
        <w:t>¥75,000.00元</w:t>
      </w:r>
      <w:r>
        <w:rPr>
          <w:rFonts w:hint="eastAsia" w:ascii="宋体" w:hAnsi="宋体" w:eastAsia="宋体" w:cs="Times New Roman"/>
          <w:b/>
          <w:bCs/>
          <w:color w:val="auto"/>
          <w:szCs w:val="21"/>
          <w:highlight w:val="none"/>
          <w:u w:val="single"/>
          <w:lang w:val="zh-CN"/>
        </w:rPr>
        <w:t>，采用担保公司履约担保书形式的金额为</w:t>
      </w:r>
      <w:r>
        <w:rPr>
          <w:rFonts w:hint="eastAsia" w:ascii="宋体" w:hAnsi="宋体" w:eastAsia="宋体" w:cs="Times New Roman"/>
          <w:b/>
          <w:bCs/>
          <w:color w:val="auto"/>
          <w:szCs w:val="21"/>
          <w:highlight w:val="none"/>
          <w:u w:val="single"/>
          <w:lang w:val="en-US" w:eastAsia="zh-CN"/>
        </w:rPr>
        <w:t>¥90,000.00元</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给招标人（及其下属公司）造成的损失超过履约担保数额的，中标人还应当对超过部分予以赔偿，招标人（及其下属公司）并依法追究中标人的相应责任。</w:t>
      </w:r>
    </w:p>
    <w:p w14:paraId="23C1FEF4">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37.2 </w:t>
      </w:r>
      <w:r>
        <w:rPr>
          <w:rFonts w:hint="eastAsia" w:ascii="宋体" w:hAnsi="宋体" w:eastAsia="宋体" w:cs="Times New Roman"/>
          <w:color w:val="auto"/>
          <w:kern w:val="0"/>
          <w:szCs w:val="21"/>
          <w:highlight w:val="none"/>
        </w:rPr>
        <w:t>履约担保用于补偿招标人（及其下属公司）因中标人不能完全履行其合同义务而蒙受的损失或其他合同约定的事项。如发生下列任一情况时，招标人（及其下属公司）有权依合同追究违约责任外，同时有权提取履约担保并进行相应处理</w:t>
      </w:r>
      <w:r>
        <w:rPr>
          <w:rFonts w:hint="eastAsia" w:ascii="宋体" w:hAnsi="宋体" w:eastAsia="宋体" w:cs="宋体"/>
          <w:color w:val="auto"/>
          <w:kern w:val="0"/>
          <w:szCs w:val="21"/>
          <w:highlight w:val="none"/>
        </w:rPr>
        <w:t>：</w:t>
      </w:r>
    </w:p>
    <w:p w14:paraId="4A609F3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中标人将合同项下中标人的权利义务全部转让给第三方，或未经招标人（及其下属公司）书面同意将部分权利义务转让给第三方的，招标人（及其下属公司）有权没收其履约担保。</w:t>
      </w:r>
    </w:p>
    <w:p w14:paraId="1BCB7E8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怠于履行合同义务，经招标人（及其下属公司）通知或要求承担违约金后仍拒不改正的，招标人（及其下属公司）可依法没收其履约担保。</w:t>
      </w:r>
    </w:p>
    <w:p w14:paraId="283035C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3）在合同履行期间，因中标人服务质量问题造成损害、侵权损失</w:t>
      </w:r>
      <w:r>
        <w:rPr>
          <w:rFonts w:hint="eastAsia" w:ascii="宋体" w:hAnsi="宋体" w:eastAsia="宋体" w:cs="Times New Roman"/>
          <w:color w:val="auto"/>
          <w:kern w:val="0"/>
          <w:szCs w:val="21"/>
          <w:highlight w:val="none"/>
          <w:lang w:eastAsia="zh-CN"/>
        </w:rPr>
        <w:t>【</w:t>
      </w:r>
      <w:r>
        <w:rPr>
          <w:rFonts w:ascii="宋体" w:hAnsi="宋体" w:eastAsia="宋体" w:cs="Times New Roman"/>
          <w:color w:val="auto"/>
          <w:kern w:val="0"/>
          <w:szCs w:val="21"/>
          <w:highlight w:val="none"/>
        </w:rPr>
        <w:t>包括但不限于</w:t>
      </w:r>
      <w:r>
        <w:rPr>
          <w:rFonts w:hint="eastAsia" w:ascii="宋体" w:hAnsi="宋体" w:eastAsia="宋体" w:cs="Times New Roman"/>
          <w:color w:val="auto"/>
          <w:kern w:val="0"/>
          <w:szCs w:val="21"/>
          <w:highlight w:val="none"/>
        </w:rPr>
        <w:t>招标人（及其下属公司）</w:t>
      </w:r>
      <w:r>
        <w:rPr>
          <w:rFonts w:ascii="宋体" w:hAnsi="宋体" w:eastAsia="宋体" w:cs="Times New Roman"/>
          <w:color w:val="auto"/>
          <w:kern w:val="0"/>
          <w:szCs w:val="21"/>
          <w:highlight w:val="none"/>
        </w:rPr>
        <w:t>经济损失、第三人人身财产损失等</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、拖欠原材料供应商货款或与其所雇用员工发生劳资纠纷、上访、闹事或其他影响招标人（及其下属公司）生产经营等情况而其未及时妥善处理的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招标人（及其下属公司）有权使用履约担保予以支付或作出相应处理，由此产生的一切法律后果</w:t>
      </w:r>
      <w:r>
        <w:rPr>
          <w:rFonts w:hint="eastAsia" w:ascii="宋体" w:hAnsi="宋体" w:eastAsia="宋体" w:cs="Times New Roman"/>
          <w:color w:val="auto"/>
          <w:kern w:val="0"/>
          <w:szCs w:val="21"/>
          <w:highlight w:val="none"/>
          <w:lang w:val="en-US" w:eastAsia="zh-CN"/>
        </w:rPr>
        <w:t>和经济损失</w:t>
      </w:r>
      <w:r>
        <w:rPr>
          <w:rFonts w:hint="eastAsia" w:ascii="宋体" w:hAnsi="宋体" w:eastAsia="宋体" w:cs="Times New Roman"/>
          <w:color w:val="auto"/>
          <w:kern w:val="0"/>
          <w:szCs w:val="21"/>
          <w:highlight w:val="none"/>
        </w:rPr>
        <w:t>由中标人承担。</w:t>
      </w:r>
    </w:p>
    <w:p w14:paraId="45C13C8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w:t>
      </w:r>
      <w:r>
        <w:rPr>
          <w:rFonts w:hint="eastAsia" w:ascii="宋体" w:hAnsi="宋体" w:eastAsia="宋体" w:cs="Times New Roman"/>
          <w:color w:val="auto"/>
          <w:kern w:val="0"/>
          <w:szCs w:val="21"/>
          <w:highlight w:val="none"/>
        </w:rPr>
        <w:t>招标人（及其下属公司）</w:t>
      </w:r>
      <w:r>
        <w:rPr>
          <w:rFonts w:ascii="宋体" w:hAnsi="宋体" w:eastAsia="宋体" w:cs="Times New Roman"/>
          <w:color w:val="auto"/>
          <w:kern w:val="0"/>
          <w:szCs w:val="21"/>
          <w:highlight w:val="none"/>
        </w:rPr>
        <w:t>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5479ADF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w:t>
      </w:r>
      <w:r>
        <w:rPr>
          <w:rFonts w:hint="eastAsia" w:ascii="宋体" w:hAnsi="宋体" w:eastAsia="宋体" w:cs="Times New Roman"/>
          <w:color w:val="auto"/>
          <w:kern w:val="0"/>
          <w:szCs w:val="21"/>
          <w:highlight w:val="none"/>
        </w:rPr>
        <w:t>招标人（及其下属公司）</w:t>
      </w:r>
      <w:r>
        <w:rPr>
          <w:rFonts w:ascii="宋体" w:hAnsi="宋体" w:eastAsia="宋体" w:cs="Times New Roman"/>
          <w:color w:val="auto"/>
          <w:kern w:val="0"/>
          <w:szCs w:val="21"/>
          <w:highlight w:val="none"/>
        </w:rPr>
        <w:t>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18D6997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w:t>
      </w:r>
      <w:r>
        <w:rPr>
          <w:rFonts w:hint="eastAsia" w:ascii="宋体" w:hAnsi="宋体" w:eastAsia="宋体" w:cs="Times New Roman"/>
          <w:color w:val="auto"/>
          <w:kern w:val="0"/>
          <w:szCs w:val="21"/>
          <w:highlight w:val="none"/>
        </w:rPr>
        <w:t>招标人（及其下属公司）</w:t>
      </w:r>
      <w:r>
        <w:rPr>
          <w:rFonts w:ascii="宋体" w:hAnsi="宋体" w:eastAsia="宋体" w:cs="Times New Roman"/>
          <w:color w:val="auto"/>
          <w:kern w:val="0"/>
          <w:szCs w:val="21"/>
          <w:highlight w:val="none"/>
        </w:rPr>
        <w:t>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61FBC7B6">
      <w:pPr>
        <w:tabs>
          <w:tab w:val="left" w:pos="360"/>
          <w:tab w:val="left" w:pos="4725"/>
        </w:tabs>
        <w:autoSpaceDE w:val="0"/>
        <w:autoSpaceDN w:val="0"/>
        <w:adjustRightInd w:val="0"/>
        <w:spacing w:line="360" w:lineRule="auto"/>
        <w:ind w:left="315" w:leftChars="-100" w:hanging="525" w:hangingChars="250"/>
        <w:jc w:val="left"/>
        <w:outlineLvl w:val="1"/>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37.3  履约担保应符合如下规定：</w:t>
      </w:r>
    </w:p>
    <w:p w14:paraId="62465C8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w:t>
      </w:r>
      <w:r>
        <w:rPr>
          <w:rFonts w:hint="eastAsia" w:ascii="宋体" w:hAnsi="宋体" w:eastAsia="宋体" w:cs="Times New Roman"/>
          <w:color w:val="auto"/>
          <w:kern w:val="0"/>
          <w:szCs w:val="21"/>
          <w:highlight w:val="none"/>
        </w:rPr>
        <w:t>招标人（及其下属公司）</w:t>
      </w:r>
      <w:r>
        <w:rPr>
          <w:rFonts w:ascii="宋体" w:hAnsi="宋体" w:eastAsia="宋体" w:cs="Times New Roman"/>
          <w:color w:val="auto"/>
          <w:kern w:val="0"/>
          <w:szCs w:val="21"/>
          <w:highlight w:val="none"/>
        </w:rPr>
        <w:t>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61E5C66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（或履约保证保险或担保公司履约担保书）</w:t>
      </w:r>
      <w:r>
        <w:rPr>
          <w:rFonts w:ascii="宋体" w:hAnsi="宋体" w:eastAsia="宋体" w:cs="Times New Roman"/>
          <w:color w:val="auto"/>
          <w:kern w:val="0"/>
          <w:szCs w:val="21"/>
          <w:highlight w:val="none"/>
        </w:rPr>
        <w:t>，须事先经</w:t>
      </w:r>
      <w:r>
        <w:rPr>
          <w:rFonts w:hint="eastAsia" w:ascii="宋体" w:hAnsi="宋体" w:eastAsia="宋体" w:cs="Times New Roman"/>
          <w:color w:val="auto"/>
          <w:kern w:val="0"/>
          <w:szCs w:val="21"/>
          <w:highlight w:val="none"/>
        </w:rPr>
        <w:t>招标人（及其下属公司）</w:t>
      </w:r>
      <w:r>
        <w:rPr>
          <w:rFonts w:ascii="宋体" w:hAnsi="宋体" w:eastAsia="宋体" w:cs="Times New Roman"/>
          <w:color w:val="auto"/>
          <w:kern w:val="0"/>
          <w:szCs w:val="21"/>
          <w:highlight w:val="none"/>
        </w:rPr>
        <w:t>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32F516D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东莞市国有企业，或政府性融资担保机构（中标人须提供能证明其属于政府性融资担保机构的证明文件），并经招标人（及其下属公司）同意，执行本款时所发生的费用由中标人承担。如招标人（及其下属公司）合同条款接受担保公司预付款担保函的，对担保机构要求参照本条执行</w:t>
      </w:r>
      <w:r>
        <w:rPr>
          <w:rFonts w:ascii="宋体" w:hAnsi="宋体" w:eastAsia="宋体" w:cs="Times New Roman"/>
          <w:color w:val="auto"/>
          <w:kern w:val="0"/>
          <w:szCs w:val="21"/>
          <w:highlight w:val="none"/>
        </w:rPr>
        <w:t>。</w:t>
      </w:r>
    </w:p>
    <w:p w14:paraId="4FA484E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符合招标人（及其下属公司）要求的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招标人（及其下属公司）</w:t>
      </w:r>
      <w:r>
        <w:rPr>
          <w:rFonts w:ascii="宋体" w:hAnsi="宋体" w:eastAsia="宋体" w:cs="Times New Roman"/>
          <w:color w:val="auto"/>
          <w:kern w:val="0"/>
          <w:szCs w:val="21"/>
          <w:highlight w:val="none"/>
        </w:rPr>
        <w:t>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在不可撤销银行履约保函（或履约保证保险或担保公司履约担保书）到期后中标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未按招标人（及其下属公司）要求重新提供的，招标人（及其下属公司）有权要求中标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2931E95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招标人（及其下属公司）有权按需补足的金额要求中标人承担违约金，并要求限期补足。如中标人仍不补足的，招标人（及其下属公司）有权单方解除合同，违约金可直接从未付合同款或履约担保中扣除。</w:t>
      </w:r>
    </w:p>
    <w:p w14:paraId="639052D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w:t>
      </w:r>
      <w:r>
        <w:rPr>
          <w:rFonts w:hint="eastAsia" w:ascii="宋体" w:hAnsi="宋体" w:eastAsia="宋体" w:cs="Times New Roman"/>
          <w:color w:val="auto"/>
          <w:kern w:val="0"/>
          <w:szCs w:val="21"/>
          <w:highlight w:val="none"/>
        </w:rPr>
        <w:t>可撤销银行履约保函（或履约保证保险或担保公司履约担保书）</w:t>
      </w:r>
      <w:r>
        <w:rPr>
          <w:rFonts w:hint="eastAsia" w:ascii="宋体" w:hAnsi="宋体" w:eastAsia="宋体" w:cs="宋体"/>
          <w:color w:val="auto"/>
          <w:kern w:val="0"/>
          <w:szCs w:val="21"/>
          <w:highlight w:val="none"/>
          <w:lang w:eastAsia="zh-CN"/>
        </w:rPr>
        <w:t>应</w:t>
      </w:r>
      <w:r>
        <w:rPr>
          <w:rFonts w:hint="eastAsia" w:ascii="宋体" w:hAnsi="宋体" w:eastAsia="宋体" w:cs="宋体"/>
          <w:color w:val="auto"/>
          <w:kern w:val="0"/>
          <w:szCs w:val="21"/>
          <w:highlight w:val="none"/>
          <w:lang w:val="en-US" w:eastAsia="zh-CN"/>
        </w:rPr>
        <w:t>自</w:t>
      </w:r>
      <w:r>
        <w:rPr>
          <w:rFonts w:hint="eastAsia" w:ascii="宋体" w:hAnsi="宋体" w:eastAsia="宋体" w:cs="宋体"/>
          <w:color w:val="auto"/>
          <w:kern w:val="0"/>
          <w:szCs w:val="21"/>
          <w:highlight w:val="none"/>
          <w:lang w:eastAsia="zh-CN"/>
        </w:rPr>
        <w:t>合同签订之日起至合同期限届满并完成合同及补充协议项下全部服务义务，受益人向申请人支付全部款项后二十八（28）日内保持有效</w:t>
      </w:r>
      <w:r>
        <w:rPr>
          <w:rFonts w:hint="eastAsia" w:ascii="宋体" w:hAnsi="宋体" w:eastAsia="宋体" w:cs="宋体"/>
          <w:color w:val="auto"/>
          <w:kern w:val="0"/>
          <w:szCs w:val="21"/>
          <w:highlight w:val="none"/>
        </w:rPr>
        <w:t>。</w:t>
      </w:r>
    </w:p>
    <w:p w14:paraId="693A0C72">
      <w:pPr>
        <w:tabs>
          <w:tab w:val="left" w:pos="360"/>
          <w:tab w:val="left" w:pos="4725"/>
        </w:tabs>
        <w:autoSpaceDE w:val="0"/>
        <w:autoSpaceDN w:val="0"/>
        <w:adjustRightInd w:val="0"/>
        <w:spacing w:line="360" w:lineRule="auto"/>
        <w:ind w:left="315" w:leftChars="-100" w:hanging="525" w:hangingChars="250"/>
        <w:jc w:val="left"/>
        <w:outlineLvl w:val="1"/>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37.4  履约保证金应用本合同货币。</w:t>
      </w:r>
    </w:p>
    <w:p w14:paraId="51C1A454">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37.5  中标人</w:t>
      </w:r>
      <w:r>
        <w:rPr>
          <w:rFonts w:ascii="宋体" w:hAnsi="宋体" w:eastAsia="宋体" w:cs="Times New Roman"/>
          <w:color w:val="auto"/>
          <w:kern w:val="0"/>
          <w:szCs w:val="21"/>
          <w:highlight w:val="none"/>
        </w:rPr>
        <w:t>也可以按招标文件约定的额度和时间，向</w:t>
      </w:r>
      <w:r>
        <w:rPr>
          <w:rFonts w:hint="eastAsia" w:ascii="宋体" w:hAnsi="宋体" w:eastAsia="宋体" w:cs="Times New Roman"/>
          <w:color w:val="auto"/>
          <w:kern w:val="0"/>
          <w:szCs w:val="21"/>
          <w:highlight w:val="none"/>
        </w:rPr>
        <w:t>招标人（及其下属公司）</w:t>
      </w:r>
      <w:r>
        <w:rPr>
          <w:rFonts w:ascii="宋体" w:hAnsi="宋体" w:eastAsia="宋体" w:cs="Times New Roman"/>
          <w:color w:val="auto"/>
          <w:kern w:val="0"/>
          <w:szCs w:val="21"/>
          <w:highlight w:val="none"/>
        </w:rPr>
        <w:t>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w:t>
      </w:r>
      <w:r>
        <w:rPr>
          <w:rFonts w:hint="eastAsia" w:ascii="宋体" w:hAnsi="宋体" w:eastAsia="宋体" w:cs="Times New Roman"/>
          <w:color w:val="auto"/>
          <w:kern w:val="0"/>
          <w:szCs w:val="21"/>
          <w:highlight w:val="none"/>
        </w:rPr>
        <w:t>招标人</w:t>
      </w:r>
      <w:r>
        <w:rPr>
          <w:rFonts w:ascii="宋体" w:hAnsi="宋体" w:eastAsia="宋体" w:cs="Times New Roman"/>
          <w:color w:val="auto"/>
          <w:kern w:val="0"/>
          <w:szCs w:val="21"/>
          <w:highlight w:val="none"/>
        </w:rPr>
        <w:t>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1FAC318F">
      <w:pPr>
        <w:tabs>
          <w:tab w:val="left" w:pos="360"/>
          <w:tab w:val="left" w:pos="4725"/>
        </w:tabs>
        <w:autoSpaceDE w:val="0"/>
        <w:autoSpaceDN w:val="0"/>
        <w:adjustRightInd w:val="0"/>
        <w:spacing w:line="360" w:lineRule="auto"/>
        <w:ind w:firstLine="632" w:firstLineChars="300"/>
        <w:jc w:val="left"/>
        <w:outlineLvl w:val="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r>
        <w:rPr>
          <w:rFonts w:hint="eastAsia" w:ascii="宋体" w:hAnsi="宋体" w:eastAsia="宋体" w:cs="宋体"/>
          <w:b/>
          <w:color w:val="auto"/>
          <w:kern w:val="0"/>
          <w:szCs w:val="21"/>
          <w:highlight w:val="none"/>
          <w:u w:val="single"/>
        </w:rPr>
        <w:t>（特别提醒，本账户非投标保证金账户）</w:t>
      </w:r>
    </w:p>
    <w:p w14:paraId="257A20D9">
      <w:pPr>
        <w:autoSpaceDE w:val="0"/>
        <w:autoSpaceDN w:val="0"/>
        <w:adjustRightInd w:val="0"/>
        <w:snapToGrid w:val="0"/>
        <w:spacing w:line="360" w:lineRule="auto"/>
        <w:ind w:firstLine="632" w:firstLineChars="300"/>
        <w:jc w:val="left"/>
        <w:rPr>
          <w:rFonts w:hint="eastAsia" w:ascii="宋体" w:hAnsi="宋体" w:eastAsia="宋体" w:cs="Times New Roman"/>
          <w:b/>
          <w:color w:val="auto"/>
          <w:kern w:val="0"/>
          <w:szCs w:val="21"/>
          <w:highlight w:val="none"/>
          <w:lang w:eastAsia="zh-CN"/>
        </w:rPr>
      </w:pPr>
      <w:r>
        <w:rPr>
          <w:rFonts w:hint="eastAsia" w:ascii="宋体" w:hAnsi="宋体" w:eastAsia="宋体" w:cs="Times New Roman"/>
          <w:b/>
          <w:color w:val="auto"/>
          <w:kern w:val="0"/>
          <w:szCs w:val="21"/>
          <w:highlight w:val="none"/>
        </w:rPr>
        <w:t>开户名称：</w:t>
      </w:r>
      <w:r>
        <w:rPr>
          <w:rFonts w:hint="eastAsia" w:ascii="宋体" w:hAnsi="宋体" w:eastAsia="宋体" w:cs="Times New Roman"/>
          <w:b/>
          <w:color w:val="auto"/>
          <w:kern w:val="0"/>
          <w:szCs w:val="21"/>
          <w:highlight w:val="none"/>
          <w:lang w:eastAsia="zh-CN"/>
        </w:rPr>
        <w:t>东莞市水务集团有限公司</w:t>
      </w:r>
    </w:p>
    <w:p w14:paraId="495C084C">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银行账号：2010 0213 0920 0288 889</w:t>
      </w:r>
    </w:p>
    <w:p w14:paraId="340BC684">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开户银行：中国工商银行东莞分行</w:t>
      </w:r>
    </w:p>
    <w:p w14:paraId="196B23DC">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132335B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37.7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中标人以履约保证金（银行转账形式）提供履约担保的在依法完成本项目的所有合同义务，且</w:t>
      </w:r>
      <w:r>
        <w:rPr>
          <w:rFonts w:hint="eastAsia" w:ascii="宋体" w:hAnsi="宋体" w:eastAsia="宋体" w:cs="Times New Roman"/>
          <w:color w:val="auto"/>
          <w:kern w:val="0"/>
          <w:szCs w:val="21"/>
          <w:highlight w:val="none"/>
          <w:lang w:val="en-US" w:eastAsia="zh-CN"/>
        </w:rPr>
        <w:t>结算完毕之</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，经招标人确认，中标人可向招标人提交退回履约担保的申请。招标人审核无异议后，办理履约担保退还手续，退回时一律以银行转账的形式无息退回到中标人的账户。</w:t>
      </w:r>
    </w:p>
    <w:p w14:paraId="311DC63F">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1E1AD307">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49" w:name="_Toc10548"/>
      <w:bookmarkStart w:id="350" w:name="_Toc486167702"/>
      <w:bookmarkStart w:id="351" w:name="_Toc3311"/>
      <w:bookmarkStart w:id="352" w:name="_Toc142508353"/>
      <w:bookmarkStart w:id="353" w:name="_Toc27162"/>
      <w:bookmarkStart w:id="354" w:name="_Toc195714259"/>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在合同履行中变更采购范围的权利</w:t>
      </w:r>
      <w:bookmarkEnd w:id="347"/>
      <w:bookmarkEnd w:id="348"/>
      <w:bookmarkEnd w:id="349"/>
      <w:bookmarkEnd w:id="350"/>
      <w:bookmarkEnd w:id="351"/>
      <w:bookmarkEnd w:id="352"/>
      <w:bookmarkEnd w:id="353"/>
      <w:bookmarkEnd w:id="354"/>
    </w:p>
    <w:p w14:paraId="7EB6AF3D">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38.1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在合同约定的范围内，招标人有权根据项目实际情况及有关法律法规、政策的规定对采购范围进行变更调整，变更采购范围后，投标人应遵照执行。</w:t>
      </w:r>
    </w:p>
    <w:p w14:paraId="129F9A06">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55" w:name="_Toc450662888"/>
    </w:p>
    <w:p w14:paraId="19FFC75F">
      <w:pPr>
        <w:tabs>
          <w:tab w:val="left" w:pos="46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56" w:name="_Toc2401"/>
      <w:bookmarkStart w:id="357" w:name="_Toc486167703"/>
      <w:bookmarkStart w:id="358" w:name="_Toc195714260"/>
      <w:bookmarkStart w:id="359" w:name="_Toc14850"/>
      <w:bookmarkStart w:id="360" w:name="_Toc28921_WPSOffice_Level3"/>
      <w:bookmarkStart w:id="361" w:name="_Toc23218"/>
      <w:bookmarkStart w:id="362" w:name="_Toc142508354"/>
      <w:r>
        <w:rPr>
          <w:rFonts w:hint="eastAsia" w:ascii="宋体" w:hAnsi="宋体" w:eastAsia="宋体" w:cs="宋体"/>
          <w:color w:val="auto"/>
          <w:szCs w:val="21"/>
          <w:highlight w:val="none"/>
        </w:rPr>
        <w:t>39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355"/>
      <w:bookmarkEnd w:id="356"/>
      <w:bookmarkEnd w:id="357"/>
      <w:bookmarkEnd w:id="358"/>
      <w:bookmarkEnd w:id="359"/>
      <w:bookmarkEnd w:id="360"/>
      <w:bookmarkEnd w:id="361"/>
      <w:bookmarkEnd w:id="362"/>
    </w:p>
    <w:p w14:paraId="27F2CDC2">
      <w:pPr>
        <w:autoSpaceDE w:val="0"/>
        <w:autoSpaceDN w:val="0"/>
        <w:adjustRightInd w:val="0"/>
        <w:spacing w:line="360" w:lineRule="auto"/>
        <w:ind w:left="357" w:leftChars="-100" w:hanging="567" w:hangingChars="270"/>
        <w:jc w:val="left"/>
        <w:outlineLvl w:val="1"/>
        <w:rPr>
          <w:rFonts w:ascii="宋体" w:hAnsi="宋体" w:eastAsia="宋体" w:cs="宋体"/>
          <w:color w:val="auto"/>
          <w:kern w:val="0"/>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val="zh-CN"/>
        </w:rPr>
        <w:t>本项目中标服务费由招标人向招标代理机构支付</w:t>
      </w:r>
      <w:r>
        <w:rPr>
          <w:rFonts w:hint="eastAsia" w:ascii="宋体" w:hAnsi="宋体" w:eastAsia="宋体" w:cs="宋体"/>
          <w:color w:val="auto"/>
          <w:szCs w:val="21"/>
          <w:highlight w:val="none"/>
        </w:rPr>
        <w:t>。</w:t>
      </w:r>
    </w:p>
    <w:p w14:paraId="754DE294">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63" w:name="_Toc450662889"/>
    </w:p>
    <w:p w14:paraId="2A584937">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64" w:name="_Toc486167704"/>
      <w:bookmarkStart w:id="365" w:name="_Toc195714261"/>
      <w:bookmarkStart w:id="366" w:name="_Toc6796"/>
      <w:bookmarkStart w:id="367" w:name="_Toc21985"/>
      <w:bookmarkStart w:id="368" w:name="_Toc6764_WPSOffice_Level3"/>
      <w:bookmarkStart w:id="369" w:name="_Toc142508355"/>
      <w:bookmarkStart w:id="370" w:name="_Toc31030"/>
      <w:r>
        <w:rPr>
          <w:rFonts w:hint="eastAsia" w:ascii="宋体" w:hAnsi="宋体" w:eastAsia="宋体" w:cs="宋体"/>
          <w:color w:val="auto"/>
          <w:szCs w:val="21"/>
          <w:highlight w:val="none"/>
        </w:rPr>
        <w:t>40</w:t>
      </w:r>
      <w:r>
        <w:rPr>
          <w:rFonts w:hint="eastAsia" w:ascii="宋体" w:hAnsi="宋体" w:eastAsia="宋体" w:cs="宋体"/>
          <w:color w:val="auto"/>
          <w:szCs w:val="21"/>
          <w:highlight w:val="none"/>
          <w:lang w:val="zh-CN"/>
        </w:rPr>
        <w:t xml:space="preserve"> 发票</w:t>
      </w:r>
      <w:bookmarkEnd w:id="363"/>
      <w:bookmarkEnd w:id="364"/>
      <w:bookmarkEnd w:id="365"/>
      <w:bookmarkEnd w:id="366"/>
      <w:bookmarkEnd w:id="367"/>
      <w:bookmarkEnd w:id="368"/>
      <w:bookmarkEnd w:id="369"/>
      <w:bookmarkEnd w:id="370"/>
    </w:p>
    <w:p w14:paraId="06049A1C">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40</w:t>
      </w:r>
      <w:r>
        <w:rPr>
          <w:rFonts w:hint="eastAsia" w:ascii="宋体" w:hAnsi="宋体" w:eastAsia="宋体" w:cs="宋体"/>
          <w:color w:val="auto"/>
          <w:szCs w:val="21"/>
          <w:highlight w:val="none"/>
          <w:lang w:val="zh-CN"/>
        </w:rPr>
        <w:t>.1</w:t>
      </w:r>
      <w:bookmarkStart w:id="371" w:name="_Toc31106_WPSOffice_Level3"/>
      <w:bookmarkStart w:id="372" w:name="_Toc486167705"/>
      <w:r>
        <w:rPr>
          <w:rFonts w:hint="eastAsia" w:ascii="宋体" w:hAnsi="宋体" w:eastAsia="宋体" w:cs="宋体"/>
          <w:color w:val="auto"/>
          <w:szCs w:val="21"/>
          <w:highlight w:val="none"/>
          <w:lang w:val="en-US" w:eastAsia="zh-CN"/>
        </w:rPr>
        <w:t xml:space="preserve"> </w:t>
      </w:r>
      <w:r>
        <w:rPr>
          <w:rFonts w:hint="eastAsia" w:ascii="宋体" w:hAnsi="宋体" w:eastAsia="宋体" w:cs="Times New Roman"/>
          <w:color w:val="auto"/>
          <w:szCs w:val="21"/>
          <w:highlight w:val="none"/>
          <w:lang w:val="zh-CN"/>
        </w:rPr>
        <w:t>该项目获得中标的中标人在执行合同过程中，向招标人（或招标人的权属</w:t>
      </w:r>
      <w:r>
        <w:rPr>
          <w:rFonts w:hint="eastAsia" w:ascii="宋体" w:hAnsi="宋体" w:eastAsia="宋体" w:cs="Times New Roman"/>
          <w:color w:val="auto"/>
          <w:szCs w:val="21"/>
          <w:highlight w:val="none"/>
          <w:lang w:val="en-US" w:eastAsia="zh-CN"/>
        </w:rPr>
        <w:t>子</w:t>
      </w:r>
      <w:r>
        <w:rPr>
          <w:rFonts w:hint="eastAsia" w:ascii="宋体" w:hAnsi="宋体" w:eastAsia="宋体" w:cs="Times New Roman"/>
          <w:color w:val="auto"/>
          <w:szCs w:val="21"/>
          <w:highlight w:val="none"/>
          <w:lang w:val="zh-CN"/>
        </w:rPr>
        <w:t>公司）出具的发票必须是由中标人开具，不得以其他单位或个人名义出具，本项目中标人向招标人（或招标人的权属</w:t>
      </w:r>
      <w:r>
        <w:rPr>
          <w:rFonts w:hint="eastAsia" w:ascii="宋体" w:hAnsi="宋体" w:eastAsia="宋体" w:cs="Times New Roman"/>
          <w:color w:val="auto"/>
          <w:szCs w:val="21"/>
          <w:highlight w:val="none"/>
          <w:lang w:val="en-US" w:eastAsia="zh-CN"/>
        </w:rPr>
        <w:t>子</w:t>
      </w:r>
      <w:r>
        <w:rPr>
          <w:rFonts w:hint="eastAsia" w:ascii="宋体" w:hAnsi="宋体" w:eastAsia="宋体" w:cs="Times New Roman"/>
          <w:color w:val="auto"/>
          <w:szCs w:val="21"/>
          <w:highlight w:val="none"/>
          <w:lang w:val="zh-CN"/>
        </w:rPr>
        <w:t>公司）出具的发票类型为增值税专用发票。</w:t>
      </w:r>
    </w:p>
    <w:p w14:paraId="69B86A5C">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64D56DC4">
      <w:pPr>
        <w:tabs>
          <w:tab w:val="left" w:pos="360"/>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rPr>
      </w:pPr>
      <w:bookmarkStart w:id="373" w:name="_Toc24547"/>
      <w:bookmarkStart w:id="374" w:name="_Toc10243"/>
      <w:bookmarkStart w:id="375" w:name="_Toc142508356"/>
      <w:bookmarkStart w:id="376" w:name="_Toc8619"/>
      <w:bookmarkStart w:id="377" w:name="_Toc195714262"/>
      <w:r>
        <w:rPr>
          <w:rFonts w:hint="eastAsia" w:ascii="宋体" w:hAnsi="宋体" w:eastAsia="宋体" w:cs="宋体"/>
          <w:b/>
          <w:color w:val="auto"/>
          <w:szCs w:val="21"/>
          <w:highlight w:val="none"/>
        </w:rPr>
        <w:t>41</w:t>
      </w:r>
      <w:r>
        <w:rPr>
          <w:rFonts w:ascii="宋体" w:hAnsi="宋体" w:eastAsia="宋体" w:cs="宋体"/>
          <w:b/>
          <w:color w:val="auto"/>
          <w:szCs w:val="21"/>
          <w:highlight w:val="none"/>
        </w:rPr>
        <w:t xml:space="preserve"> 招标相关补充约定</w:t>
      </w:r>
      <w:bookmarkEnd w:id="373"/>
      <w:bookmarkEnd w:id="374"/>
      <w:bookmarkEnd w:id="375"/>
      <w:bookmarkEnd w:id="376"/>
      <w:bookmarkEnd w:id="377"/>
    </w:p>
    <w:p w14:paraId="3E7D6C28">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41</w:t>
      </w:r>
      <w:r>
        <w:rPr>
          <w:rFonts w:ascii="宋体" w:hAnsi="宋体" w:eastAsia="宋体" w:cs="Times New Roman"/>
          <w:b/>
          <w:color w:val="auto"/>
          <w:szCs w:val="21"/>
          <w:highlight w:val="none"/>
        </w:rPr>
        <w:t>.1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1797C98D">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508C045B">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rPr>
      </w:pPr>
      <w:bookmarkStart w:id="378" w:name="_Toc142508357"/>
      <w:bookmarkStart w:id="379" w:name="_Toc26594"/>
      <w:bookmarkStart w:id="380" w:name="_Toc29758"/>
      <w:bookmarkStart w:id="381" w:name="_Toc195714263"/>
      <w:bookmarkStart w:id="382" w:name="_Toc22346"/>
      <w:r>
        <w:rPr>
          <w:rFonts w:hint="eastAsia" w:ascii="宋体" w:hAnsi="宋体" w:eastAsia="宋体" w:cs="宋体"/>
          <w:color w:val="auto"/>
          <w:szCs w:val="21"/>
          <w:highlight w:val="none"/>
        </w:rPr>
        <w:t>42 本次招标活动的最终解释权归招标代理机构及招标人所有。</w:t>
      </w:r>
      <w:bookmarkEnd w:id="371"/>
      <w:bookmarkEnd w:id="372"/>
      <w:bookmarkEnd w:id="378"/>
      <w:bookmarkEnd w:id="379"/>
      <w:bookmarkEnd w:id="380"/>
      <w:bookmarkEnd w:id="381"/>
      <w:bookmarkEnd w:id="382"/>
    </w:p>
    <w:p w14:paraId="52CDBAE4">
      <w:pPr>
        <w:pageBreakBefore/>
        <w:tabs>
          <w:tab w:val="left" w:pos="1080"/>
        </w:tabs>
        <w:autoSpaceDE w:val="0"/>
        <w:autoSpaceDN w:val="0"/>
        <w:adjustRightInd w:val="0"/>
        <w:spacing w:line="360" w:lineRule="auto"/>
        <w:ind w:left="357" w:leftChars="-100" w:hanging="567"/>
        <w:jc w:val="center"/>
        <w:outlineLvl w:val="1"/>
        <w:rPr>
          <w:rFonts w:ascii="宋体" w:hAnsi="宋体" w:eastAsia="宋体" w:cs="宋体"/>
          <w:b/>
          <w:bCs/>
          <w:color w:val="auto"/>
          <w:kern w:val="44"/>
          <w:sz w:val="32"/>
          <w:szCs w:val="32"/>
          <w:highlight w:val="none"/>
          <w:lang w:val="zh-CN"/>
        </w:rPr>
      </w:pPr>
      <w:bookmarkStart w:id="383" w:name="_Toc195714264"/>
      <w:bookmarkStart w:id="384" w:name="_Toc21446"/>
      <w:bookmarkStart w:id="385" w:name="_Toc27939_WPSOffice_Level1"/>
      <w:bookmarkStart w:id="386" w:name="_Toc21406"/>
      <w:bookmarkStart w:id="387" w:name="_Toc14879"/>
      <w:bookmarkStart w:id="388" w:name="_Toc486167706"/>
      <w:bookmarkStart w:id="389" w:name="_Toc450662891"/>
      <w:bookmarkStart w:id="390" w:name="_Toc142508358"/>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383"/>
      <w:bookmarkEnd w:id="384"/>
      <w:bookmarkEnd w:id="385"/>
      <w:bookmarkEnd w:id="386"/>
      <w:bookmarkEnd w:id="387"/>
      <w:bookmarkEnd w:id="388"/>
      <w:bookmarkEnd w:id="389"/>
      <w:bookmarkEnd w:id="390"/>
    </w:p>
    <w:p w14:paraId="6EFBAF39">
      <w:pPr>
        <w:keepNext w:val="0"/>
        <w:keepLines w:val="0"/>
        <w:widowControl w:val="0"/>
        <w:numPr>
          <w:ilvl w:val="0"/>
          <w:numId w:val="2"/>
        </w:numPr>
        <w:suppressLineNumbers w:val="0"/>
        <w:autoSpaceDE w:val="0"/>
        <w:autoSpaceDN/>
        <w:spacing w:before="0" w:beforeAutospacing="0" w:after="0" w:afterAutospacing="0" w:line="360" w:lineRule="auto"/>
        <w:ind w:left="0" w:right="0" w:firstLine="422" w:firstLineChars="200"/>
        <w:jc w:val="both"/>
        <w:outlineLvl w:val="1"/>
        <w:rPr>
          <w:rFonts w:hint="eastAsia" w:ascii="宋体" w:hAnsi="宋体" w:eastAsia="宋体" w:cs="宋体"/>
          <w:b/>
          <w:bCs w:val="0"/>
          <w:color w:val="auto"/>
          <w:kern w:val="2"/>
          <w:sz w:val="21"/>
          <w:szCs w:val="21"/>
          <w:highlight w:val="none"/>
        </w:rPr>
      </w:pPr>
      <w:bookmarkStart w:id="391" w:name="_Toc18587"/>
      <w:r>
        <w:rPr>
          <w:rFonts w:hint="eastAsia" w:ascii="宋体" w:hAnsi="宋体" w:eastAsia="宋体" w:cs="宋体"/>
          <w:b/>
          <w:bCs w:val="0"/>
          <w:color w:val="auto"/>
          <w:kern w:val="2"/>
          <w:sz w:val="21"/>
          <w:szCs w:val="21"/>
          <w:highlight w:val="none"/>
          <w:lang w:val="en-US" w:eastAsia="zh-CN" w:bidi="ar"/>
        </w:rPr>
        <w:t>项目概况</w:t>
      </w:r>
      <w:bookmarkEnd w:id="391"/>
    </w:p>
    <w:p w14:paraId="54394B3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为</w:t>
      </w:r>
      <w:r>
        <w:rPr>
          <w:rFonts w:hint="eastAsia" w:ascii="宋体" w:hAnsi="宋体" w:eastAsia="宋体" w:cs="宋体"/>
          <w:i w:val="0"/>
          <w:iCs w:val="0"/>
          <w:caps w:val="0"/>
          <w:color w:val="auto"/>
          <w:spacing w:val="4"/>
          <w:kern w:val="2"/>
          <w:sz w:val="21"/>
          <w:szCs w:val="21"/>
          <w:highlight w:val="none"/>
          <w:shd w:val="clear" w:fill="FFFFFF"/>
          <w:lang w:val="en-US" w:eastAsia="zh-CN" w:bidi="ar"/>
        </w:rPr>
        <w:t>保障水务集团项目建设、运营及维修工作的顺利开展，确保选定综合实力强、业务水平高，并满足水务集团长期服务需求的造价咨询服务单位，以有利于工作的连续性和稳定性，开展水务集团造价咨询服务单位库服务单位采购工作。</w:t>
      </w:r>
    </w:p>
    <w:p w14:paraId="74531832">
      <w:pPr>
        <w:keepNext w:val="0"/>
        <w:keepLines w:val="0"/>
        <w:widowControl w:val="0"/>
        <w:numPr>
          <w:ilvl w:val="0"/>
          <w:numId w:val="2"/>
        </w:numPr>
        <w:suppressLineNumbers w:val="0"/>
        <w:spacing w:before="0" w:beforeAutospacing="0" w:after="0" w:afterAutospacing="0" w:line="360" w:lineRule="auto"/>
        <w:ind w:left="0" w:right="0" w:firstLine="422" w:firstLineChars="200"/>
        <w:jc w:val="both"/>
        <w:outlineLvl w:val="1"/>
        <w:rPr>
          <w:rFonts w:hint="eastAsia" w:ascii="宋体" w:hAnsi="宋体" w:eastAsia="宋体" w:cs="宋体"/>
          <w:b/>
          <w:bCs/>
          <w:color w:val="auto"/>
          <w:kern w:val="2"/>
          <w:sz w:val="21"/>
          <w:szCs w:val="21"/>
          <w:highlight w:val="none"/>
        </w:rPr>
      </w:pPr>
      <w:bookmarkStart w:id="392" w:name="_Toc21096"/>
      <w:r>
        <w:rPr>
          <w:rFonts w:hint="eastAsia" w:ascii="宋体" w:hAnsi="宋体" w:eastAsia="宋体" w:cs="宋体"/>
          <w:b/>
          <w:bCs w:val="0"/>
          <w:color w:val="auto"/>
          <w:kern w:val="2"/>
          <w:sz w:val="21"/>
          <w:szCs w:val="21"/>
          <w:highlight w:val="none"/>
          <w:lang w:val="en-US" w:eastAsia="zh-CN" w:bidi="ar"/>
        </w:rPr>
        <w:t>服务期限</w:t>
      </w:r>
      <w:r>
        <w:rPr>
          <w:rFonts w:hint="eastAsia" w:ascii="宋体" w:hAnsi="宋体" w:eastAsia="宋体" w:cs="宋体"/>
          <w:b/>
          <w:bCs/>
          <w:color w:val="auto"/>
          <w:kern w:val="2"/>
          <w:sz w:val="21"/>
          <w:szCs w:val="21"/>
          <w:highlight w:val="none"/>
          <w:lang w:val="en-US" w:eastAsia="zh-CN" w:bidi="ar"/>
        </w:rPr>
        <w:t>及服务内容</w:t>
      </w:r>
      <w:bookmarkEnd w:id="392"/>
    </w:p>
    <w:p w14:paraId="3C64EA6B">
      <w:pPr>
        <w:keepNext w:val="0"/>
        <w:keepLines w:val="0"/>
        <w:widowControl w:val="0"/>
        <w:suppressLineNumbers w:val="0"/>
        <w:spacing w:before="0" w:beforeAutospacing="0" w:after="0" w:afterAutospacing="0" w:line="360" w:lineRule="auto"/>
        <w:ind w:left="0" w:right="0" w:firstLine="476" w:firstLineChars="227"/>
        <w:jc w:val="both"/>
        <w:rPr>
          <w:rFonts w:hint="eastAsia" w:ascii="宋体" w:hAnsi="宋体" w:eastAsia="宋体" w:cs="宋体"/>
          <w:b/>
          <w:bCs w:val="0"/>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 服务期限：本合同项下供应商库服务期自中标通知书签发之日起2年。</w:t>
      </w:r>
    </w:p>
    <w:p w14:paraId="14AC71D4">
      <w:pPr>
        <w:pStyle w:val="39"/>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2.2 </w:t>
      </w:r>
      <w:r>
        <w:rPr>
          <w:rFonts w:hint="eastAsia" w:ascii="宋体" w:hAnsi="宋体" w:eastAsia="宋体" w:cs="宋体"/>
          <w:color w:val="auto"/>
          <w:spacing w:val="4"/>
          <w:kern w:val="2"/>
          <w:sz w:val="21"/>
          <w:szCs w:val="21"/>
          <w:highlight w:val="none"/>
          <w:shd w:val="clear" w:fill="FFFFFF"/>
          <w:lang w:val="en-US" w:eastAsia="zh-CN" w:bidi="ar"/>
        </w:rPr>
        <w:t>本项目由东莞市水务集团有限公司作为招标人采用统招分签模式，采购 8 家造价咨询服务单位，组成集团造价咨询服务单位库，其中 6 家日常使用单位，2 家候补单位，由甲方各直属企业根据实际工作需要，分别与库内服务单位签订合同</w:t>
      </w:r>
      <w:r>
        <w:rPr>
          <w:rFonts w:hint="eastAsia" w:ascii="宋体" w:hAnsi="宋体" w:eastAsia="宋体" w:cs="宋体"/>
          <w:color w:val="auto"/>
          <w:kern w:val="2"/>
          <w:sz w:val="21"/>
          <w:szCs w:val="21"/>
          <w:highlight w:val="none"/>
          <w:lang w:val="en-US" w:eastAsia="zh-CN" w:bidi="ar"/>
        </w:rPr>
        <w:t>，具体如下：</w:t>
      </w:r>
    </w:p>
    <w:p w14:paraId="61D590B8">
      <w:pPr>
        <w:keepNext w:val="0"/>
        <w:keepLines w:val="0"/>
        <w:widowControl/>
        <w:suppressLineNumbers w:val="0"/>
        <w:topLinePunct/>
        <w:autoSpaceDE w:val="0"/>
        <w:autoSpaceDN/>
        <w:adjustRightInd w:val="0"/>
        <w:snapToGrid w:val="0"/>
        <w:spacing w:before="0" w:beforeAutospacing="0" w:after="0" w:afterAutospacing="0" w:line="360" w:lineRule="auto"/>
        <w:ind w:left="0" w:right="417" w:firstLine="559"/>
        <w:jc w:val="left"/>
        <w:textAlignment w:val="baseline"/>
        <w:rPr>
          <w:rFonts w:hint="eastAsia" w:ascii="宋体" w:hAnsi="宋体" w:eastAsia="宋体" w:cs="宋体"/>
          <w:color w:val="auto"/>
          <w:spacing w:val="0"/>
          <w:kern w:val="0"/>
          <w:sz w:val="21"/>
          <w:szCs w:val="21"/>
          <w:highlight w:val="none"/>
          <w:vertAlign w:val="baseline"/>
        </w:rPr>
      </w:pPr>
      <w:r>
        <w:rPr>
          <w:rFonts w:hint="eastAsia" w:ascii="宋体" w:hAnsi="宋体" w:eastAsia="宋体" w:cs="宋体"/>
          <w:color w:val="auto"/>
          <w:spacing w:val="0"/>
          <w:kern w:val="0"/>
          <w:sz w:val="21"/>
          <w:szCs w:val="21"/>
          <w:highlight w:val="none"/>
          <w:vertAlign w:val="baseline"/>
          <w:lang w:val="en-US" w:eastAsia="zh-CN" w:bidi="ar"/>
        </w:rPr>
        <w:t>（1）根据国家、省、市有关工程造价相关法律法规，科学、客观、公正开展造价咨询服务工作；按招标人要求及其制度按时按质提供成果资料，并对其真实性、准确性、完整性、合法性、合理性负责；</w:t>
      </w:r>
    </w:p>
    <w:p w14:paraId="7FB1873A">
      <w:pPr>
        <w:keepNext w:val="0"/>
        <w:keepLines w:val="0"/>
        <w:widowControl/>
        <w:suppressLineNumbers w:val="0"/>
        <w:topLinePunct/>
        <w:autoSpaceDE w:val="0"/>
        <w:autoSpaceDN/>
        <w:adjustRightInd w:val="0"/>
        <w:snapToGrid w:val="0"/>
        <w:spacing w:before="0" w:beforeAutospacing="0" w:after="0" w:afterAutospacing="0" w:line="360" w:lineRule="auto"/>
        <w:ind w:left="0" w:right="408" w:firstLine="559"/>
        <w:jc w:val="left"/>
        <w:textAlignment w:val="baseline"/>
        <w:rPr>
          <w:rFonts w:hint="eastAsia" w:ascii="宋体" w:hAnsi="宋体" w:eastAsia="宋体" w:cs="宋体"/>
          <w:color w:val="auto"/>
          <w:spacing w:val="0"/>
          <w:kern w:val="0"/>
          <w:sz w:val="21"/>
          <w:szCs w:val="21"/>
          <w:highlight w:val="none"/>
          <w:vertAlign w:val="baseline"/>
        </w:rPr>
      </w:pPr>
      <w:r>
        <w:rPr>
          <w:rFonts w:hint="eastAsia" w:ascii="宋体" w:hAnsi="宋体" w:eastAsia="宋体" w:cs="宋体"/>
          <w:color w:val="auto"/>
          <w:spacing w:val="0"/>
          <w:kern w:val="0"/>
          <w:sz w:val="21"/>
          <w:szCs w:val="21"/>
          <w:highlight w:val="none"/>
          <w:vertAlign w:val="baseline"/>
          <w:lang w:val="en-US" w:eastAsia="zh-CN" w:bidi="ar"/>
        </w:rPr>
        <w:t>（2）根据招标人要求和提供的资料完成估算、概算编制或审核，施工图预算编制或审核，招标控制价编制，变更预算编制或审核，工程结算编制或审核，施工阶段全过程造价控制，以及非工程类的货物采购、服务类项目的预算编审、合同结算、变更的编审等造价咨询业务，并出具成果文件；</w:t>
      </w:r>
    </w:p>
    <w:p w14:paraId="42A93FCA">
      <w:pPr>
        <w:keepNext w:val="0"/>
        <w:keepLines w:val="0"/>
        <w:widowControl/>
        <w:suppressLineNumbers w:val="0"/>
        <w:topLinePunct/>
        <w:autoSpaceDE w:val="0"/>
        <w:autoSpaceDN/>
        <w:adjustRightInd w:val="0"/>
        <w:snapToGrid w:val="0"/>
        <w:spacing w:before="0" w:beforeAutospacing="0" w:after="0" w:afterAutospacing="0" w:line="360" w:lineRule="auto"/>
        <w:ind w:left="559" w:right="0"/>
        <w:jc w:val="left"/>
        <w:textAlignment w:val="baseline"/>
        <w:outlineLvl w:val="2"/>
        <w:rPr>
          <w:rFonts w:hint="eastAsia" w:ascii="宋体" w:hAnsi="宋体" w:eastAsia="宋体" w:cs="宋体"/>
          <w:color w:val="auto"/>
          <w:spacing w:val="0"/>
          <w:kern w:val="0"/>
          <w:sz w:val="21"/>
          <w:szCs w:val="21"/>
          <w:highlight w:val="none"/>
          <w:vertAlign w:val="baseline"/>
        </w:rPr>
      </w:pPr>
      <w:bookmarkStart w:id="393" w:name="_Toc18090"/>
      <w:r>
        <w:rPr>
          <w:rFonts w:hint="eastAsia" w:ascii="宋体" w:hAnsi="宋体" w:eastAsia="宋体" w:cs="宋体"/>
          <w:color w:val="auto"/>
          <w:spacing w:val="0"/>
          <w:kern w:val="0"/>
          <w:sz w:val="21"/>
          <w:szCs w:val="21"/>
          <w:highlight w:val="none"/>
          <w:vertAlign w:val="baseline"/>
          <w:lang w:val="en-US" w:eastAsia="zh-CN" w:bidi="ar"/>
        </w:rPr>
        <w:t>（3）对工作内容保密，</w:t>
      </w:r>
      <w:r>
        <w:rPr>
          <w:rFonts w:hint="eastAsia" w:ascii="宋体" w:hAnsi="宋体" w:eastAsia="宋体" w:cs="宋体"/>
          <w:color w:val="auto"/>
          <w:kern w:val="0"/>
          <w:sz w:val="21"/>
          <w:szCs w:val="21"/>
          <w:highlight w:val="none"/>
          <w:lang w:val="en-US" w:eastAsia="zh-CN" w:bidi="ar"/>
        </w:rPr>
        <w:t>中标人不得将招标人委派的工作交由他人完成</w:t>
      </w:r>
      <w:r>
        <w:rPr>
          <w:rFonts w:hint="eastAsia" w:ascii="宋体" w:hAnsi="宋体" w:eastAsia="宋体" w:cs="宋体"/>
          <w:color w:val="auto"/>
          <w:spacing w:val="0"/>
          <w:kern w:val="0"/>
          <w:sz w:val="21"/>
          <w:szCs w:val="21"/>
          <w:highlight w:val="none"/>
          <w:vertAlign w:val="baseline"/>
          <w:lang w:val="en-US" w:eastAsia="zh-CN" w:bidi="ar"/>
        </w:rPr>
        <w:t>；</w:t>
      </w:r>
      <w:bookmarkEnd w:id="393"/>
    </w:p>
    <w:p w14:paraId="497B5F0A">
      <w:pPr>
        <w:pStyle w:val="39"/>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i w:val="0"/>
          <w:iCs w:val="0"/>
          <w:caps w:val="0"/>
          <w:color w:val="auto"/>
          <w:spacing w:val="4"/>
          <w:kern w:val="2"/>
          <w:sz w:val="21"/>
          <w:szCs w:val="21"/>
          <w:highlight w:val="none"/>
          <w:shd w:val="clear" w:fill="FFFFFF"/>
        </w:rPr>
      </w:pPr>
      <w:r>
        <w:rPr>
          <w:rFonts w:hint="eastAsia" w:ascii="宋体" w:hAnsi="宋体" w:eastAsia="宋体" w:cs="宋体"/>
          <w:color w:val="auto"/>
          <w:kern w:val="2"/>
          <w:sz w:val="21"/>
          <w:szCs w:val="21"/>
          <w:highlight w:val="none"/>
          <w:lang w:val="en-US" w:eastAsia="zh-CN" w:bidi="ar"/>
        </w:rPr>
        <w:t>（4）本项目采购符合相关要求的服务单位 8 家（ 6 家日常使用单位，2 家候补单位），本次招标不接受联合体投标</w:t>
      </w:r>
      <w:r>
        <w:rPr>
          <w:rFonts w:hint="eastAsia" w:ascii="宋体" w:hAnsi="宋体" w:eastAsia="宋体" w:cs="宋体"/>
          <w:i w:val="0"/>
          <w:iCs w:val="0"/>
          <w:caps w:val="0"/>
          <w:color w:val="auto"/>
          <w:spacing w:val="4"/>
          <w:kern w:val="2"/>
          <w:sz w:val="21"/>
          <w:szCs w:val="21"/>
          <w:highlight w:val="none"/>
          <w:shd w:val="clear" w:fill="FFFFFF"/>
          <w:lang w:val="en-US" w:eastAsia="zh-CN" w:bidi="ar"/>
        </w:rPr>
        <w:t>；</w:t>
      </w:r>
    </w:p>
    <w:p w14:paraId="29B2C833">
      <w:pPr>
        <w:pStyle w:val="39"/>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（5）本项目仅作为中标人在协议服务期限内取得招标人分配具体单项项目的资格，并不代表中标人必然取得具体单项项目服务的权利。</w:t>
      </w:r>
    </w:p>
    <w:p w14:paraId="43CF39CA">
      <w:pPr>
        <w:pStyle w:val="39"/>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（6）单项服务合同签订后，作为本合同的附件，与本合同具有同等法律效力。项目单项服务合同及本合同应被认为是互为补充和解释的，本合同内容与单项服务合同内容相冲突的，以单项服务合同为准。</w:t>
      </w:r>
    </w:p>
    <w:p w14:paraId="1E1DA756">
      <w:pPr>
        <w:pStyle w:val="39"/>
        <w:keepNext w:val="0"/>
        <w:keepLines w:val="0"/>
        <w:widowControl w:val="0"/>
        <w:suppressLineNumbers w:val="0"/>
        <w:spacing w:before="0" w:beforeAutospacing="0" w:after="0" w:afterAutospacing="0"/>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77A52E26">
      <w:pPr>
        <w:pStyle w:val="39"/>
        <w:keepNext w:val="0"/>
        <w:keepLines w:val="0"/>
        <w:widowControl w:val="0"/>
        <w:suppressLineNumbers w:val="0"/>
        <w:spacing w:before="0" w:beforeAutospacing="0" w:after="0" w:afterAutospacing="0" w:line="360" w:lineRule="auto"/>
        <w:ind w:left="426"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2.3 中标人应本着诚实信用的原则，高效率的提供本用户需求书规定的各项服务。</w:t>
      </w:r>
    </w:p>
    <w:p w14:paraId="6B29FCEB">
      <w:pPr>
        <w:keepNext w:val="0"/>
        <w:keepLines w:val="0"/>
        <w:widowControl w:val="0"/>
        <w:numPr>
          <w:ilvl w:val="0"/>
          <w:numId w:val="2"/>
        </w:numPr>
        <w:suppressLineNumbers w:val="0"/>
        <w:spacing w:before="0" w:beforeAutospacing="0" w:after="0" w:afterAutospacing="0" w:line="360" w:lineRule="auto"/>
        <w:ind w:left="0" w:right="0" w:firstLine="422" w:firstLineChars="200"/>
        <w:jc w:val="both"/>
        <w:outlineLvl w:val="1"/>
        <w:rPr>
          <w:rFonts w:hint="eastAsia" w:ascii="宋体" w:hAnsi="宋体" w:eastAsia="宋体" w:cs="宋体"/>
          <w:b/>
          <w:bCs/>
          <w:color w:val="auto"/>
          <w:kern w:val="2"/>
          <w:sz w:val="21"/>
          <w:szCs w:val="21"/>
          <w:highlight w:val="none"/>
        </w:rPr>
      </w:pPr>
      <w:bookmarkStart w:id="394" w:name="_Toc4374"/>
      <w:r>
        <w:rPr>
          <w:rFonts w:hint="eastAsia" w:ascii="宋体" w:hAnsi="宋体" w:eastAsia="宋体" w:cs="宋体"/>
          <w:b/>
          <w:bCs/>
          <w:color w:val="auto"/>
          <w:kern w:val="2"/>
          <w:sz w:val="21"/>
          <w:szCs w:val="21"/>
          <w:highlight w:val="none"/>
          <w:lang w:val="en-US" w:eastAsia="zh-CN" w:bidi="ar"/>
        </w:rPr>
        <w:t>服务费的计算及支付方式</w:t>
      </w:r>
      <w:bookmarkEnd w:id="394"/>
    </w:p>
    <w:p w14:paraId="03CE1E59">
      <w:pPr>
        <w:pStyle w:val="54"/>
        <w:autoSpaceDE/>
        <w:autoSpaceDN/>
        <w:ind w:firstLine="420" w:firstLineChars="200"/>
        <w:rPr>
          <w:rFonts w:hint="default" w:hAnsi="宋体" w:cs="宋体"/>
          <w:bCs w:val="0"/>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bidi="ar"/>
        </w:rPr>
        <w:t>3.1 单项造价咨询服务费参照《广东省物价局关于调整我省建设工程造价咨询服务收费的复函（粤价函〔2011〕742号）》计费标准再乘以服务折扣系数0.8计算，详细计费方式见下表</w:t>
      </w:r>
      <w:r>
        <w:rPr>
          <w:rFonts w:hint="eastAsia" w:hAnsi="宋体" w:cs="宋体"/>
          <w:bCs w:val="0"/>
          <w:color w:val="auto"/>
          <w:kern w:val="2"/>
          <w:sz w:val="21"/>
          <w:szCs w:val="21"/>
          <w:highlight w:val="none"/>
          <w:lang w:val="en-US" w:eastAsia="zh-CN" w:bidi="ar"/>
        </w:rPr>
        <w:t>。</w:t>
      </w:r>
    </w:p>
    <w:tbl>
      <w:tblPr>
        <w:tblStyle w:val="4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89"/>
        <w:gridCol w:w="8279"/>
      </w:tblGrid>
      <w:tr w14:paraId="0B46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14:paraId="6344D265">
            <w:pPr>
              <w:pStyle w:val="39"/>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项目类型</w:t>
            </w:r>
          </w:p>
        </w:tc>
        <w:tc>
          <w:tcPr>
            <w:tcW w:w="3992" w:type="pct"/>
            <w:tcBorders>
              <w:top w:val="single" w:color="auto" w:sz="4" w:space="0"/>
              <w:left w:val="single" w:color="auto" w:sz="4" w:space="0"/>
              <w:bottom w:val="single" w:color="auto" w:sz="4" w:space="0"/>
              <w:right w:val="single" w:color="auto" w:sz="4" w:space="0"/>
            </w:tcBorders>
            <w:shd w:val="clear" w:color="auto" w:fill="auto"/>
            <w:vAlign w:val="center"/>
          </w:tcPr>
          <w:p w14:paraId="6D897673">
            <w:pPr>
              <w:pStyle w:val="39"/>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计费方式</w:t>
            </w:r>
          </w:p>
        </w:tc>
      </w:tr>
      <w:tr w14:paraId="72326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14:paraId="5D469AF2">
            <w:pPr>
              <w:pStyle w:val="39"/>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投资估算、设计概算</w:t>
            </w:r>
          </w:p>
        </w:tc>
        <w:tc>
          <w:tcPr>
            <w:tcW w:w="3992" w:type="pct"/>
            <w:tcBorders>
              <w:top w:val="single" w:color="auto" w:sz="4" w:space="0"/>
              <w:left w:val="single" w:color="auto" w:sz="4" w:space="0"/>
              <w:bottom w:val="single" w:color="auto" w:sz="4" w:space="0"/>
              <w:right w:val="single" w:color="auto" w:sz="4" w:space="0"/>
            </w:tcBorders>
            <w:shd w:val="clear" w:color="auto" w:fill="auto"/>
            <w:vAlign w:val="center"/>
          </w:tcPr>
          <w:p w14:paraId="571E5082">
            <w:pPr>
              <w:pStyle w:val="39"/>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按《广东省建设工程造价咨询服务收费标准》（粤价函〔2011〕742号）。</w:t>
            </w:r>
          </w:p>
        </w:tc>
      </w:tr>
      <w:tr w14:paraId="3532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14:paraId="2C996721">
            <w:pPr>
              <w:pStyle w:val="39"/>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工程招标控制价</w:t>
            </w:r>
          </w:p>
        </w:tc>
        <w:tc>
          <w:tcPr>
            <w:tcW w:w="3992" w:type="pct"/>
            <w:tcBorders>
              <w:top w:val="single" w:color="auto" w:sz="4" w:space="0"/>
              <w:left w:val="single" w:color="auto" w:sz="4" w:space="0"/>
              <w:bottom w:val="single" w:color="auto" w:sz="4" w:space="0"/>
              <w:right w:val="single" w:color="auto" w:sz="4" w:space="0"/>
            </w:tcBorders>
            <w:shd w:val="clear" w:color="auto" w:fill="auto"/>
            <w:vAlign w:val="center"/>
          </w:tcPr>
          <w:p w14:paraId="4E6CAEB5">
            <w:pPr>
              <w:pStyle w:val="39"/>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以工程招标控制价为基数，按《广东省建设工程造价咨询服务收费标准》（粤价函〔2011〕742号）中“单独编制或审核工程量清单”和“单独编制或审核预算造价”两部分标准。</w:t>
            </w:r>
          </w:p>
        </w:tc>
      </w:tr>
      <w:tr w14:paraId="7D09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14:paraId="5D45F017">
            <w:pPr>
              <w:pStyle w:val="39"/>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施工图预算</w:t>
            </w:r>
          </w:p>
        </w:tc>
        <w:tc>
          <w:tcPr>
            <w:tcW w:w="3992" w:type="pct"/>
            <w:tcBorders>
              <w:top w:val="single" w:color="auto" w:sz="4" w:space="0"/>
              <w:left w:val="single" w:color="auto" w:sz="4" w:space="0"/>
              <w:bottom w:val="single" w:color="auto" w:sz="4" w:space="0"/>
              <w:right w:val="single" w:color="auto" w:sz="4" w:space="0"/>
            </w:tcBorders>
            <w:shd w:val="clear" w:color="auto" w:fill="auto"/>
            <w:vAlign w:val="center"/>
          </w:tcPr>
          <w:p w14:paraId="7D561A6C">
            <w:pPr>
              <w:pStyle w:val="39"/>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以施工图预算价为基数，按《广东省建设工程造价咨询服务收费标准》（粤价函〔2011〕742号）中“单独编制或审核工程量清单”和“单独编制或审核预算造价”两部分标准。</w:t>
            </w:r>
          </w:p>
        </w:tc>
      </w:tr>
      <w:tr w14:paraId="7A38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4" w:hRule="atLeast"/>
          <w:jc w:val="center"/>
        </w:trPr>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14:paraId="08DCF952">
            <w:pPr>
              <w:pStyle w:val="39"/>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货物招标控制价、服务招标控制价</w:t>
            </w:r>
          </w:p>
        </w:tc>
        <w:tc>
          <w:tcPr>
            <w:tcW w:w="3992" w:type="pct"/>
            <w:tcBorders>
              <w:top w:val="single" w:color="auto" w:sz="4" w:space="0"/>
              <w:left w:val="single" w:color="auto" w:sz="4" w:space="0"/>
              <w:bottom w:val="single" w:color="auto" w:sz="4" w:space="0"/>
              <w:right w:val="single" w:color="auto" w:sz="4" w:space="0"/>
            </w:tcBorders>
            <w:shd w:val="clear" w:color="auto" w:fill="auto"/>
            <w:vAlign w:val="center"/>
          </w:tcPr>
          <w:p w14:paraId="7AF3E8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一、非工程类货物采购、服务类项目的预算编审以单个委托单的清单条数为基准，按200元/条计算，造价咨询费等于清单条数×200元/条，每单不足2000元按2000元，再乘以服务折扣系数；同时，单个委托单最高收费不超过按《广东省建设工程造价咨询服务收费标准》(粤价函(2011)742号)中“单独编制或审核预算造价”相应的收费标准计出的费用。如遇特殊情况双方另行协商确定。</w:t>
            </w:r>
          </w:p>
          <w:p w14:paraId="65994E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二、设备购置费用占工程总造价超过40%的项目造价咨询费计费规则：（1）估算及概算审核造价咨询费用：以设备购置费的40%、建筑安装工程费及二、三类费用之和为计费基数，</w:t>
            </w:r>
            <w:r>
              <w:rPr>
                <w:rFonts w:hint="eastAsia" w:ascii="宋体" w:hAnsi="宋体" w:eastAsia="宋体" w:cs="宋体"/>
                <w:color w:val="auto"/>
                <w:kern w:val="2"/>
                <w:sz w:val="21"/>
                <w:szCs w:val="21"/>
                <w:highlight w:val="none"/>
                <w:lang w:val="en-US" w:eastAsia="zh-CN" w:bidi="ar"/>
              </w:rPr>
              <w:t>按《广东省建设工程造价咨询服务收费标准》(粤价函(2011)742号)中“可研估算的编制或审核”及“工程概算的编制或审核”对应标准</w:t>
            </w:r>
            <w:r>
              <w:rPr>
                <w:rFonts w:hint="eastAsia"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2）预算编制造价咨询费：以设备购置费的40%与建筑安装工程费之和为计费基数，按《广东省建设工程造价咨询服务收费标准》(粤价函(2011)742号)中“单独编制或审核工程量清单”和“单独编制或审核预算造价”两部分标准。</w:t>
            </w:r>
          </w:p>
        </w:tc>
      </w:tr>
      <w:tr w14:paraId="5E5F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14:paraId="62589A28">
            <w:pPr>
              <w:pStyle w:val="39"/>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工程变更预算</w:t>
            </w:r>
          </w:p>
        </w:tc>
        <w:tc>
          <w:tcPr>
            <w:tcW w:w="3992" w:type="pct"/>
            <w:tcBorders>
              <w:top w:val="single" w:color="auto" w:sz="4" w:space="0"/>
              <w:left w:val="single" w:color="auto" w:sz="4" w:space="0"/>
              <w:bottom w:val="single" w:color="auto" w:sz="4" w:space="0"/>
              <w:right w:val="single" w:color="auto" w:sz="4" w:space="0"/>
            </w:tcBorders>
            <w:shd w:val="clear" w:color="auto" w:fill="auto"/>
            <w:vAlign w:val="center"/>
          </w:tcPr>
          <w:p w14:paraId="777B53F1">
            <w:pPr>
              <w:pStyle w:val="39"/>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套用《广东省建设工程造价咨询服务收费标准》（粤价函〔2011〕742号）中“单独编制或审核工程量清单”和“单独编制或审核预算造价”两部分标准计算。其中（1）“单独编制或审核工程量清单”按“│变更前│+│变更后│”的审核金额作为收费基数；（2）“单独编制或审核预算造价”计算咨询费的收费基数为｜变更后｜的审核金额。</w:t>
            </w:r>
          </w:p>
        </w:tc>
      </w:tr>
      <w:tr w14:paraId="7C91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14:paraId="168829F5">
            <w:pPr>
              <w:pStyle w:val="39"/>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施工合同结算</w:t>
            </w:r>
          </w:p>
        </w:tc>
        <w:tc>
          <w:tcPr>
            <w:tcW w:w="3992" w:type="pct"/>
            <w:tcBorders>
              <w:top w:val="single" w:color="auto" w:sz="4" w:space="0"/>
              <w:left w:val="single" w:color="auto" w:sz="4" w:space="0"/>
              <w:bottom w:val="single" w:color="auto" w:sz="4" w:space="0"/>
              <w:right w:val="single" w:color="auto" w:sz="4" w:space="0"/>
            </w:tcBorders>
            <w:shd w:val="clear" w:color="auto" w:fill="auto"/>
            <w:vAlign w:val="center"/>
          </w:tcPr>
          <w:p w14:paraId="722CDFD6">
            <w:pPr>
              <w:pStyle w:val="39"/>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一、总价包干合同：（1）原合同价部分不参与计算；（2）工程量偏差部分以送审金额为基数，按《广东省建设工程造价咨询服务收费标准》（粤价函〔2011〕742号）中“单独编制或审核工程量清单”标准计算</w:t>
            </w:r>
            <w:r>
              <w:rPr>
                <w:rFonts w:hint="eastAsia" w:eastAsia="宋体" w:cs="宋体"/>
                <w:color w:val="auto"/>
                <w:kern w:val="2"/>
                <w:sz w:val="21"/>
                <w:szCs w:val="21"/>
                <w:highlight w:val="none"/>
                <w:lang w:val="en-US" w:eastAsia="zh-CN" w:bidi="ar"/>
              </w:rPr>
              <w:t>，再乘以服务折扣系数</w:t>
            </w:r>
            <w:r>
              <w:rPr>
                <w:rFonts w:hint="eastAsia" w:ascii="宋体" w:hAnsi="宋体" w:eastAsia="宋体" w:cs="宋体"/>
                <w:color w:val="auto"/>
                <w:kern w:val="2"/>
                <w:sz w:val="21"/>
                <w:szCs w:val="21"/>
                <w:highlight w:val="none"/>
                <w:lang w:val="en-US" w:eastAsia="zh-CN" w:bidi="ar"/>
              </w:rPr>
              <w:t>，无需通过计算即可判断是否属于工程量偏差的情况按2000元</w:t>
            </w:r>
            <w:r>
              <w:rPr>
                <w:rFonts w:hint="eastAsia" w:eastAsia="宋体" w:cs="宋体"/>
                <w:color w:val="auto"/>
                <w:kern w:val="2"/>
                <w:sz w:val="21"/>
                <w:szCs w:val="21"/>
                <w:highlight w:val="none"/>
                <w:lang w:val="en-US" w:eastAsia="zh-CN" w:bidi="ar"/>
              </w:rPr>
              <w:t>，再乘以服务折扣系数</w:t>
            </w:r>
            <w:r>
              <w:rPr>
                <w:rFonts w:hint="eastAsia" w:ascii="宋体" w:hAnsi="宋体" w:eastAsia="宋体" w:cs="宋体"/>
                <w:color w:val="auto"/>
                <w:kern w:val="2"/>
                <w:sz w:val="21"/>
                <w:szCs w:val="21"/>
                <w:highlight w:val="none"/>
                <w:lang w:val="en-US" w:eastAsia="zh-CN" w:bidi="ar"/>
              </w:rPr>
              <w:t>；（3）合同内工程量清单虚增工程量，按核减金额的5%计</w:t>
            </w:r>
            <w:r>
              <w:rPr>
                <w:rFonts w:hint="default" w:ascii="宋体" w:hAnsi="宋体" w:eastAsia="宋体" w:cs="宋体"/>
                <w:color w:val="auto"/>
                <w:kern w:val="2"/>
                <w:sz w:val="21"/>
                <w:szCs w:val="21"/>
                <w:highlight w:val="none"/>
                <w:lang w:val="en-US" w:eastAsia="zh-CN" w:bidi="ar"/>
              </w:rPr>
              <w:t>费</w:t>
            </w:r>
            <w:r>
              <w:rPr>
                <w:rFonts w:hint="eastAsia" w:eastAsia="宋体" w:cs="宋体"/>
                <w:color w:val="auto"/>
                <w:kern w:val="2"/>
                <w:sz w:val="21"/>
                <w:szCs w:val="21"/>
                <w:highlight w:val="none"/>
                <w:lang w:val="en-US" w:eastAsia="zh-CN" w:bidi="ar"/>
              </w:rPr>
              <w:t>，再乘以服务折扣系数</w:t>
            </w:r>
            <w:r>
              <w:rPr>
                <w:rFonts w:hint="eastAsia" w:ascii="宋体" w:hAnsi="宋体" w:eastAsia="宋体" w:cs="宋体"/>
                <w:color w:val="auto"/>
                <w:kern w:val="2"/>
                <w:sz w:val="21"/>
                <w:szCs w:val="21"/>
                <w:highlight w:val="none"/>
                <w:lang w:val="en-US" w:eastAsia="zh-CN" w:bidi="ar"/>
              </w:rPr>
              <w:t>；（4）工程变更部分执行本表“工程变更预算”规则；（5）合同约定按实结算部分，原合同暂定费用不参与计算；（6）材差部分、赶工措施费部分及相关违约费用均不计费。</w:t>
            </w:r>
          </w:p>
          <w:p w14:paraId="6A1DBF8C">
            <w:pPr>
              <w:pStyle w:val="39"/>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二、非总价包干合同：按《广东省建设工程造价咨询服务收费标准》（粤价函〔2011〕742号）中的“工程结算审核”标准计算。</w:t>
            </w:r>
          </w:p>
        </w:tc>
      </w:tr>
      <w:tr w14:paraId="51F6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14:paraId="06FBC768">
            <w:pPr>
              <w:pStyle w:val="39"/>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货物合同结算、服务合同结算</w:t>
            </w:r>
          </w:p>
        </w:tc>
        <w:tc>
          <w:tcPr>
            <w:tcW w:w="3992" w:type="pct"/>
            <w:tcBorders>
              <w:top w:val="single" w:color="auto" w:sz="4" w:space="0"/>
              <w:left w:val="single" w:color="auto" w:sz="4" w:space="0"/>
              <w:bottom w:val="single" w:color="auto" w:sz="4" w:space="0"/>
              <w:right w:val="single" w:color="auto" w:sz="4" w:space="0"/>
            </w:tcBorders>
            <w:shd w:val="clear" w:color="auto" w:fill="auto"/>
            <w:vAlign w:val="center"/>
          </w:tcPr>
          <w:p w14:paraId="44296038">
            <w:pPr>
              <w:pStyle w:val="39"/>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0"/>
                <w:sz w:val="21"/>
                <w:szCs w:val="21"/>
                <w:highlight w:val="none"/>
                <w:lang w:val="en-US" w:eastAsia="zh-CN" w:bidi="ar"/>
              </w:rPr>
              <w:t>货物合同结算、服务合同结算，以单个项目计算，每单2000元，再乘以服务折扣系数。</w:t>
            </w:r>
          </w:p>
        </w:tc>
      </w:tr>
    </w:tbl>
    <w:p w14:paraId="4263185A">
      <w:pPr>
        <w:pStyle w:val="39"/>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50050A6C">
      <w:pPr>
        <w:keepNext w:val="0"/>
        <w:keepLines w:val="0"/>
        <w:widowControl/>
        <w:suppressLineNumbers w:val="0"/>
        <w:topLinePunct/>
        <w:autoSpaceDE w:val="0"/>
        <w:autoSpaceDN/>
        <w:adjustRightInd w:val="0"/>
        <w:snapToGrid w:val="0"/>
        <w:spacing w:before="0" w:beforeAutospacing="0" w:after="0" w:afterAutospacing="0" w:line="360" w:lineRule="auto"/>
        <w:ind w:left="0" w:right="435" w:firstLine="429"/>
        <w:jc w:val="both"/>
        <w:textAlignment w:val="baseline"/>
        <w:outlineLvl w:val="3"/>
        <w:rPr>
          <w:rFonts w:hint="eastAsia" w:ascii="宋体" w:hAnsi="宋体" w:eastAsia="宋体" w:cs="宋体"/>
          <w:color w:val="auto"/>
          <w:spacing w:val="0"/>
          <w:kern w:val="0"/>
          <w:sz w:val="21"/>
          <w:szCs w:val="21"/>
          <w:highlight w:val="none"/>
          <w:vertAlign w:val="baseline"/>
        </w:rPr>
      </w:pPr>
      <w:bookmarkStart w:id="395" w:name="_Toc26534"/>
      <w:r>
        <w:rPr>
          <w:rFonts w:hint="eastAsia" w:ascii="宋体" w:hAnsi="宋体" w:eastAsia="宋体" w:cs="宋体"/>
          <w:color w:val="auto"/>
          <w:spacing w:val="0"/>
          <w:kern w:val="0"/>
          <w:sz w:val="21"/>
          <w:szCs w:val="21"/>
          <w:highlight w:val="none"/>
          <w:vertAlign w:val="baseline"/>
          <w:lang w:val="en-US" w:eastAsia="zh-CN" w:bidi="ar"/>
        </w:rPr>
        <w:t>3.1 其他</w:t>
      </w:r>
      <w:bookmarkEnd w:id="395"/>
    </w:p>
    <w:p w14:paraId="3A521970">
      <w:pPr>
        <w:keepNext w:val="0"/>
        <w:keepLines w:val="0"/>
        <w:widowControl/>
        <w:suppressLineNumbers w:val="0"/>
        <w:topLinePunct/>
        <w:autoSpaceDE w:val="0"/>
        <w:autoSpaceDN/>
        <w:adjustRightInd w:val="0"/>
        <w:snapToGrid w:val="0"/>
        <w:spacing w:before="0" w:beforeAutospacing="0" w:after="0" w:afterAutospacing="0" w:line="360" w:lineRule="auto"/>
        <w:ind w:left="0" w:right="435" w:firstLine="429"/>
        <w:jc w:val="both"/>
        <w:textAlignment w:val="baseline"/>
        <w:rPr>
          <w:rFonts w:hint="eastAsia" w:ascii="宋体" w:hAnsi="宋体" w:eastAsia="宋体" w:cs="宋体"/>
          <w:color w:val="auto"/>
          <w:spacing w:val="0"/>
          <w:kern w:val="0"/>
          <w:sz w:val="21"/>
          <w:szCs w:val="21"/>
          <w:highlight w:val="none"/>
          <w:vertAlign w:val="baseline"/>
        </w:rPr>
      </w:pPr>
      <w:r>
        <w:rPr>
          <w:rFonts w:hint="eastAsia" w:ascii="宋体" w:hAnsi="宋体" w:eastAsia="宋体" w:cs="宋体"/>
          <w:color w:val="auto"/>
          <w:spacing w:val="0"/>
          <w:kern w:val="0"/>
          <w:sz w:val="21"/>
          <w:szCs w:val="21"/>
          <w:highlight w:val="none"/>
          <w:vertAlign w:val="baseline"/>
          <w:lang w:val="en-US" w:eastAsia="zh-CN" w:bidi="ar"/>
        </w:rPr>
        <w:t>（1）清单不平衡报价审核按每单项（单项造价委托）2000 元，再乘以服务折扣系数0.8计取。</w:t>
      </w:r>
    </w:p>
    <w:p w14:paraId="4489C5B1">
      <w:pPr>
        <w:keepNext w:val="0"/>
        <w:keepLines w:val="0"/>
        <w:widowControl/>
        <w:suppressLineNumbers w:val="0"/>
        <w:topLinePunct/>
        <w:autoSpaceDE w:val="0"/>
        <w:autoSpaceDN/>
        <w:adjustRightInd w:val="0"/>
        <w:snapToGrid w:val="0"/>
        <w:spacing w:before="0" w:beforeAutospacing="0" w:after="0" w:afterAutospacing="0" w:line="360" w:lineRule="auto"/>
        <w:ind w:left="0" w:right="435" w:firstLine="429"/>
        <w:jc w:val="both"/>
        <w:textAlignment w:val="baseline"/>
        <w:rPr>
          <w:rFonts w:hint="eastAsia" w:ascii="宋体" w:hAnsi="宋体" w:eastAsia="宋体" w:cs="宋体"/>
          <w:color w:val="auto"/>
          <w:spacing w:val="0"/>
          <w:kern w:val="0"/>
          <w:sz w:val="21"/>
          <w:szCs w:val="21"/>
          <w:highlight w:val="none"/>
          <w:vertAlign w:val="baseline"/>
        </w:rPr>
      </w:pPr>
      <w:r>
        <w:rPr>
          <w:rFonts w:hint="eastAsia" w:ascii="宋体" w:hAnsi="宋体" w:eastAsia="宋体" w:cs="宋体"/>
          <w:color w:val="auto"/>
          <w:spacing w:val="0"/>
          <w:kern w:val="0"/>
          <w:sz w:val="21"/>
          <w:szCs w:val="21"/>
          <w:highlight w:val="none"/>
          <w:vertAlign w:val="baseline"/>
          <w:lang w:val="en-US" w:eastAsia="zh-CN" w:bidi="ar"/>
        </w:rPr>
        <w:t>（2）进度款支付审核按每单项（单项造价委托）2000 元，再乘以服务折扣系数0.8计取。</w:t>
      </w:r>
    </w:p>
    <w:p w14:paraId="39921F31">
      <w:pPr>
        <w:keepNext w:val="0"/>
        <w:keepLines w:val="0"/>
        <w:widowControl/>
        <w:suppressLineNumbers w:val="0"/>
        <w:topLinePunct/>
        <w:autoSpaceDE w:val="0"/>
        <w:autoSpaceDN/>
        <w:adjustRightInd w:val="0"/>
        <w:snapToGrid w:val="0"/>
        <w:spacing w:before="0" w:beforeAutospacing="0" w:after="0" w:afterAutospacing="0" w:line="360" w:lineRule="auto"/>
        <w:ind w:left="0" w:right="435" w:firstLine="429"/>
        <w:jc w:val="both"/>
        <w:textAlignment w:val="baseline"/>
        <w:rPr>
          <w:rFonts w:hint="eastAsia" w:ascii="宋体" w:hAnsi="宋体" w:eastAsia="宋体" w:cs="宋体"/>
          <w:color w:val="auto"/>
          <w:spacing w:val="0"/>
          <w:kern w:val="0"/>
          <w:sz w:val="21"/>
          <w:szCs w:val="21"/>
          <w:highlight w:val="none"/>
          <w:vertAlign w:val="baseline"/>
        </w:rPr>
      </w:pPr>
      <w:r>
        <w:rPr>
          <w:rFonts w:hint="eastAsia" w:ascii="宋体" w:hAnsi="宋体" w:eastAsia="宋体" w:cs="宋体"/>
          <w:color w:val="auto"/>
          <w:spacing w:val="0"/>
          <w:kern w:val="0"/>
          <w:sz w:val="21"/>
          <w:szCs w:val="21"/>
          <w:highlight w:val="none"/>
          <w:vertAlign w:val="baseline"/>
          <w:lang w:val="en-US" w:eastAsia="zh-CN" w:bidi="ar"/>
        </w:rPr>
        <w:t>（3）如项目实施过程中，若存在单位工程未按概算总表中的单位工程目录实施，则施工阶段全过程造价咨询费的收费基数需重新调整对应的概算金额后重新计算。</w:t>
      </w:r>
    </w:p>
    <w:p w14:paraId="79B91F54">
      <w:pPr>
        <w:pStyle w:val="39"/>
        <w:keepNext w:val="0"/>
        <w:keepLines w:val="0"/>
        <w:widowControl/>
        <w:suppressLineNumbers w:val="0"/>
        <w:topLinePunct/>
        <w:adjustRightInd w:val="0"/>
        <w:snapToGrid w:val="0"/>
        <w:spacing w:before="0" w:beforeAutospacing="0" w:after="0" w:afterAutospacing="0" w:line="360" w:lineRule="auto"/>
        <w:ind w:left="0" w:right="435" w:firstLine="424" w:firstLineChars="202"/>
        <w:jc w:val="both"/>
        <w:textAlignment w:val="baseline"/>
        <w:rPr>
          <w:rFonts w:hint="eastAsia" w:ascii="宋体" w:hAnsi="宋体" w:eastAsia="宋体" w:cs="宋体"/>
          <w:color w:val="auto"/>
          <w:spacing w:val="0"/>
          <w:kern w:val="2"/>
          <w:sz w:val="21"/>
          <w:szCs w:val="21"/>
          <w:highlight w:val="none"/>
          <w:vertAlign w:val="baseline"/>
          <w:lang w:val="en-US" w:eastAsia="zh-CN" w:bidi="ar"/>
        </w:rPr>
      </w:pPr>
      <w:r>
        <w:rPr>
          <w:rFonts w:hint="eastAsia" w:ascii="宋体" w:hAnsi="宋体" w:eastAsia="宋体" w:cs="宋体"/>
          <w:color w:val="auto"/>
          <w:spacing w:val="0"/>
          <w:kern w:val="2"/>
          <w:sz w:val="21"/>
          <w:szCs w:val="21"/>
          <w:highlight w:val="none"/>
          <w:vertAlign w:val="baseline"/>
          <w:lang w:val="en-US" w:eastAsia="zh-CN" w:bidi="ar"/>
        </w:rPr>
        <w:t>（4）在造价咨询服务过程中，如因建设标准、项目完整性等原因造成设计图纸修改，致使工程造价需要重新修改和确定，双方另行商议需增加的工作时限以及造价咨询服务费用。</w:t>
      </w:r>
    </w:p>
    <w:p w14:paraId="71210107">
      <w:pPr>
        <w:pStyle w:val="39"/>
        <w:keepNext w:val="0"/>
        <w:keepLines w:val="0"/>
        <w:widowControl/>
        <w:suppressLineNumbers w:val="0"/>
        <w:topLinePunct/>
        <w:adjustRightInd w:val="0"/>
        <w:snapToGrid w:val="0"/>
        <w:spacing w:before="0" w:beforeAutospacing="0" w:after="0" w:afterAutospacing="0" w:line="360" w:lineRule="auto"/>
        <w:ind w:left="0" w:right="435" w:firstLine="424" w:firstLineChars="202"/>
        <w:jc w:val="both"/>
        <w:textAlignment w:val="baseline"/>
        <w:rPr>
          <w:rFonts w:hint="eastAsia" w:ascii="宋体" w:hAnsi="宋体" w:eastAsia="宋体" w:cs="宋体"/>
          <w:color w:val="auto"/>
          <w:spacing w:val="0"/>
          <w:kern w:val="2"/>
          <w:sz w:val="21"/>
          <w:szCs w:val="21"/>
          <w:highlight w:val="none"/>
          <w:vertAlign w:val="baseline"/>
          <w:lang w:val="en-US" w:eastAsia="zh-CN" w:bidi="ar"/>
        </w:rPr>
      </w:pPr>
      <w:r>
        <w:rPr>
          <w:rFonts w:hint="eastAsia" w:eastAsia="宋体" w:cs="宋体"/>
          <w:color w:val="auto"/>
          <w:spacing w:val="0"/>
          <w:kern w:val="2"/>
          <w:sz w:val="21"/>
          <w:szCs w:val="21"/>
          <w:highlight w:val="none"/>
          <w:vertAlign w:val="baseline"/>
          <w:lang w:val="en-US" w:eastAsia="zh-CN" w:bidi="ar"/>
        </w:rPr>
        <w:t>（5）单项造价咨询服务项目，如编制或审核的成果金额中含土地征用、迁移补偿等为取得或租用土地使用权而发生的费用，则以编制或审核的成果金额直接扣减该费用作为收费基数。</w:t>
      </w:r>
    </w:p>
    <w:p w14:paraId="7ED3FFCC">
      <w:pPr>
        <w:pStyle w:val="39"/>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3.2 单项造价咨询服务费包括了中标人完成招标文件和合同约定的全部工作所需支付的一切费用，为包干价，包括但不限于（1）人员人工费（工资及加班工资、福利、社保、住房公积金、节日补贴、高温津贴、劳保、服装和膳食、意外伤害保险、加班费、住宿补贴、市内交通补贴、培训、经济补偿等）、驻场服务所需的差旅费、食宿费、交通费、通讯费、配合费、办理履约担保所需等费用；（2）合理利润、税费等；（3）法律法规、行业公认、完成合同实施过程中由投标人承担的其他直接及间接费用。</w:t>
      </w:r>
    </w:p>
    <w:p w14:paraId="5BC80F62">
      <w:pPr>
        <w:pStyle w:val="39"/>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3.3 单项咨询设计服务费的具体付款方式按照单项咨询设计服务合同约定执行。</w:t>
      </w:r>
    </w:p>
    <w:p w14:paraId="125630C9">
      <w:pPr>
        <w:pStyle w:val="39"/>
        <w:keepNext w:val="0"/>
        <w:keepLines w:val="0"/>
        <w:widowControl w:val="0"/>
        <w:suppressLineNumbers w:val="0"/>
        <w:spacing w:before="0" w:beforeAutospacing="0" w:after="0" w:afterAutospacing="0" w:line="360" w:lineRule="auto"/>
        <w:ind w:left="0" w:right="0" w:firstLine="424" w:firstLineChars="202"/>
        <w:jc w:val="both"/>
        <w:rPr>
          <w:rFonts w:hint="default" w:ascii="宋体" w:hAnsi="宋体" w:eastAsia="宋体" w:cs="宋体"/>
          <w:color w:val="auto"/>
          <w:kern w:val="2"/>
          <w:sz w:val="21"/>
          <w:szCs w:val="21"/>
          <w:highlight w:val="none"/>
          <w:lang w:val="en-US" w:eastAsia="zh-CN" w:bidi="ar"/>
        </w:rPr>
      </w:pPr>
      <w:r>
        <w:rPr>
          <w:rFonts w:hint="eastAsia" w:eastAsia="宋体" w:cs="宋体"/>
          <w:color w:val="auto"/>
          <w:kern w:val="2"/>
          <w:sz w:val="21"/>
          <w:szCs w:val="21"/>
          <w:highlight w:val="none"/>
          <w:lang w:val="en-US" w:eastAsia="zh-CN" w:bidi="ar"/>
        </w:rPr>
        <w:t>3.4 单项造价审核服务费计费方式除“参照《广东省物价局关于调整我省建设工程造价咨询服务收费的复函（粤价函〔2011〕742号）》计费标准再乘以服务折扣系数0.8计算”外，招标人有权根据委托审核项目的复杂程度及重要性，另行制定其他计费方式（分为基础收费与效益收费两部分按比例计费的方式），单项总审核费用不超过该委托项目参照粤价函〔2011〕742号“计费标准”计算的80%。</w:t>
      </w:r>
    </w:p>
    <w:p w14:paraId="2E57F192">
      <w:pPr>
        <w:keepNext w:val="0"/>
        <w:keepLines w:val="0"/>
        <w:widowControl w:val="0"/>
        <w:numPr>
          <w:ilvl w:val="0"/>
          <w:numId w:val="2"/>
        </w:numPr>
        <w:suppressLineNumbers w:val="0"/>
        <w:spacing w:before="0" w:beforeAutospacing="0" w:after="0" w:afterAutospacing="0" w:line="360" w:lineRule="auto"/>
        <w:ind w:left="0" w:right="0" w:firstLine="422" w:firstLineChars="200"/>
        <w:jc w:val="both"/>
        <w:outlineLvl w:val="1"/>
        <w:rPr>
          <w:rFonts w:hint="eastAsia" w:ascii="宋体" w:hAnsi="宋体" w:eastAsia="宋体" w:cs="宋体"/>
          <w:b/>
          <w:bCs/>
          <w:color w:val="auto"/>
          <w:kern w:val="2"/>
          <w:sz w:val="21"/>
          <w:szCs w:val="21"/>
          <w:highlight w:val="none"/>
        </w:rPr>
      </w:pPr>
      <w:bookmarkStart w:id="396" w:name="_Toc45"/>
      <w:r>
        <w:rPr>
          <w:rFonts w:hint="eastAsia" w:ascii="宋体" w:hAnsi="宋体" w:eastAsia="宋体" w:cs="宋体"/>
          <w:b/>
          <w:bCs/>
          <w:color w:val="auto"/>
          <w:kern w:val="2"/>
          <w:sz w:val="21"/>
          <w:szCs w:val="21"/>
          <w:highlight w:val="none"/>
          <w:lang w:val="en-US" w:eastAsia="zh-CN" w:bidi="ar"/>
        </w:rPr>
        <w:t>单项造价咨询服务完成时间要求</w:t>
      </w:r>
      <w:bookmarkEnd w:id="396"/>
    </w:p>
    <w:p w14:paraId="3D45A00C">
      <w:pPr>
        <w:pStyle w:val="39"/>
        <w:keepNext w:val="0"/>
        <w:keepLines w:val="0"/>
        <w:widowControl w:val="0"/>
        <w:suppressLineNumbers w:val="0"/>
        <w:spacing w:before="0" w:beforeAutospacing="0" w:after="0" w:afterAutospacing="0" w:line="360" w:lineRule="auto"/>
        <w:ind w:left="426"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4.1 参照《东莞市财政性资金投资建设项目工程造价咨询服务管理办法》的规定，具体如下：</w:t>
      </w:r>
    </w:p>
    <w:p w14:paraId="0FEFCEB9">
      <w:pPr>
        <w:pStyle w:val="54"/>
        <w:widowControl/>
        <w:ind w:left="0" w:firstLine="400"/>
        <w:jc w:val="righ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单位：工作日</w:t>
      </w:r>
    </w:p>
    <w:tbl>
      <w:tblPr>
        <w:tblStyle w:val="4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33"/>
        <w:gridCol w:w="3339"/>
        <w:gridCol w:w="962"/>
        <w:gridCol w:w="878"/>
        <w:gridCol w:w="833"/>
        <w:gridCol w:w="835"/>
        <w:gridCol w:w="833"/>
        <w:gridCol w:w="835"/>
        <w:gridCol w:w="834"/>
      </w:tblGrid>
      <w:tr w14:paraId="71BB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rPr>
        <w:tc>
          <w:tcPr>
            <w:tcW w:w="409" w:type="pct"/>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EE6D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序号</w:t>
            </w:r>
          </w:p>
        </w:tc>
        <w:tc>
          <w:tcPr>
            <w:tcW w:w="1639" w:type="pct"/>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61D31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w:t>
            </w:r>
          </w:p>
        </w:tc>
        <w:tc>
          <w:tcPr>
            <w:tcW w:w="903"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7C8B0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市政路桥水利</w:t>
            </w:r>
          </w:p>
        </w:tc>
        <w:tc>
          <w:tcPr>
            <w:tcW w:w="819"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2B2DA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土建</w:t>
            </w:r>
          </w:p>
        </w:tc>
        <w:tc>
          <w:tcPr>
            <w:tcW w:w="819"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1D550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安装</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5CEAC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备注</w:t>
            </w:r>
          </w:p>
        </w:tc>
      </w:tr>
      <w:tr w14:paraId="1052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409"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35578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639"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76DEB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4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AF00C1">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审核</w:t>
            </w:r>
          </w:p>
        </w:tc>
        <w:tc>
          <w:tcPr>
            <w:tcW w:w="4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53D3D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编制</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3CC9A7">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审核</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90F47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编制</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983B6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审核</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3F291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编制</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ABC38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79F0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45" w:hRule="atLeast"/>
        </w:trPr>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F0DF1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一</w:t>
            </w:r>
          </w:p>
        </w:tc>
        <w:tc>
          <w:tcPr>
            <w:tcW w:w="16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EC782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概、预算(含招标工程量清单)</w:t>
            </w:r>
          </w:p>
        </w:tc>
        <w:tc>
          <w:tcPr>
            <w:tcW w:w="4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333DA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4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40B22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9EC8E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3E127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8C664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76447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2050E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2908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trPr>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002C6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6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9661B7">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投资 500 万元以内</w:t>
            </w:r>
          </w:p>
        </w:tc>
        <w:tc>
          <w:tcPr>
            <w:tcW w:w="4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FF72E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4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7CAF7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C0D87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EFC91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64302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AE847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F20AF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72F5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trPr>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0AE81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6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52B0C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投资 500-2500 万元</w:t>
            </w:r>
          </w:p>
        </w:tc>
        <w:tc>
          <w:tcPr>
            <w:tcW w:w="4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51FA1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w:t>
            </w:r>
          </w:p>
        </w:tc>
        <w:tc>
          <w:tcPr>
            <w:tcW w:w="4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27F69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D83F2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96352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AB690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EFF20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9ED0C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5543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trPr>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8A189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16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AE492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投资 2500-5000 万元</w:t>
            </w:r>
          </w:p>
        </w:tc>
        <w:tc>
          <w:tcPr>
            <w:tcW w:w="4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261C9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w:t>
            </w:r>
          </w:p>
        </w:tc>
        <w:tc>
          <w:tcPr>
            <w:tcW w:w="4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E3C5C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8CDCB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58E28A">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06108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96805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3400B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4379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trPr>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E6F51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16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331D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投资 5000-7500 万元</w:t>
            </w:r>
          </w:p>
        </w:tc>
        <w:tc>
          <w:tcPr>
            <w:tcW w:w="4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E6C6C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w:t>
            </w:r>
          </w:p>
        </w:tc>
        <w:tc>
          <w:tcPr>
            <w:tcW w:w="4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0AF89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3C5BA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B1606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63B4B1">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10FFE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80625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2375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trPr>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8AB0A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16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6BACF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投资 7500-10000 万元</w:t>
            </w:r>
          </w:p>
        </w:tc>
        <w:tc>
          <w:tcPr>
            <w:tcW w:w="4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48505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w:t>
            </w:r>
          </w:p>
        </w:tc>
        <w:tc>
          <w:tcPr>
            <w:tcW w:w="4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F900D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DBB3D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F184A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7FBFD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87329A">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4846E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537F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trPr>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090B4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16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4E21B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投资 10000 万元以上</w:t>
            </w:r>
          </w:p>
        </w:tc>
        <w:tc>
          <w:tcPr>
            <w:tcW w:w="4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8003C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w:t>
            </w:r>
          </w:p>
        </w:tc>
        <w:tc>
          <w:tcPr>
            <w:tcW w:w="4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DA51D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928C2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63E53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B9429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71E00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08468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6BE7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trPr>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088E4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二</w:t>
            </w:r>
          </w:p>
        </w:tc>
        <w:tc>
          <w:tcPr>
            <w:tcW w:w="16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5E785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结算</w:t>
            </w:r>
          </w:p>
        </w:tc>
        <w:tc>
          <w:tcPr>
            <w:tcW w:w="4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689CC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4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D1FD4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D9D98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D2D42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FB850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611D7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A483B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6A55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trPr>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3B124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6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29085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投资 500 万元以内</w:t>
            </w:r>
          </w:p>
        </w:tc>
        <w:tc>
          <w:tcPr>
            <w:tcW w:w="4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124C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4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D9EB1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BA56F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A1868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234C21">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EAA4C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1009B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15CF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trPr>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CC4CB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6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24B78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投资 500-2500 万元</w:t>
            </w:r>
          </w:p>
        </w:tc>
        <w:tc>
          <w:tcPr>
            <w:tcW w:w="4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6780E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w:t>
            </w:r>
          </w:p>
        </w:tc>
        <w:tc>
          <w:tcPr>
            <w:tcW w:w="4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A677F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6131C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43895A">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5EF66A">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D3CB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3E9CC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6CC0D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trPr>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636FF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16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0A6C31">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投资 2500-5000 万元</w:t>
            </w:r>
          </w:p>
        </w:tc>
        <w:tc>
          <w:tcPr>
            <w:tcW w:w="4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78169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w:t>
            </w:r>
          </w:p>
        </w:tc>
        <w:tc>
          <w:tcPr>
            <w:tcW w:w="4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EBFB2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11EC9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ECAD6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2890D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ADC03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19</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B083A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4CFD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trPr>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089301">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16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5E845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投资 5000-7500 万元</w:t>
            </w:r>
          </w:p>
        </w:tc>
        <w:tc>
          <w:tcPr>
            <w:tcW w:w="4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ABFB57">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w:t>
            </w:r>
          </w:p>
        </w:tc>
        <w:tc>
          <w:tcPr>
            <w:tcW w:w="4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E7EE2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E96C8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E954A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8BC7E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E7C5E7">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D6AB7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5D10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trPr>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97D4C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16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7376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投资 7500-10000 万元</w:t>
            </w:r>
          </w:p>
        </w:tc>
        <w:tc>
          <w:tcPr>
            <w:tcW w:w="4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F423C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w:t>
            </w:r>
          </w:p>
        </w:tc>
        <w:tc>
          <w:tcPr>
            <w:tcW w:w="4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C898A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9602A7">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19</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FBCC8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23</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04DBF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81E291">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25</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22CBD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1BB5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trPr>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7CEF0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16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479EB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投资 10000 万元以上</w:t>
            </w:r>
          </w:p>
        </w:tc>
        <w:tc>
          <w:tcPr>
            <w:tcW w:w="4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69D92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w:t>
            </w:r>
          </w:p>
        </w:tc>
        <w:tc>
          <w:tcPr>
            <w:tcW w:w="4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51037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24</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1ED0C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345D8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26</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099301">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300DA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28</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1CBBF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bl>
    <w:p w14:paraId="67C6626C">
      <w:pPr>
        <w:keepNext w:val="0"/>
        <w:keepLines w:val="0"/>
        <w:widowControl w:val="0"/>
        <w:suppressLineNumbers w:val="0"/>
        <w:spacing w:before="120" w:beforeLines="5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4.2 以上时限为完成单项工程造价咨询服务成果文件的全部时间，包括编审、对数、现场勘察及复核后修改等时间；对于</w:t>
      </w:r>
      <w:r>
        <w:rPr>
          <w:rFonts w:hint="eastAsia" w:ascii="宋体" w:hAnsi="宋体" w:eastAsia="宋体" w:cs="宋体"/>
          <w:color w:val="auto"/>
          <w:spacing w:val="0"/>
          <w:kern w:val="0"/>
          <w:sz w:val="21"/>
          <w:szCs w:val="21"/>
          <w:highlight w:val="none"/>
          <w:lang w:val="en-US" w:eastAsia="zh-CN" w:bidi="ar"/>
        </w:rPr>
        <w:t>非工程类货物采购、服务类项目的</w:t>
      </w:r>
      <w:r>
        <w:rPr>
          <w:rFonts w:hint="eastAsia" w:ascii="宋体" w:hAnsi="宋体" w:eastAsia="宋体" w:cs="宋体"/>
          <w:color w:val="auto"/>
          <w:kern w:val="2"/>
          <w:sz w:val="21"/>
          <w:szCs w:val="21"/>
          <w:highlight w:val="none"/>
          <w:lang w:val="en-US" w:eastAsia="zh-CN" w:bidi="ar"/>
        </w:rPr>
        <w:t>咨询服务成果完成时限为10个工作日。招标人有权根据单项工作实际情况，要求造价咨询服务单位加快完成相关工作，造价咨询机构应予以配合。</w:t>
      </w:r>
    </w:p>
    <w:p w14:paraId="39F8F54F">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★五、服务要求</w:t>
      </w:r>
    </w:p>
    <w:p w14:paraId="307B4AB9">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5.1 根据国家和省、市有关工程造价的法规、政策、文件、以及基建财务管理的有关规定，本着为甲方节约投资的原则，科学、客观、公正地开展工程造价咨询服务工作；应按甲方的要求，按时按质按量提供咨询报告，对成果报告的真实性、准确性、完整性、合法性、合理性负责，并负有保密责任。</w:t>
      </w:r>
    </w:p>
    <w:p w14:paraId="19E2465E">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5.2 根据甲方的委托，编制和审核的工程概预算(含最高限价)、招标工程量清单应确保结果完整、科学、准确，符合工程项目的实际情况和国家有关工程计价规范；招标工程量清单设置要科学、合理，不得有高估冒算、虚列项目，也不得有漏项漏量、重项错量等错误，如有上述错误，应负相应的责任。</w:t>
      </w:r>
    </w:p>
    <w:p w14:paraId="41F92BE4">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5.3 在编制和审核工程概预算(含最高限价)、招标工程量清单时，如甲方有相关需求，乙方须对项目的设计方案作出技术经济分析，并向甲方提出优化方案和合理化建议；</w:t>
      </w:r>
    </w:p>
    <w:p w14:paraId="0873D820">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5.4货物（服务）采购项目的采购控制价进行市场询价(特殊材料除外)，应提交不少于三家或三家以上的有效报价，内容包括供应商名称、联系人、联系电话、报价明细、有效期，并提交对报价单位资质查询、对用户需求的响应分析、拟定价格方案等资料。具体以招标人相关制度要求为准。</w:t>
      </w:r>
    </w:p>
    <w:p w14:paraId="537BF674">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5.5 要坚持科学准确、客观真实、公平公正、合理合法、廉洁高效的原则，审核工程竣工结算。必须及时配合甲方解决结算审核中存在的技术问题，在服务过程中，如发现计价原则方法的确定、重大的签证审核以及工程管理中存在违规行为要及时向甲方反映，不得擅自作出处理，要对项目的全过程管理依法作出正确的评价。</w:t>
      </w:r>
    </w:p>
    <w:p w14:paraId="331383B3">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5.6 对存有疑问的地方，应配合甲方深入现场调查取证，逐一核实，按实际情况调整，保证工程造价咨询服务成果文件的合理性和真实性。重要的材料或设备价格，应及时与甲方沟通，协商确定合理的价格。</w:t>
      </w:r>
    </w:p>
    <w:p w14:paraId="0A4A3F0F">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5.7 配合甲方做好编审依据的收集及取证工作，所有的编审依据必须是有效的书面资料，并妥善保存。</w:t>
      </w:r>
    </w:p>
    <w:p w14:paraId="1DB72B7E">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5.8 不得接受同一项目不同委托人的造价咨询服务委托，即就同一项目既接受招标人的委托，又接受项目投标供应商、承包单位等相对利益关系人的委托。</w:t>
      </w:r>
    </w:p>
    <w:p w14:paraId="2B516C7A">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5.9 项目的结果未经甲方许可，不得泄露给他人。乙方应对受托任务涉及的有关资料、内容、成果以及结论承担保密的义务。</w:t>
      </w:r>
    </w:p>
    <w:p w14:paraId="1566BF99">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5.10 对于甲方要求乙方驻场服务的项目，乙方有义务派出专业的人员驻场服务，招标人仅提供服务场地。</w:t>
      </w:r>
    </w:p>
    <w:p w14:paraId="0538F820">
      <w:pPr>
        <w:keepNext w:val="0"/>
        <w:keepLines w:val="0"/>
        <w:widowControl w:val="0"/>
        <w:suppressLineNumbers w:val="0"/>
        <w:spacing w:before="0" w:beforeAutospacing="0" w:after="0" w:afterAutospacing="0" w:line="360" w:lineRule="auto"/>
        <w:ind w:left="0" w:right="0" w:firstLine="422" w:firstLineChars="200"/>
        <w:jc w:val="both"/>
        <w:outlineLvl w:val="2"/>
        <w:rPr>
          <w:rFonts w:hint="eastAsia" w:ascii="宋体" w:hAnsi="宋体" w:eastAsia="宋体" w:cs="宋体"/>
          <w:b/>
          <w:bCs/>
          <w:color w:val="auto"/>
          <w:kern w:val="2"/>
          <w:sz w:val="21"/>
          <w:szCs w:val="21"/>
          <w:highlight w:val="none"/>
        </w:rPr>
      </w:pPr>
      <w:bookmarkStart w:id="397" w:name="_Toc26856"/>
      <w:r>
        <w:rPr>
          <w:rFonts w:hint="eastAsia" w:ascii="宋体" w:hAnsi="宋体" w:eastAsia="宋体" w:cs="宋体"/>
          <w:b/>
          <w:bCs/>
          <w:color w:val="auto"/>
          <w:kern w:val="2"/>
          <w:sz w:val="21"/>
          <w:szCs w:val="21"/>
          <w:highlight w:val="none"/>
          <w:lang w:val="en-US" w:eastAsia="zh-CN" w:bidi="ar"/>
        </w:rPr>
        <w:t>5.11 人员要求</w:t>
      </w:r>
      <w:bookmarkEnd w:id="397"/>
    </w:p>
    <w:p w14:paraId="51A0631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（1）拟投入本项目的技术负责人（仅一人）须具有一级注册造价工程师证书，并具有工程或者经济系列高级专业技术职称。</w:t>
      </w:r>
    </w:p>
    <w:p w14:paraId="3F42658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（2）拟投入本项目的服务团队（除技术负责人外）取得二级造价工程师（或以上）注册证书的人员应不少于6人。</w:t>
      </w:r>
    </w:p>
    <w:p w14:paraId="2A242F3E">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注：1、同一人员具备同一种类证书的仅按最高等级证书计算；2、以上人员须提供身份证、注册证书（或职称证）、社会保障部门出具的最近3个月（即2025年3月至2025年5月）在投标人单位缴纳社会养老保险有效凭证等证明材料扫描件加盖投标人公章。</w:t>
      </w:r>
    </w:p>
    <w:p w14:paraId="64511F3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2225A619">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eastAsia="宋体" w:cs="宋体"/>
          <w:b/>
          <w:bCs w:val="0"/>
          <w:color w:val="auto"/>
          <w:kern w:val="2"/>
          <w:sz w:val="21"/>
          <w:szCs w:val="21"/>
          <w:highlight w:val="none"/>
          <w:lang w:val="en-US" w:eastAsia="zh-CN" w:bidi="ar"/>
        </w:rPr>
        <w:t>六、投标人需在东莞市住房和城乡建设局（网址：http://zjj.dg.gov.cn/）及</w:t>
      </w:r>
      <w:r>
        <w:rPr>
          <w:rFonts w:hint="eastAsia" w:ascii="宋体" w:hAnsi="宋体" w:eastAsia="宋体" w:cs="宋体"/>
          <w:b/>
          <w:bCs/>
          <w:snapToGrid w:val="0"/>
          <w:color w:val="auto"/>
          <w:spacing w:val="0"/>
          <w:kern w:val="0"/>
          <w:sz w:val="21"/>
          <w:szCs w:val="21"/>
          <w:highlight w:val="none"/>
          <w:lang w:val="en-US" w:eastAsia="en-US" w:bidi="ar-SA"/>
        </w:rPr>
        <w:t>东莞市水务局“水务工程参建企业信用管理系统”（简称“水务信用系统”）</w:t>
      </w:r>
      <w:r>
        <w:rPr>
          <w:rFonts w:hint="eastAsia" w:ascii="宋体" w:hAnsi="宋体" w:eastAsia="宋体" w:cs="宋体"/>
          <w:b/>
          <w:bCs w:val="0"/>
          <w:color w:val="auto"/>
          <w:kern w:val="2"/>
          <w:sz w:val="21"/>
          <w:szCs w:val="21"/>
          <w:highlight w:val="none"/>
          <w:lang w:val="en-US" w:eastAsia="zh-CN" w:bidi="ar"/>
        </w:rPr>
        <w:t>完成企业信息档案登记（企业类型必须为：造价咨询机构），并且处于“可用状态”。如果投标人在提交投标文件截止时间未能完成企业信息档案登记，需提供单独的承诺书，承诺中标后一个月内在东莞市住房和城乡建设局及</w:t>
      </w:r>
      <w:r>
        <w:rPr>
          <w:rFonts w:hint="eastAsia" w:ascii="宋体" w:hAnsi="宋体" w:eastAsia="宋体" w:cs="宋体"/>
          <w:b/>
          <w:bCs/>
          <w:snapToGrid w:val="0"/>
          <w:color w:val="auto"/>
          <w:spacing w:val="0"/>
          <w:kern w:val="0"/>
          <w:sz w:val="21"/>
          <w:szCs w:val="21"/>
          <w:highlight w:val="none"/>
          <w:lang w:val="en-US" w:eastAsia="en-US" w:bidi="ar-SA"/>
        </w:rPr>
        <w:t>水务信用系统</w:t>
      </w:r>
      <w:r>
        <w:rPr>
          <w:rFonts w:hint="eastAsia" w:ascii="宋体" w:hAnsi="宋体" w:eastAsia="宋体" w:cs="宋体"/>
          <w:b/>
          <w:bCs/>
          <w:snapToGrid w:val="0"/>
          <w:color w:val="auto"/>
          <w:spacing w:val="0"/>
          <w:kern w:val="0"/>
          <w:sz w:val="21"/>
          <w:szCs w:val="21"/>
          <w:highlight w:val="none"/>
          <w:lang w:val="en-US" w:eastAsia="zh-CN" w:bidi="ar-SA"/>
        </w:rPr>
        <w:t>中</w:t>
      </w:r>
      <w:r>
        <w:rPr>
          <w:rFonts w:hint="eastAsia" w:ascii="宋体" w:hAnsi="宋体" w:eastAsia="宋体" w:cs="宋体"/>
          <w:b/>
          <w:bCs w:val="0"/>
          <w:color w:val="auto"/>
          <w:kern w:val="2"/>
          <w:sz w:val="21"/>
          <w:szCs w:val="21"/>
          <w:highlight w:val="none"/>
          <w:lang w:val="en-US" w:eastAsia="zh-CN" w:bidi="ar"/>
        </w:rPr>
        <w:t>完成企业信息登记工作</w:t>
      </w:r>
      <w:r>
        <w:rPr>
          <w:rFonts w:hint="eastAsia" w:ascii="宋体" w:hAnsi="宋体" w:eastAsia="宋体" w:cs="宋体"/>
          <w:b/>
          <w:bCs/>
          <w:color w:val="auto"/>
          <w:kern w:val="2"/>
          <w:sz w:val="21"/>
          <w:szCs w:val="21"/>
          <w:highlight w:val="none"/>
          <w:lang w:val="en-US" w:eastAsia="zh-CN" w:bidi="ar"/>
        </w:rPr>
        <w:t>（须提供承诺函加盖投标人法人公章）</w:t>
      </w:r>
      <w:r>
        <w:rPr>
          <w:rFonts w:hint="eastAsia" w:ascii="宋体" w:hAnsi="宋体" w:eastAsia="宋体" w:cs="宋体"/>
          <w:b/>
          <w:bCs w:val="0"/>
          <w:color w:val="auto"/>
          <w:kern w:val="2"/>
          <w:sz w:val="21"/>
          <w:szCs w:val="21"/>
          <w:highlight w:val="none"/>
          <w:lang w:val="en-US" w:eastAsia="zh-CN" w:bidi="ar"/>
        </w:rPr>
        <w:t>。</w:t>
      </w:r>
    </w:p>
    <w:p w14:paraId="73B72338">
      <w:pPr>
        <w:pStyle w:val="16"/>
        <w:rPr>
          <w:rFonts w:hint="eastAsia"/>
          <w:color w:val="auto"/>
          <w:highlight w:val="none"/>
        </w:rPr>
      </w:pPr>
    </w:p>
    <w:p w14:paraId="576468C9">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
        </w:rPr>
        <w:t>★七、招标结果公示期间，招标人有权核查中标候选人办公场所、设备以及拟投入服务人员情况，如与造价咨询服务单位投标文件不相符，招标人有权取消其中标资格，并根据评标委员会</w:t>
      </w:r>
      <w:r>
        <w:rPr>
          <w:rFonts w:hint="eastAsia" w:ascii="宋体" w:hAnsi="宋体" w:eastAsia="宋体" w:cs="宋体"/>
          <w:b/>
          <w:bCs w:val="0"/>
          <w:color w:val="auto"/>
          <w:kern w:val="2"/>
          <w:sz w:val="21"/>
          <w:szCs w:val="21"/>
          <w:highlight w:val="none"/>
          <w:lang w:val="en-US" w:eastAsia="zh-CN" w:bidi="ar"/>
        </w:rPr>
        <w:t>推荐顺序</w:t>
      </w:r>
      <w:r>
        <w:rPr>
          <w:rFonts w:hint="eastAsia" w:ascii="宋体" w:hAnsi="宋体" w:eastAsia="宋体" w:cs="宋体"/>
          <w:b/>
          <w:bCs/>
          <w:color w:val="auto"/>
          <w:kern w:val="2"/>
          <w:sz w:val="21"/>
          <w:szCs w:val="21"/>
          <w:highlight w:val="none"/>
          <w:lang w:val="en-US" w:eastAsia="zh-CN" w:bidi="ar"/>
        </w:rPr>
        <w:t>确定其他</w:t>
      </w:r>
      <w:r>
        <w:rPr>
          <w:rFonts w:hint="eastAsia" w:ascii="宋体" w:hAnsi="宋体" w:eastAsia="宋体" w:cs="宋体"/>
          <w:b/>
          <w:bCs w:val="0"/>
          <w:color w:val="auto"/>
          <w:kern w:val="2"/>
          <w:sz w:val="21"/>
          <w:szCs w:val="21"/>
          <w:highlight w:val="none"/>
          <w:lang w:val="en-US" w:eastAsia="zh-CN" w:bidi="ar"/>
        </w:rPr>
        <w:t>中标人</w:t>
      </w:r>
      <w:r>
        <w:rPr>
          <w:rFonts w:hint="eastAsia" w:ascii="宋体" w:hAnsi="宋体" w:eastAsia="宋体" w:cs="宋体"/>
          <w:b/>
          <w:bCs/>
          <w:color w:val="auto"/>
          <w:kern w:val="2"/>
          <w:sz w:val="21"/>
          <w:szCs w:val="21"/>
          <w:highlight w:val="none"/>
          <w:lang w:val="en-US" w:eastAsia="zh-CN" w:bidi="ar"/>
        </w:rPr>
        <w:t>（须提供承诺函加盖投标人法人公章）。</w:t>
      </w:r>
    </w:p>
    <w:p w14:paraId="0CE990E5">
      <w:pPr>
        <w:rPr>
          <w:rFonts w:hint="eastAsia" w:ascii="宋体" w:hAnsi="宋体" w:eastAsia="宋体" w:cs="宋体"/>
          <w:b/>
          <w:color w:val="auto"/>
          <w:sz w:val="21"/>
          <w:szCs w:val="21"/>
          <w:highlight w:val="none"/>
          <w:lang w:eastAsia="zh-CN"/>
        </w:rPr>
      </w:pPr>
    </w:p>
    <w:p w14:paraId="1D467DA4">
      <w:pPr>
        <w:pageBreakBefore/>
        <w:tabs>
          <w:tab w:val="left" w:pos="1080"/>
        </w:tabs>
        <w:autoSpaceDE w:val="0"/>
        <w:autoSpaceDN w:val="0"/>
        <w:adjustRightInd w:val="0"/>
        <w:spacing w:line="360" w:lineRule="auto"/>
        <w:ind w:left="357" w:leftChars="-100" w:hanging="567"/>
        <w:jc w:val="left"/>
        <w:outlineLvl w:val="9"/>
        <w:rPr>
          <w:rFonts w:hint="eastAsia" w:ascii="宋体" w:hAnsi="宋体" w:eastAsia="宋体" w:cs="宋体"/>
          <w:b/>
          <w:bCs/>
          <w:color w:val="auto"/>
          <w:sz w:val="21"/>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bookmarkStart w:id="398" w:name="_Toc11281_WPSOffice_Level1"/>
      <w:bookmarkStart w:id="399" w:name="_Toc486167707"/>
      <w:bookmarkStart w:id="400" w:name="_Toc20401"/>
      <w:bookmarkStart w:id="401" w:name="_Toc450662892"/>
      <w:bookmarkStart w:id="402" w:name="_Toc25251"/>
      <w:bookmarkStart w:id="403" w:name="_Toc195714338"/>
      <w:bookmarkStart w:id="404" w:name="_Toc142508359"/>
      <w:bookmarkStart w:id="405" w:name="_Toc134469727"/>
    </w:p>
    <w:p w14:paraId="0DAEF7C6">
      <w:pPr>
        <w:pageBreakBefore/>
        <w:tabs>
          <w:tab w:val="left" w:pos="1080"/>
        </w:tabs>
        <w:autoSpaceDE w:val="0"/>
        <w:autoSpaceDN w:val="0"/>
        <w:adjustRightInd w:val="0"/>
        <w:spacing w:line="360" w:lineRule="auto"/>
        <w:ind w:left="357" w:leftChars="-100" w:hanging="567"/>
        <w:jc w:val="left"/>
        <w:outlineLvl w:val="3"/>
        <w:rPr>
          <w:rFonts w:hint="eastAsia" w:ascii="宋体" w:hAnsi="宋体" w:eastAsia="宋体" w:cs="宋体"/>
          <w:b/>
          <w:bCs/>
          <w:color w:val="auto"/>
          <w:kern w:val="44"/>
          <w:sz w:val="21"/>
          <w:szCs w:val="21"/>
          <w:highlight w:val="none"/>
          <w:lang w:val="zh-CN"/>
        </w:rPr>
      </w:pPr>
      <w:bookmarkStart w:id="406" w:name="_Toc17140"/>
      <w:r>
        <w:rPr>
          <w:rFonts w:hint="eastAsia" w:ascii="宋体" w:hAnsi="宋体" w:eastAsia="宋体" w:cs="宋体"/>
          <w:b/>
          <w:bCs/>
          <w:color w:val="auto"/>
          <w:sz w:val="21"/>
          <w:szCs w:val="21"/>
          <w:highlight w:val="none"/>
        </w:rPr>
        <w:t>附件：广东省建设工程造价咨询服务收费项目和收费标准表</w:t>
      </w:r>
      <w:bookmarkEnd w:id="406"/>
    </w:p>
    <w:tbl>
      <w:tblPr>
        <w:tblStyle w:val="44"/>
        <w:tblW w:w="5000" w:type="pct"/>
        <w:jc w:val="center"/>
        <w:tblLayout w:type="autofit"/>
        <w:tblCellMar>
          <w:top w:w="0" w:type="dxa"/>
          <w:left w:w="108" w:type="dxa"/>
          <w:bottom w:w="0" w:type="dxa"/>
          <w:right w:w="108" w:type="dxa"/>
        </w:tblCellMar>
      </w:tblPr>
      <w:tblGrid>
        <w:gridCol w:w="427"/>
        <w:gridCol w:w="428"/>
        <w:gridCol w:w="430"/>
        <w:gridCol w:w="1171"/>
        <w:gridCol w:w="2561"/>
        <w:gridCol w:w="1407"/>
        <w:gridCol w:w="972"/>
        <w:gridCol w:w="951"/>
        <w:gridCol w:w="1122"/>
        <w:gridCol w:w="1221"/>
        <w:gridCol w:w="15"/>
        <w:gridCol w:w="1143"/>
        <w:gridCol w:w="808"/>
        <w:gridCol w:w="1018"/>
      </w:tblGrid>
      <w:tr w14:paraId="44DFE44C">
        <w:tblPrEx>
          <w:tblCellMar>
            <w:top w:w="0" w:type="dxa"/>
            <w:left w:w="108" w:type="dxa"/>
            <w:bottom w:w="0" w:type="dxa"/>
            <w:right w:w="108" w:type="dxa"/>
          </w:tblCellMar>
        </w:tblPrEx>
        <w:trPr>
          <w:trHeight w:val="197" w:hRule="atLeast"/>
          <w:jc w:val="center"/>
        </w:trPr>
        <w:tc>
          <w:tcPr>
            <w:tcW w:w="160" w:type="pct"/>
            <w:vMerge w:val="restart"/>
            <w:tcBorders>
              <w:top w:val="single" w:color="auto" w:sz="4" w:space="0"/>
              <w:left w:val="single" w:color="auto" w:sz="4" w:space="0"/>
              <w:bottom w:val="single" w:color="auto" w:sz="4" w:space="0"/>
              <w:right w:val="single" w:color="auto" w:sz="4" w:space="0"/>
            </w:tcBorders>
            <w:vAlign w:val="center"/>
          </w:tcPr>
          <w:p w14:paraId="1C5F1574">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753" w:type="pct"/>
            <w:gridSpan w:val="3"/>
            <w:vMerge w:val="restart"/>
            <w:tcBorders>
              <w:top w:val="single" w:color="auto" w:sz="4" w:space="0"/>
              <w:left w:val="single" w:color="auto" w:sz="4" w:space="0"/>
              <w:bottom w:val="single" w:color="auto" w:sz="4" w:space="0"/>
              <w:right w:val="single" w:color="auto" w:sz="4" w:space="0"/>
            </w:tcBorders>
            <w:vAlign w:val="center"/>
          </w:tcPr>
          <w:p w14:paraId="6C8BF9CC">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咨询项目名称</w:t>
            </w:r>
          </w:p>
        </w:tc>
        <w:tc>
          <w:tcPr>
            <w:tcW w:w="940" w:type="pct"/>
            <w:vMerge w:val="restart"/>
            <w:tcBorders>
              <w:top w:val="single" w:color="auto" w:sz="4" w:space="0"/>
              <w:left w:val="single" w:color="auto" w:sz="4" w:space="0"/>
              <w:bottom w:val="single" w:color="auto" w:sz="4" w:space="0"/>
              <w:right w:val="single" w:color="auto" w:sz="4" w:space="0"/>
            </w:tcBorders>
            <w:vAlign w:val="center"/>
          </w:tcPr>
          <w:p w14:paraId="51D4691C">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服务内容</w:t>
            </w:r>
          </w:p>
        </w:tc>
        <w:tc>
          <w:tcPr>
            <w:tcW w:w="518" w:type="pct"/>
            <w:vMerge w:val="restart"/>
            <w:tcBorders>
              <w:top w:val="single" w:color="auto" w:sz="4" w:space="0"/>
              <w:left w:val="single" w:color="auto" w:sz="4" w:space="0"/>
              <w:bottom w:val="single" w:color="auto" w:sz="4" w:space="0"/>
              <w:right w:val="single" w:color="auto" w:sz="4" w:space="0"/>
            </w:tcBorders>
            <w:vAlign w:val="center"/>
          </w:tcPr>
          <w:p w14:paraId="7B3E8A8E">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收费基数</w:t>
            </w:r>
          </w:p>
        </w:tc>
        <w:tc>
          <w:tcPr>
            <w:tcW w:w="2252" w:type="pct"/>
            <w:gridSpan w:val="7"/>
            <w:tcBorders>
              <w:top w:val="single" w:color="auto" w:sz="4" w:space="0"/>
              <w:left w:val="nil"/>
              <w:bottom w:val="single" w:color="auto" w:sz="4" w:space="0"/>
              <w:right w:val="single" w:color="auto" w:sz="4" w:space="0"/>
            </w:tcBorders>
            <w:vAlign w:val="center"/>
          </w:tcPr>
          <w:p w14:paraId="43DB9ABB">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最高收费标准</w:t>
            </w:r>
          </w:p>
        </w:tc>
        <w:tc>
          <w:tcPr>
            <w:tcW w:w="377" w:type="pct"/>
            <w:vMerge w:val="restart"/>
            <w:tcBorders>
              <w:top w:val="single" w:color="auto" w:sz="4" w:space="0"/>
              <w:left w:val="single" w:color="auto" w:sz="4" w:space="0"/>
              <w:bottom w:val="single" w:color="auto" w:sz="4" w:space="0"/>
              <w:right w:val="single" w:color="auto" w:sz="4" w:space="0"/>
            </w:tcBorders>
            <w:vAlign w:val="center"/>
          </w:tcPr>
          <w:p w14:paraId="4CE2A633">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tc>
      </w:tr>
      <w:tr w14:paraId="0593872B">
        <w:tblPrEx>
          <w:tblCellMar>
            <w:top w:w="0" w:type="dxa"/>
            <w:left w:w="108" w:type="dxa"/>
            <w:bottom w:w="0" w:type="dxa"/>
            <w:right w:w="108" w:type="dxa"/>
          </w:tblCellMar>
        </w:tblPrEx>
        <w:trPr>
          <w:trHeight w:val="361" w:hRule="atLeast"/>
          <w:jc w:val="center"/>
        </w:trPr>
        <w:tc>
          <w:tcPr>
            <w:tcW w:w="160" w:type="pct"/>
            <w:vMerge w:val="continue"/>
            <w:tcBorders>
              <w:top w:val="single" w:color="auto" w:sz="4" w:space="0"/>
              <w:left w:val="single" w:color="auto" w:sz="4" w:space="0"/>
              <w:bottom w:val="single" w:color="auto" w:sz="4" w:space="0"/>
              <w:right w:val="single" w:color="auto" w:sz="4" w:space="0"/>
            </w:tcBorders>
            <w:vAlign w:val="center"/>
          </w:tcPr>
          <w:p w14:paraId="3CA372F7">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1"/>
                <w:szCs w:val="21"/>
                <w:highlight w:val="none"/>
              </w:rPr>
            </w:pPr>
          </w:p>
        </w:tc>
        <w:tc>
          <w:tcPr>
            <w:tcW w:w="753" w:type="pct"/>
            <w:gridSpan w:val="3"/>
            <w:vMerge w:val="continue"/>
            <w:tcBorders>
              <w:top w:val="single" w:color="auto" w:sz="4" w:space="0"/>
              <w:left w:val="single" w:color="auto" w:sz="4" w:space="0"/>
              <w:bottom w:val="single" w:color="auto" w:sz="4" w:space="0"/>
              <w:right w:val="single" w:color="auto" w:sz="4" w:space="0"/>
            </w:tcBorders>
            <w:vAlign w:val="center"/>
          </w:tcPr>
          <w:p w14:paraId="1B544F49">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1"/>
                <w:szCs w:val="21"/>
                <w:highlight w:val="none"/>
              </w:rPr>
            </w:pPr>
          </w:p>
        </w:tc>
        <w:tc>
          <w:tcPr>
            <w:tcW w:w="940" w:type="pct"/>
            <w:vMerge w:val="continue"/>
            <w:tcBorders>
              <w:top w:val="single" w:color="auto" w:sz="4" w:space="0"/>
              <w:left w:val="single" w:color="auto" w:sz="4" w:space="0"/>
              <w:bottom w:val="single" w:color="auto" w:sz="4" w:space="0"/>
              <w:right w:val="single" w:color="auto" w:sz="4" w:space="0"/>
            </w:tcBorders>
            <w:vAlign w:val="center"/>
          </w:tcPr>
          <w:p w14:paraId="08BECCBC">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1"/>
                <w:szCs w:val="21"/>
                <w:highlight w:val="none"/>
              </w:rPr>
            </w:pPr>
          </w:p>
        </w:tc>
        <w:tc>
          <w:tcPr>
            <w:tcW w:w="518" w:type="pct"/>
            <w:vMerge w:val="continue"/>
            <w:tcBorders>
              <w:top w:val="single" w:color="auto" w:sz="4" w:space="0"/>
              <w:left w:val="single" w:color="auto" w:sz="4" w:space="0"/>
              <w:bottom w:val="single" w:color="auto" w:sz="4" w:space="0"/>
              <w:right w:val="single" w:color="auto" w:sz="4" w:space="0"/>
            </w:tcBorders>
            <w:vAlign w:val="center"/>
          </w:tcPr>
          <w:p w14:paraId="1314EB55">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1"/>
                <w:szCs w:val="21"/>
                <w:highlight w:val="none"/>
              </w:rPr>
            </w:pPr>
          </w:p>
        </w:tc>
        <w:tc>
          <w:tcPr>
            <w:tcW w:w="359" w:type="pct"/>
            <w:tcBorders>
              <w:top w:val="nil"/>
              <w:left w:val="nil"/>
              <w:bottom w:val="single" w:color="auto" w:sz="4" w:space="0"/>
              <w:right w:val="single" w:color="auto" w:sz="4" w:space="0"/>
            </w:tcBorders>
            <w:vAlign w:val="center"/>
          </w:tcPr>
          <w:p w14:paraId="6178E024">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100万元以内</w:t>
            </w:r>
          </w:p>
        </w:tc>
        <w:tc>
          <w:tcPr>
            <w:tcW w:w="300" w:type="pct"/>
            <w:tcBorders>
              <w:top w:val="nil"/>
              <w:left w:val="nil"/>
              <w:bottom w:val="single" w:color="auto" w:sz="4" w:space="0"/>
              <w:right w:val="single" w:color="auto" w:sz="4" w:space="0"/>
            </w:tcBorders>
            <w:vAlign w:val="center"/>
          </w:tcPr>
          <w:p w14:paraId="0C5E2882">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101-500万元</w:t>
            </w:r>
          </w:p>
        </w:tc>
        <w:tc>
          <w:tcPr>
            <w:tcW w:w="414" w:type="pct"/>
            <w:tcBorders>
              <w:top w:val="nil"/>
              <w:left w:val="nil"/>
              <w:bottom w:val="single" w:color="auto" w:sz="4" w:space="0"/>
              <w:right w:val="single" w:color="auto" w:sz="4" w:space="0"/>
            </w:tcBorders>
            <w:vAlign w:val="center"/>
          </w:tcPr>
          <w:p w14:paraId="5E041D86">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501-1000万元</w:t>
            </w:r>
          </w:p>
        </w:tc>
        <w:tc>
          <w:tcPr>
            <w:tcW w:w="456" w:type="pct"/>
            <w:gridSpan w:val="2"/>
            <w:tcBorders>
              <w:top w:val="nil"/>
              <w:left w:val="nil"/>
              <w:bottom w:val="single" w:color="auto" w:sz="4" w:space="0"/>
              <w:right w:val="single" w:color="auto" w:sz="4" w:space="0"/>
            </w:tcBorders>
            <w:vAlign w:val="center"/>
          </w:tcPr>
          <w:p w14:paraId="0AAC209B">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1001-5000万元</w:t>
            </w:r>
          </w:p>
        </w:tc>
        <w:tc>
          <w:tcPr>
            <w:tcW w:w="425" w:type="pct"/>
            <w:tcBorders>
              <w:top w:val="nil"/>
              <w:left w:val="nil"/>
              <w:bottom w:val="single" w:color="auto" w:sz="4" w:space="0"/>
              <w:right w:val="single" w:color="auto" w:sz="4" w:space="0"/>
            </w:tcBorders>
            <w:vAlign w:val="center"/>
          </w:tcPr>
          <w:p w14:paraId="1F52B059">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5001万元-1亿元</w:t>
            </w:r>
          </w:p>
        </w:tc>
        <w:tc>
          <w:tcPr>
            <w:tcW w:w="299" w:type="pct"/>
            <w:tcBorders>
              <w:top w:val="nil"/>
              <w:left w:val="nil"/>
              <w:bottom w:val="single" w:color="auto" w:sz="4" w:space="0"/>
              <w:right w:val="single" w:color="auto" w:sz="4" w:space="0"/>
            </w:tcBorders>
            <w:vAlign w:val="center"/>
          </w:tcPr>
          <w:p w14:paraId="28614FFC">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1亿元以上</w:t>
            </w:r>
          </w:p>
        </w:tc>
        <w:tc>
          <w:tcPr>
            <w:tcW w:w="377" w:type="pct"/>
            <w:vMerge w:val="continue"/>
            <w:tcBorders>
              <w:top w:val="single" w:color="auto" w:sz="4" w:space="0"/>
              <w:left w:val="single" w:color="auto" w:sz="4" w:space="0"/>
              <w:bottom w:val="single" w:color="auto" w:sz="4" w:space="0"/>
              <w:right w:val="single" w:color="auto" w:sz="4" w:space="0"/>
            </w:tcBorders>
            <w:vAlign w:val="center"/>
          </w:tcPr>
          <w:p w14:paraId="54B482C8">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1"/>
                <w:szCs w:val="21"/>
                <w:highlight w:val="none"/>
              </w:rPr>
            </w:pPr>
          </w:p>
        </w:tc>
      </w:tr>
      <w:tr w14:paraId="4709D87E">
        <w:tblPrEx>
          <w:tblCellMar>
            <w:top w:w="0" w:type="dxa"/>
            <w:left w:w="108" w:type="dxa"/>
            <w:bottom w:w="0" w:type="dxa"/>
            <w:right w:w="108" w:type="dxa"/>
          </w:tblCellMar>
        </w:tblPrEx>
        <w:trPr>
          <w:trHeight w:val="296" w:hRule="atLeast"/>
          <w:jc w:val="center"/>
        </w:trPr>
        <w:tc>
          <w:tcPr>
            <w:tcW w:w="160" w:type="pct"/>
            <w:tcBorders>
              <w:top w:val="nil"/>
              <w:left w:val="single" w:color="auto" w:sz="4" w:space="0"/>
              <w:bottom w:val="single" w:color="auto" w:sz="4" w:space="0"/>
              <w:right w:val="single" w:color="auto" w:sz="4" w:space="0"/>
            </w:tcBorders>
            <w:vAlign w:val="center"/>
          </w:tcPr>
          <w:p w14:paraId="64383C1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3" w:type="pct"/>
            <w:gridSpan w:val="3"/>
            <w:tcBorders>
              <w:top w:val="single" w:color="auto" w:sz="4" w:space="0"/>
              <w:left w:val="nil"/>
              <w:bottom w:val="single" w:color="auto" w:sz="4" w:space="0"/>
              <w:right w:val="single" w:color="auto" w:sz="4" w:space="0"/>
            </w:tcBorders>
            <w:vAlign w:val="center"/>
          </w:tcPr>
          <w:p w14:paraId="608EE06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投资估算的编制或审核</w:t>
            </w:r>
          </w:p>
        </w:tc>
        <w:tc>
          <w:tcPr>
            <w:tcW w:w="940" w:type="pct"/>
            <w:tcBorders>
              <w:top w:val="nil"/>
              <w:left w:val="nil"/>
              <w:bottom w:val="single" w:color="auto" w:sz="4" w:space="0"/>
              <w:right w:val="single" w:color="auto" w:sz="4" w:space="0"/>
            </w:tcBorders>
            <w:vAlign w:val="center"/>
          </w:tcPr>
          <w:p w14:paraId="7F6AA77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依据建设项目可行性研究方案编制或核对项目投资估算，出具投资估算报告或审核报告</w:t>
            </w:r>
          </w:p>
        </w:tc>
        <w:tc>
          <w:tcPr>
            <w:tcW w:w="518" w:type="pct"/>
            <w:tcBorders>
              <w:top w:val="nil"/>
              <w:left w:val="nil"/>
              <w:bottom w:val="single" w:color="auto" w:sz="4" w:space="0"/>
              <w:right w:val="single" w:color="auto" w:sz="4" w:space="0"/>
            </w:tcBorders>
            <w:vAlign w:val="center"/>
          </w:tcPr>
          <w:p w14:paraId="5CA823A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估算价</w:t>
            </w:r>
          </w:p>
        </w:tc>
        <w:tc>
          <w:tcPr>
            <w:tcW w:w="359" w:type="pct"/>
            <w:tcBorders>
              <w:top w:val="nil"/>
              <w:left w:val="nil"/>
              <w:bottom w:val="single" w:color="auto" w:sz="4" w:space="0"/>
              <w:right w:val="single" w:color="auto" w:sz="4" w:space="0"/>
            </w:tcBorders>
            <w:vAlign w:val="center"/>
          </w:tcPr>
          <w:p w14:paraId="11BF58E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300" w:type="pct"/>
            <w:tcBorders>
              <w:top w:val="nil"/>
              <w:left w:val="nil"/>
              <w:bottom w:val="single" w:color="auto" w:sz="4" w:space="0"/>
              <w:right w:val="single" w:color="auto" w:sz="4" w:space="0"/>
            </w:tcBorders>
            <w:vAlign w:val="center"/>
          </w:tcPr>
          <w:p w14:paraId="732DA47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14" w:type="pct"/>
            <w:tcBorders>
              <w:top w:val="nil"/>
              <w:left w:val="nil"/>
              <w:bottom w:val="single" w:color="auto" w:sz="4" w:space="0"/>
              <w:right w:val="single" w:color="auto" w:sz="4" w:space="0"/>
            </w:tcBorders>
            <w:vAlign w:val="center"/>
          </w:tcPr>
          <w:p w14:paraId="49C7AB8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0.9‰</w:t>
            </w:r>
          </w:p>
        </w:tc>
        <w:tc>
          <w:tcPr>
            <w:tcW w:w="456" w:type="pct"/>
            <w:gridSpan w:val="2"/>
            <w:tcBorders>
              <w:top w:val="nil"/>
              <w:left w:val="nil"/>
              <w:bottom w:val="single" w:color="auto" w:sz="4" w:space="0"/>
              <w:right w:val="single" w:color="auto" w:sz="4" w:space="0"/>
            </w:tcBorders>
            <w:vAlign w:val="center"/>
          </w:tcPr>
          <w:p w14:paraId="513669F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c>
          <w:tcPr>
            <w:tcW w:w="425" w:type="pct"/>
            <w:tcBorders>
              <w:top w:val="nil"/>
              <w:left w:val="nil"/>
              <w:bottom w:val="single" w:color="auto" w:sz="4" w:space="0"/>
              <w:right w:val="single" w:color="auto" w:sz="4" w:space="0"/>
            </w:tcBorders>
            <w:vAlign w:val="center"/>
          </w:tcPr>
          <w:p w14:paraId="65F34B0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299" w:type="pct"/>
            <w:tcBorders>
              <w:top w:val="nil"/>
              <w:left w:val="nil"/>
              <w:bottom w:val="single" w:color="auto" w:sz="4" w:space="0"/>
              <w:right w:val="single" w:color="auto" w:sz="4" w:space="0"/>
            </w:tcBorders>
            <w:vAlign w:val="center"/>
          </w:tcPr>
          <w:p w14:paraId="68EADF3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w:t>
            </w:r>
          </w:p>
        </w:tc>
        <w:tc>
          <w:tcPr>
            <w:tcW w:w="377" w:type="pct"/>
            <w:tcBorders>
              <w:top w:val="nil"/>
              <w:left w:val="nil"/>
              <w:bottom w:val="single" w:color="auto" w:sz="4" w:space="0"/>
              <w:right w:val="single" w:color="auto" w:sz="4" w:space="0"/>
            </w:tcBorders>
            <w:vAlign w:val="center"/>
          </w:tcPr>
          <w:p w14:paraId="76C1A06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差额定率累进计费</w:t>
            </w:r>
          </w:p>
        </w:tc>
      </w:tr>
      <w:tr w14:paraId="7CF97730">
        <w:tblPrEx>
          <w:tblCellMar>
            <w:top w:w="0" w:type="dxa"/>
            <w:left w:w="108" w:type="dxa"/>
            <w:bottom w:w="0" w:type="dxa"/>
            <w:right w:w="108" w:type="dxa"/>
          </w:tblCellMar>
        </w:tblPrEx>
        <w:trPr>
          <w:trHeight w:val="313" w:hRule="atLeast"/>
          <w:jc w:val="center"/>
        </w:trPr>
        <w:tc>
          <w:tcPr>
            <w:tcW w:w="160" w:type="pct"/>
            <w:tcBorders>
              <w:top w:val="nil"/>
              <w:left w:val="single" w:color="auto" w:sz="4" w:space="0"/>
              <w:bottom w:val="single" w:color="auto" w:sz="4" w:space="0"/>
              <w:right w:val="single" w:color="auto" w:sz="4" w:space="0"/>
            </w:tcBorders>
            <w:vAlign w:val="center"/>
          </w:tcPr>
          <w:p w14:paraId="7F551F4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53" w:type="pct"/>
            <w:gridSpan w:val="3"/>
            <w:tcBorders>
              <w:top w:val="single" w:color="auto" w:sz="4" w:space="0"/>
              <w:left w:val="nil"/>
              <w:bottom w:val="single" w:color="auto" w:sz="4" w:space="0"/>
              <w:right w:val="single" w:color="auto" w:sz="4" w:space="0"/>
            </w:tcBorders>
            <w:vAlign w:val="center"/>
          </w:tcPr>
          <w:p w14:paraId="212BD92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工程概算的编制或审核</w:t>
            </w:r>
          </w:p>
        </w:tc>
        <w:tc>
          <w:tcPr>
            <w:tcW w:w="940" w:type="pct"/>
            <w:tcBorders>
              <w:top w:val="nil"/>
              <w:left w:val="nil"/>
              <w:bottom w:val="single" w:color="auto" w:sz="4" w:space="0"/>
              <w:right w:val="single" w:color="auto" w:sz="4" w:space="0"/>
            </w:tcBorders>
            <w:vAlign w:val="center"/>
          </w:tcPr>
          <w:p w14:paraId="3E8D671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依据初步设计图纸计算或复核工程量，出具工程概算书或审核报告</w:t>
            </w:r>
          </w:p>
        </w:tc>
        <w:tc>
          <w:tcPr>
            <w:tcW w:w="518" w:type="pct"/>
            <w:tcBorders>
              <w:top w:val="nil"/>
              <w:left w:val="nil"/>
              <w:bottom w:val="single" w:color="auto" w:sz="4" w:space="0"/>
              <w:right w:val="single" w:color="auto" w:sz="4" w:space="0"/>
            </w:tcBorders>
            <w:vAlign w:val="center"/>
          </w:tcPr>
          <w:p w14:paraId="00CF6B7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概算价</w:t>
            </w:r>
          </w:p>
        </w:tc>
        <w:tc>
          <w:tcPr>
            <w:tcW w:w="359" w:type="pct"/>
            <w:tcBorders>
              <w:top w:val="nil"/>
              <w:left w:val="nil"/>
              <w:bottom w:val="single" w:color="auto" w:sz="4" w:space="0"/>
              <w:right w:val="single" w:color="auto" w:sz="4" w:space="0"/>
            </w:tcBorders>
            <w:vAlign w:val="center"/>
          </w:tcPr>
          <w:p w14:paraId="1169BC2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0" w:type="pct"/>
            <w:tcBorders>
              <w:top w:val="nil"/>
              <w:left w:val="nil"/>
              <w:bottom w:val="single" w:color="auto" w:sz="4" w:space="0"/>
              <w:right w:val="single" w:color="auto" w:sz="4" w:space="0"/>
            </w:tcBorders>
            <w:vAlign w:val="center"/>
          </w:tcPr>
          <w:p w14:paraId="4DE8502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414" w:type="pct"/>
            <w:tcBorders>
              <w:top w:val="nil"/>
              <w:left w:val="nil"/>
              <w:bottom w:val="single" w:color="auto" w:sz="4" w:space="0"/>
              <w:right w:val="single" w:color="auto" w:sz="4" w:space="0"/>
            </w:tcBorders>
            <w:vAlign w:val="center"/>
          </w:tcPr>
          <w:p w14:paraId="58F7886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456" w:type="pct"/>
            <w:gridSpan w:val="2"/>
            <w:tcBorders>
              <w:top w:val="nil"/>
              <w:left w:val="nil"/>
              <w:bottom w:val="single" w:color="auto" w:sz="4" w:space="0"/>
              <w:right w:val="single" w:color="auto" w:sz="4" w:space="0"/>
            </w:tcBorders>
            <w:vAlign w:val="center"/>
          </w:tcPr>
          <w:p w14:paraId="76000CF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425" w:type="pct"/>
            <w:tcBorders>
              <w:top w:val="nil"/>
              <w:left w:val="nil"/>
              <w:bottom w:val="single" w:color="auto" w:sz="4" w:space="0"/>
              <w:right w:val="single" w:color="auto" w:sz="4" w:space="0"/>
            </w:tcBorders>
            <w:vAlign w:val="center"/>
          </w:tcPr>
          <w:p w14:paraId="65F8E9D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99" w:type="pct"/>
            <w:tcBorders>
              <w:top w:val="nil"/>
              <w:left w:val="nil"/>
              <w:bottom w:val="single" w:color="auto" w:sz="4" w:space="0"/>
              <w:right w:val="single" w:color="auto" w:sz="4" w:space="0"/>
            </w:tcBorders>
            <w:vAlign w:val="center"/>
          </w:tcPr>
          <w:p w14:paraId="5158F18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377" w:type="pct"/>
            <w:tcBorders>
              <w:top w:val="nil"/>
              <w:left w:val="nil"/>
              <w:bottom w:val="single" w:color="auto" w:sz="4" w:space="0"/>
              <w:right w:val="single" w:color="auto" w:sz="4" w:space="0"/>
            </w:tcBorders>
            <w:vAlign w:val="center"/>
          </w:tcPr>
          <w:p w14:paraId="4C84B40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差额定率累进计费</w:t>
            </w:r>
          </w:p>
        </w:tc>
      </w:tr>
      <w:tr w14:paraId="44509DFE">
        <w:tblPrEx>
          <w:tblCellMar>
            <w:top w:w="0" w:type="dxa"/>
            <w:left w:w="108" w:type="dxa"/>
            <w:bottom w:w="0" w:type="dxa"/>
            <w:right w:w="108" w:type="dxa"/>
          </w:tblCellMar>
        </w:tblPrEx>
        <w:trPr>
          <w:trHeight w:val="255" w:hRule="atLeast"/>
          <w:jc w:val="center"/>
        </w:trPr>
        <w:tc>
          <w:tcPr>
            <w:tcW w:w="160" w:type="pct"/>
            <w:vMerge w:val="restart"/>
            <w:tcBorders>
              <w:top w:val="nil"/>
              <w:left w:val="single" w:color="auto" w:sz="4" w:space="0"/>
              <w:bottom w:val="single" w:color="auto" w:sz="4" w:space="0"/>
              <w:right w:val="single" w:color="auto" w:sz="4" w:space="0"/>
            </w:tcBorders>
            <w:vAlign w:val="center"/>
          </w:tcPr>
          <w:p w14:paraId="4BFA321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60" w:type="pct"/>
            <w:vMerge w:val="restart"/>
            <w:tcBorders>
              <w:top w:val="nil"/>
              <w:left w:val="single" w:color="auto" w:sz="4" w:space="0"/>
              <w:bottom w:val="single" w:color="auto" w:sz="4" w:space="0"/>
              <w:right w:val="single" w:color="auto" w:sz="4" w:space="0"/>
            </w:tcBorders>
            <w:vAlign w:val="center"/>
          </w:tcPr>
          <w:p w14:paraId="79570F4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工程预算的编制或审核</w:t>
            </w:r>
          </w:p>
        </w:tc>
        <w:tc>
          <w:tcPr>
            <w:tcW w:w="161" w:type="pct"/>
            <w:vMerge w:val="restart"/>
            <w:tcBorders>
              <w:top w:val="nil"/>
              <w:left w:val="single" w:color="auto" w:sz="4" w:space="0"/>
              <w:bottom w:val="single" w:color="auto" w:sz="4" w:space="0"/>
              <w:right w:val="single" w:color="auto" w:sz="4" w:space="0"/>
            </w:tcBorders>
            <w:vAlign w:val="center"/>
          </w:tcPr>
          <w:p w14:paraId="7F06CD6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清单计价法</w:t>
            </w:r>
          </w:p>
        </w:tc>
        <w:tc>
          <w:tcPr>
            <w:tcW w:w="432" w:type="pct"/>
            <w:tcBorders>
              <w:top w:val="nil"/>
              <w:left w:val="nil"/>
              <w:bottom w:val="single" w:color="auto" w:sz="4" w:space="0"/>
              <w:right w:val="single" w:color="auto" w:sz="4" w:space="0"/>
            </w:tcBorders>
            <w:vAlign w:val="center"/>
          </w:tcPr>
          <w:p w14:paraId="35BD624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单独编制或审核工程量清单</w:t>
            </w:r>
          </w:p>
        </w:tc>
        <w:tc>
          <w:tcPr>
            <w:tcW w:w="940" w:type="pct"/>
            <w:tcBorders>
              <w:top w:val="nil"/>
              <w:left w:val="nil"/>
              <w:bottom w:val="single" w:color="auto" w:sz="4" w:space="0"/>
              <w:right w:val="single" w:color="auto" w:sz="4" w:space="0"/>
            </w:tcBorders>
            <w:vAlign w:val="center"/>
          </w:tcPr>
          <w:p w14:paraId="171121D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依据施工图编制或审核工程量清单，出具工程量清单书或审核报告</w:t>
            </w:r>
          </w:p>
        </w:tc>
        <w:tc>
          <w:tcPr>
            <w:tcW w:w="518" w:type="pct"/>
            <w:tcBorders>
              <w:top w:val="nil"/>
              <w:left w:val="nil"/>
              <w:bottom w:val="single" w:color="auto" w:sz="4" w:space="0"/>
              <w:right w:val="single" w:color="auto" w:sz="4" w:space="0"/>
            </w:tcBorders>
            <w:vAlign w:val="center"/>
          </w:tcPr>
          <w:p w14:paraId="56291A1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预算造价（预算价、招标控制价）</w:t>
            </w:r>
          </w:p>
        </w:tc>
        <w:tc>
          <w:tcPr>
            <w:tcW w:w="359" w:type="pct"/>
            <w:tcBorders>
              <w:top w:val="nil"/>
              <w:left w:val="nil"/>
              <w:bottom w:val="single" w:color="auto" w:sz="4" w:space="0"/>
              <w:right w:val="single" w:color="auto" w:sz="4" w:space="0"/>
            </w:tcBorders>
            <w:vAlign w:val="center"/>
          </w:tcPr>
          <w:p w14:paraId="5D20D88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0" w:type="pct"/>
            <w:tcBorders>
              <w:top w:val="nil"/>
              <w:left w:val="nil"/>
              <w:bottom w:val="single" w:color="auto" w:sz="4" w:space="0"/>
              <w:right w:val="single" w:color="auto" w:sz="4" w:space="0"/>
            </w:tcBorders>
            <w:vAlign w:val="center"/>
          </w:tcPr>
          <w:p w14:paraId="004C188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414" w:type="pct"/>
            <w:tcBorders>
              <w:top w:val="nil"/>
              <w:left w:val="nil"/>
              <w:bottom w:val="single" w:color="auto" w:sz="4" w:space="0"/>
              <w:right w:val="single" w:color="auto" w:sz="4" w:space="0"/>
            </w:tcBorders>
            <w:vAlign w:val="center"/>
          </w:tcPr>
          <w:p w14:paraId="7E6F7E7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456" w:type="pct"/>
            <w:gridSpan w:val="2"/>
            <w:tcBorders>
              <w:top w:val="nil"/>
              <w:left w:val="nil"/>
              <w:bottom w:val="single" w:color="auto" w:sz="4" w:space="0"/>
              <w:right w:val="single" w:color="auto" w:sz="4" w:space="0"/>
            </w:tcBorders>
            <w:vAlign w:val="center"/>
          </w:tcPr>
          <w:p w14:paraId="063F076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425" w:type="pct"/>
            <w:tcBorders>
              <w:top w:val="nil"/>
              <w:left w:val="nil"/>
              <w:bottom w:val="single" w:color="auto" w:sz="4" w:space="0"/>
              <w:right w:val="single" w:color="auto" w:sz="4" w:space="0"/>
            </w:tcBorders>
            <w:vAlign w:val="center"/>
          </w:tcPr>
          <w:p w14:paraId="33AFA3A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99" w:type="pct"/>
            <w:tcBorders>
              <w:top w:val="nil"/>
              <w:left w:val="nil"/>
              <w:bottom w:val="single" w:color="auto" w:sz="4" w:space="0"/>
              <w:right w:val="single" w:color="auto" w:sz="4" w:space="0"/>
            </w:tcBorders>
            <w:vAlign w:val="center"/>
          </w:tcPr>
          <w:p w14:paraId="62EE687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377" w:type="pct"/>
            <w:tcBorders>
              <w:top w:val="nil"/>
              <w:left w:val="nil"/>
              <w:bottom w:val="single" w:color="auto" w:sz="4" w:space="0"/>
              <w:right w:val="single" w:color="auto" w:sz="4" w:space="0"/>
            </w:tcBorders>
            <w:vAlign w:val="center"/>
          </w:tcPr>
          <w:p w14:paraId="47432EC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差额定率累进计费</w:t>
            </w:r>
          </w:p>
        </w:tc>
      </w:tr>
      <w:tr w14:paraId="70716C4C">
        <w:tblPrEx>
          <w:tblCellMar>
            <w:top w:w="0" w:type="dxa"/>
            <w:left w:w="108" w:type="dxa"/>
            <w:bottom w:w="0" w:type="dxa"/>
            <w:right w:w="108" w:type="dxa"/>
          </w:tblCellMar>
        </w:tblPrEx>
        <w:trPr>
          <w:trHeight w:val="410" w:hRule="atLeast"/>
          <w:jc w:val="center"/>
        </w:trPr>
        <w:tc>
          <w:tcPr>
            <w:tcW w:w="160" w:type="pct"/>
            <w:vMerge w:val="continue"/>
            <w:tcBorders>
              <w:top w:val="nil"/>
              <w:left w:val="single" w:color="auto" w:sz="4" w:space="0"/>
              <w:bottom w:val="single" w:color="auto" w:sz="4" w:space="0"/>
              <w:right w:val="single" w:color="auto" w:sz="4" w:space="0"/>
            </w:tcBorders>
            <w:vAlign w:val="center"/>
          </w:tcPr>
          <w:p w14:paraId="4B560490">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60" w:type="pct"/>
            <w:vMerge w:val="continue"/>
            <w:tcBorders>
              <w:top w:val="nil"/>
              <w:left w:val="single" w:color="auto" w:sz="4" w:space="0"/>
              <w:bottom w:val="single" w:color="auto" w:sz="4" w:space="0"/>
              <w:right w:val="single" w:color="auto" w:sz="4" w:space="0"/>
            </w:tcBorders>
            <w:vAlign w:val="center"/>
          </w:tcPr>
          <w:p w14:paraId="1513CF50">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61" w:type="pct"/>
            <w:vMerge w:val="continue"/>
            <w:tcBorders>
              <w:top w:val="nil"/>
              <w:left w:val="single" w:color="auto" w:sz="4" w:space="0"/>
              <w:bottom w:val="single" w:color="auto" w:sz="4" w:space="0"/>
              <w:right w:val="single" w:color="auto" w:sz="4" w:space="0"/>
            </w:tcBorders>
            <w:vAlign w:val="center"/>
          </w:tcPr>
          <w:p w14:paraId="3AC6D2BF">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432" w:type="pct"/>
            <w:tcBorders>
              <w:top w:val="nil"/>
              <w:left w:val="nil"/>
              <w:bottom w:val="single" w:color="auto" w:sz="4" w:space="0"/>
              <w:right w:val="single" w:color="auto" w:sz="4" w:space="0"/>
            </w:tcBorders>
            <w:vAlign w:val="center"/>
          </w:tcPr>
          <w:p w14:paraId="69169DCA">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单独编制或审核预算造价</w:t>
            </w:r>
          </w:p>
        </w:tc>
        <w:tc>
          <w:tcPr>
            <w:tcW w:w="940" w:type="pct"/>
            <w:tcBorders>
              <w:top w:val="nil"/>
              <w:left w:val="nil"/>
              <w:bottom w:val="single" w:color="auto" w:sz="4" w:space="0"/>
              <w:right w:val="single" w:color="auto" w:sz="4" w:space="0"/>
            </w:tcBorders>
            <w:vAlign w:val="center"/>
          </w:tcPr>
          <w:p w14:paraId="09DA79F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依据施工图、工程量清单编制或审核工程量清单报价，出具工程报价书或审核报告</w:t>
            </w:r>
          </w:p>
        </w:tc>
        <w:tc>
          <w:tcPr>
            <w:tcW w:w="518" w:type="pct"/>
            <w:tcBorders>
              <w:top w:val="nil"/>
              <w:left w:val="nil"/>
              <w:bottom w:val="single" w:color="auto" w:sz="4" w:space="0"/>
              <w:right w:val="single" w:color="auto" w:sz="4" w:space="0"/>
            </w:tcBorders>
            <w:vAlign w:val="center"/>
          </w:tcPr>
          <w:p w14:paraId="6435852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预算造价（预算价、招标控制价、投标报价）</w:t>
            </w:r>
          </w:p>
        </w:tc>
        <w:tc>
          <w:tcPr>
            <w:tcW w:w="359" w:type="pct"/>
            <w:tcBorders>
              <w:top w:val="nil"/>
              <w:left w:val="nil"/>
              <w:bottom w:val="single" w:color="auto" w:sz="4" w:space="0"/>
              <w:right w:val="single" w:color="auto" w:sz="4" w:space="0"/>
            </w:tcBorders>
            <w:vAlign w:val="center"/>
          </w:tcPr>
          <w:p w14:paraId="432396D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300" w:type="pct"/>
            <w:tcBorders>
              <w:top w:val="nil"/>
              <w:left w:val="nil"/>
              <w:bottom w:val="single" w:color="auto" w:sz="4" w:space="0"/>
              <w:right w:val="single" w:color="auto" w:sz="4" w:space="0"/>
            </w:tcBorders>
            <w:vAlign w:val="center"/>
          </w:tcPr>
          <w:p w14:paraId="6069DC7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414" w:type="pct"/>
            <w:tcBorders>
              <w:top w:val="nil"/>
              <w:left w:val="nil"/>
              <w:bottom w:val="single" w:color="auto" w:sz="4" w:space="0"/>
              <w:right w:val="single" w:color="auto" w:sz="4" w:space="0"/>
            </w:tcBorders>
            <w:vAlign w:val="center"/>
          </w:tcPr>
          <w:p w14:paraId="4A3CA5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456" w:type="pct"/>
            <w:gridSpan w:val="2"/>
            <w:tcBorders>
              <w:top w:val="nil"/>
              <w:left w:val="nil"/>
              <w:bottom w:val="single" w:color="auto" w:sz="4" w:space="0"/>
              <w:right w:val="single" w:color="auto" w:sz="4" w:space="0"/>
            </w:tcBorders>
            <w:vAlign w:val="center"/>
          </w:tcPr>
          <w:p w14:paraId="79E1F94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425" w:type="pct"/>
            <w:tcBorders>
              <w:top w:val="nil"/>
              <w:left w:val="nil"/>
              <w:bottom w:val="single" w:color="auto" w:sz="4" w:space="0"/>
              <w:right w:val="single" w:color="auto" w:sz="4" w:space="0"/>
            </w:tcBorders>
            <w:vAlign w:val="center"/>
          </w:tcPr>
          <w:p w14:paraId="24520E0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0.9‰</w:t>
            </w:r>
          </w:p>
        </w:tc>
        <w:tc>
          <w:tcPr>
            <w:tcW w:w="299" w:type="pct"/>
            <w:tcBorders>
              <w:top w:val="nil"/>
              <w:left w:val="nil"/>
              <w:bottom w:val="single" w:color="auto" w:sz="4" w:space="0"/>
              <w:right w:val="single" w:color="auto" w:sz="4" w:space="0"/>
            </w:tcBorders>
            <w:vAlign w:val="center"/>
          </w:tcPr>
          <w:p w14:paraId="7F5B1E9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377" w:type="pct"/>
            <w:tcBorders>
              <w:top w:val="nil"/>
              <w:left w:val="nil"/>
              <w:bottom w:val="single" w:color="auto" w:sz="4" w:space="0"/>
              <w:right w:val="single" w:color="auto" w:sz="4" w:space="0"/>
            </w:tcBorders>
            <w:vAlign w:val="center"/>
          </w:tcPr>
          <w:p w14:paraId="2568AAE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差额定率累进计费</w:t>
            </w:r>
          </w:p>
        </w:tc>
      </w:tr>
      <w:tr w14:paraId="7358092E">
        <w:tblPrEx>
          <w:tblCellMar>
            <w:top w:w="0" w:type="dxa"/>
            <w:left w:w="108" w:type="dxa"/>
            <w:bottom w:w="0" w:type="dxa"/>
            <w:right w:w="108" w:type="dxa"/>
          </w:tblCellMar>
        </w:tblPrEx>
        <w:trPr>
          <w:trHeight w:val="366" w:hRule="atLeast"/>
          <w:jc w:val="center"/>
        </w:trPr>
        <w:tc>
          <w:tcPr>
            <w:tcW w:w="160" w:type="pct"/>
            <w:vMerge w:val="continue"/>
            <w:tcBorders>
              <w:top w:val="nil"/>
              <w:left w:val="single" w:color="auto" w:sz="4" w:space="0"/>
              <w:bottom w:val="single" w:color="auto" w:sz="4" w:space="0"/>
              <w:right w:val="single" w:color="auto" w:sz="4" w:space="0"/>
            </w:tcBorders>
            <w:vAlign w:val="center"/>
          </w:tcPr>
          <w:p w14:paraId="4BC9C53F">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60" w:type="pct"/>
            <w:vMerge w:val="continue"/>
            <w:tcBorders>
              <w:top w:val="nil"/>
              <w:left w:val="single" w:color="auto" w:sz="4" w:space="0"/>
              <w:bottom w:val="single" w:color="auto" w:sz="4" w:space="0"/>
              <w:right w:val="single" w:color="auto" w:sz="4" w:space="0"/>
            </w:tcBorders>
            <w:vAlign w:val="center"/>
          </w:tcPr>
          <w:p w14:paraId="10F245BE">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61" w:type="pct"/>
            <w:tcBorders>
              <w:top w:val="nil"/>
              <w:left w:val="nil"/>
              <w:bottom w:val="single" w:color="auto" w:sz="4" w:space="0"/>
              <w:right w:val="single" w:color="auto" w:sz="4" w:space="0"/>
            </w:tcBorders>
            <w:vAlign w:val="center"/>
          </w:tcPr>
          <w:p w14:paraId="1D4719E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定额计价法</w:t>
            </w:r>
          </w:p>
        </w:tc>
        <w:tc>
          <w:tcPr>
            <w:tcW w:w="432" w:type="pct"/>
            <w:tcBorders>
              <w:top w:val="nil"/>
              <w:left w:val="nil"/>
              <w:bottom w:val="single" w:color="auto" w:sz="4" w:space="0"/>
              <w:right w:val="single" w:color="auto" w:sz="4" w:space="0"/>
            </w:tcBorders>
            <w:vAlign w:val="center"/>
          </w:tcPr>
          <w:p w14:paraId="617EF43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编制或审核预算造价</w:t>
            </w:r>
          </w:p>
        </w:tc>
        <w:tc>
          <w:tcPr>
            <w:tcW w:w="940" w:type="pct"/>
            <w:tcBorders>
              <w:top w:val="nil"/>
              <w:left w:val="nil"/>
              <w:bottom w:val="single" w:color="auto" w:sz="4" w:space="0"/>
              <w:right w:val="single" w:color="auto" w:sz="4" w:space="0"/>
            </w:tcBorders>
            <w:vAlign w:val="center"/>
          </w:tcPr>
          <w:p w14:paraId="2D22737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依据施工图编制或审核工程预算，出具工程预算书或审核报告</w:t>
            </w:r>
          </w:p>
        </w:tc>
        <w:tc>
          <w:tcPr>
            <w:tcW w:w="518" w:type="pct"/>
            <w:tcBorders>
              <w:top w:val="nil"/>
              <w:left w:val="nil"/>
              <w:bottom w:val="single" w:color="auto" w:sz="4" w:space="0"/>
              <w:right w:val="single" w:color="auto" w:sz="4" w:space="0"/>
            </w:tcBorders>
            <w:vAlign w:val="center"/>
          </w:tcPr>
          <w:p w14:paraId="715CFB2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预算造价（预算价、招标控制价、投标报价）</w:t>
            </w:r>
          </w:p>
        </w:tc>
        <w:tc>
          <w:tcPr>
            <w:tcW w:w="359" w:type="pct"/>
            <w:tcBorders>
              <w:top w:val="nil"/>
              <w:left w:val="nil"/>
              <w:bottom w:val="single" w:color="auto" w:sz="4" w:space="0"/>
              <w:right w:val="single" w:color="auto" w:sz="4" w:space="0"/>
            </w:tcBorders>
            <w:vAlign w:val="center"/>
          </w:tcPr>
          <w:p w14:paraId="135BDD0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300" w:type="pct"/>
            <w:tcBorders>
              <w:top w:val="nil"/>
              <w:left w:val="nil"/>
              <w:bottom w:val="single" w:color="auto" w:sz="4" w:space="0"/>
              <w:right w:val="single" w:color="auto" w:sz="4" w:space="0"/>
            </w:tcBorders>
            <w:vAlign w:val="center"/>
          </w:tcPr>
          <w:p w14:paraId="6D8052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14" w:type="pct"/>
            <w:tcBorders>
              <w:top w:val="nil"/>
              <w:left w:val="nil"/>
              <w:bottom w:val="single" w:color="auto" w:sz="4" w:space="0"/>
              <w:right w:val="single" w:color="auto" w:sz="4" w:space="0"/>
            </w:tcBorders>
            <w:vAlign w:val="center"/>
          </w:tcPr>
          <w:p w14:paraId="3665F9E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456" w:type="pct"/>
            <w:gridSpan w:val="2"/>
            <w:tcBorders>
              <w:top w:val="nil"/>
              <w:left w:val="nil"/>
              <w:bottom w:val="single" w:color="auto" w:sz="4" w:space="0"/>
              <w:right w:val="single" w:color="auto" w:sz="4" w:space="0"/>
            </w:tcBorders>
            <w:vAlign w:val="center"/>
          </w:tcPr>
          <w:p w14:paraId="30945A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425" w:type="pct"/>
            <w:tcBorders>
              <w:top w:val="nil"/>
              <w:left w:val="nil"/>
              <w:bottom w:val="single" w:color="auto" w:sz="4" w:space="0"/>
              <w:right w:val="single" w:color="auto" w:sz="4" w:space="0"/>
            </w:tcBorders>
            <w:vAlign w:val="center"/>
          </w:tcPr>
          <w:p w14:paraId="5A17C07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299" w:type="pct"/>
            <w:tcBorders>
              <w:top w:val="nil"/>
              <w:left w:val="nil"/>
              <w:bottom w:val="single" w:color="auto" w:sz="4" w:space="0"/>
              <w:right w:val="single" w:color="auto" w:sz="4" w:space="0"/>
            </w:tcBorders>
            <w:vAlign w:val="center"/>
          </w:tcPr>
          <w:p w14:paraId="4161BC1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77" w:type="pct"/>
            <w:tcBorders>
              <w:top w:val="nil"/>
              <w:left w:val="nil"/>
              <w:bottom w:val="single" w:color="auto" w:sz="4" w:space="0"/>
              <w:right w:val="single" w:color="auto" w:sz="4" w:space="0"/>
            </w:tcBorders>
            <w:vAlign w:val="center"/>
          </w:tcPr>
          <w:p w14:paraId="7A33021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差额定率累进计费</w:t>
            </w:r>
          </w:p>
        </w:tc>
      </w:tr>
      <w:tr w14:paraId="0731ABEA">
        <w:tblPrEx>
          <w:tblCellMar>
            <w:top w:w="0" w:type="dxa"/>
            <w:left w:w="108" w:type="dxa"/>
            <w:bottom w:w="0" w:type="dxa"/>
            <w:right w:w="108" w:type="dxa"/>
          </w:tblCellMar>
        </w:tblPrEx>
        <w:trPr>
          <w:trHeight w:val="261" w:hRule="atLeast"/>
          <w:jc w:val="center"/>
        </w:trPr>
        <w:tc>
          <w:tcPr>
            <w:tcW w:w="160" w:type="pct"/>
            <w:tcBorders>
              <w:top w:val="nil"/>
              <w:left w:val="single" w:color="auto" w:sz="4" w:space="0"/>
              <w:bottom w:val="single" w:color="auto" w:sz="4" w:space="0"/>
              <w:right w:val="single" w:color="auto" w:sz="4" w:space="0"/>
            </w:tcBorders>
            <w:vAlign w:val="center"/>
          </w:tcPr>
          <w:p w14:paraId="56F3C0B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53" w:type="pct"/>
            <w:gridSpan w:val="3"/>
            <w:tcBorders>
              <w:top w:val="single" w:color="auto" w:sz="4" w:space="0"/>
              <w:left w:val="nil"/>
              <w:bottom w:val="single" w:color="auto" w:sz="4" w:space="0"/>
              <w:right w:val="single" w:color="auto" w:sz="4" w:space="0"/>
            </w:tcBorders>
            <w:vAlign w:val="center"/>
          </w:tcPr>
          <w:p w14:paraId="485DFAD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工程结算的编制</w:t>
            </w:r>
          </w:p>
        </w:tc>
        <w:tc>
          <w:tcPr>
            <w:tcW w:w="940" w:type="pct"/>
            <w:tcBorders>
              <w:top w:val="nil"/>
              <w:left w:val="nil"/>
              <w:bottom w:val="single" w:color="auto" w:sz="4" w:space="0"/>
              <w:right w:val="single" w:color="auto" w:sz="4" w:space="0"/>
            </w:tcBorders>
            <w:vAlign w:val="center"/>
          </w:tcPr>
          <w:p w14:paraId="4876B9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依据竣工图等竣工资料编制工程结算，出具工程结算书</w:t>
            </w:r>
          </w:p>
        </w:tc>
        <w:tc>
          <w:tcPr>
            <w:tcW w:w="518" w:type="pct"/>
            <w:tcBorders>
              <w:top w:val="nil"/>
              <w:left w:val="nil"/>
              <w:bottom w:val="single" w:color="auto" w:sz="4" w:space="0"/>
              <w:right w:val="single" w:color="auto" w:sz="4" w:space="0"/>
            </w:tcBorders>
            <w:vAlign w:val="center"/>
          </w:tcPr>
          <w:p w14:paraId="04717C8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结算价</w:t>
            </w:r>
          </w:p>
        </w:tc>
        <w:tc>
          <w:tcPr>
            <w:tcW w:w="359" w:type="pct"/>
            <w:tcBorders>
              <w:top w:val="nil"/>
              <w:left w:val="nil"/>
              <w:bottom w:val="single" w:color="auto" w:sz="4" w:space="0"/>
              <w:right w:val="single" w:color="auto" w:sz="4" w:space="0"/>
            </w:tcBorders>
            <w:vAlign w:val="center"/>
          </w:tcPr>
          <w:p w14:paraId="52863CE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300" w:type="pct"/>
            <w:tcBorders>
              <w:top w:val="nil"/>
              <w:left w:val="nil"/>
              <w:bottom w:val="single" w:color="auto" w:sz="4" w:space="0"/>
              <w:right w:val="single" w:color="auto" w:sz="4" w:space="0"/>
            </w:tcBorders>
            <w:vAlign w:val="center"/>
          </w:tcPr>
          <w:p w14:paraId="2E94458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14" w:type="pct"/>
            <w:tcBorders>
              <w:top w:val="nil"/>
              <w:left w:val="nil"/>
              <w:bottom w:val="single" w:color="auto" w:sz="4" w:space="0"/>
              <w:right w:val="single" w:color="auto" w:sz="4" w:space="0"/>
            </w:tcBorders>
            <w:vAlign w:val="center"/>
          </w:tcPr>
          <w:p w14:paraId="24ABBB2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456" w:type="pct"/>
            <w:gridSpan w:val="2"/>
            <w:tcBorders>
              <w:top w:val="nil"/>
              <w:left w:val="nil"/>
              <w:bottom w:val="single" w:color="auto" w:sz="4" w:space="0"/>
              <w:right w:val="single" w:color="auto" w:sz="4" w:space="0"/>
            </w:tcBorders>
            <w:vAlign w:val="center"/>
          </w:tcPr>
          <w:p w14:paraId="22435E1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425" w:type="pct"/>
            <w:tcBorders>
              <w:top w:val="nil"/>
              <w:left w:val="nil"/>
              <w:bottom w:val="single" w:color="auto" w:sz="4" w:space="0"/>
              <w:right w:val="single" w:color="auto" w:sz="4" w:space="0"/>
            </w:tcBorders>
            <w:vAlign w:val="center"/>
          </w:tcPr>
          <w:p w14:paraId="7090E6E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99" w:type="pct"/>
            <w:tcBorders>
              <w:top w:val="nil"/>
              <w:left w:val="nil"/>
              <w:bottom w:val="single" w:color="auto" w:sz="4" w:space="0"/>
              <w:right w:val="single" w:color="auto" w:sz="4" w:space="0"/>
            </w:tcBorders>
            <w:vAlign w:val="center"/>
          </w:tcPr>
          <w:p w14:paraId="675A71B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377" w:type="pct"/>
            <w:tcBorders>
              <w:top w:val="nil"/>
              <w:left w:val="nil"/>
              <w:bottom w:val="single" w:color="auto" w:sz="4" w:space="0"/>
              <w:right w:val="single" w:color="auto" w:sz="4" w:space="0"/>
            </w:tcBorders>
            <w:vAlign w:val="center"/>
          </w:tcPr>
          <w:p w14:paraId="0BA7470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差额定率累进计费</w:t>
            </w:r>
          </w:p>
        </w:tc>
      </w:tr>
      <w:tr w14:paraId="41B6D10B">
        <w:tblPrEx>
          <w:tblCellMar>
            <w:top w:w="0" w:type="dxa"/>
            <w:left w:w="108" w:type="dxa"/>
            <w:bottom w:w="0" w:type="dxa"/>
            <w:right w:w="108" w:type="dxa"/>
          </w:tblCellMar>
        </w:tblPrEx>
        <w:trPr>
          <w:trHeight w:val="298" w:hRule="atLeast"/>
          <w:jc w:val="center"/>
        </w:trPr>
        <w:tc>
          <w:tcPr>
            <w:tcW w:w="160" w:type="pct"/>
            <w:vMerge w:val="restart"/>
            <w:tcBorders>
              <w:top w:val="nil"/>
              <w:left w:val="single" w:color="auto" w:sz="4" w:space="0"/>
              <w:bottom w:val="single" w:color="auto" w:sz="4" w:space="0"/>
              <w:right w:val="single" w:color="auto" w:sz="4" w:space="0"/>
            </w:tcBorders>
            <w:vAlign w:val="center"/>
          </w:tcPr>
          <w:p w14:paraId="6D4D194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21" w:type="pct"/>
            <w:gridSpan w:val="2"/>
            <w:vMerge w:val="restart"/>
            <w:tcBorders>
              <w:top w:val="single" w:color="auto" w:sz="4" w:space="0"/>
              <w:left w:val="single" w:color="auto" w:sz="4" w:space="0"/>
              <w:bottom w:val="single" w:color="auto" w:sz="4" w:space="0"/>
              <w:right w:val="single" w:color="auto" w:sz="4" w:space="0"/>
            </w:tcBorders>
            <w:vAlign w:val="center"/>
          </w:tcPr>
          <w:p w14:paraId="1FD817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工程结算审核</w:t>
            </w:r>
          </w:p>
        </w:tc>
        <w:tc>
          <w:tcPr>
            <w:tcW w:w="432" w:type="pct"/>
            <w:tcBorders>
              <w:top w:val="nil"/>
              <w:left w:val="nil"/>
              <w:bottom w:val="single" w:color="auto" w:sz="4" w:space="0"/>
              <w:right w:val="single" w:color="auto" w:sz="4" w:space="0"/>
            </w:tcBorders>
            <w:vAlign w:val="center"/>
          </w:tcPr>
          <w:p w14:paraId="718FB0D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（1）基本收费</w:t>
            </w:r>
          </w:p>
        </w:tc>
        <w:tc>
          <w:tcPr>
            <w:tcW w:w="940" w:type="pct"/>
            <w:vMerge w:val="restart"/>
            <w:tcBorders>
              <w:top w:val="nil"/>
              <w:left w:val="single" w:color="auto" w:sz="4" w:space="0"/>
              <w:bottom w:val="single" w:color="auto" w:sz="4" w:space="0"/>
              <w:right w:val="single" w:color="auto" w:sz="4" w:space="0"/>
            </w:tcBorders>
            <w:vAlign w:val="center"/>
          </w:tcPr>
          <w:p w14:paraId="7211AC6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依据竣工图、签证资料、工程结算书等进行审核，出具工程结算审核报告</w:t>
            </w:r>
          </w:p>
        </w:tc>
        <w:tc>
          <w:tcPr>
            <w:tcW w:w="518" w:type="pct"/>
            <w:tcBorders>
              <w:top w:val="nil"/>
              <w:left w:val="nil"/>
              <w:bottom w:val="single" w:color="auto" w:sz="4" w:space="0"/>
              <w:right w:val="single" w:color="auto" w:sz="4" w:space="0"/>
            </w:tcBorders>
            <w:vAlign w:val="center"/>
          </w:tcPr>
          <w:p w14:paraId="099EA1F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送审结算价</w:t>
            </w:r>
          </w:p>
        </w:tc>
        <w:tc>
          <w:tcPr>
            <w:tcW w:w="359" w:type="pct"/>
            <w:tcBorders>
              <w:top w:val="nil"/>
              <w:left w:val="nil"/>
              <w:bottom w:val="single" w:color="auto" w:sz="4" w:space="0"/>
              <w:right w:val="single" w:color="auto" w:sz="4" w:space="0"/>
            </w:tcBorders>
            <w:vAlign w:val="center"/>
          </w:tcPr>
          <w:p w14:paraId="1498E76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300" w:type="pct"/>
            <w:tcBorders>
              <w:top w:val="nil"/>
              <w:left w:val="nil"/>
              <w:bottom w:val="single" w:color="auto" w:sz="4" w:space="0"/>
              <w:right w:val="single" w:color="auto" w:sz="4" w:space="0"/>
            </w:tcBorders>
            <w:vAlign w:val="center"/>
          </w:tcPr>
          <w:p w14:paraId="6E48EA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414" w:type="pct"/>
            <w:tcBorders>
              <w:top w:val="nil"/>
              <w:left w:val="nil"/>
              <w:bottom w:val="single" w:color="auto" w:sz="4" w:space="0"/>
              <w:right w:val="single" w:color="auto" w:sz="4" w:space="0"/>
            </w:tcBorders>
            <w:vAlign w:val="center"/>
          </w:tcPr>
          <w:p w14:paraId="13298D4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456" w:type="pct"/>
            <w:gridSpan w:val="2"/>
            <w:tcBorders>
              <w:top w:val="nil"/>
              <w:left w:val="nil"/>
              <w:bottom w:val="single" w:color="auto" w:sz="4" w:space="0"/>
              <w:right w:val="single" w:color="auto" w:sz="4" w:space="0"/>
            </w:tcBorders>
            <w:vAlign w:val="center"/>
          </w:tcPr>
          <w:p w14:paraId="767A416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425" w:type="pct"/>
            <w:tcBorders>
              <w:top w:val="nil"/>
              <w:left w:val="nil"/>
              <w:bottom w:val="single" w:color="auto" w:sz="4" w:space="0"/>
              <w:right w:val="single" w:color="auto" w:sz="4" w:space="0"/>
            </w:tcBorders>
            <w:vAlign w:val="center"/>
          </w:tcPr>
          <w:p w14:paraId="43EDDFD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99" w:type="pct"/>
            <w:tcBorders>
              <w:top w:val="nil"/>
              <w:left w:val="nil"/>
              <w:bottom w:val="single" w:color="auto" w:sz="4" w:space="0"/>
              <w:right w:val="single" w:color="auto" w:sz="4" w:space="0"/>
            </w:tcBorders>
            <w:vAlign w:val="center"/>
          </w:tcPr>
          <w:p w14:paraId="0AF7F86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77" w:type="pct"/>
            <w:vMerge w:val="restart"/>
            <w:tcBorders>
              <w:top w:val="nil"/>
              <w:left w:val="single" w:color="auto" w:sz="4" w:space="0"/>
              <w:bottom w:val="single" w:color="auto" w:sz="4" w:space="0"/>
              <w:right w:val="single" w:color="auto" w:sz="4" w:space="0"/>
            </w:tcBorders>
            <w:vAlign w:val="center"/>
          </w:tcPr>
          <w:p w14:paraId="7B87897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基本收费为差额定率累进计费；总收费=基本收费+效益收费</w:t>
            </w:r>
          </w:p>
        </w:tc>
      </w:tr>
      <w:tr w14:paraId="0DBD8369">
        <w:tblPrEx>
          <w:tblCellMar>
            <w:top w:w="0" w:type="dxa"/>
            <w:left w:w="108" w:type="dxa"/>
            <w:bottom w:w="0" w:type="dxa"/>
            <w:right w:w="108" w:type="dxa"/>
          </w:tblCellMar>
        </w:tblPrEx>
        <w:trPr>
          <w:trHeight w:val="190" w:hRule="atLeast"/>
          <w:jc w:val="center"/>
        </w:trPr>
        <w:tc>
          <w:tcPr>
            <w:tcW w:w="160" w:type="pct"/>
            <w:vMerge w:val="continue"/>
            <w:tcBorders>
              <w:top w:val="nil"/>
              <w:left w:val="single" w:color="auto" w:sz="4" w:space="0"/>
              <w:bottom w:val="single" w:color="auto" w:sz="4" w:space="0"/>
              <w:right w:val="single" w:color="auto" w:sz="4" w:space="0"/>
            </w:tcBorders>
            <w:vAlign w:val="center"/>
          </w:tcPr>
          <w:p w14:paraId="3BA0B38F">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321" w:type="pct"/>
            <w:gridSpan w:val="2"/>
            <w:vMerge w:val="continue"/>
            <w:tcBorders>
              <w:top w:val="single" w:color="auto" w:sz="4" w:space="0"/>
              <w:left w:val="single" w:color="auto" w:sz="4" w:space="0"/>
              <w:bottom w:val="single" w:color="auto" w:sz="4" w:space="0"/>
              <w:right w:val="single" w:color="auto" w:sz="4" w:space="0"/>
            </w:tcBorders>
            <w:vAlign w:val="center"/>
          </w:tcPr>
          <w:p w14:paraId="056CC8CE">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432" w:type="pct"/>
            <w:tcBorders>
              <w:top w:val="nil"/>
              <w:left w:val="nil"/>
              <w:bottom w:val="single" w:color="auto" w:sz="4" w:space="0"/>
              <w:right w:val="single" w:color="auto" w:sz="4" w:space="0"/>
            </w:tcBorders>
            <w:vAlign w:val="center"/>
          </w:tcPr>
          <w:p w14:paraId="5E6865E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（2）效益收费</w:t>
            </w:r>
          </w:p>
        </w:tc>
        <w:tc>
          <w:tcPr>
            <w:tcW w:w="940" w:type="pct"/>
            <w:vMerge w:val="continue"/>
            <w:tcBorders>
              <w:top w:val="nil"/>
              <w:left w:val="single" w:color="auto" w:sz="4" w:space="0"/>
              <w:bottom w:val="single" w:color="auto" w:sz="4" w:space="0"/>
              <w:right w:val="single" w:color="auto" w:sz="4" w:space="0"/>
            </w:tcBorders>
            <w:vAlign w:val="center"/>
          </w:tcPr>
          <w:p w14:paraId="3A12A999">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518" w:type="pct"/>
            <w:tcBorders>
              <w:top w:val="nil"/>
              <w:left w:val="nil"/>
              <w:bottom w:val="single" w:color="auto" w:sz="4" w:space="0"/>
              <w:right w:val="single" w:color="auto" w:sz="4" w:space="0"/>
            </w:tcBorders>
            <w:vAlign w:val="center"/>
          </w:tcPr>
          <w:p w14:paraId="1EB0844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|核减额|+|核增额|</w:t>
            </w:r>
          </w:p>
        </w:tc>
        <w:tc>
          <w:tcPr>
            <w:tcW w:w="2252" w:type="pct"/>
            <w:gridSpan w:val="7"/>
            <w:tcBorders>
              <w:top w:val="single" w:color="auto" w:sz="4" w:space="0"/>
              <w:left w:val="nil"/>
              <w:bottom w:val="single" w:color="auto" w:sz="4" w:space="0"/>
              <w:right w:val="single" w:color="auto" w:sz="4" w:space="0"/>
            </w:tcBorders>
            <w:vAlign w:val="center"/>
          </w:tcPr>
          <w:p w14:paraId="33BEA0B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77" w:type="pct"/>
            <w:vMerge w:val="continue"/>
            <w:tcBorders>
              <w:top w:val="nil"/>
              <w:left w:val="single" w:color="auto" w:sz="4" w:space="0"/>
              <w:bottom w:val="single" w:color="auto" w:sz="4" w:space="0"/>
              <w:right w:val="single" w:color="auto" w:sz="4" w:space="0"/>
            </w:tcBorders>
            <w:vAlign w:val="center"/>
          </w:tcPr>
          <w:p w14:paraId="2EF8352B">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66D039FE">
        <w:tblPrEx>
          <w:tblCellMar>
            <w:top w:w="0" w:type="dxa"/>
            <w:left w:w="108" w:type="dxa"/>
            <w:bottom w:w="0" w:type="dxa"/>
            <w:right w:w="108" w:type="dxa"/>
          </w:tblCellMar>
        </w:tblPrEx>
        <w:trPr>
          <w:trHeight w:val="346" w:hRule="atLeast"/>
          <w:jc w:val="center"/>
        </w:trPr>
        <w:tc>
          <w:tcPr>
            <w:tcW w:w="160" w:type="pct"/>
            <w:tcBorders>
              <w:top w:val="nil"/>
              <w:left w:val="single" w:color="auto" w:sz="4" w:space="0"/>
              <w:bottom w:val="single" w:color="auto" w:sz="4" w:space="0"/>
              <w:right w:val="single" w:color="auto" w:sz="4" w:space="0"/>
            </w:tcBorders>
            <w:vAlign w:val="center"/>
          </w:tcPr>
          <w:p w14:paraId="4DB55CD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53" w:type="pct"/>
            <w:gridSpan w:val="3"/>
            <w:tcBorders>
              <w:top w:val="single" w:color="auto" w:sz="4" w:space="0"/>
              <w:left w:val="nil"/>
              <w:bottom w:val="single" w:color="auto" w:sz="4" w:space="0"/>
              <w:right w:val="single" w:color="auto" w:sz="4" w:space="0"/>
            </w:tcBorders>
            <w:vAlign w:val="center"/>
          </w:tcPr>
          <w:p w14:paraId="1AD678E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施工阶段全过程造价控制</w:t>
            </w:r>
          </w:p>
        </w:tc>
        <w:tc>
          <w:tcPr>
            <w:tcW w:w="940" w:type="pct"/>
            <w:tcBorders>
              <w:top w:val="nil"/>
              <w:left w:val="nil"/>
              <w:bottom w:val="single" w:color="auto" w:sz="4" w:space="0"/>
              <w:right w:val="single" w:color="auto" w:sz="4" w:space="0"/>
            </w:tcBorders>
            <w:vAlign w:val="center"/>
          </w:tcPr>
          <w:p w14:paraId="0B07B66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工程量清单编制开始到工程结算审核的造价咨询服务</w:t>
            </w:r>
          </w:p>
        </w:tc>
        <w:tc>
          <w:tcPr>
            <w:tcW w:w="518" w:type="pct"/>
            <w:tcBorders>
              <w:top w:val="nil"/>
              <w:left w:val="nil"/>
              <w:bottom w:val="single" w:color="auto" w:sz="4" w:space="0"/>
              <w:right w:val="single" w:color="auto" w:sz="4" w:space="0"/>
            </w:tcBorders>
            <w:vAlign w:val="center"/>
          </w:tcPr>
          <w:p w14:paraId="7CE0F70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概算价</w:t>
            </w:r>
          </w:p>
        </w:tc>
        <w:tc>
          <w:tcPr>
            <w:tcW w:w="359" w:type="pct"/>
            <w:tcBorders>
              <w:top w:val="nil"/>
              <w:left w:val="nil"/>
              <w:bottom w:val="single" w:color="auto" w:sz="4" w:space="0"/>
              <w:right w:val="single" w:color="auto" w:sz="4" w:space="0"/>
            </w:tcBorders>
            <w:vAlign w:val="center"/>
          </w:tcPr>
          <w:p w14:paraId="7529E2B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300" w:type="pct"/>
            <w:tcBorders>
              <w:top w:val="nil"/>
              <w:left w:val="nil"/>
              <w:bottom w:val="single" w:color="auto" w:sz="4" w:space="0"/>
              <w:right w:val="single" w:color="auto" w:sz="4" w:space="0"/>
            </w:tcBorders>
            <w:vAlign w:val="center"/>
          </w:tcPr>
          <w:p w14:paraId="5043E21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14" w:type="pct"/>
            <w:tcBorders>
              <w:top w:val="nil"/>
              <w:left w:val="nil"/>
              <w:bottom w:val="single" w:color="auto" w:sz="4" w:space="0"/>
              <w:right w:val="single" w:color="auto" w:sz="4" w:space="0"/>
            </w:tcBorders>
            <w:vAlign w:val="center"/>
          </w:tcPr>
          <w:p w14:paraId="4BA5E9C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50" w:type="pct"/>
            <w:tcBorders>
              <w:top w:val="nil"/>
              <w:left w:val="nil"/>
              <w:bottom w:val="single" w:color="auto" w:sz="4" w:space="0"/>
              <w:right w:val="single" w:color="auto" w:sz="4" w:space="0"/>
            </w:tcBorders>
            <w:vAlign w:val="center"/>
          </w:tcPr>
          <w:p w14:paraId="78C6654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31" w:type="pct"/>
            <w:gridSpan w:val="2"/>
            <w:tcBorders>
              <w:top w:val="nil"/>
              <w:left w:val="nil"/>
              <w:bottom w:val="single" w:color="auto" w:sz="4" w:space="0"/>
              <w:right w:val="single" w:color="auto" w:sz="4" w:space="0"/>
            </w:tcBorders>
            <w:vAlign w:val="center"/>
          </w:tcPr>
          <w:p w14:paraId="4DBE4F4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99" w:type="pct"/>
            <w:tcBorders>
              <w:top w:val="nil"/>
              <w:left w:val="nil"/>
              <w:bottom w:val="single" w:color="auto" w:sz="4" w:space="0"/>
              <w:right w:val="single" w:color="auto" w:sz="4" w:space="0"/>
            </w:tcBorders>
            <w:vAlign w:val="center"/>
          </w:tcPr>
          <w:p w14:paraId="43D9806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77" w:type="pct"/>
            <w:tcBorders>
              <w:top w:val="nil"/>
              <w:left w:val="nil"/>
              <w:bottom w:val="single" w:color="auto" w:sz="4" w:space="0"/>
              <w:right w:val="single" w:color="auto" w:sz="4" w:space="0"/>
            </w:tcBorders>
            <w:vAlign w:val="center"/>
          </w:tcPr>
          <w:p w14:paraId="0FCB129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差额定率累进计费；不包驻场人员的费用</w:t>
            </w:r>
          </w:p>
        </w:tc>
      </w:tr>
      <w:tr w14:paraId="10FAB075">
        <w:tblPrEx>
          <w:tblCellMar>
            <w:top w:w="0" w:type="dxa"/>
            <w:left w:w="108" w:type="dxa"/>
            <w:bottom w:w="0" w:type="dxa"/>
            <w:right w:w="108" w:type="dxa"/>
          </w:tblCellMar>
        </w:tblPrEx>
        <w:trPr>
          <w:trHeight w:val="534" w:hRule="atLeast"/>
          <w:jc w:val="center"/>
        </w:trPr>
        <w:tc>
          <w:tcPr>
            <w:tcW w:w="160" w:type="pct"/>
            <w:vMerge w:val="restart"/>
            <w:tcBorders>
              <w:top w:val="nil"/>
              <w:left w:val="single" w:color="auto" w:sz="4" w:space="0"/>
              <w:bottom w:val="single" w:color="auto" w:sz="4" w:space="0"/>
              <w:right w:val="single" w:color="auto" w:sz="4" w:space="0"/>
            </w:tcBorders>
            <w:vAlign w:val="center"/>
          </w:tcPr>
          <w:p w14:paraId="36FF38A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53" w:type="pct"/>
            <w:gridSpan w:val="3"/>
            <w:vMerge w:val="restart"/>
            <w:tcBorders>
              <w:top w:val="single" w:color="auto" w:sz="4" w:space="0"/>
              <w:left w:val="single" w:color="auto" w:sz="4" w:space="0"/>
              <w:bottom w:val="single" w:color="auto" w:sz="4" w:space="0"/>
              <w:right w:val="single" w:color="auto" w:sz="4" w:space="0"/>
            </w:tcBorders>
            <w:vAlign w:val="center"/>
          </w:tcPr>
          <w:p w14:paraId="1877181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工程造价纠纷鉴证</w:t>
            </w:r>
          </w:p>
        </w:tc>
        <w:tc>
          <w:tcPr>
            <w:tcW w:w="940" w:type="pct"/>
            <w:tcBorders>
              <w:top w:val="nil"/>
              <w:left w:val="nil"/>
              <w:bottom w:val="single" w:color="auto" w:sz="4" w:space="0"/>
              <w:right w:val="single" w:color="auto" w:sz="4" w:space="0"/>
            </w:tcBorders>
            <w:vAlign w:val="center"/>
          </w:tcPr>
          <w:p w14:paraId="3A38A48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受委托进行鉴证</w:t>
            </w:r>
          </w:p>
        </w:tc>
        <w:tc>
          <w:tcPr>
            <w:tcW w:w="518" w:type="pct"/>
            <w:tcBorders>
              <w:top w:val="nil"/>
              <w:left w:val="nil"/>
              <w:bottom w:val="single" w:color="auto" w:sz="4" w:space="0"/>
              <w:right w:val="single" w:color="auto" w:sz="4" w:space="0"/>
            </w:tcBorders>
            <w:vAlign w:val="center"/>
          </w:tcPr>
          <w:p w14:paraId="2ED409D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鉴证后标的额</w:t>
            </w:r>
          </w:p>
        </w:tc>
        <w:tc>
          <w:tcPr>
            <w:tcW w:w="359" w:type="pct"/>
            <w:tcBorders>
              <w:top w:val="nil"/>
              <w:left w:val="nil"/>
              <w:bottom w:val="single" w:color="auto" w:sz="4" w:space="0"/>
              <w:right w:val="single" w:color="auto" w:sz="4" w:space="0"/>
            </w:tcBorders>
            <w:vAlign w:val="center"/>
          </w:tcPr>
          <w:p w14:paraId="51B6547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300" w:type="pct"/>
            <w:tcBorders>
              <w:top w:val="nil"/>
              <w:left w:val="nil"/>
              <w:bottom w:val="single" w:color="auto" w:sz="4" w:space="0"/>
              <w:right w:val="single" w:color="auto" w:sz="4" w:space="0"/>
            </w:tcBorders>
            <w:vAlign w:val="center"/>
          </w:tcPr>
          <w:p w14:paraId="051ECD0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14" w:type="pct"/>
            <w:tcBorders>
              <w:top w:val="nil"/>
              <w:left w:val="nil"/>
              <w:bottom w:val="single" w:color="auto" w:sz="4" w:space="0"/>
              <w:right w:val="single" w:color="auto" w:sz="4" w:space="0"/>
            </w:tcBorders>
            <w:vAlign w:val="center"/>
          </w:tcPr>
          <w:p w14:paraId="5092EFA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50" w:type="pct"/>
            <w:tcBorders>
              <w:top w:val="nil"/>
              <w:left w:val="nil"/>
              <w:bottom w:val="single" w:color="auto" w:sz="4" w:space="0"/>
              <w:right w:val="single" w:color="auto" w:sz="4" w:space="0"/>
            </w:tcBorders>
            <w:vAlign w:val="center"/>
          </w:tcPr>
          <w:p w14:paraId="17B74F8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31" w:type="pct"/>
            <w:gridSpan w:val="2"/>
            <w:tcBorders>
              <w:top w:val="nil"/>
              <w:left w:val="nil"/>
              <w:bottom w:val="single" w:color="auto" w:sz="4" w:space="0"/>
              <w:right w:val="single" w:color="auto" w:sz="4" w:space="0"/>
            </w:tcBorders>
            <w:vAlign w:val="center"/>
          </w:tcPr>
          <w:p w14:paraId="328E8B2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99" w:type="pct"/>
            <w:tcBorders>
              <w:top w:val="nil"/>
              <w:left w:val="nil"/>
              <w:bottom w:val="single" w:color="auto" w:sz="4" w:space="0"/>
              <w:right w:val="single" w:color="auto" w:sz="4" w:space="0"/>
            </w:tcBorders>
            <w:vAlign w:val="center"/>
          </w:tcPr>
          <w:p w14:paraId="01F54D8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77" w:type="pct"/>
            <w:tcBorders>
              <w:top w:val="nil"/>
              <w:left w:val="nil"/>
              <w:bottom w:val="single" w:color="auto" w:sz="4" w:space="0"/>
              <w:right w:val="single" w:color="auto" w:sz="4" w:space="0"/>
            </w:tcBorders>
            <w:vAlign w:val="center"/>
          </w:tcPr>
          <w:p w14:paraId="74C6FA1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差额定率累进计费；原被告单方有造价或双方均无造价</w:t>
            </w:r>
          </w:p>
        </w:tc>
      </w:tr>
      <w:tr w14:paraId="2D31FEB7">
        <w:tblPrEx>
          <w:tblCellMar>
            <w:top w:w="0" w:type="dxa"/>
            <w:left w:w="108" w:type="dxa"/>
            <w:bottom w:w="0" w:type="dxa"/>
            <w:right w:w="108" w:type="dxa"/>
          </w:tblCellMar>
        </w:tblPrEx>
        <w:trPr>
          <w:trHeight w:val="372" w:hRule="atLeast"/>
          <w:jc w:val="center"/>
        </w:trPr>
        <w:tc>
          <w:tcPr>
            <w:tcW w:w="160" w:type="pct"/>
            <w:vMerge w:val="continue"/>
            <w:tcBorders>
              <w:top w:val="nil"/>
              <w:left w:val="single" w:color="auto" w:sz="4" w:space="0"/>
              <w:bottom w:val="single" w:color="auto" w:sz="4" w:space="0"/>
              <w:right w:val="single" w:color="auto" w:sz="4" w:space="0"/>
            </w:tcBorders>
            <w:vAlign w:val="center"/>
          </w:tcPr>
          <w:p w14:paraId="788A1D23">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753" w:type="pct"/>
            <w:gridSpan w:val="3"/>
            <w:vMerge w:val="continue"/>
            <w:tcBorders>
              <w:top w:val="single" w:color="auto" w:sz="4" w:space="0"/>
              <w:left w:val="single" w:color="auto" w:sz="4" w:space="0"/>
              <w:bottom w:val="single" w:color="auto" w:sz="4" w:space="0"/>
              <w:right w:val="single" w:color="auto" w:sz="4" w:space="0"/>
            </w:tcBorders>
            <w:vAlign w:val="center"/>
          </w:tcPr>
          <w:p w14:paraId="5E48A302">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940" w:type="pct"/>
            <w:tcBorders>
              <w:top w:val="nil"/>
              <w:left w:val="nil"/>
              <w:bottom w:val="single" w:color="auto" w:sz="4" w:space="0"/>
              <w:right w:val="single" w:color="auto" w:sz="4" w:space="0"/>
            </w:tcBorders>
            <w:vAlign w:val="center"/>
          </w:tcPr>
          <w:p w14:paraId="6D21D15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受委托进行鉴证</w:t>
            </w:r>
          </w:p>
        </w:tc>
        <w:tc>
          <w:tcPr>
            <w:tcW w:w="518" w:type="pct"/>
            <w:tcBorders>
              <w:top w:val="nil"/>
              <w:left w:val="nil"/>
              <w:bottom w:val="single" w:color="auto" w:sz="4" w:space="0"/>
              <w:right w:val="single" w:color="auto" w:sz="4" w:space="0"/>
            </w:tcBorders>
            <w:vAlign w:val="center"/>
          </w:tcPr>
          <w:p w14:paraId="565E881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争议差额</w:t>
            </w:r>
          </w:p>
        </w:tc>
        <w:tc>
          <w:tcPr>
            <w:tcW w:w="2252" w:type="pct"/>
            <w:gridSpan w:val="7"/>
            <w:tcBorders>
              <w:top w:val="single" w:color="auto" w:sz="4" w:space="0"/>
              <w:left w:val="nil"/>
              <w:bottom w:val="single" w:color="auto" w:sz="4" w:space="0"/>
              <w:right w:val="single" w:color="auto" w:sz="4" w:space="0"/>
            </w:tcBorders>
            <w:vAlign w:val="center"/>
          </w:tcPr>
          <w:p w14:paraId="15136B0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争议差额在1000万以下（含1000万）按5%收取，1000万以上按4%收取</w:t>
            </w:r>
          </w:p>
        </w:tc>
        <w:tc>
          <w:tcPr>
            <w:tcW w:w="377" w:type="pct"/>
            <w:tcBorders>
              <w:top w:val="nil"/>
              <w:left w:val="nil"/>
              <w:bottom w:val="single" w:color="auto" w:sz="4" w:space="0"/>
              <w:right w:val="single" w:color="auto" w:sz="4" w:space="0"/>
            </w:tcBorders>
            <w:vAlign w:val="center"/>
          </w:tcPr>
          <w:p w14:paraId="4A3EA59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双方各有造价</w:t>
            </w:r>
          </w:p>
        </w:tc>
      </w:tr>
      <w:tr w14:paraId="4A70C907">
        <w:tblPrEx>
          <w:tblCellMar>
            <w:top w:w="0" w:type="dxa"/>
            <w:left w:w="108" w:type="dxa"/>
            <w:bottom w:w="0" w:type="dxa"/>
            <w:right w:w="108" w:type="dxa"/>
          </w:tblCellMar>
        </w:tblPrEx>
        <w:trPr>
          <w:trHeight w:val="744" w:hRule="atLeast"/>
          <w:jc w:val="center"/>
        </w:trPr>
        <w:tc>
          <w:tcPr>
            <w:tcW w:w="160" w:type="pct"/>
            <w:tcBorders>
              <w:top w:val="nil"/>
              <w:left w:val="single" w:color="auto" w:sz="4" w:space="0"/>
              <w:bottom w:val="single" w:color="auto" w:sz="4" w:space="0"/>
              <w:right w:val="single" w:color="auto" w:sz="4" w:space="0"/>
            </w:tcBorders>
            <w:vAlign w:val="center"/>
          </w:tcPr>
          <w:p w14:paraId="2F71121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53" w:type="pct"/>
            <w:gridSpan w:val="3"/>
            <w:tcBorders>
              <w:top w:val="single" w:color="auto" w:sz="4" w:space="0"/>
              <w:left w:val="nil"/>
              <w:bottom w:val="single" w:color="auto" w:sz="4" w:space="0"/>
              <w:right w:val="single" w:color="auto" w:sz="4" w:space="0"/>
            </w:tcBorders>
            <w:vAlign w:val="center"/>
          </w:tcPr>
          <w:p w14:paraId="422822A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钢筋及预埋件计算</w:t>
            </w:r>
          </w:p>
        </w:tc>
        <w:tc>
          <w:tcPr>
            <w:tcW w:w="940" w:type="pct"/>
            <w:tcBorders>
              <w:top w:val="nil"/>
              <w:left w:val="nil"/>
              <w:bottom w:val="single" w:color="auto" w:sz="4" w:space="0"/>
              <w:right w:val="single" w:color="auto" w:sz="4" w:space="0"/>
            </w:tcBorders>
            <w:vAlign w:val="center"/>
          </w:tcPr>
          <w:p w14:paraId="1B2DA3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依据施工图纸、设计标准和施工操作规程计算或审核钢筋（或铁件）重量，提供完整的钢筋（或铁件）重量计算明细表、汇总表或审核报告</w:t>
            </w:r>
          </w:p>
        </w:tc>
        <w:tc>
          <w:tcPr>
            <w:tcW w:w="518" w:type="pct"/>
            <w:tcBorders>
              <w:top w:val="nil"/>
              <w:left w:val="nil"/>
              <w:bottom w:val="single" w:color="auto" w:sz="4" w:space="0"/>
              <w:right w:val="single" w:color="auto" w:sz="4" w:space="0"/>
            </w:tcBorders>
            <w:vAlign w:val="center"/>
          </w:tcPr>
          <w:p w14:paraId="2677508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按实际钢筋使用量</w:t>
            </w:r>
          </w:p>
        </w:tc>
        <w:tc>
          <w:tcPr>
            <w:tcW w:w="2252" w:type="pct"/>
            <w:gridSpan w:val="7"/>
            <w:tcBorders>
              <w:top w:val="single" w:color="auto" w:sz="4" w:space="0"/>
              <w:left w:val="nil"/>
              <w:bottom w:val="single" w:color="auto" w:sz="4" w:space="0"/>
              <w:right w:val="single" w:color="auto" w:sz="4" w:space="0"/>
            </w:tcBorders>
            <w:vAlign w:val="center"/>
          </w:tcPr>
          <w:p w14:paraId="38CE06A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12元/吨</w:t>
            </w:r>
          </w:p>
        </w:tc>
        <w:tc>
          <w:tcPr>
            <w:tcW w:w="377" w:type="pct"/>
            <w:tcBorders>
              <w:top w:val="nil"/>
              <w:left w:val="nil"/>
              <w:bottom w:val="single" w:color="auto" w:sz="4" w:space="0"/>
              <w:right w:val="single" w:color="auto" w:sz="4" w:space="0"/>
            </w:tcBorders>
            <w:vAlign w:val="center"/>
          </w:tcPr>
          <w:p w14:paraId="2246491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6245E4BB">
        <w:tblPrEx>
          <w:tblCellMar>
            <w:top w:w="0" w:type="dxa"/>
            <w:left w:w="108" w:type="dxa"/>
            <w:bottom w:w="0" w:type="dxa"/>
            <w:right w:w="108" w:type="dxa"/>
          </w:tblCellMar>
        </w:tblPrEx>
        <w:trPr>
          <w:trHeight w:val="779" w:hRule="atLeast"/>
          <w:jc w:val="center"/>
        </w:trPr>
        <w:tc>
          <w:tcPr>
            <w:tcW w:w="160" w:type="pct"/>
            <w:tcBorders>
              <w:top w:val="nil"/>
              <w:left w:val="single" w:color="auto" w:sz="4" w:space="0"/>
              <w:bottom w:val="single" w:color="auto" w:sz="4" w:space="0"/>
              <w:right w:val="single" w:color="auto" w:sz="4" w:space="0"/>
            </w:tcBorders>
            <w:vAlign w:val="center"/>
          </w:tcPr>
          <w:p w14:paraId="08CFF45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753" w:type="pct"/>
            <w:gridSpan w:val="3"/>
            <w:tcBorders>
              <w:top w:val="single" w:color="auto" w:sz="4" w:space="0"/>
              <w:left w:val="nil"/>
              <w:bottom w:val="single" w:color="auto" w:sz="4" w:space="0"/>
              <w:right w:val="single" w:color="auto" w:sz="4" w:space="0"/>
            </w:tcBorders>
            <w:vAlign w:val="center"/>
          </w:tcPr>
          <w:p w14:paraId="38E16B1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工程造价咨询工日收费标准</w:t>
            </w:r>
          </w:p>
        </w:tc>
        <w:tc>
          <w:tcPr>
            <w:tcW w:w="940" w:type="pct"/>
            <w:tcBorders>
              <w:top w:val="nil"/>
              <w:left w:val="nil"/>
              <w:bottom w:val="single" w:color="auto" w:sz="4" w:space="0"/>
              <w:right w:val="single" w:color="auto" w:sz="4" w:space="0"/>
            </w:tcBorders>
            <w:vAlign w:val="center"/>
          </w:tcPr>
          <w:p w14:paraId="07E3FCA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受委托派出专业人员从事工程造价咨询服务</w:t>
            </w:r>
          </w:p>
        </w:tc>
        <w:tc>
          <w:tcPr>
            <w:tcW w:w="518" w:type="pct"/>
            <w:tcBorders>
              <w:top w:val="nil"/>
              <w:left w:val="nil"/>
              <w:bottom w:val="single" w:color="auto" w:sz="4" w:space="0"/>
              <w:right w:val="single" w:color="auto" w:sz="4" w:space="0"/>
            </w:tcBorders>
            <w:vAlign w:val="center"/>
          </w:tcPr>
          <w:p w14:paraId="1BFF73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工时</w:t>
            </w:r>
          </w:p>
        </w:tc>
        <w:tc>
          <w:tcPr>
            <w:tcW w:w="2252" w:type="pct"/>
            <w:gridSpan w:val="7"/>
            <w:tcBorders>
              <w:top w:val="single" w:color="auto" w:sz="4" w:space="0"/>
              <w:left w:val="nil"/>
              <w:bottom w:val="single" w:color="auto" w:sz="4" w:space="0"/>
              <w:right w:val="single" w:color="auto" w:sz="4" w:space="0"/>
            </w:tcBorders>
            <w:vAlign w:val="center"/>
          </w:tcPr>
          <w:p w14:paraId="40E480F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具有高级工程师职称的注册造价师：190元/人·工作小时；注册造价师或高级职称的咨询人员：150元/人·工作小时；工程造价中级资格专业人员：100元/人·工作小时；工程造价初级资格专业人员：60元/人·工作小时</w:t>
            </w:r>
          </w:p>
        </w:tc>
        <w:tc>
          <w:tcPr>
            <w:tcW w:w="377" w:type="pct"/>
            <w:tcBorders>
              <w:top w:val="nil"/>
              <w:left w:val="nil"/>
              <w:bottom w:val="single" w:color="auto" w:sz="4" w:space="0"/>
              <w:right w:val="single" w:color="auto" w:sz="4" w:space="0"/>
            </w:tcBorders>
            <w:vAlign w:val="center"/>
          </w:tcPr>
          <w:p w14:paraId="6A5ABBB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6DF409E7">
      <w:pPr>
        <w:pStyle w:val="16"/>
        <w:keepNext w:val="0"/>
        <w:keepLines w:val="0"/>
        <w:pageBreakBefore w:val="0"/>
        <w:widowControl w:val="0"/>
        <w:kinsoku/>
        <w:wordWrap/>
        <w:overflowPunct/>
        <w:topLinePunct w:val="0"/>
        <w:autoSpaceDE w:val="0"/>
        <w:autoSpaceDN w:val="0"/>
        <w:bidi w:val="0"/>
        <w:adjustRightInd w:val="0"/>
        <w:snapToGrid w:val="0"/>
        <w:textAlignment w:val="auto"/>
        <w:rPr>
          <w:rFonts w:hint="default" w:ascii="宋体" w:hAnsi="宋体" w:eastAsia="宋体" w:cs="宋体"/>
          <w:b/>
          <w:bCs/>
          <w:color w:val="auto"/>
          <w:kern w:val="44"/>
          <w:sz w:val="32"/>
          <w:szCs w:val="32"/>
          <w:highlight w:val="none"/>
          <w:lang w:val="en-US" w:eastAsia="zh-CN"/>
        </w:rPr>
      </w:pPr>
    </w:p>
    <w:p w14:paraId="0890365C">
      <w:pPr>
        <w:pageBreakBefore/>
        <w:tabs>
          <w:tab w:val="left" w:pos="1080"/>
        </w:tabs>
        <w:autoSpaceDE w:val="0"/>
        <w:autoSpaceDN w:val="0"/>
        <w:adjustRightInd w:val="0"/>
        <w:spacing w:line="360" w:lineRule="auto"/>
        <w:ind w:left="357" w:leftChars="-100" w:hanging="567"/>
        <w:jc w:val="center"/>
        <w:outlineLvl w:val="9"/>
        <w:rPr>
          <w:rFonts w:hint="eastAsia" w:ascii="宋体" w:hAnsi="宋体" w:eastAsia="宋体" w:cs="宋体"/>
          <w:b/>
          <w:bCs/>
          <w:color w:val="auto"/>
          <w:kern w:val="44"/>
          <w:sz w:val="32"/>
          <w:szCs w:val="32"/>
          <w:highlight w:val="none"/>
          <w:lang w:val="zh-CN"/>
        </w:rPr>
        <w:sectPr>
          <w:pgSz w:w="15840" w:h="12240" w:orient="landscape"/>
          <w:pgMar w:top="1043" w:right="1191" w:bottom="1043" w:left="1191" w:header="720" w:footer="720" w:gutter="0"/>
          <w:cols w:space="0" w:num="1"/>
          <w:titlePg/>
          <w:rtlGutter w:val="0"/>
          <w:docGrid w:linePitch="326" w:charSpace="0"/>
        </w:sectPr>
      </w:pPr>
    </w:p>
    <w:p w14:paraId="31C009DF">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407" w:name="_Toc13960"/>
      <w:r>
        <w:rPr>
          <w:rFonts w:hint="eastAsia" w:ascii="宋体" w:hAnsi="宋体" w:eastAsia="宋体" w:cs="宋体"/>
          <w:b/>
          <w:bCs/>
          <w:color w:val="auto"/>
          <w:kern w:val="44"/>
          <w:sz w:val="32"/>
          <w:szCs w:val="32"/>
          <w:highlight w:val="none"/>
          <w:lang w:val="en-US" w:eastAsia="zh-CN"/>
        </w:rPr>
        <w:t>第</w:t>
      </w:r>
      <w:r>
        <w:rPr>
          <w:rFonts w:hint="eastAsia" w:ascii="宋体" w:hAnsi="宋体" w:eastAsia="宋体" w:cs="宋体"/>
          <w:b/>
          <w:bCs/>
          <w:color w:val="auto"/>
          <w:kern w:val="44"/>
          <w:sz w:val="32"/>
          <w:szCs w:val="32"/>
          <w:highlight w:val="none"/>
          <w:lang w:val="zh-CN"/>
        </w:rPr>
        <w:t>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398"/>
      <w:bookmarkEnd w:id="399"/>
      <w:bookmarkEnd w:id="400"/>
      <w:bookmarkEnd w:id="401"/>
      <w:bookmarkEnd w:id="402"/>
      <w:bookmarkEnd w:id="403"/>
      <w:bookmarkEnd w:id="404"/>
      <w:bookmarkEnd w:id="407"/>
    </w:p>
    <w:p w14:paraId="5B554501">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Times New Roman"/>
          <w:color w:val="auto"/>
          <w:kern w:val="0"/>
          <w:sz w:val="24"/>
          <w:szCs w:val="24"/>
          <w:highlight w:val="none"/>
        </w:rPr>
      </w:pPr>
    </w:p>
    <w:p w14:paraId="6578F9F7">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val="en-US" w:eastAsia="zh-CN" w:bidi="ar"/>
        </w:rPr>
        <w:t xml:space="preserve"> </w:t>
      </w:r>
    </w:p>
    <w:p w14:paraId="7E525326">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val="en-US" w:eastAsia="zh-CN" w:bidi="ar"/>
        </w:rPr>
        <w:t xml:space="preserve"> </w:t>
      </w:r>
    </w:p>
    <w:p w14:paraId="50B25C61">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Times New Roman"/>
          <w:b/>
          <w:bCs w:val="0"/>
          <w:color w:val="auto"/>
          <w:kern w:val="0"/>
          <w:sz w:val="52"/>
          <w:szCs w:val="52"/>
          <w:highlight w:val="none"/>
        </w:rPr>
      </w:pPr>
      <w:r>
        <w:rPr>
          <w:rFonts w:hint="eastAsia" w:ascii="宋体" w:hAnsi="宋体" w:eastAsia="宋体" w:cs="宋体"/>
          <w:b/>
          <w:bCs w:val="0"/>
          <w:color w:val="auto"/>
          <w:kern w:val="0"/>
          <w:sz w:val="52"/>
          <w:szCs w:val="52"/>
          <w:highlight w:val="none"/>
          <w:lang w:val="en-US" w:eastAsia="zh-CN" w:bidi="ar"/>
        </w:rPr>
        <w:t>东莞市水务集团造价咨询服务单位库(2025-2026)采购项目</w:t>
      </w:r>
    </w:p>
    <w:p w14:paraId="0D5F4825">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Times New Roman"/>
          <w:bCs/>
          <w:color w:val="auto"/>
          <w:kern w:val="0"/>
          <w:sz w:val="52"/>
          <w:szCs w:val="52"/>
          <w:highlight w:val="none"/>
        </w:rPr>
      </w:pPr>
      <w:r>
        <w:rPr>
          <w:rFonts w:hint="eastAsia" w:ascii="宋体" w:hAnsi="宋体" w:eastAsia="宋体" w:cs="Times New Roman"/>
          <w:bCs/>
          <w:color w:val="auto"/>
          <w:kern w:val="0"/>
          <w:sz w:val="52"/>
          <w:szCs w:val="52"/>
          <w:highlight w:val="none"/>
          <w:lang w:val="en-US" w:eastAsia="zh-CN" w:bidi="ar"/>
        </w:rPr>
        <w:t xml:space="preserve"> </w:t>
      </w:r>
    </w:p>
    <w:p w14:paraId="26371E9E">
      <w:pPr>
        <w:keepNext w:val="0"/>
        <w:keepLines w:val="0"/>
        <w:widowControl w:val="0"/>
        <w:suppressLineNumbers w:val="0"/>
        <w:autoSpaceDE w:val="0"/>
        <w:autoSpaceDN w:val="0"/>
        <w:adjustRightInd w:val="0"/>
        <w:spacing w:before="840" w:beforeLines="350" w:beforeAutospacing="0" w:after="360" w:afterLines="150" w:afterAutospacing="0" w:line="360" w:lineRule="auto"/>
        <w:ind w:left="0" w:right="0"/>
        <w:jc w:val="center"/>
        <w:rPr>
          <w:rFonts w:hint="eastAsia" w:ascii="宋体" w:hAnsi="宋体" w:eastAsia="宋体" w:cs="Times New Roman"/>
          <w:b/>
          <w:bCs/>
          <w:color w:val="auto"/>
          <w:spacing w:val="60"/>
          <w:kern w:val="0"/>
          <w:sz w:val="52"/>
          <w:szCs w:val="52"/>
          <w:highlight w:val="none"/>
        </w:rPr>
      </w:pPr>
      <w:r>
        <w:rPr>
          <w:rFonts w:hint="eastAsia" w:ascii="宋体" w:hAnsi="宋体" w:eastAsia="宋体" w:cs="宋体"/>
          <w:b/>
          <w:bCs/>
          <w:color w:val="auto"/>
          <w:spacing w:val="60"/>
          <w:kern w:val="0"/>
          <w:sz w:val="52"/>
          <w:szCs w:val="52"/>
          <w:highlight w:val="none"/>
          <w:lang w:val="en-US" w:eastAsia="zh-CN" w:bidi="ar"/>
        </w:rPr>
        <w:t>采购合同</w:t>
      </w:r>
    </w:p>
    <w:p w14:paraId="19777CAB">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Times New Roman"/>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（合同编号：</w:t>
      </w:r>
      <w:r>
        <w:rPr>
          <w:rFonts w:hint="eastAsia" w:ascii="宋体" w:hAnsi="宋体" w:eastAsia="宋体" w:cs="Times New Roman"/>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w:t>
      </w:r>
    </w:p>
    <w:p w14:paraId="0FDED39D">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lang w:val="en-US" w:eastAsia="zh-CN" w:bidi="ar"/>
        </w:rPr>
        <w:t xml:space="preserve"> </w:t>
      </w:r>
    </w:p>
    <w:p w14:paraId="7094A476">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lang w:val="en-US" w:eastAsia="zh-CN" w:bidi="ar"/>
        </w:rPr>
        <w:t xml:space="preserve"> </w:t>
      </w:r>
    </w:p>
    <w:p w14:paraId="5792F1AB">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lang w:val="en-US" w:eastAsia="zh-CN" w:bidi="ar"/>
        </w:rPr>
        <w:t xml:space="preserve"> </w:t>
      </w:r>
    </w:p>
    <w:p w14:paraId="7DEF4898">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lang w:val="en-US" w:eastAsia="zh-CN" w:bidi="ar"/>
        </w:rPr>
        <w:t xml:space="preserve"> </w:t>
      </w:r>
    </w:p>
    <w:p w14:paraId="203F96AF">
      <w:pPr>
        <w:keepNext w:val="0"/>
        <w:keepLines w:val="0"/>
        <w:widowControl w:val="0"/>
        <w:suppressLineNumbers w:val="0"/>
        <w:autoSpaceDE w:val="0"/>
        <w:autoSpaceDN w:val="0"/>
        <w:adjustRightInd w:val="0"/>
        <w:spacing w:before="0" w:beforeAutospacing="0" w:after="0" w:afterAutospacing="0" w:line="480" w:lineRule="auto"/>
        <w:ind w:left="0" w:right="0" w:firstLine="1102" w:firstLineChars="392"/>
        <w:jc w:val="left"/>
        <w:rPr>
          <w:rFonts w:hint="eastAsia"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bidi="ar"/>
        </w:rPr>
        <w:t>甲方：</w:t>
      </w:r>
      <w:r>
        <w:rPr>
          <w:rFonts w:hint="eastAsia" w:ascii="宋体" w:hAnsi="宋体" w:eastAsia="宋体" w:cs="宋体"/>
          <w:b/>
          <w:bCs/>
          <w:color w:val="auto"/>
          <w:kern w:val="0"/>
          <w:sz w:val="28"/>
          <w:szCs w:val="28"/>
          <w:highlight w:val="none"/>
          <w:u w:val="single"/>
          <w:lang w:val="en-US" w:eastAsia="zh-CN" w:bidi="ar"/>
        </w:rPr>
        <w:t>东莞市水务集团有限公司</w:t>
      </w:r>
      <w:r>
        <w:rPr>
          <w:rFonts w:hint="eastAsia" w:ascii="宋体" w:hAnsi="宋体" w:eastAsia="宋体" w:cs="Times New Roman"/>
          <w:b/>
          <w:bCs/>
          <w:color w:val="auto"/>
          <w:kern w:val="0"/>
          <w:sz w:val="28"/>
          <w:szCs w:val="28"/>
          <w:highlight w:val="none"/>
          <w:u w:val="single"/>
          <w:lang w:val="en-US" w:eastAsia="zh-CN" w:bidi="ar"/>
        </w:rPr>
        <w:t xml:space="preserve"> </w:t>
      </w:r>
      <w:r>
        <w:rPr>
          <w:rFonts w:hint="eastAsia" w:ascii="宋体" w:hAnsi="宋体" w:eastAsia="宋体" w:cs="Times New Roman"/>
          <w:b/>
          <w:bCs/>
          <w:color w:val="auto"/>
          <w:kern w:val="0"/>
          <w:sz w:val="28"/>
          <w:szCs w:val="28"/>
          <w:highlight w:val="none"/>
          <w:lang w:val="en-US" w:eastAsia="zh-CN" w:bidi="ar"/>
        </w:rPr>
        <w:t xml:space="preserve"> </w:t>
      </w:r>
    </w:p>
    <w:p w14:paraId="36024DA2">
      <w:pPr>
        <w:keepNext w:val="0"/>
        <w:keepLines w:val="0"/>
        <w:widowControl w:val="0"/>
        <w:suppressLineNumbers w:val="0"/>
        <w:autoSpaceDE w:val="0"/>
        <w:autoSpaceDN w:val="0"/>
        <w:adjustRightInd w:val="0"/>
        <w:spacing w:before="0" w:beforeAutospacing="0" w:after="0" w:afterAutospacing="0" w:line="480" w:lineRule="auto"/>
        <w:ind w:left="0" w:right="0" w:firstLine="1102" w:firstLineChars="392"/>
        <w:jc w:val="left"/>
        <w:rPr>
          <w:rFonts w:hint="eastAsia" w:ascii="宋体" w:hAnsi="宋体" w:eastAsia="宋体" w:cs="Times New Roman"/>
          <w:b/>
          <w:bCs/>
          <w:color w:val="auto"/>
          <w:kern w:val="0"/>
          <w:sz w:val="28"/>
          <w:szCs w:val="28"/>
          <w:highlight w:val="none"/>
          <w:u w:val="single"/>
        </w:rPr>
      </w:pPr>
      <w:r>
        <w:rPr>
          <w:rFonts w:hint="eastAsia" w:ascii="宋体" w:hAnsi="宋体" w:eastAsia="宋体" w:cs="宋体"/>
          <w:b/>
          <w:bCs/>
          <w:color w:val="auto"/>
          <w:kern w:val="0"/>
          <w:sz w:val="28"/>
          <w:szCs w:val="28"/>
          <w:highlight w:val="none"/>
          <w:lang w:val="en-US" w:eastAsia="zh-CN" w:bidi="ar"/>
        </w:rPr>
        <w:t>乙方：</w:t>
      </w:r>
      <w:r>
        <w:rPr>
          <w:rFonts w:hint="eastAsia" w:ascii="宋体" w:hAnsi="宋体" w:eastAsia="宋体" w:cs="宋体"/>
          <w:b/>
          <w:bCs/>
          <w:color w:val="auto"/>
          <w:kern w:val="0"/>
          <w:sz w:val="28"/>
          <w:szCs w:val="28"/>
          <w:highlight w:val="none"/>
          <w:u w:val="single"/>
          <w:lang w:val="en-US" w:eastAsia="zh-CN" w:bidi="ar"/>
        </w:rPr>
        <w:t xml:space="preserve">                          </w:t>
      </w:r>
    </w:p>
    <w:p w14:paraId="53AB4C53">
      <w:pPr>
        <w:keepNext w:val="0"/>
        <w:keepLines w:val="0"/>
        <w:widowControl w:val="0"/>
        <w:suppressLineNumbers w:val="0"/>
        <w:autoSpaceDE w:val="0"/>
        <w:autoSpaceDN w:val="0"/>
        <w:adjustRightInd w:val="0"/>
        <w:spacing w:before="0" w:beforeAutospacing="0" w:after="0" w:afterAutospacing="0" w:line="360" w:lineRule="auto"/>
        <w:ind w:left="0" w:right="0" w:firstLine="1102" w:firstLineChars="392"/>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bidi="ar"/>
        </w:rPr>
        <w:t xml:space="preserve"> </w:t>
      </w:r>
    </w:p>
    <w:p w14:paraId="4BA3E90D">
      <w:pPr>
        <w:keepNext w:val="0"/>
        <w:keepLines w:val="0"/>
        <w:widowControl w:val="0"/>
        <w:suppressLineNumbers w:val="0"/>
        <w:autoSpaceDE w:val="0"/>
        <w:autoSpaceDN w:val="0"/>
        <w:adjustRightInd w:val="0"/>
        <w:spacing w:before="0" w:beforeAutospacing="0" w:after="0" w:afterAutospacing="0" w:line="360" w:lineRule="auto"/>
        <w:ind w:left="0" w:right="0" w:firstLine="1102" w:firstLineChars="392"/>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bidi="ar"/>
        </w:rPr>
        <w:t>签订日期：   年   月   日</w:t>
      </w:r>
    </w:p>
    <w:p w14:paraId="4FA682CE">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bidi="ar"/>
        </w:rPr>
        <w:t xml:space="preserve"> </w:t>
      </w:r>
    </w:p>
    <w:p w14:paraId="55E4D3F7">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bidi="ar"/>
        </w:rPr>
        <w:t xml:space="preserve"> </w:t>
      </w:r>
    </w:p>
    <w:p w14:paraId="6C01143C">
      <w:pPr>
        <w:keepNext w:val="0"/>
        <w:keepLines w:val="0"/>
        <w:pageBreakBefore/>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甲方：</w:t>
      </w:r>
      <w:r>
        <w:rPr>
          <w:rFonts w:hint="eastAsia" w:ascii="宋体" w:hAnsi="宋体" w:eastAsia="宋体" w:cs="宋体"/>
          <w:color w:val="auto"/>
          <w:kern w:val="2"/>
          <w:sz w:val="21"/>
          <w:szCs w:val="21"/>
          <w:highlight w:val="none"/>
          <w:u w:val="single"/>
          <w:lang w:val="en-US" w:eastAsia="zh-CN" w:bidi="ar"/>
        </w:rPr>
        <w:t xml:space="preserve">东莞市水务集团有限公司  </w:t>
      </w:r>
      <w:r>
        <w:rPr>
          <w:rFonts w:hint="eastAsia" w:ascii="宋体" w:hAnsi="宋体" w:eastAsia="宋体" w:cs="宋体"/>
          <w:color w:val="auto"/>
          <w:kern w:val="2"/>
          <w:sz w:val="21"/>
          <w:szCs w:val="21"/>
          <w:highlight w:val="none"/>
          <w:lang w:val="en-US" w:eastAsia="zh-CN" w:bidi="ar"/>
        </w:rPr>
        <w:t xml:space="preserve"> </w:t>
      </w:r>
    </w:p>
    <w:p w14:paraId="50E24571">
      <w:pPr>
        <w:keepNext w:val="0"/>
        <w:keepLines w:val="0"/>
        <w:widowControl w:val="0"/>
        <w:suppressLineNumbers w:val="0"/>
        <w:spacing w:before="0" w:beforeAutospacing="0" w:after="60" w:afterAutospacing="0" w:line="58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乙方：</w:t>
      </w:r>
      <w:r>
        <w:rPr>
          <w:rFonts w:hint="eastAsia" w:ascii="宋体" w:hAnsi="宋体" w:eastAsia="宋体" w:cs="宋体"/>
          <w:color w:val="auto"/>
          <w:kern w:val="2"/>
          <w:sz w:val="21"/>
          <w:szCs w:val="21"/>
          <w:highlight w:val="none"/>
          <w:u w:val="single"/>
          <w:lang w:val="en-US" w:eastAsia="zh-CN" w:bidi="ar"/>
        </w:rPr>
        <w:t xml:space="preserve">  （  中标人）          </w:t>
      </w:r>
      <w:r>
        <w:rPr>
          <w:rFonts w:hint="eastAsia" w:ascii="宋体" w:hAnsi="宋体" w:eastAsia="宋体" w:cs="宋体"/>
          <w:color w:val="auto"/>
          <w:kern w:val="2"/>
          <w:sz w:val="21"/>
          <w:szCs w:val="21"/>
          <w:highlight w:val="none"/>
          <w:lang w:val="en-US" w:eastAsia="zh-CN" w:bidi="ar"/>
        </w:rPr>
        <w:t xml:space="preserve"> </w:t>
      </w:r>
    </w:p>
    <w:p w14:paraId="468C3D49">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根据东莞市水务集团有限公司造价咨询服务供应商库项目</w:t>
      </w:r>
      <w:r>
        <w:rPr>
          <w:rFonts w:hint="eastAsia" w:ascii="宋体" w:hAnsi="宋体" w:eastAsia="宋体" w:cs="宋体"/>
          <w:color w:val="auto"/>
          <w:kern w:val="2"/>
          <w:sz w:val="21"/>
          <w:szCs w:val="21"/>
          <w:highlight w:val="none"/>
          <w:u w:val="single"/>
          <w:lang w:val="en-US" w:eastAsia="zh-CN" w:bidi="ar"/>
        </w:rPr>
        <w:t>(招标编号：          )</w:t>
      </w:r>
      <w:r>
        <w:rPr>
          <w:rFonts w:hint="eastAsia" w:ascii="宋体" w:hAnsi="宋体" w:eastAsia="宋体" w:cs="宋体"/>
          <w:color w:val="auto"/>
          <w:kern w:val="2"/>
          <w:sz w:val="21"/>
          <w:szCs w:val="21"/>
          <w:highlight w:val="none"/>
          <w:lang w:val="en-US" w:eastAsia="zh-CN" w:bidi="ar"/>
        </w:rPr>
        <w:t>招、投标文件及本次招标的中标通知书，依据《中华人民共和国民法典》，结合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日广东有德招标采购有限公司通知的</w:t>
      </w:r>
      <w:r>
        <w:rPr>
          <w:rFonts w:hint="eastAsia" w:ascii="宋体" w:hAnsi="宋体" w:eastAsia="宋体" w:cs="宋体"/>
          <w:color w:val="auto"/>
          <w:kern w:val="2"/>
          <w:sz w:val="21"/>
          <w:szCs w:val="21"/>
          <w:highlight w:val="none"/>
          <w:u w:val="single"/>
          <w:lang w:val="en-US" w:eastAsia="zh-CN" w:bidi="ar"/>
        </w:rPr>
        <w:t>东莞市水务集团有限公司造价咨询服务供应商库项目</w:t>
      </w:r>
      <w:r>
        <w:rPr>
          <w:rFonts w:hint="eastAsia" w:ascii="宋体" w:hAnsi="宋体" w:eastAsia="宋体" w:cs="宋体"/>
          <w:color w:val="auto"/>
          <w:kern w:val="2"/>
          <w:sz w:val="21"/>
          <w:szCs w:val="21"/>
          <w:highlight w:val="none"/>
          <w:lang w:val="en-US" w:eastAsia="zh-CN" w:bidi="ar"/>
        </w:rPr>
        <w:t>招标结果，经双方协商，签订本合同。</w:t>
      </w:r>
    </w:p>
    <w:p w14:paraId="51B59BC3">
      <w:pPr>
        <w:keepNext w:val="0"/>
        <w:keepLines w:val="0"/>
        <w:widowControl w:val="0"/>
        <w:suppressLineNumbers w:val="0"/>
        <w:spacing w:before="0" w:beforeAutospacing="0" w:after="0" w:afterAutospacing="0" w:line="360" w:lineRule="auto"/>
        <w:ind w:left="0" w:right="0" w:firstLine="422" w:firstLineChars="200"/>
        <w:jc w:val="both"/>
        <w:outlineLvl w:val="3"/>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第一条 合同范围及服务内容</w:t>
      </w:r>
    </w:p>
    <w:p w14:paraId="7689E6A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本合同为东莞市水务集团有限公司造价咨询服务供应商库入库合同，乙方负责为甲方提供造价咨询服务，具体如下：</w:t>
      </w:r>
    </w:p>
    <w:p w14:paraId="3813EF43">
      <w:pPr>
        <w:keepNext w:val="0"/>
        <w:keepLines w:val="0"/>
        <w:widowControl w:val="0"/>
        <w:suppressLineNumbers w:val="0"/>
        <w:spacing w:before="0" w:beforeAutospacing="0" w:after="0" w:afterAutospacing="0" w:line="360" w:lineRule="auto"/>
        <w:ind w:left="0" w:right="0" w:firstLine="420" w:firstLineChars="20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 根据甲方要求和提供的资料完成估算、概算编制或审核，施工图预算编制或审核，招标控制价编制，变更预算编制或审核，工程结算编制或审核，施工阶段全过程造价控制，以及非工程类的货物采购、服务类项目的预算编审、合同结算等造价咨询业务，并出具成果文件。</w:t>
      </w:r>
    </w:p>
    <w:p w14:paraId="70576497">
      <w:pPr>
        <w:keepNext w:val="0"/>
        <w:keepLines w:val="0"/>
        <w:widowControl w:val="0"/>
        <w:suppressLineNumbers w:val="0"/>
        <w:spacing w:before="0" w:beforeAutospacing="0" w:after="0" w:afterAutospacing="0" w:line="360" w:lineRule="auto"/>
        <w:ind w:left="0" w:right="0" w:firstLine="420" w:firstLineChars="20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 积极配合甲方开展造价咨询服务工作，包括对数，修改、出具成果文件，扫描成果文件，必要时需派驻人员至甲方所在的办公地点（东莞市范围内）配合甲方开展造价咨询相关工作。</w:t>
      </w:r>
    </w:p>
    <w:p w14:paraId="1B54826F">
      <w:pPr>
        <w:keepNext w:val="0"/>
        <w:keepLines w:val="0"/>
        <w:widowControl w:val="0"/>
        <w:suppressLineNumbers w:val="0"/>
        <w:spacing w:before="0" w:beforeAutospacing="0" w:after="0" w:afterAutospacing="0" w:line="360" w:lineRule="auto"/>
        <w:ind w:left="0" w:right="0" w:firstLine="420" w:firstLineChars="200"/>
        <w:jc w:val="both"/>
        <w:outlineLvl w:val="2"/>
        <w:rPr>
          <w:rFonts w:hint="eastAsia" w:ascii="宋体" w:hAnsi="宋体" w:eastAsia="宋体" w:cs="宋体"/>
          <w:color w:val="auto"/>
          <w:kern w:val="2"/>
          <w:sz w:val="21"/>
          <w:szCs w:val="21"/>
          <w:highlight w:val="none"/>
        </w:rPr>
      </w:pPr>
      <w:bookmarkStart w:id="408" w:name="_Toc23375"/>
      <w:r>
        <w:rPr>
          <w:rFonts w:hint="eastAsia" w:ascii="宋体" w:hAnsi="宋体" w:eastAsia="宋体" w:cs="宋体"/>
          <w:color w:val="auto"/>
          <w:kern w:val="2"/>
          <w:sz w:val="21"/>
          <w:szCs w:val="21"/>
          <w:highlight w:val="none"/>
          <w:lang w:val="en-US" w:eastAsia="zh-CN" w:bidi="ar"/>
        </w:rPr>
        <w:t>1.3 对工作内容保密</w:t>
      </w:r>
      <w:r>
        <w:rPr>
          <w:rFonts w:hint="eastAsia" w:ascii="宋体" w:hAnsi="宋体" w:eastAsia="宋体" w:cs="宋体"/>
          <w:color w:val="auto"/>
          <w:spacing w:val="0"/>
          <w:kern w:val="0"/>
          <w:sz w:val="21"/>
          <w:szCs w:val="21"/>
          <w:highlight w:val="none"/>
          <w:vertAlign w:val="baseline"/>
          <w:lang w:val="en-US" w:eastAsia="zh-CN" w:bidi="ar"/>
        </w:rPr>
        <w:t>，</w:t>
      </w:r>
      <w:r>
        <w:rPr>
          <w:rFonts w:hint="eastAsia" w:ascii="宋体" w:hAnsi="宋体" w:eastAsia="宋体" w:cs="宋体"/>
          <w:color w:val="auto"/>
          <w:kern w:val="0"/>
          <w:sz w:val="21"/>
          <w:szCs w:val="21"/>
          <w:highlight w:val="none"/>
          <w:lang w:val="en-US" w:eastAsia="zh-CN" w:bidi="ar"/>
        </w:rPr>
        <w:t>中标人不得将招标人委派的工作交由他人完成</w:t>
      </w:r>
      <w:r>
        <w:rPr>
          <w:rFonts w:hint="eastAsia" w:ascii="宋体" w:hAnsi="宋体" w:eastAsia="宋体" w:cs="宋体"/>
          <w:color w:val="auto"/>
          <w:kern w:val="2"/>
          <w:sz w:val="21"/>
          <w:szCs w:val="21"/>
          <w:highlight w:val="none"/>
          <w:lang w:val="en-US" w:eastAsia="zh-CN" w:bidi="ar"/>
        </w:rPr>
        <w:t>。</w:t>
      </w:r>
      <w:bookmarkEnd w:id="408"/>
    </w:p>
    <w:p w14:paraId="4B1723A1">
      <w:pPr>
        <w:keepNext w:val="0"/>
        <w:keepLines w:val="0"/>
        <w:widowControl w:val="0"/>
        <w:suppressLineNumbers w:val="0"/>
        <w:spacing w:before="0" w:beforeAutospacing="0" w:after="0" w:afterAutospacing="0" w:line="360" w:lineRule="auto"/>
        <w:ind w:left="0" w:right="0" w:firstLine="422" w:firstLineChars="200"/>
        <w:jc w:val="both"/>
        <w:outlineLvl w:val="3"/>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第二条 服务期限</w:t>
      </w:r>
    </w:p>
    <w:p w14:paraId="42EF70A0">
      <w:pPr>
        <w:keepNext w:val="0"/>
        <w:keepLines w:val="0"/>
        <w:widowControl w:val="0"/>
        <w:suppressLineNumbers w:val="0"/>
        <w:spacing w:before="0" w:beforeAutospacing="0" w:after="0" w:afterAutospacing="0" w:line="360" w:lineRule="auto"/>
        <w:ind w:left="0" w:right="0" w:firstLine="476" w:firstLineChars="227"/>
        <w:jc w:val="both"/>
        <w:rPr>
          <w:rFonts w:hint="eastAsia" w:ascii="宋体" w:hAnsi="宋体" w:eastAsia="宋体" w:cs="宋体"/>
          <w:b/>
          <w:bCs w:val="0"/>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服务期限：本合同项下供应商库服务期自中标通知书签发之日起2年，从</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日至</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日止。（即   年  月  日起停止委派项目，已委派任务的单项服务项目乙方仍需按照本合同、派单通知书等约定完成履约）</w:t>
      </w:r>
    </w:p>
    <w:p w14:paraId="082A9C2A">
      <w:pPr>
        <w:keepNext w:val="0"/>
        <w:keepLines w:val="0"/>
        <w:widowControl w:val="0"/>
        <w:suppressLineNumbers w:val="0"/>
        <w:spacing w:before="0" w:beforeAutospacing="0" w:after="0" w:afterAutospacing="0" w:line="360" w:lineRule="auto"/>
        <w:ind w:left="0" w:right="0" w:firstLine="422" w:firstLineChars="200"/>
        <w:jc w:val="both"/>
        <w:outlineLvl w:val="3"/>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第三条  服务费的计算及支付方式</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842"/>
        <w:gridCol w:w="7300"/>
      </w:tblGrid>
      <w:tr w14:paraId="5D09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70BE9BD4">
            <w:pPr>
              <w:pStyle w:val="54"/>
              <w:keepNext w:val="0"/>
              <w:keepLines w:val="0"/>
              <w:widowControl w:val="0"/>
              <w:numPr>
                <w:ilvl w:val="-1"/>
                <w:numId w:val="0"/>
              </w:numPr>
              <w:suppressLineNumbers w:val="0"/>
              <w:spacing w:before="0" w:beforeAutospacing="0" w:after="0" w:afterAutospacing="0" w:line="360" w:lineRule="auto"/>
              <w:ind w:left="0" w:leftChars="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3.1 单项造价咨询服务费参照《广东省物价局关于调整我省建设工程造价咨询服务收费的复函（粤价函〔2011〕742号）》计费标准再乘以服务折扣系数0.8计算，详细计费方式见下表</w:t>
            </w:r>
            <w:r>
              <w:rPr>
                <w:rFonts w:hint="eastAsia" w:hAnsi="宋体" w:cs="宋体"/>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项目类型</w:t>
            </w:r>
          </w:p>
        </w:tc>
        <w:tc>
          <w:tcPr>
            <w:tcW w:w="7300" w:type="dxa"/>
            <w:tcBorders>
              <w:top w:val="single" w:color="auto" w:sz="4" w:space="0"/>
              <w:left w:val="single" w:color="auto" w:sz="4" w:space="0"/>
              <w:bottom w:val="single" w:color="auto" w:sz="4" w:space="0"/>
              <w:right w:val="single" w:color="auto" w:sz="4" w:space="0"/>
            </w:tcBorders>
            <w:shd w:val="clear" w:color="auto" w:fill="auto"/>
            <w:vAlign w:val="center"/>
          </w:tcPr>
          <w:p w14:paraId="0248F75F">
            <w:pPr>
              <w:pStyle w:val="54"/>
              <w:keepNext w:val="0"/>
              <w:keepLines w:val="0"/>
              <w:widowControl w:val="0"/>
              <w:numPr>
                <w:ilvl w:val="-1"/>
                <w:numId w:val="0"/>
              </w:numPr>
              <w:suppressLineNumbers w:val="0"/>
              <w:spacing w:before="0" w:beforeAutospacing="0" w:after="0" w:afterAutospacing="0" w:line="360" w:lineRule="auto"/>
              <w:ind w:left="0" w:leftChars="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计费方式</w:t>
            </w:r>
          </w:p>
        </w:tc>
      </w:tr>
      <w:tr w14:paraId="0D66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1EA82258">
            <w:pPr>
              <w:pStyle w:val="39"/>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投资估算、设计概算</w:t>
            </w:r>
          </w:p>
        </w:tc>
        <w:tc>
          <w:tcPr>
            <w:tcW w:w="7300" w:type="dxa"/>
            <w:tcBorders>
              <w:top w:val="single" w:color="auto" w:sz="4" w:space="0"/>
              <w:left w:val="single" w:color="auto" w:sz="4" w:space="0"/>
              <w:bottom w:val="single" w:color="auto" w:sz="4" w:space="0"/>
              <w:right w:val="single" w:color="auto" w:sz="4" w:space="0"/>
            </w:tcBorders>
            <w:shd w:val="clear" w:color="auto" w:fill="auto"/>
            <w:vAlign w:val="center"/>
          </w:tcPr>
          <w:p w14:paraId="3F19BFFD">
            <w:pPr>
              <w:pStyle w:val="39"/>
              <w:keepNext w:val="0"/>
              <w:keepLines w:val="0"/>
              <w:widowControl w:val="0"/>
              <w:suppressLineNumbers w:val="0"/>
              <w:spacing w:before="0" w:beforeAutospacing="0" w:after="0" w:afterAutospacing="0" w:line="360" w:lineRule="auto"/>
              <w:ind w:left="0" w:leftChars="0" w:right="0" w:rightChars="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按《广东省建设工程造价咨询服务收费标准》（粤价函〔2011〕742号）</w:t>
            </w:r>
            <w:r>
              <w:rPr>
                <w:rFonts w:hint="eastAsia" w:eastAsia="宋体" w:cs="宋体"/>
                <w:color w:val="auto"/>
                <w:kern w:val="2"/>
                <w:sz w:val="21"/>
                <w:szCs w:val="21"/>
                <w:highlight w:val="none"/>
                <w:lang w:val="en-US" w:eastAsia="zh-CN" w:bidi="ar"/>
              </w:rPr>
              <w:t>。</w:t>
            </w:r>
          </w:p>
        </w:tc>
      </w:tr>
      <w:tr w14:paraId="4435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523F715B">
            <w:pPr>
              <w:pStyle w:val="39"/>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工程招标控制价</w:t>
            </w:r>
          </w:p>
        </w:tc>
        <w:tc>
          <w:tcPr>
            <w:tcW w:w="7300" w:type="dxa"/>
            <w:tcBorders>
              <w:top w:val="single" w:color="auto" w:sz="4" w:space="0"/>
              <w:left w:val="single" w:color="auto" w:sz="4" w:space="0"/>
              <w:bottom w:val="single" w:color="auto" w:sz="4" w:space="0"/>
              <w:right w:val="single" w:color="auto" w:sz="4" w:space="0"/>
            </w:tcBorders>
            <w:shd w:val="clear" w:color="auto" w:fill="auto"/>
            <w:vAlign w:val="center"/>
          </w:tcPr>
          <w:p w14:paraId="368D7948">
            <w:pPr>
              <w:pStyle w:val="39"/>
              <w:keepNext w:val="0"/>
              <w:keepLines w:val="0"/>
              <w:widowControl w:val="0"/>
              <w:suppressLineNumbers w:val="0"/>
              <w:spacing w:before="0" w:beforeAutospacing="0" w:after="0" w:afterAutospacing="0" w:line="360" w:lineRule="auto"/>
              <w:ind w:left="0" w:leftChars="0" w:right="0" w:rightChars="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以工程招标控制价为基数，按《广东省建设工程造价咨询服务收费标准》（粤价函〔2011〕742号）中“单独编制或审核工程量清单”和“单独编制或审核预算造价”两部分标准。</w:t>
            </w:r>
          </w:p>
        </w:tc>
      </w:tr>
      <w:tr w14:paraId="3807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0B17F860">
            <w:pPr>
              <w:pStyle w:val="39"/>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施工图预算</w:t>
            </w:r>
          </w:p>
        </w:tc>
        <w:tc>
          <w:tcPr>
            <w:tcW w:w="7300" w:type="dxa"/>
            <w:tcBorders>
              <w:top w:val="single" w:color="auto" w:sz="4" w:space="0"/>
              <w:left w:val="single" w:color="auto" w:sz="4" w:space="0"/>
              <w:bottom w:val="single" w:color="auto" w:sz="4" w:space="0"/>
              <w:right w:val="single" w:color="auto" w:sz="4" w:space="0"/>
            </w:tcBorders>
            <w:shd w:val="clear" w:color="auto" w:fill="auto"/>
            <w:vAlign w:val="center"/>
          </w:tcPr>
          <w:p w14:paraId="06E4D090">
            <w:pPr>
              <w:pStyle w:val="39"/>
              <w:keepNext w:val="0"/>
              <w:keepLines w:val="0"/>
              <w:widowControl w:val="0"/>
              <w:suppressLineNumbers w:val="0"/>
              <w:spacing w:before="0" w:beforeAutospacing="0" w:after="0" w:afterAutospacing="0" w:line="360" w:lineRule="auto"/>
              <w:ind w:left="0" w:leftChars="0" w:right="0" w:rightChars="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以施工图预算价为基数，按《广东省建设工程造价咨询服务收费标准》（粤价函〔2011〕742号）中“单独编制或审核工程量清单”和“单独编制或审核预算造价”两部分标准。</w:t>
            </w:r>
          </w:p>
        </w:tc>
      </w:tr>
      <w:tr w14:paraId="1E52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272F40D6">
            <w:pPr>
              <w:pStyle w:val="39"/>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货物招标控制价、服务招标控制价</w:t>
            </w:r>
          </w:p>
        </w:tc>
        <w:tc>
          <w:tcPr>
            <w:tcW w:w="7300" w:type="dxa"/>
            <w:tcBorders>
              <w:top w:val="single" w:color="auto" w:sz="4" w:space="0"/>
              <w:left w:val="single" w:color="auto" w:sz="4" w:space="0"/>
              <w:bottom w:val="single" w:color="auto" w:sz="4" w:space="0"/>
              <w:right w:val="single" w:color="auto" w:sz="4" w:space="0"/>
            </w:tcBorders>
            <w:shd w:val="clear" w:color="auto" w:fill="auto"/>
            <w:vAlign w:val="center"/>
          </w:tcPr>
          <w:p w14:paraId="781E9A71">
            <w:pPr>
              <w:pStyle w:val="39"/>
              <w:keepNext w:val="0"/>
              <w:keepLines w:val="0"/>
              <w:widowControl w:val="0"/>
              <w:numPr>
                <w:ilvl w:val="0"/>
                <w:numId w:val="3"/>
              </w:numPr>
              <w:suppressLineNumbers w:val="0"/>
              <w:spacing w:before="0" w:beforeAutospacing="0" w:after="0" w:afterAutospacing="0" w:line="360" w:lineRule="auto"/>
              <w:ind w:left="0" w:right="0" w:firstLine="0" w:firstLineChars="0"/>
              <w:jc w:val="both"/>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lang w:val="en-US" w:eastAsia="zh-CN" w:bidi="ar"/>
              </w:rPr>
              <w:t>非工程类货物采购、服务类项目的预算编审以单个委托单的清单条数为基准，按200元/条计算，造价咨询费等于清单条数×200元/条，</w:t>
            </w:r>
            <w:r>
              <w:rPr>
                <w:rFonts w:hint="eastAsia" w:ascii="宋体" w:hAnsi="宋体" w:eastAsia="宋体" w:cs="宋体"/>
                <w:color w:val="auto"/>
                <w:kern w:val="2"/>
                <w:sz w:val="21"/>
                <w:szCs w:val="21"/>
                <w:highlight w:val="none"/>
                <w:lang w:val="en-US" w:eastAsia="zh-CN" w:bidi="ar"/>
              </w:rPr>
              <w:t>每单不足2000元按2000元，再乘以服务折扣系数；同时，</w:t>
            </w:r>
            <w:r>
              <w:rPr>
                <w:rFonts w:hint="eastAsia" w:ascii="宋体" w:hAnsi="宋体" w:eastAsia="宋体" w:cs="宋体"/>
                <w:color w:val="auto"/>
                <w:spacing w:val="0"/>
                <w:kern w:val="0"/>
                <w:sz w:val="21"/>
                <w:szCs w:val="21"/>
                <w:highlight w:val="none"/>
                <w:lang w:val="en-US" w:eastAsia="zh-CN" w:bidi="ar"/>
              </w:rPr>
              <w:t>单个委托单最高收费不超过</w:t>
            </w:r>
            <w:r>
              <w:rPr>
                <w:rFonts w:hint="eastAsia" w:ascii="宋体" w:hAnsi="宋体" w:eastAsia="宋体" w:cs="宋体"/>
                <w:color w:val="auto"/>
                <w:kern w:val="2"/>
                <w:sz w:val="21"/>
                <w:szCs w:val="21"/>
                <w:highlight w:val="none"/>
                <w:lang w:val="en-US" w:eastAsia="zh-CN" w:bidi="ar"/>
              </w:rPr>
              <w:t>按《广东省建设工程造价咨询服务收费标准》(粤价函(2011)742号)中“单独编制或审核预算造价”相应的收费标准计出的费用。</w:t>
            </w:r>
            <w:r>
              <w:rPr>
                <w:rFonts w:hint="eastAsia" w:ascii="宋体" w:hAnsi="宋体" w:eastAsia="宋体" w:cs="宋体"/>
                <w:color w:val="auto"/>
                <w:spacing w:val="0"/>
                <w:kern w:val="0"/>
                <w:sz w:val="21"/>
                <w:szCs w:val="21"/>
                <w:highlight w:val="none"/>
                <w:lang w:val="en-US" w:eastAsia="zh-CN" w:bidi="ar"/>
              </w:rPr>
              <w:t>如遇特殊情况双方另行协商确定。</w:t>
            </w:r>
          </w:p>
          <w:p w14:paraId="25C12F91">
            <w:pPr>
              <w:pStyle w:val="39"/>
              <w:keepNext w:val="0"/>
              <w:keepLines w:val="0"/>
              <w:widowControl w:val="0"/>
              <w:numPr>
                <w:ilvl w:val="0"/>
                <w:numId w:val="3"/>
              </w:numPr>
              <w:suppressLineNumbers w:val="0"/>
              <w:spacing w:before="0" w:beforeAutospacing="0" w:after="0" w:afterAutospacing="0" w:line="360" w:lineRule="auto"/>
              <w:ind w:left="0" w:right="0" w:firstLine="0" w:firstLineChars="0"/>
              <w:jc w:val="both"/>
              <w:rPr>
                <w:rFonts w:hint="eastAsia" w:ascii="宋体" w:hAnsi="宋体" w:eastAsia="宋体" w:cs="宋体"/>
                <w:color w:val="auto"/>
                <w:spacing w:val="0"/>
                <w:kern w:val="0"/>
                <w:sz w:val="21"/>
                <w:szCs w:val="21"/>
                <w:highlight w:val="none"/>
              </w:rPr>
            </w:pPr>
            <w:r>
              <w:rPr>
                <w:rFonts w:hint="eastAsia" w:ascii="宋体" w:hAnsi="宋体" w:eastAsia="宋体" w:cs="宋体"/>
                <w:color w:val="auto"/>
                <w:kern w:val="2"/>
                <w:sz w:val="21"/>
                <w:szCs w:val="21"/>
                <w:highlight w:val="none"/>
                <w:lang w:val="en-US" w:eastAsia="zh-CN" w:bidi="ar"/>
              </w:rPr>
              <w:t>设备购置费用占工程总造价超过40%的项目造价咨询费计费规则：（1）估算及概算审核造价咨询费用：以设备购置费的40%、建筑安装工程费及二、三类费用之和为计费基数，按《广东省建设工程造价咨询服务收费标准》(粤价函(2011)742号)中“可研估算的编制或审核”及“工程概算的编制或审核”对应标准（2）预算编制造价咨询费：以设备购置费的40%与建筑安装工程费之和为计费基数，按《广东省建设工程造价咨询服务收费标准》(粤价函(2011)742号)中“单独编制或审核工程量清单”和“单独编制或审核预算造价”两部分标准；</w:t>
            </w:r>
          </w:p>
        </w:tc>
      </w:tr>
      <w:tr w14:paraId="75B4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0D32B844">
            <w:pPr>
              <w:pStyle w:val="39"/>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工程变更预算</w:t>
            </w:r>
          </w:p>
        </w:tc>
        <w:tc>
          <w:tcPr>
            <w:tcW w:w="7300" w:type="dxa"/>
            <w:tcBorders>
              <w:top w:val="single" w:color="auto" w:sz="4" w:space="0"/>
              <w:left w:val="single" w:color="auto" w:sz="4" w:space="0"/>
              <w:bottom w:val="single" w:color="auto" w:sz="4" w:space="0"/>
              <w:right w:val="single" w:color="auto" w:sz="4" w:space="0"/>
            </w:tcBorders>
            <w:shd w:val="clear" w:color="auto" w:fill="auto"/>
            <w:vAlign w:val="center"/>
          </w:tcPr>
          <w:p w14:paraId="6DAABD28">
            <w:pPr>
              <w:pStyle w:val="39"/>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套用《广东省建设工程造价咨询服务收费标准》（粤价函〔2011〕742号）中“单独编制或审核工程量清单”和“单独编制或审核预算造价”两部分标准计算。其中（1）“单独编制或审核工程量清单”按“│变更前│+│变更后│”的审核金额作为收费基数；（2）“单独编制或审核预算造价”计算咨询费的收费基数为｜变更后｜的审核金额。</w:t>
            </w:r>
          </w:p>
        </w:tc>
      </w:tr>
      <w:tr w14:paraId="6155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19B29C96">
            <w:pPr>
              <w:pStyle w:val="39"/>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施工合同结算</w:t>
            </w:r>
          </w:p>
        </w:tc>
        <w:tc>
          <w:tcPr>
            <w:tcW w:w="7300" w:type="dxa"/>
            <w:tcBorders>
              <w:top w:val="single" w:color="auto" w:sz="4" w:space="0"/>
              <w:left w:val="single" w:color="auto" w:sz="4" w:space="0"/>
              <w:bottom w:val="single" w:color="auto" w:sz="4" w:space="0"/>
              <w:right w:val="single" w:color="auto" w:sz="4" w:space="0"/>
            </w:tcBorders>
            <w:shd w:val="clear" w:color="auto" w:fill="auto"/>
            <w:vAlign w:val="center"/>
          </w:tcPr>
          <w:p w14:paraId="355CE9E2">
            <w:pPr>
              <w:pStyle w:val="39"/>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一、总价包干合同：（1）原合同价部分不参与计算；（2）工程量偏差部分以送审金额为基数，按《广东省建设工程造价咨询服务收费标准》（粤价函〔2011〕742号）中“单独编制或审核工程量清单”标准计算</w:t>
            </w:r>
            <w:r>
              <w:rPr>
                <w:rFonts w:hint="eastAsia" w:eastAsia="宋体" w:cs="宋体"/>
                <w:color w:val="auto"/>
                <w:kern w:val="2"/>
                <w:sz w:val="21"/>
                <w:szCs w:val="21"/>
                <w:highlight w:val="none"/>
                <w:lang w:val="en-US" w:eastAsia="zh-CN" w:bidi="ar"/>
              </w:rPr>
              <w:t>，再乘以服务折扣系数</w:t>
            </w:r>
            <w:r>
              <w:rPr>
                <w:rFonts w:hint="eastAsia" w:ascii="宋体" w:hAnsi="宋体" w:eastAsia="宋体" w:cs="宋体"/>
                <w:color w:val="auto"/>
                <w:kern w:val="2"/>
                <w:sz w:val="21"/>
                <w:szCs w:val="21"/>
                <w:highlight w:val="none"/>
                <w:lang w:val="en-US" w:eastAsia="zh-CN" w:bidi="ar"/>
              </w:rPr>
              <w:t>，无需通过计算即可判断是否属于工程量偏差的情况按2000元</w:t>
            </w:r>
            <w:r>
              <w:rPr>
                <w:rFonts w:hint="eastAsia" w:eastAsia="宋体" w:cs="宋体"/>
                <w:color w:val="auto"/>
                <w:kern w:val="2"/>
                <w:sz w:val="21"/>
                <w:szCs w:val="21"/>
                <w:highlight w:val="none"/>
                <w:lang w:val="en-US" w:eastAsia="zh-CN" w:bidi="ar"/>
              </w:rPr>
              <w:t>，再乘以服务折扣系数</w:t>
            </w:r>
            <w:r>
              <w:rPr>
                <w:rFonts w:hint="eastAsia" w:ascii="宋体" w:hAnsi="宋体" w:eastAsia="宋体" w:cs="宋体"/>
                <w:color w:val="auto"/>
                <w:kern w:val="2"/>
                <w:sz w:val="21"/>
                <w:szCs w:val="21"/>
                <w:highlight w:val="none"/>
                <w:lang w:val="en-US" w:eastAsia="zh-CN" w:bidi="ar"/>
              </w:rPr>
              <w:t>；（3）合同内工程量清单虚增工程量，按核减金额的5%计</w:t>
            </w:r>
            <w:r>
              <w:rPr>
                <w:rFonts w:hint="default" w:ascii="宋体" w:hAnsi="宋体" w:eastAsia="宋体" w:cs="宋体"/>
                <w:color w:val="auto"/>
                <w:kern w:val="2"/>
                <w:sz w:val="21"/>
                <w:szCs w:val="21"/>
                <w:highlight w:val="none"/>
                <w:lang w:val="en-US" w:eastAsia="zh-CN" w:bidi="ar"/>
              </w:rPr>
              <w:t>费</w:t>
            </w:r>
            <w:r>
              <w:rPr>
                <w:rFonts w:hint="eastAsia" w:eastAsia="宋体" w:cs="宋体"/>
                <w:color w:val="auto"/>
                <w:kern w:val="2"/>
                <w:sz w:val="21"/>
                <w:szCs w:val="21"/>
                <w:highlight w:val="none"/>
                <w:lang w:val="en-US" w:eastAsia="zh-CN" w:bidi="ar"/>
              </w:rPr>
              <w:t>，再乘以服务折扣系数</w:t>
            </w:r>
            <w:r>
              <w:rPr>
                <w:rFonts w:hint="eastAsia" w:ascii="宋体" w:hAnsi="宋体" w:eastAsia="宋体" w:cs="宋体"/>
                <w:color w:val="auto"/>
                <w:kern w:val="2"/>
                <w:sz w:val="21"/>
                <w:szCs w:val="21"/>
                <w:highlight w:val="none"/>
                <w:lang w:val="en-US" w:eastAsia="zh-CN" w:bidi="ar"/>
              </w:rPr>
              <w:t>；（4）工程变更部分执行本表“工程变更预算”规则；（5）合同约定按实结算部分，原合同暂定费用不参与计算；（6）材差部分、赶工措施费部分及相关违约费用均不计费。</w:t>
            </w:r>
          </w:p>
          <w:p w14:paraId="2DF263B8">
            <w:pPr>
              <w:pStyle w:val="39"/>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二、非总价包干合同：按《广东省建设工程造价咨询服务收费标准》（粤价函〔2011〕742号）中的“工程结算审核”标准计算。</w:t>
            </w:r>
          </w:p>
        </w:tc>
      </w:tr>
      <w:tr w14:paraId="408A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0798F8BC">
            <w:pPr>
              <w:pStyle w:val="39"/>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货物合同结算、服务合同结算</w:t>
            </w:r>
          </w:p>
        </w:tc>
        <w:tc>
          <w:tcPr>
            <w:tcW w:w="7300" w:type="dxa"/>
            <w:tcBorders>
              <w:top w:val="single" w:color="auto" w:sz="4" w:space="0"/>
              <w:left w:val="single" w:color="auto" w:sz="4" w:space="0"/>
              <w:bottom w:val="single" w:color="auto" w:sz="4" w:space="0"/>
              <w:right w:val="single" w:color="auto" w:sz="4" w:space="0"/>
            </w:tcBorders>
            <w:shd w:val="clear" w:color="auto" w:fill="auto"/>
            <w:vAlign w:val="center"/>
          </w:tcPr>
          <w:p w14:paraId="554E84D3">
            <w:pPr>
              <w:pStyle w:val="39"/>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0"/>
                <w:sz w:val="21"/>
                <w:szCs w:val="21"/>
                <w:highlight w:val="none"/>
                <w:lang w:val="en-US" w:eastAsia="zh-CN" w:bidi="ar"/>
              </w:rPr>
              <w:t>货物合同结算、服务合同结算，以单个项目计算，每单2000元，再乘以服务折扣系数。</w:t>
            </w:r>
          </w:p>
        </w:tc>
      </w:tr>
    </w:tbl>
    <w:p w14:paraId="7E6EE674">
      <w:pPr>
        <w:pStyle w:val="39"/>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bidi="ar"/>
        </w:rPr>
        <w:t xml:space="preserve"> </w:t>
      </w:r>
    </w:p>
    <w:p w14:paraId="4EB60159">
      <w:pPr>
        <w:keepNext w:val="0"/>
        <w:keepLines w:val="0"/>
        <w:widowControl/>
        <w:suppressLineNumbers w:val="0"/>
        <w:topLinePunct/>
        <w:autoSpaceDE w:val="0"/>
        <w:autoSpaceDN/>
        <w:adjustRightInd w:val="0"/>
        <w:snapToGrid w:val="0"/>
        <w:spacing w:before="0" w:beforeAutospacing="0" w:after="0" w:afterAutospacing="0" w:line="360" w:lineRule="auto"/>
        <w:ind w:left="0" w:right="435" w:firstLine="429"/>
        <w:jc w:val="both"/>
        <w:textAlignment w:val="baseline"/>
        <w:outlineLvl w:val="2"/>
        <w:rPr>
          <w:rFonts w:hint="eastAsia" w:ascii="宋体" w:hAnsi="宋体" w:eastAsia="宋体" w:cs="宋体"/>
          <w:color w:val="auto"/>
          <w:spacing w:val="0"/>
          <w:kern w:val="0"/>
          <w:sz w:val="21"/>
          <w:szCs w:val="21"/>
          <w:highlight w:val="none"/>
          <w:vertAlign w:val="baseline"/>
        </w:rPr>
      </w:pPr>
      <w:bookmarkStart w:id="409" w:name="_Toc8287"/>
      <w:r>
        <w:rPr>
          <w:rFonts w:hint="eastAsia" w:ascii="宋体" w:hAnsi="宋体" w:eastAsia="宋体" w:cs="宋体"/>
          <w:color w:val="auto"/>
          <w:spacing w:val="0"/>
          <w:kern w:val="0"/>
          <w:sz w:val="21"/>
          <w:szCs w:val="21"/>
          <w:highlight w:val="none"/>
          <w:vertAlign w:val="baseline"/>
          <w:lang w:val="en-US" w:eastAsia="zh-CN" w:bidi="ar"/>
        </w:rPr>
        <w:t>3.2 其他</w:t>
      </w:r>
      <w:bookmarkEnd w:id="409"/>
    </w:p>
    <w:p w14:paraId="1F89A186">
      <w:pPr>
        <w:keepNext w:val="0"/>
        <w:keepLines w:val="0"/>
        <w:widowControl/>
        <w:suppressLineNumbers w:val="0"/>
        <w:topLinePunct/>
        <w:autoSpaceDE w:val="0"/>
        <w:autoSpaceDN/>
        <w:adjustRightInd w:val="0"/>
        <w:snapToGrid w:val="0"/>
        <w:spacing w:before="0" w:beforeAutospacing="0" w:after="0" w:afterAutospacing="0" w:line="360" w:lineRule="auto"/>
        <w:ind w:left="0" w:right="435" w:firstLine="429"/>
        <w:jc w:val="both"/>
        <w:textAlignment w:val="baseline"/>
        <w:rPr>
          <w:rFonts w:hint="eastAsia" w:ascii="宋体" w:hAnsi="宋体" w:eastAsia="宋体" w:cs="宋体"/>
          <w:color w:val="auto"/>
          <w:spacing w:val="0"/>
          <w:kern w:val="0"/>
          <w:sz w:val="21"/>
          <w:szCs w:val="21"/>
          <w:highlight w:val="none"/>
          <w:vertAlign w:val="baseline"/>
        </w:rPr>
      </w:pPr>
      <w:r>
        <w:rPr>
          <w:rFonts w:hint="eastAsia" w:ascii="宋体" w:hAnsi="宋体" w:eastAsia="宋体" w:cs="宋体"/>
          <w:color w:val="auto"/>
          <w:spacing w:val="0"/>
          <w:kern w:val="0"/>
          <w:sz w:val="21"/>
          <w:szCs w:val="21"/>
          <w:highlight w:val="none"/>
          <w:vertAlign w:val="baseline"/>
          <w:lang w:val="en-US" w:eastAsia="zh-CN" w:bidi="ar"/>
        </w:rPr>
        <w:t>（1）清单不平衡报价审核按每单项（单项造价委托）2000 元，再乘以服务折扣系数0.8计取。</w:t>
      </w:r>
    </w:p>
    <w:p w14:paraId="026FC9EF">
      <w:pPr>
        <w:keepNext w:val="0"/>
        <w:keepLines w:val="0"/>
        <w:widowControl/>
        <w:suppressLineNumbers w:val="0"/>
        <w:topLinePunct/>
        <w:autoSpaceDE w:val="0"/>
        <w:autoSpaceDN/>
        <w:adjustRightInd w:val="0"/>
        <w:snapToGrid w:val="0"/>
        <w:spacing w:before="0" w:beforeAutospacing="0" w:after="0" w:afterAutospacing="0" w:line="360" w:lineRule="auto"/>
        <w:ind w:left="0" w:right="435" w:firstLine="429"/>
        <w:jc w:val="both"/>
        <w:textAlignment w:val="baseline"/>
        <w:rPr>
          <w:rFonts w:hint="eastAsia" w:ascii="宋体" w:hAnsi="宋体" w:eastAsia="宋体" w:cs="宋体"/>
          <w:color w:val="auto"/>
          <w:spacing w:val="0"/>
          <w:kern w:val="0"/>
          <w:sz w:val="21"/>
          <w:szCs w:val="21"/>
          <w:highlight w:val="none"/>
          <w:vertAlign w:val="baseline"/>
        </w:rPr>
      </w:pPr>
      <w:r>
        <w:rPr>
          <w:rFonts w:hint="eastAsia" w:ascii="宋体" w:hAnsi="宋体" w:eastAsia="宋体" w:cs="宋体"/>
          <w:color w:val="auto"/>
          <w:spacing w:val="0"/>
          <w:kern w:val="0"/>
          <w:sz w:val="21"/>
          <w:szCs w:val="21"/>
          <w:highlight w:val="none"/>
          <w:vertAlign w:val="baseline"/>
          <w:lang w:val="en-US" w:eastAsia="zh-CN" w:bidi="ar"/>
        </w:rPr>
        <w:t>（2）进度款支付审核按每单项（单项造价委托）2000 元，再乘以服务折扣系数0.8计取。</w:t>
      </w:r>
    </w:p>
    <w:p w14:paraId="151D75D6">
      <w:pPr>
        <w:keepNext w:val="0"/>
        <w:keepLines w:val="0"/>
        <w:widowControl/>
        <w:suppressLineNumbers w:val="0"/>
        <w:topLinePunct/>
        <w:autoSpaceDE w:val="0"/>
        <w:autoSpaceDN/>
        <w:adjustRightInd w:val="0"/>
        <w:snapToGrid w:val="0"/>
        <w:spacing w:before="0" w:beforeAutospacing="0" w:after="0" w:afterAutospacing="0" w:line="360" w:lineRule="auto"/>
        <w:ind w:left="0" w:right="435" w:firstLine="429"/>
        <w:jc w:val="both"/>
        <w:textAlignment w:val="baseline"/>
        <w:rPr>
          <w:rFonts w:hint="eastAsia" w:ascii="宋体" w:hAnsi="宋体" w:eastAsia="宋体" w:cs="宋体"/>
          <w:color w:val="auto"/>
          <w:spacing w:val="0"/>
          <w:kern w:val="0"/>
          <w:sz w:val="21"/>
          <w:szCs w:val="21"/>
          <w:highlight w:val="none"/>
          <w:vertAlign w:val="baseline"/>
        </w:rPr>
      </w:pPr>
      <w:r>
        <w:rPr>
          <w:rFonts w:hint="eastAsia" w:ascii="宋体" w:hAnsi="宋体" w:eastAsia="宋体" w:cs="宋体"/>
          <w:color w:val="auto"/>
          <w:spacing w:val="0"/>
          <w:kern w:val="0"/>
          <w:sz w:val="21"/>
          <w:szCs w:val="21"/>
          <w:highlight w:val="none"/>
          <w:vertAlign w:val="baseline"/>
          <w:lang w:val="en-US" w:eastAsia="zh-CN" w:bidi="ar"/>
        </w:rPr>
        <w:t>（3）如项目实施过程中，若存在单位工程未按概算总表中的单位工程目录实施，则施工阶段全过程造价咨询费的收费基数需重新调整对应的概算金额后重新计算。</w:t>
      </w:r>
    </w:p>
    <w:p w14:paraId="7C3299AC">
      <w:pPr>
        <w:keepNext w:val="0"/>
        <w:keepLines w:val="0"/>
        <w:widowControl/>
        <w:suppressLineNumbers w:val="0"/>
        <w:topLinePunct/>
        <w:adjustRightInd w:val="0"/>
        <w:snapToGrid w:val="0"/>
        <w:spacing w:before="0" w:beforeAutospacing="0" w:after="0" w:afterAutospacing="0" w:line="360" w:lineRule="auto"/>
        <w:ind w:left="0" w:right="435" w:firstLine="424" w:firstLineChars="202"/>
        <w:jc w:val="both"/>
        <w:textAlignment w:val="baseline"/>
        <w:rPr>
          <w:rFonts w:hint="eastAsia" w:ascii="宋体" w:hAnsi="宋体" w:eastAsia="宋体" w:cs="宋体"/>
          <w:color w:val="auto"/>
          <w:spacing w:val="0"/>
          <w:kern w:val="2"/>
          <w:sz w:val="21"/>
          <w:szCs w:val="21"/>
          <w:highlight w:val="none"/>
          <w:vertAlign w:val="baseline"/>
          <w:lang w:val="en-US" w:eastAsia="zh-CN" w:bidi="ar"/>
        </w:rPr>
      </w:pPr>
      <w:r>
        <w:rPr>
          <w:rFonts w:hint="eastAsia" w:ascii="宋体" w:hAnsi="宋体" w:eastAsia="宋体" w:cs="宋体"/>
          <w:color w:val="auto"/>
          <w:spacing w:val="0"/>
          <w:kern w:val="2"/>
          <w:sz w:val="21"/>
          <w:szCs w:val="21"/>
          <w:highlight w:val="none"/>
          <w:vertAlign w:val="baseline"/>
          <w:lang w:val="en-US" w:eastAsia="zh-CN" w:bidi="ar"/>
        </w:rPr>
        <w:t>（4）在造价咨询服务过程中，如因建设标准、项目完整性等原因造成设计图纸修改，致使工程造价需要重新修改和确定，双方另行商议需增加的工作时限以及造价咨询服务费用。</w:t>
      </w:r>
    </w:p>
    <w:p w14:paraId="545526B4">
      <w:pPr>
        <w:pStyle w:val="39"/>
        <w:keepNext w:val="0"/>
        <w:keepLines w:val="0"/>
        <w:widowControl/>
        <w:suppressLineNumbers w:val="0"/>
        <w:topLinePunct/>
        <w:adjustRightInd w:val="0"/>
        <w:snapToGrid w:val="0"/>
        <w:spacing w:before="0" w:beforeAutospacing="0" w:after="0" w:afterAutospacing="0" w:line="360" w:lineRule="auto"/>
        <w:ind w:left="0" w:right="435" w:firstLine="424" w:firstLineChars="202"/>
        <w:jc w:val="both"/>
        <w:textAlignment w:val="baseline"/>
        <w:rPr>
          <w:rFonts w:hint="eastAsia" w:ascii="宋体" w:hAnsi="宋体" w:eastAsia="宋体" w:cs="宋体"/>
          <w:color w:val="auto"/>
          <w:spacing w:val="0"/>
          <w:kern w:val="2"/>
          <w:sz w:val="21"/>
          <w:szCs w:val="21"/>
          <w:highlight w:val="none"/>
          <w:vertAlign w:val="baseline"/>
          <w:lang w:val="en-US" w:eastAsia="zh-CN" w:bidi="ar"/>
        </w:rPr>
      </w:pPr>
      <w:r>
        <w:rPr>
          <w:rFonts w:hint="eastAsia" w:eastAsia="宋体" w:cs="宋体"/>
          <w:color w:val="auto"/>
          <w:spacing w:val="0"/>
          <w:kern w:val="2"/>
          <w:sz w:val="21"/>
          <w:szCs w:val="21"/>
          <w:highlight w:val="none"/>
          <w:vertAlign w:val="baseline"/>
          <w:lang w:val="en-US" w:eastAsia="zh-CN" w:bidi="ar"/>
        </w:rPr>
        <w:t>（5）单项造价咨询服务项目，如编制或审核的成果金额中含土地征用、迁移补偿等为取得或租用土地使用权而发生的费用，则以编制或审核的成果金额直接扣减该费用作为收费基数。</w:t>
      </w:r>
    </w:p>
    <w:p w14:paraId="05A2123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3.3 单项造价咨询服务费包括了乙方完成招标文件和合同约定的全部工作所需支付的一切费用，为包干价，包括但不限于：</w:t>
      </w:r>
    </w:p>
    <w:p w14:paraId="51E1AD9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人员人工费（工资及加班工资、福利、社保、住房公积金、节日补贴、高温津贴、劳保、服装和膳食、意外伤害保险、加班费、住宿补贴、市内交通补贴、培训、经济补偿等）、驻场服务所需的差旅费、食宿费、交通费、通讯费、配合费、办理履约担保所需等费用；</w:t>
      </w:r>
    </w:p>
    <w:p w14:paraId="172A78B9">
      <w:pPr>
        <w:keepNext w:val="0"/>
        <w:keepLines w:val="0"/>
        <w:widowControl w:val="0"/>
        <w:suppressLineNumbers w:val="0"/>
        <w:spacing w:before="0" w:beforeAutospacing="0" w:after="0" w:afterAutospacing="0" w:line="360" w:lineRule="auto"/>
        <w:ind w:left="0" w:right="0" w:firstLine="420" w:firstLineChars="200"/>
        <w:jc w:val="both"/>
        <w:outlineLvl w:val="3"/>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（2）合理利润、税费等；</w:t>
      </w:r>
    </w:p>
    <w:p w14:paraId="31CFBAA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（3）法律法规、行业公认、完成合同实施过程中由乙方承担的其他直接及间接费用。</w:t>
      </w:r>
    </w:p>
    <w:p w14:paraId="0E2EA93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3.4 单项造价咨询服务费的具体付款方式按照单项造价咨询服务合同约定执行。</w:t>
      </w:r>
    </w:p>
    <w:p w14:paraId="45DA2F21">
      <w:pPr>
        <w:pStyle w:val="39"/>
        <w:keepNext w:val="0"/>
        <w:keepLines w:val="0"/>
        <w:widowControl w:val="0"/>
        <w:suppressLineNumbers w:val="0"/>
        <w:spacing w:before="0" w:beforeAutospacing="0" w:after="0" w:afterAutospacing="0" w:line="360" w:lineRule="auto"/>
        <w:ind w:left="0" w:right="0" w:firstLine="424" w:firstLineChars="202"/>
        <w:jc w:val="both"/>
        <w:rPr>
          <w:rFonts w:hint="default" w:ascii="宋体" w:hAnsi="宋体" w:eastAsia="宋体" w:cs="宋体"/>
          <w:color w:val="auto"/>
          <w:kern w:val="2"/>
          <w:sz w:val="21"/>
          <w:szCs w:val="21"/>
          <w:highlight w:val="none"/>
          <w:lang w:val="en-US" w:eastAsia="zh-CN" w:bidi="ar"/>
        </w:rPr>
      </w:pPr>
      <w:r>
        <w:rPr>
          <w:rFonts w:hint="eastAsia" w:eastAsia="宋体" w:cs="宋体"/>
          <w:color w:val="auto"/>
          <w:kern w:val="2"/>
          <w:sz w:val="21"/>
          <w:szCs w:val="21"/>
          <w:highlight w:val="none"/>
          <w:lang w:val="en-US" w:eastAsia="zh-CN" w:bidi="ar"/>
        </w:rPr>
        <w:t>3.5 单项造价审核服务费计费方式除“参照《广东省物价局关于调整我省建设工程造价咨询服务收费的复函（粤价函〔2011〕742号）》计费标准再乘以服务折扣系数0.8计算”外，招标人有权根据委托审核项目的复杂程度及重要性，另行制定其他计费方式（分为基础收费与效益收费两部分按比例计费的方式），单项总审核费用不超过该委托项目参照粤价函〔2011〕742号“计费标准”计算的80%。</w:t>
      </w:r>
    </w:p>
    <w:p w14:paraId="5F5A9E22">
      <w:pPr>
        <w:pStyle w:val="54"/>
        <w:rPr>
          <w:rFonts w:hint="eastAsia"/>
          <w:highlight w:val="none"/>
        </w:rPr>
      </w:pPr>
    </w:p>
    <w:p w14:paraId="535ADEEC">
      <w:pPr>
        <w:keepNext w:val="0"/>
        <w:keepLines w:val="0"/>
        <w:widowControl w:val="0"/>
        <w:suppressLineNumbers w:val="0"/>
        <w:spacing w:before="0" w:beforeAutospacing="0" w:after="0" w:afterAutospacing="0" w:line="360" w:lineRule="auto"/>
        <w:ind w:left="0" w:right="0" w:firstLine="422" w:firstLineChars="200"/>
        <w:jc w:val="both"/>
        <w:outlineLvl w:val="4"/>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第四条 项目分配方式</w:t>
      </w:r>
    </w:p>
    <w:p w14:paraId="64729BA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4.1</w:t>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kern w:val="2"/>
          <w:sz w:val="21"/>
          <w:szCs w:val="21"/>
          <w:highlight w:val="none"/>
          <w:lang w:val="en-US" w:eastAsia="zh-CN" w:bidi="ar"/>
        </w:rPr>
        <w:t>供应商库服务期限内， 由甲方（及其直属企业）根据实际工作需要，分别与库内服务单位签订合同，并原则上通过随机抽取，轮流派单的方式进行造价咨询服务任务的委派。每轮次抽取由当期具备参与资格的协议服务单位一同参与。同一轮次抽取周期内，已被抽取的协议服务单位将不再参与后续单项服务业务的抽取，直至本周期结束开始下一轮次的抽取。特殊项目甲方（及其直属企业）有权根据需要择优选取服务单位。</w:t>
      </w:r>
    </w:p>
    <w:p w14:paraId="1D7CE9DA">
      <w:pPr>
        <w:keepNext w:val="0"/>
        <w:keepLines w:val="0"/>
        <w:widowControl w:val="0"/>
        <w:suppressLineNumbers w:val="0"/>
        <w:spacing w:before="0" w:beforeAutospacing="0" w:after="0" w:afterAutospacing="0" w:line="360" w:lineRule="auto"/>
        <w:ind w:left="0" w:right="0" w:firstLine="476" w:firstLineChars="22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4.2 在合同履行期间，甲方有权根据实际情况更换派单方式。对此，乙方应无条件服从甲方安排，并保证不向甲方追讨任何费用或主张任何权利和责任。</w:t>
      </w:r>
    </w:p>
    <w:p w14:paraId="5D56FD35">
      <w:pPr>
        <w:pStyle w:val="39"/>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4.3 乙方应知悉本项目为组建造价咨询服务供应商库，中标入库仅代表取得造价咨询服务资格，并不意味着乙方必然获得具体的服务项目的机会，甲方不保证乙方所获得的服务项目数量，对此，乙方保证不要求甲方提供任何形式的补偿或赔偿。甲方有权根据日常管理规定对库内供应商进行管理考核。</w:t>
      </w:r>
      <w:r>
        <w:rPr>
          <w:rFonts w:hint="eastAsia" w:ascii="宋体" w:hAnsi="宋体" w:eastAsia="宋体" w:cs="宋体"/>
          <w:bCs/>
          <w:color w:val="auto"/>
          <w:kern w:val="0"/>
          <w:sz w:val="21"/>
          <w:szCs w:val="21"/>
          <w:highlight w:val="none"/>
          <w:lang w:val="en-US" w:eastAsia="zh-CN" w:bidi="ar"/>
        </w:rPr>
        <w:t xml:space="preserve"> </w:t>
      </w:r>
    </w:p>
    <w:p w14:paraId="4013E3CE">
      <w:pPr>
        <w:pStyle w:val="39"/>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eastAsia="宋体" w:cs="宋体"/>
          <w:bCs/>
          <w:color w:val="auto"/>
          <w:kern w:val="0"/>
          <w:sz w:val="21"/>
          <w:szCs w:val="21"/>
          <w:highlight w:val="none"/>
          <w:lang w:val="en-US" w:eastAsia="zh-CN" w:bidi="ar"/>
        </w:rPr>
      </w:pPr>
      <w:r>
        <w:rPr>
          <w:rFonts w:hint="eastAsia" w:eastAsia="宋体" w:cs="宋体"/>
          <w:bCs/>
          <w:color w:val="auto"/>
          <w:kern w:val="0"/>
          <w:sz w:val="21"/>
          <w:szCs w:val="21"/>
          <w:highlight w:val="none"/>
          <w:lang w:val="en-US" w:eastAsia="zh-CN" w:bidi="ar"/>
        </w:rPr>
        <w:t>4.4 甲方有权根据需求情况，委托库外第三方服务单位承接业务。</w:t>
      </w:r>
    </w:p>
    <w:p w14:paraId="587BD402">
      <w:pPr>
        <w:pStyle w:val="39"/>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eastAsia="宋体" w:cs="宋体"/>
          <w:bCs/>
          <w:color w:val="auto"/>
          <w:kern w:val="0"/>
          <w:sz w:val="21"/>
          <w:szCs w:val="21"/>
          <w:highlight w:val="none"/>
          <w:lang w:val="en-US" w:eastAsia="zh-CN" w:bidi="ar"/>
        </w:rPr>
      </w:pPr>
      <w:r>
        <w:rPr>
          <w:rFonts w:hint="eastAsia" w:eastAsia="宋体" w:cs="宋体"/>
          <w:bCs/>
          <w:color w:val="auto"/>
          <w:kern w:val="0"/>
          <w:sz w:val="21"/>
          <w:szCs w:val="21"/>
          <w:highlight w:val="none"/>
          <w:lang w:val="en-US" w:eastAsia="zh-CN" w:bidi="ar"/>
        </w:rPr>
        <w:t>4.5 因甲方原因导致已抽取安排的单项服务业务取消，甲方将在当期轮次周期对受影响的协议服务单位增加 1 次抽取参与资格。甲方不再对受影响的协议服务单位作出任何形式的补偿或赔偿。</w:t>
      </w:r>
    </w:p>
    <w:p w14:paraId="6A7F4CDA">
      <w:pPr>
        <w:pStyle w:val="39"/>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eastAsia="宋体" w:cs="宋体"/>
          <w:bCs/>
          <w:color w:val="auto"/>
          <w:kern w:val="0"/>
          <w:sz w:val="21"/>
          <w:szCs w:val="21"/>
          <w:highlight w:val="none"/>
          <w:lang w:val="en-US" w:eastAsia="zh-CN" w:bidi="ar"/>
        </w:rPr>
      </w:pPr>
      <w:r>
        <w:rPr>
          <w:rFonts w:hint="eastAsia" w:eastAsia="宋体" w:cs="宋体"/>
          <w:bCs/>
          <w:color w:val="auto"/>
          <w:kern w:val="0"/>
          <w:sz w:val="21"/>
          <w:szCs w:val="21"/>
          <w:highlight w:val="none"/>
          <w:lang w:val="en-US" w:eastAsia="zh-CN" w:bidi="ar"/>
        </w:rPr>
        <w:t>4.6 协议服务期限内，各协议服务单位每完成一个服务项目后，由该项目采购人（甲方或</w:t>
      </w:r>
      <w:r>
        <w:rPr>
          <w:rFonts w:hint="eastAsia" w:ascii="宋体" w:hAnsi="宋体" w:eastAsia="宋体" w:cs="宋体"/>
          <w:color w:val="auto"/>
          <w:kern w:val="2"/>
          <w:sz w:val="21"/>
          <w:szCs w:val="21"/>
          <w:highlight w:val="none"/>
          <w:lang w:val="en-US" w:eastAsia="zh-CN" w:bidi="ar"/>
        </w:rPr>
        <w:t>其直属企业</w:t>
      </w:r>
      <w:r>
        <w:rPr>
          <w:rFonts w:hint="eastAsia" w:eastAsia="宋体" w:cs="宋体"/>
          <w:bCs/>
          <w:color w:val="auto"/>
          <w:kern w:val="0"/>
          <w:sz w:val="21"/>
          <w:szCs w:val="21"/>
          <w:highlight w:val="none"/>
          <w:lang w:val="en-US" w:eastAsia="zh-CN" w:bidi="ar"/>
        </w:rPr>
        <w:t>）将对其进行单项服务质量考核评价（详见附件2《</w:t>
      </w:r>
      <w:r>
        <w:rPr>
          <w:rFonts w:hint="eastAsia" w:ascii="宋体" w:hAnsi="宋体" w:eastAsia="宋体" w:cs="宋体"/>
          <w:color w:val="auto"/>
          <w:kern w:val="2"/>
          <w:sz w:val="21"/>
          <w:szCs w:val="21"/>
          <w:highlight w:val="none"/>
          <w:lang w:val="en-US" w:eastAsia="zh-CN" w:bidi="ar"/>
        </w:rPr>
        <w:t>造价咨询服务单位考核表</w:t>
      </w:r>
      <w:r>
        <w:rPr>
          <w:rFonts w:hint="eastAsia" w:eastAsia="宋体" w:cs="宋体"/>
          <w:color w:val="auto"/>
          <w:kern w:val="2"/>
          <w:sz w:val="21"/>
          <w:szCs w:val="21"/>
          <w:highlight w:val="none"/>
          <w:lang w:val="en-US" w:eastAsia="zh-CN" w:bidi="ar"/>
        </w:rPr>
        <w:t>》</w:t>
      </w:r>
      <w:r>
        <w:rPr>
          <w:rFonts w:hint="eastAsia" w:eastAsia="宋体" w:cs="宋体"/>
          <w:bCs/>
          <w:color w:val="auto"/>
          <w:kern w:val="0"/>
          <w:sz w:val="21"/>
          <w:szCs w:val="21"/>
          <w:highlight w:val="none"/>
          <w:lang w:val="en-US" w:eastAsia="zh-CN" w:bidi="ar"/>
        </w:rPr>
        <w:t>）。</w:t>
      </w:r>
    </w:p>
    <w:p w14:paraId="1CAEAE84">
      <w:pPr>
        <w:pStyle w:val="39"/>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eastAsia="宋体" w:cs="宋体"/>
          <w:bCs/>
          <w:color w:val="auto"/>
          <w:kern w:val="0"/>
          <w:sz w:val="21"/>
          <w:szCs w:val="21"/>
          <w:highlight w:val="none"/>
          <w:lang w:val="en-US" w:eastAsia="zh-CN" w:bidi="ar"/>
        </w:rPr>
      </w:pPr>
      <w:r>
        <w:rPr>
          <w:rFonts w:hint="eastAsia" w:eastAsia="宋体" w:cs="宋体"/>
          <w:bCs/>
          <w:color w:val="auto"/>
          <w:kern w:val="0"/>
          <w:sz w:val="21"/>
          <w:szCs w:val="21"/>
          <w:highlight w:val="none"/>
          <w:lang w:val="en-US" w:eastAsia="zh-CN" w:bidi="ar"/>
        </w:rPr>
        <w:t>4.7 每季度甲方负责统计各服务单位的综合得分结果并进行排名。分值按从高到低的原则进行排名，得分相同的排名并列。</w:t>
      </w:r>
    </w:p>
    <w:p w14:paraId="55C9155D">
      <w:pPr>
        <w:pStyle w:val="39"/>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eastAsia="宋体" w:cs="宋体"/>
          <w:bCs/>
          <w:color w:val="auto"/>
          <w:kern w:val="0"/>
          <w:sz w:val="21"/>
          <w:szCs w:val="21"/>
          <w:highlight w:val="none"/>
          <w:lang w:val="en-US" w:eastAsia="zh-CN" w:bidi="ar"/>
        </w:rPr>
      </w:pPr>
      <w:r>
        <w:rPr>
          <w:rFonts w:hint="eastAsia" w:eastAsia="宋体" w:cs="宋体"/>
          <w:bCs/>
          <w:color w:val="auto"/>
          <w:kern w:val="0"/>
          <w:sz w:val="21"/>
          <w:szCs w:val="21"/>
          <w:highlight w:val="none"/>
          <w:lang w:val="en-US" w:eastAsia="zh-CN" w:bidi="ar"/>
        </w:rPr>
        <w:t>4.8 因上述4.5款原因业务取消或获得考核排名第一的协议服务单位，甲方将在当期轮次周期内增加其1次抽取参与资格。每家协议服务单位在每一轮次增加的次数不超过1次，在同一轮抽取周期内，有多次待增补资格的协议服务单位，待增加的抽取参与资格顺延至下一轮次增加，直至完成对应服务单位需增加的次数。</w:t>
      </w:r>
    </w:p>
    <w:p w14:paraId="7F20E59C">
      <w:pPr>
        <w:pStyle w:val="39"/>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eastAsia="宋体" w:cs="宋体"/>
          <w:bCs/>
          <w:color w:val="auto"/>
          <w:kern w:val="0"/>
          <w:sz w:val="21"/>
          <w:szCs w:val="21"/>
          <w:highlight w:val="none"/>
          <w:lang w:val="en-US" w:eastAsia="zh-CN" w:bidi="ar"/>
        </w:rPr>
      </w:pPr>
      <w:r>
        <w:rPr>
          <w:rFonts w:hint="eastAsia" w:eastAsia="宋体" w:cs="宋体"/>
          <w:bCs/>
          <w:color w:val="auto"/>
          <w:kern w:val="0"/>
          <w:sz w:val="21"/>
          <w:szCs w:val="21"/>
          <w:highlight w:val="none"/>
          <w:lang w:val="en-US" w:eastAsia="zh-CN" w:bidi="ar"/>
        </w:rPr>
        <w:t>4.9 考核排名最后的协议服务单位，甲方将在当期轮次周期内或下一轮次周期内取消其1次抽取参与资格。连续2次考核排名最后的协议服务单位，其被取消的抽取参与资格累加执行，直至执行完毕再参与下一轮次的抽取。连续3次（含本数）考核排名最后，或者累计2次（含本数）考核不合格，甲方有权单方面终止其协议服务资格并解除服务合同。</w:t>
      </w:r>
    </w:p>
    <w:p w14:paraId="3C85F322">
      <w:pPr>
        <w:pStyle w:val="39"/>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eastAsia="宋体" w:cs="宋体"/>
          <w:bCs/>
          <w:color w:val="auto"/>
          <w:kern w:val="0"/>
          <w:sz w:val="21"/>
          <w:szCs w:val="21"/>
          <w:highlight w:val="none"/>
          <w:lang w:val="en-US" w:eastAsia="zh-CN" w:bidi="ar"/>
        </w:rPr>
      </w:pPr>
      <w:r>
        <w:rPr>
          <w:rFonts w:hint="eastAsia" w:eastAsia="宋体" w:cs="宋体"/>
          <w:bCs/>
          <w:color w:val="auto"/>
          <w:kern w:val="0"/>
          <w:sz w:val="21"/>
          <w:szCs w:val="21"/>
          <w:highlight w:val="none"/>
          <w:lang w:val="en-US" w:eastAsia="zh-CN" w:bidi="ar"/>
        </w:rPr>
        <w:t>4.10 乙方以任何理由拒绝承接已抽取确定的单项服务业务，将取消其1次抽取参与资格，与本合同4.9条一并执行。</w:t>
      </w:r>
    </w:p>
    <w:p w14:paraId="64A46839">
      <w:pPr>
        <w:keepNext w:val="0"/>
        <w:keepLines w:val="0"/>
        <w:widowControl w:val="0"/>
        <w:suppressLineNumbers w:val="0"/>
        <w:spacing w:before="0" w:beforeAutospacing="0" w:after="0" w:afterAutospacing="0" w:line="360" w:lineRule="auto"/>
        <w:ind w:left="0" w:right="0" w:firstLine="422" w:firstLineChars="200"/>
        <w:jc w:val="both"/>
        <w:outlineLvl w:val="4"/>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第五条 服务要求</w:t>
      </w:r>
    </w:p>
    <w:p w14:paraId="05322736">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5.1 根据国家和省、市有关工程造价的法规、政策、文件、以及基建财务管理的有关规定，本着为甲方节约投资的原则，科学、客观、公正地开展工程造价咨询服务工作；应按甲方的要求，按时按质按量提供咨询报告，对成果报告的真实性、准确性、完整性、合法性、合理性负责，并负有保密责任。</w:t>
      </w:r>
    </w:p>
    <w:p w14:paraId="2D1C26E1">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5.2 根据甲方的委托，编制和审核的工程概预算(含最高限价)、招标工程量清单应确保结果完整、科学、准确，符合工程项目的实际情况和国家有关工程计价规范；招标工程量清单设置要科学、合理，不得有高估冒算、虚列项目，也不得有漏项漏量、重项错量等错误，如有上述错误，应负相应的责任。</w:t>
      </w:r>
    </w:p>
    <w:p w14:paraId="2564A33F">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5.3 在编制和审核工程概预算(含最高限价)、招标工程量清单时，如甲方有相关需求，乙方须对项目的设计方案作出技术经济分析，并向甲方提出优化方案和合理化建议；</w:t>
      </w:r>
    </w:p>
    <w:p w14:paraId="11BD873B">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5.4货物（服务）采购项目的采购控制价进行市场询价(特殊材料除外)，应提交不少于三家或三家以上的有效报价，内容包括供应商名称、联系人、联系电话、报价明细、有效期，并提交对报价单位资质查询、对用户需求的响应分析、拟定价格方案等资料。具体以招标人相关制度要求为准。</w:t>
      </w:r>
    </w:p>
    <w:p w14:paraId="3D4B1A3E">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5.5 要坚持科学准确、客观真实、公平公正、合理合法、廉洁高效的原则，审核工程竣工结算。必须及时配合甲方解决结算审核中存在的技术问题，在服务过程中，如发现计价原则方法的确定、重大的签证审核以及工程管理中存在违规行为要及时向甲方反映，不得擅自作出处理，要对项目的全过程管理依法作出正确的评价。</w:t>
      </w:r>
    </w:p>
    <w:p w14:paraId="60E77255">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5.6 对存有疑问的地方，应配合甲方深入现场调查取证，逐一核实，按实际情况调整，保证工程造价咨询服务成果文件的合理性和真实性。重要的材料或设备价格，应及时与甲方沟通，协商确定合理的价格。</w:t>
      </w:r>
    </w:p>
    <w:p w14:paraId="0E262925">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5.7 配合甲方做好编审依据的收集及取证工作，所有的编审依据必须是有效的书面资料， 并妥善保存。</w:t>
      </w:r>
    </w:p>
    <w:p w14:paraId="79F0CDF6">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5.8 不得接受同一项目不同委托人的造价咨询服务委托，即就同一项目既接受招标人的委托，又接受项目投标供应商、承包单位等相对利益关系人的委托。</w:t>
      </w:r>
    </w:p>
    <w:p w14:paraId="716A4040">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5.9 项目的结果未经甲方许可，不得泄露给他人。乙方应对受托任务涉及的有关资料、内容、成果以及结论承担保密的义务。</w:t>
      </w:r>
    </w:p>
    <w:p w14:paraId="6FD37524">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5.10 对于甲方要求乙方驻场服务的项目，乙方有义务派出专业的人员驻场服务，招标人仅提供服务场地。</w:t>
      </w:r>
    </w:p>
    <w:p w14:paraId="7101F013">
      <w:pPr>
        <w:keepNext w:val="0"/>
        <w:keepLines w:val="0"/>
        <w:widowControl w:val="0"/>
        <w:suppressLineNumbers w:val="0"/>
        <w:tabs>
          <w:tab w:val="left" w:pos="540"/>
        </w:tabs>
        <w:spacing w:before="0" w:beforeAutospacing="0" w:after="0" w:afterAutospacing="0" w:line="360" w:lineRule="auto"/>
        <w:ind w:left="0" w:right="0" w:firstLine="422" w:firstLineChars="200"/>
        <w:jc w:val="both"/>
        <w:outlineLvl w:val="4"/>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第六条 单项造价咨询服务完成时间要求</w:t>
      </w:r>
    </w:p>
    <w:p w14:paraId="2EFA55C7">
      <w:pPr>
        <w:pStyle w:val="39"/>
        <w:keepNext w:val="0"/>
        <w:keepLines w:val="0"/>
        <w:widowControl w:val="0"/>
        <w:suppressLineNumbers w:val="0"/>
        <w:spacing w:before="0" w:beforeAutospacing="0" w:after="0" w:afterAutospacing="0" w:line="360" w:lineRule="auto"/>
        <w:ind w:left="426"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6.1 参照《东莞市财政性资金投资建设项目工程造价咨询服务管理办法》的规定，具体如下：</w:t>
      </w:r>
    </w:p>
    <w:p w14:paraId="0FD2FBA2">
      <w:pPr>
        <w:pStyle w:val="39"/>
        <w:keepNext w:val="0"/>
        <w:keepLines w:val="0"/>
        <w:widowControl w:val="0"/>
        <w:suppressLineNumbers w:val="0"/>
        <w:autoSpaceDE w:val="0"/>
        <w:autoSpaceDN w:val="0"/>
        <w:adjustRightInd w:val="0"/>
        <w:spacing w:before="0" w:beforeAutospacing="0" w:after="0" w:afterAutospacing="0" w:line="360" w:lineRule="auto"/>
        <w:ind w:left="0" w:right="630" w:firstLine="400"/>
        <w:jc w:val="right"/>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bidi="ar"/>
        </w:rPr>
        <w:t>单位：工作日</w:t>
      </w:r>
    </w:p>
    <w:tbl>
      <w:tblPr>
        <w:tblStyle w:val="44"/>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29"/>
        <w:gridCol w:w="3052"/>
        <w:gridCol w:w="850"/>
        <w:gridCol w:w="851"/>
        <w:gridCol w:w="850"/>
        <w:gridCol w:w="709"/>
        <w:gridCol w:w="709"/>
        <w:gridCol w:w="706"/>
        <w:gridCol w:w="629"/>
      </w:tblGrid>
      <w:tr w14:paraId="186CF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4"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FF070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序号</w:t>
            </w:r>
          </w:p>
        </w:tc>
        <w:tc>
          <w:tcPr>
            <w:tcW w:w="3052"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D5DE2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50D28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市政路桥水利</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0C9C2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土建</w:t>
            </w:r>
          </w:p>
        </w:tc>
        <w:tc>
          <w:tcPr>
            <w:tcW w:w="141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F4E7E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安装</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4F797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备注</w:t>
            </w:r>
          </w:p>
        </w:tc>
      </w:tr>
      <w:tr w14:paraId="0CCF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3B981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052"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83D8C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4FD3B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审核</w:t>
            </w: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9701F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编制</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0617C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审核</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F08CC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编制</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C646F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审核</w:t>
            </w:r>
          </w:p>
        </w:tc>
        <w:tc>
          <w:tcPr>
            <w:tcW w:w="7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E74B4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编制</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5CD734">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6A41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F1AAC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一</w:t>
            </w:r>
          </w:p>
        </w:tc>
        <w:tc>
          <w:tcPr>
            <w:tcW w:w="3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DCFED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概、预算(含招标工程量清单)</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41891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1B8D8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2C522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26507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52AC6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7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13F85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B3FB5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18DC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252D5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30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125B7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投资 500 万元以内</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6BF56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5B6687">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CD9EF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5DE2A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8F76F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7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E6BA7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63CF0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5D8B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2448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30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08EE4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投资 500-2500 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DED0B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w:t>
            </w: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35657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D7B38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07CA4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5B1AB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w:t>
            </w:r>
          </w:p>
        </w:tc>
        <w:tc>
          <w:tcPr>
            <w:tcW w:w="7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97D8F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F575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2BDD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81375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30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DF7B9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投资 2500-5000 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E959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w:t>
            </w: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C0ABE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E262B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9B6F61">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216B57">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7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86638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A00C9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3ED9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5F675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30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9E7FB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投资 5000-7500 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6461F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w:t>
            </w: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FA4327">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4A5AF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AC3C8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740BBA">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7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6D1AD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D89F8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70F6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3144B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30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C5654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投资 7500-10000 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70FEC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w:t>
            </w: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53708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BC769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2081A7">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2DFF9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7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1920A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90FD0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2B0B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096D0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30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AB561">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投资 10000 万元以上</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45534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w:t>
            </w: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BA0E6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AE640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DBC34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88BB3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7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0B805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912CF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304E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075A6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二</w:t>
            </w:r>
          </w:p>
        </w:tc>
        <w:tc>
          <w:tcPr>
            <w:tcW w:w="30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7A7EF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结算</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DBF74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518F2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06876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87CD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5D1B5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7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492E9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BD1E6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25D4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3B43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30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F831A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投资 500 万元以内</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F2F32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0D897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42F497">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52EC9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FF771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w:t>
            </w:r>
          </w:p>
        </w:tc>
        <w:tc>
          <w:tcPr>
            <w:tcW w:w="7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BF2FE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DE44A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05F7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22B6B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30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95FEA1">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投资 500-2500 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47104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w:t>
            </w: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D824B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346867">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CF48E1">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8DFA0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w:t>
            </w:r>
          </w:p>
        </w:tc>
        <w:tc>
          <w:tcPr>
            <w:tcW w:w="7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82FDD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097A2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5E19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3FC62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30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03F8E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投资 2500-5000 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6EB78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w:t>
            </w: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655B81">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2E958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1621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8E94A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w:t>
            </w:r>
          </w:p>
        </w:tc>
        <w:tc>
          <w:tcPr>
            <w:tcW w:w="7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F5A56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19</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5A315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093A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88224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30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638F5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投资 5000-7500 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4DE82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w:t>
            </w: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717F1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2EFED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811FE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6B00A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w:t>
            </w:r>
          </w:p>
        </w:tc>
        <w:tc>
          <w:tcPr>
            <w:tcW w:w="7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3608D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A3E10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2A17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76A37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30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4CB96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投资 7500-10000 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68977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w:t>
            </w: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FB483A">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C3B27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19</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F1327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23</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A51A5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w:t>
            </w:r>
          </w:p>
        </w:tc>
        <w:tc>
          <w:tcPr>
            <w:tcW w:w="7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49C8B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AC655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76B6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BB6F2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30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5C24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投资 10000 万元以上</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2C77DA">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w:t>
            </w: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EE9F8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24</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D3D35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28CBF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26</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A1420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w:t>
            </w:r>
          </w:p>
        </w:tc>
        <w:tc>
          <w:tcPr>
            <w:tcW w:w="7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223E6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28</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E1440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bl>
    <w:p w14:paraId="5FC75853">
      <w:pPr>
        <w:keepNext w:val="0"/>
        <w:keepLines w:val="0"/>
        <w:widowControl w:val="0"/>
        <w:suppressLineNumbers w:val="0"/>
        <w:spacing w:before="0" w:beforeAutospacing="1"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6.2 以上时限为完成单项工程造价咨询服务成果文件的全部时间，包括编审、对数、现场勘察及复核后修改等时间；对于</w:t>
      </w:r>
      <w:r>
        <w:rPr>
          <w:rFonts w:hint="eastAsia" w:ascii="宋体" w:hAnsi="宋体" w:eastAsia="宋体" w:cs="宋体"/>
          <w:color w:val="auto"/>
          <w:spacing w:val="0"/>
          <w:kern w:val="0"/>
          <w:sz w:val="21"/>
          <w:szCs w:val="21"/>
          <w:highlight w:val="none"/>
          <w:lang w:val="en-US" w:eastAsia="zh-CN" w:bidi="ar"/>
        </w:rPr>
        <w:t>非工程类货物采购、服务类项目的</w:t>
      </w:r>
      <w:r>
        <w:rPr>
          <w:rFonts w:hint="eastAsia" w:ascii="宋体" w:hAnsi="宋体" w:eastAsia="宋体" w:cs="宋体"/>
          <w:color w:val="auto"/>
          <w:kern w:val="2"/>
          <w:sz w:val="21"/>
          <w:szCs w:val="21"/>
          <w:highlight w:val="none"/>
          <w:lang w:val="en-US" w:eastAsia="zh-CN" w:bidi="ar"/>
        </w:rPr>
        <w:t>咨询服务成果完成时限为10个工作日。招标人有权根据单项工作实际情况，要求造价咨询服务单位加快完成相关工作，造价咨询机构应予以配合。</w:t>
      </w:r>
    </w:p>
    <w:p w14:paraId="06F9F2F6">
      <w:pPr>
        <w:keepNext w:val="0"/>
        <w:keepLines w:val="0"/>
        <w:widowControl w:val="0"/>
        <w:suppressLineNumbers w:val="0"/>
        <w:tabs>
          <w:tab w:val="left" w:pos="540"/>
        </w:tabs>
        <w:spacing w:before="0" w:beforeAutospacing="0" w:after="0" w:afterAutospacing="0" w:line="360" w:lineRule="auto"/>
        <w:ind w:left="0" w:right="0" w:firstLine="422" w:firstLineChars="200"/>
        <w:jc w:val="both"/>
        <w:outlineLvl w:val="4"/>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第七条 日常管理</w:t>
      </w:r>
    </w:p>
    <w:p w14:paraId="4A3C3575">
      <w:pPr>
        <w:keepNext w:val="0"/>
        <w:keepLines w:val="0"/>
        <w:widowControl w:val="0"/>
        <w:suppressLineNumbers w:val="0"/>
        <w:tabs>
          <w:tab w:val="left" w:pos="540"/>
        </w:tabs>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7.1 乙方每完成一个单项项目后有义务接受甲方的考核评价，考核内容详见附件2《造价咨询服务单位考核表》（以下简称“《考核表》”）。乙方应知悉甲方有权在服务期内对考核规定及内容作出调整，乙方应无条件接受。</w:t>
      </w:r>
    </w:p>
    <w:p w14:paraId="17EC8ADD">
      <w:pPr>
        <w:keepNext w:val="0"/>
        <w:keepLines w:val="0"/>
        <w:widowControl w:val="0"/>
        <w:suppressLineNumbers w:val="0"/>
        <w:tabs>
          <w:tab w:val="left" w:pos="540"/>
        </w:tabs>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7.2 甲方将不定期对乙方办公场所，投入服务人员情况进行抽查。若乙方未按招标文件、投标文件、合同约定（或未按约定的同等条件）配备必要的办公场所、设备或者服务人员的，甲方有权要求乙方改正，如乙方仍拒不改正的，甲方有权选择单方解除本合同，并要求乙方向甲方支付人民币20,000.00元的违约金。</w:t>
      </w:r>
    </w:p>
    <w:p w14:paraId="72442323">
      <w:pPr>
        <w:keepNext w:val="0"/>
        <w:keepLines w:val="0"/>
        <w:widowControl w:val="0"/>
        <w:suppressLineNumbers w:val="0"/>
        <w:tabs>
          <w:tab w:val="left" w:pos="540"/>
        </w:tabs>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7.3 为保证项目执行的有效性及连续性，乙方应设置固定的项目负责人，其中乙方承诺保障咨询服务的整体高质量与高水平。乙方应确认一名项目联系人（乙方联系人：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；联系电话：</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），负责与甲方日常业务联系。联系人可以是项目负责人，或者是乙方拟投项目服务团队中的其他工作人员。</w:t>
      </w:r>
    </w:p>
    <w:p w14:paraId="2E282243">
      <w:pPr>
        <w:keepNext w:val="0"/>
        <w:keepLines w:val="0"/>
        <w:widowControl w:val="0"/>
        <w:suppressLineNumbers w:val="0"/>
        <w:tabs>
          <w:tab w:val="left" w:pos="540"/>
        </w:tabs>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7.4 乙方需更换项目服务团队人员的，更换人员的资历条件应不低于投标文件中承诺的同等条件，且须经征得甲方书面同意后方能进行更换。在履约过程中，乙方未经甲方批准自行更换服务人员或拒不按甲方要求更换服务人员的，甲方有权要求限期改正，并按每人次人民币10,000.00元的标准要求乙方支付违约金。如乙方逾期仍不改正的或在一季度内，违反本合同约定连续或累计达3次或以上的，甲方有权单方解除本合同，并要求乙方支付人民币20,000.00元的违约金，同时没收本项目履约担保。</w:t>
      </w:r>
    </w:p>
    <w:p w14:paraId="6F9A8B27">
      <w:pPr>
        <w:keepNext w:val="0"/>
        <w:keepLines w:val="0"/>
        <w:widowControl w:val="0"/>
        <w:suppressLineNumbers w:val="0"/>
        <w:tabs>
          <w:tab w:val="left" w:pos="540"/>
        </w:tabs>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7.5 合同履行期间，甲方有权视情况对日常管理规定进行调整，乙方应服从甲方管理规定。</w:t>
      </w:r>
    </w:p>
    <w:p w14:paraId="11CEF1EB">
      <w:pPr>
        <w:keepNext w:val="0"/>
        <w:keepLines w:val="0"/>
        <w:widowControl w:val="0"/>
        <w:suppressLineNumbers w:val="0"/>
        <w:tabs>
          <w:tab w:val="left" w:pos="540"/>
        </w:tabs>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7.6 甲方有权根据考核评价结果增加或暂停向乙方分配单项造价咨询服务或追究违约责任或取消乙方造价咨询服务资格。</w:t>
      </w:r>
    </w:p>
    <w:p w14:paraId="5FD84947">
      <w:pPr>
        <w:keepNext w:val="0"/>
        <w:keepLines w:val="0"/>
        <w:widowControl w:val="0"/>
        <w:suppressLineNumbers w:val="0"/>
        <w:tabs>
          <w:tab w:val="left" w:pos="540"/>
        </w:tabs>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7.7 甲方有权根据需求情况，适时补充其他造价咨询服务供应商进入供应商库，乙方对此无异议。</w:t>
      </w:r>
    </w:p>
    <w:p w14:paraId="573B0726">
      <w:pPr>
        <w:keepNext w:val="0"/>
        <w:keepLines w:val="0"/>
        <w:widowControl w:val="0"/>
        <w:suppressLineNumbers w:val="0"/>
        <w:tabs>
          <w:tab w:val="left" w:pos="540"/>
        </w:tabs>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7.8</w:t>
      </w:r>
      <w:r>
        <w:rPr>
          <w:rFonts w:hint="eastAsia" w:ascii="宋体" w:hAnsi="宋体" w:eastAsia="宋体" w:cs="宋体"/>
          <w:color w:val="auto"/>
          <w:kern w:val="2"/>
          <w:sz w:val="21"/>
          <w:szCs w:val="21"/>
          <w:highlight w:val="none"/>
          <w:lang w:val="en-US" w:eastAsia="zh-CN" w:bidi="ar"/>
        </w:rPr>
        <w:t>乙方人员有下列情形之一的，乙方应在收到甲方更换人员要求后7天内无条件完成相关人员更换：</w:t>
      </w:r>
    </w:p>
    <w:p w14:paraId="5A3E13C4">
      <w:pPr>
        <w:keepNext w:val="0"/>
        <w:keepLines w:val="0"/>
        <w:widowControl w:val="0"/>
        <w:suppressLineNumbers w:val="0"/>
        <w:tabs>
          <w:tab w:val="left" w:pos="540"/>
        </w:tabs>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（1）严重过失行为的；</w:t>
      </w:r>
    </w:p>
    <w:p w14:paraId="2B721065">
      <w:pPr>
        <w:keepNext w:val="0"/>
        <w:keepLines w:val="0"/>
        <w:widowControl w:val="0"/>
        <w:suppressLineNumbers w:val="0"/>
        <w:tabs>
          <w:tab w:val="left" w:pos="540"/>
        </w:tabs>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（2）有违法行为不能履行职责的；</w:t>
      </w:r>
    </w:p>
    <w:p w14:paraId="0D2088AC">
      <w:pPr>
        <w:keepNext w:val="0"/>
        <w:keepLines w:val="0"/>
        <w:widowControl w:val="0"/>
        <w:suppressLineNumbers w:val="0"/>
        <w:tabs>
          <w:tab w:val="left" w:pos="540"/>
        </w:tabs>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（3）涉嫌犯罪的；</w:t>
      </w:r>
    </w:p>
    <w:p w14:paraId="28A81418">
      <w:pPr>
        <w:keepNext w:val="0"/>
        <w:keepLines w:val="0"/>
        <w:widowControl w:val="0"/>
        <w:suppressLineNumbers w:val="0"/>
        <w:tabs>
          <w:tab w:val="left" w:pos="540"/>
        </w:tabs>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（4）不能胜任岗位职责的；</w:t>
      </w:r>
    </w:p>
    <w:p w14:paraId="28F8938D">
      <w:pPr>
        <w:keepNext w:val="0"/>
        <w:keepLines w:val="0"/>
        <w:widowControl w:val="0"/>
        <w:suppressLineNumbers w:val="0"/>
        <w:tabs>
          <w:tab w:val="left" w:pos="540"/>
        </w:tabs>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（5）严重违反职业道德的；</w:t>
      </w:r>
    </w:p>
    <w:p w14:paraId="2D1A0CA5">
      <w:pPr>
        <w:keepNext w:val="0"/>
        <w:keepLines w:val="0"/>
        <w:widowControl w:val="0"/>
        <w:suppressLineNumbers w:val="0"/>
        <w:tabs>
          <w:tab w:val="left" w:pos="540"/>
        </w:tabs>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（6）2次（含）不通过甲方组织的专项考核（如有）的；</w:t>
      </w:r>
    </w:p>
    <w:p w14:paraId="65683984">
      <w:pPr>
        <w:pStyle w:val="39"/>
        <w:keepNext w:val="0"/>
        <w:keepLines w:val="0"/>
        <w:widowControl w:val="0"/>
        <w:suppressLineNumbers w:val="0"/>
        <w:tabs>
          <w:tab w:val="left" w:pos="540"/>
        </w:tabs>
        <w:autoSpaceDE w:val="0"/>
        <w:autoSpaceDN w:val="0"/>
        <w:adjustRightInd w:val="0"/>
        <w:spacing w:before="0" w:beforeAutospacing="0" w:after="0" w:afterAutospacing="0" w:line="360" w:lineRule="auto"/>
        <w:ind w:left="0" w:right="0" w:firstLine="480" w:firstLineChars="200"/>
        <w:jc w:val="left"/>
        <w:rPr>
          <w:rFonts w:hint="eastAsia" w:ascii="宋体" w:hAnsi="Times New Roman" w:eastAsia="宋体" w:cs="Arial"/>
          <w:bCs/>
          <w:color w:val="auto"/>
          <w:sz w:val="24"/>
          <w:szCs w:val="24"/>
          <w:highlight w:val="none"/>
        </w:rPr>
      </w:pPr>
      <w:r>
        <w:rPr>
          <w:rFonts w:hint="eastAsia" w:ascii="宋体" w:hAnsi="宋体" w:eastAsia="宋体" w:cs="宋体"/>
          <w:bCs/>
          <w:color w:val="auto"/>
          <w:kern w:val="0"/>
          <w:sz w:val="24"/>
          <w:szCs w:val="24"/>
          <w:highlight w:val="none"/>
          <w:lang w:val="en-US" w:eastAsia="zh-CN" w:bidi="ar"/>
        </w:rPr>
        <w:t>（7）其他甲方认为应当更换人员的情形。</w:t>
      </w:r>
    </w:p>
    <w:p w14:paraId="721F61C0">
      <w:pPr>
        <w:keepNext w:val="0"/>
        <w:keepLines w:val="0"/>
        <w:widowControl w:val="0"/>
        <w:suppressLineNumbers w:val="0"/>
        <w:spacing w:before="0" w:beforeAutospacing="0" w:after="0" w:afterAutospacing="0" w:line="360" w:lineRule="auto"/>
        <w:ind w:left="0" w:right="0" w:firstLine="422" w:firstLineChars="200"/>
        <w:jc w:val="both"/>
        <w:outlineLvl w:val="4"/>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第八条 履约担保</w:t>
      </w:r>
    </w:p>
    <w:p w14:paraId="79AFA0F5">
      <w:pPr>
        <w:keepNext w:val="0"/>
        <w:keepLines w:val="0"/>
        <w:widowControl w:val="0"/>
        <w:suppressLineNumbers w:val="0"/>
        <w:spacing w:before="0" w:beforeAutospacing="0" w:after="0" w:afterAutospacing="0" w:line="360" w:lineRule="auto"/>
        <w:ind w:left="0" w:right="0" w:firstLine="392" w:firstLineChars="18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8.1 乙方应当根据招标文件的规定在签订本合同后7日内向甲方提供履约担保，履约担保形式及金额由乙方从以下方式中任选一种：</w:t>
      </w:r>
    </w:p>
    <w:p w14:paraId="28BE189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□履约保证金（银行转账形式）金额为¥     元，大写人民币      ；</w:t>
      </w:r>
    </w:p>
    <w:p w14:paraId="1DAE22C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□不可撤销银行履约保函金额为¥     元，大写人民币      ；</w:t>
      </w:r>
    </w:p>
    <w:p w14:paraId="5F2FA71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□履约保证保险金额为¥     元，大写人民币      ；</w:t>
      </w:r>
    </w:p>
    <w:p w14:paraId="0BD1520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□担保公司履约担保书金额为¥     元，大写人民币      。</w:t>
      </w:r>
    </w:p>
    <w:p w14:paraId="4F599C56">
      <w:pPr>
        <w:keepNext w:val="0"/>
        <w:keepLines w:val="0"/>
        <w:widowControl w:val="0"/>
        <w:suppressLineNumbers w:val="0"/>
        <w:spacing w:before="0" w:beforeAutospacing="0" w:after="0" w:afterAutospacing="0" w:line="360" w:lineRule="auto"/>
        <w:ind w:left="0" w:right="0" w:firstLine="392" w:firstLineChars="18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8.2 履约担保用于补偿甲方因乙方不能完全履行其合同义务而蒙受的损失，如发生下列任一情况时，甲方除有权依合同追究乙方违约责任外，还有权提取履约担保并进行相应处理：</w:t>
      </w:r>
    </w:p>
    <w:p w14:paraId="24D80E2A">
      <w:pPr>
        <w:keepNext w:val="0"/>
        <w:keepLines w:val="0"/>
        <w:widowControl w:val="0"/>
        <w:suppressLineNumbers w:val="0"/>
        <w:spacing w:before="0" w:beforeAutospacing="0" w:after="0" w:afterAutospacing="0" w:line="360" w:lineRule="auto"/>
        <w:ind w:left="0" w:right="0" w:firstLine="392" w:firstLineChars="18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（1）乙方将本合同部分或全部的权利义务转让给第三人，或者未经甲方书面同意，将本项目分包给第三人的，甲方可依法没收其履约担保。</w:t>
      </w:r>
    </w:p>
    <w:p w14:paraId="10E07712">
      <w:pPr>
        <w:keepNext w:val="0"/>
        <w:keepLines w:val="0"/>
        <w:widowControl w:val="0"/>
        <w:suppressLineNumbers w:val="0"/>
        <w:spacing w:before="0" w:beforeAutospacing="0" w:after="0" w:afterAutospacing="0" w:line="360" w:lineRule="auto"/>
        <w:ind w:left="0" w:right="0" w:firstLine="392" w:firstLineChars="18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（2）在合同履行期间，乙方怠于履行合同义务，经甲方通知或要求承担违约金后仍拒不改正的，甲方可依法没收其履约担保。</w:t>
      </w:r>
    </w:p>
    <w:p w14:paraId="789302B2">
      <w:pPr>
        <w:keepNext w:val="0"/>
        <w:keepLines w:val="0"/>
        <w:widowControl w:val="0"/>
        <w:suppressLineNumbers w:val="0"/>
        <w:spacing w:before="0" w:beforeAutospacing="0" w:after="0" w:afterAutospacing="0" w:line="360" w:lineRule="auto"/>
        <w:ind w:left="0" w:right="0" w:firstLine="392" w:firstLineChars="18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在合同履行期间，因乙方服务质量问题造成损害、侵权损失（包括但不限于甲方经济损失、乙方所雇人员及第三人人身财产损失等）、乙方拖欠其他供应商货款或与其所雇用员工发生劳资纠纷、上访、闹事或其他影响甲方生产经营等情况而其未及时妥善处理的，甲方有权使用履约担保予以支付或作出相应处理，由此产生的一切法律后果由乙方承担。</w:t>
      </w:r>
    </w:p>
    <w:p w14:paraId="0B3AD7C0">
      <w:pPr>
        <w:keepNext w:val="0"/>
        <w:keepLines w:val="0"/>
        <w:widowControl w:val="0"/>
        <w:suppressLineNumbers w:val="0"/>
        <w:spacing w:before="0" w:beforeAutospacing="0" w:after="0" w:afterAutospacing="0" w:line="360" w:lineRule="auto"/>
        <w:ind w:left="0" w:right="0" w:firstLine="392" w:firstLineChars="18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（4）在合同履行期间，乙方违约产生的违约金、赔偿、罚款或其他应付费用等款项，甲方有权直接从未付服务费中扣除或使用履约担保予以支付。</w:t>
      </w:r>
    </w:p>
    <w:p w14:paraId="5C0256C4">
      <w:pPr>
        <w:keepNext w:val="0"/>
        <w:keepLines w:val="0"/>
        <w:widowControl w:val="0"/>
        <w:suppressLineNumbers w:val="0"/>
        <w:spacing w:before="0" w:beforeAutospacing="0" w:after="0" w:afterAutospacing="0" w:line="360" w:lineRule="auto"/>
        <w:ind w:left="0" w:right="0" w:firstLine="392" w:firstLineChars="18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（5）合同期内，乙方不能及时完成某项合同义务的，甲方有权提取履约担保用于处理该项工作。</w:t>
      </w:r>
    </w:p>
    <w:p w14:paraId="31F137E7">
      <w:pPr>
        <w:keepNext w:val="0"/>
        <w:keepLines w:val="0"/>
        <w:widowControl w:val="0"/>
        <w:suppressLineNumbers w:val="0"/>
        <w:spacing w:before="0" w:beforeAutospacing="0" w:after="0" w:afterAutospacing="0" w:line="360" w:lineRule="auto"/>
        <w:ind w:left="0" w:right="0" w:firstLine="392" w:firstLineChars="18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（6）其他根据本合同约定或法律规定，甲方可使用履约担保的情形。</w:t>
      </w:r>
    </w:p>
    <w:p w14:paraId="3CDFD4AF">
      <w:pPr>
        <w:keepNext w:val="0"/>
        <w:keepLines w:val="0"/>
        <w:widowControl w:val="0"/>
        <w:suppressLineNumbers w:val="0"/>
        <w:spacing w:before="0" w:beforeAutospacing="0" w:after="0" w:afterAutospacing="0" w:line="360" w:lineRule="auto"/>
        <w:ind w:left="0" w:right="0" w:firstLine="392" w:firstLineChars="18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8.3 在完成本合同项下供应商库内所有单项服务合同义务后，甲方在扣除相应的费用（若有）后将履约担保余额无息退还乙方。</w:t>
      </w:r>
    </w:p>
    <w:p w14:paraId="57BE02DC">
      <w:pPr>
        <w:keepNext w:val="0"/>
        <w:keepLines w:val="0"/>
        <w:widowControl w:val="0"/>
        <w:suppressLineNumbers w:val="0"/>
        <w:spacing w:before="0" w:beforeAutospacing="0" w:after="0" w:afterAutospacing="0" w:line="360" w:lineRule="auto"/>
        <w:ind w:left="0" w:right="0" w:firstLine="392" w:firstLineChars="18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8.4 如乙方提供不可撤销银行履约保函或担保公司履约担保书作为履约担保的，不可撤销银行履约保函或担保公司履约担保书应自本合同签订之日起到本合同有效期满且乙方完成本合同项下供应商库内所有单项服务合同义务之后28日内保持有效。</w:t>
      </w:r>
    </w:p>
    <w:p w14:paraId="2D39E918">
      <w:pPr>
        <w:keepNext w:val="0"/>
        <w:keepLines w:val="0"/>
        <w:widowControl w:val="0"/>
        <w:suppressLineNumbers w:val="0"/>
        <w:spacing w:before="0" w:beforeAutospacing="0" w:after="0" w:afterAutospacing="0" w:line="360" w:lineRule="auto"/>
        <w:ind w:left="0" w:right="0" w:firstLine="392" w:firstLineChars="18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8.5 在合同履行过程中，不论何种原因导致履约担保数额不符合招标文件要求的，乙方应当在10个工作日内予以补足。逾期不予补足的，甲方有权按需补足的金额要求乙方承担违约金，并要求限期补足。如乙方仍不补足的，甲方有权单方解除合同。</w:t>
      </w:r>
    </w:p>
    <w:p w14:paraId="3540A45A">
      <w:pPr>
        <w:keepNext w:val="0"/>
        <w:keepLines w:val="0"/>
        <w:widowControl w:val="0"/>
        <w:suppressLineNumbers w:val="0"/>
        <w:spacing w:before="0" w:beforeAutospacing="0" w:after="0" w:afterAutospacing="0" w:line="360" w:lineRule="auto"/>
        <w:ind w:left="0" w:right="0" w:firstLine="422" w:firstLineChars="200"/>
        <w:jc w:val="both"/>
        <w:outlineLvl w:val="4"/>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第九条 违约责任</w:t>
      </w:r>
    </w:p>
    <w:p w14:paraId="5AE6E4F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9.1 在本合同履行期间，甲方因实际情况发生变化，需取消已委派的项目时，若乙方还未开展实际咨询工作的，甲方无需向乙方支付咨询费用；若乙方已开展实际咨询工作的，甲方应按乙方实际完成并经甲方审核确认的工作量支付咨询费用，具体费用由双方协商确定。</w:t>
      </w:r>
    </w:p>
    <w:p w14:paraId="771FB3E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9.2 合同履行期间，甲方有权根据《考核表》扣分情况，累计出现3次单个项目扣分达到20分或单次考核扣分达到40分时甲方有权解除本合同，给甲方造成损失的，乙方还应足额赔偿甲方。</w:t>
      </w:r>
    </w:p>
    <w:p w14:paraId="408DDFA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9.3 委派项目任务后，若非甲方、不可抗力、双方同意延期的其中原因之一，乙方未能在甲方规定工期内完成约定的工作内容的，乙方逾期完成本项目服务工作的，视为怠于履行合同义务，甲方有权要求乙方按500元/天支付违约金，最高不超过单项服务项目结算金额的30%。</w:t>
      </w:r>
    </w:p>
    <w:p w14:paraId="609FA38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逾期期间甲方有权向乙方发出整改通知，要求乙方限时完成约定工作任务。收到整改通知后乙方仍未能在要求的时间内完成工作内容的，乙方除需承担前述违约责任外，甲方有权停止乙方本次单项服务项目的服务工作，针对单项服务项目签订解除协议，按相关规定选取其他符合条件的供应商对本次单项服务项目予以承接。</w:t>
      </w:r>
    </w:p>
    <w:p w14:paraId="1CA6FA3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若在本合同项下，若非甲方、不可抗力、双方同意延期的其中原因之一，乙方出现3次以上（不含3次）单项服务项目未能在甲方规定工期内完成约定的工作内容的，甲方有权单方解除本合同，取消乙方本合同服务资格。</w:t>
      </w:r>
    </w:p>
    <w:p w14:paraId="6085B81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9.4 在本合同履行期间，无特殊情况，乙方不得拒绝接受任务，否则视为怠于履行合同义务，甲方有权解除本合同。</w:t>
      </w:r>
    </w:p>
    <w:p w14:paraId="497A912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9.5 乙方对项目成果出现的遗漏或错误，应无条件负责修改或补充。乙方怠于修改、补充或经修订仍不符合甲方要求的，不能通过甲方验收确认的，视为怠于履行合同义务，甲方有权不予支付该项目的咨询费用，并要求乙方支付相当于该项目造价咨询服务费20%的违约金。</w:t>
      </w:r>
    </w:p>
    <w:p w14:paraId="1DC7640C">
      <w:pPr>
        <w:pStyle w:val="39"/>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9.6 合同履行期间，乙方存在如下情形之一的，甲方有权书面通知乙方单方解除本合同，取消乙方服务资格，并要求乙方承担人民币20,000.00元的违约金，给甲方造成损失的，乙方还应足额赔偿甲方。甲方有权按相关法律法规追究其相应责任：</w:t>
      </w:r>
    </w:p>
    <w:p w14:paraId="22F06E48">
      <w:pPr>
        <w:pStyle w:val="39"/>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（1）提供虚假信息、误导或欺骗甲方或相关用户单位，以谋取非法利益的；</w:t>
      </w:r>
    </w:p>
    <w:p w14:paraId="31620CCB">
      <w:pPr>
        <w:pStyle w:val="3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（2）违反诚信信用原则，没有严格执行相关质量、服务和收费标准，损害甲方或相关用户单位的利益的；</w:t>
      </w:r>
    </w:p>
    <w:p w14:paraId="6851443D">
      <w:pPr>
        <w:pStyle w:val="3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（3）违反有关法律法规以及本合同的约定，损害甲方利益的；</w:t>
      </w:r>
    </w:p>
    <w:p w14:paraId="6416A4DD">
      <w:pPr>
        <w:pStyle w:val="3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（4）拒绝接受甲方及相关部门监督、检查的；</w:t>
      </w:r>
    </w:p>
    <w:p w14:paraId="38C0EC3B">
      <w:pPr>
        <w:pStyle w:val="3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（5）出现信用危机、财务危机、生产经营危机甚至破产、倒闭，无法继续履行本合同的；</w:t>
      </w:r>
    </w:p>
    <w:p w14:paraId="335202DE">
      <w:pPr>
        <w:pStyle w:val="3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（6）采用非法手段进行不正当竞争的，构成恶劣影响；</w:t>
      </w:r>
    </w:p>
    <w:p w14:paraId="4FFFA522">
      <w:pPr>
        <w:pStyle w:val="3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（7）资质被降或者吊销的；</w:t>
      </w:r>
    </w:p>
    <w:p w14:paraId="534C4165">
      <w:pPr>
        <w:pStyle w:val="3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（8）因违法国家有关法律法规，被相关行政部门或甲方通报的；</w:t>
      </w:r>
    </w:p>
    <w:p w14:paraId="274461F0">
      <w:pPr>
        <w:pStyle w:val="3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（9）泄露服务项目内容的；</w:t>
      </w:r>
    </w:p>
    <w:p w14:paraId="35FB7557">
      <w:pPr>
        <w:pStyle w:val="3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（10）未经甲方书面同意，将本合同或项下服务合同全部或部分转让给第三方的。</w:t>
      </w:r>
    </w:p>
    <w:p w14:paraId="44EA6839">
      <w:pPr>
        <w:pStyle w:val="3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9.7 乙方因违约所产生的违约金、赔偿金等乙方应支付的所有费用，甲方有权从应付服务费用中直接抵扣。</w:t>
      </w:r>
    </w:p>
    <w:p w14:paraId="215F5D8E">
      <w:pPr>
        <w:keepNext w:val="0"/>
        <w:keepLines w:val="0"/>
        <w:widowControl w:val="0"/>
        <w:suppressLineNumbers w:val="0"/>
        <w:spacing w:before="0" w:beforeAutospacing="0" w:after="0" w:afterAutospacing="0" w:line="360" w:lineRule="auto"/>
        <w:ind w:left="0" w:right="0" w:firstLine="422" w:firstLineChars="200"/>
        <w:jc w:val="both"/>
        <w:outlineLvl w:val="4"/>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第十条</w:t>
      </w: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b/>
          <w:bCs w:val="0"/>
          <w:color w:val="auto"/>
          <w:kern w:val="2"/>
          <w:sz w:val="21"/>
          <w:szCs w:val="21"/>
          <w:highlight w:val="none"/>
          <w:lang w:val="en-US" w:eastAsia="zh-CN" w:bidi="ar"/>
        </w:rPr>
        <w:t>合同争议</w:t>
      </w:r>
    </w:p>
    <w:p w14:paraId="5A9E3AC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10.1</w:t>
      </w:r>
      <w:r>
        <w:rPr>
          <w:rFonts w:hint="eastAsia" w:ascii="宋体" w:hAnsi="宋体" w:eastAsia="宋体" w:cs="宋体"/>
          <w:bCs/>
          <w:color w:val="auto"/>
          <w:kern w:val="2"/>
          <w:sz w:val="21"/>
          <w:szCs w:val="21"/>
          <w:highlight w:val="none"/>
          <w:lang w:val="en-US" w:eastAsia="zh-CN" w:bidi="ar"/>
        </w:rPr>
        <w:t xml:space="preserve"> 双方在履行合同时发生争议，首先本着友好态度协商解决，若经协商仍不能解决，双方一致同意提交甲方住所地有管辖权的人民法院诉讼解决。</w:t>
      </w:r>
    </w:p>
    <w:p w14:paraId="2600AE1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10.2 在法院审理期间，除与争议有关的部分外，双方应继续履行合同规定的其他各自义务。</w:t>
      </w:r>
    </w:p>
    <w:p w14:paraId="2AE10AC8">
      <w:pPr>
        <w:keepNext w:val="0"/>
        <w:keepLines w:val="0"/>
        <w:widowControl w:val="0"/>
        <w:suppressLineNumbers w:val="0"/>
        <w:spacing w:before="0" w:beforeAutospacing="0" w:after="0" w:afterAutospacing="0" w:line="360" w:lineRule="auto"/>
        <w:ind w:left="0" w:right="0" w:firstLine="422" w:firstLineChars="200"/>
        <w:jc w:val="both"/>
        <w:outlineLvl w:val="4"/>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第十一条</w:t>
      </w: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b/>
          <w:bCs w:val="0"/>
          <w:color w:val="auto"/>
          <w:kern w:val="2"/>
          <w:sz w:val="21"/>
          <w:szCs w:val="21"/>
          <w:highlight w:val="none"/>
          <w:lang w:val="en-US" w:eastAsia="zh-CN" w:bidi="ar"/>
        </w:rPr>
        <w:t>合同的变更与解除</w:t>
      </w:r>
    </w:p>
    <w:p w14:paraId="6D8AE42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11.1</w:t>
      </w:r>
      <w:r>
        <w:rPr>
          <w:rFonts w:hint="eastAsia" w:ascii="宋体" w:hAnsi="宋体" w:eastAsia="宋体" w:cs="宋体"/>
          <w:bCs/>
          <w:color w:val="auto"/>
          <w:kern w:val="2"/>
          <w:sz w:val="21"/>
          <w:szCs w:val="21"/>
          <w:highlight w:val="none"/>
          <w:lang w:val="en-US" w:eastAsia="zh-CN" w:bidi="ar"/>
        </w:rPr>
        <w:t xml:space="preserve"> 甲方有权通过签订补充协议的形式对合同条款进行调整，包括但不限于：服务要求、项目分配及考核方式、违约责任等。若乙方不能接受当中的条款，有权放弃造价咨询服务资格，向甲方提出终止合同并申请退还在扣除相应费用（若有）后剩余的履约担保，经甲方书面同意后，双方签署解除协议。</w:t>
      </w:r>
    </w:p>
    <w:p w14:paraId="29B133F8">
      <w:pPr>
        <w:keepNext w:val="0"/>
        <w:keepLines w:val="0"/>
        <w:widowControl w:val="0"/>
        <w:suppressLineNumbers w:val="0"/>
        <w:spacing w:before="0" w:beforeAutospacing="0" w:after="0" w:afterAutospacing="0" w:line="360" w:lineRule="auto"/>
        <w:ind w:left="0" w:right="0" w:firstLine="420" w:firstLineChars="200"/>
        <w:jc w:val="both"/>
        <w:outlineLvl w:val="2"/>
        <w:rPr>
          <w:rFonts w:hint="eastAsia" w:ascii="宋体" w:hAnsi="宋体" w:eastAsia="宋体" w:cs="宋体"/>
          <w:color w:val="auto"/>
          <w:kern w:val="2"/>
          <w:sz w:val="21"/>
          <w:szCs w:val="21"/>
          <w:highlight w:val="none"/>
        </w:rPr>
      </w:pPr>
      <w:bookmarkStart w:id="410" w:name="_Toc24882"/>
      <w:r>
        <w:rPr>
          <w:rFonts w:hint="eastAsia" w:ascii="宋体" w:hAnsi="宋体" w:eastAsia="宋体" w:cs="宋体"/>
          <w:color w:val="auto"/>
          <w:kern w:val="2"/>
          <w:sz w:val="21"/>
          <w:szCs w:val="21"/>
          <w:highlight w:val="none"/>
          <w:lang w:val="en-US" w:eastAsia="zh-CN" w:bidi="ar"/>
        </w:rPr>
        <w:t>11.2</w:t>
      </w:r>
      <w:r>
        <w:rPr>
          <w:rFonts w:hint="eastAsia" w:ascii="宋体" w:hAnsi="宋体" w:eastAsia="宋体" w:cs="宋体"/>
          <w:bCs/>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甲方与乙方协商一致，可以解除合同。</w:t>
      </w:r>
      <w:bookmarkEnd w:id="410"/>
    </w:p>
    <w:p w14:paraId="2109999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11.3</w:t>
      </w:r>
      <w:r>
        <w:rPr>
          <w:rFonts w:hint="eastAsia" w:ascii="宋体" w:hAnsi="宋体" w:eastAsia="宋体" w:cs="宋体"/>
          <w:bCs/>
          <w:color w:val="auto"/>
          <w:kern w:val="2"/>
          <w:sz w:val="21"/>
          <w:szCs w:val="21"/>
          <w:highlight w:val="none"/>
          <w:lang w:val="en-US" w:eastAsia="zh-CN" w:bidi="ar"/>
        </w:rPr>
        <w:t xml:space="preserve"> 除本合同另有约定外，</w:t>
      </w:r>
      <w:r>
        <w:rPr>
          <w:rFonts w:hint="eastAsia" w:ascii="宋体" w:hAnsi="宋体" w:eastAsia="宋体" w:cs="宋体"/>
          <w:color w:val="auto"/>
          <w:kern w:val="2"/>
          <w:sz w:val="21"/>
          <w:szCs w:val="21"/>
          <w:highlight w:val="none"/>
          <w:lang w:val="en-US" w:eastAsia="zh-CN" w:bidi="ar"/>
        </w:rPr>
        <w:t>当事人一方要求变更或解除合同时，应在一个月前以书面形式通知对方，双方经协商一致并签署书面盖章文件后，方发生变更、解除合同的效力。对变更或解除合同有争议的，按本合同第十条关于争议的约定处理。</w:t>
      </w:r>
    </w:p>
    <w:p w14:paraId="375D5C8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 xml:space="preserve">11.4 </w:t>
      </w:r>
      <w:r>
        <w:rPr>
          <w:rFonts w:hint="eastAsia" w:ascii="宋体" w:hAnsi="宋体" w:eastAsia="宋体" w:cs="宋体"/>
          <w:color w:val="auto"/>
          <w:kern w:val="2"/>
          <w:sz w:val="21"/>
          <w:szCs w:val="21"/>
          <w:highlight w:val="none"/>
          <w:lang w:val="en-US" w:eastAsia="zh-CN" w:bidi="ar"/>
        </w:rPr>
        <w:t>由于不可抗力因素致使合同无法履行时，双方应及时协商解决。</w:t>
      </w:r>
    </w:p>
    <w:p w14:paraId="4ED962E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11.5 在合同</w:t>
      </w:r>
      <w:r>
        <w:rPr>
          <w:rFonts w:hint="eastAsia" w:ascii="宋体" w:hAnsi="宋体" w:eastAsia="宋体" w:cs="宋体"/>
          <w:color w:val="auto"/>
          <w:kern w:val="2"/>
          <w:sz w:val="21"/>
          <w:szCs w:val="21"/>
          <w:highlight w:val="none"/>
          <w:lang w:val="en-US" w:eastAsia="zh-CN" w:bidi="ar"/>
        </w:rPr>
        <w:t>履行过程中</w:t>
      </w:r>
      <w:r>
        <w:rPr>
          <w:rFonts w:hint="eastAsia" w:ascii="宋体" w:hAnsi="宋体" w:eastAsia="宋体" w:cs="宋体"/>
          <w:bCs/>
          <w:color w:val="auto"/>
          <w:kern w:val="2"/>
          <w:sz w:val="21"/>
          <w:szCs w:val="21"/>
          <w:highlight w:val="none"/>
          <w:lang w:val="en-US" w:eastAsia="zh-CN" w:bidi="ar"/>
        </w:rPr>
        <w:t>如果由于国家、广东省或东莞市的相关造价咨询法律法规、政策规定发生改变而导致合同不能继续履行，甲方有权提前终止合同，并且无需对乙方作出任何赔偿。</w:t>
      </w:r>
    </w:p>
    <w:p w14:paraId="2E210A14">
      <w:pPr>
        <w:keepNext w:val="0"/>
        <w:keepLines w:val="0"/>
        <w:widowControl w:val="0"/>
        <w:suppressLineNumbers w:val="0"/>
        <w:spacing w:before="0" w:beforeAutospacing="0" w:after="0" w:afterAutospacing="0" w:line="360" w:lineRule="auto"/>
        <w:ind w:left="0" w:right="0" w:firstLine="422" w:firstLineChars="200"/>
        <w:jc w:val="both"/>
        <w:outlineLvl w:val="3"/>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第十二条</w:t>
      </w: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b/>
          <w:bCs w:val="0"/>
          <w:color w:val="auto"/>
          <w:kern w:val="2"/>
          <w:sz w:val="21"/>
          <w:szCs w:val="21"/>
          <w:highlight w:val="none"/>
          <w:lang w:val="en-US" w:eastAsia="zh-CN" w:bidi="ar"/>
        </w:rPr>
        <w:t>合同生效及其他</w:t>
      </w:r>
    </w:p>
    <w:p w14:paraId="1A49809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12.1</w:t>
      </w:r>
      <w:r>
        <w:rPr>
          <w:rFonts w:hint="eastAsia" w:ascii="宋体" w:hAnsi="宋体" w:eastAsia="宋体" w:cs="宋体"/>
          <w:bCs/>
          <w:color w:val="auto"/>
          <w:kern w:val="2"/>
          <w:sz w:val="21"/>
          <w:szCs w:val="21"/>
          <w:highlight w:val="none"/>
          <w:lang w:val="en-US" w:eastAsia="zh-CN" w:bidi="ar"/>
        </w:rPr>
        <w:t xml:space="preserve"> 本合同之所有附件均为合同的有效组成部分，与合同同具法律效力，合同与附件之间的内容应认为是互为补充和解释的，但如有模棱两可或互相矛盾之处，以合同约定为准，若合同签订后，双方另有签订文件的，则以时间在后的文件为准。</w:t>
      </w:r>
    </w:p>
    <w:p w14:paraId="7F82846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12.2</w:t>
      </w:r>
      <w:r>
        <w:rPr>
          <w:rFonts w:hint="eastAsia" w:ascii="宋体" w:hAnsi="宋体" w:eastAsia="宋体" w:cs="宋体"/>
          <w:bCs/>
          <w:color w:val="auto"/>
          <w:kern w:val="2"/>
          <w:sz w:val="21"/>
          <w:szCs w:val="21"/>
          <w:highlight w:val="none"/>
          <w:lang w:val="en-US" w:eastAsia="zh-CN" w:bidi="ar"/>
        </w:rPr>
        <w:t xml:space="preserve"> 双方可对本合同的条款进行补充，以书面形式签订补充协议，补充协议为本合同有效组成部分。</w:t>
      </w:r>
    </w:p>
    <w:p w14:paraId="5BBE8FC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12.3 本合同执行期间，如遇不可抗力，致使合同无法履行时，双方应按有关法律规定及时协商处理。</w:t>
      </w:r>
    </w:p>
    <w:p w14:paraId="73E8CD7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12.4 本合同一式</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份，甲方执</w:t>
      </w:r>
      <w:r>
        <w:rPr>
          <w:rFonts w:hint="eastAsia" w:ascii="宋体" w:hAnsi="宋体" w:eastAsia="宋体" w:cs="宋体"/>
          <w:color w:val="auto"/>
          <w:kern w:val="2"/>
          <w:sz w:val="21"/>
          <w:szCs w:val="21"/>
          <w:highlight w:val="none"/>
          <w:u w:val="single"/>
          <w:lang w:val="en-US" w:eastAsia="zh-CN" w:bidi="ar"/>
        </w:rPr>
        <w:t xml:space="preserve"> 伍 </w:t>
      </w:r>
      <w:r>
        <w:rPr>
          <w:rFonts w:hint="eastAsia" w:ascii="宋体" w:hAnsi="宋体" w:eastAsia="宋体" w:cs="宋体"/>
          <w:color w:val="auto"/>
          <w:kern w:val="2"/>
          <w:sz w:val="21"/>
          <w:szCs w:val="21"/>
          <w:highlight w:val="none"/>
          <w:lang w:val="en-US" w:eastAsia="zh-CN" w:bidi="ar"/>
        </w:rPr>
        <w:t>份，乙方执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份，招标代理机构执</w:t>
      </w:r>
      <w:r>
        <w:rPr>
          <w:rFonts w:hint="eastAsia" w:ascii="宋体" w:hAnsi="宋体" w:eastAsia="宋体" w:cs="宋体"/>
          <w:color w:val="auto"/>
          <w:kern w:val="2"/>
          <w:sz w:val="21"/>
          <w:szCs w:val="21"/>
          <w:highlight w:val="none"/>
          <w:u w:val="single"/>
          <w:lang w:val="en-US" w:eastAsia="zh-CN" w:bidi="ar"/>
        </w:rPr>
        <w:t xml:space="preserve"> 壹 </w:t>
      </w:r>
      <w:r>
        <w:rPr>
          <w:rFonts w:hint="eastAsia" w:ascii="宋体" w:hAnsi="宋体" w:eastAsia="宋体" w:cs="宋体"/>
          <w:color w:val="auto"/>
          <w:kern w:val="2"/>
          <w:sz w:val="21"/>
          <w:szCs w:val="21"/>
          <w:highlight w:val="none"/>
          <w:lang w:val="en-US" w:eastAsia="zh-CN" w:bidi="ar"/>
        </w:rPr>
        <w:t>份，具有同等法律效力，本合同自双方法定代表人或授权代表签字并盖章之日起生效至合同项下全部义务履行完毕时终止。</w:t>
      </w:r>
    </w:p>
    <w:p w14:paraId="47B29FD0">
      <w:pPr>
        <w:keepNext w:val="0"/>
        <w:keepLines w:val="0"/>
        <w:widowControl w:val="0"/>
        <w:suppressLineNumbers w:val="0"/>
        <w:spacing w:before="0" w:beforeAutospacing="0" w:after="0" w:afterAutospacing="0" w:line="360" w:lineRule="auto"/>
        <w:ind w:left="0" w:right="0" w:firstLine="315" w:firstLineChars="150"/>
        <w:jc w:val="both"/>
        <w:outlineLvl w:val="4"/>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合同附件：1、招标文件</w:t>
      </w:r>
    </w:p>
    <w:p w14:paraId="367D6CED">
      <w:pPr>
        <w:keepNext w:val="0"/>
        <w:keepLines w:val="0"/>
        <w:widowControl w:val="0"/>
        <w:suppressLineNumbers w:val="0"/>
        <w:spacing w:before="0" w:beforeAutospacing="0" w:after="0" w:afterAutospacing="0" w:line="360" w:lineRule="auto"/>
        <w:ind w:left="0" w:right="0" w:firstLine="1470" w:firstLineChars="7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2、造价咨询服务单位考核表</w:t>
      </w:r>
    </w:p>
    <w:p w14:paraId="1FB883B8">
      <w:pPr>
        <w:keepNext w:val="0"/>
        <w:keepLines w:val="0"/>
        <w:widowControl w:val="0"/>
        <w:suppressLineNumbers w:val="0"/>
        <w:spacing w:before="0" w:beforeAutospacing="0" w:after="0" w:afterAutospacing="0" w:line="360" w:lineRule="auto"/>
        <w:ind w:left="0" w:right="0" w:firstLine="1470" w:firstLineChars="7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3、投入本项目人员表</w:t>
      </w:r>
    </w:p>
    <w:p w14:paraId="70CA524A">
      <w:pPr>
        <w:keepNext w:val="0"/>
        <w:keepLines w:val="0"/>
        <w:widowControl w:val="0"/>
        <w:suppressLineNumbers w:val="0"/>
        <w:spacing w:before="0" w:beforeAutospacing="0" w:after="0" w:afterAutospacing="0" w:line="360" w:lineRule="auto"/>
        <w:ind w:left="0" w:right="0" w:firstLine="1470" w:firstLineChars="7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4、廉洁协议书 </w:t>
      </w:r>
    </w:p>
    <w:p w14:paraId="4A920418">
      <w:pPr>
        <w:keepNext w:val="0"/>
        <w:keepLines w:val="0"/>
        <w:widowControl w:val="0"/>
        <w:suppressLineNumbers w:val="0"/>
        <w:spacing w:before="120" w:beforeLines="50" w:beforeAutospacing="0" w:after="120" w:afterLines="50" w:afterAutospacing="0" w:line="3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（以下无正文内容为签字盖章页）</w:t>
      </w:r>
    </w:p>
    <w:p w14:paraId="26E3FD1C">
      <w:pPr>
        <w:pStyle w:val="39"/>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bidi="ar"/>
        </w:rPr>
        <w:t xml:space="preserve"> </w:t>
      </w:r>
    </w:p>
    <w:p w14:paraId="3DBDCB79">
      <w:pPr>
        <w:keepNext w:val="0"/>
        <w:keepLines w:val="0"/>
        <w:widowControl w:val="0"/>
        <w:suppressLineNumbers w:val="0"/>
        <w:spacing w:before="0" w:beforeAutospacing="0" w:after="0" w:afterAutospacing="0" w:line="48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6D3903D4">
      <w:pPr>
        <w:keepNext w:val="0"/>
        <w:keepLines w:val="0"/>
        <w:pageBreakBefore/>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24" w:firstLineChars="202"/>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甲方（盖章）：</w:t>
      </w:r>
    </w:p>
    <w:p w14:paraId="49739634">
      <w:pPr>
        <w:keepNext w:val="0"/>
        <w:keepLines w:val="0"/>
        <w:widowControl w:val="0"/>
        <w:suppressLineNumbers w:val="0"/>
        <w:spacing w:before="0" w:beforeAutospacing="0" w:after="160" w:afterAutospacing="0" w:line="540" w:lineRule="exact"/>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法定代表人（或授权代表）：</w:t>
      </w:r>
    </w:p>
    <w:p w14:paraId="630E6491">
      <w:pPr>
        <w:keepNext w:val="0"/>
        <w:keepLines w:val="0"/>
        <w:widowControl w:val="0"/>
        <w:suppressLineNumbers w:val="0"/>
        <w:spacing w:before="0" w:beforeAutospacing="0" w:after="160" w:afterAutospacing="0" w:line="540" w:lineRule="exact"/>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电话：</w:t>
      </w:r>
    </w:p>
    <w:p w14:paraId="78B6FC21">
      <w:pPr>
        <w:keepNext w:val="0"/>
        <w:keepLines w:val="0"/>
        <w:widowControl w:val="0"/>
        <w:suppressLineNumbers w:val="0"/>
        <w:spacing w:before="0" w:beforeAutospacing="0" w:after="160" w:afterAutospacing="0" w:line="540" w:lineRule="exact"/>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地址：                        </w:t>
      </w:r>
    </w:p>
    <w:p w14:paraId="5A4C09F9">
      <w:pPr>
        <w:keepNext w:val="0"/>
        <w:keepLines w:val="0"/>
        <w:widowControl w:val="0"/>
        <w:suppressLineNumbers w:val="0"/>
        <w:spacing w:before="0" w:beforeAutospacing="0" w:after="160" w:afterAutospacing="0" w:line="5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0DB08607">
      <w:pPr>
        <w:keepNext w:val="0"/>
        <w:keepLines w:val="0"/>
        <w:widowControl w:val="0"/>
        <w:suppressLineNumbers w:val="0"/>
        <w:spacing w:before="0" w:beforeAutospacing="0" w:after="0" w:afterAutospacing="0" w:line="48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乙方（盖章）：</w:t>
      </w:r>
    </w:p>
    <w:p w14:paraId="1789F33B">
      <w:pPr>
        <w:keepNext w:val="0"/>
        <w:keepLines w:val="0"/>
        <w:widowControl w:val="0"/>
        <w:suppressLineNumbers w:val="0"/>
        <w:spacing w:before="0" w:beforeAutospacing="0" w:after="160" w:afterAutospacing="0" w:line="540" w:lineRule="exact"/>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法定代表人（或授权代表）：</w:t>
      </w:r>
    </w:p>
    <w:p w14:paraId="3A0FCBB5">
      <w:pPr>
        <w:keepNext w:val="0"/>
        <w:keepLines w:val="0"/>
        <w:widowControl w:val="0"/>
        <w:suppressLineNumbers w:val="0"/>
        <w:spacing w:before="0" w:beforeAutospacing="0" w:after="160" w:afterAutospacing="0" w:line="540" w:lineRule="exact"/>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电话：</w:t>
      </w:r>
    </w:p>
    <w:p w14:paraId="0CE64076">
      <w:pPr>
        <w:keepNext w:val="0"/>
        <w:keepLines w:val="0"/>
        <w:widowControl w:val="0"/>
        <w:suppressLineNumbers w:val="0"/>
        <w:spacing w:before="0" w:beforeAutospacing="0" w:after="160" w:afterAutospacing="0" w:line="540" w:lineRule="exact"/>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地址：                        </w:t>
      </w:r>
    </w:p>
    <w:p w14:paraId="5F59751C">
      <w:pPr>
        <w:keepNext w:val="0"/>
        <w:keepLines w:val="0"/>
        <w:widowControl w:val="0"/>
        <w:suppressLineNumbers w:val="0"/>
        <w:autoSpaceDE w:val="0"/>
        <w:autoSpaceDN/>
        <w:spacing w:before="0" w:beforeAutospacing="0" w:after="160" w:afterAutospacing="0" w:line="540" w:lineRule="exact"/>
        <w:ind w:left="0" w:right="0" w:firstLine="424" w:firstLineChars="202"/>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本合同</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日签订于东莞市</w:t>
      </w:r>
    </w:p>
    <w:p w14:paraId="0645FB76">
      <w:pPr>
        <w:keepNext w:val="0"/>
        <w:keepLines w:val="0"/>
        <w:pageBreakBefore/>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color w:val="auto"/>
          <w:kern w:val="2"/>
          <w:sz w:val="21"/>
          <w:szCs w:val="21"/>
          <w:highlight w:val="none"/>
        </w:rPr>
      </w:pPr>
      <w:bookmarkStart w:id="411" w:name="OLE_LINK9"/>
      <w:bookmarkEnd w:id="411"/>
      <w:r>
        <w:rPr>
          <w:rFonts w:hint="eastAsia" w:ascii="宋体" w:hAnsi="宋体" w:eastAsia="宋体" w:cs="宋体"/>
          <w:b/>
          <w:bCs/>
          <w:color w:val="auto"/>
          <w:kern w:val="2"/>
          <w:sz w:val="21"/>
          <w:szCs w:val="21"/>
          <w:highlight w:val="none"/>
          <w:lang w:val="en-US" w:eastAsia="zh-CN" w:bidi="ar"/>
        </w:rPr>
        <w:t>附件2：造价咨询服务单位考核表</w:t>
      </w:r>
    </w:p>
    <w:p w14:paraId="3FFB18A9">
      <w:pPr>
        <w:keepNext w:val="0"/>
        <w:keepLines w:val="0"/>
        <w:widowControl/>
        <w:suppressLineNumbers w:val="0"/>
        <w:autoSpaceDE w:val="0"/>
        <w:autoSpaceDN/>
        <w:spacing w:before="0" w:beforeAutospacing="0" w:after="0" w:afterAutospacing="0" w:line="360" w:lineRule="auto"/>
        <w:ind w:left="0" w:right="31" w:rightChars="15"/>
        <w:contextualSpacing/>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8"/>
          <w:szCs w:val="28"/>
          <w:highlight w:val="none"/>
          <w:lang w:val="en-US" w:eastAsia="zh-CN" w:bidi="ar"/>
        </w:rPr>
        <w:t>造价咨询服务单位考核表</w:t>
      </w:r>
    </w:p>
    <w:p w14:paraId="6ACD9D83">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考核单位：                       被考核单位：                             日期：</w:t>
      </w:r>
    </w:p>
    <w:p w14:paraId="00DFB3D8">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项目名称： </w:t>
      </w:r>
    </w:p>
    <w:tbl>
      <w:tblPr>
        <w:tblStyle w:val="45"/>
        <w:tblW w:w="5147"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85"/>
        <w:gridCol w:w="772"/>
        <w:gridCol w:w="699"/>
        <w:gridCol w:w="7626"/>
        <w:gridCol w:w="1093"/>
      </w:tblGrid>
      <w:tr w14:paraId="6D27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14:paraId="71E217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序号</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45110F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评价内容</w:t>
            </w:r>
          </w:p>
        </w:tc>
        <w:tc>
          <w:tcPr>
            <w:tcW w:w="317" w:type="pct"/>
            <w:tcBorders>
              <w:top w:val="single" w:color="auto" w:sz="4" w:space="0"/>
              <w:left w:val="single" w:color="auto" w:sz="4" w:space="0"/>
              <w:bottom w:val="single" w:color="auto" w:sz="4" w:space="0"/>
              <w:right w:val="single" w:color="auto" w:sz="4" w:space="0"/>
            </w:tcBorders>
            <w:shd w:val="clear" w:color="auto" w:fill="auto"/>
            <w:vAlign w:val="center"/>
          </w:tcPr>
          <w:p w14:paraId="02EB60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各项分值</w:t>
            </w:r>
          </w:p>
        </w:tc>
        <w:tc>
          <w:tcPr>
            <w:tcW w:w="3459" w:type="pct"/>
            <w:tcBorders>
              <w:top w:val="single" w:color="auto" w:sz="4" w:space="0"/>
              <w:left w:val="single" w:color="auto" w:sz="4" w:space="0"/>
              <w:bottom w:val="single" w:color="auto" w:sz="4" w:space="0"/>
              <w:right w:val="single" w:color="auto" w:sz="4" w:space="0"/>
            </w:tcBorders>
            <w:shd w:val="clear" w:color="auto" w:fill="auto"/>
            <w:vAlign w:val="center"/>
          </w:tcPr>
          <w:p w14:paraId="06986B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具体内容</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53BF17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综合分值</w:t>
            </w:r>
          </w:p>
        </w:tc>
      </w:tr>
      <w:tr w14:paraId="04C6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 w:type="pct"/>
            <w:vMerge w:val="restart"/>
            <w:tcBorders>
              <w:top w:val="nil"/>
              <w:left w:val="single" w:color="auto" w:sz="4" w:space="0"/>
              <w:bottom w:val="single" w:color="auto" w:sz="4" w:space="0"/>
              <w:right w:val="single" w:color="auto" w:sz="4" w:space="0"/>
            </w:tcBorders>
            <w:shd w:val="clear" w:color="auto" w:fill="auto"/>
            <w:vAlign w:val="center"/>
          </w:tcPr>
          <w:p w14:paraId="39A259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348" w:type="pct"/>
            <w:vMerge w:val="restart"/>
            <w:tcBorders>
              <w:top w:val="nil"/>
              <w:left w:val="single" w:color="auto" w:sz="4" w:space="0"/>
              <w:bottom w:val="single" w:color="auto" w:sz="4" w:space="0"/>
              <w:right w:val="single" w:color="auto" w:sz="4" w:space="0"/>
            </w:tcBorders>
            <w:shd w:val="clear" w:color="auto" w:fill="auto"/>
            <w:vAlign w:val="center"/>
          </w:tcPr>
          <w:p w14:paraId="759B26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业务水平</w:t>
            </w:r>
          </w:p>
        </w:tc>
        <w:tc>
          <w:tcPr>
            <w:tcW w:w="317" w:type="pct"/>
            <w:vMerge w:val="restart"/>
            <w:tcBorders>
              <w:top w:val="nil"/>
              <w:left w:val="single" w:color="auto" w:sz="4" w:space="0"/>
              <w:bottom w:val="single" w:color="auto" w:sz="4" w:space="0"/>
              <w:right w:val="single" w:color="auto" w:sz="4" w:space="0"/>
            </w:tcBorders>
            <w:shd w:val="clear" w:color="auto" w:fill="auto"/>
            <w:vAlign w:val="center"/>
          </w:tcPr>
          <w:p w14:paraId="7E0814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w:t>
            </w:r>
          </w:p>
        </w:tc>
        <w:tc>
          <w:tcPr>
            <w:tcW w:w="3459" w:type="pct"/>
            <w:tcBorders>
              <w:top w:val="single" w:color="auto" w:sz="4" w:space="0"/>
              <w:left w:val="single" w:color="auto" w:sz="4" w:space="0"/>
              <w:bottom w:val="single" w:color="auto" w:sz="4" w:space="0"/>
              <w:right w:val="single" w:color="auto" w:sz="4" w:space="0"/>
            </w:tcBorders>
            <w:shd w:val="clear" w:color="auto" w:fill="auto"/>
            <w:vAlign w:val="center"/>
          </w:tcPr>
          <w:p w14:paraId="58FD6D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在从事造价咨询服务过程中，项目配置的相应专业人员与合同中 “项目操作人员配置一览表”不符，且业务能力较差的扣4分；每一人不符合扣1分，最高扣4分。</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5F42F2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4FD5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 w:type="pct"/>
            <w:vMerge w:val="continue"/>
            <w:tcBorders>
              <w:top w:val="nil"/>
              <w:left w:val="single" w:color="auto" w:sz="4" w:space="0"/>
              <w:bottom w:val="single" w:color="auto" w:sz="4" w:space="0"/>
              <w:right w:val="single" w:color="auto" w:sz="4" w:space="0"/>
            </w:tcBorders>
            <w:shd w:val="clear" w:color="auto" w:fill="auto"/>
            <w:vAlign w:val="center"/>
          </w:tcPr>
          <w:p w14:paraId="6A7851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8" w:type="pct"/>
            <w:vMerge w:val="continue"/>
            <w:tcBorders>
              <w:top w:val="nil"/>
              <w:left w:val="single" w:color="auto" w:sz="4" w:space="0"/>
              <w:bottom w:val="single" w:color="auto" w:sz="4" w:space="0"/>
              <w:right w:val="single" w:color="auto" w:sz="4" w:space="0"/>
            </w:tcBorders>
            <w:shd w:val="clear" w:color="auto" w:fill="auto"/>
            <w:vAlign w:val="center"/>
          </w:tcPr>
          <w:p w14:paraId="2F27D4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7" w:type="pct"/>
            <w:vMerge w:val="continue"/>
            <w:tcBorders>
              <w:top w:val="nil"/>
              <w:left w:val="single" w:color="auto" w:sz="4" w:space="0"/>
              <w:bottom w:val="single" w:color="auto" w:sz="4" w:space="0"/>
              <w:right w:val="single" w:color="auto" w:sz="4" w:space="0"/>
            </w:tcBorders>
            <w:shd w:val="clear" w:color="auto" w:fill="auto"/>
            <w:vAlign w:val="center"/>
          </w:tcPr>
          <w:p w14:paraId="6958AF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59" w:type="pct"/>
            <w:tcBorders>
              <w:top w:val="single" w:color="auto" w:sz="4" w:space="0"/>
              <w:left w:val="single" w:color="auto" w:sz="4" w:space="0"/>
              <w:bottom w:val="single" w:color="auto" w:sz="4" w:space="0"/>
              <w:right w:val="single" w:color="auto" w:sz="4" w:space="0"/>
            </w:tcBorders>
            <w:shd w:val="clear" w:color="auto" w:fill="auto"/>
            <w:vAlign w:val="center"/>
          </w:tcPr>
          <w:p w14:paraId="5995CC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未在规定时间内全面熟悉施工图纸，未对项目所采用的技术、工艺、设备等详细了解的最高扣3分；</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25D704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487A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0" w:type="pct"/>
            <w:vMerge w:val="continue"/>
            <w:tcBorders>
              <w:top w:val="nil"/>
              <w:left w:val="single" w:color="auto" w:sz="4" w:space="0"/>
              <w:bottom w:val="single" w:color="auto" w:sz="4" w:space="0"/>
              <w:right w:val="single" w:color="auto" w:sz="4" w:space="0"/>
            </w:tcBorders>
            <w:shd w:val="clear" w:color="auto" w:fill="auto"/>
            <w:vAlign w:val="center"/>
          </w:tcPr>
          <w:p w14:paraId="1BECF8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8" w:type="pct"/>
            <w:vMerge w:val="continue"/>
            <w:tcBorders>
              <w:top w:val="nil"/>
              <w:left w:val="single" w:color="auto" w:sz="4" w:space="0"/>
              <w:bottom w:val="single" w:color="auto" w:sz="4" w:space="0"/>
              <w:right w:val="single" w:color="auto" w:sz="4" w:space="0"/>
            </w:tcBorders>
            <w:shd w:val="clear" w:color="auto" w:fill="auto"/>
            <w:vAlign w:val="center"/>
          </w:tcPr>
          <w:p w14:paraId="280F50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7" w:type="pct"/>
            <w:vMerge w:val="continue"/>
            <w:tcBorders>
              <w:top w:val="nil"/>
              <w:left w:val="single" w:color="auto" w:sz="4" w:space="0"/>
              <w:bottom w:val="single" w:color="auto" w:sz="4" w:space="0"/>
              <w:right w:val="single" w:color="auto" w:sz="4" w:space="0"/>
            </w:tcBorders>
            <w:shd w:val="clear" w:color="auto" w:fill="auto"/>
            <w:vAlign w:val="center"/>
          </w:tcPr>
          <w:p w14:paraId="74F807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59" w:type="pct"/>
            <w:tcBorders>
              <w:top w:val="single" w:color="auto" w:sz="4" w:space="0"/>
              <w:left w:val="single" w:color="auto" w:sz="4" w:space="0"/>
              <w:bottom w:val="single" w:color="auto" w:sz="4" w:space="0"/>
              <w:right w:val="single" w:color="auto" w:sz="4" w:space="0"/>
            </w:tcBorders>
            <w:shd w:val="clear" w:color="auto" w:fill="auto"/>
            <w:vAlign w:val="center"/>
          </w:tcPr>
          <w:p w14:paraId="2693AF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未能及时踏勘现场，踏勘现场未留取照片或录像且不清晰的最高扣3分；</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10A628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2B19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 w:type="pct"/>
            <w:vMerge w:val="continue"/>
            <w:tcBorders>
              <w:top w:val="nil"/>
              <w:left w:val="single" w:color="auto" w:sz="4" w:space="0"/>
              <w:bottom w:val="single" w:color="auto" w:sz="4" w:space="0"/>
              <w:right w:val="single" w:color="auto" w:sz="4" w:space="0"/>
            </w:tcBorders>
            <w:shd w:val="clear" w:color="auto" w:fill="auto"/>
            <w:vAlign w:val="center"/>
          </w:tcPr>
          <w:p w14:paraId="4BE4CD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8" w:type="pct"/>
            <w:vMerge w:val="continue"/>
            <w:tcBorders>
              <w:top w:val="nil"/>
              <w:left w:val="single" w:color="auto" w:sz="4" w:space="0"/>
              <w:bottom w:val="single" w:color="auto" w:sz="4" w:space="0"/>
              <w:right w:val="single" w:color="auto" w:sz="4" w:space="0"/>
            </w:tcBorders>
            <w:shd w:val="clear" w:color="auto" w:fill="auto"/>
            <w:vAlign w:val="center"/>
          </w:tcPr>
          <w:p w14:paraId="3048A3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7" w:type="pct"/>
            <w:vMerge w:val="continue"/>
            <w:tcBorders>
              <w:top w:val="nil"/>
              <w:left w:val="single" w:color="auto" w:sz="4" w:space="0"/>
              <w:bottom w:val="single" w:color="auto" w:sz="4" w:space="0"/>
              <w:right w:val="single" w:color="auto" w:sz="4" w:space="0"/>
            </w:tcBorders>
            <w:shd w:val="clear" w:color="auto" w:fill="auto"/>
            <w:vAlign w:val="center"/>
          </w:tcPr>
          <w:p w14:paraId="058F0C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59" w:type="pct"/>
            <w:tcBorders>
              <w:top w:val="single" w:color="auto" w:sz="4" w:space="0"/>
              <w:left w:val="single" w:color="auto" w:sz="4" w:space="0"/>
              <w:bottom w:val="single" w:color="auto" w:sz="4" w:space="0"/>
              <w:right w:val="single" w:color="auto" w:sz="4" w:space="0"/>
            </w:tcBorders>
            <w:shd w:val="clear" w:color="auto" w:fill="auto"/>
            <w:vAlign w:val="center"/>
          </w:tcPr>
          <w:p w14:paraId="0502ED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未能积极主动就图纸中的设计缺陷（图纸与现状不符、前后矛盾、影响工程量计算、影响清单编制、措施费用计取等有关问题）在踏勘完工程现场后两天内提出书面意见的最高扣5分；</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0950D5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043C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 w:type="pct"/>
            <w:vMerge w:val="continue"/>
            <w:tcBorders>
              <w:top w:val="nil"/>
              <w:left w:val="single" w:color="auto" w:sz="4" w:space="0"/>
              <w:bottom w:val="single" w:color="auto" w:sz="4" w:space="0"/>
              <w:right w:val="single" w:color="auto" w:sz="4" w:space="0"/>
            </w:tcBorders>
            <w:shd w:val="clear" w:color="auto" w:fill="auto"/>
            <w:vAlign w:val="center"/>
          </w:tcPr>
          <w:p w14:paraId="39AEB4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8" w:type="pct"/>
            <w:vMerge w:val="continue"/>
            <w:tcBorders>
              <w:top w:val="nil"/>
              <w:left w:val="single" w:color="auto" w:sz="4" w:space="0"/>
              <w:bottom w:val="single" w:color="auto" w:sz="4" w:space="0"/>
              <w:right w:val="single" w:color="auto" w:sz="4" w:space="0"/>
            </w:tcBorders>
            <w:shd w:val="clear" w:color="auto" w:fill="auto"/>
            <w:vAlign w:val="center"/>
          </w:tcPr>
          <w:p w14:paraId="5F81D6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7" w:type="pct"/>
            <w:vMerge w:val="continue"/>
            <w:tcBorders>
              <w:top w:val="nil"/>
              <w:left w:val="single" w:color="auto" w:sz="4" w:space="0"/>
              <w:bottom w:val="single" w:color="auto" w:sz="4" w:space="0"/>
              <w:right w:val="single" w:color="auto" w:sz="4" w:space="0"/>
            </w:tcBorders>
            <w:shd w:val="clear" w:color="auto" w:fill="auto"/>
            <w:vAlign w:val="center"/>
          </w:tcPr>
          <w:p w14:paraId="590A94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59" w:type="pct"/>
            <w:tcBorders>
              <w:top w:val="single" w:color="auto" w:sz="4" w:space="0"/>
              <w:left w:val="single" w:color="auto" w:sz="4" w:space="0"/>
              <w:bottom w:val="single" w:color="auto" w:sz="4" w:space="0"/>
              <w:right w:val="single" w:color="auto" w:sz="4" w:space="0"/>
            </w:tcBorders>
            <w:shd w:val="clear" w:color="auto" w:fill="auto"/>
            <w:vAlign w:val="center"/>
          </w:tcPr>
          <w:p w14:paraId="2007FA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未开展市场调查，了解价格信息，对于非常规项目未能作工料单价分析的扣最高扣3分。</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744AE6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5FFA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 w:type="pct"/>
            <w:vMerge w:val="restart"/>
            <w:tcBorders>
              <w:top w:val="nil"/>
              <w:left w:val="single" w:color="auto" w:sz="4" w:space="0"/>
              <w:bottom w:val="single" w:color="auto" w:sz="4" w:space="0"/>
              <w:right w:val="single" w:color="auto" w:sz="4" w:space="0"/>
            </w:tcBorders>
            <w:shd w:val="clear" w:color="auto" w:fill="auto"/>
            <w:vAlign w:val="center"/>
          </w:tcPr>
          <w:p w14:paraId="44C1CA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348" w:type="pct"/>
            <w:vMerge w:val="restart"/>
            <w:tcBorders>
              <w:top w:val="nil"/>
              <w:left w:val="single" w:color="auto" w:sz="4" w:space="0"/>
              <w:bottom w:val="single" w:color="auto" w:sz="4" w:space="0"/>
              <w:right w:val="single" w:color="auto" w:sz="4" w:space="0"/>
            </w:tcBorders>
            <w:shd w:val="clear" w:color="auto" w:fill="auto"/>
            <w:vAlign w:val="center"/>
          </w:tcPr>
          <w:p w14:paraId="5E6C5A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完成质量</w:t>
            </w:r>
          </w:p>
        </w:tc>
        <w:tc>
          <w:tcPr>
            <w:tcW w:w="317" w:type="pct"/>
            <w:vMerge w:val="restart"/>
            <w:tcBorders>
              <w:top w:val="nil"/>
              <w:left w:val="single" w:color="auto" w:sz="4" w:space="0"/>
              <w:bottom w:val="single" w:color="auto" w:sz="4" w:space="0"/>
              <w:right w:val="single" w:color="auto" w:sz="4" w:space="0"/>
            </w:tcBorders>
            <w:shd w:val="clear" w:color="auto" w:fill="auto"/>
            <w:vAlign w:val="center"/>
          </w:tcPr>
          <w:p w14:paraId="5644D3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50</w:t>
            </w:r>
          </w:p>
        </w:tc>
        <w:tc>
          <w:tcPr>
            <w:tcW w:w="3459" w:type="pct"/>
            <w:tcBorders>
              <w:top w:val="single" w:color="auto" w:sz="4" w:space="0"/>
              <w:left w:val="single" w:color="auto" w:sz="4" w:space="0"/>
              <w:bottom w:val="single" w:color="auto" w:sz="4" w:space="0"/>
              <w:right w:val="single" w:color="auto" w:sz="4" w:space="0"/>
            </w:tcBorders>
            <w:shd w:val="clear" w:color="auto" w:fill="auto"/>
            <w:vAlign w:val="center"/>
          </w:tcPr>
          <w:p w14:paraId="3E489E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未按规范计算工程量且计算错误的扣3分；未有工程量计算式的扣3分；未采用图形算量或CAD算量；未汇总成Excel表格且表格之间沟稽关系不正确等扣1～3分；</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562944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1CF0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 w:type="pct"/>
            <w:vMerge w:val="continue"/>
            <w:tcBorders>
              <w:top w:val="nil"/>
              <w:left w:val="single" w:color="auto" w:sz="4" w:space="0"/>
              <w:bottom w:val="single" w:color="auto" w:sz="4" w:space="0"/>
              <w:right w:val="single" w:color="auto" w:sz="4" w:space="0"/>
            </w:tcBorders>
            <w:shd w:val="clear" w:color="auto" w:fill="auto"/>
            <w:vAlign w:val="center"/>
          </w:tcPr>
          <w:p w14:paraId="4A136E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8" w:type="pct"/>
            <w:vMerge w:val="continue"/>
            <w:tcBorders>
              <w:top w:val="nil"/>
              <w:left w:val="single" w:color="auto" w:sz="4" w:space="0"/>
              <w:bottom w:val="single" w:color="auto" w:sz="4" w:space="0"/>
              <w:right w:val="single" w:color="auto" w:sz="4" w:space="0"/>
            </w:tcBorders>
            <w:shd w:val="clear" w:color="auto" w:fill="auto"/>
            <w:vAlign w:val="center"/>
          </w:tcPr>
          <w:p w14:paraId="4C85A2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7" w:type="pct"/>
            <w:vMerge w:val="continue"/>
            <w:tcBorders>
              <w:top w:val="nil"/>
              <w:left w:val="single" w:color="auto" w:sz="4" w:space="0"/>
              <w:bottom w:val="single" w:color="auto" w:sz="4" w:space="0"/>
              <w:right w:val="single" w:color="auto" w:sz="4" w:space="0"/>
            </w:tcBorders>
            <w:shd w:val="clear" w:color="auto" w:fill="auto"/>
            <w:vAlign w:val="center"/>
          </w:tcPr>
          <w:p w14:paraId="5D4CC3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59" w:type="pct"/>
            <w:tcBorders>
              <w:top w:val="single" w:color="auto" w:sz="4" w:space="0"/>
              <w:left w:val="single" w:color="auto" w:sz="4" w:space="0"/>
              <w:bottom w:val="single" w:color="auto" w:sz="4" w:space="0"/>
              <w:right w:val="single" w:color="auto" w:sz="4" w:space="0"/>
            </w:tcBorders>
            <w:shd w:val="clear" w:color="auto" w:fill="auto"/>
            <w:vAlign w:val="center"/>
          </w:tcPr>
          <w:p w14:paraId="63CAF2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成果文件不符合计价规范，计价单位有误，套用定额有误（如定额工程量有误，擅自修改工料机含量等），项目特征描述内容不全面、不准确，与设计图纸不符等，导致委托人与项目承包单位发生争议，或造成委托人经济损失的最高扣8分；</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5C9221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22BB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 w:type="pct"/>
            <w:vMerge w:val="continue"/>
            <w:tcBorders>
              <w:top w:val="nil"/>
              <w:left w:val="single" w:color="auto" w:sz="4" w:space="0"/>
              <w:bottom w:val="single" w:color="auto" w:sz="4" w:space="0"/>
              <w:right w:val="single" w:color="auto" w:sz="4" w:space="0"/>
            </w:tcBorders>
            <w:shd w:val="clear" w:color="auto" w:fill="auto"/>
            <w:vAlign w:val="center"/>
          </w:tcPr>
          <w:p w14:paraId="4A2A18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8" w:type="pct"/>
            <w:vMerge w:val="continue"/>
            <w:tcBorders>
              <w:top w:val="nil"/>
              <w:left w:val="single" w:color="auto" w:sz="4" w:space="0"/>
              <w:bottom w:val="single" w:color="auto" w:sz="4" w:space="0"/>
              <w:right w:val="single" w:color="auto" w:sz="4" w:space="0"/>
            </w:tcBorders>
            <w:shd w:val="clear" w:color="auto" w:fill="auto"/>
            <w:vAlign w:val="center"/>
          </w:tcPr>
          <w:p w14:paraId="542EA6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7" w:type="pct"/>
            <w:vMerge w:val="continue"/>
            <w:tcBorders>
              <w:top w:val="nil"/>
              <w:left w:val="single" w:color="auto" w:sz="4" w:space="0"/>
              <w:bottom w:val="single" w:color="auto" w:sz="4" w:space="0"/>
              <w:right w:val="single" w:color="auto" w:sz="4" w:space="0"/>
            </w:tcBorders>
            <w:shd w:val="clear" w:color="auto" w:fill="auto"/>
            <w:vAlign w:val="center"/>
          </w:tcPr>
          <w:p w14:paraId="2A7BD2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59" w:type="pct"/>
            <w:tcBorders>
              <w:top w:val="single" w:color="auto" w:sz="4" w:space="0"/>
              <w:left w:val="single" w:color="auto" w:sz="4" w:space="0"/>
              <w:bottom w:val="single" w:color="auto" w:sz="4" w:space="0"/>
              <w:right w:val="single" w:color="auto" w:sz="4" w:space="0"/>
            </w:tcBorders>
            <w:shd w:val="clear" w:color="auto" w:fill="auto"/>
            <w:vAlign w:val="center"/>
          </w:tcPr>
          <w:p w14:paraId="753FD5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图纸中有措施项目设计内容，漏计措施项目费，费用超10万元（含），扣3分；费用超50万元（含），扣5分；费用超100万元（含），扣8分；</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432061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55E25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 w:type="pct"/>
            <w:vMerge w:val="continue"/>
            <w:tcBorders>
              <w:top w:val="nil"/>
              <w:left w:val="single" w:color="auto" w:sz="4" w:space="0"/>
              <w:bottom w:val="single" w:color="auto" w:sz="4" w:space="0"/>
              <w:right w:val="single" w:color="auto" w:sz="4" w:space="0"/>
            </w:tcBorders>
            <w:shd w:val="clear" w:color="auto" w:fill="auto"/>
            <w:vAlign w:val="center"/>
          </w:tcPr>
          <w:p w14:paraId="6CF908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8" w:type="pct"/>
            <w:vMerge w:val="continue"/>
            <w:tcBorders>
              <w:top w:val="nil"/>
              <w:left w:val="single" w:color="auto" w:sz="4" w:space="0"/>
              <w:bottom w:val="single" w:color="auto" w:sz="4" w:space="0"/>
              <w:right w:val="single" w:color="auto" w:sz="4" w:space="0"/>
            </w:tcBorders>
            <w:shd w:val="clear" w:color="auto" w:fill="auto"/>
            <w:vAlign w:val="center"/>
          </w:tcPr>
          <w:p w14:paraId="4C3553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7" w:type="pct"/>
            <w:vMerge w:val="continue"/>
            <w:tcBorders>
              <w:top w:val="nil"/>
              <w:left w:val="single" w:color="auto" w:sz="4" w:space="0"/>
              <w:bottom w:val="single" w:color="auto" w:sz="4" w:space="0"/>
              <w:right w:val="single" w:color="auto" w:sz="4" w:space="0"/>
            </w:tcBorders>
            <w:shd w:val="clear" w:color="auto" w:fill="auto"/>
            <w:vAlign w:val="center"/>
          </w:tcPr>
          <w:p w14:paraId="06FCC6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59" w:type="pct"/>
            <w:tcBorders>
              <w:top w:val="single" w:color="auto" w:sz="4" w:space="0"/>
              <w:left w:val="single" w:color="auto" w:sz="4" w:space="0"/>
              <w:bottom w:val="single" w:color="auto" w:sz="4" w:space="0"/>
              <w:right w:val="single" w:color="auto" w:sz="4" w:space="0"/>
            </w:tcBorders>
            <w:shd w:val="clear" w:color="auto" w:fill="auto"/>
            <w:vAlign w:val="center"/>
          </w:tcPr>
          <w:p w14:paraId="0A9246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未根据工程位置、委托人的工期要求、常规的施工组织设计（施工方案）等考虑措施费用，措施费计算错误或漏计的，费用超10万元（含），扣3分；费用超50万元（含），扣5分；费用超100万元，扣9分；</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1C1089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1E65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 w:type="pct"/>
            <w:vMerge w:val="continue"/>
            <w:tcBorders>
              <w:top w:val="nil"/>
              <w:left w:val="single" w:color="auto" w:sz="4" w:space="0"/>
              <w:bottom w:val="single" w:color="auto" w:sz="4" w:space="0"/>
              <w:right w:val="single" w:color="auto" w:sz="4" w:space="0"/>
            </w:tcBorders>
            <w:shd w:val="clear" w:color="auto" w:fill="auto"/>
            <w:vAlign w:val="center"/>
          </w:tcPr>
          <w:p w14:paraId="03A277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8" w:type="pct"/>
            <w:vMerge w:val="continue"/>
            <w:tcBorders>
              <w:top w:val="nil"/>
              <w:left w:val="single" w:color="auto" w:sz="4" w:space="0"/>
              <w:bottom w:val="single" w:color="auto" w:sz="4" w:space="0"/>
              <w:right w:val="single" w:color="auto" w:sz="4" w:space="0"/>
            </w:tcBorders>
            <w:shd w:val="clear" w:color="auto" w:fill="auto"/>
            <w:vAlign w:val="center"/>
          </w:tcPr>
          <w:p w14:paraId="603C94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7" w:type="pct"/>
            <w:vMerge w:val="continue"/>
            <w:tcBorders>
              <w:top w:val="nil"/>
              <w:left w:val="single" w:color="auto" w:sz="4" w:space="0"/>
              <w:bottom w:val="single" w:color="auto" w:sz="4" w:space="0"/>
              <w:right w:val="single" w:color="auto" w:sz="4" w:space="0"/>
            </w:tcBorders>
            <w:shd w:val="clear" w:color="auto" w:fill="auto"/>
            <w:vAlign w:val="center"/>
          </w:tcPr>
          <w:p w14:paraId="1871F7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59" w:type="pct"/>
            <w:tcBorders>
              <w:top w:val="single" w:color="auto" w:sz="4" w:space="0"/>
              <w:left w:val="single" w:color="auto" w:sz="4" w:space="0"/>
              <w:bottom w:val="single" w:color="auto" w:sz="4" w:space="0"/>
              <w:right w:val="single" w:color="auto" w:sz="4" w:space="0"/>
            </w:tcBorders>
            <w:shd w:val="clear" w:color="auto" w:fill="auto"/>
            <w:vAlign w:val="center"/>
          </w:tcPr>
          <w:p w14:paraId="241DAC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成果文件编制说明不严谨、不详细、范围不完整，并因此导致施工过程产生合同纠纷每出现一次扣5分,最高扣10分；</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3DCDD7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2E5C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20" w:type="pct"/>
            <w:vMerge w:val="continue"/>
            <w:tcBorders>
              <w:top w:val="nil"/>
              <w:left w:val="single" w:color="auto" w:sz="4" w:space="0"/>
              <w:bottom w:val="single" w:color="auto" w:sz="4" w:space="0"/>
              <w:right w:val="single" w:color="auto" w:sz="4" w:space="0"/>
            </w:tcBorders>
            <w:shd w:val="clear" w:color="auto" w:fill="auto"/>
            <w:vAlign w:val="center"/>
          </w:tcPr>
          <w:p w14:paraId="5F6C28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8" w:type="pct"/>
            <w:vMerge w:val="continue"/>
            <w:tcBorders>
              <w:top w:val="nil"/>
              <w:left w:val="single" w:color="auto" w:sz="4" w:space="0"/>
              <w:bottom w:val="single" w:color="auto" w:sz="4" w:space="0"/>
              <w:right w:val="single" w:color="auto" w:sz="4" w:space="0"/>
            </w:tcBorders>
            <w:shd w:val="clear" w:color="auto" w:fill="auto"/>
            <w:vAlign w:val="center"/>
          </w:tcPr>
          <w:p w14:paraId="301913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7" w:type="pct"/>
            <w:vMerge w:val="continue"/>
            <w:tcBorders>
              <w:top w:val="nil"/>
              <w:left w:val="single" w:color="auto" w:sz="4" w:space="0"/>
              <w:bottom w:val="single" w:color="auto" w:sz="4" w:space="0"/>
              <w:right w:val="single" w:color="auto" w:sz="4" w:space="0"/>
            </w:tcBorders>
            <w:shd w:val="clear" w:color="auto" w:fill="auto"/>
            <w:vAlign w:val="center"/>
          </w:tcPr>
          <w:p w14:paraId="03E0F9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59" w:type="pct"/>
            <w:tcBorders>
              <w:top w:val="single" w:color="auto" w:sz="4" w:space="0"/>
              <w:left w:val="single" w:color="auto" w:sz="4" w:space="0"/>
              <w:bottom w:val="single" w:color="auto" w:sz="4" w:space="0"/>
              <w:right w:val="single" w:color="auto" w:sz="4" w:space="0"/>
            </w:tcBorders>
            <w:shd w:val="clear" w:color="auto" w:fill="auto"/>
            <w:vAlign w:val="center"/>
          </w:tcPr>
          <w:p w14:paraId="719547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材料价需询价的，未询三家或三家以上(特殊材料除外)（须记录厂家、联系人、联系电话信息）最高扣3分；</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4CABD6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5963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 w:type="pct"/>
            <w:vMerge w:val="continue"/>
            <w:tcBorders>
              <w:top w:val="nil"/>
              <w:left w:val="single" w:color="auto" w:sz="4" w:space="0"/>
              <w:bottom w:val="single" w:color="auto" w:sz="4" w:space="0"/>
              <w:right w:val="single" w:color="auto" w:sz="4" w:space="0"/>
            </w:tcBorders>
            <w:shd w:val="clear" w:color="auto" w:fill="auto"/>
            <w:vAlign w:val="center"/>
          </w:tcPr>
          <w:p w14:paraId="68B896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8" w:type="pct"/>
            <w:vMerge w:val="continue"/>
            <w:tcBorders>
              <w:top w:val="nil"/>
              <w:left w:val="single" w:color="auto" w:sz="4" w:space="0"/>
              <w:bottom w:val="single" w:color="auto" w:sz="4" w:space="0"/>
              <w:right w:val="single" w:color="auto" w:sz="4" w:space="0"/>
            </w:tcBorders>
            <w:shd w:val="clear" w:color="auto" w:fill="auto"/>
            <w:vAlign w:val="center"/>
          </w:tcPr>
          <w:p w14:paraId="38435B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7" w:type="pct"/>
            <w:vMerge w:val="continue"/>
            <w:tcBorders>
              <w:top w:val="nil"/>
              <w:left w:val="single" w:color="auto" w:sz="4" w:space="0"/>
              <w:bottom w:val="single" w:color="auto" w:sz="4" w:space="0"/>
              <w:right w:val="single" w:color="auto" w:sz="4" w:space="0"/>
            </w:tcBorders>
            <w:shd w:val="clear" w:color="auto" w:fill="auto"/>
            <w:vAlign w:val="center"/>
          </w:tcPr>
          <w:p w14:paraId="71B083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59" w:type="pct"/>
            <w:tcBorders>
              <w:top w:val="single" w:color="auto" w:sz="4" w:space="0"/>
              <w:left w:val="single" w:color="auto" w:sz="4" w:space="0"/>
              <w:bottom w:val="single" w:color="auto" w:sz="4" w:space="0"/>
              <w:right w:val="single" w:color="auto" w:sz="4" w:space="0"/>
            </w:tcBorders>
            <w:shd w:val="clear" w:color="auto" w:fill="auto"/>
            <w:vAlign w:val="center"/>
          </w:tcPr>
          <w:p w14:paraId="737A97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非《东莞市工程造价信息》中材料价，因不询价而导致单价错误的，每出现一次扣2分，最高扣6分；</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5CC791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65D9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0" w:type="pct"/>
            <w:vMerge w:val="continue"/>
            <w:tcBorders>
              <w:top w:val="nil"/>
              <w:left w:val="single" w:color="auto" w:sz="4" w:space="0"/>
              <w:bottom w:val="single" w:color="auto" w:sz="4" w:space="0"/>
              <w:right w:val="single" w:color="auto" w:sz="4" w:space="0"/>
            </w:tcBorders>
            <w:shd w:val="clear" w:color="auto" w:fill="auto"/>
            <w:vAlign w:val="center"/>
          </w:tcPr>
          <w:p w14:paraId="3B44E8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8" w:type="pct"/>
            <w:vMerge w:val="continue"/>
            <w:tcBorders>
              <w:top w:val="nil"/>
              <w:left w:val="single" w:color="auto" w:sz="4" w:space="0"/>
              <w:bottom w:val="single" w:color="auto" w:sz="4" w:space="0"/>
              <w:right w:val="single" w:color="auto" w:sz="4" w:space="0"/>
            </w:tcBorders>
            <w:shd w:val="clear" w:color="auto" w:fill="auto"/>
            <w:vAlign w:val="center"/>
          </w:tcPr>
          <w:p w14:paraId="24F8D4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7" w:type="pct"/>
            <w:vMerge w:val="continue"/>
            <w:tcBorders>
              <w:top w:val="nil"/>
              <w:left w:val="single" w:color="auto" w:sz="4" w:space="0"/>
              <w:bottom w:val="single" w:color="auto" w:sz="4" w:space="0"/>
              <w:right w:val="single" w:color="auto" w:sz="4" w:space="0"/>
            </w:tcBorders>
            <w:shd w:val="clear" w:color="auto" w:fill="auto"/>
            <w:vAlign w:val="center"/>
          </w:tcPr>
          <w:p w14:paraId="317EFD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59" w:type="pct"/>
            <w:tcBorders>
              <w:top w:val="single" w:color="auto" w:sz="4" w:space="0"/>
              <w:left w:val="single" w:color="auto" w:sz="4" w:space="0"/>
              <w:bottom w:val="single" w:color="auto" w:sz="4" w:space="0"/>
              <w:right w:val="single" w:color="auto" w:sz="4" w:space="0"/>
            </w:tcBorders>
            <w:shd w:val="clear" w:color="auto" w:fill="auto"/>
            <w:vAlign w:val="center"/>
          </w:tcPr>
          <w:p w14:paraId="63DBE8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未按要求整理并提交成果文件最高扣3分；</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37DC0F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5F26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20" w:type="pct"/>
            <w:vMerge w:val="restart"/>
            <w:tcBorders>
              <w:top w:val="nil"/>
              <w:left w:val="single" w:color="auto" w:sz="4" w:space="0"/>
              <w:bottom w:val="single" w:color="auto" w:sz="4" w:space="0"/>
              <w:right w:val="single" w:color="auto" w:sz="4" w:space="0"/>
            </w:tcBorders>
            <w:shd w:val="clear" w:color="auto" w:fill="auto"/>
            <w:vAlign w:val="center"/>
          </w:tcPr>
          <w:p w14:paraId="5A8B83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348" w:type="pct"/>
            <w:vMerge w:val="restart"/>
            <w:tcBorders>
              <w:top w:val="nil"/>
              <w:left w:val="single" w:color="auto" w:sz="4" w:space="0"/>
              <w:bottom w:val="single" w:color="auto" w:sz="4" w:space="0"/>
              <w:right w:val="single" w:color="auto" w:sz="4" w:space="0"/>
            </w:tcBorders>
            <w:shd w:val="clear" w:color="auto" w:fill="auto"/>
            <w:vAlign w:val="center"/>
          </w:tcPr>
          <w:p w14:paraId="3B10FD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工作效率</w:t>
            </w:r>
          </w:p>
        </w:tc>
        <w:tc>
          <w:tcPr>
            <w:tcW w:w="317" w:type="pct"/>
            <w:vMerge w:val="restart"/>
            <w:tcBorders>
              <w:top w:val="nil"/>
              <w:left w:val="single" w:color="auto" w:sz="4" w:space="0"/>
              <w:bottom w:val="single" w:color="auto" w:sz="4" w:space="0"/>
              <w:right w:val="single" w:color="auto" w:sz="4" w:space="0"/>
            </w:tcBorders>
            <w:shd w:val="clear" w:color="auto" w:fill="auto"/>
            <w:vAlign w:val="center"/>
          </w:tcPr>
          <w:p w14:paraId="29824B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w:t>
            </w:r>
          </w:p>
        </w:tc>
        <w:tc>
          <w:tcPr>
            <w:tcW w:w="3459" w:type="pct"/>
            <w:tcBorders>
              <w:top w:val="single" w:color="auto" w:sz="4" w:space="0"/>
              <w:left w:val="single" w:color="auto" w:sz="4" w:space="0"/>
              <w:bottom w:val="single" w:color="auto" w:sz="4" w:space="0"/>
              <w:right w:val="single" w:color="auto" w:sz="4" w:space="0"/>
            </w:tcBorders>
            <w:shd w:val="clear" w:color="auto" w:fill="auto"/>
            <w:vAlign w:val="center"/>
          </w:tcPr>
          <w:p w14:paraId="3D831B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未按操作规程及时进行对数、现场查勘的最高扣2分；</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410663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4F8F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0" w:type="pct"/>
            <w:vMerge w:val="continue"/>
            <w:tcBorders>
              <w:top w:val="nil"/>
              <w:left w:val="single" w:color="auto" w:sz="4" w:space="0"/>
              <w:bottom w:val="single" w:color="auto" w:sz="4" w:space="0"/>
              <w:right w:val="single" w:color="auto" w:sz="4" w:space="0"/>
            </w:tcBorders>
            <w:shd w:val="clear" w:color="auto" w:fill="auto"/>
            <w:vAlign w:val="center"/>
          </w:tcPr>
          <w:p w14:paraId="4A3297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8" w:type="pct"/>
            <w:vMerge w:val="continue"/>
            <w:tcBorders>
              <w:top w:val="nil"/>
              <w:left w:val="single" w:color="auto" w:sz="4" w:space="0"/>
              <w:bottom w:val="single" w:color="auto" w:sz="4" w:space="0"/>
              <w:right w:val="single" w:color="auto" w:sz="4" w:space="0"/>
            </w:tcBorders>
            <w:shd w:val="clear" w:color="auto" w:fill="auto"/>
            <w:vAlign w:val="center"/>
          </w:tcPr>
          <w:p w14:paraId="2EF5E9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7" w:type="pct"/>
            <w:vMerge w:val="continue"/>
            <w:tcBorders>
              <w:top w:val="nil"/>
              <w:left w:val="single" w:color="auto" w:sz="4" w:space="0"/>
              <w:bottom w:val="single" w:color="auto" w:sz="4" w:space="0"/>
              <w:right w:val="single" w:color="auto" w:sz="4" w:space="0"/>
            </w:tcBorders>
            <w:shd w:val="clear" w:color="auto" w:fill="auto"/>
            <w:vAlign w:val="center"/>
          </w:tcPr>
          <w:p w14:paraId="5EE7C2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59" w:type="pct"/>
            <w:tcBorders>
              <w:top w:val="single" w:color="auto" w:sz="4" w:space="0"/>
              <w:left w:val="single" w:color="auto" w:sz="4" w:space="0"/>
              <w:bottom w:val="single" w:color="auto" w:sz="4" w:space="0"/>
              <w:right w:val="single" w:color="auto" w:sz="4" w:space="0"/>
            </w:tcBorders>
            <w:shd w:val="clear" w:color="auto" w:fill="auto"/>
            <w:vAlign w:val="center"/>
          </w:tcPr>
          <w:p w14:paraId="095374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对数后未做到及时修改，对反馈意见及时核实的最高扣2分；</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0E92F9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598E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20" w:type="pct"/>
            <w:vMerge w:val="continue"/>
            <w:tcBorders>
              <w:top w:val="nil"/>
              <w:left w:val="single" w:color="auto" w:sz="4" w:space="0"/>
              <w:bottom w:val="single" w:color="auto" w:sz="4" w:space="0"/>
              <w:right w:val="single" w:color="auto" w:sz="4" w:space="0"/>
            </w:tcBorders>
            <w:shd w:val="clear" w:color="auto" w:fill="auto"/>
            <w:vAlign w:val="center"/>
          </w:tcPr>
          <w:p w14:paraId="7A1CF5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8" w:type="pct"/>
            <w:vMerge w:val="continue"/>
            <w:tcBorders>
              <w:top w:val="nil"/>
              <w:left w:val="single" w:color="auto" w:sz="4" w:space="0"/>
              <w:bottom w:val="single" w:color="auto" w:sz="4" w:space="0"/>
              <w:right w:val="single" w:color="auto" w:sz="4" w:space="0"/>
            </w:tcBorders>
            <w:shd w:val="clear" w:color="auto" w:fill="auto"/>
            <w:vAlign w:val="center"/>
          </w:tcPr>
          <w:p w14:paraId="1D7CD1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7" w:type="pct"/>
            <w:vMerge w:val="continue"/>
            <w:tcBorders>
              <w:top w:val="nil"/>
              <w:left w:val="single" w:color="auto" w:sz="4" w:space="0"/>
              <w:bottom w:val="single" w:color="auto" w:sz="4" w:space="0"/>
              <w:right w:val="single" w:color="auto" w:sz="4" w:space="0"/>
            </w:tcBorders>
            <w:shd w:val="clear" w:color="auto" w:fill="auto"/>
            <w:vAlign w:val="center"/>
          </w:tcPr>
          <w:p w14:paraId="22D0E8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59" w:type="pct"/>
            <w:tcBorders>
              <w:top w:val="single" w:color="auto" w:sz="4" w:space="0"/>
              <w:left w:val="single" w:color="auto" w:sz="4" w:space="0"/>
              <w:bottom w:val="single" w:color="auto" w:sz="4" w:space="0"/>
              <w:right w:val="single" w:color="auto" w:sz="4" w:space="0"/>
            </w:tcBorders>
            <w:shd w:val="clear" w:color="auto" w:fill="auto"/>
            <w:vAlign w:val="center"/>
          </w:tcPr>
          <w:p w14:paraId="374408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对数后需要补充资料而未及时通知委托人补充相关资料，澄清有关疑问的最高扣4分；</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1DF504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6EFC1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20" w:type="pct"/>
            <w:vMerge w:val="continue"/>
            <w:tcBorders>
              <w:top w:val="nil"/>
              <w:left w:val="single" w:color="auto" w:sz="4" w:space="0"/>
              <w:bottom w:val="single" w:color="auto" w:sz="4" w:space="0"/>
              <w:right w:val="single" w:color="auto" w:sz="4" w:space="0"/>
            </w:tcBorders>
            <w:shd w:val="clear" w:color="auto" w:fill="auto"/>
            <w:vAlign w:val="center"/>
          </w:tcPr>
          <w:p w14:paraId="47EFFC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8" w:type="pct"/>
            <w:vMerge w:val="continue"/>
            <w:tcBorders>
              <w:top w:val="nil"/>
              <w:left w:val="single" w:color="auto" w:sz="4" w:space="0"/>
              <w:bottom w:val="single" w:color="auto" w:sz="4" w:space="0"/>
              <w:right w:val="single" w:color="auto" w:sz="4" w:space="0"/>
            </w:tcBorders>
            <w:shd w:val="clear" w:color="auto" w:fill="auto"/>
            <w:vAlign w:val="center"/>
          </w:tcPr>
          <w:p w14:paraId="3752BE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7" w:type="pct"/>
            <w:vMerge w:val="continue"/>
            <w:tcBorders>
              <w:top w:val="nil"/>
              <w:left w:val="single" w:color="auto" w:sz="4" w:space="0"/>
              <w:bottom w:val="single" w:color="auto" w:sz="4" w:space="0"/>
              <w:right w:val="single" w:color="auto" w:sz="4" w:space="0"/>
            </w:tcBorders>
            <w:shd w:val="clear" w:color="auto" w:fill="auto"/>
            <w:vAlign w:val="center"/>
          </w:tcPr>
          <w:p w14:paraId="671AAA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59" w:type="pct"/>
            <w:tcBorders>
              <w:top w:val="single" w:color="auto" w:sz="4" w:space="0"/>
              <w:left w:val="single" w:color="auto" w:sz="4" w:space="0"/>
              <w:bottom w:val="single" w:color="auto" w:sz="4" w:space="0"/>
              <w:right w:val="single" w:color="auto" w:sz="4" w:space="0"/>
            </w:tcBorders>
            <w:shd w:val="clear" w:color="auto" w:fill="auto"/>
            <w:vAlign w:val="center"/>
          </w:tcPr>
          <w:p w14:paraId="4CB1B8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未能严格按委托人的计划时间完成咨询任务的最高扣4分。</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24B63B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6A67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20" w:type="pct"/>
            <w:vMerge w:val="restart"/>
            <w:tcBorders>
              <w:top w:val="nil"/>
              <w:left w:val="single" w:color="auto" w:sz="4" w:space="0"/>
              <w:bottom w:val="single" w:color="auto" w:sz="4" w:space="0"/>
              <w:right w:val="single" w:color="auto" w:sz="4" w:space="0"/>
            </w:tcBorders>
            <w:shd w:val="clear" w:color="auto" w:fill="auto"/>
            <w:vAlign w:val="center"/>
          </w:tcPr>
          <w:p w14:paraId="36C753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348" w:type="pct"/>
            <w:vMerge w:val="restart"/>
            <w:tcBorders>
              <w:top w:val="nil"/>
              <w:left w:val="single" w:color="auto" w:sz="4" w:space="0"/>
              <w:bottom w:val="single" w:color="auto" w:sz="4" w:space="0"/>
              <w:right w:val="single" w:color="auto" w:sz="4" w:space="0"/>
            </w:tcBorders>
            <w:shd w:val="clear" w:color="auto" w:fill="auto"/>
            <w:vAlign w:val="center"/>
          </w:tcPr>
          <w:p w14:paraId="4939A3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规范服务</w:t>
            </w:r>
          </w:p>
        </w:tc>
        <w:tc>
          <w:tcPr>
            <w:tcW w:w="317" w:type="pct"/>
            <w:vMerge w:val="restart"/>
            <w:tcBorders>
              <w:top w:val="nil"/>
              <w:left w:val="single" w:color="auto" w:sz="4" w:space="0"/>
              <w:bottom w:val="single" w:color="auto" w:sz="4" w:space="0"/>
              <w:right w:val="single" w:color="auto" w:sz="4" w:space="0"/>
            </w:tcBorders>
            <w:shd w:val="clear" w:color="auto" w:fill="auto"/>
            <w:vAlign w:val="center"/>
          </w:tcPr>
          <w:p w14:paraId="63AC05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w:t>
            </w:r>
          </w:p>
        </w:tc>
        <w:tc>
          <w:tcPr>
            <w:tcW w:w="3459" w:type="pct"/>
            <w:tcBorders>
              <w:top w:val="single" w:color="auto" w:sz="4" w:space="0"/>
              <w:left w:val="single" w:color="auto" w:sz="4" w:space="0"/>
              <w:bottom w:val="single" w:color="auto" w:sz="4" w:space="0"/>
              <w:right w:val="single" w:color="auto" w:sz="4" w:space="0"/>
            </w:tcBorders>
            <w:shd w:val="clear" w:color="auto" w:fill="auto"/>
            <w:vAlign w:val="center"/>
          </w:tcPr>
          <w:p w14:paraId="6DD21D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未严格按有关行业规范、工作规程和水务集团管理要求开展咨询活动的最高扣4分；</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00468B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19BC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20" w:type="pct"/>
            <w:vMerge w:val="continue"/>
            <w:tcBorders>
              <w:top w:val="nil"/>
              <w:left w:val="single" w:color="auto" w:sz="4" w:space="0"/>
              <w:bottom w:val="single" w:color="auto" w:sz="4" w:space="0"/>
              <w:right w:val="single" w:color="auto" w:sz="4" w:space="0"/>
            </w:tcBorders>
            <w:shd w:val="clear" w:color="auto" w:fill="auto"/>
            <w:vAlign w:val="center"/>
          </w:tcPr>
          <w:p w14:paraId="6AEB03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8" w:type="pct"/>
            <w:vMerge w:val="continue"/>
            <w:tcBorders>
              <w:top w:val="nil"/>
              <w:left w:val="single" w:color="auto" w:sz="4" w:space="0"/>
              <w:bottom w:val="single" w:color="auto" w:sz="4" w:space="0"/>
              <w:right w:val="single" w:color="auto" w:sz="4" w:space="0"/>
            </w:tcBorders>
            <w:shd w:val="clear" w:color="auto" w:fill="auto"/>
            <w:vAlign w:val="center"/>
          </w:tcPr>
          <w:p w14:paraId="1BE583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7" w:type="pct"/>
            <w:vMerge w:val="continue"/>
            <w:tcBorders>
              <w:top w:val="nil"/>
              <w:left w:val="single" w:color="auto" w:sz="4" w:space="0"/>
              <w:bottom w:val="single" w:color="auto" w:sz="4" w:space="0"/>
              <w:right w:val="single" w:color="auto" w:sz="4" w:space="0"/>
            </w:tcBorders>
            <w:shd w:val="clear" w:color="auto" w:fill="auto"/>
            <w:vAlign w:val="center"/>
          </w:tcPr>
          <w:p w14:paraId="1061A8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59" w:type="pct"/>
            <w:tcBorders>
              <w:top w:val="single" w:color="auto" w:sz="4" w:space="0"/>
              <w:left w:val="single" w:color="auto" w:sz="4" w:space="0"/>
              <w:bottom w:val="single" w:color="auto" w:sz="4" w:space="0"/>
              <w:right w:val="single" w:color="auto" w:sz="4" w:space="0"/>
            </w:tcBorders>
            <w:shd w:val="clear" w:color="auto" w:fill="auto"/>
            <w:vAlign w:val="center"/>
          </w:tcPr>
          <w:p w14:paraId="237D1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未认真执行对数操作规程、现场查勘操作规程的最高扣4分；</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6DF640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10EC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20" w:type="pct"/>
            <w:vMerge w:val="continue"/>
            <w:tcBorders>
              <w:top w:val="nil"/>
              <w:left w:val="single" w:color="auto" w:sz="4" w:space="0"/>
              <w:bottom w:val="single" w:color="auto" w:sz="4" w:space="0"/>
              <w:right w:val="single" w:color="auto" w:sz="4" w:space="0"/>
            </w:tcBorders>
            <w:shd w:val="clear" w:color="auto" w:fill="auto"/>
            <w:vAlign w:val="center"/>
          </w:tcPr>
          <w:p w14:paraId="4BB2BE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8" w:type="pct"/>
            <w:vMerge w:val="continue"/>
            <w:tcBorders>
              <w:top w:val="nil"/>
              <w:left w:val="single" w:color="auto" w:sz="4" w:space="0"/>
              <w:bottom w:val="single" w:color="auto" w:sz="4" w:space="0"/>
              <w:right w:val="single" w:color="auto" w:sz="4" w:space="0"/>
            </w:tcBorders>
            <w:shd w:val="clear" w:color="auto" w:fill="auto"/>
            <w:vAlign w:val="center"/>
          </w:tcPr>
          <w:p w14:paraId="4D0AA6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7" w:type="pct"/>
            <w:vMerge w:val="continue"/>
            <w:tcBorders>
              <w:top w:val="nil"/>
              <w:left w:val="single" w:color="auto" w:sz="4" w:space="0"/>
              <w:bottom w:val="single" w:color="auto" w:sz="4" w:space="0"/>
              <w:right w:val="single" w:color="auto" w:sz="4" w:space="0"/>
            </w:tcBorders>
            <w:shd w:val="clear" w:color="auto" w:fill="auto"/>
            <w:vAlign w:val="center"/>
          </w:tcPr>
          <w:p w14:paraId="7E9528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59" w:type="pct"/>
            <w:tcBorders>
              <w:top w:val="single" w:color="auto" w:sz="4" w:space="0"/>
              <w:left w:val="single" w:color="auto" w:sz="4" w:space="0"/>
              <w:bottom w:val="single" w:color="auto" w:sz="4" w:space="0"/>
              <w:right w:val="single" w:color="auto" w:sz="4" w:space="0"/>
            </w:tcBorders>
            <w:shd w:val="clear" w:color="auto" w:fill="auto"/>
            <w:vAlign w:val="center"/>
          </w:tcPr>
          <w:p w14:paraId="304252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对非常规的设备、材料的价格选定，以及非常规的工艺、技术的定额计价，未能跟委托人协商确定的最高扣2分；</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63901E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5D0A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0" w:type="pct"/>
            <w:vMerge w:val="continue"/>
            <w:tcBorders>
              <w:top w:val="nil"/>
              <w:left w:val="single" w:color="auto" w:sz="4" w:space="0"/>
              <w:bottom w:val="single" w:color="auto" w:sz="4" w:space="0"/>
              <w:right w:val="single" w:color="auto" w:sz="4" w:space="0"/>
            </w:tcBorders>
            <w:shd w:val="clear" w:color="auto" w:fill="auto"/>
            <w:vAlign w:val="center"/>
          </w:tcPr>
          <w:p w14:paraId="137CA3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8" w:type="pct"/>
            <w:vMerge w:val="continue"/>
            <w:tcBorders>
              <w:top w:val="nil"/>
              <w:left w:val="single" w:color="auto" w:sz="4" w:space="0"/>
              <w:bottom w:val="single" w:color="auto" w:sz="4" w:space="0"/>
              <w:right w:val="single" w:color="auto" w:sz="4" w:space="0"/>
            </w:tcBorders>
            <w:shd w:val="clear" w:color="auto" w:fill="auto"/>
            <w:vAlign w:val="center"/>
          </w:tcPr>
          <w:p w14:paraId="0CD5BB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7" w:type="pct"/>
            <w:vMerge w:val="continue"/>
            <w:tcBorders>
              <w:top w:val="nil"/>
              <w:left w:val="single" w:color="auto" w:sz="4" w:space="0"/>
              <w:bottom w:val="single" w:color="auto" w:sz="4" w:space="0"/>
              <w:right w:val="single" w:color="auto" w:sz="4" w:space="0"/>
            </w:tcBorders>
            <w:shd w:val="clear" w:color="auto" w:fill="auto"/>
            <w:vAlign w:val="center"/>
          </w:tcPr>
          <w:p w14:paraId="5B6013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59" w:type="pct"/>
            <w:tcBorders>
              <w:top w:val="single" w:color="auto" w:sz="4" w:space="0"/>
              <w:left w:val="single" w:color="auto" w:sz="4" w:space="0"/>
              <w:bottom w:val="single" w:color="auto" w:sz="4" w:space="0"/>
              <w:right w:val="single" w:color="auto" w:sz="4" w:space="0"/>
            </w:tcBorders>
            <w:shd w:val="clear" w:color="auto" w:fill="auto"/>
            <w:vAlign w:val="center"/>
          </w:tcPr>
          <w:p w14:paraId="60C3D5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未能实行二或三级复核制度的最高扣3分。</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1CA1CD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63FA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0" w:type="pct"/>
            <w:vMerge w:val="restart"/>
            <w:tcBorders>
              <w:top w:val="nil"/>
              <w:left w:val="single" w:color="auto" w:sz="4" w:space="0"/>
              <w:bottom w:val="single" w:color="auto" w:sz="4" w:space="0"/>
              <w:right w:val="single" w:color="auto" w:sz="4" w:space="0"/>
            </w:tcBorders>
            <w:shd w:val="clear" w:color="auto" w:fill="auto"/>
            <w:vAlign w:val="center"/>
          </w:tcPr>
          <w:p w14:paraId="2A31DD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348" w:type="pct"/>
            <w:vMerge w:val="restart"/>
            <w:tcBorders>
              <w:top w:val="nil"/>
              <w:left w:val="single" w:color="auto" w:sz="4" w:space="0"/>
              <w:bottom w:val="single" w:color="auto" w:sz="4" w:space="0"/>
              <w:right w:val="single" w:color="auto" w:sz="4" w:space="0"/>
            </w:tcBorders>
            <w:shd w:val="clear" w:color="auto" w:fill="auto"/>
            <w:vAlign w:val="center"/>
          </w:tcPr>
          <w:p w14:paraId="74D098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职业道德评价</w:t>
            </w:r>
          </w:p>
        </w:tc>
        <w:tc>
          <w:tcPr>
            <w:tcW w:w="317" w:type="pct"/>
            <w:vMerge w:val="restart"/>
            <w:tcBorders>
              <w:top w:val="nil"/>
              <w:left w:val="single" w:color="auto" w:sz="4" w:space="0"/>
              <w:bottom w:val="single" w:color="auto" w:sz="4" w:space="0"/>
              <w:right w:val="single" w:color="auto" w:sz="4" w:space="0"/>
            </w:tcBorders>
            <w:shd w:val="clear" w:color="auto" w:fill="auto"/>
            <w:vAlign w:val="center"/>
          </w:tcPr>
          <w:p w14:paraId="5DB1BE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w:t>
            </w:r>
          </w:p>
        </w:tc>
        <w:tc>
          <w:tcPr>
            <w:tcW w:w="3459" w:type="pct"/>
            <w:tcBorders>
              <w:top w:val="single" w:color="auto" w:sz="4" w:space="0"/>
              <w:left w:val="single" w:color="auto" w:sz="4" w:space="0"/>
              <w:bottom w:val="single" w:color="auto" w:sz="4" w:space="0"/>
              <w:right w:val="single" w:color="auto" w:sz="4" w:space="0"/>
            </w:tcBorders>
            <w:shd w:val="clear" w:color="auto" w:fill="auto"/>
            <w:vAlign w:val="center"/>
          </w:tcPr>
          <w:p w14:paraId="63133B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未独立完成咨询任务，擅自委托第三方从事咨询活动的扣4分；</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12E6A4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1F86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0" w:type="pct"/>
            <w:vMerge w:val="continue"/>
            <w:tcBorders>
              <w:top w:val="nil"/>
              <w:left w:val="single" w:color="auto" w:sz="4" w:space="0"/>
              <w:bottom w:val="single" w:color="auto" w:sz="4" w:space="0"/>
              <w:right w:val="single" w:color="auto" w:sz="4" w:space="0"/>
            </w:tcBorders>
            <w:shd w:val="clear" w:color="auto" w:fill="auto"/>
            <w:vAlign w:val="center"/>
          </w:tcPr>
          <w:p w14:paraId="4AC0A3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8" w:type="pct"/>
            <w:vMerge w:val="continue"/>
            <w:tcBorders>
              <w:top w:val="nil"/>
              <w:left w:val="single" w:color="auto" w:sz="4" w:space="0"/>
              <w:bottom w:val="single" w:color="auto" w:sz="4" w:space="0"/>
              <w:right w:val="single" w:color="auto" w:sz="4" w:space="0"/>
            </w:tcBorders>
            <w:shd w:val="clear" w:color="auto" w:fill="auto"/>
            <w:vAlign w:val="center"/>
          </w:tcPr>
          <w:p w14:paraId="48CD34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7" w:type="pct"/>
            <w:vMerge w:val="continue"/>
            <w:tcBorders>
              <w:top w:val="nil"/>
              <w:left w:val="single" w:color="auto" w:sz="4" w:space="0"/>
              <w:bottom w:val="single" w:color="auto" w:sz="4" w:space="0"/>
              <w:right w:val="single" w:color="auto" w:sz="4" w:space="0"/>
            </w:tcBorders>
            <w:shd w:val="clear" w:color="auto" w:fill="auto"/>
            <w:vAlign w:val="center"/>
          </w:tcPr>
          <w:p w14:paraId="1ABC4F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459" w:type="pct"/>
            <w:tcBorders>
              <w:top w:val="single" w:color="auto" w:sz="4" w:space="0"/>
              <w:left w:val="single" w:color="auto" w:sz="4" w:space="0"/>
              <w:bottom w:val="single" w:color="auto" w:sz="4" w:space="0"/>
              <w:right w:val="single" w:color="auto" w:sz="4" w:space="0"/>
            </w:tcBorders>
            <w:shd w:val="clear" w:color="auto" w:fill="auto"/>
            <w:vAlign w:val="center"/>
          </w:tcPr>
          <w:p w14:paraId="1180D6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擅自与委托人的利益相对人联系工作事宜的扣3分。</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15664C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1F86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7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3BE1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合计</w:t>
            </w:r>
          </w:p>
        </w:tc>
        <w:tc>
          <w:tcPr>
            <w:tcW w:w="317" w:type="pct"/>
            <w:tcBorders>
              <w:top w:val="single" w:color="auto" w:sz="4" w:space="0"/>
              <w:left w:val="single" w:color="auto" w:sz="4" w:space="0"/>
              <w:bottom w:val="single" w:color="auto" w:sz="4" w:space="0"/>
              <w:right w:val="single" w:color="auto" w:sz="4" w:space="0"/>
            </w:tcBorders>
            <w:shd w:val="clear" w:color="auto" w:fill="auto"/>
            <w:vAlign w:val="center"/>
          </w:tcPr>
          <w:p w14:paraId="610A60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c>
          <w:tcPr>
            <w:tcW w:w="3459" w:type="pct"/>
            <w:tcBorders>
              <w:top w:val="single" w:color="auto" w:sz="4" w:space="0"/>
              <w:left w:val="single" w:color="auto" w:sz="4" w:space="0"/>
              <w:bottom w:val="single" w:color="auto" w:sz="4" w:space="0"/>
              <w:right w:val="single" w:color="auto" w:sz="4" w:space="0"/>
            </w:tcBorders>
            <w:shd w:val="clear" w:color="auto" w:fill="auto"/>
            <w:vAlign w:val="center"/>
          </w:tcPr>
          <w:p w14:paraId="4440B4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006DB9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bl>
    <w:p w14:paraId="6F668C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color w:val="auto"/>
          <w:kern w:val="2"/>
          <w:sz w:val="21"/>
          <w:szCs w:val="21"/>
          <w:highlight w:val="none"/>
          <w:lang w:val="en-US" w:eastAsia="zh-CN" w:bidi="ar"/>
        </w:rPr>
      </w:pPr>
    </w:p>
    <w:tbl>
      <w:tblPr>
        <w:tblStyle w:val="45"/>
        <w:tblW w:w="5225" w:type="pct"/>
        <w:tblInd w:w="-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71"/>
        <w:gridCol w:w="3279"/>
        <w:gridCol w:w="2310"/>
        <w:gridCol w:w="3277"/>
      </w:tblGrid>
      <w:tr w14:paraId="3D67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909" w:type="pct"/>
            <w:tcBorders>
              <w:top w:val="single" w:color="auto" w:sz="4" w:space="0"/>
              <w:left w:val="single" w:color="auto" w:sz="4" w:space="0"/>
              <w:bottom w:val="single" w:color="auto" w:sz="4" w:space="0"/>
              <w:right w:val="single" w:color="auto" w:sz="4" w:space="0"/>
            </w:tcBorders>
            <w:shd w:val="clear" w:color="auto" w:fill="auto"/>
            <w:vAlign w:val="center"/>
          </w:tcPr>
          <w:p w14:paraId="5FDA223C">
            <w:pPr>
              <w:keepNext w:val="0"/>
              <w:keepLines w:val="0"/>
              <w:suppressLineNumbers w:val="0"/>
              <w:spacing w:before="0" w:beforeAutospacing="0" w:after="0" w:afterAutospacing="0"/>
              <w:ind w:left="0" w:right="0"/>
              <w:rPr>
                <w:rFonts w:hint="default"/>
                <w:color w:val="auto"/>
                <w:highlight w:val="none"/>
              </w:rPr>
            </w:pPr>
            <w:r>
              <w:rPr>
                <w:rFonts w:hint="eastAsia" w:ascii="宋体" w:hAnsi="宋体" w:eastAsia="宋体" w:cs="宋体"/>
                <w:b w:val="0"/>
                <w:bCs/>
                <w:color w:val="auto"/>
                <w:kern w:val="2"/>
                <w:sz w:val="21"/>
                <w:szCs w:val="21"/>
                <w:highlight w:val="none"/>
                <w:lang w:val="en-US" w:eastAsia="zh-CN" w:bidi="ar"/>
              </w:rPr>
              <w:t xml:space="preserve">考核单位（签字）：                                        </w:t>
            </w:r>
          </w:p>
        </w:tc>
        <w:tc>
          <w:tcPr>
            <w:tcW w:w="1512" w:type="pct"/>
            <w:tcBorders>
              <w:top w:val="single" w:color="auto" w:sz="4" w:space="0"/>
              <w:left w:val="single" w:color="auto" w:sz="4" w:space="0"/>
              <w:bottom w:val="single" w:color="auto" w:sz="4" w:space="0"/>
              <w:right w:val="single" w:color="auto" w:sz="4" w:space="0"/>
            </w:tcBorders>
            <w:shd w:val="clear" w:color="auto" w:fill="auto"/>
            <w:vAlign w:val="center"/>
          </w:tcPr>
          <w:p w14:paraId="05CA5494">
            <w:pPr>
              <w:keepNext w:val="0"/>
              <w:keepLines w:val="0"/>
              <w:suppressLineNumbers w:val="0"/>
              <w:autoSpaceDE w:val="0"/>
              <w:autoSpaceDN w:val="0"/>
              <w:adjustRightInd w:val="0"/>
              <w:spacing w:before="0" w:beforeAutospacing="0" w:after="0" w:afterAutospacing="0" w:line="276" w:lineRule="auto"/>
              <w:ind w:left="357" w:leftChars="170" w:right="-23" w:rightChars="-11"/>
              <w:jc w:val="center"/>
              <w:rPr>
                <w:rFonts w:hint="eastAsia" w:ascii="宋体" w:hAnsi="宋体" w:eastAsia="宋体" w:cs="宋体"/>
                <w:b/>
                <w:bCs/>
                <w:color w:val="auto"/>
                <w:kern w:val="0"/>
                <w:sz w:val="52"/>
                <w:szCs w:val="52"/>
                <w:highlight w:val="none"/>
                <w:lang w:val="zh-CN"/>
              </w:rPr>
            </w:pPr>
          </w:p>
        </w:tc>
        <w:tc>
          <w:tcPr>
            <w:tcW w:w="1065" w:type="pct"/>
            <w:tcBorders>
              <w:top w:val="single" w:color="auto" w:sz="4" w:space="0"/>
              <w:left w:val="single" w:color="auto" w:sz="4" w:space="0"/>
              <w:bottom w:val="single" w:color="auto" w:sz="4" w:space="0"/>
              <w:right w:val="single" w:color="auto" w:sz="4" w:space="0"/>
            </w:tcBorders>
            <w:shd w:val="clear" w:color="auto" w:fill="auto"/>
            <w:vAlign w:val="center"/>
          </w:tcPr>
          <w:p w14:paraId="119B5AB5">
            <w:pPr>
              <w:keepNext w:val="0"/>
              <w:keepLines w:val="0"/>
              <w:suppressLineNumbers w:val="0"/>
              <w:tabs>
                <w:tab w:val="left" w:pos="297"/>
                <w:tab w:val="center" w:pos="1297"/>
              </w:tabs>
              <w:autoSpaceDE w:val="0"/>
              <w:autoSpaceDN w:val="0"/>
              <w:adjustRightInd w:val="0"/>
              <w:spacing w:before="0" w:beforeAutospacing="0" w:after="0" w:afterAutospacing="0" w:line="276" w:lineRule="auto"/>
              <w:ind w:left="0" w:leftChars="0" w:right="-23" w:rightChars="-11"/>
              <w:jc w:val="left"/>
              <w:rPr>
                <w:rFonts w:hint="eastAsia" w:ascii="宋体" w:hAnsi="宋体" w:eastAsia="宋体" w:cs="宋体"/>
                <w:b/>
                <w:bCs/>
                <w:color w:val="auto"/>
                <w:kern w:val="0"/>
                <w:sz w:val="52"/>
                <w:szCs w:val="52"/>
                <w:highlight w:val="none"/>
                <w:lang w:val="zh-CN"/>
              </w:rPr>
            </w:pPr>
            <w:r>
              <w:rPr>
                <w:rFonts w:hint="eastAsia" w:ascii="宋体" w:hAnsi="宋体" w:eastAsia="宋体" w:cs="宋体"/>
                <w:b w:val="0"/>
                <w:bCs/>
                <w:color w:val="auto"/>
                <w:kern w:val="2"/>
                <w:sz w:val="21"/>
                <w:szCs w:val="21"/>
                <w:highlight w:val="none"/>
                <w:lang w:val="en-US" w:eastAsia="zh-CN" w:bidi="ar"/>
              </w:rPr>
              <w:t>被考核单位（签章</w:t>
            </w:r>
            <w:r>
              <w:rPr>
                <w:rFonts w:hint="default" w:ascii="方正小标宋简体" w:hAnsi="方正小标宋简体" w:eastAsia="方正小标宋简体" w:cs="方正小标宋简体"/>
                <w:b w:val="0"/>
                <w:bCs/>
                <w:color w:val="auto"/>
                <w:kern w:val="2"/>
                <w:sz w:val="22"/>
                <w:szCs w:val="22"/>
                <w:highlight w:val="none"/>
                <w:lang w:val="en-US" w:eastAsia="zh-CN" w:bidi="ar"/>
              </w:rPr>
              <w:t>）</w:t>
            </w:r>
          </w:p>
        </w:tc>
        <w:tc>
          <w:tcPr>
            <w:tcW w:w="1511" w:type="pct"/>
            <w:tcBorders>
              <w:top w:val="single" w:color="auto" w:sz="4" w:space="0"/>
              <w:left w:val="single" w:color="auto" w:sz="4" w:space="0"/>
              <w:bottom w:val="single" w:color="auto" w:sz="4" w:space="0"/>
              <w:right w:val="single" w:color="auto" w:sz="4" w:space="0"/>
            </w:tcBorders>
            <w:shd w:val="clear" w:color="auto" w:fill="auto"/>
            <w:vAlign w:val="center"/>
          </w:tcPr>
          <w:p w14:paraId="64F3CD75">
            <w:pPr>
              <w:keepNext w:val="0"/>
              <w:keepLines w:val="0"/>
              <w:suppressLineNumbers w:val="0"/>
              <w:autoSpaceDE w:val="0"/>
              <w:autoSpaceDN w:val="0"/>
              <w:adjustRightInd w:val="0"/>
              <w:spacing w:before="0" w:beforeAutospacing="0" w:after="0" w:afterAutospacing="0" w:line="276" w:lineRule="auto"/>
              <w:ind w:left="357" w:leftChars="170" w:right="-23" w:rightChars="-11"/>
              <w:jc w:val="center"/>
              <w:rPr>
                <w:rFonts w:hint="eastAsia" w:ascii="宋体" w:hAnsi="宋体" w:eastAsia="宋体" w:cs="宋体"/>
                <w:b/>
                <w:bCs/>
                <w:color w:val="auto"/>
                <w:kern w:val="0"/>
                <w:sz w:val="52"/>
                <w:szCs w:val="52"/>
                <w:highlight w:val="none"/>
                <w:lang w:val="zh-CN"/>
              </w:rPr>
            </w:pPr>
          </w:p>
        </w:tc>
      </w:tr>
    </w:tbl>
    <w:p w14:paraId="751A6285">
      <w:pPr>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color w:val="auto"/>
          <w:kern w:val="2"/>
          <w:sz w:val="21"/>
          <w:szCs w:val="21"/>
          <w:highlight w:val="none"/>
          <w:lang w:val="en-US" w:eastAsia="zh-CN" w:bidi="ar"/>
        </w:rPr>
        <w:br w:type="page"/>
      </w:r>
      <w:r>
        <w:rPr>
          <w:rFonts w:hint="eastAsia" w:ascii="宋体" w:hAnsi="宋体" w:eastAsia="宋体" w:cs="宋体"/>
          <w:b/>
          <w:bCs/>
          <w:color w:val="auto"/>
          <w:kern w:val="2"/>
          <w:sz w:val="21"/>
          <w:szCs w:val="21"/>
          <w:highlight w:val="none"/>
          <w:lang w:val="en-US" w:eastAsia="zh-CN" w:bidi="ar"/>
        </w:rPr>
        <w:t>附件3：投入本项目人员表</w:t>
      </w:r>
    </w:p>
    <w:p w14:paraId="31CDF20C">
      <w:pPr>
        <w:spacing w:before="240" w:beforeLines="100" w:line="360" w:lineRule="auto"/>
        <w:jc w:val="center"/>
        <w:outlineLvl w:val="3"/>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投入本项目人员表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689"/>
        <w:gridCol w:w="1473"/>
        <w:gridCol w:w="1558"/>
        <w:gridCol w:w="947"/>
      </w:tblGrid>
      <w:tr w14:paraId="2D37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vAlign w:val="center"/>
          </w:tcPr>
          <w:p w14:paraId="7A5792F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69" w:type="dxa"/>
            <w:vAlign w:val="center"/>
          </w:tcPr>
          <w:p w14:paraId="35CE0DE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677" w:type="dxa"/>
            <w:vAlign w:val="center"/>
          </w:tcPr>
          <w:p w14:paraId="5C467A6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677" w:type="dxa"/>
            <w:vAlign w:val="center"/>
          </w:tcPr>
          <w:p w14:paraId="00DBEF1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677" w:type="dxa"/>
            <w:vAlign w:val="center"/>
          </w:tcPr>
          <w:p w14:paraId="17D73DA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689" w:type="dxa"/>
            <w:vAlign w:val="center"/>
          </w:tcPr>
          <w:p w14:paraId="74EEA63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资格/职称证书</w:t>
            </w:r>
          </w:p>
        </w:tc>
        <w:tc>
          <w:tcPr>
            <w:tcW w:w="1473" w:type="dxa"/>
            <w:vAlign w:val="center"/>
          </w:tcPr>
          <w:p w14:paraId="1D31E3E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本项目担任职务</w:t>
            </w:r>
          </w:p>
        </w:tc>
        <w:tc>
          <w:tcPr>
            <w:tcW w:w="1558" w:type="dxa"/>
            <w:vAlign w:val="center"/>
          </w:tcPr>
          <w:p w14:paraId="0940A60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从事本行业年限</w:t>
            </w:r>
          </w:p>
        </w:tc>
        <w:tc>
          <w:tcPr>
            <w:tcW w:w="947" w:type="dxa"/>
            <w:vAlign w:val="center"/>
          </w:tcPr>
          <w:p w14:paraId="749CBEA0">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备注</w:t>
            </w:r>
          </w:p>
        </w:tc>
      </w:tr>
      <w:tr w14:paraId="4AB3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vAlign w:val="center"/>
          </w:tcPr>
          <w:p w14:paraId="1D0A6BA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60E665F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1DCA59F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0001AE0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633C2EB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89" w:type="dxa"/>
            <w:vAlign w:val="center"/>
          </w:tcPr>
          <w:p w14:paraId="5CB9A6B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vAlign w:val="center"/>
          </w:tcPr>
          <w:p w14:paraId="4107893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58" w:type="dxa"/>
            <w:vAlign w:val="center"/>
          </w:tcPr>
          <w:p w14:paraId="4F86714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026AF34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04235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48" w:type="dxa"/>
            <w:vAlign w:val="center"/>
          </w:tcPr>
          <w:p w14:paraId="5542520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235255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7459FC4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3DDD764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7EC3EB7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89" w:type="dxa"/>
            <w:vAlign w:val="center"/>
          </w:tcPr>
          <w:p w14:paraId="21408BD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vAlign w:val="center"/>
          </w:tcPr>
          <w:p w14:paraId="13E8327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58" w:type="dxa"/>
            <w:vAlign w:val="center"/>
          </w:tcPr>
          <w:p w14:paraId="78972A4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195E258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697C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14:paraId="7D2B172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0FBCEBA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575456B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32902D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4E632D6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89" w:type="dxa"/>
            <w:vAlign w:val="center"/>
          </w:tcPr>
          <w:p w14:paraId="72E789B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vAlign w:val="center"/>
          </w:tcPr>
          <w:p w14:paraId="79DDCBB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58" w:type="dxa"/>
            <w:vAlign w:val="center"/>
          </w:tcPr>
          <w:p w14:paraId="68AC8F9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5CD4A78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35EB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14:paraId="6A0D838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75F0506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1DF62BC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5FAB547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1E25BFA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89" w:type="dxa"/>
            <w:vAlign w:val="center"/>
          </w:tcPr>
          <w:p w14:paraId="14B284C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vAlign w:val="center"/>
          </w:tcPr>
          <w:p w14:paraId="2DE7E74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58" w:type="dxa"/>
            <w:vAlign w:val="center"/>
          </w:tcPr>
          <w:p w14:paraId="5BB7F07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233027F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6D6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14:paraId="5147227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186DC8B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7F2C37A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727E6C2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54E1AE6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89" w:type="dxa"/>
            <w:vAlign w:val="center"/>
          </w:tcPr>
          <w:p w14:paraId="4DEEC88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vAlign w:val="center"/>
          </w:tcPr>
          <w:p w14:paraId="1D135D5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58" w:type="dxa"/>
            <w:vAlign w:val="center"/>
          </w:tcPr>
          <w:p w14:paraId="1AFECFA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4C4F146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59A7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14:paraId="4C55FC5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4044A74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4F66282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3510781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203C870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89" w:type="dxa"/>
            <w:vAlign w:val="center"/>
          </w:tcPr>
          <w:p w14:paraId="232F04B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vAlign w:val="center"/>
          </w:tcPr>
          <w:p w14:paraId="4AC5C3C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58" w:type="dxa"/>
            <w:vAlign w:val="center"/>
          </w:tcPr>
          <w:p w14:paraId="598D70B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056361A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634F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14:paraId="2095A9C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67C923F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3374094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4314536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320C5C7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89" w:type="dxa"/>
            <w:vAlign w:val="center"/>
          </w:tcPr>
          <w:p w14:paraId="2F35276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vAlign w:val="center"/>
          </w:tcPr>
          <w:p w14:paraId="5E202AF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58" w:type="dxa"/>
            <w:vAlign w:val="center"/>
          </w:tcPr>
          <w:p w14:paraId="0A9CB12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0A91F69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1321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48" w:type="dxa"/>
            <w:vAlign w:val="center"/>
          </w:tcPr>
          <w:p w14:paraId="139A61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17F8288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2548529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0C244F8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4A81873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89" w:type="dxa"/>
            <w:vAlign w:val="center"/>
          </w:tcPr>
          <w:p w14:paraId="2D95B97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vAlign w:val="center"/>
          </w:tcPr>
          <w:p w14:paraId="04B642C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58" w:type="dxa"/>
            <w:vAlign w:val="center"/>
          </w:tcPr>
          <w:p w14:paraId="3204B4A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4B6D041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D55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48" w:type="dxa"/>
            <w:vAlign w:val="center"/>
          </w:tcPr>
          <w:p w14:paraId="4172E63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5E4C28A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031FB96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15E321E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263379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89" w:type="dxa"/>
            <w:vAlign w:val="center"/>
          </w:tcPr>
          <w:p w14:paraId="147A407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vAlign w:val="center"/>
          </w:tcPr>
          <w:p w14:paraId="4756DB9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58" w:type="dxa"/>
            <w:vAlign w:val="center"/>
          </w:tcPr>
          <w:p w14:paraId="3D41C5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4519958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6F3E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8" w:type="dxa"/>
            <w:vAlign w:val="center"/>
          </w:tcPr>
          <w:p w14:paraId="2BC4AB9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757E21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1440E47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5F73314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4B566C8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89" w:type="dxa"/>
            <w:vAlign w:val="center"/>
          </w:tcPr>
          <w:p w14:paraId="2A4470D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vAlign w:val="center"/>
          </w:tcPr>
          <w:p w14:paraId="0CA28D9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58" w:type="dxa"/>
            <w:vAlign w:val="center"/>
          </w:tcPr>
          <w:p w14:paraId="3302331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0B841D6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036B1FBF">
      <w:pPr>
        <w:spacing w:line="360" w:lineRule="auto"/>
        <w:rPr>
          <w:rFonts w:hint="eastAsia" w:ascii="宋体" w:hAnsi="宋体" w:eastAsia="宋体" w:cs="宋体"/>
          <w:color w:val="auto"/>
          <w:sz w:val="21"/>
          <w:szCs w:val="21"/>
          <w:highlight w:val="none"/>
        </w:rPr>
      </w:pPr>
    </w:p>
    <w:p w14:paraId="70DE06AC">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b/>
          <w:bCs/>
          <w:color w:val="auto"/>
          <w:sz w:val="21"/>
          <w:szCs w:val="21"/>
          <w:highlight w:val="none"/>
        </w:rPr>
        <w:t>注：以上人员须提供</w:t>
      </w:r>
      <w:r>
        <w:rPr>
          <w:rFonts w:hint="eastAsia" w:ascii="宋体" w:hAnsi="宋体" w:eastAsia="宋体" w:cs="宋体"/>
          <w:b/>
          <w:bCs/>
          <w:color w:val="auto"/>
          <w:sz w:val="21"/>
          <w:szCs w:val="21"/>
          <w:highlight w:val="none"/>
          <w:lang w:val="en-US" w:eastAsia="zh-CN"/>
        </w:rPr>
        <w:t>以下证明材料扫描件加盖投标人公章：</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1）人员</w:t>
      </w:r>
      <w:r>
        <w:rPr>
          <w:rFonts w:hint="eastAsia" w:ascii="宋体" w:hAnsi="宋体" w:eastAsia="宋体" w:cs="宋体"/>
          <w:b/>
          <w:bCs/>
          <w:color w:val="auto"/>
          <w:sz w:val="21"/>
          <w:szCs w:val="21"/>
          <w:highlight w:val="none"/>
        </w:rPr>
        <w:t>身份证</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造价工程师职业资格证书；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造价工程师</w:t>
      </w:r>
      <w:r>
        <w:rPr>
          <w:rFonts w:hint="eastAsia" w:ascii="宋体" w:hAnsi="宋体" w:eastAsia="宋体" w:cs="宋体"/>
          <w:b/>
          <w:bCs/>
          <w:color w:val="auto"/>
          <w:sz w:val="21"/>
          <w:szCs w:val="21"/>
          <w:highlight w:val="none"/>
        </w:rPr>
        <w:t>注册证书（或在“全国建筑市场公共服务平台”上的执业注册信息截图）</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职称证书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Cs w:val="21"/>
          <w:highlight w:val="none"/>
        </w:rPr>
        <w:t>人力资源和社会保障部门（或税务部门）出具</w:t>
      </w:r>
      <w:r>
        <w:rPr>
          <w:rFonts w:hint="eastAsia" w:ascii="宋体" w:hAnsi="宋体" w:eastAsia="宋体" w:cs="宋体"/>
          <w:b/>
          <w:bCs/>
          <w:color w:val="auto"/>
          <w:sz w:val="21"/>
          <w:szCs w:val="21"/>
          <w:highlight w:val="none"/>
        </w:rPr>
        <w:t>的202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月至202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月</w:t>
      </w:r>
      <w:r>
        <w:rPr>
          <w:rFonts w:hint="eastAsia" w:ascii="宋体" w:hAnsi="宋体" w:eastAsia="宋体" w:cs="宋体"/>
          <w:b/>
          <w:bCs/>
          <w:color w:val="auto"/>
          <w:szCs w:val="21"/>
          <w:highlight w:val="none"/>
        </w:rPr>
        <w:t>的投标人为其缴纳的社保证明</w:t>
      </w:r>
      <w:r>
        <w:rPr>
          <w:rFonts w:hint="eastAsia" w:ascii="宋体" w:hAnsi="宋体" w:eastAsia="宋体" w:cs="宋体"/>
          <w:b/>
          <w:bCs/>
          <w:color w:val="auto"/>
          <w:szCs w:val="21"/>
          <w:highlight w:val="none"/>
          <w:lang w:val="en-US" w:eastAsia="zh-CN"/>
        </w:rPr>
        <w:t>材料。</w:t>
      </w:r>
    </w:p>
    <w:p w14:paraId="6F99A9A3">
      <w:pPr>
        <w:autoSpaceDE w:val="0"/>
        <w:autoSpaceDN w:val="0"/>
        <w:adjustRightInd w:val="0"/>
        <w:spacing w:line="360" w:lineRule="auto"/>
        <w:ind w:firstLine="3780" w:firstLineChars="1800"/>
        <w:rPr>
          <w:rFonts w:hint="eastAsia" w:ascii="宋体" w:hAnsi="宋体" w:eastAsia="宋体" w:cs="宋体"/>
          <w:color w:val="auto"/>
          <w:szCs w:val="21"/>
          <w:highlight w:val="none"/>
          <w:lang w:val="zh-CN"/>
        </w:rPr>
      </w:pPr>
    </w:p>
    <w:p w14:paraId="6B52A424">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w:t>
      </w:r>
    </w:p>
    <w:p w14:paraId="4FF79BC6">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0E49C284">
      <w:pPr>
        <w:keepNext w:val="0"/>
        <w:keepLines w:val="0"/>
        <w:widowControl/>
        <w:suppressLineNumbers w:val="0"/>
        <w:autoSpaceDE w:val="0"/>
        <w:autoSpaceDN/>
        <w:spacing w:before="0" w:beforeAutospacing="0" w:after="0" w:afterAutospacing="0"/>
        <w:ind w:left="0" w:right="0"/>
        <w:jc w:val="both"/>
        <w:rPr>
          <w:rFonts w:hint="eastAsia" w:ascii="宋体" w:hAnsi="宋体" w:eastAsia="宋体" w:cs="宋体"/>
          <w:b/>
          <w:bCs/>
          <w:color w:val="auto"/>
          <w:kern w:val="2"/>
          <w:sz w:val="21"/>
          <w:szCs w:val="21"/>
          <w:highlight w:val="none"/>
        </w:rPr>
      </w:pPr>
    </w:p>
    <w:p w14:paraId="314410A5">
      <w:pPr>
        <w:keepNext w:val="0"/>
        <w:keepLines w:val="0"/>
        <w:widowControl/>
        <w:suppressLineNumbers w:val="0"/>
        <w:autoSpaceDE w:val="0"/>
        <w:autoSpaceDN/>
        <w:spacing w:before="0" w:beforeAutospacing="0" w:after="0" w:afterAutospacing="0"/>
        <w:ind w:left="0" w:right="0"/>
        <w:jc w:val="both"/>
        <w:rPr>
          <w:rFonts w:hint="eastAsia" w:ascii="宋体" w:hAnsi="宋体" w:eastAsia="宋体" w:cs="宋体"/>
          <w:b/>
          <w:bCs/>
          <w:color w:val="auto"/>
          <w:kern w:val="2"/>
          <w:sz w:val="21"/>
          <w:szCs w:val="21"/>
          <w:highlight w:val="none"/>
        </w:rPr>
      </w:pPr>
    </w:p>
    <w:p w14:paraId="40BDD472">
      <w:pPr>
        <w:keepNext w:val="0"/>
        <w:keepLines w:val="0"/>
        <w:widowControl/>
        <w:suppressLineNumbers w:val="0"/>
        <w:autoSpaceDE/>
        <w:autoSpaceDN/>
        <w:spacing w:before="0" w:beforeAutospacing="0" w:after="0" w:afterAutospacing="0"/>
        <w:ind w:left="0" w:right="0"/>
        <w:jc w:val="left"/>
        <w:rPr>
          <w:rFonts w:hint="eastAsia" w:ascii="宋体" w:hAnsi="宋体" w:eastAsia="宋体" w:cs="宋体"/>
          <w:b/>
          <w:bCs w:val="0"/>
          <w:color w:val="auto"/>
          <w:kern w:val="2"/>
          <w:sz w:val="21"/>
          <w:szCs w:val="21"/>
          <w:highlight w:val="none"/>
          <w:lang w:val="en-US" w:eastAsia="zh-CN" w:bidi="ar"/>
        </w:rPr>
      </w:pPr>
      <w:r>
        <w:rPr>
          <w:rFonts w:hint="eastAsia" w:ascii="宋体" w:hAnsi="宋体" w:eastAsia="宋体" w:cs="宋体"/>
          <w:b/>
          <w:bCs w:val="0"/>
          <w:color w:val="auto"/>
          <w:kern w:val="2"/>
          <w:sz w:val="21"/>
          <w:szCs w:val="21"/>
          <w:highlight w:val="none"/>
          <w:lang w:val="en-US" w:eastAsia="zh-CN" w:bidi="ar"/>
        </w:rPr>
        <w:br w:type="page"/>
      </w:r>
    </w:p>
    <w:p w14:paraId="179EFC88">
      <w:pPr>
        <w:keepNext w:val="0"/>
        <w:keepLines w:val="0"/>
        <w:widowControl/>
        <w:suppressLineNumbers w:val="0"/>
        <w:autoSpaceDE w:val="0"/>
        <w:autoSpaceDN/>
        <w:spacing w:before="0" w:beforeAutospacing="0" w:after="0" w:afterAutospacing="0"/>
        <w:ind w:left="0" w:right="0"/>
        <w:jc w:val="both"/>
        <w:rPr>
          <w:rFonts w:hint="eastAsia" w:ascii="宋体" w:hAnsi="宋体" w:eastAsia="宋体" w:cs="宋体"/>
          <w:b/>
          <w:bCs w:val="0"/>
          <w:color w:val="auto"/>
          <w:kern w:val="2"/>
          <w:sz w:val="30"/>
          <w:szCs w:val="30"/>
          <w:highlight w:val="none"/>
        </w:rPr>
      </w:pPr>
      <w:r>
        <w:rPr>
          <w:rFonts w:hint="eastAsia" w:ascii="宋体" w:hAnsi="宋体" w:eastAsia="宋体" w:cs="宋体"/>
          <w:b/>
          <w:bCs w:val="0"/>
          <w:color w:val="auto"/>
          <w:kern w:val="2"/>
          <w:sz w:val="21"/>
          <w:szCs w:val="21"/>
          <w:highlight w:val="none"/>
          <w:lang w:val="en-US" w:eastAsia="zh-CN" w:bidi="ar"/>
        </w:rPr>
        <w:t>附件4：廉洁协议书</w:t>
      </w:r>
    </w:p>
    <w:p w14:paraId="4C97E61B">
      <w:pPr>
        <w:keepNext w:val="0"/>
        <w:keepLines w:val="0"/>
        <w:widowControl w:val="0"/>
        <w:suppressLineNumbers w:val="0"/>
        <w:spacing w:before="0" w:beforeAutospacing="0" w:after="0" w:afterAutospacing="0" w:line="360" w:lineRule="auto"/>
        <w:ind w:left="0" w:right="31" w:rightChars="15"/>
        <w:contextualSpacing/>
        <w:jc w:val="center"/>
        <w:outlineLvl w:val="1"/>
        <w:rPr>
          <w:rFonts w:hint="eastAsia" w:ascii="宋体" w:hAnsi="宋体" w:eastAsia="宋体" w:cs="宋体"/>
          <w:b/>
          <w:bCs w:val="0"/>
          <w:color w:val="auto"/>
          <w:kern w:val="2"/>
          <w:sz w:val="28"/>
          <w:szCs w:val="28"/>
          <w:highlight w:val="none"/>
        </w:rPr>
      </w:pPr>
      <w:bookmarkStart w:id="412" w:name="_Toc20563"/>
      <w:bookmarkEnd w:id="412"/>
      <w:bookmarkStart w:id="413" w:name="_Toc45110891"/>
      <w:bookmarkEnd w:id="413"/>
      <w:bookmarkStart w:id="414" w:name="_Toc27037"/>
      <w:bookmarkEnd w:id="414"/>
      <w:bookmarkStart w:id="415" w:name="_Toc76971796"/>
      <w:bookmarkEnd w:id="415"/>
      <w:bookmarkStart w:id="416" w:name="_Toc12324"/>
      <w:bookmarkStart w:id="417" w:name="_Toc45110767"/>
      <w:r>
        <w:rPr>
          <w:rFonts w:hint="eastAsia" w:ascii="宋体" w:hAnsi="宋体" w:eastAsia="宋体" w:cs="宋体"/>
          <w:b/>
          <w:bCs w:val="0"/>
          <w:color w:val="auto"/>
          <w:kern w:val="2"/>
          <w:sz w:val="28"/>
          <w:szCs w:val="28"/>
          <w:highlight w:val="none"/>
          <w:lang w:val="en-US" w:eastAsia="zh-CN" w:bidi="ar"/>
        </w:rPr>
        <w:t>廉洁协议书</w:t>
      </w:r>
      <w:bookmarkEnd w:id="416"/>
      <w:bookmarkEnd w:id="417"/>
    </w:p>
    <w:p w14:paraId="18740BA0">
      <w:pPr>
        <w:keepNext w:val="0"/>
        <w:keepLines w:val="0"/>
        <w:widowControl w:val="0"/>
        <w:suppressLineNumbers w:val="0"/>
        <w:spacing w:before="0" w:beforeAutospacing="0" w:after="0" w:afterAutospacing="0" w:line="360" w:lineRule="auto"/>
        <w:ind w:left="0" w:right="0"/>
        <w:contextualSpacing/>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项目名称：东莞市水务集团造价咨询服务单位库(2025-2026)采购项目（招标编号：            ）</w:t>
      </w:r>
    </w:p>
    <w:p w14:paraId="00048291">
      <w:pPr>
        <w:keepNext w:val="0"/>
        <w:keepLines w:val="0"/>
        <w:widowControl w:val="0"/>
        <w:suppressLineNumbers w:val="0"/>
        <w:spacing w:before="0" w:beforeAutospacing="0" w:after="0" w:afterAutospacing="0" w:line="360" w:lineRule="auto"/>
        <w:ind w:left="0" w:right="0"/>
        <w:contextualSpacing/>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甲方（业主单位）：</w:t>
      </w:r>
    </w:p>
    <w:p w14:paraId="354505D6">
      <w:pPr>
        <w:keepNext w:val="0"/>
        <w:keepLines w:val="0"/>
        <w:widowControl w:val="0"/>
        <w:suppressLineNumbers w:val="0"/>
        <w:spacing w:before="0" w:beforeAutospacing="0" w:after="0" w:afterAutospacing="0" w:line="360" w:lineRule="auto"/>
        <w:ind w:left="0" w:right="0"/>
        <w:contextualSpacing/>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乙方：</w:t>
      </w:r>
    </w:p>
    <w:p w14:paraId="4634571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1286CB36">
      <w:pPr>
        <w:keepNext w:val="0"/>
        <w:keepLines w:val="0"/>
        <w:widowControl w:val="0"/>
        <w:suppressLineNumbers w:val="0"/>
        <w:spacing w:before="0" w:beforeAutospacing="0" w:after="0" w:afterAutospacing="0" w:line="360" w:lineRule="auto"/>
        <w:ind w:left="0" w:right="0" w:firstLine="422" w:firstLineChars="200"/>
        <w:jc w:val="both"/>
        <w:outlineLvl w:val="3"/>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第一条  甲乙双方的权利和义务</w:t>
      </w:r>
    </w:p>
    <w:p w14:paraId="1E21322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（一）严格遵守党和国家有关法律法规等有关廉洁从业规定。</w:t>
      </w:r>
    </w:p>
    <w:p w14:paraId="571F273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（二）严格执行本项目的合同文件，自觉按合同办事。</w:t>
      </w:r>
    </w:p>
    <w:p w14:paraId="04B8A30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（三）双方的业务活动坚持公开、公正、诚信、透明的原则（除法律认定的商业秘密和合同文件另有规定之外）不得损害国家和集体利益，违反工程建设管理及其他法律法规规章制度。</w:t>
      </w:r>
    </w:p>
    <w:p w14:paraId="5219BB4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（四）建立健全廉洁制度，开展廉洁教育，设立廉洁监督公示牌，公布举报电话，监督并认真查处违法违纪行为。</w:t>
      </w:r>
    </w:p>
    <w:p w14:paraId="4AAF30D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（五）发现对方在业务活动中有违反廉洁规定的行为，有及时提醒对方纠正的权利和义务。</w:t>
      </w:r>
    </w:p>
    <w:p w14:paraId="30C85C1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（六）发现对方严重违反本协议义务条款的行为，有向其上级有关部门举报、建议给予处理并要求告知处理结果的权利。</w:t>
      </w:r>
    </w:p>
    <w:p w14:paraId="1E86206D">
      <w:pPr>
        <w:keepNext w:val="0"/>
        <w:keepLines w:val="0"/>
        <w:widowControl w:val="0"/>
        <w:suppressLineNumbers w:val="0"/>
        <w:spacing w:before="0" w:beforeAutospacing="0" w:after="0" w:afterAutospacing="0" w:line="360" w:lineRule="auto"/>
        <w:ind w:left="0" w:right="0" w:firstLine="422" w:firstLineChars="200"/>
        <w:jc w:val="both"/>
        <w:outlineLvl w:val="3"/>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第二条  甲方的义务</w:t>
      </w:r>
    </w:p>
    <w:p w14:paraId="18772A9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（一）甲方及其工作人员不得索要或接受乙方的礼金、有价证券和贵重物品，不得在乙方报销任何应由甲方或个人支付的费用。</w:t>
      </w:r>
    </w:p>
    <w:p w14:paraId="3A6ED04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（二）甲方工作人员不得参加乙方安排的高消费宴请和娱乐活动；不得接受乙方提供的通讯工具、交通工具和高档办公用品。</w:t>
      </w:r>
    </w:p>
    <w:p w14:paraId="5C9AA79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（三）甲方及其工作人员不得要求或者接受乙方为其住房装修、婚丧嫁娶活动、家属或亲友的工作安排以及出国出境、旅游等提供方便。</w:t>
      </w:r>
    </w:p>
    <w:p w14:paraId="361B45F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（四）甲方工作人员不得向乙方介绍其家属或者亲友（包括家属或亲友开办的公司企业）从事于本项目涉及的经济业务活动。</w:t>
      </w:r>
    </w:p>
    <w:p w14:paraId="3DC4949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（五）甲方及其工作人员不得以任何理由向乙方推荐分包单位，不得要求乙方购买合同规定外的材料和设备。</w:t>
      </w:r>
    </w:p>
    <w:p w14:paraId="70E53DA3">
      <w:pPr>
        <w:keepNext w:val="0"/>
        <w:keepLines w:val="0"/>
        <w:widowControl w:val="0"/>
        <w:suppressLineNumbers w:val="0"/>
        <w:spacing w:before="0" w:beforeAutospacing="0" w:after="0" w:afterAutospacing="0" w:line="360" w:lineRule="auto"/>
        <w:ind w:left="0" w:right="0" w:firstLine="420" w:firstLineChars="200"/>
        <w:jc w:val="both"/>
        <w:outlineLvl w:val="4"/>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（六）甲方及其工作人员不得进行违反廉洁规定的其他活动。</w:t>
      </w:r>
    </w:p>
    <w:p w14:paraId="5617DE1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（七）甲方应对甲方工作人员进行廉洁监督管理，如甲方工作人员违反本协议第一、第二条，甲方应依据有关法律法规、党纪规定对其进行处理；涉嫌犯罪的，甲方应将其移交司法机关追究刑事责任。</w:t>
      </w:r>
    </w:p>
    <w:p w14:paraId="46068743">
      <w:pPr>
        <w:keepNext w:val="0"/>
        <w:keepLines w:val="0"/>
        <w:widowControl w:val="0"/>
        <w:suppressLineNumbers w:val="0"/>
        <w:spacing w:before="0" w:beforeAutospacing="0" w:after="0" w:afterAutospacing="0" w:line="360" w:lineRule="auto"/>
        <w:ind w:left="0" w:right="0" w:firstLine="422" w:firstLineChars="200"/>
        <w:jc w:val="both"/>
        <w:outlineLvl w:val="3"/>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第三条  乙方义务</w:t>
      </w:r>
    </w:p>
    <w:p w14:paraId="1164586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（一）乙方不得以任何理由向甲方及其工作人员馈赠礼金、有价证券、贵重礼品，或报销应由甲方单位或个人支付的任何费用。</w:t>
      </w:r>
    </w:p>
    <w:p w14:paraId="0B979B3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（二）乙方及其工作人员不得以考察、参观、洽谈业务、签订合同等的借口邀请甲方及其工作人员参加高消费的宴请、娱乐和健身等活动。</w:t>
      </w:r>
    </w:p>
    <w:p w14:paraId="43FFC67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（三）乙方不得为甲方单位和个人购置或提供通讯工具、交通工具和高档办公用品等。</w:t>
      </w:r>
    </w:p>
    <w:p w14:paraId="095659B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（四）乙方及其工作人员不得为甲方工作人员购买、装修、维修私人住房、汽车等。</w:t>
      </w:r>
    </w:p>
    <w:p w14:paraId="2C9FA74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（五）乙方及其工作人员不得为甲方工作人员的婚丧嫁娶、家属或亲友的工作安排，及出国出境提供方便以及报销任何私人消费的费用。</w:t>
      </w:r>
    </w:p>
    <w:p w14:paraId="772D316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（六）乙方及其工作人员不得进行影响甲方及其工作人员公正执行合同和履行职务的其他活动。</w:t>
      </w:r>
    </w:p>
    <w:p w14:paraId="457F1EA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003CA838">
      <w:pPr>
        <w:keepNext w:val="0"/>
        <w:keepLines w:val="0"/>
        <w:widowControl w:val="0"/>
        <w:suppressLineNumbers w:val="0"/>
        <w:spacing w:before="0" w:beforeAutospacing="0" w:after="0" w:afterAutospacing="0" w:line="360" w:lineRule="auto"/>
        <w:ind w:left="0" w:right="0" w:firstLine="422" w:firstLineChars="200"/>
        <w:jc w:val="both"/>
        <w:outlineLvl w:val="3"/>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第四条  违约责任</w:t>
      </w:r>
    </w:p>
    <w:p w14:paraId="042CB1D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（一）甲方违反本协议第一、第二条给乙方单位造成经济损失的，应予以赔偿。</w:t>
      </w:r>
    </w:p>
    <w:p w14:paraId="2AB0B93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（二）乙方违反本协议第一、第三条给甲方单位造成经济损失的，应予以赔偿。</w:t>
      </w:r>
    </w:p>
    <w:p w14:paraId="7F9B1FD5">
      <w:pPr>
        <w:keepNext w:val="0"/>
        <w:keepLines w:val="0"/>
        <w:widowControl w:val="0"/>
        <w:suppressLineNumbers w:val="0"/>
        <w:spacing w:before="0" w:beforeAutospacing="0" w:after="0" w:afterAutospacing="0" w:line="360" w:lineRule="auto"/>
        <w:ind w:left="0" w:right="0" w:firstLine="422" w:firstLineChars="200"/>
        <w:jc w:val="both"/>
        <w:outlineLvl w:val="3"/>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第五条  监督检查</w:t>
      </w:r>
    </w:p>
    <w:p w14:paraId="7F06D62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甲乙双方的廉洁从业行为由双方或双方上级单位的纪检、监察部门负责监督，对本协议履行情况进行检查。</w:t>
      </w:r>
    </w:p>
    <w:p w14:paraId="02A9A2A4">
      <w:pPr>
        <w:keepNext w:val="0"/>
        <w:keepLines w:val="0"/>
        <w:widowControl w:val="0"/>
        <w:suppressLineNumbers w:val="0"/>
        <w:spacing w:before="0" w:beforeAutospacing="0" w:after="0" w:afterAutospacing="0" w:line="360" w:lineRule="auto"/>
        <w:ind w:left="0" w:right="0" w:firstLine="422" w:firstLineChars="200"/>
        <w:jc w:val="both"/>
        <w:outlineLvl w:val="3"/>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第六条 举报信访受理</w:t>
      </w:r>
    </w:p>
    <w:p w14:paraId="68323C0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（一）举报受理部门：东莞市水务集团有限公司纪检监察部。</w:t>
      </w:r>
    </w:p>
    <w:p w14:paraId="7CCC2D0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（二）举报电话：（0769）23076092。</w:t>
      </w:r>
    </w:p>
    <w:p w14:paraId="7F06654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（三）举报邮箱：</w:t>
      </w:r>
      <w:r>
        <w:rPr>
          <w:rFonts w:hint="eastAsia" w:ascii="宋体" w:hAnsi="宋体" w:eastAsia="宋体" w:cs="宋体"/>
          <w:bCs/>
          <w:color w:val="auto"/>
          <w:kern w:val="2"/>
          <w:sz w:val="21"/>
          <w:szCs w:val="21"/>
          <w:highlight w:val="none"/>
          <w:u w:val="none"/>
        </w:rPr>
        <w:t>jcsj@dgswjt.cn。</w:t>
      </w:r>
    </w:p>
    <w:p w14:paraId="41DA8F4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（四）信访地址：广东省东莞市东城街道育华路1号。</w:t>
      </w:r>
    </w:p>
    <w:p w14:paraId="368DEEFA">
      <w:pPr>
        <w:keepNext w:val="0"/>
        <w:keepLines w:val="0"/>
        <w:widowControl w:val="0"/>
        <w:suppressLineNumbers w:val="0"/>
        <w:spacing w:before="0" w:beforeAutospacing="0" w:after="0" w:afterAutospacing="0" w:line="360" w:lineRule="auto"/>
        <w:ind w:left="0" w:right="0" w:firstLine="422" w:firstLineChars="200"/>
        <w:jc w:val="both"/>
        <w:outlineLvl w:val="3"/>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第七条 其他</w:t>
      </w:r>
    </w:p>
    <w:p w14:paraId="26DB7D6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本协议有效期为甲乙双方签字并加盖公章之日起至该工程/采购项目竣工验收完毕，质保期/服务期满后止。本协议一式   份，甲、乙双方各执   份，甲、乙双方上级主管部门各执   份。</w:t>
      </w:r>
    </w:p>
    <w:p w14:paraId="50677C7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 xml:space="preserve"> </w:t>
      </w:r>
    </w:p>
    <w:p w14:paraId="7D8781D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 xml:space="preserve"> </w:t>
      </w:r>
    </w:p>
    <w:p w14:paraId="0BABC14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 xml:space="preserve">甲方（盖章）：                     乙方（盖章）： </w:t>
      </w:r>
    </w:p>
    <w:p w14:paraId="7F852F9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 xml:space="preserve"> </w:t>
      </w:r>
    </w:p>
    <w:p w14:paraId="7B38B76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法定代表人：                       法定代表人：</w:t>
      </w:r>
    </w:p>
    <w:p w14:paraId="362CA9E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甲方代表：                         乙方代表：</w:t>
      </w:r>
    </w:p>
    <w:p w14:paraId="7D84611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 xml:space="preserve"> </w:t>
      </w:r>
    </w:p>
    <w:p w14:paraId="4E6D2C6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签订日期：    年  月  日              年  月  日</w:t>
      </w:r>
    </w:p>
    <w:p w14:paraId="0D1645CE">
      <w:pPr>
        <w:autoSpaceDE w:val="0"/>
        <w:autoSpaceDN w:val="0"/>
        <w:adjustRightInd w:val="0"/>
        <w:snapToGrid w:val="0"/>
        <w:spacing w:line="360" w:lineRule="auto"/>
        <w:jc w:val="center"/>
        <w:rPr>
          <w:rFonts w:hint="eastAsia" w:ascii="宋体" w:hAnsi="宋体" w:eastAsia="宋体" w:cs="Times New Roman"/>
          <w:color w:val="auto"/>
          <w:kern w:val="0"/>
          <w:sz w:val="24"/>
          <w:szCs w:val="24"/>
          <w:highlight w:val="none"/>
          <w:lang w:eastAsia="zh-CN"/>
        </w:rPr>
      </w:pPr>
    </w:p>
    <w:bookmarkEnd w:id="405"/>
    <w:p w14:paraId="22D880FD">
      <w:pPr>
        <w:autoSpaceDE w:val="0"/>
        <w:autoSpaceDN w:val="0"/>
        <w:adjustRightInd w:val="0"/>
        <w:snapToGrid/>
        <w:spacing w:line="360" w:lineRule="auto"/>
        <w:jc w:val="left"/>
        <w:outlineLvl w:val="9"/>
        <w:rPr>
          <w:rFonts w:ascii="宋体" w:hAnsi="宋体" w:eastAsia="宋体" w:cs="Times New Roman"/>
          <w:color w:val="auto"/>
          <w:kern w:val="0"/>
          <w:szCs w:val="21"/>
          <w:highlight w:val="none"/>
        </w:rPr>
      </w:pPr>
      <w:bookmarkStart w:id="418" w:name="_Toc11495"/>
      <w:bookmarkStart w:id="419" w:name="_Toc10651"/>
      <w:r>
        <w:rPr>
          <w:rFonts w:hint="eastAsia" w:ascii="宋体" w:hAnsi="宋体" w:eastAsia="宋体" w:cs="宋体"/>
          <w:color w:val="auto"/>
          <w:kern w:val="0"/>
          <w:sz w:val="24"/>
          <w:szCs w:val="21"/>
          <w:highlight w:val="none"/>
        </w:rPr>
        <w:br w:type="page"/>
      </w:r>
      <w:bookmarkEnd w:id="418"/>
      <w:bookmarkEnd w:id="419"/>
    </w:p>
    <w:p w14:paraId="1F00CE7B">
      <w:pPr>
        <w:pageBreakBefore/>
        <w:spacing w:before="120" w:beforeLines="50" w:after="120" w:afterLines="50" w:line="360" w:lineRule="auto"/>
        <w:ind w:firstLine="640"/>
        <w:jc w:val="center"/>
        <w:outlineLvl w:val="1"/>
        <w:rPr>
          <w:rFonts w:ascii="宋体" w:hAnsi="宋体" w:eastAsia="宋体" w:cs="Times New Roman"/>
          <w:b/>
          <w:bCs/>
          <w:color w:val="auto"/>
          <w:sz w:val="32"/>
          <w:szCs w:val="32"/>
          <w:highlight w:val="none"/>
          <w:lang w:val="zh-CN"/>
        </w:rPr>
      </w:pPr>
      <w:bookmarkStart w:id="420" w:name="_Toc195714371"/>
      <w:bookmarkStart w:id="421" w:name="_Toc447044479"/>
      <w:bookmarkStart w:id="422" w:name="_Toc142508360"/>
      <w:bookmarkStart w:id="423" w:name="_Toc512353083"/>
      <w:bookmarkStart w:id="424" w:name="_Toc30025"/>
      <w:bookmarkStart w:id="425" w:name="_Toc25564"/>
      <w:bookmarkStart w:id="426" w:name="_Toc447044603"/>
      <w:bookmarkStart w:id="427" w:name="_Toc24427_WPSOffice_Level1"/>
      <w:bookmarkStart w:id="428" w:name="_Toc2749"/>
      <w:bookmarkStart w:id="429" w:name="_Toc447045090"/>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420"/>
      <w:bookmarkEnd w:id="421"/>
      <w:bookmarkEnd w:id="422"/>
      <w:bookmarkEnd w:id="423"/>
      <w:bookmarkEnd w:id="424"/>
      <w:bookmarkEnd w:id="425"/>
      <w:bookmarkEnd w:id="426"/>
      <w:bookmarkEnd w:id="427"/>
      <w:bookmarkEnd w:id="428"/>
      <w:bookmarkEnd w:id="429"/>
      <w:bookmarkStart w:id="430" w:name="_Toc447044604"/>
      <w:bookmarkStart w:id="431" w:name="_Toc447044480"/>
      <w:bookmarkStart w:id="432" w:name="_Toc447045091"/>
    </w:p>
    <w:p w14:paraId="127DBCA0">
      <w:pPr>
        <w:autoSpaceDE w:val="0"/>
        <w:autoSpaceDN w:val="0"/>
        <w:adjustRightInd w:val="0"/>
        <w:spacing w:after="120" w:afterLines="50" w:line="360" w:lineRule="auto"/>
        <w:jc w:val="left"/>
        <w:outlineLvl w:val="1"/>
        <w:rPr>
          <w:rFonts w:ascii="宋体" w:hAnsi="宋体" w:eastAsia="宋体" w:cs="Times New Roman"/>
          <w:b/>
          <w:color w:val="auto"/>
          <w:kern w:val="0"/>
          <w:sz w:val="28"/>
          <w:szCs w:val="28"/>
          <w:highlight w:val="none"/>
        </w:rPr>
      </w:pPr>
      <w:bookmarkStart w:id="433" w:name="_Toc26521_WPSOffice_Level2"/>
      <w:r>
        <w:rPr>
          <w:rFonts w:hint="eastAsia" w:ascii="宋体" w:hAnsi="宋体" w:eastAsia="宋体" w:cs="Times New Roman"/>
          <w:b/>
          <w:color w:val="auto"/>
          <w:kern w:val="0"/>
          <w:sz w:val="28"/>
          <w:szCs w:val="28"/>
          <w:highlight w:val="none"/>
        </w:rPr>
        <w:t>一、不可撤销银行履约保函格式</w:t>
      </w:r>
      <w:bookmarkEnd w:id="430"/>
      <w:bookmarkEnd w:id="431"/>
      <w:bookmarkEnd w:id="432"/>
      <w:bookmarkEnd w:id="433"/>
    </w:p>
    <w:p w14:paraId="20DE8202">
      <w:pPr>
        <w:autoSpaceDE w:val="0"/>
        <w:autoSpaceDN w:val="0"/>
        <w:adjustRightInd w:val="0"/>
        <w:jc w:val="center"/>
        <w:outlineLvl w:val="2"/>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14:paraId="3DD23314">
      <w:pPr>
        <w:widowControl/>
        <w:autoSpaceDE w:val="0"/>
        <w:autoSpaceDN w:val="0"/>
        <w:adjustRightInd w:val="0"/>
        <w:spacing w:line="360" w:lineRule="auto"/>
        <w:jc w:val="left"/>
        <w:rPr>
          <w:rFonts w:ascii="宋体" w:hAnsi="宋体" w:eastAsia="宋体" w:cs="宋体"/>
          <w:color w:val="auto"/>
          <w:kern w:val="0"/>
          <w:szCs w:val="21"/>
          <w:highlight w:val="none"/>
        </w:rPr>
      </w:pPr>
    </w:p>
    <w:p w14:paraId="6CBCCD87">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7F88BEA9">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4C5BBB92">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41C7F402">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1F21FD8E">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23494678">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189B611E">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0FA144A3">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宋体"/>
          <w:color w:val="auto"/>
          <w:kern w:val="0"/>
          <w:szCs w:val="21"/>
          <w:highlight w:val="none"/>
        </w:rPr>
        <w:t>应自合同签订之日起至合同期限届满并完成合同及补充协议项下全部服务义务，受益人向申请人支付全部款项后二十八（28）日内保持有效。</w:t>
      </w:r>
    </w:p>
    <w:p w14:paraId="3B599960">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51199D73">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2C6CBD0F">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67EFD1BD">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79166DB8">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7BD68C58">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4D9D8C81">
      <w:pPr>
        <w:widowControl/>
        <w:autoSpaceDE w:val="0"/>
        <w:autoSpaceDN w:val="0"/>
        <w:adjustRightInd w:val="0"/>
        <w:spacing w:line="360" w:lineRule="auto"/>
        <w:jc w:val="left"/>
        <w:rPr>
          <w:rFonts w:ascii="宋体" w:hAnsi="宋体" w:eastAsia="宋体" w:cs="宋体"/>
          <w:color w:val="auto"/>
          <w:kern w:val="0"/>
          <w:szCs w:val="21"/>
          <w:highlight w:val="none"/>
        </w:rPr>
      </w:pPr>
    </w:p>
    <w:p w14:paraId="35D3A2EA">
      <w:pPr>
        <w:widowControl/>
        <w:autoSpaceDE w:val="0"/>
        <w:autoSpaceDN w:val="0"/>
        <w:adjustRightInd w:val="0"/>
        <w:spacing w:line="360" w:lineRule="auto"/>
        <w:jc w:val="left"/>
        <w:rPr>
          <w:rFonts w:ascii="宋体" w:hAnsi="宋体" w:eastAsia="宋体" w:cs="宋体"/>
          <w:color w:val="auto"/>
          <w:kern w:val="0"/>
          <w:szCs w:val="21"/>
          <w:highlight w:val="none"/>
        </w:rPr>
      </w:pPr>
    </w:p>
    <w:p w14:paraId="752FAB50">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pgSz w:w="12240" w:h="15840"/>
          <w:pgMar w:top="1191" w:right="1043" w:bottom="1191" w:left="1043" w:header="720" w:footer="720" w:gutter="0"/>
          <w:cols w:space="720" w:num="1"/>
          <w:titlePg/>
          <w:docGrid w:linePitch="326" w:charSpace="0"/>
        </w:sectPr>
      </w:pPr>
    </w:p>
    <w:p w14:paraId="73C1331E">
      <w:pPr>
        <w:outlineLvl w:val="1"/>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二、履约保证保险凭证格式</w:t>
      </w:r>
    </w:p>
    <w:p w14:paraId="6B5C4F49">
      <w:pPr>
        <w:autoSpaceDE w:val="0"/>
        <w:autoSpaceDN w:val="0"/>
        <w:adjustRightInd w:val="0"/>
        <w:jc w:val="center"/>
        <w:rPr>
          <w:rFonts w:ascii="宋体" w:hAnsi="宋体" w:eastAsia="宋体" w:cs="Times New Roman"/>
          <w:b/>
          <w:color w:val="auto"/>
          <w:kern w:val="0"/>
          <w:sz w:val="30"/>
          <w:szCs w:val="30"/>
          <w:highlight w:val="none"/>
        </w:rPr>
      </w:pPr>
    </w:p>
    <w:p w14:paraId="4CE6E39C">
      <w:pPr>
        <w:autoSpaceDE w:val="0"/>
        <w:autoSpaceDN w:val="0"/>
        <w:adjustRightInd w:val="0"/>
        <w:jc w:val="center"/>
        <w:outlineLvl w:val="2"/>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履约保证保险凭证</w:t>
      </w:r>
    </w:p>
    <w:p w14:paraId="34A5F517">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30D223DF">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编号：</w:t>
      </w:r>
    </w:p>
    <w:p w14:paraId="4D5C58A8">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 xml:space="preserve">（下称“受益人”）： </w:t>
      </w:r>
    </w:p>
    <w:p w14:paraId="734FD3D6">
      <w:pPr>
        <w:autoSpaceDE w:val="0"/>
        <w:autoSpaceDN w:val="0"/>
        <w:adjustRightInd w:val="0"/>
        <w:spacing w:line="360" w:lineRule="auto"/>
        <w:ind w:firstLine="437"/>
        <w:jc w:val="left"/>
        <w:rPr>
          <w:rFonts w:ascii="宋体" w:hAnsi="宋体" w:eastAsia="宋体" w:cs="宋体"/>
          <w:color w:val="auto"/>
          <w:kern w:val="0"/>
          <w:szCs w:val="21"/>
          <w:highlight w:val="none"/>
        </w:rPr>
      </w:pPr>
    </w:p>
    <w:p w14:paraId="0C219190">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rPr>
        <w:t>。我方已接受申请人的请求，并出具《履约保证保险》保险单。</w:t>
      </w:r>
      <w:r>
        <w:rPr>
          <w:rFonts w:ascii="宋体" w:hAnsi="宋体" w:eastAsia="宋体" w:cs="宋体"/>
          <w:color w:val="auto"/>
          <w:kern w:val="0"/>
          <w:szCs w:val="21"/>
          <w:highlight w:val="none"/>
        </w:rPr>
        <w:t xml:space="preserve"> </w:t>
      </w:r>
    </w:p>
    <w:p w14:paraId="7380A1C2">
      <w:pPr>
        <w:autoSpaceDE w:val="0"/>
        <w:autoSpaceDN w:val="0"/>
        <w:adjustRightInd w:val="0"/>
        <w:spacing w:line="360" w:lineRule="auto"/>
        <w:ind w:firstLine="437"/>
        <w:jc w:val="left"/>
        <w:outlineLvl w:val="1"/>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一、保证保险金额 </w:t>
      </w:r>
    </w:p>
    <w:p w14:paraId="374A626D">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元 （</w:t>
      </w:r>
      <w:r>
        <w:rPr>
          <w:rFonts w:ascii="宋体" w:hAnsi="宋体" w:eastAsia="宋体" w:cs="宋体"/>
          <w:color w:val="auto"/>
          <w:kern w:val="0"/>
          <w:szCs w:val="21"/>
          <w:highlight w:val="none"/>
        </w:rPr>
        <w:t>¥</w:t>
      </w:r>
      <w:r>
        <w:rPr>
          <w:rFonts w:hint="eastAsia" w:ascii="宋体" w:hAnsi="宋体" w:eastAsia="宋体" w:cs="宋体"/>
          <w:b/>
          <w:color w:val="auto"/>
          <w:kern w:val="0"/>
          <w:szCs w:val="21"/>
          <w:highlight w:val="none"/>
          <w:u w:val="singl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p>
    <w:p w14:paraId="5F427030">
      <w:pPr>
        <w:autoSpaceDE w:val="0"/>
        <w:autoSpaceDN w:val="0"/>
        <w:adjustRightInd w:val="0"/>
        <w:spacing w:line="360" w:lineRule="auto"/>
        <w:ind w:firstLine="437"/>
        <w:jc w:val="left"/>
        <w:outlineLvl w:val="1"/>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二、保证保险的责任范围 </w:t>
      </w:r>
    </w:p>
    <w:p w14:paraId="4AC0604B">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rPr>
        <w:t xml:space="preserve">履行相关义务，给贵方造成损失的，贵方可向我方提出索赔，我方按照保险合同的约定承担损失赔偿责任。 </w:t>
      </w:r>
    </w:p>
    <w:p w14:paraId="4001A3A6">
      <w:pPr>
        <w:autoSpaceDE w:val="0"/>
        <w:autoSpaceDN w:val="0"/>
        <w:adjustRightInd w:val="0"/>
        <w:spacing w:line="360" w:lineRule="auto"/>
        <w:ind w:firstLine="437"/>
        <w:jc w:val="left"/>
        <w:outlineLvl w:val="1"/>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三、代偿的安排 </w:t>
      </w:r>
    </w:p>
    <w:p w14:paraId="3D93757A">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4EF67346">
      <w:pPr>
        <w:autoSpaceDE w:val="0"/>
        <w:autoSpaceDN w:val="0"/>
        <w:adjustRightInd w:val="0"/>
        <w:spacing w:line="360" w:lineRule="auto"/>
        <w:ind w:firstLine="437"/>
        <w:jc w:val="left"/>
        <w:outlineLvl w:val="1"/>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四、生效时间 </w:t>
      </w:r>
    </w:p>
    <w:p w14:paraId="0E2138BB">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本保险凭证自我方法定代表人（或其授权代理人）签字并加盖保险承保章之日起生效。 </w:t>
      </w:r>
    </w:p>
    <w:p w14:paraId="0266B841">
      <w:pPr>
        <w:autoSpaceDE w:val="0"/>
        <w:autoSpaceDN w:val="0"/>
        <w:adjustRightInd w:val="0"/>
        <w:spacing w:line="360" w:lineRule="auto"/>
        <w:ind w:firstLine="437"/>
        <w:jc w:val="left"/>
        <w:outlineLvl w:val="1"/>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五、其他</w:t>
      </w:r>
    </w:p>
    <w:p w14:paraId="74297BE4">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宋体"/>
          <w:color w:val="auto"/>
          <w:kern w:val="0"/>
          <w:szCs w:val="21"/>
          <w:highlight w:val="none"/>
        </w:rPr>
        <w:t>应自合同签订之日起至合同期限届满并完成合同及补充协议项下全部服务义务，受益人向申请人支付全部款项后二十八（28）日内保持有效。</w:t>
      </w:r>
    </w:p>
    <w:p w14:paraId="5206AE5E">
      <w:pPr>
        <w:autoSpaceDE w:val="0"/>
        <w:autoSpaceDN w:val="0"/>
        <w:adjustRightInd w:val="0"/>
        <w:spacing w:line="360" w:lineRule="auto"/>
        <w:ind w:firstLine="437"/>
        <w:jc w:val="left"/>
        <w:rPr>
          <w:color w:val="auto"/>
          <w:highlight w:val="none"/>
        </w:rPr>
      </w:pPr>
    </w:p>
    <w:p w14:paraId="5617306D">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附：《XXX</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保险有限公司履约保证保险（</w:t>
      </w:r>
      <w:r>
        <w:rPr>
          <w:rFonts w:ascii="宋体" w:hAnsi="宋体" w:eastAsia="宋体" w:cs="宋体"/>
          <w:color w:val="auto"/>
          <w:kern w:val="0"/>
          <w:szCs w:val="21"/>
          <w:highlight w:val="none"/>
        </w:rPr>
        <w:t xml:space="preserve">X </w:t>
      </w:r>
      <w:r>
        <w:rPr>
          <w:rFonts w:hint="eastAsia" w:ascii="宋体" w:hAnsi="宋体" w:eastAsia="宋体" w:cs="宋体"/>
          <w:color w:val="auto"/>
          <w:kern w:val="0"/>
          <w:szCs w:val="21"/>
          <w:highlight w:val="none"/>
        </w:rPr>
        <w:t xml:space="preserve">款）条款》及保单 </w:t>
      </w:r>
    </w:p>
    <w:p w14:paraId="509D134F">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1F7EBD23">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保险人：（盖章）</w:t>
      </w:r>
    </w:p>
    <w:p w14:paraId="5D99AA12">
      <w:pPr>
        <w:autoSpaceDE w:val="0"/>
        <w:autoSpaceDN w:val="0"/>
        <w:adjustRightInd w:val="0"/>
        <w:spacing w:line="360" w:lineRule="auto"/>
        <w:ind w:firstLine="437"/>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法定代表人或授权代理人：</w:t>
      </w:r>
      <w:r>
        <w:rPr>
          <w:rFonts w:ascii="宋体" w:hAnsi="宋体" w:eastAsia="宋体" w:cs="宋体"/>
          <w:color w:val="auto"/>
          <w:kern w:val="0"/>
          <w:szCs w:val="21"/>
          <w:highlight w:val="none"/>
        </w:rPr>
        <w:t xml:space="preserve">________ </w:t>
      </w:r>
    </w:p>
    <w:p w14:paraId="18E23411">
      <w:pPr>
        <w:autoSpaceDE w:val="0"/>
        <w:autoSpaceDN w:val="0"/>
        <w:adjustRightInd w:val="0"/>
        <w:spacing w:line="360" w:lineRule="auto"/>
        <w:ind w:firstLine="437"/>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日</w:t>
      </w:r>
    </w:p>
    <w:p w14:paraId="5E300F2E">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787A1869">
      <w:pPr>
        <w:autoSpaceDE w:val="0"/>
        <w:autoSpaceDN w:val="0"/>
        <w:adjustRightInd w:val="0"/>
        <w:spacing w:after="120" w:afterLines="50" w:line="360" w:lineRule="auto"/>
        <w:jc w:val="left"/>
        <w:outlineLvl w:val="1"/>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三、担保公司履约担保书格式</w:t>
      </w:r>
    </w:p>
    <w:p w14:paraId="2A6D9508">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079ABCD8">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326A7EF6">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4BBB7EAD">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45973926">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2D3B002B">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3C0DCD39">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宋体"/>
          <w:color w:val="auto"/>
          <w:kern w:val="0"/>
          <w:szCs w:val="21"/>
          <w:highlight w:val="none"/>
        </w:rPr>
        <w:t>应自合同签订之日起至合同期限届满并完成合同及补充协议项下全部服务义务，受益人向申请人支付全部款项后二十八（28）日内保持有效。</w:t>
      </w:r>
    </w:p>
    <w:p w14:paraId="0ACFBF62">
      <w:pPr>
        <w:autoSpaceDE w:val="0"/>
        <w:autoSpaceDN w:val="0"/>
        <w:adjustRightInd w:val="0"/>
        <w:spacing w:line="360" w:lineRule="auto"/>
        <w:jc w:val="left"/>
        <w:rPr>
          <w:rFonts w:ascii="宋体" w:hAnsi="宋体" w:eastAsia="宋体" w:cs="Times New Roman"/>
          <w:color w:val="auto"/>
          <w:kern w:val="0"/>
          <w:szCs w:val="21"/>
          <w:highlight w:val="none"/>
        </w:rPr>
      </w:pPr>
    </w:p>
    <w:p w14:paraId="6A0FD612">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2F3EA1B6">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75BA17A8">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524102D4">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4059D7B8">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152F5626">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73847672">
      <w:pPr>
        <w:autoSpaceDE w:val="0"/>
        <w:autoSpaceDN w:val="0"/>
        <w:adjustRightInd w:val="0"/>
        <w:spacing w:line="360" w:lineRule="auto"/>
        <w:jc w:val="left"/>
        <w:rPr>
          <w:rFonts w:ascii="宋体" w:hAnsi="宋体" w:eastAsia="宋体" w:cs="Times New Roman"/>
          <w:color w:val="auto"/>
          <w:kern w:val="0"/>
          <w:szCs w:val="21"/>
          <w:highlight w:val="none"/>
        </w:rPr>
      </w:pPr>
    </w:p>
    <w:p w14:paraId="365ED515">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48BF3977">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5233525D">
      <w:pPr>
        <w:jc w:val="left"/>
        <w:rPr>
          <w:rFonts w:ascii="宋体" w:hAnsi="宋体" w:eastAsia="宋体"/>
          <w:b/>
          <w:color w:val="auto"/>
          <w:kern w:val="0"/>
          <w:sz w:val="28"/>
          <w:szCs w:val="28"/>
          <w:highlight w:val="none"/>
        </w:rPr>
      </w:pPr>
      <w:bookmarkStart w:id="434" w:name="_Toc89552416"/>
      <w:bookmarkStart w:id="435" w:name="_Toc9085"/>
      <w:r>
        <w:rPr>
          <w:rFonts w:ascii="宋体" w:hAnsi="宋体" w:eastAsia="宋体"/>
          <w:b/>
          <w:color w:val="auto"/>
          <w:kern w:val="0"/>
          <w:sz w:val="28"/>
          <w:szCs w:val="28"/>
          <w:highlight w:val="none"/>
        </w:rPr>
        <w:br w:type="page"/>
      </w:r>
    </w:p>
    <w:bookmarkEnd w:id="434"/>
    <w:bookmarkEnd w:id="435"/>
    <w:p w14:paraId="35C688F8">
      <w:pPr>
        <w:pageBreakBefore/>
        <w:tabs>
          <w:tab w:val="left" w:pos="1080"/>
        </w:tabs>
        <w:autoSpaceDE w:val="0"/>
        <w:autoSpaceDN w:val="0"/>
        <w:adjustRightInd w:val="0"/>
        <w:spacing w:line="360" w:lineRule="auto"/>
        <w:ind w:left="357" w:leftChars="-100" w:hanging="567"/>
        <w:jc w:val="center"/>
        <w:outlineLvl w:val="2"/>
        <w:rPr>
          <w:rFonts w:ascii="宋体" w:hAnsi="宋体" w:eastAsia="宋体" w:cs="宋体"/>
          <w:b/>
          <w:bCs/>
          <w:color w:val="auto"/>
          <w:kern w:val="44"/>
          <w:sz w:val="32"/>
          <w:szCs w:val="32"/>
          <w:highlight w:val="none"/>
        </w:rPr>
      </w:pPr>
      <w:bookmarkStart w:id="436" w:name="_Toc142508361"/>
      <w:bookmarkStart w:id="437" w:name="_Toc9840"/>
      <w:bookmarkStart w:id="438" w:name="_Toc32761_WPSOffice_Level1"/>
      <w:bookmarkStart w:id="439" w:name="_Toc195714372"/>
      <w:bookmarkStart w:id="440" w:name="_Toc29078"/>
      <w:bookmarkStart w:id="441" w:name="_Toc15817"/>
      <w:bookmarkStart w:id="442" w:name="_Toc486167708"/>
      <w:bookmarkStart w:id="443" w:name="_Toc450662895"/>
      <w:r>
        <w:rPr>
          <w:rFonts w:hint="eastAsia" w:ascii="宋体" w:hAnsi="宋体" w:eastAsia="宋体" w:cs="宋体"/>
          <w:b/>
          <w:bCs/>
          <w:color w:val="auto"/>
          <w:kern w:val="44"/>
          <w:sz w:val="32"/>
          <w:szCs w:val="32"/>
          <w:highlight w:val="none"/>
          <w:lang w:val="zh-CN"/>
        </w:rPr>
        <w:t>第六篇 投标文件格式</w:t>
      </w:r>
      <w:bookmarkEnd w:id="436"/>
      <w:bookmarkEnd w:id="437"/>
      <w:bookmarkEnd w:id="438"/>
      <w:bookmarkEnd w:id="439"/>
      <w:bookmarkEnd w:id="440"/>
      <w:bookmarkEnd w:id="441"/>
      <w:bookmarkEnd w:id="442"/>
      <w:bookmarkEnd w:id="443"/>
    </w:p>
    <w:p w14:paraId="2EE93482">
      <w:pPr>
        <w:jc w:val="center"/>
        <w:outlineLvl w:val="1"/>
        <w:rPr>
          <w:rFonts w:ascii="宋体" w:hAnsi="宋体" w:eastAsia="宋体" w:cs="宋体"/>
          <w:b/>
          <w:color w:val="auto"/>
          <w:kern w:val="0"/>
          <w:sz w:val="32"/>
          <w:szCs w:val="32"/>
          <w:highlight w:val="none"/>
        </w:rPr>
      </w:pPr>
      <w:bookmarkStart w:id="444" w:name="_Toc195714373"/>
      <w:bookmarkStart w:id="445" w:name="_Toc5778"/>
      <w:bookmarkStart w:id="446" w:name="_Toc31978"/>
      <w:bookmarkStart w:id="447" w:name="_Toc12879"/>
      <w:bookmarkStart w:id="448" w:name="_Toc21648"/>
      <w:bookmarkStart w:id="449" w:name="_Toc142508362"/>
      <w:bookmarkStart w:id="450" w:name="_Toc1977721"/>
      <w:bookmarkStart w:id="451" w:name="_Toc94107202"/>
      <w:bookmarkStart w:id="452" w:name="_Toc486167709"/>
      <w:bookmarkStart w:id="453" w:name="_Toc102860411"/>
      <w:bookmarkStart w:id="454" w:name="_Toc21133_WPSOffice_Level2"/>
      <w:bookmarkStart w:id="455" w:name="_Toc140596921"/>
      <w:bookmarkStart w:id="456" w:name="_Toc102860067"/>
      <w:bookmarkStart w:id="457" w:name="_Toc104991868"/>
      <w:bookmarkStart w:id="458" w:name="_Toc533708121"/>
      <w:r>
        <w:rPr>
          <w:rFonts w:hint="eastAsia" w:ascii="宋体" w:hAnsi="宋体" w:eastAsia="宋体" w:cs="宋体"/>
          <w:b/>
          <w:color w:val="auto"/>
          <w:kern w:val="0"/>
          <w:sz w:val="32"/>
          <w:szCs w:val="32"/>
          <w:highlight w:val="none"/>
        </w:rPr>
        <w:t>一  商务标格式</w:t>
      </w:r>
      <w:bookmarkEnd w:id="444"/>
      <w:bookmarkEnd w:id="445"/>
      <w:bookmarkEnd w:id="446"/>
      <w:bookmarkEnd w:id="447"/>
      <w:bookmarkEnd w:id="448"/>
    </w:p>
    <w:p w14:paraId="17A77AB9">
      <w:pPr>
        <w:rPr>
          <w:rFonts w:ascii="宋体" w:hAnsi="宋体" w:eastAsia="宋体" w:cs="宋体"/>
          <w:color w:val="auto"/>
          <w:sz w:val="84"/>
          <w:highlight w:val="none"/>
        </w:rPr>
      </w:pPr>
      <w:r>
        <w:rPr>
          <w:rFonts w:hint="eastAsia" w:ascii="宋体" w:hAnsi="宋体" w:eastAsia="宋体" w:cs="宋体"/>
          <w:b/>
          <w:color w:val="auto"/>
          <w:kern w:val="0"/>
          <w:sz w:val="32"/>
          <w:szCs w:val="32"/>
          <w:highlight w:val="none"/>
        </w:rPr>
        <w:br w:type="page"/>
      </w:r>
    </w:p>
    <w:p w14:paraId="1D514003">
      <w:pPr>
        <w:pStyle w:val="20"/>
        <w:spacing w:line="360" w:lineRule="auto"/>
        <w:jc w:val="center"/>
        <w:rPr>
          <w:rFonts w:ascii="宋体" w:hAnsi="宋体" w:cs="宋体"/>
          <w:color w:val="auto"/>
          <w:sz w:val="84"/>
          <w:highlight w:val="none"/>
        </w:rPr>
      </w:pPr>
    </w:p>
    <w:p w14:paraId="63A9F1C5">
      <w:pPr>
        <w:pStyle w:val="20"/>
        <w:spacing w:line="360" w:lineRule="auto"/>
        <w:jc w:val="center"/>
        <w:rPr>
          <w:rFonts w:ascii="宋体" w:hAnsi="宋体" w:cs="宋体"/>
          <w:color w:val="auto"/>
          <w:sz w:val="84"/>
          <w:highlight w:val="none"/>
        </w:rPr>
      </w:pPr>
    </w:p>
    <w:p w14:paraId="78A1AF9E">
      <w:pPr>
        <w:pStyle w:val="20"/>
        <w:spacing w:line="360" w:lineRule="auto"/>
        <w:jc w:val="center"/>
        <w:rPr>
          <w:rFonts w:ascii="宋体" w:hAnsi="宋体" w:cs="宋体"/>
          <w:color w:val="auto"/>
          <w:sz w:val="84"/>
          <w:highlight w:val="none"/>
        </w:rPr>
      </w:pPr>
      <w:r>
        <w:rPr>
          <w:rFonts w:hint="eastAsia" w:ascii="宋体" w:hAnsi="宋体" w:cs="宋体"/>
          <w:color w:val="auto"/>
          <w:sz w:val="84"/>
          <w:highlight w:val="none"/>
        </w:rPr>
        <w:t>投 标 文 件</w:t>
      </w:r>
    </w:p>
    <w:p w14:paraId="5AC96F87">
      <w:pPr>
        <w:pStyle w:val="20"/>
        <w:spacing w:line="360" w:lineRule="auto"/>
        <w:rPr>
          <w:rFonts w:ascii="宋体" w:hAnsi="宋体" w:cs="宋体"/>
          <w:color w:val="auto"/>
          <w:highlight w:val="none"/>
        </w:rPr>
      </w:pPr>
    </w:p>
    <w:p w14:paraId="0F56A711">
      <w:pPr>
        <w:pStyle w:val="20"/>
        <w:spacing w:line="360" w:lineRule="auto"/>
        <w:rPr>
          <w:rFonts w:ascii="宋体" w:hAnsi="宋体" w:cs="宋体"/>
          <w:color w:val="auto"/>
          <w:highlight w:val="none"/>
        </w:rPr>
      </w:pPr>
    </w:p>
    <w:p w14:paraId="1C529DA3">
      <w:pPr>
        <w:pStyle w:val="20"/>
        <w:spacing w:line="360" w:lineRule="auto"/>
        <w:rPr>
          <w:rFonts w:ascii="宋体" w:hAnsi="宋体" w:cs="宋体"/>
          <w:color w:val="auto"/>
          <w:highlight w:val="none"/>
        </w:rPr>
      </w:pPr>
    </w:p>
    <w:p w14:paraId="2DB7CE67">
      <w:pPr>
        <w:pStyle w:val="20"/>
        <w:spacing w:line="360" w:lineRule="auto"/>
        <w:rPr>
          <w:rFonts w:ascii="宋体" w:hAnsi="宋体" w:cs="宋体"/>
          <w:color w:val="auto"/>
          <w:highlight w:val="none"/>
        </w:rPr>
      </w:pPr>
    </w:p>
    <w:p w14:paraId="7590885A">
      <w:pPr>
        <w:pStyle w:val="20"/>
        <w:spacing w:line="360" w:lineRule="auto"/>
        <w:rPr>
          <w:rFonts w:ascii="宋体" w:hAnsi="宋体" w:cs="宋体"/>
          <w:color w:val="auto"/>
          <w:highlight w:val="none"/>
        </w:rPr>
      </w:pPr>
    </w:p>
    <w:p w14:paraId="54AD9EDD">
      <w:pPr>
        <w:pStyle w:val="20"/>
        <w:spacing w:line="360" w:lineRule="auto"/>
        <w:rPr>
          <w:rFonts w:ascii="宋体" w:hAnsi="宋体" w:cs="宋体"/>
          <w:color w:val="auto"/>
          <w:highlight w:val="none"/>
        </w:rPr>
      </w:pPr>
    </w:p>
    <w:p w14:paraId="03B87A83">
      <w:pPr>
        <w:pStyle w:val="20"/>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招标编号：</w:t>
      </w:r>
      <w:r>
        <w:rPr>
          <w:rFonts w:hint="eastAsia" w:ascii="宋体" w:hAnsi="宋体" w:cs="宋体"/>
          <w:color w:val="auto"/>
          <w:sz w:val="30"/>
          <w:highlight w:val="none"/>
          <w:u w:val="single"/>
        </w:rPr>
        <w:t xml:space="preserve">                      </w:t>
      </w:r>
    </w:p>
    <w:p w14:paraId="751FB803">
      <w:pPr>
        <w:pStyle w:val="20"/>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项目名称：</w:t>
      </w:r>
      <w:r>
        <w:rPr>
          <w:rFonts w:hint="eastAsia" w:ascii="宋体" w:hAnsi="宋体" w:cs="宋体"/>
          <w:color w:val="auto"/>
          <w:sz w:val="30"/>
          <w:highlight w:val="none"/>
          <w:u w:val="single"/>
        </w:rPr>
        <w:t xml:space="preserve">                      </w:t>
      </w:r>
    </w:p>
    <w:p w14:paraId="405416C6">
      <w:pPr>
        <w:pStyle w:val="20"/>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投标文件内容：</w:t>
      </w:r>
      <w:r>
        <w:rPr>
          <w:rFonts w:hint="eastAsia" w:ascii="宋体" w:hAnsi="宋体" w:cs="宋体"/>
          <w:color w:val="auto"/>
          <w:sz w:val="30"/>
          <w:highlight w:val="none"/>
          <w:u w:val="single"/>
        </w:rPr>
        <w:t xml:space="preserve"> 投标文件商务标 </w:t>
      </w:r>
    </w:p>
    <w:p w14:paraId="1D83FB94">
      <w:pPr>
        <w:pStyle w:val="20"/>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招标人：</w:t>
      </w:r>
      <w:r>
        <w:rPr>
          <w:rFonts w:hint="eastAsia" w:ascii="宋体" w:hAnsi="宋体" w:cs="宋体"/>
          <w:color w:val="auto"/>
          <w:sz w:val="30"/>
          <w:highlight w:val="none"/>
          <w:u w:val="single"/>
        </w:rPr>
        <w:t xml:space="preserve">                        </w:t>
      </w:r>
    </w:p>
    <w:p w14:paraId="10938850">
      <w:pPr>
        <w:pStyle w:val="20"/>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投标人：</w:t>
      </w:r>
      <w:r>
        <w:rPr>
          <w:rFonts w:hint="eastAsia" w:ascii="宋体" w:hAnsi="宋体" w:cs="宋体"/>
          <w:color w:val="auto"/>
          <w:sz w:val="30"/>
          <w:highlight w:val="none"/>
          <w:u w:val="single"/>
        </w:rPr>
        <w:t xml:space="preserve">    （企业数字证书电子签名）   </w:t>
      </w:r>
    </w:p>
    <w:p w14:paraId="4C24FB8E">
      <w:pPr>
        <w:pStyle w:val="20"/>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14:paraId="3A85D0F6">
      <w:pPr>
        <w:pStyle w:val="20"/>
        <w:spacing w:line="360" w:lineRule="auto"/>
        <w:rPr>
          <w:rFonts w:ascii="宋体" w:hAnsi="宋体" w:cs="宋体"/>
          <w:color w:val="auto"/>
          <w:highlight w:val="none"/>
        </w:rPr>
      </w:pPr>
    </w:p>
    <w:p w14:paraId="20924647">
      <w:pPr>
        <w:pStyle w:val="20"/>
        <w:spacing w:line="360" w:lineRule="auto"/>
        <w:rPr>
          <w:rFonts w:ascii="宋体" w:hAnsi="宋体" w:cs="宋体"/>
          <w:color w:val="auto"/>
          <w:highlight w:val="none"/>
        </w:rPr>
      </w:pPr>
      <w:r>
        <w:rPr>
          <w:rFonts w:hint="eastAsia" w:ascii="宋体" w:hAnsi="宋体" w:cs="宋体"/>
          <w:color w:val="auto"/>
          <w:highlight w:val="none"/>
        </w:rPr>
        <w:br w:type="page"/>
      </w:r>
    </w:p>
    <w:p w14:paraId="19A37520">
      <w:pPr>
        <w:pStyle w:val="20"/>
        <w:spacing w:line="500" w:lineRule="exact"/>
        <w:jc w:val="center"/>
        <w:outlineLvl w:val="2"/>
        <w:rPr>
          <w:rFonts w:ascii="宋体" w:hAnsi="宋体" w:cs="宋体"/>
          <w:b/>
          <w:bCs/>
          <w:color w:val="auto"/>
          <w:sz w:val="24"/>
          <w:szCs w:val="24"/>
          <w:highlight w:val="none"/>
        </w:rPr>
      </w:pPr>
      <w:bookmarkStart w:id="459" w:name="_Toc195714374"/>
      <w:bookmarkStart w:id="460" w:name="_Toc10999"/>
      <w:bookmarkStart w:id="461" w:name="_Toc17612"/>
      <w:bookmarkStart w:id="462" w:name="_Toc16205"/>
      <w:bookmarkStart w:id="463" w:name="_Toc31361"/>
      <w:r>
        <w:rPr>
          <w:rFonts w:hint="eastAsia" w:ascii="宋体" w:hAnsi="宋体" w:cs="宋体"/>
          <w:b/>
          <w:bCs/>
          <w:color w:val="auto"/>
          <w:sz w:val="24"/>
          <w:szCs w:val="24"/>
          <w:highlight w:val="none"/>
        </w:rPr>
        <w:t>目录</w:t>
      </w:r>
      <w:bookmarkEnd w:id="459"/>
      <w:bookmarkEnd w:id="460"/>
      <w:bookmarkEnd w:id="461"/>
      <w:bookmarkEnd w:id="462"/>
      <w:bookmarkEnd w:id="463"/>
    </w:p>
    <w:p w14:paraId="555D70C3">
      <w:pPr>
        <w:pBdr>
          <w:bottom w:val="single" w:color="auto" w:sz="6" w:space="0"/>
        </w:pBdr>
        <w:spacing w:line="500" w:lineRule="exact"/>
        <w:ind w:firstLine="472" w:firstLineChars="224"/>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一、投标函；</w:t>
      </w:r>
    </w:p>
    <w:p w14:paraId="3EE48DBA">
      <w:pPr>
        <w:pBdr>
          <w:bottom w:val="single" w:color="auto" w:sz="6" w:space="0"/>
        </w:pBdr>
        <w:spacing w:line="500" w:lineRule="exact"/>
        <w:ind w:firstLine="472" w:firstLineChars="224"/>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二、投标承诺书；</w:t>
      </w:r>
    </w:p>
    <w:p w14:paraId="04D24290">
      <w:pPr>
        <w:pBdr>
          <w:bottom w:val="single" w:color="auto" w:sz="6" w:space="0"/>
        </w:pBdr>
        <w:spacing w:line="500" w:lineRule="exact"/>
        <w:ind w:firstLine="472" w:firstLineChars="224"/>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三、供货及/或提供服务过程承诺函；</w:t>
      </w:r>
    </w:p>
    <w:p w14:paraId="74FF4CC3">
      <w:pPr>
        <w:pBdr>
          <w:bottom w:val="single" w:color="auto" w:sz="6" w:space="0"/>
        </w:pBdr>
        <w:spacing w:line="500" w:lineRule="exact"/>
        <w:ind w:firstLine="472" w:firstLineChars="224"/>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、投标人资格证明文件：</w:t>
      </w:r>
    </w:p>
    <w:p w14:paraId="15A4557D">
      <w:pPr>
        <w:pBdr>
          <w:bottom w:val="single" w:color="auto" w:sz="6" w:space="0"/>
        </w:pBdr>
        <w:spacing w:line="500" w:lineRule="exact"/>
        <w:ind w:firstLine="472" w:firstLineChars="224"/>
        <w:jc w:val="left"/>
        <w:outlineLvl w:val="2"/>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.1 多证合一营业执照（或事业单位法人证书）原件扫描件；</w:t>
      </w:r>
    </w:p>
    <w:p w14:paraId="336365FA">
      <w:pPr>
        <w:pBdr>
          <w:bottom w:val="single" w:color="auto" w:sz="6" w:space="0"/>
        </w:pBdr>
        <w:spacing w:line="500" w:lineRule="exact"/>
        <w:ind w:firstLine="472" w:firstLineChars="224"/>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.2 开户许可证原件扫描件（基本存款账户），如投标人企业银行账户开户所在地区已取消企业银行账户许可，投标人应提供基本存款账户开户名称、开户银行、账号、编号等信息及相关备案证明（如有）或其他能证明其为基本存款账户的资料原件扫描件；</w:t>
      </w:r>
    </w:p>
    <w:p w14:paraId="77D70F2C">
      <w:pPr>
        <w:pBdr>
          <w:bottom w:val="single" w:color="auto" w:sz="6" w:space="0"/>
        </w:pBdr>
        <w:spacing w:line="500" w:lineRule="exact"/>
        <w:ind w:firstLine="472" w:firstLineChars="224"/>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.3 法定代表人身份证明书原件扫描件和法定代表人授权书原件扫描件（法定代表人投标时只提供法定代表人身份证明书，委托他人为投标代表时同时提供法定代表人授权书）；</w:t>
      </w:r>
    </w:p>
    <w:p w14:paraId="439AE415">
      <w:pPr>
        <w:pBdr>
          <w:bottom w:val="single" w:color="auto" w:sz="6" w:space="0"/>
        </w:pBdr>
        <w:spacing w:line="500" w:lineRule="exact"/>
        <w:ind w:firstLine="472" w:firstLineChars="224"/>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.4 资格业绩【投标人</w:t>
      </w:r>
      <w:r>
        <w:rPr>
          <w:rFonts w:hint="eastAsia" w:ascii="宋体" w:hAnsi="宋体" w:eastAsia="宋体" w:cs="宋体"/>
          <w:b/>
          <w:bCs/>
          <w:color w:val="auto"/>
          <w:szCs w:val="21"/>
          <w:highlight w:val="none"/>
          <w:lang w:val="en-US" w:eastAsia="zh-CN"/>
        </w:rPr>
        <w:t>2022</w:t>
      </w:r>
      <w:r>
        <w:rPr>
          <w:rFonts w:hint="eastAsia" w:ascii="宋体" w:hAnsi="宋体" w:eastAsia="宋体" w:cs="宋体"/>
          <w:b/>
          <w:bCs/>
          <w:color w:val="auto"/>
          <w:szCs w:val="21"/>
          <w:highlight w:val="none"/>
        </w:rPr>
        <w:t>年</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月</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日以来</w:t>
      </w:r>
      <w:r>
        <w:rPr>
          <w:rFonts w:hint="eastAsia" w:ascii="宋体" w:hAnsi="宋体" w:eastAsia="宋体" w:cs="宋体"/>
          <w:b/>
          <w:bCs/>
          <w:color w:val="auto"/>
          <w:szCs w:val="21"/>
          <w:highlight w:val="none"/>
          <w:lang w:val="zh-CN"/>
        </w:rPr>
        <w:t>具有造价咨询【含概算编制、概算审核、预算(或招标控制价)编制、预算(或招标控制价)审核、结算编制和结算审核，以上业绩可包括在同一合同或多份合同内】的服务业绩</w:t>
      </w:r>
      <w:r>
        <w:rPr>
          <w:rFonts w:hint="eastAsia" w:ascii="宋体" w:hAnsi="宋体" w:eastAsia="宋体" w:cs="宋体"/>
          <w:b/>
          <w:bCs/>
          <w:color w:val="auto"/>
          <w:szCs w:val="21"/>
          <w:highlight w:val="none"/>
        </w:rPr>
        <w:t>（合同签订日期为</w:t>
      </w:r>
      <w:r>
        <w:rPr>
          <w:rFonts w:hint="eastAsia" w:ascii="宋体" w:hAnsi="宋体" w:eastAsia="宋体" w:cs="宋体"/>
          <w:b/>
          <w:bCs/>
          <w:color w:val="auto"/>
          <w:szCs w:val="21"/>
          <w:highlight w:val="none"/>
          <w:lang w:val="en-US" w:eastAsia="zh-CN"/>
        </w:rPr>
        <w:t>2022</w:t>
      </w:r>
      <w:r>
        <w:rPr>
          <w:rFonts w:hint="eastAsia" w:ascii="宋体" w:hAnsi="宋体" w:eastAsia="宋体" w:cs="宋体"/>
          <w:b/>
          <w:bCs/>
          <w:color w:val="auto"/>
          <w:szCs w:val="21"/>
          <w:highlight w:val="none"/>
        </w:rPr>
        <w:t>年</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月</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日或以后</w:t>
      </w:r>
      <w:r>
        <w:rPr>
          <w:rFonts w:hint="eastAsia" w:ascii="宋体" w:hAnsi="宋体" w:eastAsia="宋体" w:cs="宋体"/>
          <w:b/>
          <w:bCs/>
          <w:color w:val="auto"/>
          <w:szCs w:val="21"/>
          <w:highlight w:val="none"/>
          <w:lang w:eastAsia="zh-CN"/>
        </w:rPr>
        <w:t>，金额在100万元（含）以上</w:t>
      </w:r>
      <w:r>
        <w:rPr>
          <w:rFonts w:hint="eastAsia" w:ascii="宋体" w:hAnsi="宋体" w:eastAsia="宋体" w:cs="宋体"/>
          <w:b/>
          <w:bCs/>
          <w:color w:val="auto"/>
          <w:szCs w:val="21"/>
          <w:highlight w:val="none"/>
        </w:rPr>
        <w:t>）；</w:t>
      </w:r>
    </w:p>
    <w:p w14:paraId="530B6111">
      <w:pPr>
        <w:pBdr>
          <w:bottom w:val="single" w:color="auto" w:sz="6" w:space="0"/>
        </w:pBdr>
        <w:spacing w:line="500" w:lineRule="exact"/>
        <w:ind w:firstLine="472" w:firstLineChars="224"/>
        <w:jc w:val="left"/>
        <w:outlineLvl w:val="2"/>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.5 最近3年投标人牵涉的其他（失信和违法）处罚说明；</w:t>
      </w:r>
    </w:p>
    <w:p w14:paraId="497D06BB">
      <w:pPr>
        <w:pBdr>
          <w:bottom w:val="single" w:color="auto" w:sz="6" w:space="0"/>
        </w:pBdr>
        <w:spacing w:line="500" w:lineRule="exact"/>
        <w:ind w:firstLine="472" w:firstLineChars="224"/>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五</w:t>
      </w:r>
      <w:r>
        <w:rPr>
          <w:rFonts w:hint="eastAsia" w:ascii="宋体" w:hAnsi="宋体" w:eastAsia="宋体" w:cs="宋体"/>
          <w:b/>
          <w:bCs/>
          <w:color w:val="auto"/>
          <w:szCs w:val="21"/>
          <w:highlight w:val="none"/>
        </w:rPr>
        <w:t>、投标人基本情况一览表；</w:t>
      </w:r>
    </w:p>
    <w:p w14:paraId="1D8E09E1">
      <w:pPr>
        <w:pBdr>
          <w:bottom w:val="single" w:color="auto" w:sz="6" w:space="0"/>
        </w:pBdr>
        <w:spacing w:line="500" w:lineRule="exact"/>
        <w:ind w:firstLine="472" w:firstLineChars="224"/>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六</w:t>
      </w:r>
      <w:r>
        <w:rPr>
          <w:rFonts w:hint="eastAsia" w:ascii="宋体" w:hAnsi="宋体" w:eastAsia="宋体" w:cs="宋体"/>
          <w:b/>
          <w:bCs/>
          <w:color w:val="auto"/>
          <w:szCs w:val="21"/>
          <w:highlight w:val="none"/>
        </w:rPr>
        <w:t>、投标人财务状况表；</w:t>
      </w:r>
    </w:p>
    <w:p w14:paraId="0746C7AA">
      <w:pPr>
        <w:pBdr>
          <w:bottom w:val="single" w:color="auto" w:sz="6" w:space="0"/>
        </w:pBdr>
        <w:spacing w:line="500" w:lineRule="exact"/>
        <w:ind w:firstLine="472" w:firstLineChars="224"/>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七</w:t>
      </w:r>
      <w:r>
        <w:rPr>
          <w:rFonts w:hint="eastAsia" w:ascii="宋体" w:hAnsi="宋体" w:eastAsia="宋体" w:cs="宋体"/>
          <w:b/>
          <w:bCs/>
          <w:color w:val="auto"/>
          <w:szCs w:val="21"/>
          <w:highlight w:val="none"/>
        </w:rPr>
        <w:t>、合同条款响应程度（合同条款偏离表）；</w:t>
      </w:r>
    </w:p>
    <w:p w14:paraId="3058D6AC">
      <w:pPr>
        <w:pBdr>
          <w:bottom w:val="single" w:color="auto" w:sz="6" w:space="0"/>
        </w:pBdr>
        <w:spacing w:line="500" w:lineRule="exact"/>
        <w:ind w:firstLine="472" w:firstLineChars="224"/>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八</w:t>
      </w:r>
      <w:r>
        <w:rPr>
          <w:rFonts w:hint="eastAsia" w:ascii="宋体" w:hAnsi="宋体" w:eastAsia="宋体" w:cs="宋体"/>
          <w:b/>
          <w:bCs/>
          <w:color w:val="auto"/>
          <w:szCs w:val="21"/>
          <w:highlight w:val="none"/>
        </w:rPr>
        <w:t>、业绩表；</w:t>
      </w:r>
    </w:p>
    <w:p w14:paraId="3F250304">
      <w:pPr>
        <w:pBdr>
          <w:bottom w:val="single" w:color="auto" w:sz="6" w:space="0"/>
        </w:pBdr>
        <w:spacing w:line="500" w:lineRule="exact"/>
        <w:ind w:firstLine="472" w:firstLineChars="224"/>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九</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承诺书</w:t>
      </w:r>
    </w:p>
    <w:p w14:paraId="309506DB">
      <w:pPr>
        <w:pBdr>
          <w:bottom w:val="single" w:color="auto" w:sz="6" w:space="0"/>
        </w:pBdr>
        <w:spacing w:line="500" w:lineRule="exact"/>
        <w:ind w:firstLine="472" w:firstLineChars="224"/>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十、投入本项目服务人员情况</w:t>
      </w:r>
      <w:r>
        <w:rPr>
          <w:rFonts w:hint="eastAsia" w:ascii="宋体" w:hAnsi="宋体" w:eastAsia="宋体" w:cs="宋体"/>
          <w:b/>
          <w:bCs/>
          <w:color w:val="auto"/>
          <w:szCs w:val="21"/>
          <w:highlight w:val="none"/>
        </w:rPr>
        <w:t>；</w:t>
      </w:r>
    </w:p>
    <w:p w14:paraId="77600F09">
      <w:pPr>
        <w:pBdr>
          <w:bottom w:val="single" w:color="auto" w:sz="6" w:space="0"/>
        </w:pBdr>
        <w:spacing w:line="500" w:lineRule="exact"/>
        <w:ind w:firstLine="472" w:firstLineChars="224"/>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十一、服务便利性</w:t>
      </w:r>
    </w:p>
    <w:p w14:paraId="62601A5A">
      <w:pPr>
        <w:pBdr>
          <w:bottom w:val="single" w:color="auto" w:sz="6" w:space="0"/>
        </w:pBdr>
        <w:spacing w:line="500" w:lineRule="exact"/>
        <w:ind w:firstLine="472" w:firstLineChars="224"/>
        <w:jc w:val="left"/>
        <w:rPr>
          <w:rFonts w:ascii="宋体" w:hAnsi="宋体" w:eastAsia="宋体" w:cs="宋体"/>
          <w:b/>
          <w:color w:val="auto"/>
          <w:kern w:val="0"/>
          <w:sz w:val="32"/>
          <w:szCs w:val="32"/>
          <w:highlight w:val="none"/>
        </w:rPr>
      </w:pPr>
      <w:r>
        <w:rPr>
          <w:rFonts w:hint="eastAsia" w:ascii="宋体" w:hAnsi="宋体" w:eastAsia="宋体" w:cs="宋体"/>
          <w:b/>
          <w:bCs/>
          <w:color w:val="auto"/>
          <w:szCs w:val="21"/>
          <w:highlight w:val="none"/>
        </w:rPr>
        <w:t>十</w:t>
      </w: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投标人资格证明文件以外的其他资质证书、知识产权证书及获得的相关获奖、认证证书、社会评价资料证明文件扫描件等投标人认为有需要证明其具备为本次招标项目提供货物及有关服务能力的有关其它商务文件（不做强制要求）。</w:t>
      </w:r>
      <w:r>
        <w:rPr>
          <w:rFonts w:hint="eastAsia" w:ascii="宋体" w:hAnsi="宋体" w:eastAsia="宋体" w:cs="宋体"/>
          <w:b/>
          <w:color w:val="auto"/>
          <w:kern w:val="0"/>
          <w:sz w:val="32"/>
          <w:szCs w:val="32"/>
          <w:highlight w:val="none"/>
        </w:rPr>
        <w:br w:type="page"/>
      </w:r>
    </w:p>
    <w:p w14:paraId="0F4B42C4">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bookmarkStart w:id="464" w:name="_Toc17613"/>
      <w:bookmarkStart w:id="465" w:name="_Toc13281"/>
      <w:bookmarkStart w:id="466" w:name="_Toc12810"/>
      <w:bookmarkStart w:id="467" w:name="_Toc7834"/>
      <w:bookmarkStart w:id="468" w:name="_Toc27679"/>
      <w:bookmarkStart w:id="469" w:name="_Toc195714375"/>
      <w:bookmarkStart w:id="470" w:name="_Toc3028"/>
      <w:bookmarkStart w:id="471" w:name="_Toc23782"/>
      <w:r>
        <w:rPr>
          <w:rFonts w:hint="eastAsia" w:ascii="宋体" w:hAnsi="宋体" w:eastAsia="宋体" w:cs="宋体"/>
          <w:b/>
          <w:color w:val="auto"/>
          <w:kern w:val="0"/>
          <w:sz w:val="32"/>
          <w:szCs w:val="32"/>
          <w:highlight w:val="none"/>
        </w:rPr>
        <w:t>一、投标函格式</w:t>
      </w:r>
      <w:bookmarkEnd w:id="449"/>
      <w:bookmarkEnd w:id="450"/>
      <w:bookmarkEnd w:id="451"/>
      <w:bookmarkEnd w:id="452"/>
      <w:bookmarkEnd w:id="453"/>
      <w:bookmarkEnd w:id="454"/>
      <w:bookmarkEnd w:id="455"/>
      <w:bookmarkEnd w:id="456"/>
      <w:bookmarkEnd w:id="457"/>
      <w:bookmarkEnd w:id="458"/>
      <w:bookmarkEnd w:id="464"/>
      <w:bookmarkEnd w:id="465"/>
      <w:bookmarkEnd w:id="466"/>
      <w:bookmarkEnd w:id="467"/>
      <w:bookmarkEnd w:id="468"/>
      <w:bookmarkEnd w:id="469"/>
      <w:bookmarkEnd w:id="470"/>
      <w:bookmarkEnd w:id="471"/>
    </w:p>
    <w:p w14:paraId="7E4652CC">
      <w:pPr>
        <w:autoSpaceDE w:val="0"/>
        <w:autoSpaceDN w:val="0"/>
        <w:adjustRightInd w:val="0"/>
        <w:spacing w:line="360" w:lineRule="auto"/>
        <w:jc w:val="center"/>
        <w:rPr>
          <w:rFonts w:ascii="宋体" w:hAnsi="宋体" w:eastAsia="宋体" w:cs="宋体"/>
          <w:b/>
          <w:bCs/>
          <w:color w:val="auto"/>
          <w:sz w:val="30"/>
          <w:szCs w:val="30"/>
          <w:highlight w:val="none"/>
        </w:rPr>
      </w:pPr>
      <w:bookmarkStart w:id="472" w:name="_Toc16695_WPSOffice_Level3"/>
      <w:r>
        <w:rPr>
          <w:rFonts w:hint="eastAsia" w:ascii="宋体" w:hAnsi="宋体" w:eastAsia="宋体" w:cs="宋体"/>
          <w:b/>
          <w:bCs/>
          <w:color w:val="auto"/>
          <w:sz w:val="30"/>
          <w:szCs w:val="30"/>
          <w:highlight w:val="none"/>
          <w:lang w:val="zh-CN"/>
        </w:rPr>
        <w:t>投 标 函</w:t>
      </w:r>
      <w:bookmarkEnd w:id="472"/>
    </w:p>
    <w:p w14:paraId="6507997C">
      <w:pPr>
        <w:autoSpaceDE w:val="0"/>
        <w:autoSpaceDN w:val="0"/>
        <w:adjustRightInd w:val="0"/>
        <w:spacing w:line="360" w:lineRule="auto"/>
        <w:rPr>
          <w:rFonts w:ascii="宋体" w:hAnsi="宋体" w:eastAsia="宋体" w:cs="宋体"/>
          <w:color w:val="auto"/>
          <w:szCs w:val="21"/>
          <w:highlight w:val="none"/>
          <w:lang w:val="zh-CN"/>
        </w:rPr>
      </w:pPr>
    </w:p>
    <w:p w14:paraId="425F9F74">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东莞市水务集团有限公司</w:t>
      </w:r>
    </w:p>
    <w:p w14:paraId="43E88361">
      <w:pPr>
        <w:autoSpaceDE w:val="0"/>
        <w:autoSpaceDN w:val="0"/>
        <w:adjustRightInd w:val="0"/>
        <w:spacing w:line="360" w:lineRule="auto"/>
        <w:rPr>
          <w:rFonts w:ascii="宋体" w:hAnsi="宋体" w:eastAsia="宋体" w:cs="宋体"/>
          <w:color w:val="auto"/>
          <w:szCs w:val="21"/>
          <w:highlight w:val="none"/>
        </w:rPr>
      </w:pPr>
    </w:p>
    <w:p w14:paraId="325DBB41">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东莞市水务集团造价咨询服务单位库(2025-2026)采购项目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0A3FFDF9">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00F037E3">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zh-CN"/>
        </w:rPr>
        <w:t>的投标；</w:t>
      </w:r>
    </w:p>
    <w:p w14:paraId="6FF7E813">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0AF1ABDE">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7EC3D85C">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w:t>
      </w:r>
      <w:r>
        <w:rPr>
          <w:rFonts w:hint="eastAsia" w:ascii="宋体" w:hAnsi="宋体" w:eastAsia="宋体" w:cs="宋体"/>
          <w:color w:val="auto"/>
          <w:szCs w:val="21"/>
          <w:highlight w:val="none"/>
          <w:lang w:val="en-US" w:eastAsia="zh-CN"/>
        </w:rPr>
        <w:t>回</w:t>
      </w:r>
      <w:r>
        <w:rPr>
          <w:rFonts w:hint="eastAsia" w:ascii="宋体" w:hAnsi="宋体" w:eastAsia="宋体" w:cs="宋体"/>
          <w:color w:val="auto"/>
          <w:szCs w:val="21"/>
          <w:highlight w:val="none"/>
          <w:lang w:val="zh-CN"/>
        </w:rPr>
        <w:t>投标，则不予退还我方投标保证金；</w:t>
      </w:r>
    </w:p>
    <w:p w14:paraId="30E1178B">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1E76F74D">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7C6478C6">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1B287A92">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2A4D37F9">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02B424AC">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21F6E953">
      <w:pPr>
        <w:autoSpaceDE w:val="0"/>
        <w:autoSpaceDN w:val="0"/>
        <w:adjustRightInd w:val="0"/>
        <w:spacing w:line="360" w:lineRule="auto"/>
        <w:ind w:firstLine="315" w:firstLineChars="150"/>
        <w:outlineLvl w:val="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2A46E45A">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65623D36">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7445811E">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35149ABD">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7AC8C458">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132A5B55">
      <w:pPr>
        <w:autoSpaceDE w:val="0"/>
        <w:autoSpaceDN w:val="0"/>
        <w:adjustRightInd w:val="0"/>
        <w:spacing w:line="360" w:lineRule="auto"/>
        <w:ind w:firstLine="4960" w:firstLineChars="2362"/>
        <w:rPr>
          <w:rFonts w:ascii="宋体" w:hAnsi="宋体" w:eastAsia="宋体" w:cs="宋体"/>
          <w:color w:val="auto"/>
          <w:szCs w:val="21"/>
          <w:highlight w:val="none"/>
          <w:lang w:val="zh-CN"/>
        </w:rPr>
      </w:pPr>
    </w:p>
    <w:p w14:paraId="340A7CE4">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12B21AEE">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（电子签名）</w:t>
      </w:r>
    </w:p>
    <w:p w14:paraId="26C0A6F0">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78EE1DC0">
      <w:pPr>
        <w:autoSpaceDE w:val="0"/>
        <w:autoSpaceDN w:val="0"/>
        <w:adjustRightInd w:val="0"/>
        <w:spacing w:line="360" w:lineRule="auto"/>
        <w:jc w:val="center"/>
        <w:rPr>
          <w:rFonts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说明：由投标人使用投标人的企业数字证书，法定代表人或其授权代表数字证书电子签名。</w:t>
      </w:r>
    </w:p>
    <w:p w14:paraId="0CADEE7D">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473" w:name="_Toc26992"/>
      <w:bookmarkStart w:id="474" w:name="_Toc486167710"/>
      <w:bookmarkStart w:id="475" w:name="_Toc140596922"/>
      <w:bookmarkStart w:id="476" w:name="_Toc533708122"/>
      <w:bookmarkStart w:id="477" w:name="_Toc102860068"/>
      <w:bookmarkStart w:id="478" w:name="_Toc9496"/>
      <w:bookmarkStart w:id="479" w:name="_Toc102860412"/>
      <w:bookmarkStart w:id="480" w:name="_Toc195714376"/>
      <w:bookmarkStart w:id="481" w:name="_Toc28613_WPSOffice_Level2"/>
      <w:bookmarkStart w:id="482" w:name="_Toc142508363"/>
      <w:bookmarkStart w:id="483" w:name="_Toc12417"/>
      <w:bookmarkStart w:id="484" w:name="_Toc30995"/>
      <w:bookmarkStart w:id="485" w:name="_Toc1977722"/>
      <w:bookmarkStart w:id="486" w:name="_Toc104991869"/>
      <w:bookmarkStart w:id="487" w:name="_Toc3104"/>
      <w:bookmarkStart w:id="488" w:name="_Toc21535"/>
      <w:bookmarkStart w:id="489" w:name="_Toc24901"/>
      <w:bookmarkStart w:id="490" w:name="_Toc94107203"/>
      <w:r>
        <w:rPr>
          <w:rFonts w:hint="eastAsia" w:ascii="宋体" w:hAnsi="宋体" w:eastAsia="宋体" w:cs="宋体"/>
          <w:b/>
          <w:color w:val="auto"/>
          <w:kern w:val="0"/>
          <w:sz w:val="32"/>
          <w:szCs w:val="32"/>
          <w:highlight w:val="none"/>
        </w:rPr>
        <w:t>二、投标承诺书格式</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63B62D88">
      <w:pPr>
        <w:autoSpaceDE w:val="0"/>
        <w:autoSpaceDN w:val="0"/>
        <w:adjustRightInd w:val="0"/>
        <w:spacing w:line="360" w:lineRule="auto"/>
        <w:jc w:val="center"/>
        <w:outlineLvl w:val="2"/>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14:paraId="3043FE21">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6B6291FC">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东莞市水务集团造价咨询服务单位库(2025-2026)采购项目</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 xml:space="preserve"> </w:t>
      </w:r>
      <w:r>
        <w:rPr>
          <w:rFonts w:hint="eastAsia" w:ascii="宋体" w:hAnsi="宋体" w:eastAsia="宋体" w:cs="Times New Roman"/>
          <w:color w:val="auto"/>
          <w:kern w:val="0"/>
          <w:szCs w:val="21"/>
          <w:highlight w:val="none"/>
          <w:lang w:val="en-US" w:eastAsia="zh-CN"/>
        </w:rPr>
        <w:t xml:space="preserve">     </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59062BE7">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若我方在投标或履行本合同过程中存在提供虚假材料、虚假响应招标文件要求等弄虚作假行为，或未能根据招标文件投标人须知第31</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45A31DC0">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72A5C6B9">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5E169835">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28796238">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04E47BA7">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（电子签名）</w:t>
      </w:r>
    </w:p>
    <w:p w14:paraId="1CB112FC">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13CCA06A">
      <w:pPr>
        <w:autoSpaceDE w:val="0"/>
        <w:autoSpaceDN w:val="0"/>
        <w:adjustRightInd w:val="0"/>
        <w:spacing w:line="360" w:lineRule="auto"/>
        <w:jc w:val="center"/>
        <w:rPr>
          <w:rFonts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说明：由投标人使用投标人的企业数字证书，法定代表人或其授权代表数字证书电子签名。</w:t>
      </w:r>
    </w:p>
    <w:p w14:paraId="01D82847">
      <w:pPr>
        <w:autoSpaceDE w:val="0"/>
        <w:autoSpaceDN w:val="0"/>
        <w:adjustRightInd w:val="0"/>
        <w:spacing w:line="360" w:lineRule="auto"/>
        <w:jc w:val="left"/>
        <w:rPr>
          <w:rFonts w:ascii="宋体" w:hAnsi="宋体" w:eastAsia="宋体" w:cs="宋体"/>
          <w:color w:val="auto"/>
          <w:kern w:val="0"/>
          <w:sz w:val="24"/>
          <w:szCs w:val="24"/>
          <w:highlight w:val="none"/>
        </w:rPr>
      </w:pPr>
      <w:bookmarkStart w:id="491" w:name="_Toc326768876"/>
      <w:bookmarkStart w:id="492" w:name="_Toc316896755"/>
      <w:bookmarkStart w:id="493" w:name="_Toc311032584"/>
    </w:p>
    <w:p w14:paraId="6A0A04C4">
      <w:pPr>
        <w:pageBreakBefore/>
        <w:autoSpaceDE w:val="0"/>
        <w:autoSpaceDN w:val="0"/>
        <w:adjustRightInd w:val="0"/>
        <w:spacing w:line="360" w:lineRule="auto"/>
        <w:jc w:val="left"/>
        <w:outlineLvl w:val="1"/>
        <w:rPr>
          <w:rFonts w:ascii="宋体" w:hAnsi="宋体" w:eastAsia="宋体" w:cs="宋体"/>
          <w:b/>
          <w:color w:val="auto"/>
          <w:kern w:val="44"/>
          <w:sz w:val="32"/>
          <w:szCs w:val="32"/>
          <w:highlight w:val="none"/>
        </w:rPr>
      </w:pPr>
      <w:bookmarkStart w:id="494" w:name="_Toc24336"/>
      <w:bookmarkStart w:id="495" w:name="_Toc102860413"/>
      <w:bookmarkStart w:id="496" w:name="_Toc94107204"/>
      <w:bookmarkStart w:id="497" w:name="_Toc82182546"/>
      <w:bookmarkStart w:id="498" w:name="_Toc12063"/>
      <w:bookmarkStart w:id="499" w:name="_Toc86764083"/>
      <w:bookmarkStart w:id="500" w:name="_Toc195714377"/>
      <w:bookmarkStart w:id="501" w:name="_Toc5075"/>
      <w:bookmarkStart w:id="502" w:name="_Toc104991870"/>
      <w:bookmarkStart w:id="503" w:name="_Toc142508364"/>
      <w:bookmarkStart w:id="504" w:name="_Toc26786"/>
      <w:bookmarkStart w:id="505" w:name="_Toc11649"/>
      <w:bookmarkStart w:id="506" w:name="_Toc3108"/>
      <w:bookmarkStart w:id="507" w:name="_Toc140596923"/>
      <w:bookmarkStart w:id="508" w:name="_Toc102860069"/>
      <w:bookmarkStart w:id="509" w:name="_Toc29910"/>
      <w:bookmarkStart w:id="510" w:name="_Toc486167711"/>
      <w:bookmarkStart w:id="511" w:name="_Toc533708123"/>
      <w:bookmarkStart w:id="512" w:name="_Toc7024_WPSOffice_Level2"/>
      <w:bookmarkStart w:id="513" w:name="_Toc1977723"/>
      <w:r>
        <w:rPr>
          <w:rFonts w:hint="eastAsia" w:ascii="宋体" w:hAnsi="宋体" w:eastAsia="宋体" w:cs="宋体"/>
          <w:b/>
          <w:color w:val="auto"/>
          <w:kern w:val="44"/>
          <w:sz w:val="32"/>
          <w:szCs w:val="32"/>
          <w:highlight w:val="none"/>
        </w:rPr>
        <w:t>三、供货及/或提供服务过程承诺函格式</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4018A7F7">
      <w:pPr>
        <w:autoSpaceDE w:val="0"/>
        <w:autoSpaceDN w:val="0"/>
        <w:adjustRightInd w:val="0"/>
        <w:spacing w:line="360" w:lineRule="auto"/>
        <w:jc w:val="center"/>
        <w:outlineLvl w:val="2"/>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039AC516">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东莞市水务集团有限公司</w:t>
      </w:r>
      <w:r>
        <w:rPr>
          <w:rFonts w:hint="eastAsia" w:ascii="宋体" w:hAnsi="宋体" w:eastAsia="宋体" w:cs="宋体"/>
          <w:color w:val="auto"/>
          <w:kern w:val="0"/>
          <w:szCs w:val="21"/>
          <w:highlight w:val="none"/>
        </w:rPr>
        <w:t>：</w:t>
      </w:r>
    </w:p>
    <w:p w14:paraId="75CC0D0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东莞市水务集团造价咨询服务单位库(2025-2026)采购项目</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 xml:space="preserve"> </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449C23F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680D84F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4E27615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71ED57A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150C6C2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64FE3DC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4E80933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686FAD0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60D36AB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4DC5D3B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1DA1615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5B5B80F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573DF93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60DCD7A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0D66E421">
      <w:pPr>
        <w:autoSpaceDE w:val="0"/>
        <w:autoSpaceDN w:val="0"/>
        <w:adjustRightInd w:val="0"/>
        <w:spacing w:line="360" w:lineRule="auto"/>
        <w:ind w:firstLine="420" w:firstLineChars="200"/>
        <w:jc w:val="left"/>
        <w:outlineLvl w:val="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6A9D9D1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1E841C2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44222A0A">
      <w:pPr>
        <w:autoSpaceDE w:val="0"/>
        <w:autoSpaceDN w:val="0"/>
        <w:adjustRightInd w:val="0"/>
        <w:spacing w:line="360" w:lineRule="auto"/>
        <w:ind w:firstLine="420" w:firstLineChars="200"/>
        <w:jc w:val="left"/>
        <w:outlineLvl w:val="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5BF0569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3B9E34D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13、我方承诺接受招标人的检查与监督，并主动配合，做好安全工作，凡有违反上述条款的即视为我方违约，招标人有权视情况从货物/服务价款中扣除2000元/次作为违约金。</w:t>
      </w:r>
    </w:p>
    <w:p w14:paraId="403B0D5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323FF2AD">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3C931C63">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3A2ED37B">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（电子签名）</w:t>
      </w:r>
    </w:p>
    <w:p w14:paraId="30E741AB">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618C2971">
      <w:pPr>
        <w:autoSpaceDE w:val="0"/>
        <w:autoSpaceDN w:val="0"/>
        <w:adjustRightInd w:val="0"/>
        <w:spacing w:line="360" w:lineRule="auto"/>
        <w:jc w:val="center"/>
        <w:rPr>
          <w:rFonts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说明：由投标人使用投标人的企业数字证书，法定代表人或其授权代表数字证书电子签名。</w:t>
      </w:r>
    </w:p>
    <w:p w14:paraId="1AAE14B9">
      <w:pPr>
        <w:autoSpaceDE w:val="0"/>
        <w:autoSpaceDN w:val="0"/>
        <w:adjustRightInd w:val="0"/>
        <w:spacing w:line="360" w:lineRule="auto"/>
        <w:ind w:right="420" w:firstLine="5760" w:firstLineChars="2400"/>
        <w:jc w:val="left"/>
        <w:rPr>
          <w:rFonts w:ascii="宋体" w:hAnsi="宋体" w:eastAsia="宋体" w:cs="宋体"/>
          <w:color w:val="auto"/>
          <w:kern w:val="0"/>
          <w:sz w:val="24"/>
          <w:szCs w:val="24"/>
          <w:highlight w:val="none"/>
        </w:rPr>
      </w:pPr>
    </w:p>
    <w:bookmarkEnd w:id="510"/>
    <w:bookmarkEnd w:id="511"/>
    <w:bookmarkEnd w:id="512"/>
    <w:bookmarkEnd w:id="513"/>
    <w:p w14:paraId="2A79CA1B">
      <w:pPr>
        <w:tabs>
          <w:tab w:val="left" w:pos="567"/>
        </w:tabs>
        <w:autoSpaceDE w:val="0"/>
        <w:autoSpaceDN w:val="0"/>
        <w:adjustRightInd w:val="0"/>
        <w:spacing w:line="360" w:lineRule="auto"/>
        <w:jc w:val="left"/>
        <w:outlineLvl w:val="1"/>
        <w:rPr>
          <w:rFonts w:ascii="宋体" w:hAnsi="宋体" w:eastAsia="宋体" w:cs="宋体"/>
          <w:b/>
          <w:color w:val="auto"/>
          <w:kern w:val="0"/>
          <w:sz w:val="32"/>
          <w:szCs w:val="32"/>
          <w:highlight w:val="none"/>
        </w:rPr>
      </w:pPr>
      <w:r>
        <w:rPr>
          <w:rFonts w:ascii="宋体" w:hAnsi="宋体" w:eastAsia="宋体" w:cs="Times New Roman"/>
          <w:color w:val="auto"/>
          <w:szCs w:val="24"/>
          <w:highlight w:val="none"/>
          <w:lang w:val="zh-CN"/>
        </w:rPr>
        <w:br w:type="page"/>
      </w:r>
      <w:bookmarkStart w:id="514" w:name="_Toc142508369"/>
      <w:bookmarkStart w:id="515" w:name="_Toc26516"/>
      <w:bookmarkStart w:id="516" w:name="_Toc140596928"/>
      <w:bookmarkStart w:id="517" w:name="_Toc25034"/>
      <w:bookmarkStart w:id="518" w:name="_Toc94107209"/>
      <w:bookmarkStart w:id="519" w:name="_Toc19708"/>
      <w:bookmarkStart w:id="520" w:name="_Toc6190"/>
      <w:bookmarkStart w:id="521" w:name="_Toc195714382"/>
      <w:bookmarkStart w:id="522" w:name="_Toc102860418"/>
      <w:bookmarkStart w:id="523" w:name="_Toc1977725"/>
      <w:bookmarkStart w:id="524" w:name="_Toc23083"/>
      <w:bookmarkStart w:id="525" w:name="_Toc102860074"/>
      <w:bookmarkStart w:id="526" w:name="_Toc21067"/>
      <w:bookmarkStart w:id="527" w:name="_Toc25659"/>
      <w:bookmarkStart w:id="528" w:name="_Toc104991875"/>
      <w:bookmarkStart w:id="529" w:name="_Toc533708124"/>
      <w:bookmarkStart w:id="530" w:name="_Toc486167712"/>
      <w:bookmarkStart w:id="531" w:name="_Toc20759_WPSOffice_Level2"/>
      <w:r>
        <w:rPr>
          <w:rFonts w:hint="eastAsia" w:ascii="宋体" w:hAnsi="宋体" w:eastAsia="宋体" w:cs="宋体"/>
          <w:b/>
          <w:bCs/>
          <w:color w:val="auto"/>
          <w:sz w:val="30"/>
          <w:szCs w:val="30"/>
          <w:highlight w:val="none"/>
          <w:lang w:val="en-US" w:eastAsia="zh-CN"/>
        </w:rPr>
        <w:t>四</w:t>
      </w:r>
      <w:r>
        <w:rPr>
          <w:rFonts w:hint="eastAsia" w:ascii="宋体" w:hAnsi="宋体" w:eastAsia="宋体" w:cs="宋体"/>
          <w:b/>
          <w:color w:val="auto"/>
          <w:kern w:val="0"/>
          <w:sz w:val="32"/>
          <w:szCs w:val="32"/>
          <w:highlight w:val="none"/>
        </w:rPr>
        <w:t>、投标人资格证明文件</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780CD327">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532" w:name="_Toc22003"/>
      <w:bookmarkStart w:id="533" w:name="_Toc3267"/>
      <w:bookmarkStart w:id="534" w:name="_Toc104991876"/>
      <w:bookmarkStart w:id="535" w:name="_Toc94107210"/>
      <w:bookmarkStart w:id="536" w:name="_Toc5002"/>
      <w:bookmarkStart w:id="537" w:name="_Toc195714383"/>
      <w:bookmarkStart w:id="538" w:name="_Toc102860419"/>
      <w:bookmarkStart w:id="539" w:name="_Toc142508370"/>
      <w:bookmarkStart w:id="540" w:name="_Toc6502"/>
      <w:bookmarkStart w:id="541" w:name="_Toc140596929"/>
      <w:bookmarkStart w:id="542" w:name="_Toc29874"/>
      <w:bookmarkStart w:id="543" w:name="_Toc102860075"/>
      <w:bookmarkStart w:id="544" w:name="_Toc25267"/>
      <w:bookmarkStart w:id="545" w:name="_Toc17358"/>
      <w:bookmarkStart w:id="546" w:name="_Toc1977726"/>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.1 多证合一营业执照（或事业单位法人证书）原件扫描件</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09DE9DA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20AEFE3">
      <w:pPr>
        <w:tabs>
          <w:tab w:val="left" w:pos="567"/>
        </w:tabs>
        <w:autoSpaceDE w:val="0"/>
        <w:autoSpaceDN w:val="0"/>
        <w:adjustRightInd w:val="0"/>
        <w:spacing w:line="360" w:lineRule="auto"/>
        <w:ind w:firstLine="316" w:firstLineChars="150"/>
        <w:jc w:val="left"/>
        <w:outlineLvl w:val="9"/>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64CBBF38">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547" w:name="_Toc142508371"/>
      <w:bookmarkStart w:id="548" w:name="_Toc195714384"/>
      <w:bookmarkStart w:id="549" w:name="_Toc94107211"/>
      <w:bookmarkStart w:id="550" w:name="_Toc102860420"/>
      <w:bookmarkStart w:id="551" w:name="_Toc7756"/>
      <w:bookmarkStart w:id="552" w:name="_Toc102860076"/>
      <w:bookmarkStart w:id="553" w:name="_Toc2750"/>
      <w:bookmarkStart w:id="554" w:name="_Toc104991877"/>
      <w:bookmarkStart w:id="555" w:name="_Toc2188"/>
      <w:bookmarkStart w:id="556" w:name="_Toc25013"/>
      <w:bookmarkStart w:id="557" w:name="_Toc27861"/>
      <w:bookmarkStart w:id="558" w:name="_Toc18165"/>
      <w:bookmarkStart w:id="559" w:name="_Toc140596930"/>
      <w:bookmarkStart w:id="560" w:name="_Toc11158"/>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.2 开户许可证原件扫描件（基本存款账户），如投标人企业银行账户开户所在地区已取消企业银行账户许可，投标人应提供基本存款账户开户名称、开户银行、账号、编号等信息及相关备案证明（如有）或其他能证明其为基本存款账户的资料原件扫描件</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6004BFC4">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561" w:name="_Toc195714385"/>
      <w:bookmarkStart w:id="562" w:name="_Toc17499"/>
      <w:bookmarkStart w:id="563" w:name="_Toc104991878"/>
      <w:bookmarkStart w:id="564" w:name="_Toc102860421"/>
      <w:bookmarkStart w:id="565" w:name="_Toc7441"/>
      <w:bookmarkStart w:id="566" w:name="_Toc140596931"/>
      <w:bookmarkStart w:id="567" w:name="_Toc142508372"/>
      <w:bookmarkStart w:id="568" w:name="_Toc94107212"/>
      <w:bookmarkStart w:id="569" w:name="_Toc9132"/>
      <w:bookmarkStart w:id="570" w:name="_Toc102860077"/>
      <w:bookmarkStart w:id="571" w:name="_Toc13128"/>
      <w:bookmarkStart w:id="572" w:name="_Toc2018"/>
      <w:bookmarkStart w:id="573" w:name="_Toc10802"/>
      <w:bookmarkStart w:id="574" w:name="_Toc10733"/>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法定代表人身份证明书、法定代表人授权书格式（法定代表人投标时只需提供法定代表人身份证明书，委托他人为投标代表或签署投标文件时需同时提供法定代表人授权书）</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3543C35C">
      <w:pPr>
        <w:spacing w:before="120" w:after="120" w:line="360" w:lineRule="auto"/>
        <w:ind w:firstLine="426" w:firstLineChars="202"/>
        <w:outlineLvl w:val="3"/>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529"/>
      <w:bookmarkEnd w:id="530"/>
      <w:bookmarkEnd w:id="531"/>
      <w:bookmarkEnd w:id="546"/>
    </w:p>
    <w:p w14:paraId="31B8CC80">
      <w:pPr>
        <w:spacing w:before="120" w:after="120" w:line="360" w:lineRule="auto"/>
        <w:ind w:firstLine="608" w:firstLineChars="202"/>
        <w:jc w:val="center"/>
        <w:outlineLvl w:val="4"/>
        <w:rPr>
          <w:rFonts w:ascii="宋体" w:hAnsi="宋体" w:eastAsia="宋体" w:cs="宋体"/>
          <w:b/>
          <w:bCs/>
          <w:color w:val="auto"/>
          <w:sz w:val="30"/>
          <w:szCs w:val="30"/>
          <w:highlight w:val="none"/>
        </w:rPr>
      </w:pPr>
      <w:bookmarkStart w:id="575" w:name="_Toc11033_WPSOffice_Level3"/>
      <w:r>
        <w:rPr>
          <w:rFonts w:hint="eastAsia" w:ascii="宋体" w:hAnsi="宋体" w:eastAsia="宋体" w:cs="宋体"/>
          <w:b/>
          <w:color w:val="auto"/>
          <w:sz w:val="30"/>
          <w:szCs w:val="30"/>
          <w:highlight w:val="none"/>
        </w:rPr>
        <w:t>法定代</w:t>
      </w:r>
      <w:bookmarkStart w:id="576" w:name="_Toc36971359"/>
      <w:bookmarkStart w:id="577" w:name="_Toc45995270"/>
      <w:r>
        <w:rPr>
          <w:rFonts w:hint="eastAsia" w:ascii="宋体" w:hAnsi="宋体" w:eastAsia="宋体" w:cs="宋体"/>
          <w:b/>
          <w:color w:val="auto"/>
          <w:sz w:val="30"/>
          <w:szCs w:val="30"/>
          <w:highlight w:val="none"/>
        </w:rPr>
        <w:t>表人身份证明书</w:t>
      </w:r>
      <w:bookmarkEnd w:id="575"/>
    </w:p>
    <w:bookmarkEnd w:id="576"/>
    <w:bookmarkEnd w:id="577"/>
    <w:p w14:paraId="412A404E">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50D46AC7">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2287BB55">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62ED62E3">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4629E105">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33A51645">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72337530">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附 法定代表人身份证原件扫描件</w:t>
      </w:r>
    </w:p>
    <w:p w14:paraId="7E5FBB49">
      <w:pPr>
        <w:snapToGrid w:val="0"/>
        <w:spacing w:line="360" w:lineRule="auto"/>
        <w:ind w:firstLine="3465" w:firstLineChars="1650"/>
        <w:rPr>
          <w:rFonts w:ascii="宋体" w:hAnsi="宋体" w:eastAsia="宋体" w:cs="Times New Roman"/>
          <w:color w:val="auto"/>
          <w:kern w:val="3"/>
          <w:szCs w:val="24"/>
          <w:highlight w:val="none"/>
        </w:rPr>
      </w:pPr>
    </w:p>
    <w:p w14:paraId="00C35110">
      <w:pPr>
        <w:snapToGrid w:val="0"/>
        <w:spacing w:line="360" w:lineRule="auto"/>
        <w:ind w:firstLine="3465" w:firstLineChars="1650"/>
        <w:rPr>
          <w:rFonts w:ascii="宋体" w:hAnsi="宋体" w:eastAsia="宋体" w:cs="Times New Roman"/>
          <w:color w:val="auto"/>
          <w:kern w:val="3"/>
          <w:szCs w:val="24"/>
          <w:highlight w:val="none"/>
          <w:u w:val="single"/>
        </w:rPr>
      </w:pPr>
      <w:r>
        <w:rPr>
          <w:rFonts w:ascii="宋体" w:hAnsi="宋体" w:eastAsia="宋体" w:cs="Times New Roman"/>
          <w:color w:val="auto"/>
          <w:kern w:val="3"/>
          <w:szCs w:val="24"/>
          <w:highlight w:val="none"/>
        </w:rPr>
        <w:t>投 标 人：</w:t>
      </w:r>
      <w:r>
        <w:rPr>
          <w:rFonts w:ascii="宋体" w:hAnsi="宋体" w:eastAsia="宋体" w:cs="Times New Roman"/>
          <w:color w:val="auto"/>
          <w:kern w:val="3"/>
          <w:szCs w:val="24"/>
          <w:highlight w:val="none"/>
          <w:u w:val="single"/>
        </w:rPr>
        <w:t xml:space="preserve">             </w:t>
      </w:r>
      <w:r>
        <w:rPr>
          <w:rFonts w:hint="eastAsia" w:ascii="宋体" w:hAnsi="宋体" w:eastAsia="宋体" w:cs="Times New Roman"/>
          <w:color w:val="auto"/>
          <w:szCs w:val="21"/>
          <w:highlight w:val="none"/>
          <w:u w:val="single"/>
        </w:rPr>
        <w:t>（企业数字证书电子签名）</w:t>
      </w:r>
    </w:p>
    <w:p w14:paraId="431C7AE2">
      <w:pPr>
        <w:spacing w:before="120" w:after="120" w:line="360" w:lineRule="auto"/>
        <w:ind w:left="340" w:leftChars="162" w:firstLine="47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614377CD">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1F5FED98"/>
                          <w:p w14:paraId="6F10E5BE"/>
                          <w:p w14:paraId="3D233472"/>
                          <w:p w14:paraId="146B269B"/>
                          <w:p w14:paraId="5BB0266E">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1F5FED98"/>
                    <w:p w14:paraId="6F10E5BE"/>
                    <w:p w14:paraId="3D233472"/>
                    <w:p w14:paraId="146B269B"/>
                    <w:p w14:paraId="5BB0266E">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598B9455"/>
                          <w:p w14:paraId="20C39FE8"/>
                          <w:p w14:paraId="7E9CD579"/>
                          <w:p w14:paraId="5C9F781D"/>
                          <w:p w14:paraId="30D43B21">
                            <w:pPr>
                              <w:jc w:val="center"/>
                              <w:rPr>
                                <w:szCs w:val="21"/>
                              </w:rPr>
                            </w:pPr>
                            <w:r>
                              <w:rPr>
                                <w:rFonts w:hint="eastAsia"/>
                                <w:szCs w:val="21"/>
                              </w:rPr>
                              <w:t>法定代表人身份证反面</w:t>
                            </w:r>
                          </w:p>
                          <w:p w14:paraId="35022100">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598B9455"/>
                    <w:p w14:paraId="20C39FE8"/>
                    <w:p w14:paraId="7E9CD579"/>
                    <w:p w14:paraId="5C9F781D"/>
                    <w:p w14:paraId="30D43B21">
                      <w:pPr>
                        <w:jc w:val="center"/>
                        <w:rPr>
                          <w:szCs w:val="21"/>
                        </w:rPr>
                      </w:pPr>
                      <w:r>
                        <w:rPr>
                          <w:rFonts w:hint="eastAsia"/>
                          <w:szCs w:val="21"/>
                        </w:rPr>
                        <w:t>法定代表人身份证反面</w:t>
                      </w:r>
                    </w:p>
                    <w:p w14:paraId="35022100">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36260AB"/>
                          <w:p w14:paraId="1E2103D7"/>
                          <w:p w14:paraId="09F29858"/>
                          <w:p w14:paraId="42F7078B"/>
                          <w:p w14:paraId="5D3942BA">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336260AB"/>
                    <w:p w14:paraId="1E2103D7"/>
                    <w:p w14:paraId="09F29858"/>
                    <w:p w14:paraId="42F7078B"/>
                    <w:p w14:paraId="5D3942BA">
                      <w:pPr>
                        <w:jc w:val="center"/>
                      </w:pPr>
                      <w:r>
                        <w:rPr>
                          <w:rFonts w:hint="eastAsia"/>
                        </w:rPr>
                        <w:t>身份证正面</w:t>
                      </w:r>
                    </w:p>
                  </w:txbxContent>
                </v:textbox>
              </v:shape>
            </w:pict>
          </mc:Fallback>
        </mc:AlternateContent>
      </w:r>
    </w:p>
    <w:p w14:paraId="341CFA97">
      <w:pPr>
        <w:autoSpaceDE w:val="0"/>
        <w:autoSpaceDN w:val="0"/>
        <w:adjustRightInd w:val="0"/>
        <w:jc w:val="left"/>
        <w:rPr>
          <w:rFonts w:ascii="宋体" w:hAnsi="宋体" w:eastAsia="宋体" w:cs="宋体"/>
          <w:color w:val="auto"/>
          <w:kern w:val="0"/>
          <w:sz w:val="24"/>
          <w:szCs w:val="24"/>
          <w:highlight w:val="none"/>
        </w:rPr>
      </w:pPr>
    </w:p>
    <w:p w14:paraId="213F05FD">
      <w:pPr>
        <w:autoSpaceDE w:val="0"/>
        <w:autoSpaceDN w:val="0"/>
        <w:adjustRightInd w:val="0"/>
        <w:jc w:val="left"/>
        <w:rPr>
          <w:rFonts w:ascii="宋体" w:hAnsi="宋体" w:eastAsia="宋体" w:cs="宋体"/>
          <w:color w:val="auto"/>
          <w:kern w:val="0"/>
          <w:sz w:val="24"/>
          <w:szCs w:val="24"/>
          <w:highlight w:val="none"/>
        </w:rPr>
      </w:pPr>
    </w:p>
    <w:p w14:paraId="3EEEBA63">
      <w:pPr>
        <w:autoSpaceDE w:val="0"/>
        <w:autoSpaceDN w:val="0"/>
        <w:adjustRightInd w:val="0"/>
        <w:jc w:val="left"/>
        <w:rPr>
          <w:rFonts w:ascii="宋体" w:hAnsi="宋体" w:eastAsia="宋体" w:cs="宋体"/>
          <w:color w:val="auto"/>
          <w:kern w:val="0"/>
          <w:sz w:val="24"/>
          <w:szCs w:val="24"/>
          <w:highlight w:val="none"/>
        </w:rPr>
      </w:pPr>
    </w:p>
    <w:p w14:paraId="024567BA">
      <w:pPr>
        <w:autoSpaceDE w:val="0"/>
        <w:autoSpaceDN w:val="0"/>
        <w:adjustRightInd w:val="0"/>
        <w:jc w:val="left"/>
        <w:rPr>
          <w:rFonts w:ascii="宋体" w:hAnsi="宋体" w:eastAsia="宋体" w:cs="宋体"/>
          <w:color w:val="auto"/>
          <w:kern w:val="0"/>
          <w:sz w:val="24"/>
          <w:szCs w:val="24"/>
          <w:highlight w:val="none"/>
        </w:rPr>
      </w:pPr>
    </w:p>
    <w:p w14:paraId="636EE6C6">
      <w:pPr>
        <w:autoSpaceDE w:val="0"/>
        <w:autoSpaceDN w:val="0"/>
        <w:adjustRightInd w:val="0"/>
        <w:jc w:val="left"/>
        <w:rPr>
          <w:rFonts w:ascii="宋体" w:hAnsi="宋体" w:eastAsia="宋体" w:cs="宋体"/>
          <w:color w:val="auto"/>
          <w:kern w:val="0"/>
          <w:sz w:val="24"/>
          <w:szCs w:val="24"/>
          <w:highlight w:val="none"/>
        </w:rPr>
      </w:pPr>
    </w:p>
    <w:p w14:paraId="52FE2C28">
      <w:pPr>
        <w:autoSpaceDE w:val="0"/>
        <w:autoSpaceDN w:val="0"/>
        <w:adjustRightInd w:val="0"/>
        <w:jc w:val="left"/>
        <w:rPr>
          <w:rFonts w:ascii="宋体" w:hAnsi="宋体" w:eastAsia="宋体" w:cs="宋体"/>
          <w:color w:val="auto"/>
          <w:kern w:val="0"/>
          <w:sz w:val="24"/>
          <w:szCs w:val="24"/>
          <w:highlight w:val="none"/>
        </w:rPr>
      </w:pPr>
    </w:p>
    <w:p w14:paraId="7CD8EF63">
      <w:pPr>
        <w:autoSpaceDE w:val="0"/>
        <w:autoSpaceDN w:val="0"/>
        <w:adjustRightInd w:val="0"/>
        <w:jc w:val="left"/>
        <w:rPr>
          <w:rFonts w:ascii="宋体" w:hAnsi="宋体" w:eastAsia="宋体" w:cs="宋体"/>
          <w:color w:val="auto"/>
          <w:kern w:val="0"/>
          <w:sz w:val="24"/>
          <w:szCs w:val="24"/>
          <w:highlight w:val="none"/>
        </w:rPr>
      </w:pPr>
    </w:p>
    <w:p w14:paraId="1F50D948">
      <w:pPr>
        <w:autoSpaceDE w:val="0"/>
        <w:autoSpaceDN w:val="0"/>
        <w:adjustRightInd w:val="0"/>
        <w:jc w:val="left"/>
        <w:rPr>
          <w:rFonts w:ascii="宋体" w:hAnsi="宋体" w:eastAsia="宋体" w:cs="宋体"/>
          <w:color w:val="auto"/>
          <w:kern w:val="0"/>
          <w:sz w:val="24"/>
          <w:szCs w:val="24"/>
          <w:highlight w:val="none"/>
        </w:rPr>
      </w:pPr>
    </w:p>
    <w:p w14:paraId="25CB5DE9">
      <w:pPr>
        <w:autoSpaceDE w:val="0"/>
        <w:autoSpaceDN w:val="0"/>
        <w:adjustRightInd w:val="0"/>
        <w:jc w:val="left"/>
        <w:rPr>
          <w:rFonts w:ascii="宋体" w:hAnsi="宋体" w:eastAsia="宋体" w:cs="宋体"/>
          <w:color w:val="auto"/>
          <w:kern w:val="0"/>
          <w:sz w:val="24"/>
          <w:szCs w:val="24"/>
          <w:highlight w:val="none"/>
        </w:rPr>
      </w:pPr>
    </w:p>
    <w:p w14:paraId="25D5542E">
      <w:pPr>
        <w:autoSpaceDE w:val="0"/>
        <w:autoSpaceDN w:val="0"/>
        <w:adjustRightInd w:val="0"/>
        <w:jc w:val="left"/>
        <w:rPr>
          <w:rFonts w:ascii="宋体" w:hAnsi="宋体" w:eastAsia="宋体" w:cs="宋体"/>
          <w:b/>
          <w:color w:val="auto"/>
          <w:kern w:val="0"/>
          <w:szCs w:val="21"/>
          <w:highlight w:val="none"/>
        </w:rPr>
      </w:pPr>
    </w:p>
    <w:p w14:paraId="2B30C45D">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215E49A1">
      <w:pPr>
        <w:autoSpaceDE w:val="0"/>
        <w:autoSpaceDN w:val="0"/>
        <w:adjustRightInd w:val="0"/>
        <w:jc w:val="left"/>
        <w:rPr>
          <w:rFonts w:ascii="宋体" w:hAnsi="宋体" w:eastAsia="宋体" w:cs="宋体"/>
          <w:color w:val="auto"/>
          <w:kern w:val="0"/>
          <w:szCs w:val="21"/>
          <w:highlight w:val="none"/>
        </w:rPr>
      </w:pPr>
    </w:p>
    <w:p w14:paraId="7138A233">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说明：由投标人使用投标人的企业数字证书电子签名。</w:t>
      </w:r>
      <w:r>
        <w:rPr>
          <w:rFonts w:hint="eastAsia" w:ascii="宋体" w:hAnsi="宋体" w:eastAsia="宋体" w:cs="宋体"/>
          <w:color w:val="auto"/>
          <w:szCs w:val="24"/>
          <w:highlight w:val="none"/>
          <w:lang w:val="zh-CN"/>
        </w:rPr>
        <w:br w:type="page"/>
      </w:r>
      <w:bookmarkEnd w:id="491"/>
      <w:bookmarkEnd w:id="492"/>
      <w:bookmarkEnd w:id="493"/>
      <w:bookmarkStart w:id="578" w:name="_Toc533708125"/>
      <w:bookmarkStart w:id="579" w:name="_Toc1977727"/>
      <w:bookmarkStart w:id="580" w:name="_Toc486167713"/>
      <w:bookmarkStart w:id="581" w:name="_Toc6240_WPSOffice_Level2"/>
      <w:r>
        <w:rPr>
          <w:rFonts w:hint="eastAsia" w:ascii="宋体" w:hAnsi="宋体" w:eastAsia="宋体" w:cs="宋体"/>
          <w:b/>
          <w:color w:val="auto"/>
          <w:szCs w:val="24"/>
          <w:highlight w:val="none"/>
        </w:rPr>
        <w:t>（2）法定代表人授权书格式</w:t>
      </w:r>
      <w:bookmarkEnd w:id="578"/>
      <w:bookmarkEnd w:id="579"/>
      <w:bookmarkEnd w:id="580"/>
      <w:bookmarkEnd w:id="581"/>
    </w:p>
    <w:p w14:paraId="596B354B">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3E4968C8">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582" w:name="_Toc29146_WPSOffice_Level3"/>
      <w:r>
        <w:rPr>
          <w:rFonts w:hint="eastAsia" w:ascii="宋体" w:hAnsi="宋体" w:eastAsia="宋体" w:cs="宋体"/>
          <w:b/>
          <w:bCs/>
          <w:color w:val="auto"/>
          <w:sz w:val="30"/>
          <w:szCs w:val="30"/>
          <w:highlight w:val="none"/>
          <w:lang w:val="zh-CN"/>
        </w:rPr>
        <w:t>法定代表人授权书</w:t>
      </w:r>
      <w:bookmarkEnd w:id="582"/>
    </w:p>
    <w:p w14:paraId="41A2FF2F">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致：东莞市水务集团有限公司</w:t>
      </w:r>
    </w:p>
    <w:p w14:paraId="1CA295D4">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东莞市水务集团造价咨询服务单位库(2025-2026)采购项目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应评标委员会的要求对投标文件进行澄清、进行合同谈判和签署合同，以我公司的名义处理一切与本次投标有关的事宜，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6A9F8209">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1C1FD887">
      <w:pPr>
        <w:spacing w:before="120" w:after="120" w:line="360" w:lineRule="auto"/>
        <w:ind w:left="348" w:leftChars="136" w:hanging="62"/>
        <w:rPr>
          <w:rFonts w:ascii="宋体" w:hAnsi="宋体" w:eastAsia="宋体" w:cs="宋体"/>
          <w:color w:val="auto"/>
          <w:szCs w:val="24"/>
          <w:highlight w:val="none"/>
        </w:rPr>
      </w:pPr>
    </w:p>
    <w:p w14:paraId="00D3C7E4">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lang w:val="zh-CN"/>
        </w:rPr>
        <w:t>（企业数字证书电子签名）</w:t>
      </w:r>
    </w:p>
    <w:p w14:paraId="78378A76">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5893B73E">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lang w:val="zh-CN"/>
        </w:rPr>
        <w:t>（电子签名）</w:t>
      </w:r>
    </w:p>
    <w:p w14:paraId="6E4AFC67">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5619AB3B">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lang w:val="zh-CN"/>
        </w:rPr>
        <w:t>（电子签名）</w:t>
      </w:r>
    </w:p>
    <w:p w14:paraId="6ED79BB8">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7700EEC2">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2DF46CB6">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39BC4DE0">
      <w:pPr>
        <w:pStyle w:val="39"/>
        <w:widowControl w:val="0"/>
        <w:snapToGrid w:val="0"/>
        <w:spacing w:before="0" w:beforeAutospacing="0" w:after="0" w:afterAutospacing="0" w:line="360" w:lineRule="auto"/>
        <w:jc w:val="center"/>
        <w:rPr>
          <w:rFonts w:eastAsia="宋体" w:cs="宋体"/>
          <w:b/>
          <w:color w:val="auto"/>
          <w:sz w:val="21"/>
          <w:szCs w:val="21"/>
          <w:highlight w:val="none"/>
          <w:lang w:bidi="ar"/>
        </w:rPr>
      </w:pPr>
    </w:p>
    <w:p w14:paraId="2057A490">
      <w:pPr>
        <w:widowControl/>
        <w:autoSpaceDE w:val="0"/>
        <w:autoSpaceDN w:val="0"/>
        <w:spacing w:before="120" w:after="120" w:line="360" w:lineRule="auto"/>
        <w:ind w:right="781" w:rightChars="372" w:firstLine="422" w:firstLineChars="200"/>
        <w:textAlignment w:val="bottom"/>
        <w:rPr>
          <w:rFonts w:ascii="宋体" w:hAnsi="宋体" w:eastAsia="宋体" w:cs="宋体"/>
          <w:color w:val="auto"/>
          <w:szCs w:val="24"/>
          <w:highlight w:val="none"/>
        </w:rPr>
      </w:pPr>
      <w:r>
        <w:rPr>
          <w:rFonts w:hint="eastAsia" w:ascii="宋体" w:hAnsi="宋体" w:eastAsia="宋体" w:cs="宋体"/>
          <w:b/>
          <w:bCs/>
          <w:color w:val="auto"/>
          <w:sz w:val="21"/>
          <w:szCs w:val="21"/>
          <w:highlight w:val="none"/>
          <w:u w:val="single"/>
          <w:lang w:bidi="ar"/>
        </w:rPr>
        <w:t>说明：由投标人使用投标人的企业数字证书，法定代表人</w:t>
      </w:r>
      <w:r>
        <w:rPr>
          <w:rFonts w:hint="eastAsia" w:ascii="宋体" w:hAnsi="宋体" w:eastAsia="宋体" w:cs="宋体"/>
          <w:b/>
          <w:bCs/>
          <w:color w:val="auto"/>
          <w:sz w:val="21"/>
          <w:szCs w:val="21"/>
          <w:highlight w:val="none"/>
          <w:u w:val="single"/>
          <w:lang w:eastAsia="zh-CN" w:bidi="ar"/>
        </w:rPr>
        <w:t>、</w:t>
      </w:r>
      <w:r>
        <w:rPr>
          <w:rFonts w:hint="eastAsia" w:ascii="宋体" w:hAnsi="宋体" w:eastAsia="宋体" w:cs="宋体"/>
          <w:b/>
          <w:bCs/>
          <w:color w:val="auto"/>
          <w:sz w:val="21"/>
          <w:szCs w:val="21"/>
          <w:highlight w:val="none"/>
          <w:u w:val="single"/>
          <w:lang w:bidi="ar"/>
        </w:rPr>
        <w:t>其授权代表数字证书电子签名。</w:t>
      </w: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法定代表人、被授权人身份证原件扫描件</w:t>
      </w:r>
    </w:p>
    <w:p w14:paraId="662E499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73A8C81C"/>
                          <w:p w14:paraId="603364B0"/>
                          <w:p w14:paraId="58DB2409"/>
                          <w:p w14:paraId="14F3838B"/>
                          <w:p w14:paraId="2177B174">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73A8C81C"/>
                    <w:p w14:paraId="603364B0"/>
                    <w:p w14:paraId="58DB2409"/>
                    <w:p w14:paraId="14F3838B"/>
                    <w:p w14:paraId="2177B174">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4526DB07"/>
                          <w:p w14:paraId="26E126B5"/>
                          <w:p w14:paraId="7242016C"/>
                          <w:p w14:paraId="184D6957"/>
                          <w:p w14:paraId="363BBB04">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4526DB07"/>
                    <w:p w14:paraId="26E126B5"/>
                    <w:p w14:paraId="7242016C"/>
                    <w:p w14:paraId="184D6957"/>
                    <w:p w14:paraId="363BBB04">
                      <w:pPr>
                        <w:jc w:val="center"/>
                        <w:rPr>
                          <w:rFonts w:hAnsi="宋体"/>
                        </w:rPr>
                      </w:pPr>
                      <w:r>
                        <w:rPr>
                          <w:rFonts w:hint="eastAsia" w:hAnsi="宋体"/>
                        </w:rPr>
                        <w:t>法定代表人身份证正面</w:t>
                      </w:r>
                    </w:p>
                  </w:txbxContent>
                </v:textbox>
              </v:shape>
            </w:pict>
          </mc:Fallback>
        </mc:AlternateContent>
      </w:r>
    </w:p>
    <w:p w14:paraId="05ABC82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02F325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6E645F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E65445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68A477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B91C03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B30402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BF6195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4F0905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666D0EB2"/>
                          <w:p w14:paraId="276D2297">
                            <w:pPr>
                              <w:jc w:val="center"/>
                              <w:rPr>
                                <w:rFonts w:hAnsi="宋体"/>
                                <w:color w:val="FF0000"/>
                              </w:rPr>
                            </w:pPr>
                          </w:p>
                          <w:p w14:paraId="35240E0C">
                            <w:pPr>
                              <w:jc w:val="center"/>
                              <w:rPr>
                                <w:rFonts w:hAnsi="宋体"/>
                                <w:color w:val="FF0000"/>
                              </w:rPr>
                            </w:pPr>
                          </w:p>
                          <w:p w14:paraId="63EE2F37">
                            <w:pPr>
                              <w:jc w:val="center"/>
                              <w:rPr>
                                <w:rFonts w:hAnsi="宋体"/>
                                <w:color w:val="FF0000"/>
                              </w:rPr>
                            </w:pPr>
                          </w:p>
                          <w:p w14:paraId="4925EE7E">
                            <w:pPr>
                              <w:jc w:val="center"/>
                            </w:pPr>
                            <w:r>
                              <w:rPr>
                                <w:rFonts w:hint="eastAsia" w:hAnsi="宋体"/>
                              </w:rPr>
                              <w:t>被授权人身份证反面</w:t>
                            </w:r>
                          </w:p>
                          <w:p w14:paraId="2F163536"/>
                          <w:p w14:paraId="090F8BBB"/>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666D0EB2"/>
                    <w:p w14:paraId="276D2297">
                      <w:pPr>
                        <w:jc w:val="center"/>
                        <w:rPr>
                          <w:rFonts w:hAnsi="宋体"/>
                          <w:color w:val="FF0000"/>
                        </w:rPr>
                      </w:pPr>
                    </w:p>
                    <w:p w14:paraId="35240E0C">
                      <w:pPr>
                        <w:jc w:val="center"/>
                        <w:rPr>
                          <w:rFonts w:hAnsi="宋体"/>
                          <w:color w:val="FF0000"/>
                        </w:rPr>
                      </w:pPr>
                    </w:p>
                    <w:p w14:paraId="63EE2F37">
                      <w:pPr>
                        <w:jc w:val="center"/>
                        <w:rPr>
                          <w:rFonts w:hAnsi="宋体"/>
                          <w:color w:val="FF0000"/>
                        </w:rPr>
                      </w:pPr>
                    </w:p>
                    <w:p w14:paraId="4925EE7E">
                      <w:pPr>
                        <w:jc w:val="center"/>
                      </w:pPr>
                      <w:r>
                        <w:rPr>
                          <w:rFonts w:hint="eastAsia" w:hAnsi="宋体"/>
                        </w:rPr>
                        <w:t>被授权人身份证反面</w:t>
                      </w:r>
                    </w:p>
                    <w:p w14:paraId="2F163536"/>
                    <w:p w14:paraId="090F8BBB"/>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601EDC6B"/>
                          <w:p w14:paraId="095754A5">
                            <w:pPr>
                              <w:jc w:val="center"/>
                              <w:rPr>
                                <w:rFonts w:hAnsi="宋体"/>
                                <w:color w:val="FF0000"/>
                              </w:rPr>
                            </w:pPr>
                          </w:p>
                          <w:p w14:paraId="22EFD74B">
                            <w:pPr>
                              <w:jc w:val="center"/>
                              <w:rPr>
                                <w:rFonts w:hAnsi="宋体"/>
                                <w:color w:val="FF0000"/>
                              </w:rPr>
                            </w:pPr>
                          </w:p>
                          <w:p w14:paraId="603D8C5A">
                            <w:pPr>
                              <w:jc w:val="center"/>
                              <w:rPr>
                                <w:rFonts w:hAnsi="宋体"/>
                                <w:color w:val="FF0000"/>
                              </w:rPr>
                            </w:pPr>
                          </w:p>
                          <w:p w14:paraId="60512D33">
                            <w:pPr>
                              <w:jc w:val="center"/>
                            </w:pPr>
                            <w:r>
                              <w:rPr>
                                <w:rFonts w:hint="eastAsia" w:hAnsi="宋体"/>
                              </w:rPr>
                              <w:t>被授权人身份证正面</w:t>
                            </w:r>
                          </w:p>
                          <w:p w14:paraId="3386618F"/>
                          <w:p w14:paraId="583E84DE"/>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601EDC6B"/>
                    <w:p w14:paraId="095754A5">
                      <w:pPr>
                        <w:jc w:val="center"/>
                        <w:rPr>
                          <w:rFonts w:hAnsi="宋体"/>
                          <w:color w:val="FF0000"/>
                        </w:rPr>
                      </w:pPr>
                    </w:p>
                    <w:p w14:paraId="22EFD74B">
                      <w:pPr>
                        <w:jc w:val="center"/>
                        <w:rPr>
                          <w:rFonts w:hAnsi="宋体"/>
                          <w:color w:val="FF0000"/>
                        </w:rPr>
                      </w:pPr>
                    </w:p>
                    <w:p w14:paraId="603D8C5A">
                      <w:pPr>
                        <w:jc w:val="center"/>
                        <w:rPr>
                          <w:rFonts w:hAnsi="宋体"/>
                          <w:color w:val="FF0000"/>
                        </w:rPr>
                      </w:pPr>
                    </w:p>
                    <w:p w14:paraId="60512D33">
                      <w:pPr>
                        <w:jc w:val="center"/>
                      </w:pPr>
                      <w:r>
                        <w:rPr>
                          <w:rFonts w:hint="eastAsia" w:hAnsi="宋体"/>
                        </w:rPr>
                        <w:t>被授权人身份证正面</w:t>
                      </w:r>
                    </w:p>
                    <w:p w14:paraId="3386618F"/>
                    <w:p w14:paraId="583E84DE"/>
                  </w:txbxContent>
                </v:textbox>
              </v:shape>
            </w:pict>
          </mc:Fallback>
        </mc:AlternateContent>
      </w:r>
    </w:p>
    <w:p w14:paraId="6917AC0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D9F285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8C9AFA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9F45E8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C0A11E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8A48DEB">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6ECBD307">
      <w:pPr>
        <w:pStyle w:val="4"/>
        <w:pageBreakBefore/>
        <w:spacing w:line="360" w:lineRule="auto"/>
        <w:rPr>
          <w:rFonts w:hAnsi="宋体"/>
          <w:b/>
          <w:color w:val="auto"/>
          <w:sz w:val="30"/>
          <w:szCs w:val="30"/>
          <w:highlight w:val="none"/>
          <w:lang w:val="zh-CN"/>
        </w:rPr>
      </w:pPr>
      <w:bookmarkStart w:id="583" w:name="_Toc32328"/>
      <w:bookmarkStart w:id="584" w:name="_Toc12400"/>
      <w:bookmarkStart w:id="585" w:name="_Toc15716"/>
      <w:bookmarkStart w:id="586" w:name="_Toc21507"/>
      <w:bookmarkStart w:id="587" w:name="_Toc29471"/>
      <w:bookmarkStart w:id="588" w:name="_Toc10084"/>
      <w:bookmarkStart w:id="589" w:name="_Toc195714386"/>
      <w:bookmarkStart w:id="590" w:name="_Toc23849"/>
      <w:bookmarkStart w:id="591" w:name="_Toc140596933"/>
      <w:bookmarkStart w:id="592" w:name="_Toc142508373"/>
      <w:bookmarkStart w:id="593" w:name="_Toc104991880"/>
      <w:bookmarkStart w:id="594" w:name="_Toc94107214"/>
      <w:bookmarkStart w:id="595" w:name="_Toc1977730"/>
      <w:r>
        <w:rPr>
          <w:rFonts w:hint="eastAsia" w:hAnsi="宋体" w:cs="宋体"/>
          <w:b/>
          <w:color w:val="auto"/>
          <w:sz w:val="30"/>
          <w:szCs w:val="30"/>
          <w:highlight w:val="none"/>
          <w:lang w:val="en-US" w:eastAsia="zh-CN"/>
        </w:rPr>
        <w:t>4</w:t>
      </w:r>
      <w:r>
        <w:rPr>
          <w:rFonts w:hint="eastAsia" w:hAnsi="宋体" w:cs="宋体"/>
          <w:b/>
          <w:color w:val="auto"/>
          <w:sz w:val="30"/>
          <w:szCs w:val="30"/>
          <w:highlight w:val="none"/>
        </w:rPr>
        <w:t>.4</w:t>
      </w:r>
      <w:r>
        <w:rPr>
          <w:rFonts w:hAnsi="宋体" w:cs="宋体"/>
          <w:b/>
          <w:color w:val="auto"/>
          <w:sz w:val="30"/>
          <w:szCs w:val="30"/>
          <w:highlight w:val="none"/>
        </w:rPr>
        <w:t xml:space="preserve"> </w:t>
      </w:r>
      <w:r>
        <w:rPr>
          <w:rFonts w:hint="eastAsia" w:hAnsi="宋体"/>
          <w:b/>
          <w:bCs/>
          <w:color w:val="auto"/>
          <w:kern w:val="2"/>
          <w:sz w:val="32"/>
          <w:szCs w:val="32"/>
          <w:highlight w:val="none"/>
        </w:rPr>
        <w:t>资格业绩</w:t>
      </w:r>
      <w:r>
        <w:rPr>
          <w:rFonts w:hint="eastAsia" w:hAnsi="宋体"/>
          <w:b/>
          <w:bCs/>
          <w:color w:val="auto"/>
          <w:sz w:val="32"/>
          <w:szCs w:val="32"/>
          <w:highlight w:val="none"/>
        </w:rPr>
        <w:t>【</w:t>
      </w:r>
      <w:bookmarkEnd w:id="583"/>
      <w:bookmarkEnd w:id="584"/>
      <w:bookmarkEnd w:id="585"/>
      <w:r>
        <w:rPr>
          <w:rFonts w:hint="eastAsia" w:hAnsi="宋体"/>
          <w:b/>
          <w:bCs/>
          <w:color w:val="auto"/>
          <w:sz w:val="32"/>
          <w:szCs w:val="32"/>
          <w:highlight w:val="none"/>
          <w:lang w:val="en-US" w:eastAsia="zh-CN"/>
        </w:rPr>
        <w:t>投标人2</w:t>
      </w:r>
      <w:r>
        <w:rPr>
          <w:rFonts w:hint="eastAsia" w:hAnsi="宋体" w:eastAsia="宋体" w:cs="Times New Roman"/>
          <w:b/>
          <w:bCs/>
          <w:color w:val="auto"/>
          <w:kern w:val="2"/>
          <w:sz w:val="32"/>
          <w:szCs w:val="32"/>
          <w:highlight w:val="none"/>
          <w:lang w:val="en-US" w:eastAsia="zh-CN"/>
        </w:rPr>
        <w:t>022</w:t>
      </w:r>
      <w:r>
        <w:rPr>
          <w:rFonts w:hint="eastAsia" w:hAnsi="宋体" w:eastAsia="宋体" w:cs="Times New Roman"/>
          <w:b/>
          <w:bCs/>
          <w:color w:val="auto"/>
          <w:kern w:val="2"/>
          <w:sz w:val="32"/>
          <w:szCs w:val="32"/>
          <w:highlight w:val="none"/>
          <w:lang w:val="zh-CN"/>
        </w:rPr>
        <w:t>年</w:t>
      </w:r>
      <w:r>
        <w:rPr>
          <w:rFonts w:hint="eastAsia" w:hAnsi="宋体" w:eastAsia="宋体" w:cs="Times New Roman"/>
          <w:b/>
          <w:bCs/>
          <w:color w:val="auto"/>
          <w:kern w:val="2"/>
          <w:sz w:val="32"/>
          <w:szCs w:val="32"/>
          <w:highlight w:val="none"/>
          <w:lang w:val="en-US" w:eastAsia="zh-CN"/>
        </w:rPr>
        <w:t>1</w:t>
      </w:r>
      <w:r>
        <w:rPr>
          <w:rFonts w:hint="eastAsia" w:hAnsi="宋体" w:eastAsia="宋体" w:cs="Times New Roman"/>
          <w:b/>
          <w:bCs/>
          <w:color w:val="auto"/>
          <w:kern w:val="2"/>
          <w:sz w:val="32"/>
          <w:szCs w:val="32"/>
          <w:highlight w:val="none"/>
          <w:lang w:val="zh-CN"/>
        </w:rPr>
        <w:t>月</w:t>
      </w:r>
      <w:r>
        <w:rPr>
          <w:rFonts w:hint="eastAsia" w:hAnsi="宋体" w:eastAsia="宋体" w:cs="Times New Roman"/>
          <w:b/>
          <w:bCs/>
          <w:color w:val="auto"/>
          <w:kern w:val="2"/>
          <w:sz w:val="32"/>
          <w:szCs w:val="32"/>
          <w:highlight w:val="none"/>
          <w:lang w:val="en-US" w:eastAsia="zh-CN"/>
        </w:rPr>
        <w:t>1</w:t>
      </w:r>
      <w:r>
        <w:rPr>
          <w:rFonts w:hint="eastAsia" w:hAnsi="宋体" w:eastAsia="宋体" w:cs="Times New Roman"/>
          <w:b/>
          <w:bCs/>
          <w:color w:val="auto"/>
          <w:kern w:val="2"/>
          <w:sz w:val="32"/>
          <w:szCs w:val="32"/>
          <w:highlight w:val="none"/>
          <w:lang w:val="zh-CN"/>
        </w:rPr>
        <w:t>日以来具有造价咨询</w:t>
      </w:r>
      <w:r>
        <w:rPr>
          <w:rFonts w:hint="eastAsia" w:ascii="宋体" w:hAnsi="宋体" w:eastAsia="宋体" w:cs="Times New Roman"/>
          <w:b/>
          <w:bCs/>
          <w:color w:val="auto"/>
          <w:kern w:val="2"/>
          <w:sz w:val="32"/>
          <w:szCs w:val="32"/>
          <w:highlight w:val="none"/>
          <w:lang w:val="zh-CN"/>
        </w:rPr>
        <w:t>【</w:t>
      </w:r>
      <w:r>
        <w:rPr>
          <w:rFonts w:hint="eastAsia" w:hAnsi="宋体" w:eastAsia="宋体" w:cs="Times New Roman"/>
          <w:b/>
          <w:bCs/>
          <w:color w:val="auto"/>
          <w:kern w:val="2"/>
          <w:sz w:val="32"/>
          <w:szCs w:val="32"/>
          <w:highlight w:val="none"/>
          <w:lang w:val="zh-CN"/>
        </w:rPr>
        <w:t>含概算编制、概算审核、预算(或招标控制价)编制、预算(或招标控制价)审核、结算编制和结算审核，以上业绩可包括在同一合同或多份合同内</w:t>
      </w:r>
      <w:r>
        <w:rPr>
          <w:rFonts w:hint="eastAsia" w:ascii="宋体" w:hAnsi="宋体" w:eastAsia="宋体" w:cs="Times New Roman"/>
          <w:b/>
          <w:bCs/>
          <w:color w:val="auto"/>
          <w:kern w:val="2"/>
          <w:sz w:val="32"/>
          <w:szCs w:val="32"/>
          <w:highlight w:val="none"/>
          <w:lang w:val="zh-CN"/>
        </w:rPr>
        <w:t>】</w:t>
      </w:r>
      <w:r>
        <w:rPr>
          <w:rFonts w:hint="eastAsia" w:hAnsi="宋体" w:eastAsia="宋体" w:cs="Times New Roman"/>
          <w:b/>
          <w:bCs/>
          <w:color w:val="auto"/>
          <w:kern w:val="2"/>
          <w:sz w:val="32"/>
          <w:szCs w:val="32"/>
          <w:highlight w:val="none"/>
          <w:lang w:val="zh-CN"/>
        </w:rPr>
        <w:t>的服务业绩（合同签订日期为</w:t>
      </w:r>
      <w:r>
        <w:rPr>
          <w:rFonts w:hint="eastAsia" w:hAnsi="宋体" w:eastAsia="宋体" w:cs="Times New Roman"/>
          <w:b/>
          <w:bCs/>
          <w:color w:val="auto"/>
          <w:kern w:val="2"/>
          <w:sz w:val="32"/>
          <w:szCs w:val="32"/>
          <w:highlight w:val="none"/>
          <w:lang w:val="en-US" w:eastAsia="zh-CN"/>
        </w:rPr>
        <w:t>2022</w:t>
      </w:r>
      <w:r>
        <w:rPr>
          <w:rFonts w:hint="eastAsia" w:hAnsi="宋体" w:eastAsia="宋体" w:cs="Times New Roman"/>
          <w:b/>
          <w:bCs/>
          <w:color w:val="auto"/>
          <w:kern w:val="2"/>
          <w:sz w:val="32"/>
          <w:szCs w:val="32"/>
          <w:highlight w:val="none"/>
          <w:lang w:val="zh-CN"/>
        </w:rPr>
        <w:t>年</w:t>
      </w:r>
      <w:r>
        <w:rPr>
          <w:rFonts w:hint="eastAsia" w:hAnsi="宋体" w:eastAsia="宋体" w:cs="Times New Roman"/>
          <w:b/>
          <w:bCs/>
          <w:color w:val="auto"/>
          <w:kern w:val="2"/>
          <w:sz w:val="32"/>
          <w:szCs w:val="32"/>
          <w:highlight w:val="none"/>
          <w:lang w:val="en-US" w:eastAsia="zh-CN"/>
        </w:rPr>
        <w:t>1</w:t>
      </w:r>
      <w:r>
        <w:rPr>
          <w:rFonts w:hint="eastAsia" w:hAnsi="宋体" w:eastAsia="宋体" w:cs="Times New Roman"/>
          <w:b/>
          <w:bCs/>
          <w:color w:val="auto"/>
          <w:kern w:val="2"/>
          <w:sz w:val="32"/>
          <w:szCs w:val="32"/>
          <w:highlight w:val="none"/>
          <w:lang w:val="zh-CN"/>
        </w:rPr>
        <w:t>月</w:t>
      </w:r>
      <w:r>
        <w:rPr>
          <w:rFonts w:hint="eastAsia" w:hAnsi="宋体" w:eastAsia="宋体" w:cs="Times New Roman"/>
          <w:b/>
          <w:bCs/>
          <w:color w:val="auto"/>
          <w:kern w:val="2"/>
          <w:sz w:val="32"/>
          <w:szCs w:val="32"/>
          <w:highlight w:val="none"/>
          <w:lang w:val="en-US" w:eastAsia="zh-CN"/>
        </w:rPr>
        <w:t>1</w:t>
      </w:r>
      <w:r>
        <w:rPr>
          <w:rFonts w:hint="eastAsia" w:hAnsi="宋体" w:eastAsia="宋体" w:cs="Times New Roman"/>
          <w:b/>
          <w:bCs/>
          <w:color w:val="auto"/>
          <w:kern w:val="2"/>
          <w:sz w:val="32"/>
          <w:szCs w:val="32"/>
          <w:highlight w:val="none"/>
          <w:lang w:val="zh-CN"/>
        </w:rPr>
        <w:t>日或以后，</w:t>
      </w:r>
      <w:r>
        <w:rPr>
          <w:rFonts w:hint="eastAsia" w:hAnsi="宋体" w:eastAsia="宋体" w:cs="Times New Roman"/>
          <w:b/>
          <w:bCs/>
          <w:color w:val="auto"/>
          <w:kern w:val="2"/>
          <w:sz w:val="32"/>
          <w:szCs w:val="32"/>
          <w:highlight w:val="none"/>
          <w:lang w:val="zh-CN" w:eastAsia="zh-CN"/>
        </w:rPr>
        <w:t>金额在100万元（含）以上</w:t>
      </w:r>
      <w:r>
        <w:rPr>
          <w:rFonts w:hint="eastAsia" w:hAnsi="宋体" w:eastAsia="宋体" w:cs="Times New Roman"/>
          <w:b/>
          <w:bCs/>
          <w:color w:val="auto"/>
          <w:kern w:val="2"/>
          <w:sz w:val="32"/>
          <w:szCs w:val="32"/>
          <w:highlight w:val="none"/>
          <w:lang w:val="zh-CN"/>
        </w:rPr>
        <w:t>）</w:t>
      </w:r>
      <w:r>
        <w:rPr>
          <w:rFonts w:hint="eastAsia" w:hAnsi="宋体"/>
          <w:b/>
          <w:bCs/>
          <w:color w:val="auto"/>
          <w:sz w:val="32"/>
          <w:szCs w:val="32"/>
          <w:highlight w:val="none"/>
        </w:rPr>
        <w:t>】</w:t>
      </w:r>
      <w:bookmarkEnd w:id="586"/>
      <w:bookmarkEnd w:id="587"/>
      <w:bookmarkEnd w:id="588"/>
      <w:bookmarkEnd w:id="589"/>
      <w:bookmarkEnd w:id="590"/>
    </w:p>
    <w:p w14:paraId="0636DC80">
      <w:pPr>
        <w:spacing w:line="360" w:lineRule="auto"/>
        <w:rPr>
          <w:rFonts w:ascii="宋体" w:hAnsi="宋体" w:eastAsia="宋体" w:cs="宋体"/>
          <w:b/>
          <w:color w:val="auto"/>
          <w:szCs w:val="21"/>
          <w:highlight w:val="none"/>
          <w:lang w:val="zh-CN"/>
        </w:rPr>
      </w:pPr>
    </w:p>
    <w:tbl>
      <w:tblPr>
        <w:tblStyle w:val="4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820"/>
        <w:gridCol w:w="1187"/>
        <w:gridCol w:w="1280"/>
        <w:gridCol w:w="2422"/>
        <w:gridCol w:w="740"/>
        <w:gridCol w:w="873"/>
        <w:gridCol w:w="1118"/>
        <w:gridCol w:w="686"/>
      </w:tblGrid>
      <w:tr w14:paraId="0A8C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89" w:hRule="exact"/>
          <w:jc w:val="center"/>
        </w:trPr>
        <w:tc>
          <w:tcPr>
            <w:tcW w:w="449" w:type="pct"/>
            <w:noWrap w:val="0"/>
            <w:vAlign w:val="center"/>
          </w:tcPr>
          <w:p w14:paraId="035F7AA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序号</w:t>
            </w:r>
          </w:p>
        </w:tc>
        <w:tc>
          <w:tcPr>
            <w:tcW w:w="650" w:type="pct"/>
            <w:noWrap w:val="0"/>
            <w:vAlign w:val="center"/>
          </w:tcPr>
          <w:p w14:paraId="73C32AAC">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01" w:type="pct"/>
            <w:noWrap w:val="0"/>
            <w:vAlign w:val="center"/>
          </w:tcPr>
          <w:p w14:paraId="71793141">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业主方名称</w:t>
            </w:r>
          </w:p>
        </w:tc>
        <w:tc>
          <w:tcPr>
            <w:tcW w:w="1326" w:type="pct"/>
            <w:noWrap w:val="0"/>
            <w:vAlign w:val="center"/>
          </w:tcPr>
          <w:p w14:paraId="6F501F86">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合同类型</w:t>
            </w:r>
          </w:p>
          <w:p w14:paraId="64D5A421">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eastAsia="zh-CN"/>
              </w:rPr>
              <w:t>概算编制</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eastAsia="zh-CN"/>
              </w:rPr>
              <w:t>概算审核</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eastAsia="zh-CN"/>
              </w:rPr>
              <w:t>预算(或招标控制价)编制</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eastAsia="zh-CN"/>
              </w:rPr>
              <w:t>预算(或招标控制价)审核</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eastAsia="zh-CN"/>
              </w:rPr>
              <w:t>结算编制</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eastAsia="zh-CN"/>
              </w:rPr>
              <w:t>结算审核</w:t>
            </w:r>
            <w:r>
              <w:rPr>
                <w:rFonts w:hint="eastAsia" w:ascii="宋体" w:hAnsi="宋体" w:eastAsia="宋体" w:cs="宋体"/>
                <w:color w:val="auto"/>
                <w:szCs w:val="21"/>
                <w:highlight w:val="none"/>
                <w:lang w:eastAsia="zh-CN"/>
              </w:rPr>
              <w:t>】</w:t>
            </w:r>
          </w:p>
        </w:tc>
        <w:tc>
          <w:tcPr>
            <w:tcW w:w="405" w:type="pct"/>
            <w:noWrap w:val="0"/>
            <w:vAlign w:val="center"/>
          </w:tcPr>
          <w:p w14:paraId="6AF6D8F1">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合同签订时间</w:t>
            </w:r>
          </w:p>
        </w:tc>
        <w:tc>
          <w:tcPr>
            <w:tcW w:w="478" w:type="pct"/>
            <w:noWrap w:val="0"/>
            <w:vAlign w:val="center"/>
          </w:tcPr>
          <w:p w14:paraId="792DFDF8">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服务完成情况</w:t>
            </w:r>
          </w:p>
        </w:tc>
        <w:tc>
          <w:tcPr>
            <w:tcW w:w="612" w:type="pct"/>
            <w:noWrap w:val="0"/>
            <w:vAlign w:val="center"/>
          </w:tcPr>
          <w:p w14:paraId="7C35C1C0">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业主联系人及电话</w:t>
            </w:r>
          </w:p>
        </w:tc>
        <w:tc>
          <w:tcPr>
            <w:tcW w:w="375" w:type="pct"/>
            <w:noWrap w:val="0"/>
            <w:vAlign w:val="center"/>
          </w:tcPr>
          <w:p w14:paraId="39BD85B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3E85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449" w:type="pct"/>
            <w:noWrap w:val="0"/>
            <w:vAlign w:val="center"/>
          </w:tcPr>
          <w:p w14:paraId="4ABBE75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50" w:type="pct"/>
            <w:noWrap w:val="0"/>
            <w:vAlign w:val="center"/>
          </w:tcPr>
          <w:p w14:paraId="53FF400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01" w:type="pct"/>
            <w:noWrap w:val="0"/>
            <w:vAlign w:val="center"/>
          </w:tcPr>
          <w:p w14:paraId="07B2C12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26" w:type="pct"/>
            <w:noWrap w:val="0"/>
            <w:vAlign w:val="center"/>
          </w:tcPr>
          <w:p w14:paraId="0724545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5" w:type="pct"/>
            <w:noWrap w:val="0"/>
            <w:vAlign w:val="center"/>
          </w:tcPr>
          <w:p w14:paraId="4F1FB4E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8" w:type="pct"/>
            <w:noWrap w:val="0"/>
            <w:vAlign w:val="top"/>
          </w:tcPr>
          <w:p w14:paraId="1D29DAB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12" w:type="pct"/>
            <w:noWrap w:val="0"/>
            <w:vAlign w:val="center"/>
          </w:tcPr>
          <w:p w14:paraId="127F9AA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5" w:type="pct"/>
            <w:noWrap w:val="0"/>
            <w:vAlign w:val="center"/>
          </w:tcPr>
          <w:p w14:paraId="53B49AE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8BA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449" w:type="pct"/>
            <w:noWrap w:val="0"/>
            <w:vAlign w:val="center"/>
          </w:tcPr>
          <w:p w14:paraId="5CE39A9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650" w:type="pct"/>
            <w:noWrap w:val="0"/>
            <w:vAlign w:val="center"/>
          </w:tcPr>
          <w:p w14:paraId="5805D87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01" w:type="pct"/>
            <w:noWrap w:val="0"/>
            <w:vAlign w:val="center"/>
          </w:tcPr>
          <w:p w14:paraId="69CDD02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26" w:type="pct"/>
            <w:noWrap w:val="0"/>
            <w:vAlign w:val="center"/>
          </w:tcPr>
          <w:p w14:paraId="44F0379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5" w:type="pct"/>
            <w:noWrap w:val="0"/>
            <w:vAlign w:val="center"/>
          </w:tcPr>
          <w:p w14:paraId="358A2F1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8" w:type="pct"/>
            <w:noWrap w:val="0"/>
            <w:vAlign w:val="top"/>
          </w:tcPr>
          <w:p w14:paraId="251A974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12" w:type="pct"/>
            <w:noWrap w:val="0"/>
            <w:vAlign w:val="center"/>
          </w:tcPr>
          <w:p w14:paraId="62E9E6A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5" w:type="pct"/>
            <w:noWrap w:val="0"/>
            <w:vAlign w:val="center"/>
          </w:tcPr>
          <w:p w14:paraId="0F363EE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247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449" w:type="pct"/>
            <w:noWrap w:val="0"/>
            <w:vAlign w:val="center"/>
          </w:tcPr>
          <w:p w14:paraId="694A494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50" w:type="pct"/>
            <w:noWrap w:val="0"/>
            <w:vAlign w:val="center"/>
          </w:tcPr>
          <w:p w14:paraId="6B805C8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01" w:type="pct"/>
            <w:noWrap w:val="0"/>
            <w:vAlign w:val="center"/>
          </w:tcPr>
          <w:p w14:paraId="31E422B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26" w:type="pct"/>
            <w:noWrap w:val="0"/>
            <w:vAlign w:val="center"/>
          </w:tcPr>
          <w:p w14:paraId="36E47C3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5" w:type="pct"/>
            <w:noWrap w:val="0"/>
            <w:vAlign w:val="center"/>
          </w:tcPr>
          <w:p w14:paraId="0EC90F2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8" w:type="pct"/>
            <w:noWrap w:val="0"/>
            <w:vAlign w:val="top"/>
          </w:tcPr>
          <w:p w14:paraId="1BF39D2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12" w:type="pct"/>
            <w:noWrap w:val="0"/>
            <w:vAlign w:val="center"/>
          </w:tcPr>
          <w:p w14:paraId="5BD7824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5" w:type="pct"/>
            <w:noWrap w:val="0"/>
            <w:vAlign w:val="center"/>
          </w:tcPr>
          <w:p w14:paraId="5E5D2BA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C5A1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449" w:type="pct"/>
            <w:noWrap w:val="0"/>
            <w:vAlign w:val="center"/>
          </w:tcPr>
          <w:p w14:paraId="0648307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w:t>
            </w:r>
          </w:p>
        </w:tc>
        <w:tc>
          <w:tcPr>
            <w:tcW w:w="650" w:type="pct"/>
            <w:noWrap w:val="0"/>
            <w:vAlign w:val="center"/>
          </w:tcPr>
          <w:p w14:paraId="017B615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01" w:type="pct"/>
            <w:noWrap w:val="0"/>
            <w:vAlign w:val="center"/>
          </w:tcPr>
          <w:p w14:paraId="63063C7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26" w:type="pct"/>
            <w:noWrap w:val="0"/>
            <w:vAlign w:val="center"/>
          </w:tcPr>
          <w:p w14:paraId="64FC677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5" w:type="pct"/>
            <w:noWrap w:val="0"/>
            <w:vAlign w:val="center"/>
          </w:tcPr>
          <w:p w14:paraId="04DDD06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8" w:type="pct"/>
            <w:noWrap w:val="0"/>
            <w:vAlign w:val="top"/>
          </w:tcPr>
          <w:p w14:paraId="695EF44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12" w:type="pct"/>
            <w:noWrap w:val="0"/>
            <w:vAlign w:val="center"/>
          </w:tcPr>
          <w:p w14:paraId="7309F19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5" w:type="pct"/>
            <w:noWrap w:val="0"/>
            <w:vAlign w:val="center"/>
          </w:tcPr>
          <w:p w14:paraId="42DB3F9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14:paraId="03A9D87C">
      <w:pPr>
        <w:spacing w:line="360" w:lineRule="auto"/>
        <w:ind w:left="424" w:hanging="424" w:hangingChars="201"/>
        <w:rPr>
          <w:rFonts w:ascii="宋体" w:hAnsi="宋体" w:eastAsia="宋体" w:cs="宋体"/>
          <w:b/>
          <w:color w:val="auto"/>
          <w:szCs w:val="21"/>
          <w:highlight w:val="none"/>
          <w:lang w:val="zh-CN"/>
        </w:rPr>
      </w:pPr>
    </w:p>
    <w:p w14:paraId="1C96C639">
      <w:pPr>
        <w:spacing w:line="360" w:lineRule="auto"/>
        <w:ind w:left="424" w:hanging="424" w:hangingChars="201"/>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0DA265A1">
      <w:pPr>
        <w:spacing w:line="360" w:lineRule="auto"/>
        <w:outlineLvl w:val="3"/>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（1）作为投标人资格条件证明的业绩放置在此处；</w:t>
      </w:r>
    </w:p>
    <w:p w14:paraId="51A4C698">
      <w:pPr>
        <w:spacing w:line="360" w:lineRule="auto"/>
        <w:ind w:left="422" w:hanging="422" w:hangingChars="201"/>
        <w:rPr>
          <w:rFonts w:hint="eastAsia" w:ascii="宋体" w:hAnsi="宋体" w:eastAsia="宋体" w:cs="宋体"/>
          <w:color w:val="auto"/>
          <w:szCs w:val="21"/>
          <w:highlight w:val="none"/>
          <w:lang w:val="zh-CN"/>
        </w:rPr>
      </w:pPr>
      <w:bookmarkStart w:id="596" w:name="_Toc12931"/>
      <w:bookmarkStart w:id="597" w:name="_Toc24862"/>
      <w:bookmarkStart w:id="598" w:name="_Toc20010"/>
      <w:r>
        <w:rPr>
          <w:rFonts w:hint="eastAsia" w:ascii="宋体" w:hAnsi="宋体" w:eastAsia="宋体" w:cs="宋体"/>
          <w:color w:val="auto"/>
          <w:szCs w:val="21"/>
          <w:highlight w:val="none"/>
          <w:lang w:val="zh-CN"/>
        </w:rPr>
        <w:t>（2）</w:t>
      </w:r>
      <w:r>
        <w:rPr>
          <w:rFonts w:hint="eastAsia" w:ascii="宋体" w:hAnsi="宋体" w:eastAsia="宋体" w:cs="宋体"/>
          <w:b/>
          <w:bCs/>
          <w:color w:val="auto"/>
          <w:sz w:val="21"/>
          <w:szCs w:val="21"/>
          <w:highlight w:val="none"/>
          <w:lang w:val="zh-CN"/>
        </w:rPr>
        <w:t>业绩须附合同及项目的相关成果文件关键页</w:t>
      </w:r>
      <w:r>
        <w:rPr>
          <w:rFonts w:hint="eastAsia" w:ascii="宋体" w:hAnsi="宋体" w:eastAsia="宋体" w:cs="宋体"/>
          <w:b/>
          <w:bCs/>
          <w:color w:val="auto"/>
          <w:sz w:val="21"/>
          <w:szCs w:val="21"/>
          <w:highlight w:val="none"/>
          <w:lang w:val="en-US" w:eastAsia="zh-CN"/>
        </w:rPr>
        <w:t>扫描件</w:t>
      </w:r>
      <w:r>
        <w:rPr>
          <w:rFonts w:hint="eastAsia" w:ascii="宋体" w:hAnsi="宋体" w:eastAsia="宋体" w:cs="宋体"/>
          <w:b/>
          <w:bCs/>
          <w:color w:val="auto"/>
          <w:sz w:val="21"/>
          <w:szCs w:val="21"/>
          <w:highlight w:val="none"/>
          <w:lang w:val="zh-CN"/>
        </w:rPr>
        <w:t>加盖投标人公章</w:t>
      </w:r>
      <w:r>
        <w:rPr>
          <w:rFonts w:hint="eastAsia" w:ascii="宋体" w:hAnsi="宋体" w:eastAsia="宋体" w:cs="宋体"/>
          <w:color w:val="auto"/>
          <w:szCs w:val="21"/>
          <w:highlight w:val="none"/>
          <w:lang w:val="zh-CN"/>
        </w:rPr>
        <w:t>；</w:t>
      </w:r>
    </w:p>
    <w:p w14:paraId="58A94BC0">
      <w:pPr>
        <w:spacing w:line="360" w:lineRule="auto"/>
        <w:ind w:left="422" w:hanging="422" w:hangingChars="201"/>
        <w:rPr>
          <w:rFonts w:hint="eastAsia" w:ascii="宋体" w:hAnsi="宋体" w:eastAsia="宋体" w:cs="宋体"/>
          <w:b/>
          <w:color w:val="auto"/>
          <w:szCs w:val="21"/>
          <w:highlight w:val="none"/>
          <w:lang w:eastAsia="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w:t>
      </w:r>
      <w:r>
        <w:rPr>
          <w:rFonts w:hint="eastAsia" w:ascii="宋体" w:hAnsi="宋体" w:eastAsia="宋体" w:cs="宋体"/>
          <w:b/>
          <w:color w:val="auto"/>
          <w:sz w:val="21"/>
          <w:szCs w:val="21"/>
          <w:highlight w:val="none"/>
          <w:lang w:val="en-US" w:eastAsia="zh-CN"/>
        </w:rPr>
        <w:t>若</w:t>
      </w:r>
      <w:r>
        <w:rPr>
          <w:rFonts w:hint="eastAsia" w:ascii="宋体" w:hAnsi="宋体" w:eastAsia="宋体" w:cs="宋体"/>
          <w:b/>
          <w:color w:val="auto"/>
          <w:sz w:val="21"/>
          <w:szCs w:val="21"/>
          <w:highlight w:val="none"/>
        </w:rPr>
        <w:t>合同等业绩证明材料</w:t>
      </w:r>
      <w:r>
        <w:rPr>
          <w:rFonts w:hint="eastAsia" w:ascii="宋体" w:hAnsi="宋体" w:eastAsia="宋体" w:cs="宋体"/>
          <w:b/>
          <w:color w:val="auto"/>
          <w:sz w:val="21"/>
          <w:szCs w:val="21"/>
          <w:highlight w:val="none"/>
          <w:lang w:val="en-US" w:eastAsia="zh-CN"/>
        </w:rPr>
        <w:t>无法</w:t>
      </w:r>
      <w:r>
        <w:rPr>
          <w:rFonts w:hint="eastAsia" w:ascii="宋体" w:hAnsi="宋体" w:eastAsia="宋体" w:cs="宋体"/>
          <w:b/>
          <w:color w:val="auto"/>
          <w:sz w:val="21"/>
          <w:szCs w:val="21"/>
          <w:highlight w:val="none"/>
        </w:rPr>
        <w:t>反映</w:t>
      </w:r>
      <w:r>
        <w:rPr>
          <w:rFonts w:hint="eastAsia" w:ascii="宋体" w:hAnsi="宋体" w:eastAsia="宋体" w:cs="宋体"/>
          <w:b/>
          <w:color w:val="auto"/>
          <w:sz w:val="21"/>
          <w:szCs w:val="21"/>
          <w:highlight w:val="none"/>
          <w:lang w:val="en-US" w:eastAsia="zh-CN"/>
        </w:rPr>
        <w:t>资格</w:t>
      </w:r>
      <w:r>
        <w:rPr>
          <w:rFonts w:hint="eastAsia" w:ascii="宋体" w:hAnsi="宋体" w:eastAsia="宋体" w:cs="宋体"/>
          <w:b/>
          <w:color w:val="auto"/>
          <w:sz w:val="21"/>
          <w:szCs w:val="21"/>
          <w:highlight w:val="none"/>
        </w:rPr>
        <w:t>条件</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合同签订日期为202</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年1月1日或以后，合同标的必须为</w:t>
      </w:r>
      <w:r>
        <w:rPr>
          <w:rFonts w:hint="eastAsia" w:ascii="宋体" w:hAnsi="宋体" w:eastAsia="宋体" w:cs="宋体"/>
          <w:b/>
          <w:color w:val="auto"/>
          <w:sz w:val="21"/>
          <w:szCs w:val="21"/>
          <w:highlight w:val="none"/>
          <w:lang w:val="zh-CN" w:eastAsia="zh-CN"/>
        </w:rPr>
        <w:t>概算编制</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lang w:val="zh-CN" w:eastAsia="zh-CN"/>
        </w:rPr>
        <w:t>概算审核</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lang w:val="zh-CN" w:eastAsia="zh-CN"/>
        </w:rPr>
        <w:t>预算(或招标控制价)编制</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lang w:val="zh-CN" w:eastAsia="zh-CN"/>
        </w:rPr>
        <w:t>预算(或招标控制价)审核</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lang w:val="zh-CN" w:eastAsia="zh-CN"/>
        </w:rPr>
        <w:t>结算编制</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lang w:val="zh-CN" w:eastAsia="zh-CN"/>
        </w:rPr>
        <w:t>结算审核</w:t>
      </w:r>
      <w:r>
        <w:rPr>
          <w:rFonts w:hint="eastAsia" w:ascii="宋体" w:hAnsi="宋体" w:eastAsia="宋体" w:cs="宋体"/>
          <w:b/>
          <w:color w:val="auto"/>
          <w:sz w:val="21"/>
          <w:szCs w:val="21"/>
          <w:highlight w:val="none"/>
        </w:rPr>
        <w:t>业绩</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的</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还</w:t>
      </w:r>
      <w:r>
        <w:rPr>
          <w:rFonts w:hint="eastAsia" w:ascii="宋体" w:hAnsi="宋体" w:eastAsia="宋体" w:cs="宋体"/>
          <w:b/>
          <w:color w:val="auto"/>
          <w:sz w:val="21"/>
          <w:szCs w:val="21"/>
          <w:highlight w:val="none"/>
        </w:rPr>
        <w:t>需同时提供业主</w:t>
      </w:r>
      <w:r>
        <w:rPr>
          <w:rFonts w:hint="eastAsia" w:ascii="宋体" w:hAnsi="宋体" w:eastAsia="宋体" w:cs="宋体"/>
          <w:b/>
          <w:color w:val="auto"/>
          <w:sz w:val="21"/>
          <w:szCs w:val="21"/>
          <w:highlight w:val="none"/>
          <w:lang w:val="en-US" w:eastAsia="zh-CN"/>
        </w:rPr>
        <w:t>方</w:t>
      </w:r>
      <w:r>
        <w:rPr>
          <w:rFonts w:hint="eastAsia" w:ascii="宋体" w:hAnsi="宋体" w:eastAsia="宋体" w:cs="宋体"/>
          <w:b/>
          <w:color w:val="auto"/>
          <w:sz w:val="21"/>
          <w:szCs w:val="21"/>
          <w:highlight w:val="none"/>
        </w:rPr>
        <w:t>出具的书面补充情况说明文件</w:t>
      </w:r>
      <w:r>
        <w:rPr>
          <w:rFonts w:hint="eastAsia" w:ascii="宋体" w:hAnsi="宋体" w:eastAsia="宋体" w:cs="宋体"/>
          <w:b/>
          <w:bCs/>
          <w:color w:val="auto"/>
          <w:sz w:val="21"/>
          <w:szCs w:val="21"/>
          <w:highlight w:val="none"/>
          <w:lang w:val="en-US" w:eastAsia="zh-CN"/>
        </w:rPr>
        <w:t>扫描件</w:t>
      </w: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shd w:val="clear" w:color="auto" w:fill="FFFFFF"/>
        </w:rPr>
        <w:t>补充情况说明文件</w:t>
      </w:r>
      <w:r>
        <w:rPr>
          <w:rFonts w:hint="eastAsia" w:ascii="宋体" w:hAnsi="宋体" w:eastAsia="宋体" w:cs="宋体"/>
          <w:b/>
          <w:bCs/>
          <w:color w:val="auto"/>
          <w:sz w:val="21"/>
          <w:szCs w:val="21"/>
          <w:highlight w:val="none"/>
          <w:lang w:val="en-US" w:eastAsia="zh-CN"/>
        </w:rPr>
        <w:t>扫描件</w:t>
      </w:r>
      <w:r>
        <w:rPr>
          <w:rFonts w:hint="eastAsia" w:ascii="宋体" w:hAnsi="宋体" w:eastAsia="宋体" w:cs="宋体"/>
          <w:b/>
          <w:bCs/>
          <w:color w:val="auto"/>
          <w:szCs w:val="21"/>
          <w:highlight w:val="none"/>
          <w:shd w:val="clear" w:color="auto" w:fill="FFFFFF"/>
        </w:rPr>
        <w:t>能显示</w:t>
      </w:r>
      <w:r>
        <w:rPr>
          <w:rFonts w:hint="eastAsia" w:ascii="宋体" w:hAnsi="宋体" w:eastAsia="宋体" w:cs="宋体"/>
          <w:b/>
          <w:bCs/>
          <w:color w:val="auto"/>
          <w:szCs w:val="21"/>
          <w:highlight w:val="none"/>
          <w:shd w:val="clear" w:color="auto" w:fill="FFFFFF"/>
          <w:lang w:val="en-US" w:eastAsia="zh-CN"/>
        </w:rPr>
        <w:t>业主</w:t>
      </w:r>
      <w:r>
        <w:rPr>
          <w:rFonts w:hint="eastAsia" w:ascii="宋体" w:hAnsi="宋体" w:eastAsia="宋体" w:cs="宋体"/>
          <w:b/>
          <w:bCs/>
          <w:color w:val="auto"/>
          <w:szCs w:val="21"/>
          <w:highlight w:val="none"/>
          <w:shd w:val="clear" w:color="auto" w:fill="FFFFFF"/>
        </w:rPr>
        <w:t>方公章</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w:t>
      </w:r>
    </w:p>
    <w:p w14:paraId="601F8DD6">
      <w:pPr>
        <w:spacing w:line="360" w:lineRule="auto"/>
        <w:ind w:left="424" w:hanging="424" w:hangingChars="201"/>
        <w:rPr>
          <w:rFonts w:ascii="宋体" w:hAnsi="宋体" w:eastAsia="宋体" w:cs="宋体"/>
          <w:b/>
          <w:color w:val="auto"/>
          <w:kern w:val="0"/>
          <w:sz w:val="30"/>
          <w:szCs w:val="30"/>
          <w:highlight w:val="none"/>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rPr>
        <w:t>4</w:t>
      </w:r>
      <w:r>
        <w:rPr>
          <w:rFonts w:hint="eastAsia" w:ascii="宋体" w:hAnsi="宋体" w:eastAsia="宋体" w:cs="宋体"/>
          <w:b/>
          <w:color w:val="auto"/>
          <w:szCs w:val="21"/>
          <w:highlight w:val="none"/>
          <w:lang w:val="zh-CN"/>
        </w:rPr>
        <w:t>）</w:t>
      </w:r>
      <w:bookmarkEnd w:id="596"/>
      <w:bookmarkEnd w:id="597"/>
      <w:bookmarkEnd w:id="598"/>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p>
    <w:p w14:paraId="60A1DFAF">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67C8FFEA">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599" w:name="_Toc7508"/>
      <w:bookmarkStart w:id="600" w:name="_Toc8121"/>
      <w:bookmarkStart w:id="601" w:name="_Toc8599"/>
      <w:bookmarkStart w:id="602" w:name="_Toc4556"/>
      <w:bookmarkStart w:id="603" w:name="_Toc21843"/>
      <w:bookmarkStart w:id="604" w:name="_Toc16429"/>
      <w:bookmarkStart w:id="605" w:name="_Toc17003"/>
      <w:bookmarkStart w:id="606" w:name="_Toc195714387"/>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.5 最近3年投标人牵涉的其他（失信和违法）处罚说明格式</w:t>
      </w:r>
      <w:bookmarkEnd w:id="591"/>
      <w:bookmarkEnd w:id="592"/>
      <w:bookmarkEnd w:id="593"/>
      <w:bookmarkEnd w:id="594"/>
      <w:bookmarkEnd w:id="595"/>
      <w:bookmarkEnd w:id="599"/>
      <w:bookmarkEnd w:id="600"/>
      <w:bookmarkEnd w:id="601"/>
      <w:bookmarkEnd w:id="602"/>
      <w:bookmarkEnd w:id="603"/>
      <w:bookmarkEnd w:id="604"/>
      <w:bookmarkEnd w:id="605"/>
      <w:bookmarkEnd w:id="606"/>
    </w:p>
    <w:p w14:paraId="522AAA31">
      <w:pPr>
        <w:autoSpaceDE w:val="0"/>
        <w:autoSpaceDN w:val="0"/>
        <w:adjustRightInd w:val="0"/>
        <w:spacing w:line="360" w:lineRule="auto"/>
        <w:jc w:val="center"/>
        <w:outlineLvl w:val="1"/>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6676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3248BB9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24A59A0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698AACF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47C14A8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3A6B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36742AB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17D7DFE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3605EB4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2D3F1B2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7127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53EBB66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7B69A05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599F2C1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1B7D8CE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190A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2A680D3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是否被认定为政府采购严重违法失信行为记录名单</w:t>
            </w:r>
          </w:p>
        </w:tc>
        <w:tc>
          <w:tcPr>
            <w:tcW w:w="1417" w:type="dxa"/>
            <w:vAlign w:val="center"/>
          </w:tcPr>
          <w:p w14:paraId="399D107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64D7715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3C3439F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6D2DDE7A">
      <w:pPr>
        <w:autoSpaceDE w:val="0"/>
        <w:autoSpaceDN w:val="0"/>
        <w:adjustRightInd w:val="0"/>
        <w:spacing w:line="360" w:lineRule="auto"/>
        <w:jc w:val="left"/>
        <w:rPr>
          <w:rFonts w:ascii="宋体" w:hAnsi="宋体" w:eastAsia="宋体" w:cs="宋体"/>
          <w:color w:val="auto"/>
          <w:kern w:val="0"/>
          <w:szCs w:val="21"/>
          <w:highlight w:val="none"/>
        </w:rPr>
      </w:pPr>
    </w:p>
    <w:p w14:paraId="4C5A0884">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“认定时间”列填“无”；若受到相关处罚的应附处罚相关材料扫描件；若出现相关处罚的处罚期满,但处罚公示没有及时更新的情况,投标人须提供相关材料</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扫描件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佐证，需原件备查</w:t>
      </w:r>
      <w:r>
        <w:rPr>
          <w:rFonts w:hint="eastAsia" w:ascii="宋体" w:hAnsi="宋体" w:eastAsia="宋体" w:cs="宋体"/>
          <w:color w:val="auto"/>
          <w:szCs w:val="21"/>
          <w:highlight w:val="none"/>
          <w:lang w:val="zh-CN"/>
        </w:rPr>
        <w:t>。</w:t>
      </w:r>
    </w:p>
    <w:p w14:paraId="047739ED">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27A556E3">
      <w:pPr>
        <w:autoSpaceDE w:val="0"/>
        <w:autoSpaceDN w:val="0"/>
        <w:adjustRightInd w:val="0"/>
        <w:spacing w:line="360" w:lineRule="auto"/>
        <w:jc w:val="center"/>
        <w:rPr>
          <w:rFonts w:ascii="宋体" w:hAnsi="宋体" w:eastAsia="宋体" w:cs="宋体"/>
          <w:color w:val="auto"/>
          <w:kern w:val="0"/>
          <w:sz w:val="24"/>
          <w:szCs w:val="24"/>
          <w:highlight w:val="none"/>
        </w:rPr>
      </w:pPr>
    </w:p>
    <w:p w14:paraId="2A2E365C">
      <w:pPr>
        <w:spacing w:line="360" w:lineRule="auto"/>
        <w:ind w:firstLine="494" w:firstLineChars="206"/>
        <w:rPr>
          <w:rFonts w:ascii="宋体" w:hAnsi="宋体" w:eastAsia="宋体" w:cs="宋体"/>
          <w:color w:val="auto"/>
          <w:kern w:val="0"/>
          <w:sz w:val="24"/>
          <w:szCs w:val="24"/>
          <w:highlight w:val="none"/>
        </w:rPr>
      </w:pPr>
    </w:p>
    <w:p w14:paraId="726CED6F">
      <w:pPr>
        <w:spacing w:line="360" w:lineRule="auto"/>
        <w:ind w:firstLine="494" w:firstLineChars="206"/>
        <w:rPr>
          <w:rFonts w:ascii="宋体" w:hAnsi="宋体" w:eastAsia="宋体" w:cs="宋体"/>
          <w:color w:val="auto"/>
          <w:kern w:val="0"/>
          <w:sz w:val="24"/>
          <w:szCs w:val="24"/>
          <w:highlight w:val="none"/>
        </w:rPr>
      </w:pPr>
    </w:p>
    <w:p w14:paraId="47204392">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6DB47BAB">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64CCD662">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3061C5DC">
      <w:pPr>
        <w:autoSpaceDE w:val="0"/>
        <w:autoSpaceDN w:val="0"/>
        <w:adjustRightInd w:val="0"/>
        <w:spacing w:line="360" w:lineRule="auto"/>
        <w:jc w:val="center"/>
        <w:rPr>
          <w:rFonts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p w14:paraId="68BE58A5">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p>
    <w:p w14:paraId="67E1EE88">
      <w:pPr>
        <w:rPr>
          <w:rFonts w:ascii="宋体" w:hAnsi="宋体" w:eastAsia="宋体" w:cs="宋体"/>
          <w:color w:val="auto"/>
          <w:szCs w:val="24"/>
          <w:highlight w:val="none"/>
          <w:lang w:val="zh-CN"/>
        </w:rPr>
      </w:pPr>
      <w:bookmarkStart w:id="607" w:name="_Toc102860423"/>
      <w:bookmarkStart w:id="608" w:name="_Toc1977731"/>
      <w:bookmarkStart w:id="609" w:name="_Toc142508374"/>
      <w:bookmarkStart w:id="610" w:name="_Toc30939"/>
      <w:bookmarkStart w:id="611" w:name="_Toc2031_WPSOffice_Level2"/>
      <w:bookmarkStart w:id="612" w:name="_Toc104991881"/>
      <w:bookmarkStart w:id="613" w:name="_Toc486167714"/>
      <w:bookmarkStart w:id="614" w:name="_Toc94107215"/>
      <w:bookmarkStart w:id="615" w:name="_Toc533708126"/>
      <w:bookmarkStart w:id="616" w:name="_Toc140596934"/>
      <w:bookmarkStart w:id="617" w:name="_Toc6412"/>
      <w:bookmarkStart w:id="618" w:name="_Toc102860079"/>
      <w:r>
        <w:rPr>
          <w:rFonts w:ascii="宋体" w:hAnsi="宋体" w:eastAsia="宋体" w:cs="宋体"/>
          <w:color w:val="auto"/>
          <w:szCs w:val="24"/>
          <w:highlight w:val="none"/>
          <w:lang w:val="zh-CN"/>
        </w:rPr>
        <w:br w:type="page"/>
      </w:r>
    </w:p>
    <w:p w14:paraId="36E4CB68">
      <w:pPr>
        <w:tabs>
          <w:tab w:val="left" w:pos="567"/>
        </w:tabs>
        <w:autoSpaceDE w:val="0"/>
        <w:autoSpaceDN w:val="0"/>
        <w:adjustRightInd w:val="0"/>
        <w:spacing w:line="360" w:lineRule="auto"/>
        <w:jc w:val="left"/>
        <w:outlineLvl w:val="1"/>
        <w:rPr>
          <w:rFonts w:ascii="宋体" w:hAnsi="宋体" w:eastAsia="宋体" w:cs="Times New Roman"/>
          <w:color w:val="auto"/>
          <w:kern w:val="0"/>
          <w:szCs w:val="21"/>
          <w:highlight w:val="none"/>
          <w:u w:val="single"/>
        </w:rPr>
      </w:pPr>
      <w:bookmarkStart w:id="619" w:name="_Toc115"/>
      <w:bookmarkStart w:id="620" w:name="_Toc195714388"/>
      <w:bookmarkStart w:id="621" w:name="_Toc17508"/>
      <w:bookmarkStart w:id="622" w:name="_Toc3374"/>
      <w:bookmarkStart w:id="623" w:name="_Toc18126"/>
      <w:bookmarkStart w:id="624" w:name="_Toc18145"/>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kern w:val="0"/>
          <w:sz w:val="32"/>
          <w:szCs w:val="32"/>
          <w:highlight w:val="none"/>
        </w:rPr>
        <w:t>、投标人基本情况一览表</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72E2E318">
      <w:pPr>
        <w:autoSpaceDE w:val="0"/>
        <w:autoSpaceDN w:val="0"/>
        <w:adjustRightInd w:val="0"/>
        <w:spacing w:line="360" w:lineRule="auto"/>
        <w:jc w:val="center"/>
        <w:outlineLvl w:val="0"/>
        <w:rPr>
          <w:rFonts w:ascii="宋体" w:hAnsi="宋体" w:eastAsia="宋体" w:cs="宋体"/>
          <w:b/>
          <w:bCs/>
          <w:color w:val="auto"/>
          <w:sz w:val="30"/>
          <w:szCs w:val="30"/>
          <w:highlight w:val="none"/>
        </w:rPr>
      </w:pPr>
      <w:bookmarkStart w:id="625" w:name="_Toc2773_WPSOffice_Level3"/>
      <w:r>
        <w:rPr>
          <w:rFonts w:hint="eastAsia" w:ascii="宋体" w:hAnsi="宋体" w:eastAsia="宋体" w:cs="宋体"/>
          <w:b/>
          <w:bCs/>
          <w:color w:val="auto"/>
          <w:sz w:val="30"/>
          <w:szCs w:val="30"/>
          <w:highlight w:val="none"/>
          <w:lang w:val="zh-CN"/>
        </w:rPr>
        <w:t>投标人基本情况一览表</w:t>
      </w:r>
      <w:bookmarkEnd w:id="625"/>
    </w:p>
    <w:p w14:paraId="38EDD2C4">
      <w:pPr>
        <w:autoSpaceDE w:val="0"/>
        <w:autoSpaceDN w:val="0"/>
        <w:adjustRightInd w:val="0"/>
        <w:spacing w:line="360" w:lineRule="auto"/>
        <w:ind w:firstLine="420"/>
        <w:outlineLvl w:val="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51A4A3CC">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01A43269">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7D2FE807">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141F982A">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68C972EF">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024E431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1B4DFE15">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（4）法人代表：__________________________________________</w:t>
      </w:r>
    </w:p>
    <w:p w14:paraId="6E9F99AE">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734BDD6A">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3E56CA85">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68AA01B2">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76AAC42B">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594125BB">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149AA6F9">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789896CD">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1EFE4165">
      <w:pPr>
        <w:autoSpaceDE w:val="0"/>
        <w:autoSpaceDN w:val="0"/>
        <w:adjustRightInd w:val="0"/>
        <w:spacing w:line="360" w:lineRule="auto"/>
        <w:ind w:firstLine="420"/>
        <w:outlineLvl w:val="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453E0617">
      <w:pPr>
        <w:autoSpaceDE w:val="0"/>
        <w:autoSpaceDN w:val="0"/>
        <w:adjustRightInd w:val="0"/>
        <w:spacing w:line="360" w:lineRule="auto"/>
        <w:ind w:firstLine="630" w:firstLineChars="300"/>
        <w:outlineLvl w:val="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63C5BF63">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25C05F77">
      <w:pPr>
        <w:autoSpaceDE w:val="0"/>
        <w:autoSpaceDN w:val="0"/>
        <w:adjustRightInd w:val="0"/>
        <w:spacing w:line="360" w:lineRule="auto"/>
        <w:ind w:firstLine="630" w:firstLineChars="300"/>
        <w:outlineLvl w:val="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700536ED">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5B5052BB">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（3）东莞市内设有分支机构情况介绍[应提供该分支机构的多证合一营业执照原件扫描件等证明材料]（若无前述分支机构的无需介绍）。</w:t>
      </w:r>
    </w:p>
    <w:p w14:paraId="3F6613DA">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4520FDAD">
      <w:pPr>
        <w:autoSpaceDE w:val="0"/>
        <w:autoSpaceDN w:val="0"/>
        <w:adjustRightInd w:val="0"/>
        <w:spacing w:line="360" w:lineRule="auto"/>
        <w:ind w:firstLine="420" w:firstLineChars="200"/>
        <w:rPr>
          <w:rFonts w:ascii="宋体" w:hAnsi="宋体" w:eastAsia="宋体" w:cs="宋体"/>
          <w:color w:val="auto"/>
          <w:szCs w:val="24"/>
          <w:highlight w:val="none"/>
        </w:rPr>
      </w:pPr>
    </w:p>
    <w:p w14:paraId="57E7BD5D">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212FCF98">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77E1FFBA">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237E19B2">
      <w:pPr>
        <w:autoSpaceDE w:val="0"/>
        <w:autoSpaceDN w:val="0"/>
        <w:adjustRightInd w:val="0"/>
        <w:spacing w:line="360" w:lineRule="auto"/>
        <w:jc w:val="center"/>
        <w:rPr>
          <w:rFonts w:ascii="宋体" w:hAnsi="宋体" w:eastAsia="宋体" w:cs="宋体"/>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p w14:paraId="2E526866">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626" w:name="_Toc29014"/>
      <w:bookmarkStart w:id="627" w:name="_Toc31090"/>
      <w:bookmarkStart w:id="628" w:name="_Toc4023"/>
      <w:bookmarkStart w:id="629" w:name="_Toc285"/>
      <w:bookmarkStart w:id="630" w:name="_Toc104991882"/>
      <w:bookmarkStart w:id="631" w:name="_Toc13621"/>
      <w:bookmarkStart w:id="632" w:name="_Toc102860424"/>
      <w:bookmarkStart w:id="633" w:name="_Toc102860080"/>
      <w:bookmarkStart w:id="634" w:name="_Toc94107216"/>
      <w:bookmarkStart w:id="635" w:name="_Toc140596935"/>
      <w:bookmarkStart w:id="636" w:name="_Toc142508375"/>
      <w:bookmarkStart w:id="637" w:name="_Toc195714389"/>
      <w:bookmarkStart w:id="638" w:name="_Toc18075"/>
      <w:bookmarkStart w:id="639" w:name="_Toc10443"/>
      <w:bookmarkStart w:id="640" w:name="_Toc1977733"/>
      <w:bookmarkStart w:id="641" w:name="_Toc533708128"/>
      <w:bookmarkStart w:id="642" w:name="_Toc486167715"/>
      <w:bookmarkStart w:id="643" w:name="_Toc9051_WPSOffice_Level2"/>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sz w:val="32"/>
          <w:szCs w:val="32"/>
          <w:highlight w:val="none"/>
          <w:lang w:val="zh-CN"/>
        </w:rPr>
        <w:t>、投标人财务状况表格式</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14:paraId="430C9720">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3D332FCE">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3DC02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6C02B57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1EFB19E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69E710B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06FB072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294ADA2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2DF57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20D5A8A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2</w:t>
            </w:r>
          </w:p>
        </w:tc>
        <w:tc>
          <w:tcPr>
            <w:tcW w:w="1944" w:type="dxa"/>
            <w:vAlign w:val="center"/>
          </w:tcPr>
          <w:p w14:paraId="32D6C51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0F82B57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vAlign w:val="center"/>
          </w:tcPr>
          <w:p w14:paraId="62067FE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47FD2D3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2CE63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44CA277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3</w:t>
            </w:r>
          </w:p>
        </w:tc>
        <w:tc>
          <w:tcPr>
            <w:tcW w:w="1944" w:type="dxa"/>
            <w:vAlign w:val="center"/>
          </w:tcPr>
          <w:p w14:paraId="6D54A0E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0811688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178AA82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49695BF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6D80D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703ABD9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4</w:t>
            </w:r>
          </w:p>
        </w:tc>
        <w:tc>
          <w:tcPr>
            <w:tcW w:w="1944" w:type="dxa"/>
            <w:vAlign w:val="center"/>
          </w:tcPr>
          <w:p w14:paraId="7F4590B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3370434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5EDB543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434DA56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48EA7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34803E6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0710F11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6210C3E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7A65646D">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7BC08BD8">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74CA743E">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4B7C3EB5">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3DEA5C71">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1FD7FA70">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2826F57C">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47DE9DFF">
      <w:pPr>
        <w:autoSpaceDE w:val="0"/>
        <w:autoSpaceDN w:val="0"/>
        <w:adjustRightInd w:val="0"/>
        <w:spacing w:line="360" w:lineRule="auto"/>
        <w:jc w:val="center"/>
        <w:rPr>
          <w:rFonts w:ascii="宋体" w:hAnsi="宋体" w:eastAsia="宋体" w:cs="宋体"/>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p w14:paraId="16A9C611">
      <w:pPr>
        <w:autoSpaceDE w:val="0"/>
        <w:autoSpaceDN w:val="0"/>
        <w:adjustRightInd w:val="0"/>
        <w:spacing w:line="360" w:lineRule="auto"/>
        <w:ind w:firstLine="6274" w:firstLineChars="2976"/>
        <w:rPr>
          <w:rFonts w:ascii="宋体" w:hAnsi="宋体" w:eastAsia="宋体" w:cs="宋体"/>
          <w:b/>
          <w:bCs/>
          <w:color w:val="auto"/>
          <w:kern w:val="0"/>
          <w:szCs w:val="21"/>
          <w:highlight w:val="none"/>
        </w:rPr>
        <w:sectPr>
          <w:footerReference r:id="rId7" w:type="default"/>
          <w:pgSz w:w="11907" w:h="16840"/>
          <w:pgMar w:top="1701" w:right="1418" w:bottom="851" w:left="1418" w:header="720" w:footer="720" w:gutter="0"/>
          <w:cols w:space="720" w:num="1"/>
          <w:titlePg/>
          <w:docGrid w:linePitch="326" w:charSpace="0"/>
        </w:sectPr>
      </w:pPr>
    </w:p>
    <w:bookmarkEnd w:id="640"/>
    <w:bookmarkEnd w:id="641"/>
    <w:bookmarkEnd w:id="642"/>
    <w:bookmarkEnd w:id="643"/>
    <w:p w14:paraId="6DF02905">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bookmarkStart w:id="644" w:name="_Toc533708130"/>
      <w:bookmarkStart w:id="645" w:name="_Toc94107217"/>
      <w:bookmarkStart w:id="646" w:name="_Toc104991883"/>
      <w:bookmarkStart w:id="647" w:name="_Toc102860425"/>
      <w:bookmarkStart w:id="648" w:name="_Toc16948"/>
      <w:bookmarkStart w:id="649" w:name="_Toc5085"/>
      <w:bookmarkStart w:id="650" w:name="_Toc195714390"/>
      <w:bookmarkStart w:id="651" w:name="_Toc17995"/>
      <w:bookmarkStart w:id="652" w:name="_Toc739_WPSOffice_Level2"/>
      <w:bookmarkStart w:id="653" w:name="_Toc486167716"/>
      <w:bookmarkStart w:id="654" w:name="_Toc28458"/>
      <w:bookmarkStart w:id="655" w:name="_Toc6028"/>
      <w:bookmarkStart w:id="656" w:name="_Toc142508376"/>
      <w:bookmarkStart w:id="657" w:name="_Toc140596936"/>
      <w:bookmarkStart w:id="658" w:name="_Toc26821"/>
      <w:bookmarkStart w:id="659" w:name="_Toc102860081"/>
      <w:bookmarkStart w:id="660" w:name="_Toc333"/>
      <w:bookmarkStart w:id="661" w:name="_Toc1977736"/>
      <w:r>
        <w:rPr>
          <w:rFonts w:hint="eastAsia" w:ascii="宋体" w:hAnsi="宋体" w:eastAsia="宋体" w:cs="宋体"/>
          <w:b/>
          <w:color w:val="auto"/>
          <w:kern w:val="0"/>
          <w:sz w:val="32"/>
          <w:szCs w:val="32"/>
          <w:highlight w:val="none"/>
          <w:lang w:val="en-US" w:eastAsia="zh-CN"/>
        </w:rPr>
        <w:t>七</w:t>
      </w:r>
      <w:r>
        <w:rPr>
          <w:rFonts w:hint="eastAsia" w:ascii="宋体" w:hAnsi="宋体" w:eastAsia="宋体" w:cs="宋体"/>
          <w:b/>
          <w:color w:val="auto"/>
          <w:kern w:val="0"/>
          <w:sz w:val="32"/>
          <w:szCs w:val="32"/>
          <w:highlight w:val="none"/>
          <w:lang w:val="zh-CN"/>
        </w:rPr>
        <w:t>、合同条款偏离表格式</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6BC3C621">
      <w:pPr>
        <w:autoSpaceDE w:val="0"/>
        <w:autoSpaceDN w:val="0"/>
        <w:adjustRightInd w:val="0"/>
        <w:spacing w:line="360" w:lineRule="auto"/>
        <w:jc w:val="center"/>
        <w:outlineLvl w:val="3"/>
        <w:rPr>
          <w:rFonts w:ascii="宋体" w:hAnsi="宋体" w:eastAsia="宋体" w:cs="宋体"/>
          <w:b/>
          <w:bCs/>
          <w:color w:val="auto"/>
          <w:kern w:val="0"/>
          <w:sz w:val="28"/>
          <w:szCs w:val="30"/>
          <w:highlight w:val="none"/>
          <w:lang w:val="zh-CN"/>
        </w:rPr>
      </w:pPr>
      <w:bookmarkStart w:id="662" w:name="_Toc26412_WPSOffice_Level3"/>
      <w:r>
        <w:rPr>
          <w:rFonts w:hint="eastAsia" w:ascii="宋体" w:hAnsi="宋体" w:eastAsia="宋体" w:cs="宋体"/>
          <w:b/>
          <w:bCs/>
          <w:color w:val="auto"/>
          <w:kern w:val="0"/>
          <w:sz w:val="28"/>
          <w:szCs w:val="30"/>
          <w:highlight w:val="none"/>
          <w:lang w:val="zh-CN"/>
        </w:rPr>
        <w:t>东莞市水务集团造价咨询服务单位库(2025-2026)采购项目合同条款偏离表</w:t>
      </w:r>
      <w:bookmarkEnd w:id="662"/>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3080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689956A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73F2CC9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07EDD38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50B0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2E611DB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425" w:type="dxa"/>
            <w:vAlign w:val="center"/>
          </w:tcPr>
          <w:p w14:paraId="0EE9C34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352A460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20D9B5A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25C60A1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23D7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D526B8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425" w:type="dxa"/>
            <w:vAlign w:val="center"/>
          </w:tcPr>
          <w:p w14:paraId="241AF20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sz w:val="21"/>
                <w:szCs w:val="21"/>
                <w:highlight w:val="none"/>
              </w:rPr>
              <w:t>第一条</w:t>
            </w:r>
          </w:p>
        </w:tc>
        <w:tc>
          <w:tcPr>
            <w:tcW w:w="3055" w:type="dxa"/>
            <w:vAlign w:val="center"/>
          </w:tcPr>
          <w:p w14:paraId="1680C7C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合同范围及服务内容</w:t>
            </w:r>
          </w:p>
        </w:tc>
        <w:tc>
          <w:tcPr>
            <w:tcW w:w="1346" w:type="dxa"/>
            <w:vAlign w:val="center"/>
          </w:tcPr>
          <w:p w14:paraId="2C664C2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c>
          <w:tcPr>
            <w:tcW w:w="3524" w:type="dxa"/>
            <w:vAlign w:val="center"/>
          </w:tcPr>
          <w:p w14:paraId="7B2086F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r>
      <w:tr w14:paraId="797D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B4E97A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425" w:type="dxa"/>
            <w:vAlign w:val="center"/>
          </w:tcPr>
          <w:p w14:paraId="1591EE2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sz w:val="21"/>
                <w:szCs w:val="21"/>
                <w:highlight w:val="none"/>
              </w:rPr>
              <w:t>第二条</w:t>
            </w:r>
          </w:p>
        </w:tc>
        <w:tc>
          <w:tcPr>
            <w:tcW w:w="3055" w:type="dxa"/>
            <w:vAlign w:val="center"/>
          </w:tcPr>
          <w:p w14:paraId="7338505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sz w:val="21"/>
                <w:szCs w:val="21"/>
                <w:highlight w:val="none"/>
              </w:rPr>
              <w:t>服务期限</w:t>
            </w:r>
          </w:p>
        </w:tc>
        <w:tc>
          <w:tcPr>
            <w:tcW w:w="1346" w:type="dxa"/>
            <w:vAlign w:val="center"/>
          </w:tcPr>
          <w:p w14:paraId="6645951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c>
          <w:tcPr>
            <w:tcW w:w="3524" w:type="dxa"/>
            <w:vAlign w:val="center"/>
          </w:tcPr>
          <w:p w14:paraId="182A6D2C">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r>
      <w:tr w14:paraId="2E8F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CFAF40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425" w:type="dxa"/>
            <w:vAlign w:val="center"/>
          </w:tcPr>
          <w:p w14:paraId="20F39D8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sz w:val="21"/>
                <w:szCs w:val="21"/>
                <w:highlight w:val="none"/>
              </w:rPr>
              <w:t>第三条</w:t>
            </w:r>
          </w:p>
        </w:tc>
        <w:tc>
          <w:tcPr>
            <w:tcW w:w="3055" w:type="dxa"/>
            <w:vAlign w:val="center"/>
          </w:tcPr>
          <w:p w14:paraId="3B3C27C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sz w:val="21"/>
                <w:szCs w:val="21"/>
                <w:highlight w:val="none"/>
              </w:rPr>
              <w:t>服务费的计算及支付方式</w:t>
            </w:r>
          </w:p>
        </w:tc>
        <w:tc>
          <w:tcPr>
            <w:tcW w:w="1346" w:type="dxa"/>
            <w:vAlign w:val="center"/>
          </w:tcPr>
          <w:p w14:paraId="2AC0B4C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c>
          <w:tcPr>
            <w:tcW w:w="3524" w:type="dxa"/>
            <w:vAlign w:val="center"/>
          </w:tcPr>
          <w:p w14:paraId="0BFEADDC">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r>
      <w:tr w14:paraId="43CF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 w:type="dxa"/>
            <w:vAlign w:val="center"/>
          </w:tcPr>
          <w:p w14:paraId="454EA5F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425" w:type="dxa"/>
            <w:vAlign w:val="center"/>
          </w:tcPr>
          <w:p w14:paraId="3C24304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sz w:val="21"/>
                <w:szCs w:val="21"/>
                <w:highlight w:val="none"/>
              </w:rPr>
              <w:t>第四条</w:t>
            </w:r>
          </w:p>
        </w:tc>
        <w:tc>
          <w:tcPr>
            <w:tcW w:w="3055" w:type="dxa"/>
            <w:vAlign w:val="center"/>
          </w:tcPr>
          <w:p w14:paraId="1F0DEBA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sz w:val="21"/>
                <w:szCs w:val="21"/>
                <w:highlight w:val="none"/>
              </w:rPr>
              <w:t>项目分配方式</w:t>
            </w:r>
          </w:p>
        </w:tc>
        <w:tc>
          <w:tcPr>
            <w:tcW w:w="1346" w:type="dxa"/>
            <w:vAlign w:val="center"/>
          </w:tcPr>
          <w:p w14:paraId="271E610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c>
          <w:tcPr>
            <w:tcW w:w="3524" w:type="dxa"/>
            <w:vAlign w:val="center"/>
          </w:tcPr>
          <w:p w14:paraId="6FE517E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r>
      <w:tr w14:paraId="4864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B13D3D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425" w:type="dxa"/>
            <w:vAlign w:val="center"/>
          </w:tcPr>
          <w:p w14:paraId="36219A7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sz w:val="21"/>
                <w:szCs w:val="21"/>
                <w:highlight w:val="none"/>
              </w:rPr>
              <w:t>第五条</w:t>
            </w:r>
          </w:p>
        </w:tc>
        <w:tc>
          <w:tcPr>
            <w:tcW w:w="3055" w:type="dxa"/>
            <w:vAlign w:val="center"/>
          </w:tcPr>
          <w:p w14:paraId="501055D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sz w:val="21"/>
                <w:szCs w:val="21"/>
                <w:highlight w:val="none"/>
              </w:rPr>
              <w:t>服务要求</w:t>
            </w:r>
          </w:p>
        </w:tc>
        <w:tc>
          <w:tcPr>
            <w:tcW w:w="1346" w:type="dxa"/>
            <w:vAlign w:val="center"/>
          </w:tcPr>
          <w:p w14:paraId="611D552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c>
          <w:tcPr>
            <w:tcW w:w="3524" w:type="dxa"/>
            <w:vAlign w:val="center"/>
          </w:tcPr>
          <w:p w14:paraId="64FA46E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r>
      <w:tr w14:paraId="4A9E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FEB647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425" w:type="dxa"/>
            <w:vAlign w:val="center"/>
          </w:tcPr>
          <w:p w14:paraId="3130C4E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sz w:val="21"/>
                <w:szCs w:val="21"/>
                <w:highlight w:val="none"/>
              </w:rPr>
              <w:t>第六条</w:t>
            </w:r>
          </w:p>
        </w:tc>
        <w:tc>
          <w:tcPr>
            <w:tcW w:w="3055" w:type="dxa"/>
            <w:vAlign w:val="center"/>
          </w:tcPr>
          <w:p w14:paraId="2FEC695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sz w:val="21"/>
                <w:szCs w:val="21"/>
                <w:highlight w:val="none"/>
              </w:rPr>
              <w:t>单项造价</w:t>
            </w:r>
            <w:r>
              <w:rPr>
                <w:rFonts w:hint="eastAsia" w:ascii="宋体" w:hAnsi="宋体" w:eastAsia="宋体" w:cs="宋体"/>
                <w:b/>
                <w:bCs w:val="0"/>
                <w:color w:val="auto"/>
                <w:sz w:val="21"/>
                <w:szCs w:val="21"/>
                <w:highlight w:val="none"/>
                <w:lang w:eastAsia="zh-CN"/>
              </w:rPr>
              <w:t>咨询服务</w:t>
            </w:r>
            <w:r>
              <w:rPr>
                <w:rFonts w:hint="eastAsia" w:ascii="宋体" w:hAnsi="宋体" w:eastAsia="宋体" w:cs="宋体"/>
                <w:b/>
                <w:bCs w:val="0"/>
                <w:color w:val="auto"/>
                <w:sz w:val="21"/>
                <w:szCs w:val="21"/>
                <w:highlight w:val="none"/>
              </w:rPr>
              <w:t>完成时间要求</w:t>
            </w:r>
          </w:p>
        </w:tc>
        <w:tc>
          <w:tcPr>
            <w:tcW w:w="1346" w:type="dxa"/>
            <w:vAlign w:val="center"/>
          </w:tcPr>
          <w:p w14:paraId="4D2080A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c>
          <w:tcPr>
            <w:tcW w:w="3524" w:type="dxa"/>
            <w:vAlign w:val="center"/>
          </w:tcPr>
          <w:p w14:paraId="7083FB1C">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r>
      <w:tr w14:paraId="7F5B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F8C1E4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425" w:type="dxa"/>
            <w:vAlign w:val="center"/>
          </w:tcPr>
          <w:p w14:paraId="3E830E3C">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sz w:val="21"/>
                <w:szCs w:val="21"/>
                <w:highlight w:val="none"/>
              </w:rPr>
              <w:t>第七条</w:t>
            </w:r>
          </w:p>
        </w:tc>
        <w:tc>
          <w:tcPr>
            <w:tcW w:w="3055" w:type="dxa"/>
            <w:vAlign w:val="center"/>
          </w:tcPr>
          <w:p w14:paraId="1B58C63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sz w:val="21"/>
                <w:szCs w:val="21"/>
                <w:highlight w:val="none"/>
              </w:rPr>
              <w:t>日常管理</w:t>
            </w:r>
          </w:p>
        </w:tc>
        <w:tc>
          <w:tcPr>
            <w:tcW w:w="1346" w:type="dxa"/>
            <w:vAlign w:val="center"/>
          </w:tcPr>
          <w:p w14:paraId="6ACD8E5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c>
          <w:tcPr>
            <w:tcW w:w="3524" w:type="dxa"/>
            <w:vAlign w:val="center"/>
          </w:tcPr>
          <w:p w14:paraId="4D026E3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r>
      <w:tr w14:paraId="71B1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177AEB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425" w:type="dxa"/>
            <w:vAlign w:val="center"/>
          </w:tcPr>
          <w:p w14:paraId="5E3A1118">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sz w:val="21"/>
                <w:szCs w:val="21"/>
                <w:highlight w:val="none"/>
              </w:rPr>
              <w:t>第八条</w:t>
            </w:r>
          </w:p>
        </w:tc>
        <w:tc>
          <w:tcPr>
            <w:tcW w:w="3055" w:type="dxa"/>
            <w:vAlign w:val="center"/>
          </w:tcPr>
          <w:p w14:paraId="64F372B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sz w:val="21"/>
                <w:szCs w:val="21"/>
                <w:highlight w:val="none"/>
              </w:rPr>
              <w:t>履约担保</w:t>
            </w:r>
          </w:p>
        </w:tc>
        <w:tc>
          <w:tcPr>
            <w:tcW w:w="1346" w:type="dxa"/>
            <w:vAlign w:val="center"/>
          </w:tcPr>
          <w:p w14:paraId="7077677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c>
          <w:tcPr>
            <w:tcW w:w="3524" w:type="dxa"/>
            <w:vAlign w:val="center"/>
          </w:tcPr>
          <w:p w14:paraId="1CEFE7E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r>
      <w:tr w14:paraId="378A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20AC3C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425" w:type="dxa"/>
            <w:vAlign w:val="center"/>
          </w:tcPr>
          <w:p w14:paraId="02EF909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sz w:val="21"/>
                <w:szCs w:val="21"/>
                <w:highlight w:val="none"/>
              </w:rPr>
              <w:t>第九条</w:t>
            </w:r>
          </w:p>
        </w:tc>
        <w:tc>
          <w:tcPr>
            <w:tcW w:w="3055" w:type="dxa"/>
            <w:vAlign w:val="center"/>
          </w:tcPr>
          <w:p w14:paraId="54A2A9CC">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sz w:val="21"/>
                <w:szCs w:val="21"/>
                <w:highlight w:val="none"/>
              </w:rPr>
              <w:t>违约责任</w:t>
            </w:r>
          </w:p>
        </w:tc>
        <w:tc>
          <w:tcPr>
            <w:tcW w:w="1346" w:type="dxa"/>
            <w:vAlign w:val="center"/>
          </w:tcPr>
          <w:p w14:paraId="4003A8D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c>
          <w:tcPr>
            <w:tcW w:w="3524" w:type="dxa"/>
            <w:vAlign w:val="center"/>
          </w:tcPr>
          <w:p w14:paraId="77D2A3C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r>
      <w:tr w14:paraId="7A76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9F70778">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425" w:type="dxa"/>
            <w:vAlign w:val="center"/>
          </w:tcPr>
          <w:p w14:paraId="4BA59C28">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sz w:val="21"/>
                <w:szCs w:val="21"/>
                <w:highlight w:val="none"/>
              </w:rPr>
              <w:t>第十条</w:t>
            </w:r>
          </w:p>
        </w:tc>
        <w:tc>
          <w:tcPr>
            <w:tcW w:w="3055" w:type="dxa"/>
            <w:vAlign w:val="center"/>
          </w:tcPr>
          <w:p w14:paraId="25437E9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sz w:val="21"/>
                <w:szCs w:val="21"/>
                <w:highlight w:val="none"/>
              </w:rPr>
              <w:t>合同争议</w:t>
            </w:r>
          </w:p>
        </w:tc>
        <w:tc>
          <w:tcPr>
            <w:tcW w:w="1346" w:type="dxa"/>
            <w:vAlign w:val="center"/>
          </w:tcPr>
          <w:p w14:paraId="02315A3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c>
          <w:tcPr>
            <w:tcW w:w="3524" w:type="dxa"/>
            <w:vAlign w:val="center"/>
          </w:tcPr>
          <w:p w14:paraId="05780028">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r>
      <w:tr w14:paraId="26E3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6147A3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425" w:type="dxa"/>
            <w:vAlign w:val="center"/>
          </w:tcPr>
          <w:p w14:paraId="7EB4B07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sz w:val="21"/>
                <w:szCs w:val="21"/>
                <w:highlight w:val="none"/>
              </w:rPr>
              <w:t>第十一条</w:t>
            </w:r>
          </w:p>
        </w:tc>
        <w:tc>
          <w:tcPr>
            <w:tcW w:w="3055" w:type="dxa"/>
            <w:vAlign w:val="center"/>
          </w:tcPr>
          <w:p w14:paraId="67CC147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sz w:val="21"/>
                <w:szCs w:val="21"/>
                <w:highlight w:val="none"/>
              </w:rPr>
              <w:t>合同的变更与解除</w:t>
            </w:r>
          </w:p>
        </w:tc>
        <w:tc>
          <w:tcPr>
            <w:tcW w:w="1346" w:type="dxa"/>
            <w:vAlign w:val="center"/>
          </w:tcPr>
          <w:p w14:paraId="7034F6D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c>
          <w:tcPr>
            <w:tcW w:w="3524" w:type="dxa"/>
            <w:vAlign w:val="center"/>
          </w:tcPr>
          <w:p w14:paraId="32B5051C">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r>
      <w:tr w14:paraId="3FDE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69583C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425" w:type="dxa"/>
            <w:vAlign w:val="center"/>
          </w:tcPr>
          <w:p w14:paraId="392CBC7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sz w:val="21"/>
                <w:szCs w:val="21"/>
                <w:highlight w:val="none"/>
              </w:rPr>
              <w:t>第十二条</w:t>
            </w:r>
          </w:p>
        </w:tc>
        <w:tc>
          <w:tcPr>
            <w:tcW w:w="3055" w:type="dxa"/>
            <w:vAlign w:val="center"/>
          </w:tcPr>
          <w:p w14:paraId="0AD812E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sz w:val="21"/>
                <w:szCs w:val="21"/>
                <w:highlight w:val="none"/>
              </w:rPr>
              <w:t>合同生效及其他</w:t>
            </w:r>
          </w:p>
        </w:tc>
        <w:tc>
          <w:tcPr>
            <w:tcW w:w="1346" w:type="dxa"/>
            <w:vAlign w:val="center"/>
          </w:tcPr>
          <w:p w14:paraId="09C6DC9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c>
          <w:tcPr>
            <w:tcW w:w="3524" w:type="dxa"/>
            <w:vAlign w:val="center"/>
          </w:tcPr>
          <w:p w14:paraId="06C00DA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r>
      <w:tr w14:paraId="738C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66B0F9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425" w:type="dxa"/>
            <w:vAlign w:val="center"/>
          </w:tcPr>
          <w:p w14:paraId="64367D2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附件2</w:t>
            </w:r>
          </w:p>
        </w:tc>
        <w:tc>
          <w:tcPr>
            <w:tcW w:w="3055" w:type="dxa"/>
            <w:vAlign w:val="center"/>
          </w:tcPr>
          <w:p w14:paraId="75F4A11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kern w:val="2"/>
                <w:sz w:val="21"/>
                <w:szCs w:val="21"/>
                <w:highlight w:val="none"/>
                <w:lang w:val="en-US" w:eastAsia="zh-CN" w:bidi="ar-SA"/>
              </w:rPr>
              <w:t>造价咨询服务单位考核表</w:t>
            </w:r>
          </w:p>
        </w:tc>
        <w:tc>
          <w:tcPr>
            <w:tcW w:w="1346" w:type="dxa"/>
            <w:vAlign w:val="center"/>
          </w:tcPr>
          <w:p w14:paraId="06240C2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c>
          <w:tcPr>
            <w:tcW w:w="3524" w:type="dxa"/>
            <w:vAlign w:val="center"/>
          </w:tcPr>
          <w:p w14:paraId="7CEDBA7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r>
      <w:tr w14:paraId="0965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0C1D52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p>
        </w:tc>
        <w:tc>
          <w:tcPr>
            <w:tcW w:w="1425" w:type="dxa"/>
            <w:vAlign w:val="center"/>
          </w:tcPr>
          <w:p w14:paraId="05A6F57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sz w:val="21"/>
                <w:szCs w:val="21"/>
                <w:highlight w:val="none"/>
              </w:rPr>
              <w:t>附件4</w:t>
            </w:r>
          </w:p>
        </w:tc>
        <w:tc>
          <w:tcPr>
            <w:tcW w:w="3055" w:type="dxa"/>
            <w:vAlign w:val="center"/>
          </w:tcPr>
          <w:p w14:paraId="20C62B2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sz w:val="21"/>
                <w:szCs w:val="21"/>
                <w:highlight w:val="none"/>
              </w:rPr>
              <w:t>廉洁协议书</w:t>
            </w:r>
          </w:p>
        </w:tc>
        <w:tc>
          <w:tcPr>
            <w:tcW w:w="1346" w:type="dxa"/>
            <w:vAlign w:val="center"/>
          </w:tcPr>
          <w:p w14:paraId="06E8D6B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c>
          <w:tcPr>
            <w:tcW w:w="3524" w:type="dxa"/>
            <w:vAlign w:val="center"/>
          </w:tcPr>
          <w:p w14:paraId="53A1471C">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r>
      <w:tr w14:paraId="6DF1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C7DA4B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5</w:t>
            </w:r>
          </w:p>
        </w:tc>
        <w:tc>
          <w:tcPr>
            <w:tcW w:w="1425" w:type="dxa"/>
            <w:vAlign w:val="center"/>
          </w:tcPr>
          <w:p w14:paraId="1DE7150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一</w:t>
            </w:r>
          </w:p>
        </w:tc>
        <w:tc>
          <w:tcPr>
            <w:tcW w:w="3055" w:type="dxa"/>
            <w:vAlign w:val="center"/>
          </w:tcPr>
          <w:p w14:paraId="579A0F1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不可撤销银行履约保函格式</w:t>
            </w:r>
          </w:p>
        </w:tc>
        <w:tc>
          <w:tcPr>
            <w:tcW w:w="1346" w:type="dxa"/>
            <w:vAlign w:val="center"/>
          </w:tcPr>
          <w:p w14:paraId="0ABC02C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c>
          <w:tcPr>
            <w:tcW w:w="3524" w:type="dxa"/>
            <w:vAlign w:val="center"/>
          </w:tcPr>
          <w:p w14:paraId="37D768D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r>
      <w:tr w14:paraId="1A95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CB8D92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6</w:t>
            </w:r>
          </w:p>
        </w:tc>
        <w:tc>
          <w:tcPr>
            <w:tcW w:w="1425" w:type="dxa"/>
            <w:vAlign w:val="center"/>
          </w:tcPr>
          <w:p w14:paraId="18C2CC4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SA"/>
              </w:rPr>
              <w:t>二</w:t>
            </w:r>
          </w:p>
        </w:tc>
        <w:tc>
          <w:tcPr>
            <w:tcW w:w="3055" w:type="dxa"/>
            <w:vAlign w:val="center"/>
          </w:tcPr>
          <w:p w14:paraId="2C8C57E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rPr>
              <w:t>履约保证保险凭证格式</w:t>
            </w:r>
          </w:p>
        </w:tc>
        <w:tc>
          <w:tcPr>
            <w:tcW w:w="1346" w:type="dxa"/>
            <w:vAlign w:val="center"/>
          </w:tcPr>
          <w:p w14:paraId="583AF69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c>
          <w:tcPr>
            <w:tcW w:w="3524" w:type="dxa"/>
            <w:vAlign w:val="center"/>
          </w:tcPr>
          <w:p w14:paraId="045DA79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r>
      <w:tr w14:paraId="090E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EC9CDC8">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7</w:t>
            </w:r>
          </w:p>
        </w:tc>
        <w:tc>
          <w:tcPr>
            <w:tcW w:w="1425" w:type="dxa"/>
            <w:vAlign w:val="center"/>
          </w:tcPr>
          <w:p w14:paraId="02128F5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rPr>
              <w:t>三</w:t>
            </w:r>
          </w:p>
        </w:tc>
        <w:tc>
          <w:tcPr>
            <w:tcW w:w="3055" w:type="dxa"/>
            <w:vAlign w:val="center"/>
          </w:tcPr>
          <w:p w14:paraId="0FD5DE5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担保公司履约担保书格式</w:t>
            </w:r>
          </w:p>
        </w:tc>
        <w:tc>
          <w:tcPr>
            <w:tcW w:w="1346" w:type="dxa"/>
            <w:vAlign w:val="center"/>
          </w:tcPr>
          <w:p w14:paraId="163FAD4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c>
          <w:tcPr>
            <w:tcW w:w="3524" w:type="dxa"/>
            <w:vAlign w:val="center"/>
          </w:tcPr>
          <w:p w14:paraId="2622AD0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p>
        </w:tc>
      </w:tr>
    </w:tbl>
    <w:p w14:paraId="267CB1CB">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6E5584CE">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7BB69240">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7546CF50">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相关服务商务条件优于招标文件的要求；负偏离是指投标人提供的相关服务商务条件不满足或不完全满足招标文件的要求；无偏离是指投标人提供的相关服务商务条件完全满足招标文件的要求。</w:t>
      </w:r>
    </w:p>
    <w:p w14:paraId="548B7ECE">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4F7B885F">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0937ECB9">
      <w:pPr>
        <w:spacing w:line="360" w:lineRule="auto"/>
        <w:ind w:left="357" w:leftChars="-100" w:hanging="567" w:hangingChars="270"/>
        <w:rPr>
          <w:rFonts w:ascii="宋体" w:hAnsi="宋体" w:eastAsia="宋体" w:cs="宋体"/>
          <w:color w:val="auto"/>
          <w:szCs w:val="21"/>
          <w:highlight w:val="none"/>
        </w:rPr>
      </w:pPr>
    </w:p>
    <w:p w14:paraId="62330164">
      <w:pPr>
        <w:spacing w:line="360" w:lineRule="auto"/>
        <w:ind w:left="357" w:leftChars="-100" w:hanging="567" w:hangingChars="270"/>
        <w:rPr>
          <w:rFonts w:ascii="宋体" w:hAnsi="宋体" w:eastAsia="宋体" w:cs="宋体"/>
          <w:color w:val="auto"/>
          <w:szCs w:val="21"/>
          <w:highlight w:val="none"/>
        </w:rPr>
      </w:pPr>
    </w:p>
    <w:p w14:paraId="3B559676">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204E4E99">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063E21B4">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7D4D0D32">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2C9203FD">
      <w:pPr>
        <w:autoSpaceDE w:val="0"/>
        <w:autoSpaceDN w:val="0"/>
        <w:adjustRightInd w:val="0"/>
        <w:spacing w:line="360" w:lineRule="auto"/>
        <w:jc w:val="center"/>
        <w:rPr>
          <w:rFonts w:ascii="宋体" w:hAnsi="宋体" w:eastAsia="宋体" w:cs="宋体"/>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p w14:paraId="17F0E6F7">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663" w:name="_Toc31371"/>
      <w:bookmarkStart w:id="664" w:name="_Toc140596937"/>
      <w:bookmarkStart w:id="665" w:name="_Toc5473"/>
      <w:bookmarkStart w:id="666" w:name="_Toc29505"/>
      <w:bookmarkStart w:id="667" w:name="_Toc94107218"/>
      <w:bookmarkStart w:id="668" w:name="_Toc102860426"/>
      <w:bookmarkStart w:id="669" w:name="_Toc13179"/>
      <w:bookmarkStart w:id="670" w:name="_Toc6740"/>
      <w:bookmarkStart w:id="671" w:name="_Toc104991884"/>
      <w:bookmarkStart w:id="672" w:name="_Toc142508377"/>
      <w:bookmarkStart w:id="673" w:name="_Toc195714391"/>
      <w:bookmarkStart w:id="674" w:name="_Toc102860082"/>
      <w:bookmarkStart w:id="675" w:name="_Toc27005"/>
      <w:bookmarkStart w:id="676" w:name="_Toc6230"/>
      <w:bookmarkStart w:id="677" w:name="_Toc27980_WPSOffice_Level2"/>
      <w:bookmarkStart w:id="678" w:name="_Toc486167717"/>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rPr>
        <w:t>、业绩表格式</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F008747">
      <w:pPr>
        <w:autoSpaceDE w:val="0"/>
        <w:autoSpaceDN w:val="0"/>
        <w:adjustRightInd w:val="0"/>
        <w:spacing w:line="360" w:lineRule="auto"/>
        <w:jc w:val="both"/>
        <w:outlineLvl w:val="3"/>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8.1 工程造价咨询业绩</w:t>
      </w:r>
    </w:p>
    <w:p w14:paraId="2D66C7EF">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202</w:t>
      </w:r>
      <w:r>
        <w:rPr>
          <w:rFonts w:hint="eastAsia" w:ascii="宋体" w:hAnsi="宋体" w:eastAsia="宋体" w:cs="宋体"/>
          <w:b/>
          <w:bCs/>
          <w:color w:val="auto"/>
          <w:sz w:val="30"/>
          <w:szCs w:val="30"/>
          <w:highlight w:val="none"/>
          <w:lang w:val="en-US" w:eastAsia="zh-CN"/>
        </w:rPr>
        <w:t>2</w:t>
      </w:r>
      <w:r>
        <w:rPr>
          <w:rFonts w:hint="eastAsia" w:ascii="宋体" w:hAnsi="宋体" w:eastAsia="宋体" w:cs="宋体"/>
          <w:b/>
          <w:bCs/>
          <w:color w:val="auto"/>
          <w:sz w:val="30"/>
          <w:szCs w:val="30"/>
          <w:highlight w:val="none"/>
          <w:lang w:val="zh-CN"/>
        </w:rPr>
        <w:t>年、202</w:t>
      </w:r>
      <w:r>
        <w:rPr>
          <w:rFonts w:hint="eastAsia" w:ascii="宋体" w:hAnsi="宋体" w:eastAsia="宋体" w:cs="宋体"/>
          <w:b/>
          <w:bCs/>
          <w:color w:val="auto"/>
          <w:sz w:val="30"/>
          <w:szCs w:val="30"/>
          <w:highlight w:val="none"/>
          <w:lang w:val="en-US" w:eastAsia="zh-CN"/>
        </w:rPr>
        <w:t>3</w:t>
      </w:r>
      <w:r>
        <w:rPr>
          <w:rFonts w:hint="eastAsia" w:ascii="宋体" w:hAnsi="宋体" w:eastAsia="宋体" w:cs="宋体"/>
          <w:b/>
          <w:bCs/>
          <w:color w:val="auto"/>
          <w:sz w:val="30"/>
          <w:szCs w:val="30"/>
          <w:highlight w:val="none"/>
          <w:lang w:val="zh-CN"/>
        </w:rPr>
        <w:t>年、202</w:t>
      </w:r>
      <w:r>
        <w:rPr>
          <w:rFonts w:hint="eastAsia" w:ascii="宋体" w:hAnsi="宋体" w:eastAsia="宋体" w:cs="宋体"/>
          <w:b/>
          <w:bCs/>
          <w:color w:val="auto"/>
          <w:sz w:val="30"/>
          <w:szCs w:val="30"/>
          <w:highlight w:val="none"/>
          <w:lang w:val="en-US" w:eastAsia="zh-CN"/>
        </w:rPr>
        <w:t>4</w:t>
      </w:r>
      <w:r>
        <w:rPr>
          <w:rFonts w:hint="eastAsia" w:ascii="宋体" w:hAnsi="宋体" w:eastAsia="宋体" w:cs="宋体"/>
          <w:b/>
          <w:bCs/>
          <w:color w:val="auto"/>
          <w:sz w:val="30"/>
          <w:szCs w:val="30"/>
          <w:highlight w:val="none"/>
          <w:lang w:val="zh-CN"/>
        </w:rPr>
        <w:t>年各年</w:t>
      </w:r>
      <w:r>
        <w:rPr>
          <w:rFonts w:hint="eastAsia" w:ascii="宋体" w:hAnsi="宋体" w:eastAsia="宋体" w:cs="宋体"/>
          <w:b/>
          <w:bCs/>
          <w:color w:val="auto"/>
          <w:sz w:val="30"/>
          <w:szCs w:val="30"/>
          <w:highlight w:val="none"/>
          <w:lang w:val="en-US" w:eastAsia="zh-CN"/>
        </w:rPr>
        <w:t>度</w:t>
      </w:r>
      <w:r>
        <w:rPr>
          <w:rFonts w:hint="eastAsia" w:ascii="宋体" w:hAnsi="宋体" w:eastAsia="宋体" w:cs="宋体"/>
          <w:b/>
          <w:bCs/>
          <w:color w:val="auto"/>
          <w:sz w:val="30"/>
          <w:szCs w:val="30"/>
          <w:highlight w:val="none"/>
          <w:lang w:val="zh-CN"/>
        </w:rPr>
        <w:t>承接的概、预(或招标控制价)、结算编制和审核业绩</w:t>
      </w:r>
    </w:p>
    <w:tbl>
      <w:tblPr>
        <w:tblStyle w:val="4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8"/>
        <w:gridCol w:w="2242"/>
        <w:gridCol w:w="1531"/>
        <w:gridCol w:w="2209"/>
        <w:gridCol w:w="1249"/>
        <w:gridCol w:w="1039"/>
        <w:gridCol w:w="1412"/>
      </w:tblGrid>
      <w:tr w14:paraId="1190F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14:paraId="5C3C88F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序号</w:t>
            </w:r>
          </w:p>
        </w:tc>
        <w:tc>
          <w:tcPr>
            <w:tcW w:w="1081" w:type="pct"/>
            <w:tcBorders>
              <w:top w:val="single" w:color="auto" w:sz="4" w:space="0"/>
              <w:left w:val="single" w:color="auto" w:sz="4" w:space="0"/>
              <w:bottom w:val="single" w:color="auto" w:sz="4" w:space="0"/>
              <w:right w:val="single" w:color="auto" w:sz="4" w:space="0"/>
            </w:tcBorders>
            <w:vAlign w:val="center"/>
          </w:tcPr>
          <w:p w14:paraId="53E2E50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项目名称</w:t>
            </w:r>
          </w:p>
        </w:tc>
        <w:tc>
          <w:tcPr>
            <w:tcW w:w="738" w:type="pct"/>
            <w:tcBorders>
              <w:top w:val="single" w:color="auto" w:sz="4" w:space="0"/>
              <w:left w:val="single" w:color="auto" w:sz="4" w:space="0"/>
              <w:bottom w:val="single" w:color="auto" w:sz="4" w:space="0"/>
              <w:right w:val="single" w:color="auto" w:sz="4" w:space="0"/>
            </w:tcBorders>
            <w:vAlign w:val="center"/>
          </w:tcPr>
          <w:p w14:paraId="7C3586B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业主方名称</w:t>
            </w:r>
          </w:p>
        </w:tc>
        <w:tc>
          <w:tcPr>
            <w:tcW w:w="1065" w:type="pct"/>
            <w:tcBorders>
              <w:top w:val="single" w:color="auto" w:sz="4" w:space="0"/>
              <w:left w:val="single" w:color="auto" w:sz="4" w:space="0"/>
              <w:bottom w:val="single" w:color="auto" w:sz="4" w:space="0"/>
              <w:right w:val="single" w:color="auto" w:sz="4" w:space="0"/>
            </w:tcBorders>
            <w:vAlign w:val="center"/>
          </w:tcPr>
          <w:p w14:paraId="59438C4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合同类型</w:t>
            </w:r>
          </w:p>
          <w:p w14:paraId="145A840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概/预</w:t>
            </w:r>
            <w:r>
              <w:rPr>
                <w:rFonts w:hint="eastAsia" w:ascii="宋体" w:hAnsi="宋体" w:eastAsia="宋体" w:cs="宋体"/>
                <w:color w:val="auto"/>
                <w:sz w:val="21"/>
                <w:szCs w:val="21"/>
                <w:highlight w:val="none"/>
                <w:lang w:val="zh-CN"/>
              </w:rPr>
              <w:t>(或招标控制价)</w:t>
            </w:r>
            <w:r>
              <w:rPr>
                <w:rFonts w:hint="eastAsia" w:ascii="宋体" w:hAnsi="宋体" w:eastAsia="宋体" w:cs="宋体"/>
                <w:color w:val="auto"/>
                <w:sz w:val="21"/>
                <w:szCs w:val="21"/>
                <w:highlight w:val="none"/>
              </w:rPr>
              <w:t>/结算</w:t>
            </w:r>
            <w:r>
              <w:rPr>
                <w:rFonts w:hint="eastAsia" w:ascii="宋体" w:hAnsi="宋体" w:eastAsia="宋体" w:cs="宋体"/>
                <w:b w:val="0"/>
                <w:bCs w:val="0"/>
                <w:color w:val="auto"/>
                <w:sz w:val="21"/>
                <w:szCs w:val="21"/>
                <w:highlight w:val="none"/>
                <w:lang w:val="zh-CN"/>
              </w:rPr>
              <w:t>编制</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zh-CN"/>
              </w:rPr>
              <w:t>审核</w:t>
            </w:r>
            <w:r>
              <w:rPr>
                <w:rFonts w:hint="eastAsia" w:ascii="宋体" w:hAnsi="宋体" w:eastAsia="宋体" w:cs="宋体"/>
                <w:color w:val="auto"/>
                <w:sz w:val="21"/>
                <w:szCs w:val="21"/>
                <w:highlight w:val="none"/>
                <w:lang w:eastAsia="zh-CN"/>
              </w:rPr>
              <w:t>】</w:t>
            </w:r>
          </w:p>
        </w:tc>
        <w:tc>
          <w:tcPr>
            <w:tcW w:w="602" w:type="pct"/>
            <w:tcBorders>
              <w:top w:val="single" w:color="auto" w:sz="4" w:space="0"/>
              <w:left w:val="single" w:color="auto" w:sz="4" w:space="0"/>
              <w:bottom w:val="single" w:color="auto" w:sz="4" w:space="0"/>
              <w:right w:val="single" w:color="auto" w:sz="4" w:space="0"/>
            </w:tcBorders>
            <w:vAlign w:val="center"/>
          </w:tcPr>
          <w:p w14:paraId="125570D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w:t>
            </w:r>
          </w:p>
        </w:tc>
        <w:tc>
          <w:tcPr>
            <w:tcW w:w="501" w:type="pct"/>
            <w:tcBorders>
              <w:top w:val="single" w:color="auto" w:sz="4" w:space="0"/>
              <w:left w:val="single" w:color="auto" w:sz="4" w:space="0"/>
              <w:bottom w:val="single" w:color="auto" w:sz="4" w:space="0"/>
              <w:right w:val="single" w:color="auto" w:sz="4" w:space="0"/>
            </w:tcBorders>
            <w:vAlign w:val="center"/>
          </w:tcPr>
          <w:p w14:paraId="3551BEC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lang w:val="zh-CN"/>
              </w:rPr>
              <w:t>完成情况</w:t>
            </w:r>
          </w:p>
        </w:tc>
        <w:tc>
          <w:tcPr>
            <w:tcW w:w="678" w:type="pct"/>
            <w:tcBorders>
              <w:top w:val="single" w:color="auto" w:sz="4" w:space="0"/>
              <w:left w:val="single" w:color="auto" w:sz="4" w:space="0"/>
              <w:bottom w:val="single" w:color="auto" w:sz="4" w:space="0"/>
              <w:right w:val="single" w:color="auto" w:sz="4" w:space="0"/>
            </w:tcBorders>
            <w:vAlign w:val="center"/>
          </w:tcPr>
          <w:p w14:paraId="28BFBC6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业主</w:t>
            </w:r>
            <w:r>
              <w:rPr>
                <w:rFonts w:hint="eastAsia" w:ascii="宋体" w:hAnsi="宋体" w:eastAsia="宋体" w:cs="宋体"/>
                <w:color w:val="auto"/>
                <w:kern w:val="2"/>
                <w:sz w:val="21"/>
                <w:szCs w:val="21"/>
                <w:highlight w:val="none"/>
                <w:lang w:val="zh-CN"/>
              </w:rPr>
              <w:t>电话及联系人</w:t>
            </w:r>
          </w:p>
        </w:tc>
      </w:tr>
      <w:tr w14:paraId="2557F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03B58013">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一、202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年概、预</w:t>
            </w:r>
            <w:r>
              <w:rPr>
                <w:rFonts w:hint="eastAsia" w:ascii="宋体" w:hAnsi="宋体" w:eastAsia="宋体" w:cs="宋体"/>
                <w:b/>
                <w:bCs/>
                <w:color w:val="auto"/>
                <w:sz w:val="21"/>
                <w:szCs w:val="21"/>
                <w:highlight w:val="none"/>
                <w:lang w:val="zh-CN"/>
              </w:rPr>
              <w:t>(或招标控制价)</w:t>
            </w:r>
            <w:r>
              <w:rPr>
                <w:rFonts w:hint="eastAsia" w:ascii="宋体" w:hAnsi="宋体" w:eastAsia="宋体" w:cs="宋体"/>
                <w:b/>
                <w:bCs/>
                <w:color w:val="auto"/>
                <w:sz w:val="21"/>
                <w:szCs w:val="21"/>
                <w:highlight w:val="none"/>
              </w:rPr>
              <w:t>、结算</w:t>
            </w:r>
            <w:r>
              <w:rPr>
                <w:rFonts w:hint="eastAsia" w:ascii="宋体" w:hAnsi="宋体" w:eastAsia="宋体" w:cs="宋体"/>
                <w:b/>
                <w:bCs/>
                <w:color w:val="auto"/>
                <w:szCs w:val="21"/>
                <w:highlight w:val="none"/>
              </w:rPr>
              <w:t>编制</w:t>
            </w:r>
            <w:r>
              <w:rPr>
                <w:rFonts w:hint="eastAsia" w:ascii="宋体" w:hAnsi="宋体" w:eastAsia="宋体" w:cs="宋体"/>
                <w:b/>
                <w:bCs/>
                <w:color w:val="auto"/>
                <w:szCs w:val="21"/>
                <w:highlight w:val="none"/>
                <w:lang w:eastAsia="zh-CN"/>
              </w:rPr>
              <w:t>和</w:t>
            </w:r>
            <w:r>
              <w:rPr>
                <w:rFonts w:hint="eastAsia" w:ascii="宋体" w:hAnsi="宋体" w:eastAsia="宋体" w:cs="宋体"/>
                <w:b/>
                <w:bCs/>
                <w:color w:val="auto"/>
                <w:szCs w:val="21"/>
                <w:highlight w:val="none"/>
              </w:rPr>
              <w:t>审核</w:t>
            </w:r>
            <w:r>
              <w:rPr>
                <w:rFonts w:hint="eastAsia" w:ascii="宋体" w:hAnsi="宋体" w:eastAsia="宋体" w:cs="宋体"/>
                <w:b/>
                <w:bCs/>
                <w:color w:val="auto"/>
                <w:sz w:val="21"/>
                <w:szCs w:val="21"/>
                <w:highlight w:val="none"/>
              </w:rPr>
              <w:t>业绩</w:t>
            </w:r>
          </w:p>
        </w:tc>
      </w:tr>
      <w:tr w14:paraId="25140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14:paraId="298F6D7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081" w:type="pct"/>
            <w:tcBorders>
              <w:top w:val="single" w:color="auto" w:sz="4" w:space="0"/>
              <w:left w:val="single" w:color="auto" w:sz="4" w:space="0"/>
              <w:bottom w:val="single" w:color="auto" w:sz="4" w:space="0"/>
              <w:right w:val="single" w:color="auto" w:sz="4" w:space="0"/>
            </w:tcBorders>
            <w:vAlign w:val="center"/>
          </w:tcPr>
          <w:p w14:paraId="6050596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38" w:type="pct"/>
            <w:tcBorders>
              <w:top w:val="single" w:color="auto" w:sz="4" w:space="0"/>
              <w:left w:val="single" w:color="auto" w:sz="4" w:space="0"/>
              <w:bottom w:val="single" w:color="auto" w:sz="4" w:space="0"/>
              <w:right w:val="single" w:color="auto" w:sz="4" w:space="0"/>
            </w:tcBorders>
            <w:vAlign w:val="center"/>
          </w:tcPr>
          <w:p w14:paraId="705ADD1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475FF4D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3974598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080F83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29154AF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1200B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14:paraId="317D8F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081" w:type="pct"/>
            <w:tcBorders>
              <w:top w:val="single" w:color="auto" w:sz="4" w:space="0"/>
              <w:left w:val="single" w:color="auto" w:sz="4" w:space="0"/>
              <w:bottom w:val="single" w:color="auto" w:sz="4" w:space="0"/>
              <w:right w:val="single" w:color="auto" w:sz="4" w:space="0"/>
            </w:tcBorders>
            <w:vAlign w:val="center"/>
          </w:tcPr>
          <w:p w14:paraId="488AA94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38" w:type="pct"/>
            <w:tcBorders>
              <w:top w:val="single" w:color="auto" w:sz="4" w:space="0"/>
              <w:left w:val="single" w:color="auto" w:sz="4" w:space="0"/>
              <w:bottom w:val="single" w:color="auto" w:sz="4" w:space="0"/>
              <w:right w:val="single" w:color="auto" w:sz="4" w:space="0"/>
            </w:tcBorders>
            <w:vAlign w:val="center"/>
          </w:tcPr>
          <w:p w14:paraId="2587722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7896A1E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0B3F818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48289BC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00537F4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421D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14:paraId="5DEF498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081" w:type="pct"/>
            <w:tcBorders>
              <w:top w:val="single" w:color="auto" w:sz="4" w:space="0"/>
              <w:left w:val="single" w:color="auto" w:sz="4" w:space="0"/>
              <w:bottom w:val="single" w:color="auto" w:sz="4" w:space="0"/>
              <w:right w:val="single" w:color="auto" w:sz="4" w:space="0"/>
            </w:tcBorders>
            <w:vAlign w:val="center"/>
          </w:tcPr>
          <w:p w14:paraId="688C3B4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38" w:type="pct"/>
            <w:tcBorders>
              <w:top w:val="single" w:color="auto" w:sz="4" w:space="0"/>
              <w:left w:val="single" w:color="auto" w:sz="4" w:space="0"/>
              <w:bottom w:val="single" w:color="auto" w:sz="4" w:space="0"/>
              <w:right w:val="single" w:color="auto" w:sz="4" w:space="0"/>
            </w:tcBorders>
            <w:vAlign w:val="center"/>
          </w:tcPr>
          <w:p w14:paraId="1A3C85F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4FA86E1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01EC87C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1BA0CC2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46601E9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1454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14:paraId="38AC0CE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1" w:type="pct"/>
            <w:tcBorders>
              <w:top w:val="single" w:color="auto" w:sz="4" w:space="0"/>
              <w:left w:val="single" w:color="auto" w:sz="4" w:space="0"/>
              <w:bottom w:val="single" w:color="auto" w:sz="4" w:space="0"/>
              <w:right w:val="single" w:color="auto" w:sz="4" w:space="0"/>
            </w:tcBorders>
            <w:vAlign w:val="center"/>
          </w:tcPr>
          <w:p w14:paraId="761B33E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38" w:type="pct"/>
            <w:tcBorders>
              <w:top w:val="single" w:color="auto" w:sz="4" w:space="0"/>
              <w:left w:val="single" w:color="auto" w:sz="4" w:space="0"/>
              <w:bottom w:val="single" w:color="auto" w:sz="4" w:space="0"/>
              <w:right w:val="single" w:color="auto" w:sz="4" w:space="0"/>
            </w:tcBorders>
            <w:vAlign w:val="center"/>
          </w:tcPr>
          <w:p w14:paraId="3403F04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393A034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6AF2EED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6ACC364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396AFA0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332FA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5D72B32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二、202</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年概、预</w:t>
            </w:r>
            <w:r>
              <w:rPr>
                <w:rFonts w:hint="eastAsia" w:ascii="宋体" w:hAnsi="宋体" w:eastAsia="宋体" w:cs="宋体"/>
                <w:b/>
                <w:bCs/>
                <w:color w:val="auto"/>
                <w:sz w:val="21"/>
                <w:szCs w:val="21"/>
                <w:highlight w:val="none"/>
                <w:lang w:val="zh-CN"/>
              </w:rPr>
              <w:t>(或招标控制价)</w:t>
            </w:r>
            <w:r>
              <w:rPr>
                <w:rFonts w:hint="eastAsia" w:ascii="宋体" w:hAnsi="宋体" w:eastAsia="宋体" w:cs="宋体"/>
                <w:b/>
                <w:bCs/>
                <w:color w:val="auto"/>
                <w:sz w:val="21"/>
                <w:szCs w:val="21"/>
                <w:highlight w:val="none"/>
              </w:rPr>
              <w:t>、结算</w:t>
            </w:r>
            <w:r>
              <w:rPr>
                <w:rFonts w:hint="eastAsia" w:ascii="宋体" w:hAnsi="宋体" w:eastAsia="宋体" w:cs="宋体"/>
                <w:b/>
                <w:bCs/>
                <w:color w:val="auto"/>
                <w:szCs w:val="21"/>
                <w:highlight w:val="none"/>
              </w:rPr>
              <w:t>编制</w:t>
            </w:r>
            <w:r>
              <w:rPr>
                <w:rFonts w:hint="eastAsia" w:ascii="宋体" w:hAnsi="宋体" w:eastAsia="宋体" w:cs="宋体"/>
                <w:b/>
                <w:bCs/>
                <w:color w:val="auto"/>
                <w:szCs w:val="21"/>
                <w:highlight w:val="none"/>
                <w:lang w:eastAsia="zh-CN"/>
              </w:rPr>
              <w:t>和</w:t>
            </w:r>
            <w:r>
              <w:rPr>
                <w:rFonts w:hint="eastAsia" w:ascii="宋体" w:hAnsi="宋体" w:eastAsia="宋体" w:cs="宋体"/>
                <w:b/>
                <w:bCs/>
                <w:color w:val="auto"/>
                <w:szCs w:val="21"/>
                <w:highlight w:val="none"/>
              </w:rPr>
              <w:t>审核</w:t>
            </w:r>
            <w:r>
              <w:rPr>
                <w:rFonts w:hint="eastAsia" w:ascii="宋体" w:hAnsi="宋体" w:eastAsia="宋体" w:cs="宋体"/>
                <w:b/>
                <w:bCs/>
                <w:color w:val="auto"/>
                <w:sz w:val="21"/>
                <w:szCs w:val="21"/>
                <w:highlight w:val="none"/>
              </w:rPr>
              <w:t>业绩</w:t>
            </w:r>
          </w:p>
        </w:tc>
      </w:tr>
      <w:tr w14:paraId="62534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14:paraId="26573AD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081" w:type="pct"/>
            <w:tcBorders>
              <w:top w:val="single" w:color="auto" w:sz="4" w:space="0"/>
              <w:left w:val="single" w:color="auto" w:sz="4" w:space="0"/>
              <w:bottom w:val="single" w:color="auto" w:sz="4" w:space="0"/>
              <w:right w:val="single" w:color="auto" w:sz="4" w:space="0"/>
            </w:tcBorders>
            <w:vAlign w:val="center"/>
          </w:tcPr>
          <w:p w14:paraId="25FC610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38" w:type="pct"/>
            <w:tcBorders>
              <w:top w:val="single" w:color="auto" w:sz="4" w:space="0"/>
              <w:left w:val="single" w:color="auto" w:sz="4" w:space="0"/>
              <w:bottom w:val="single" w:color="auto" w:sz="4" w:space="0"/>
              <w:right w:val="single" w:color="auto" w:sz="4" w:space="0"/>
            </w:tcBorders>
            <w:vAlign w:val="center"/>
          </w:tcPr>
          <w:p w14:paraId="2220078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013F9ED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1948F89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1EBF4D0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5FB38EE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09C9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14:paraId="1277B60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1081" w:type="pct"/>
            <w:tcBorders>
              <w:top w:val="single" w:color="auto" w:sz="4" w:space="0"/>
              <w:left w:val="single" w:color="auto" w:sz="4" w:space="0"/>
              <w:bottom w:val="single" w:color="auto" w:sz="4" w:space="0"/>
              <w:right w:val="single" w:color="auto" w:sz="4" w:space="0"/>
            </w:tcBorders>
            <w:vAlign w:val="center"/>
          </w:tcPr>
          <w:p w14:paraId="3F4A276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38" w:type="pct"/>
            <w:tcBorders>
              <w:top w:val="single" w:color="auto" w:sz="4" w:space="0"/>
              <w:left w:val="single" w:color="auto" w:sz="4" w:space="0"/>
              <w:bottom w:val="single" w:color="auto" w:sz="4" w:space="0"/>
              <w:right w:val="single" w:color="auto" w:sz="4" w:space="0"/>
            </w:tcBorders>
            <w:vAlign w:val="center"/>
          </w:tcPr>
          <w:p w14:paraId="1CD001F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125AE6C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656762C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69D6319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1092C20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7BE50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14:paraId="560CC36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1081" w:type="pct"/>
            <w:tcBorders>
              <w:top w:val="single" w:color="auto" w:sz="4" w:space="0"/>
              <w:left w:val="single" w:color="auto" w:sz="4" w:space="0"/>
              <w:bottom w:val="single" w:color="auto" w:sz="4" w:space="0"/>
              <w:right w:val="single" w:color="auto" w:sz="4" w:space="0"/>
            </w:tcBorders>
            <w:vAlign w:val="center"/>
          </w:tcPr>
          <w:p w14:paraId="4D32B9A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38" w:type="pct"/>
            <w:tcBorders>
              <w:top w:val="single" w:color="auto" w:sz="4" w:space="0"/>
              <w:left w:val="single" w:color="auto" w:sz="4" w:space="0"/>
              <w:bottom w:val="single" w:color="auto" w:sz="4" w:space="0"/>
              <w:right w:val="single" w:color="auto" w:sz="4" w:space="0"/>
            </w:tcBorders>
            <w:vAlign w:val="center"/>
          </w:tcPr>
          <w:p w14:paraId="0CE08F9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5D6F379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65B3F86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70CC560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6DB5F3E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1D137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14:paraId="02A5281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1" w:type="pct"/>
            <w:tcBorders>
              <w:top w:val="single" w:color="auto" w:sz="4" w:space="0"/>
              <w:left w:val="single" w:color="auto" w:sz="4" w:space="0"/>
              <w:bottom w:val="single" w:color="auto" w:sz="4" w:space="0"/>
              <w:right w:val="single" w:color="auto" w:sz="4" w:space="0"/>
            </w:tcBorders>
            <w:vAlign w:val="center"/>
          </w:tcPr>
          <w:p w14:paraId="417A097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38" w:type="pct"/>
            <w:tcBorders>
              <w:top w:val="single" w:color="auto" w:sz="4" w:space="0"/>
              <w:left w:val="single" w:color="auto" w:sz="4" w:space="0"/>
              <w:bottom w:val="single" w:color="auto" w:sz="4" w:space="0"/>
              <w:right w:val="single" w:color="auto" w:sz="4" w:space="0"/>
            </w:tcBorders>
            <w:vAlign w:val="center"/>
          </w:tcPr>
          <w:p w14:paraId="1247D48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0B64988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0AE8872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7816299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4251EAE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7C62F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7D6EF2F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年概、预</w:t>
            </w:r>
            <w:r>
              <w:rPr>
                <w:rFonts w:hint="eastAsia" w:ascii="宋体" w:hAnsi="宋体" w:eastAsia="宋体" w:cs="宋体"/>
                <w:b/>
                <w:bCs/>
                <w:color w:val="auto"/>
                <w:sz w:val="21"/>
                <w:szCs w:val="21"/>
                <w:highlight w:val="none"/>
                <w:lang w:val="zh-CN"/>
              </w:rPr>
              <w:t>(或招标控制价)</w:t>
            </w:r>
            <w:r>
              <w:rPr>
                <w:rFonts w:hint="eastAsia" w:ascii="宋体" w:hAnsi="宋体" w:eastAsia="宋体" w:cs="宋体"/>
                <w:b/>
                <w:bCs/>
                <w:color w:val="auto"/>
                <w:sz w:val="21"/>
                <w:szCs w:val="21"/>
                <w:highlight w:val="none"/>
              </w:rPr>
              <w:t>、结算</w:t>
            </w:r>
            <w:r>
              <w:rPr>
                <w:rFonts w:hint="eastAsia" w:ascii="宋体" w:hAnsi="宋体" w:eastAsia="宋体" w:cs="宋体"/>
                <w:b/>
                <w:bCs/>
                <w:color w:val="auto"/>
                <w:szCs w:val="21"/>
                <w:highlight w:val="none"/>
              </w:rPr>
              <w:t>编制</w:t>
            </w:r>
            <w:r>
              <w:rPr>
                <w:rFonts w:hint="eastAsia" w:ascii="宋体" w:hAnsi="宋体" w:eastAsia="宋体" w:cs="宋体"/>
                <w:b/>
                <w:bCs/>
                <w:color w:val="auto"/>
                <w:szCs w:val="21"/>
                <w:highlight w:val="none"/>
                <w:lang w:eastAsia="zh-CN"/>
              </w:rPr>
              <w:t>和</w:t>
            </w:r>
            <w:r>
              <w:rPr>
                <w:rFonts w:hint="eastAsia" w:ascii="宋体" w:hAnsi="宋体" w:eastAsia="宋体" w:cs="宋体"/>
                <w:b/>
                <w:bCs/>
                <w:color w:val="auto"/>
                <w:szCs w:val="21"/>
                <w:highlight w:val="none"/>
              </w:rPr>
              <w:t>审核</w:t>
            </w:r>
            <w:r>
              <w:rPr>
                <w:rFonts w:hint="eastAsia" w:ascii="宋体" w:hAnsi="宋体" w:eastAsia="宋体" w:cs="宋体"/>
                <w:b/>
                <w:bCs/>
                <w:color w:val="auto"/>
                <w:sz w:val="21"/>
                <w:szCs w:val="21"/>
                <w:highlight w:val="none"/>
              </w:rPr>
              <w:t>业绩</w:t>
            </w:r>
          </w:p>
        </w:tc>
      </w:tr>
      <w:tr w14:paraId="1F614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14:paraId="0DED8CA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081" w:type="pct"/>
            <w:tcBorders>
              <w:top w:val="single" w:color="auto" w:sz="4" w:space="0"/>
              <w:left w:val="single" w:color="auto" w:sz="4" w:space="0"/>
              <w:bottom w:val="single" w:color="auto" w:sz="4" w:space="0"/>
              <w:right w:val="single" w:color="auto" w:sz="4" w:space="0"/>
            </w:tcBorders>
            <w:vAlign w:val="center"/>
          </w:tcPr>
          <w:p w14:paraId="03A9489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38" w:type="pct"/>
            <w:tcBorders>
              <w:top w:val="single" w:color="auto" w:sz="4" w:space="0"/>
              <w:left w:val="single" w:color="auto" w:sz="4" w:space="0"/>
              <w:bottom w:val="single" w:color="auto" w:sz="4" w:space="0"/>
              <w:right w:val="single" w:color="auto" w:sz="4" w:space="0"/>
            </w:tcBorders>
            <w:vAlign w:val="center"/>
          </w:tcPr>
          <w:p w14:paraId="09528A2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700F119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70E0851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0465D6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244F9CD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37F7D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14:paraId="6DB904D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1081" w:type="pct"/>
            <w:tcBorders>
              <w:top w:val="single" w:color="auto" w:sz="4" w:space="0"/>
              <w:left w:val="single" w:color="auto" w:sz="4" w:space="0"/>
              <w:bottom w:val="single" w:color="auto" w:sz="4" w:space="0"/>
              <w:right w:val="single" w:color="auto" w:sz="4" w:space="0"/>
            </w:tcBorders>
            <w:vAlign w:val="center"/>
          </w:tcPr>
          <w:p w14:paraId="6373089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38" w:type="pct"/>
            <w:tcBorders>
              <w:top w:val="single" w:color="auto" w:sz="4" w:space="0"/>
              <w:left w:val="single" w:color="auto" w:sz="4" w:space="0"/>
              <w:bottom w:val="single" w:color="auto" w:sz="4" w:space="0"/>
              <w:right w:val="single" w:color="auto" w:sz="4" w:space="0"/>
            </w:tcBorders>
            <w:vAlign w:val="center"/>
          </w:tcPr>
          <w:p w14:paraId="0E015A6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5857459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3E9D4A9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7C6E072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581C60C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362F7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14:paraId="2745EF2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1081" w:type="pct"/>
            <w:tcBorders>
              <w:top w:val="single" w:color="auto" w:sz="4" w:space="0"/>
              <w:left w:val="single" w:color="auto" w:sz="4" w:space="0"/>
              <w:bottom w:val="single" w:color="auto" w:sz="4" w:space="0"/>
              <w:right w:val="single" w:color="auto" w:sz="4" w:space="0"/>
            </w:tcBorders>
            <w:vAlign w:val="center"/>
          </w:tcPr>
          <w:p w14:paraId="4136A0E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38" w:type="pct"/>
            <w:tcBorders>
              <w:top w:val="single" w:color="auto" w:sz="4" w:space="0"/>
              <w:left w:val="single" w:color="auto" w:sz="4" w:space="0"/>
              <w:bottom w:val="single" w:color="auto" w:sz="4" w:space="0"/>
              <w:right w:val="single" w:color="auto" w:sz="4" w:space="0"/>
            </w:tcBorders>
            <w:vAlign w:val="center"/>
          </w:tcPr>
          <w:p w14:paraId="530A062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0B11CE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6962348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2A7A4E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1E67A1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54B00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14:paraId="70E3F92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1" w:type="pct"/>
            <w:tcBorders>
              <w:top w:val="single" w:color="auto" w:sz="4" w:space="0"/>
              <w:left w:val="single" w:color="auto" w:sz="4" w:space="0"/>
              <w:bottom w:val="single" w:color="auto" w:sz="4" w:space="0"/>
              <w:right w:val="single" w:color="auto" w:sz="4" w:space="0"/>
            </w:tcBorders>
            <w:vAlign w:val="center"/>
          </w:tcPr>
          <w:p w14:paraId="207BDE8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38" w:type="pct"/>
            <w:tcBorders>
              <w:top w:val="single" w:color="auto" w:sz="4" w:space="0"/>
              <w:left w:val="single" w:color="auto" w:sz="4" w:space="0"/>
              <w:bottom w:val="single" w:color="auto" w:sz="4" w:space="0"/>
              <w:right w:val="single" w:color="auto" w:sz="4" w:space="0"/>
            </w:tcBorders>
            <w:vAlign w:val="center"/>
          </w:tcPr>
          <w:p w14:paraId="1B49A2A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001B63D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218AEAE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19E976B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14BA10B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10A94395">
      <w:pPr>
        <w:autoSpaceDE w:val="0"/>
        <w:autoSpaceDN w:val="0"/>
        <w:adjustRightInd w:val="0"/>
        <w:snapToGrid w:val="0"/>
        <w:spacing w:line="360" w:lineRule="auto"/>
        <w:ind w:left="186" w:leftChars="-158" w:hanging="518" w:hangingChars="247"/>
        <w:jc w:val="left"/>
        <w:rPr>
          <w:rFonts w:hint="eastAsia" w:ascii="宋体" w:hAnsi="宋体" w:eastAsia="宋体" w:cs="宋体"/>
          <w:color w:val="auto"/>
          <w:szCs w:val="24"/>
          <w:highlight w:val="none"/>
          <w:lang w:val="zh-CN"/>
        </w:rPr>
      </w:pPr>
    </w:p>
    <w:p w14:paraId="444BE4F0">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6C33154E">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（1）同一个单项合同的业绩可以同时在资格业绩和评分业绩重复放置；</w:t>
      </w:r>
    </w:p>
    <w:p w14:paraId="75C8ADE8">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（2）业绩须附合同及项目的相关成果文件关键页</w:t>
      </w:r>
      <w:r>
        <w:rPr>
          <w:rFonts w:hint="eastAsia" w:ascii="宋体" w:hAnsi="宋体" w:eastAsia="宋体" w:cs="宋体"/>
          <w:b/>
          <w:bCs/>
          <w:color w:val="auto"/>
          <w:sz w:val="21"/>
          <w:szCs w:val="21"/>
          <w:highlight w:val="none"/>
          <w:lang w:val="en-US" w:eastAsia="zh-CN"/>
        </w:rPr>
        <w:t>扫描件</w:t>
      </w:r>
      <w:r>
        <w:rPr>
          <w:rFonts w:hint="eastAsia" w:ascii="宋体" w:hAnsi="宋体" w:eastAsia="宋体" w:cs="宋体"/>
          <w:color w:val="auto"/>
          <w:szCs w:val="24"/>
          <w:highlight w:val="none"/>
          <w:lang w:val="zh-CN"/>
        </w:rPr>
        <w:t>加盖投标人公章，否则不得分；</w:t>
      </w:r>
    </w:p>
    <w:p w14:paraId="4AB1658F">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lang w:val="zh-CN"/>
        </w:rPr>
        <w:t>）</w:t>
      </w:r>
      <w:r>
        <w:rPr>
          <w:rFonts w:hint="eastAsia" w:ascii="宋体" w:hAnsi="宋体" w:eastAsia="宋体" w:cs="宋体"/>
          <w:b/>
          <w:color w:val="auto"/>
          <w:szCs w:val="21"/>
          <w:highlight w:val="none"/>
          <w:lang w:val="en-US" w:eastAsia="zh-CN"/>
        </w:rPr>
        <w:t>若</w:t>
      </w:r>
      <w:r>
        <w:rPr>
          <w:rFonts w:hint="eastAsia" w:ascii="宋体" w:hAnsi="宋体" w:eastAsia="宋体" w:cs="宋体"/>
          <w:b/>
          <w:color w:val="auto"/>
          <w:sz w:val="21"/>
          <w:szCs w:val="21"/>
          <w:highlight w:val="none"/>
        </w:rPr>
        <w:t>合同等业绩证明材料</w:t>
      </w:r>
      <w:r>
        <w:rPr>
          <w:rFonts w:hint="eastAsia" w:ascii="宋体" w:hAnsi="宋体" w:eastAsia="宋体" w:cs="宋体"/>
          <w:b/>
          <w:color w:val="auto"/>
          <w:sz w:val="21"/>
          <w:szCs w:val="21"/>
          <w:highlight w:val="none"/>
          <w:lang w:val="en-US" w:eastAsia="zh-CN"/>
        </w:rPr>
        <w:t>无法</w:t>
      </w:r>
      <w:r>
        <w:rPr>
          <w:rFonts w:hint="eastAsia" w:ascii="宋体" w:hAnsi="宋体" w:eastAsia="宋体" w:cs="宋体"/>
          <w:b/>
          <w:color w:val="auto"/>
          <w:sz w:val="21"/>
          <w:szCs w:val="21"/>
          <w:highlight w:val="none"/>
        </w:rPr>
        <w:t>反映评分条件[合同签订日期为202</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年1月1日或以后，合同标的必须为概</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预</w:t>
      </w:r>
      <w:r>
        <w:rPr>
          <w:rFonts w:hint="eastAsia" w:ascii="宋体" w:hAnsi="宋体" w:eastAsia="宋体" w:cs="宋体"/>
          <w:b/>
          <w:color w:val="auto"/>
          <w:sz w:val="21"/>
          <w:szCs w:val="21"/>
          <w:highlight w:val="none"/>
          <w:lang w:val="zh-CN"/>
        </w:rPr>
        <w:t>(或招标控制价)</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结算编制</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审核业绩]</w:t>
      </w:r>
      <w:r>
        <w:rPr>
          <w:rFonts w:hint="eastAsia" w:ascii="宋体" w:hAnsi="宋体" w:eastAsia="宋体" w:cs="宋体"/>
          <w:b/>
          <w:color w:val="auto"/>
          <w:sz w:val="21"/>
          <w:szCs w:val="21"/>
          <w:highlight w:val="none"/>
          <w:lang w:eastAsia="zh-CN"/>
        </w:rPr>
        <w:t>的</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还</w:t>
      </w:r>
      <w:r>
        <w:rPr>
          <w:rFonts w:hint="eastAsia" w:ascii="宋体" w:hAnsi="宋体" w:eastAsia="宋体" w:cs="宋体"/>
          <w:b/>
          <w:color w:val="auto"/>
          <w:sz w:val="21"/>
          <w:szCs w:val="21"/>
          <w:highlight w:val="none"/>
        </w:rPr>
        <w:t>需同时提供业主</w:t>
      </w:r>
      <w:r>
        <w:rPr>
          <w:rFonts w:hint="eastAsia" w:ascii="宋体" w:hAnsi="宋体" w:eastAsia="宋体" w:cs="宋体"/>
          <w:b/>
          <w:color w:val="auto"/>
          <w:sz w:val="21"/>
          <w:szCs w:val="21"/>
          <w:highlight w:val="none"/>
          <w:lang w:val="en-US" w:eastAsia="zh-CN"/>
        </w:rPr>
        <w:t>方</w:t>
      </w:r>
      <w:r>
        <w:rPr>
          <w:rFonts w:hint="eastAsia" w:ascii="宋体" w:hAnsi="宋体" w:eastAsia="宋体" w:cs="宋体"/>
          <w:b/>
          <w:color w:val="auto"/>
          <w:sz w:val="21"/>
          <w:szCs w:val="21"/>
          <w:highlight w:val="none"/>
        </w:rPr>
        <w:t>出具的书面补充情况说明文件</w:t>
      </w:r>
      <w:r>
        <w:rPr>
          <w:rFonts w:hint="eastAsia" w:ascii="宋体" w:hAnsi="宋体" w:eastAsia="宋体" w:cs="宋体"/>
          <w:b/>
          <w:bCs/>
          <w:color w:val="auto"/>
          <w:sz w:val="21"/>
          <w:szCs w:val="21"/>
          <w:highlight w:val="none"/>
          <w:lang w:val="en-US" w:eastAsia="zh-CN"/>
        </w:rPr>
        <w:t>扫描件</w:t>
      </w: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shd w:val="clear" w:color="auto" w:fill="FFFFFF"/>
        </w:rPr>
        <w:t>补充情况说明文件</w:t>
      </w:r>
      <w:r>
        <w:rPr>
          <w:rFonts w:hint="eastAsia" w:ascii="宋体" w:hAnsi="宋体" w:eastAsia="宋体" w:cs="宋体"/>
          <w:b/>
          <w:bCs/>
          <w:color w:val="auto"/>
          <w:sz w:val="21"/>
          <w:szCs w:val="21"/>
          <w:highlight w:val="none"/>
          <w:lang w:val="en-US" w:eastAsia="zh-CN"/>
        </w:rPr>
        <w:t>扫描件</w:t>
      </w:r>
      <w:r>
        <w:rPr>
          <w:rFonts w:hint="eastAsia" w:ascii="宋体" w:hAnsi="宋体" w:eastAsia="宋体" w:cs="宋体"/>
          <w:b/>
          <w:bCs/>
          <w:color w:val="auto"/>
          <w:szCs w:val="21"/>
          <w:highlight w:val="none"/>
          <w:shd w:val="clear" w:color="auto" w:fill="FFFFFF"/>
        </w:rPr>
        <w:t>能显示</w:t>
      </w:r>
      <w:r>
        <w:rPr>
          <w:rFonts w:hint="eastAsia" w:ascii="宋体" w:hAnsi="宋体" w:eastAsia="宋体" w:cs="宋体"/>
          <w:b/>
          <w:bCs/>
          <w:color w:val="auto"/>
          <w:szCs w:val="21"/>
          <w:highlight w:val="none"/>
          <w:shd w:val="clear" w:color="auto" w:fill="FFFFFF"/>
          <w:lang w:val="en-US" w:eastAsia="zh-CN"/>
        </w:rPr>
        <w:t>业主</w:t>
      </w:r>
      <w:r>
        <w:rPr>
          <w:rFonts w:hint="eastAsia" w:ascii="宋体" w:hAnsi="宋体" w:eastAsia="宋体" w:cs="宋体"/>
          <w:b/>
          <w:bCs/>
          <w:color w:val="auto"/>
          <w:szCs w:val="21"/>
          <w:highlight w:val="none"/>
          <w:shd w:val="clear" w:color="auto" w:fill="FFFFFF"/>
        </w:rPr>
        <w:t>方公章</w:t>
      </w:r>
      <w:r>
        <w:rPr>
          <w:rFonts w:hint="eastAsia" w:ascii="宋体" w:hAnsi="宋体" w:eastAsia="宋体" w:cs="宋体"/>
          <w:b/>
          <w:color w:val="auto"/>
          <w:szCs w:val="21"/>
          <w:highlight w:val="none"/>
        </w:rPr>
        <w:t>），否则不得分</w:t>
      </w:r>
      <w:r>
        <w:rPr>
          <w:rFonts w:hint="eastAsia" w:ascii="宋体" w:hAnsi="宋体" w:eastAsia="宋体" w:cs="宋体"/>
          <w:color w:val="auto"/>
          <w:szCs w:val="24"/>
          <w:highlight w:val="none"/>
          <w:lang w:val="zh-CN"/>
        </w:rPr>
        <w:t>；</w:t>
      </w:r>
    </w:p>
    <w:p w14:paraId="2D37FF5E">
      <w:pPr>
        <w:pStyle w:val="138"/>
        <w:keepNext w:val="0"/>
        <w:keepLines w:val="0"/>
        <w:numPr>
          <w:ilvl w:val="0"/>
          <w:numId w:val="0"/>
        </w:numPr>
        <w:suppressLineNumbers w:val="0"/>
        <w:adjustRightInd/>
        <w:spacing w:before="0" w:beforeAutospacing="0" w:after="0" w:afterAutospacing="0" w:line="360" w:lineRule="auto"/>
        <w:ind w:left="436" w:leftChars="0" w:right="0" w:hanging="436" w:hangingChars="208"/>
        <w:jc w:val="both"/>
        <w:rPr>
          <w:rFonts w:hint="eastAsia" w:ascii="宋体" w:hAnsi="宋体" w:eastAsia="宋体" w:cs="宋体"/>
          <w:b/>
          <w:bCs/>
          <w:color w:val="auto"/>
          <w:sz w:val="21"/>
          <w:szCs w:val="21"/>
          <w:highlight w:val="none"/>
          <w:lang w:val="zh-CN"/>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lang w:val="zh-CN"/>
        </w:rPr>
        <w:t>）</w:t>
      </w:r>
      <w:r>
        <w:rPr>
          <w:rFonts w:hint="eastAsia" w:ascii="宋体" w:hAnsi="宋体" w:eastAsia="宋体" w:cs="宋体"/>
          <w:b/>
          <w:bCs/>
          <w:color w:val="auto"/>
          <w:sz w:val="21"/>
          <w:szCs w:val="21"/>
          <w:highlight w:val="none"/>
          <w:lang w:val="zh-CN"/>
        </w:rPr>
        <w:t>若业绩合同为框架式协议或资格入围的，须同时提供</w:t>
      </w:r>
      <w:r>
        <w:rPr>
          <w:rFonts w:hint="eastAsia" w:ascii="宋体" w:hAnsi="宋体" w:eastAsia="宋体" w:cs="宋体"/>
          <w:b/>
          <w:bCs/>
          <w:color w:val="auto"/>
          <w:sz w:val="21"/>
          <w:szCs w:val="21"/>
          <w:highlight w:val="none"/>
          <w:lang w:val="en-US" w:eastAsia="zh-CN"/>
        </w:rPr>
        <w:t>框架协议合同（或资格入围合同）</w:t>
      </w:r>
      <w:r>
        <w:rPr>
          <w:rFonts w:hint="eastAsia" w:ascii="宋体" w:hAnsi="宋体" w:eastAsia="宋体" w:cs="宋体"/>
          <w:b/>
          <w:bCs/>
          <w:color w:val="auto"/>
          <w:sz w:val="21"/>
          <w:szCs w:val="21"/>
          <w:highlight w:val="none"/>
          <w:lang w:val="zh-CN"/>
        </w:rPr>
        <w:t>及合同期内对应的项目成果文件，按成果文件数量计算得分；</w:t>
      </w:r>
    </w:p>
    <w:p w14:paraId="15F58504">
      <w:pPr>
        <w:autoSpaceDE w:val="0"/>
        <w:autoSpaceDN w:val="0"/>
        <w:adjustRightInd w:val="0"/>
        <w:snapToGrid w:val="0"/>
        <w:spacing w:line="360" w:lineRule="auto"/>
        <w:ind w:left="422" w:leftChars="0" w:hanging="422" w:hangingChars="200"/>
        <w:jc w:val="left"/>
        <w:rPr>
          <w:rFonts w:hint="eastAsia" w:ascii="宋体" w:hAnsi="宋体" w:eastAsia="宋体" w:cs="宋体"/>
          <w:color w:val="auto"/>
          <w:szCs w:val="24"/>
          <w:highlight w:val="none"/>
          <w:lang w:val="zh-CN"/>
        </w:rPr>
      </w:pPr>
      <w:r>
        <w:rPr>
          <w:rFonts w:hint="eastAsia" w:ascii="宋体" w:hAnsi="宋体" w:eastAsia="宋体" w:cs="宋体"/>
          <w:b/>
          <w:bCs/>
          <w:color w:val="auto"/>
          <w:sz w:val="21"/>
          <w:szCs w:val="21"/>
          <w:highlight w:val="none"/>
          <w:lang w:val="en-US" w:eastAsia="zh-CN"/>
        </w:rPr>
        <w:t>（5）每年度至少须有10项造价咨询业绩【含概、预(或招标控制价)、结算</w:t>
      </w:r>
      <w:r>
        <w:rPr>
          <w:rFonts w:hint="eastAsia" w:ascii="宋体" w:hAnsi="宋体" w:eastAsia="宋体" w:cs="宋体"/>
          <w:b/>
          <w:bCs/>
          <w:color w:val="auto"/>
          <w:szCs w:val="21"/>
          <w:highlight w:val="none"/>
        </w:rPr>
        <w:t>编制</w:t>
      </w:r>
      <w:r>
        <w:rPr>
          <w:rFonts w:hint="eastAsia" w:ascii="宋体" w:hAnsi="宋体" w:eastAsia="宋体" w:cs="宋体"/>
          <w:b/>
          <w:bCs/>
          <w:color w:val="auto"/>
          <w:szCs w:val="21"/>
          <w:highlight w:val="none"/>
          <w:lang w:eastAsia="zh-CN"/>
        </w:rPr>
        <w:t>和</w:t>
      </w:r>
      <w:r>
        <w:rPr>
          <w:rFonts w:hint="eastAsia" w:ascii="宋体" w:hAnsi="宋体" w:eastAsia="宋体" w:cs="宋体"/>
          <w:b/>
          <w:bCs/>
          <w:color w:val="auto"/>
          <w:szCs w:val="21"/>
          <w:highlight w:val="none"/>
        </w:rPr>
        <w:t>审核</w:t>
      </w:r>
      <w:r>
        <w:rPr>
          <w:rFonts w:hint="eastAsia" w:ascii="宋体" w:hAnsi="宋体" w:eastAsia="宋体" w:cs="宋体"/>
          <w:b/>
          <w:bCs/>
          <w:color w:val="auto"/>
          <w:sz w:val="21"/>
          <w:szCs w:val="21"/>
          <w:highlight w:val="none"/>
          <w:lang w:val="en-US" w:eastAsia="zh-CN"/>
        </w:rPr>
        <w:t>业绩】是指：每一个年度内投标人业绩内容必须至少涵盖1个概算</w:t>
      </w:r>
      <w:r>
        <w:rPr>
          <w:rFonts w:hint="eastAsia" w:ascii="宋体" w:hAnsi="宋体" w:eastAsia="宋体" w:cs="宋体"/>
          <w:b/>
          <w:bCs/>
          <w:color w:val="auto"/>
          <w:szCs w:val="21"/>
          <w:highlight w:val="none"/>
        </w:rPr>
        <w:t>编制</w:t>
      </w:r>
      <w:r>
        <w:rPr>
          <w:rFonts w:hint="eastAsia" w:ascii="宋体" w:hAnsi="宋体" w:eastAsia="宋体" w:cs="宋体"/>
          <w:b/>
          <w:bCs/>
          <w:color w:val="auto"/>
          <w:szCs w:val="21"/>
          <w:highlight w:val="none"/>
          <w:lang w:eastAsia="zh-CN"/>
        </w:rPr>
        <w:t>和</w:t>
      </w:r>
      <w:r>
        <w:rPr>
          <w:rFonts w:hint="eastAsia" w:ascii="宋体" w:hAnsi="宋体" w:eastAsia="宋体" w:cs="宋体"/>
          <w:b/>
          <w:bCs/>
          <w:color w:val="auto"/>
          <w:szCs w:val="21"/>
          <w:highlight w:val="none"/>
        </w:rPr>
        <w:t>审核</w:t>
      </w:r>
      <w:r>
        <w:rPr>
          <w:rFonts w:hint="eastAsia" w:ascii="宋体" w:hAnsi="宋体" w:eastAsia="宋体" w:cs="宋体"/>
          <w:b/>
          <w:bCs/>
          <w:color w:val="auto"/>
          <w:sz w:val="21"/>
          <w:szCs w:val="21"/>
          <w:highlight w:val="none"/>
          <w:lang w:val="en-US" w:eastAsia="zh-CN"/>
        </w:rPr>
        <w:t>业绩、1个预算(或招标控制价)</w:t>
      </w:r>
      <w:r>
        <w:rPr>
          <w:rFonts w:hint="eastAsia" w:ascii="宋体" w:hAnsi="宋体" w:eastAsia="宋体" w:cs="宋体"/>
          <w:b/>
          <w:bCs/>
          <w:color w:val="auto"/>
          <w:szCs w:val="21"/>
          <w:highlight w:val="none"/>
        </w:rPr>
        <w:t>编制</w:t>
      </w:r>
      <w:r>
        <w:rPr>
          <w:rFonts w:hint="eastAsia" w:ascii="宋体" w:hAnsi="宋体" w:eastAsia="宋体" w:cs="宋体"/>
          <w:b/>
          <w:bCs/>
          <w:color w:val="auto"/>
          <w:szCs w:val="21"/>
          <w:highlight w:val="none"/>
          <w:lang w:eastAsia="zh-CN"/>
        </w:rPr>
        <w:t>和</w:t>
      </w:r>
      <w:r>
        <w:rPr>
          <w:rFonts w:hint="eastAsia" w:ascii="宋体" w:hAnsi="宋体" w:eastAsia="宋体" w:cs="宋体"/>
          <w:b/>
          <w:bCs/>
          <w:color w:val="auto"/>
          <w:szCs w:val="21"/>
          <w:highlight w:val="none"/>
        </w:rPr>
        <w:t>审核</w:t>
      </w:r>
      <w:r>
        <w:rPr>
          <w:rFonts w:hint="eastAsia" w:ascii="宋体" w:hAnsi="宋体" w:eastAsia="宋体" w:cs="宋体"/>
          <w:b/>
          <w:bCs/>
          <w:color w:val="auto"/>
          <w:sz w:val="21"/>
          <w:szCs w:val="21"/>
          <w:highlight w:val="none"/>
          <w:lang w:val="en-US" w:eastAsia="zh-CN"/>
        </w:rPr>
        <w:t>业绩、1个结算</w:t>
      </w:r>
      <w:r>
        <w:rPr>
          <w:rFonts w:hint="eastAsia" w:ascii="宋体" w:hAnsi="宋体" w:eastAsia="宋体" w:cs="宋体"/>
          <w:b/>
          <w:bCs/>
          <w:color w:val="auto"/>
          <w:szCs w:val="21"/>
          <w:highlight w:val="none"/>
        </w:rPr>
        <w:t>编制</w:t>
      </w:r>
      <w:r>
        <w:rPr>
          <w:rFonts w:hint="eastAsia" w:ascii="宋体" w:hAnsi="宋体" w:eastAsia="宋体" w:cs="宋体"/>
          <w:b/>
          <w:bCs/>
          <w:color w:val="auto"/>
          <w:szCs w:val="21"/>
          <w:highlight w:val="none"/>
          <w:lang w:eastAsia="zh-CN"/>
        </w:rPr>
        <w:t>和</w:t>
      </w:r>
      <w:r>
        <w:rPr>
          <w:rFonts w:hint="eastAsia" w:ascii="宋体" w:hAnsi="宋体" w:eastAsia="宋体" w:cs="宋体"/>
          <w:b/>
          <w:bCs/>
          <w:color w:val="auto"/>
          <w:szCs w:val="21"/>
          <w:highlight w:val="none"/>
        </w:rPr>
        <w:t>审核</w:t>
      </w:r>
      <w:r>
        <w:rPr>
          <w:rFonts w:hint="eastAsia" w:ascii="宋体" w:hAnsi="宋体" w:eastAsia="宋体" w:cs="宋体"/>
          <w:b/>
          <w:bCs/>
          <w:color w:val="auto"/>
          <w:sz w:val="21"/>
          <w:szCs w:val="21"/>
          <w:highlight w:val="none"/>
          <w:lang w:val="en-US" w:eastAsia="zh-CN"/>
        </w:rPr>
        <w:t>业绩，且三者总和达10项（含10项），而非三者分别需10项业绩。若一份合同中同时包括概、预(或招标控制价)、结算</w:t>
      </w:r>
      <w:r>
        <w:rPr>
          <w:rFonts w:hint="eastAsia" w:ascii="宋体" w:hAnsi="宋体" w:eastAsia="宋体" w:cs="宋体"/>
          <w:b/>
          <w:bCs/>
          <w:color w:val="auto"/>
          <w:szCs w:val="21"/>
          <w:highlight w:val="none"/>
        </w:rPr>
        <w:t>编制</w:t>
      </w:r>
      <w:r>
        <w:rPr>
          <w:rFonts w:hint="eastAsia" w:ascii="宋体" w:hAnsi="宋体" w:eastAsia="宋体" w:cs="宋体"/>
          <w:b/>
          <w:bCs/>
          <w:color w:val="auto"/>
          <w:szCs w:val="21"/>
          <w:highlight w:val="none"/>
          <w:lang w:eastAsia="zh-CN"/>
        </w:rPr>
        <w:t>和</w:t>
      </w:r>
      <w:r>
        <w:rPr>
          <w:rFonts w:hint="eastAsia" w:ascii="宋体" w:hAnsi="宋体" w:eastAsia="宋体" w:cs="宋体"/>
          <w:b/>
          <w:bCs/>
          <w:color w:val="auto"/>
          <w:szCs w:val="21"/>
          <w:highlight w:val="none"/>
        </w:rPr>
        <w:t>审核</w:t>
      </w:r>
      <w:r>
        <w:rPr>
          <w:rFonts w:hint="eastAsia" w:ascii="宋体" w:hAnsi="宋体" w:eastAsia="宋体" w:cs="宋体"/>
          <w:b/>
          <w:bCs/>
          <w:color w:val="auto"/>
          <w:sz w:val="21"/>
          <w:szCs w:val="21"/>
          <w:highlight w:val="none"/>
          <w:lang w:val="en-US" w:eastAsia="zh-CN"/>
        </w:rPr>
        <w:t>业绩的仅按一项业绩计算；</w:t>
      </w:r>
    </w:p>
    <w:p w14:paraId="3860364C">
      <w:pPr>
        <w:autoSpaceDE w:val="0"/>
        <w:autoSpaceDN w:val="0"/>
        <w:adjustRightInd w:val="0"/>
        <w:snapToGrid w:val="0"/>
        <w:spacing w:line="360" w:lineRule="auto"/>
        <w:ind w:left="481" w:leftChars="-41" w:hanging="567" w:hangingChars="270"/>
        <w:jc w:val="left"/>
        <w:outlineLvl w:val="1"/>
        <w:rPr>
          <w:rFonts w:hint="eastAsia" w:ascii="宋体" w:hAnsi="宋体" w:eastAsia="宋体" w:cs="宋体"/>
          <w:color w:val="auto"/>
          <w:szCs w:val="24"/>
          <w:highlight w:val="none"/>
          <w:lang w:val="zh-CN" w:eastAsia="zh-CN"/>
        </w:rPr>
      </w:pPr>
      <w:bookmarkStart w:id="679" w:name="_Toc6881"/>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lang w:val="zh-CN"/>
        </w:rPr>
        <w:t>）</w:t>
      </w:r>
      <w:r>
        <w:rPr>
          <w:rFonts w:hint="eastAsia" w:ascii="宋体" w:hAnsi="宋体" w:eastAsia="宋体" w:cs="宋体"/>
          <w:color w:val="auto"/>
          <w:kern w:val="2"/>
          <w:sz w:val="21"/>
          <w:szCs w:val="21"/>
          <w:highlight w:val="none"/>
        </w:rPr>
        <w:t>业绩不重复计算，由投标人自行放入对应的评分子项</w:t>
      </w:r>
      <w:r>
        <w:rPr>
          <w:rFonts w:hint="eastAsia" w:ascii="宋体" w:hAnsi="宋体" w:eastAsia="宋体" w:cs="宋体"/>
          <w:color w:val="auto"/>
          <w:kern w:val="2"/>
          <w:sz w:val="21"/>
          <w:szCs w:val="21"/>
          <w:highlight w:val="none"/>
          <w:lang w:eastAsia="zh-CN"/>
        </w:rPr>
        <w:t>；</w:t>
      </w:r>
      <w:bookmarkEnd w:id="679"/>
    </w:p>
    <w:p w14:paraId="0A56B042">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b/>
          <w:bCs/>
          <w:color w:val="auto"/>
          <w:szCs w:val="24"/>
          <w:highlight w:val="none"/>
          <w:lang w:val="zh-CN"/>
        </w:rPr>
        <w:t>。</w:t>
      </w:r>
    </w:p>
    <w:p w14:paraId="3F47E6F0">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5D0D02CC">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2683845C">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1BB22654">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20D59D98">
      <w:pPr>
        <w:autoSpaceDE w:val="0"/>
        <w:autoSpaceDN w:val="0"/>
        <w:adjustRightInd w:val="0"/>
        <w:spacing w:line="360" w:lineRule="auto"/>
        <w:jc w:val="center"/>
        <w:rPr>
          <w:rFonts w:ascii="宋体" w:hAnsi="宋体" w:eastAsia="宋体" w:cs="Times New Roman"/>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p w14:paraId="37DA2C41">
      <w:pPr>
        <w:widowControl/>
        <w:jc w:val="left"/>
        <w:rPr>
          <w:rFonts w:ascii="宋体" w:hAnsi="宋体" w:eastAsia="宋体" w:cs="宋体"/>
          <w:b/>
          <w:bCs/>
          <w:color w:val="auto"/>
          <w:sz w:val="30"/>
          <w:szCs w:val="30"/>
          <w:highlight w:val="none"/>
          <w:lang w:bidi="ar"/>
        </w:rPr>
      </w:pPr>
      <w:r>
        <w:rPr>
          <w:rFonts w:hint="eastAsia" w:ascii="宋体" w:hAnsi="宋体" w:eastAsia="宋体" w:cs="宋体"/>
          <w:b/>
          <w:bCs/>
          <w:color w:val="auto"/>
          <w:sz w:val="30"/>
          <w:szCs w:val="30"/>
          <w:highlight w:val="none"/>
          <w:lang w:bidi="ar"/>
        </w:rPr>
        <w:br w:type="page"/>
      </w:r>
    </w:p>
    <w:p w14:paraId="3E9F7668">
      <w:pPr>
        <w:keepNext w:val="0"/>
        <w:keepLines w:val="0"/>
        <w:pageBreakBefore/>
        <w:widowControl w:val="0"/>
        <w:kinsoku/>
        <w:wordWrap/>
        <w:overflowPunct/>
        <w:topLinePunct w:val="0"/>
        <w:autoSpaceDE w:val="0"/>
        <w:autoSpaceDN w:val="0"/>
        <w:bidi w:val="0"/>
        <w:adjustRightInd w:val="0"/>
        <w:snapToGrid/>
        <w:spacing w:line="360" w:lineRule="auto"/>
        <w:jc w:val="both"/>
        <w:textAlignment w:val="auto"/>
        <w:outlineLvl w:val="2"/>
        <w:rPr>
          <w:rFonts w:hint="eastAsia" w:ascii="宋体" w:hAnsi="宋体" w:eastAsia="宋体" w:cs="宋体"/>
          <w:b/>
          <w:bCs/>
          <w:color w:val="auto"/>
          <w:sz w:val="30"/>
          <w:szCs w:val="30"/>
          <w:highlight w:val="none"/>
          <w:lang w:val="en-US" w:eastAsia="zh-CN"/>
        </w:rPr>
      </w:pPr>
      <w:bookmarkStart w:id="680" w:name="_Toc6865"/>
      <w:r>
        <w:rPr>
          <w:rFonts w:hint="eastAsia" w:ascii="宋体" w:hAnsi="宋体" w:eastAsia="宋体" w:cs="宋体"/>
          <w:b/>
          <w:bCs/>
          <w:color w:val="auto"/>
          <w:sz w:val="30"/>
          <w:szCs w:val="30"/>
          <w:highlight w:val="none"/>
          <w:lang w:val="en-US" w:eastAsia="zh-CN"/>
        </w:rPr>
        <w:t>8.2不同类型工程编制和审核业绩</w:t>
      </w:r>
      <w:bookmarkEnd w:id="680"/>
    </w:p>
    <w:p w14:paraId="2DE11D64">
      <w:pPr>
        <w:autoSpaceDE w:val="0"/>
        <w:autoSpaceDN w:val="0"/>
        <w:adjustRightInd w:val="0"/>
        <w:spacing w:line="360" w:lineRule="auto"/>
        <w:jc w:val="center"/>
        <w:outlineLvl w:val="1"/>
        <w:rPr>
          <w:rFonts w:hint="eastAsia" w:ascii="宋体" w:hAnsi="宋体" w:eastAsia="宋体" w:cs="宋体"/>
          <w:b/>
          <w:bCs/>
          <w:color w:val="auto"/>
          <w:sz w:val="30"/>
          <w:szCs w:val="30"/>
          <w:highlight w:val="none"/>
          <w:lang w:val="en-US" w:eastAsia="zh-CN"/>
        </w:rPr>
      </w:pPr>
      <w:bookmarkStart w:id="681" w:name="_Toc16152"/>
      <w:r>
        <w:rPr>
          <w:rFonts w:hint="eastAsia" w:ascii="宋体" w:hAnsi="宋体" w:eastAsia="宋体" w:cs="宋体"/>
          <w:b/>
          <w:bCs/>
          <w:color w:val="auto"/>
          <w:sz w:val="30"/>
          <w:szCs w:val="30"/>
          <w:highlight w:val="none"/>
          <w:lang w:val="zh-CN" w:eastAsia="zh-CN"/>
        </w:rPr>
        <w:t>202</w:t>
      </w:r>
      <w:r>
        <w:rPr>
          <w:rFonts w:hint="eastAsia" w:ascii="宋体" w:hAnsi="宋体" w:eastAsia="宋体" w:cs="宋体"/>
          <w:b/>
          <w:bCs/>
          <w:color w:val="auto"/>
          <w:sz w:val="30"/>
          <w:szCs w:val="30"/>
          <w:highlight w:val="none"/>
          <w:lang w:val="en-US" w:eastAsia="zh-CN"/>
        </w:rPr>
        <w:t>2</w:t>
      </w:r>
      <w:r>
        <w:rPr>
          <w:rFonts w:hint="eastAsia" w:ascii="宋体" w:hAnsi="宋体" w:eastAsia="宋体" w:cs="宋体"/>
          <w:b/>
          <w:bCs/>
          <w:color w:val="auto"/>
          <w:sz w:val="30"/>
          <w:szCs w:val="30"/>
          <w:highlight w:val="none"/>
          <w:lang w:val="zh-CN" w:eastAsia="zh-CN"/>
        </w:rPr>
        <w:t>年1月1日至今</w:t>
      </w:r>
      <w:r>
        <w:rPr>
          <w:rFonts w:hint="eastAsia" w:ascii="宋体" w:hAnsi="宋体" w:eastAsia="宋体" w:cs="宋体"/>
          <w:b/>
          <w:bCs/>
          <w:color w:val="auto"/>
          <w:sz w:val="30"/>
          <w:szCs w:val="30"/>
          <w:highlight w:val="none"/>
          <w:lang w:val="en-US" w:eastAsia="zh-CN"/>
        </w:rPr>
        <w:t>承接</w:t>
      </w:r>
      <w:r>
        <w:rPr>
          <w:rFonts w:hint="eastAsia" w:ascii="宋体" w:hAnsi="宋体" w:eastAsia="宋体" w:cs="宋体"/>
          <w:b/>
          <w:bCs/>
          <w:color w:val="auto"/>
          <w:sz w:val="30"/>
          <w:szCs w:val="30"/>
          <w:highlight w:val="none"/>
          <w:lang w:val="zh-CN" w:eastAsia="zh-CN"/>
        </w:rPr>
        <w:t>的不同类型工程编制和审核业绩情况表</w:t>
      </w:r>
      <w:bookmarkEnd w:id="681"/>
    </w:p>
    <w:tbl>
      <w:tblPr>
        <w:tblStyle w:val="4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9"/>
        <w:gridCol w:w="2173"/>
        <w:gridCol w:w="1679"/>
        <w:gridCol w:w="1738"/>
        <w:gridCol w:w="1505"/>
        <w:gridCol w:w="955"/>
        <w:gridCol w:w="1651"/>
      </w:tblGrid>
      <w:tr w14:paraId="313232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14:paraId="2355C7C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序号</w:t>
            </w:r>
          </w:p>
        </w:tc>
        <w:tc>
          <w:tcPr>
            <w:tcW w:w="1047" w:type="pct"/>
            <w:tcBorders>
              <w:top w:val="single" w:color="auto" w:sz="4" w:space="0"/>
              <w:left w:val="single" w:color="auto" w:sz="4" w:space="0"/>
              <w:bottom w:val="single" w:color="auto" w:sz="4" w:space="0"/>
              <w:right w:val="single" w:color="auto" w:sz="4" w:space="0"/>
            </w:tcBorders>
            <w:vAlign w:val="center"/>
          </w:tcPr>
          <w:p w14:paraId="2CA12A2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项目名称</w:t>
            </w:r>
          </w:p>
        </w:tc>
        <w:tc>
          <w:tcPr>
            <w:tcW w:w="809" w:type="pct"/>
            <w:tcBorders>
              <w:top w:val="single" w:color="auto" w:sz="4" w:space="0"/>
              <w:left w:val="single" w:color="auto" w:sz="4" w:space="0"/>
              <w:bottom w:val="single" w:color="auto" w:sz="4" w:space="0"/>
              <w:right w:val="single" w:color="auto" w:sz="4" w:space="0"/>
            </w:tcBorders>
            <w:vAlign w:val="center"/>
          </w:tcPr>
          <w:p w14:paraId="12DC585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业主方名称</w:t>
            </w:r>
          </w:p>
        </w:tc>
        <w:tc>
          <w:tcPr>
            <w:tcW w:w="837" w:type="pct"/>
            <w:tcBorders>
              <w:top w:val="single" w:color="auto" w:sz="4" w:space="0"/>
              <w:left w:val="single" w:color="auto" w:sz="4" w:space="0"/>
              <w:bottom w:val="single" w:color="auto" w:sz="4" w:space="0"/>
              <w:right w:val="single" w:color="auto" w:sz="4" w:space="0"/>
            </w:tcBorders>
            <w:vAlign w:val="center"/>
          </w:tcPr>
          <w:p w14:paraId="1F295CF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合同类型【概/预(或招标控制价)/结算</w:t>
            </w:r>
            <w:r>
              <w:rPr>
                <w:rFonts w:hint="eastAsia" w:ascii="宋体" w:hAnsi="宋体" w:eastAsia="宋体" w:cs="宋体"/>
                <w:b/>
                <w:bCs/>
                <w:color w:val="auto"/>
                <w:szCs w:val="21"/>
                <w:highlight w:val="none"/>
              </w:rPr>
              <w:t>编制</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审核</w:t>
            </w:r>
            <w:r>
              <w:rPr>
                <w:rFonts w:hint="eastAsia" w:ascii="宋体" w:hAnsi="宋体" w:eastAsia="宋体" w:cs="宋体"/>
                <w:color w:val="auto"/>
                <w:kern w:val="2"/>
                <w:sz w:val="21"/>
                <w:szCs w:val="21"/>
                <w:highlight w:val="none"/>
                <w:lang w:val="zh-CN"/>
              </w:rPr>
              <w:t>】</w:t>
            </w:r>
          </w:p>
        </w:tc>
        <w:tc>
          <w:tcPr>
            <w:tcW w:w="725" w:type="pct"/>
            <w:tcBorders>
              <w:top w:val="single" w:color="auto" w:sz="4" w:space="0"/>
              <w:left w:val="single" w:color="auto" w:sz="4" w:space="0"/>
              <w:bottom w:val="single" w:color="auto" w:sz="4" w:space="0"/>
              <w:right w:val="single" w:color="auto" w:sz="4" w:space="0"/>
            </w:tcBorders>
            <w:vAlign w:val="center"/>
          </w:tcPr>
          <w:p w14:paraId="39CB4E7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合同签订时间</w:t>
            </w:r>
          </w:p>
        </w:tc>
        <w:tc>
          <w:tcPr>
            <w:tcW w:w="460" w:type="pct"/>
            <w:tcBorders>
              <w:top w:val="single" w:color="auto" w:sz="4" w:space="0"/>
              <w:left w:val="single" w:color="auto" w:sz="4" w:space="0"/>
              <w:bottom w:val="single" w:color="auto" w:sz="4" w:space="0"/>
              <w:right w:val="single" w:color="auto" w:sz="4" w:space="0"/>
            </w:tcBorders>
            <w:vAlign w:val="center"/>
          </w:tcPr>
          <w:p w14:paraId="558A6C9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lang w:val="zh-CN"/>
              </w:rPr>
              <w:t>完成情况</w:t>
            </w:r>
          </w:p>
        </w:tc>
        <w:tc>
          <w:tcPr>
            <w:tcW w:w="796" w:type="pct"/>
            <w:tcBorders>
              <w:top w:val="single" w:color="auto" w:sz="4" w:space="0"/>
              <w:left w:val="single" w:color="auto" w:sz="4" w:space="0"/>
              <w:bottom w:val="single" w:color="auto" w:sz="4" w:space="0"/>
              <w:right w:val="single" w:color="auto" w:sz="4" w:space="0"/>
            </w:tcBorders>
            <w:vAlign w:val="center"/>
          </w:tcPr>
          <w:p w14:paraId="7E0B64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业主</w:t>
            </w:r>
            <w:r>
              <w:rPr>
                <w:rFonts w:hint="eastAsia" w:ascii="宋体" w:hAnsi="宋体" w:eastAsia="宋体" w:cs="宋体"/>
                <w:color w:val="auto"/>
                <w:kern w:val="2"/>
                <w:sz w:val="21"/>
                <w:szCs w:val="21"/>
                <w:highlight w:val="none"/>
                <w:lang w:val="zh-CN"/>
              </w:rPr>
              <w:t>电话及联系人</w:t>
            </w:r>
          </w:p>
        </w:tc>
      </w:tr>
      <w:tr w14:paraId="2EF5A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6066F70E">
            <w:pPr>
              <w:keepNext w:val="0"/>
              <w:keepLines w:val="0"/>
              <w:suppressLineNumbers w:val="0"/>
              <w:spacing w:before="0" w:beforeAutospacing="0" w:after="0" w:afterAutospacing="0" w:line="360" w:lineRule="auto"/>
              <w:ind w:left="0" w:right="0"/>
              <w:jc w:val="center"/>
              <w:rPr>
                <w:rFonts w:hint="eastAsia"/>
                <w:color w:val="auto"/>
                <w:highlight w:val="none"/>
              </w:rPr>
            </w:pPr>
            <w:r>
              <w:rPr>
                <w:rFonts w:hint="eastAsia" w:ascii="宋体" w:hAnsi="宋体" w:eastAsia="宋体" w:cs="宋体"/>
                <w:b/>
                <w:bCs/>
                <w:color w:val="auto"/>
                <w:sz w:val="21"/>
                <w:szCs w:val="21"/>
                <w:highlight w:val="none"/>
              </w:rPr>
              <w:t>一、房建</w:t>
            </w:r>
            <w:r>
              <w:rPr>
                <w:rFonts w:hint="eastAsia" w:ascii="宋体" w:hAnsi="宋体" w:eastAsia="宋体" w:cs="宋体"/>
                <w:b/>
                <w:bCs/>
                <w:color w:val="auto"/>
                <w:sz w:val="21"/>
                <w:szCs w:val="21"/>
                <w:highlight w:val="none"/>
                <w:lang w:val="en-US" w:eastAsia="zh-CN"/>
              </w:rPr>
              <w:t>（含装饰）类</w:t>
            </w:r>
          </w:p>
        </w:tc>
      </w:tr>
      <w:tr w14:paraId="344A6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14:paraId="04690F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zh-CN"/>
              </w:rPr>
            </w:pPr>
          </w:p>
        </w:tc>
        <w:tc>
          <w:tcPr>
            <w:tcW w:w="1047" w:type="pct"/>
            <w:tcBorders>
              <w:top w:val="single" w:color="auto" w:sz="4" w:space="0"/>
              <w:left w:val="single" w:color="auto" w:sz="4" w:space="0"/>
              <w:bottom w:val="single" w:color="auto" w:sz="4" w:space="0"/>
              <w:right w:val="single" w:color="auto" w:sz="4" w:space="0"/>
            </w:tcBorders>
            <w:vAlign w:val="center"/>
          </w:tcPr>
          <w:p w14:paraId="1EC1B46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9" w:type="pct"/>
            <w:tcBorders>
              <w:top w:val="single" w:color="auto" w:sz="4" w:space="0"/>
              <w:left w:val="single" w:color="auto" w:sz="4" w:space="0"/>
              <w:bottom w:val="single" w:color="auto" w:sz="4" w:space="0"/>
              <w:right w:val="single" w:color="auto" w:sz="4" w:space="0"/>
            </w:tcBorders>
            <w:vAlign w:val="center"/>
          </w:tcPr>
          <w:p w14:paraId="6009D2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37" w:type="pct"/>
            <w:tcBorders>
              <w:top w:val="single" w:color="auto" w:sz="4" w:space="0"/>
              <w:left w:val="single" w:color="auto" w:sz="4" w:space="0"/>
              <w:bottom w:val="single" w:color="auto" w:sz="4" w:space="0"/>
              <w:right w:val="single" w:color="auto" w:sz="4" w:space="0"/>
            </w:tcBorders>
            <w:vAlign w:val="center"/>
          </w:tcPr>
          <w:p w14:paraId="0D9A789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25" w:type="pct"/>
            <w:tcBorders>
              <w:top w:val="single" w:color="auto" w:sz="4" w:space="0"/>
              <w:left w:val="single" w:color="auto" w:sz="4" w:space="0"/>
              <w:bottom w:val="single" w:color="auto" w:sz="4" w:space="0"/>
              <w:right w:val="single" w:color="auto" w:sz="4" w:space="0"/>
            </w:tcBorders>
            <w:vAlign w:val="center"/>
          </w:tcPr>
          <w:p w14:paraId="66F413F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6CE63E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96" w:type="pct"/>
            <w:tcBorders>
              <w:top w:val="single" w:color="auto" w:sz="4" w:space="0"/>
              <w:left w:val="single" w:color="auto" w:sz="4" w:space="0"/>
              <w:bottom w:val="single" w:color="auto" w:sz="4" w:space="0"/>
              <w:right w:val="single" w:color="auto" w:sz="4" w:space="0"/>
            </w:tcBorders>
            <w:vAlign w:val="center"/>
          </w:tcPr>
          <w:p w14:paraId="2A47C7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5CFF6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14:paraId="2ECD712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zh-CN"/>
              </w:rPr>
            </w:pPr>
          </w:p>
        </w:tc>
        <w:tc>
          <w:tcPr>
            <w:tcW w:w="1047" w:type="pct"/>
            <w:tcBorders>
              <w:top w:val="single" w:color="auto" w:sz="4" w:space="0"/>
              <w:left w:val="single" w:color="auto" w:sz="4" w:space="0"/>
              <w:bottom w:val="single" w:color="auto" w:sz="4" w:space="0"/>
              <w:right w:val="single" w:color="auto" w:sz="4" w:space="0"/>
            </w:tcBorders>
            <w:vAlign w:val="center"/>
          </w:tcPr>
          <w:p w14:paraId="23EDE48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9" w:type="pct"/>
            <w:tcBorders>
              <w:top w:val="single" w:color="auto" w:sz="4" w:space="0"/>
              <w:left w:val="single" w:color="auto" w:sz="4" w:space="0"/>
              <w:bottom w:val="single" w:color="auto" w:sz="4" w:space="0"/>
              <w:right w:val="single" w:color="auto" w:sz="4" w:space="0"/>
            </w:tcBorders>
            <w:vAlign w:val="center"/>
          </w:tcPr>
          <w:p w14:paraId="6CAD041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37" w:type="pct"/>
            <w:tcBorders>
              <w:top w:val="single" w:color="auto" w:sz="4" w:space="0"/>
              <w:left w:val="single" w:color="auto" w:sz="4" w:space="0"/>
              <w:bottom w:val="single" w:color="auto" w:sz="4" w:space="0"/>
              <w:right w:val="single" w:color="auto" w:sz="4" w:space="0"/>
            </w:tcBorders>
            <w:vAlign w:val="center"/>
          </w:tcPr>
          <w:p w14:paraId="7553B27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25" w:type="pct"/>
            <w:tcBorders>
              <w:top w:val="single" w:color="auto" w:sz="4" w:space="0"/>
              <w:left w:val="single" w:color="auto" w:sz="4" w:space="0"/>
              <w:bottom w:val="single" w:color="auto" w:sz="4" w:space="0"/>
              <w:right w:val="single" w:color="auto" w:sz="4" w:space="0"/>
            </w:tcBorders>
            <w:vAlign w:val="center"/>
          </w:tcPr>
          <w:p w14:paraId="33FCAF1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2DE6775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96" w:type="pct"/>
            <w:tcBorders>
              <w:top w:val="single" w:color="auto" w:sz="4" w:space="0"/>
              <w:left w:val="single" w:color="auto" w:sz="4" w:space="0"/>
              <w:bottom w:val="single" w:color="auto" w:sz="4" w:space="0"/>
              <w:right w:val="single" w:color="auto" w:sz="4" w:space="0"/>
            </w:tcBorders>
            <w:vAlign w:val="center"/>
          </w:tcPr>
          <w:p w14:paraId="028A5C3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C05B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14:paraId="36944B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p>
        </w:tc>
        <w:tc>
          <w:tcPr>
            <w:tcW w:w="1047" w:type="pct"/>
            <w:tcBorders>
              <w:top w:val="single" w:color="auto" w:sz="4" w:space="0"/>
              <w:left w:val="single" w:color="auto" w:sz="4" w:space="0"/>
              <w:bottom w:val="single" w:color="auto" w:sz="4" w:space="0"/>
              <w:right w:val="single" w:color="auto" w:sz="4" w:space="0"/>
            </w:tcBorders>
            <w:vAlign w:val="center"/>
          </w:tcPr>
          <w:p w14:paraId="644AE18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9" w:type="pct"/>
            <w:tcBorders>
              <w:top w:val="single" w:color="auto" w:sz="4" w:space="0"/>
              <w:left w:val="single" w:color="auto" w:sz="4" w:space="0"/>
              <w:bottom w:val="single" w:color="auto" w:sz="4" w:space="0"/>
              <w:right w:val="single" w:color="auto" w:sz="4" w:space="0"/>
            </w:tcBorders>
            <w:vAlign w:val="center"/>
          </w:tcPr>
          <w:p w14:paraId="3FAB73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37" w:type="pct"/>
            <w:tcBorders>
              <w:top w:val="single" w:color="auto" w:sz="4" w:space="0"/>
              <w:left w:val="single" w:color="auto" w:sz="4" w:space="0"/>
              <w:bottom w:val="single" w:color="auto" w:sz="4" w:space="0"/>
              <w:right w:val="single" w:color="auto" w:sz="4" w:space="0"/>
            </w:tcBorders>
            <w:vAlign w:val="center"/>
          </w:tcPr>
          <w:p w14:paraId="6F95D51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25" w:type="pct"/>
            <w:tcBorders>
              <w:top w:val="single" w:color="auto" w:sz="4" w:space="0"/>
              <w:left w:val="single" w:color="auto" w:sz="4" w:space="0"/>
              <w:bottom w:val="single" w:color="auto" w:sz="4" w:space="0"/>
              <w:right w:val="single" w:color="auto" w:sz="4" w:space="0"/>
            </w:tcBorders>
            <w:vAlign w:val="center"/>
          </w:tcPr>
          <w:p w14:paraId="243B33A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490CFAF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96" w:type="pct"/>
            <w:tcBorders>
              <w:top w:val="single" w:color="auto" w:sz="4" w:space="0"/>
              <w:left w:val="single" w:color="auto" w:sz="4" w:space="0"/>
              <w:bottom w:val="single" w:color="auto" w:sz="4" w:space="0"/>
              <w:right w:val="single" w:color="auto" w:sz="4" w:space="0"/>
            </w:tcBorders>
            <w:vAlign w:val="center"/>
          </w:tcPr>
          <w:p w14:paraId="1A62913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8FFB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02DA3551">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二、市政</w:t>
            </w:r>
            <w:r>
              <w:rPr>
                <w:rFonts w:hint="eastAsia" w:ascii="宋体" w:hAnsi="宋体" w:eastAsia="宋体" w:cs="宋体"/>
                <w:b/>
                <w:bCs/>
                <w:color w:val="auto"/>
                <w:sz w:val="21"/>
                <w:szCs w:val="21"/>
                <w:highlight w:val="none"/>
                <w:lang w:val="en-US" w:eastAsia="zh-CN"/>
              </w:rPr>
              <w:t>类</w:t>
            </w:r>
          </w:p>
        </w:tc>
      </w:tr>
      <w:tr w14:paraId="6E305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14:paraId="7265681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47" w:type="pct"/>
            <w:tcBorders>
              <w:top w:val="single" w:color="auto" w:sz="4" w:space="0"/>
              <w:left w:val="single" w:color="auto" w:sz="4" w:space="0"/>
              <w:bottom w:val="single" w:color="auto" w:sz="4" w:space="0"/>
              <w:right w:val="single" w:color="auto" w:sz="4" w:space="0"/>
            </w:tcBorders>
            <w:vAlign w:val="center"/>
          </w:tcPr>
          <w:p w14:paraId="59105F5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9" w:type="pct"/>
            <w:tcBorders>
              <w:top w:val="single" w:color="auto" w:sz="4" w:space="0"/>
              <w:left w:val="single" w:color="auto" w:sz="4" w:space="0"/>
              <w:bottom w:val="single" w:color="auto" w:sz="4" w:space="0"/>
              <w:right w:val="single" w:color="auto" w:sz="4" w:space="0"/>
            </w:tcBorders>
            <w:vAlign w:val="center"/>
          </w:tcPr>
          <w:p w14:paraId="72703C6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37" w:type="pct"/>
            <w:tcBorders>
              <w:top w:val="single" w:color="auto" w:sz="4" w:space="0"/>
              <w:left w:val="single" w:color="auto" w:sz="4" w:space="0"/>
              <w:bottom w:val="single" w:color="auto" w:sz="4" w:space="0"/>
              <w:right w:val="single" w:color="auto" w:sz="4" w:space="0"/>
            </w:tcBorders>
            <w:vAlign w:val="center"/>
          </w:tcPr>
          <w:p w14:paraId="5F67402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25" w:type="pct"/>
            <w:tcBorders>
              <w:top w:val="single" w:color="auto" w:sz="4" w:space="0"/>
              <w:left w:val="single" w:color="auto" w:sz="4" w:space="0"/>
              <w:bottom w:val="single" w:color="auto" w:sz="4" w:space="0"/>
              <w:right w:val="single" w:color="auto" w:sz="4" w:space="0"/>
            </w:tcBorders>
            <w:vAlign w:val="center"/>
          </w:tcPr>
          <w:p w14:paraId="6CEFA9D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64034E8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96" w:type="pct"/>
            <w:tcBorders>
              <w:top w:val="single" w:color="auto" w:sz="4" w:space="0"/>
              <w:left w:val="single" w:color="auto" w:sz="4" w:space="0"/>
              <w:bottom w:val="single" w:color="auto" w:sz="4" w:space="0"/>
              <w:right w:val="single" w:color="auto" w:sz="4" w:space="0"/>
            </w:tcBorders>
            <w:vAlign w:val="center"/>
          </w:tcPr>
          <w:p w14:paraId="23EDDC5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BE50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14:paraId="59BEF16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47" w:type="pct"/>
            <w:tcBorders>
              <w:top w:val="single" w:color="auto" w:sz="4" w:space="0"/>
              <w:left w:val="single" w:color="auto" w:sz="4" w:space="0"/>
              <w:bottom w:val="single" w:color="auto" w:sz="4" w:space="0"/>
              <w:right w:val="single" w:color="auto" w:sz="4" w:space="0"/>
            </w:tcBorders>
            <w:vAlign w:val="center"/>
          </w:tcPr>
          <w:p w14:paraId="3D543FD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9" w:type="pct"/>
            <w:tcBorders>
              <w:top w:val="single" w:color="auto" w:sz="4" w:space="0"/>
              <w:left w:val="single" w:color="auto" w:sz="4" w:space="0"/>
              <w:bottom w:val="single" w:color="auto" w:sz="4" w:space="0"/>
              <w:right w:val="single" w:color="auto" w:sz="4" w:space="0"/>
            </w:tcBorders>
            <w:vAlign w:val="center"/>
          </w:tcPr>
          <w:p w14:paraId="365F27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37" w:type="pct"/>
            <w:tcBorders>
              <w:top w:val="single" w:color="auto" w:sz="4" w:space="0"/>
              <w:left w:val="single" w:color="auto" w:sz="4" w:space="0"/>
              <w:bottom w:val="single" w:color="auto" w:sz="4" w:space="0"/>
              <w:right w:val="single" w:color="auto" w:sz="4" w:space="0"/>
            </w:tcBorders>
            <w:vAlign w:val="center"/>
          </w:tcPr>
          <w:p w14:paraId="5CB56C8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25" w:type="pct"/>
            <w:tcBorders>
              <w:top w:val="single" w:color="auto" w:sz="4" w:space="0"/>
              <w:left w:val="single" w:color="auto" w:sz="4" w:space="0"/>
              <w:bottom w:val="single" w:color="auto" w:sz="4" w:space="0"/>
              <w:right w:val="single" w:color="auto" w:sz="4" w:space="0"/>
            </w:tcBorders>
            <w:vAlign w:val="center"/>
          </w:tcPr>
          <w:p w14:paraId="1904602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1E446C8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96" w:type="pct"/>
            <w:tcBorders>
              <w:top w:val="single" w:color="auto" w:sz="4" w:space="0"/>
              <w:left w:val="single" w:color="auto" w:sz="4" w:space="0"/>
              <w:bottom w:val="single" w:color="auto" w:sz="4" w:space="0"/>
              <w:right w:val="single" w:color="auto" w:sz="4" w:space="0"/>
            </w:tcBorders>
            <w:vAlign w:val="center"/>
          </w:tcPr>
          <w:p w14:paraId="4DFD3E6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6E21D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14:paraId="78712B3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47" w:type="pct"/>
            <w:tcBorders>
              <w:top w:val="single" w:color="auto" w:sz="4" w:space="0"/>
              <w:left w:val="single" w:color="auto" w:sz="4" w:space="0"/>
              <w:bottom w:val="single" w:color="auto" w:sz="4" w:space="0"/>
              <w:right w:val="single" w:color="auto" w:sz="4" w:space="0"/>
            </w:tcBorders>
            <w:vAlign w:val="center"/>
          </w:tcPr>
          <w:p w14:paraId="316A014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9" w:type="pct"/>
            <w:tcBorders>
              <w:top w:val="single" w:color="auto" w:sz="4" w:space="0"/>
              <w:left w:val="single" w:color="auto" w:sz="4" w:space="0"/>
              <w:bottom w:val="single" w:color="auto" w:sz="4" w:space="0"/>
              <w:right w:val="single" w:color="auto" w:sz="4" w:space="0"/>
            </w:tcBorders>
            <w:vAlign w:val="center"/>
          </w:tcPr>
          <w:p w14:paraId="2FB7CEA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37" w:type="pct"/>
            <w:tcBorders>
              <w:top w:val="single" w:color="auto" w:sz="4" w:space="0"/>
              <w:left w:val="single" w:color="auto" w:sz="4" w:space="0"/>
              <w:bottom w:val="single" w:color="auto" w:sz="4" w:space="0"/>
              <w:right w:val="single" w:color="auto" w:sz="4" w:space="0"/>
            </w:tcBorders>
            <w:vAlign w:val="center"/>
          </w:tcPr>
          <w:p w14:paraId="1B2AA3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25" w:type="pct"/>
            <w:tcBorders>
              <w:top w:val="single" w:color="auto" w:sz="4" w:space="0"/>
              <w:left w:val="single" w:color="auto" w:sz="4" w:space="0"/>
              <w:bottom w:val="single" w:color="auto" w:sz="4" w:space="0"/>
              <w:right w:val="single" w:color="auto" w:sz="4" w:space="0"/>
            </w:tcBorders>
            <w:vAlign w:val="center"/>
          </w:tcPr>
          <w:p w14:paraId="1EF492C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3EEA44F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96" w:type="pct"/>
            <w:tcBorders>
              <w:top w:val="single" w:color="auto" w:sz="4" w:space="0"/>
              <w:left w:val="single" w:color="auto" w:sz="4" w:space="0"/>
              <w:bottom w:val="single" w:color="auto" w:sz="4" w:space="0"/>
              <w:right w:val="single" w:color="auto" w:sz="4" w:space="0"/>
            </w:tcBorders>
            <w:vAlign w:val="center"/>
          </w:tcPr>
          <w:p w14:paraId="3E30E79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53A70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4ADB5FF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水利类</w:t>
            </w:r>
          </w:p>
        </w:tc>
      </w:tr>
      <w:tr w14:paraId="2E9EE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14:paraId="21CE5AB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47" w:type="pct"/>
            <w:tcBorders>
              <w:top w:val="single" w:color="auto" w:sz="4" w:space="0"/>
              <w:left w:val="single" w:color="auto" w:sz="4" w:space="0"/>
              <w:bottom w:val="single" w:color="auto" w:sz="4" w:space="0"/>
              <w:right w:val="single" w:color="auto" w:sz="4" w:space="0"/>
            </w:tcBorders>
            <w:vAlign w:val="center"/>
          </w:tcPr>
          <w:p w14:paraId="334C5C7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9" w:type="pct"/>
            <w:tcBorders>
              <w:top w:val="single" w:color="auto" w:sz="4" w:space="0"/>
              <w:left w:val="single" w:color="auto" w:sz="4" w:space="0"/>
              <w:bottom w:val="single" w:color="auto" w:sz="4" w:space="0"/>
              <w:right w:val="single" w:color="auto" w:sz="4" w:space="0"/>
            </w:tcBorders>
            <w:vAlign w:val="center"/>
          </w:tcPr>
          <w:p w14:paraId="3B52EC1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37" w:type="pct"/>
            <w:tcBorders>
              <w:top w:val="single" w:color="auto" w:sz="4" w:space="0"/>
              <w:left w:val="single" w:color="auto" w:sz="4" w:space="0"/>
              <w:bottom w:val="single" w:color="auto" w:sz="4" w:space="0"/>
              <w:right w:val="single" w:color="auto" w:sz="4" w:space="0"/>
            </w:tcBorders>
            <w:vAlign w:val="center"/>
          </w:tcPr>
          <w:p w14:paraId="746D29B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25" w:type="pct"/>
            <w:tcBorders>
              <w:top w:val="single" w:color="auto" w:sz="4" w:space="0"/>
              <w:left w:val="single" w:color="auto" w:sz="4" w:space="0"/>
              <w:bottom w:val="single" w:color="auto" w:sz="4" w:space="0"/>
              <w:right w:val="single" w:color="auto" w:sz="4" w:space="0"/>
            </w:tcBorders>
            <w:vAlign w:val="center"/>
          </w:tcPr>
          <w:p w14:paraId="0229C40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653928B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96" w:type="pct"/>
            <w:tcBorders>
              <w:top w:val="single" w:color="auto" w:sz="4" w:space="0"/>
              <w:left w:val="single" w:color="auto" w:sz="4" w:space="0"/>
              <w:bottom w:val="single" w:color="auto" w:sz="4" w:space="0"/>
              <w:right w:val="single" w:color="auto" w:sz="4" w:space="0"/>
            </w:tcBorders>
            <w:vAlign w:val="center"/>
          </w:tcPr>
          <w:p w14:paraId="357EC4C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66D5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14:paraId="4537AF2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47" w:type="pct"/>
            <w:tcBorders>
              <w:top w:val="single" w:color="auto" w:sz="4" w:space="0"/>
              <w:left w:val="single" w:color="auto" w:sz="4" w:space="0"/>
              <w:bottom w:val="single" w:color="auto" w:sz="4" w:space="0"/>
              <w:right w:val="single" w:color="auto" w:sz="4" w:space="0"/>
            </w:tcBorders>
            <w:vAlign w:val="center"/>
          </w:tcPr>
          <w:p w14:paraId="6AB6F79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9" w:type="pct"/>
            <w:tcBorders>
              <w:top w:val="single" w:color="auto" w:sz="4" w:space="0"/>
              <w:left w:val="single" w:color="auto" w:sz="4" w:space="0"/>
              <w:bottom w:val="single" w:color="auto" w:sz="4" w:space="0"/>
              <w:right w:val="single" w:color="auto" w:sz="4" w:space="0"/>
            </w:tcBorders>
            <w:vAlign w:val="center"/>
          </w:tcPr>
          <w:p w14:paraId="4A602FD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37" w:type="pct"/>
            <w:tcBorders>
              <w:top w:val="single" w:color="auto" w:sz="4" w:space="0"/>
              <w:left w:val="single" w:color="auto" w:sz="4" w:space="0"/>
              <w:bottom w:val="single" w:color="auto" w:sz="4" w:space="0"/>
              <w:right w:val="single" w:color="auto" w:sz="4" w:space="0"/>
            </w:tcBorders>
            <w:vAlign w:val="center"/>
          </w:tcPr>
          <w:p w14:paraId="10F3FCC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25" w:type="pct"/>
            <w:tcBorders>
              <w:top w:val="single" w:color="auto" w:sz="4" w:space="0"/>
              <w:left w:val="single" w:color="auto" w:sz="4" w:space="0"/>
              <w:bottom w:val="single" w:color="auto" w:sz="4" w:space="0"/>
              <w:right w:val="single" w:color="auto" w:sz="4" w:space="0"/>
            </w:tcBorders>
            <w:vAlign w:val="center"/>
          </w:tcPr>
          <w:p w14:paraId="057961A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0F78A3E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96" w:type="pct"/>
            <w:tcBorders>
              <w:top w:val="single" w:color="auto" w:sz="4" w:space="0"/>
              <w:left w:val="single" w:color="auto" w:sz="4" w:space="0"/>
              <w:bottom w:val="single" w:color="auto" w:sz="4" w:space="0"/>
              <w:right w:val="single" w:color="auto" w:sz="4" w:space="0"/>
            </w:tcBorders>
            <w:vAlign w:val="center"/>
          </w:tcPr>
          <w:p w14:paraId="005AA38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7630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14:paraId="016186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47" w:type="pct"/>
            <w:tcBorders>
              <w:top w:val="single" w:color="auto" w:sz="4" w:space="0"/>
              <w:left w:val="single" w:color="auto" w:sz="4" w:space="0"/>
              <w:bottom w:val="single" w:color="auto" w:sz="4" w:space="0"/>
              <w:right w:val="single" w:color="auto" w:sz="4" w:space="0"/>
            </w:tcBorders>
            <w:vAlign w:val="center"/>
          </w:tcPr>
          <w:p w14:paraId="1A8C921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9" w:type="pct"/>
            <w:tcBorders>
              <w:top w:val="single" w:color="auto" w:sz="4" w:space="0"/>
              <w:left w:val="single" w:color="auto" w:sz="4" w:space="0"/>
              <w:bottom w:val="single" w:color="auto" w:sz="4" w:space="0"/>
              <w:right w:val="single" w:color="auto" w:sz="4" w:space="0"/>
            </w:tcBorders>
            <w:vAlign w:val="center"/>
          </w:tcPr>
          <w:p w14:paraId="03EE4A2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37" w:type="pct"/>
            <w:tcBorders>
              <w:top w:val="single" w:color="auto" w:sz="4" w:space="0"/>
              <w:left w:val="single" w:color="auto" w:sz="4" w:space="0"/>
              <w:bottom w:val="single" w:color="auto" w:sz="4" w:space="0"/>
              <w:right w:val="single" w:color="auto" w:sz="4" w:space="0"/>
            </w:tcBorders>
            <w:vAlign w:val="center"/>
          </w:tcPr>
          <w:p w14:paraId="30AF4BC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25" w:type="pct"/>
            <w:tcBorders>
              <w:top w:val="single" w:color="auto" w:sz="4" w:space="0"/>
              <w:left w:val="single" w:color="auto" w:sz="4" w:space="0"/>
              <w:bottom w:val="single" w:color="auto" w:sz="4" w:space="0"/>
              <w:right w:val="single" w:color="auto" w:sz="4" w:space="0"/>
            </w:tcBorders>
            <w:vAlign w:val="center"/>
          </w:tcPr>
          <w:p w14:paraId="7CAE48B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3593B3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96" w:type="pct"/>
            <w:tcBorders>
              <w:top w:val="single" w:color="auto" w:sz="4" w:space="0"/>
              <w:left w:val="single" w:color="auto" w:sz="4" w:space="0"/>
              <w:bottom w:val="single" w:color="auto" w:sz="4" w:space="0"/>
              <w:right w:val="single" w:color="auto" w:sz="4" w:space="0"/>
            </w:tcBorders>
            <w:vAlign w:val="center"/>
          </w:tcPr>
          <w:p w14:paraId="65B57B5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255F30C8">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rPr>
      </w:pPr>
    </w:p>
    <w:p w14:paraId="2CB3E428">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32E56259">
      <w:pPr>
        <w:numPr>
          <w:ilvl w:val="0"/>
          <w:numId w:val="0"/>
        </w:numPr>
        <w:snapToGrid w:val="0"/>
        <w:spacing w:line="360" w:lineRule="auto"/>
        <w:ind w:left="481" w:leftChars="-4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lang w:val="zh-CN"/>
        </w:rPr>
        <w:t>）同一个单项合同的业绩可以同时在资格业绩和评分业绩重复放置；</w:t>
      </w:r>
    </w:p>
    <w:p w14:paraId="5332B2B7">
      <w:pPr>
        <w:snapToGrid w:val="0"/>
        <w:spacing w:line="360" w:lineRule="auto"/>
        <w:ind w:left="481" w:leftChars="-4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kern w:val="2"/>
          <w:sz w:val="21"/>
          <w:szCs w:val="24"/>
          <w:highlight w:val="none"/>
          <w:lang w:val="zh-CN" w:eastAsia="zh-CN" w:bidi="ar-SA"/>
        </w:rPr>
        <w:t>（2）</w:t>
      </w:r>
      <w:r>
        <w:rPr>
          <w:rFonts w:hint="eastAsia" w:ascii="宋体" w:hAnsi="宋体" w:eastAsia="宋体" w:cs="宋体"/>
          <w:color w:val="auto"/>
          <w:szCs w:val="24"/>
          <w:highlight w:val="none"/>
          <w:lang w:val="zh-CN"/>
        </w:rPr>
        <w:t>业绩须附合同及项目的相关成果文件关键页</w:t>
      </w:r>
      <w:r>
        <w:rPr>
          <w:rFonts w:hint="eastAsia" w:ascii="宋体" w:hAnsi="宋体" w:eastAsia="宋体" w:cs="宋体"/>
          <w:b/>
          <w:bCs/>
          <w:color w:val="auto"/>
          <w:sz w:val="21"/>
          <w:szCs w:val="21"/>
          <w:highlight w:val="none"/>
          <w:lang w:val="en-US" w:eastAsia="zh-CN"/>
        </w:rPr>
        <w:t>扫描件</w:t>
      </w:r>
      <w:r>
        <w:rPr>
          <w:rFonts w:hint="eastAsia" w:ascii="宋体" w:hAnsi="宋体" w:eastAsia="宋体" w:cs="宋体"/>
          <w:color w:val="auto"/>
          <w:szCs w:val="24"/>
          <w:highlight w:val="none"/>
          <w:lang w:val="zh-CN"/>
        </w:rPr>
        <w:t>加盖投标人公章，否则不得分；</w:t>
      </w:r>
    </w:p>
    <w:p w14:paraId="150FAA9E">
      <w:pPr>
        <w:numPr>
          <w:ilvl w:val="0"/>
          <w:numId w:val="0"/>
        </w:numPr>
        <w:autoSpaceDE w:val="0"/>
        <w:autoSpaceDN w:val="0"/>
        <w:adjustRightInd w:val="0"/>
        <w:snapToGrid w:val="0"/>
        <w:spacing w:line="360" w:lineRule="auto"/>
        <w:ind w:left="481" w:leftChars="-41" w:hanging="567" w:hangingChars="270"/>
        <w:jc w:val="left"/>
        <w:rPr>
          <w:rFonts w:hint="eastAsia" w:ascii="宋体" w:hAnsi="宋体" w:eastAsia="宋体" w:cs="宋体"/>
          <w:b/>
          <w:bCs/>
          <w:color w:val="auto"/>
          <w:sz w:val="21"/>
          <w:szCs w:val="21"/>
          <w:highlight w:val="none"/>
          <w:lang w:val="zh-CN"/>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lang w:val="zh-CN"/>
        </w:rPr>
        <w:t>）</w:t>
      </w:r>
      <w:r>
        <w:rPr>
          <w:rFonts w:hint="eastAsia" w:ascii="宋体" w:hAnsi="宋体" w:eastAsia="宋体" w:cs="宋体"/>
          <w:b/>
          <w:bCs/>
          <w:color w:val="auto"/>
          <w:sz w:val="21"/>
          <w:szCs w:val="21"/>
          <w:highlight w:val="none"/>
          <w:lang w:val="zh-CN"/>
        </w:rPr>
        <w:t>若业绩合同为框架式协议或资格入围的，须同时提供</w:t>
      </w:r>
      <w:r>
        <w:rPr>
          <w:rFonts w:hint="eastAsia" w:ascii="宋体" w:hAnsi="宋体" w:eastAsia="宋体" w:cs="宋体"/>
          <w:b/>
          <w:bCs/>
          <w:color w:val="auto"/>
          <w:sz w:val="21"/>
          <w:szCs w:val="21"/>
          <w:highlight w:val="none"/>
          <w:lang w:val="en-US" w:eastAsia="zh-CN"/>
        </w:rPr>
        <w:t>框架协议合同（或资格入围合同）</w:t>
      </w:r>
      <w:r>
        <w:rPr>
          <w:rFonts w:hint="eastAsia" w:ascii="宋体" w:hAnsi="宋体" w:eastAsia="宋体" w:cs="宋体"/>
          <w:b/>
          <w:bCs/>
          <w:color w:val="auto"/>
          <w:sz w:val="21"/>
          <w:szCs w:val="21"/>
          <w:highlight w:val="none"/>
          <w:lang w:val="zh-CN"/>
        </w:rPr>
        <w:t>及合同期内对应的项目成果文件，按成果文件数量计算得分；</w:t>
      </w:r>
    </w:p>
    <w:p w14:paraId="5EC193AF">
      <w:pPr>
        <w:numPr>
          <w:ilvl w:val="0"/>
          <w:numId w:val="0"/>
        </w:num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lang w:val="zh-CN"/>
        </w:rPr>
        <w:t>）</w:t>
      </w:r>
      <w:r>
        <w:rPr>
          <w:rFonts w:hint="eastAsia" w:ascii="宋体" w:hAnsi="宋体" w:eastAsia="宋体" w:cs="宋体"/>
          <w:b/>
          <w:color w:val="auto"/>
          <w:szCs w:val="21"/>
          <w:highlight w:val="none"/>
          <w:lang w:val="en-US" w:eastAsia="zh-CN"/>
        </w:rPr>
        <w:t>若</w:t>
      </w:r>
      <w:r>
        <w:rPr>
          <w:rFonts w:hint="eastAsia" w:ascii="宋体" w:hAnsi="宋体" w:eastAsia="宋体" w:cs="宋体"/>
          <w:b/>
          <w:color w:val="auto"/>
          <w:sz w:val="21"/>
          <w:szCs w:val="21"/>
          <w:highlight w:val="none"/>
        </w:rPr>
        <w:t>合同等业绩证明材料</w:t>
      </w:r>
      <w:r>
        <w:rPr>
          <w:rFonts w:hint="eastAsia" w:ascii="宋体" w:hAnsi="宋体" w:eastAsia="宋体" w:cs="宋体"/>
          <w:b/>
          <w:color w:val="auto"/>
          <w:sz w:val="21"/>
          <w:szCs w:val="21"/>
          <w:highlight w:val="none"/>
          <w:lang w:val="en-US" w:eastAsia="zh-CN"/>
        </w:rPr>
        <w:t>无法</w:t>
      </w:r>
      <w:r>
        <w:rPr>
          <w:rFonts w:hint="eastAsia" w:ascii="宋体" w:hAnsi="宋体" w:eastAsia="宋体" w:cs="宋体"/>
          <w:b/>
          <w:color w:val="auto"/>
          <w:sz w:val="21"/>
          <w:szCs w:val="21"/>
          <w:highlight w:val="none"/>
        </w:rPr>
        <w:t>反映评分条件[合同签订日期为202</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年1月1日或以后，合同标的必须为概</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预(或招标控制价)</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结算</w:t>
      </w:r>
      <w:r>
        <w:rPr>
          <w:rFonts w:hint="eastAsia" w:ascii="宋体" w:hAnsi="宋体" w:eastAsia="宋体" w:cs="宋体"/>
          <w:b/>
          <w:bCs/>
          <w:color w:val="auto"/>
          <w:szCs w:val="21"/>
          <w:highlight w:val="none"/>
        </w:rPr>
        <w:t>编制</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审核</w:t>
      </w:r>
      <w:r>
        <w:rPr>
          <w:rFonts w:hint="eastAsia" w:ascii="宋体" w:hAnsi="宋体" w:eastAsia="宋体" w:cs="宋体"/>
          <w:b/>
          <w:color w:val="auto"/>
          <w:sz w:val="21"/>
          <w:szCs w:val="21"/>
          <w:highlight w:val="none"/>
        </w:rPr>
        <w:t>业绩]</w:t>
      </w:r>
      <w:r>
        <w:rPr>
          <w:rFonts w:hint="eastAsia" w:ascii="宋体" w:hAnsi="宋体" w:eastAsia="宋体" w:cs="宋体"/>
          <w:b/>
          <w:color w:val="auto"/>
          <w:sz w:val="21"/>
          <w:szCs w:val="21"/>
          <w:highlight w:val="none"/>
          <w:lang w:eastAsia="zh-CN"/>
        </w:rPr>
        <w:t>的</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还</w:t>
      </w:r>
      <w:r>
        <w:rPr>
          <w:rFonts w:hint="eastAsia" w:ascii="宋体" w:hAnsi="宋体" w:eastAsia="宋体" w:cs="宋体"/>
          <w:b/>
          <w:color w:val="auto"/>
          <w:sz w:val="21"/>
          <w:szCs w:val="21"/>
          <w:highlight w:val="none"/>
        </w:rPr>
        <w:t>需同时提供业主</w:t>
      </w:r>
      <w:r>
        <w:rPr>
          <w:rFonts w:hint="eastAsia" w:ascii="宋体" w:hAnsi="宋体" w:eastAsia="宋体" w:cs="宋体"/>
          <w:b/>
          <w:color w:val="auto"/>
          <w:sz w:val="21"/>
          <w:szCs w:val="21"/>
          <w:highlight w:val="none"/>
          <w:lang w:val="en-US" w:eastAsia="zh-CN"/>
        </w:rPr>
        <w:t>方</w:t>
      </w:r>
      <w:r>
        <w:rPr>
          <w:rFonts w:hint="eastAsia" w:ascii="宋体" w:hAnsi="宋体" w:eastAsia="宋体" w:cs="宋体"/>
          <w:b/>
          <w:color w:val="auto"/>
          <w:sz w:val="21"/>
          <w:szCs w:val="21"/>
          <w:highlight w:val="none"/>
        </w:rPr>
        <w:t>出具的书面补充情况说明文件</w:t>
      </w:r>
      <w:r>
        <w:rPr>
          <w:rFonts w:hint="eastAsia" w:ascii="宋体" w:hAnsi="宋体" w:eastAsia="宋体" w:cs="宋体"/>
          <w:b/>
          <w:bCs/>
          <w:color w:val="auto"/>
          <w:sz w:val="21"/>
          <w:szCs w:val="21"/>
          <w:highlight w:val="none"/>
          <w:lang w:val="en-US" w:eastAsia="zh-CN"/>
        </w:rPr>
        <w:t>扫描件</w:t>
      </w: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shd w:val="clear" w:color="auto" w:fill="FFFFFF"/>
        </w:rPr>
        <w:t>补充情况说明文件</w:t>
      </w:r>
      <w:r>
        <w:rPr>
          <w:rFonts w:hint="eastAsia" w:ascii="宋体" w:hAnsi="宋体" w:eastAsia="宋体" w:cs="宋体"/>
          <w:b/>
          <w:bCs/>
          <w:color w:val="auto"/>
          <w:sz w:val="21"/>
          <w:szCs w:val="21"/>
          <w:highlight w:val="none"/>
          <w:lang w:val="en-US" w:eastAsia="zh-CN"/>
        </w:rPr>
        <w:t>扫描件</w:t>
      </w:r>
      <w:r>
        <w:rPr>
          <w:rFonts w:hint="eastAsia" w:ascii="宋体" w:hAnsi="宋体" w:eastAsia="宋体" w:cs="宋体"/>
          <w:b/>
          <w:bCs/>
          <w:color w:val="auto"/>
          <w:szCs w:val="21"/>
          <w:highlight w:val="none"/>
          <w:shd w:val="clear" w:color="auto" w:fill="FFFFFF"/>
        </w:rPr>
        <w:t>能显示</w:t>
      </w:r>
      <w:r>
        <w:rPr>
          <w:rFonts w:hint="eastAsia" w:ascii="宋体" w:hAnsi="宋体" w:eastAsia="宋体" w:cs="宋体"/>
          <w:b/>
          <w:bCs/>
          <w:color w:val="auto"/>
          <w:szCs w:val="21"/>
          <w:highlight w:val="none"/>
          <w:shd w:val="clear" w:color="auto" w:fill="FFFFFF"/>
          <w:lang w:val="en-US" w:eastAsia="zh-CN"/>
        </w:rPr>
        <w:t>业主</w:t>
      </w:r>
      <w:r>
        <w:rPr>
          <w:rFonts w:hint="eastAsia" w:ascii="宋体" w:hAnsi="宋体" w:eastAsia="宋体" w:cs="宋体"/>
          <w:b/>
          <w:bCs/>
          <w:color w:val="auto"/>
          <w:szCs w:val="21"/>
          <w:highlight w:val="none"/>
          <w:shd w:val="clear" w:color="auto" w:fill="FFFFFF"/>
        </w:rPr>
        <w:t>方公章</w:t>
      </w:r>
      <w:r>
        <w:rPr>
          <w:rFonts w:hint="eastAsia" w:ascii="宋体" w:hAnsi="宋体" w:eastAsia="宋体" w:cs="宋体"/>
          <w:b/>
          <w:color w:val="auto"/>
          <w:szCs w:val="21"/>
          <w:highlight w:val="none"/>
        </w:rPr>
        <w:t>），否则不得分</w:t>
      </w:r>
      <w:r>
        <w:rPr>
          <w:rFonts w:hint="eastAsia" w:ascii="宋体" w:hAnsi="宋体" w:eastAsia="宋体" w:cs="宋体"/>
          <w:color w:val="auto"/>
          <w:szCs w:val="24"/>
          <w:highlight w:val="none"/>
          <w:lang w:val="zh-CN"/>
        </w:rPr>
        <w:t>；</w:t>
      </w:r>
    </w:p>
    <w:p w14:paraId="75DA1959">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val="zh-CN"/>
        </w:rPr>
        <w:t>）</w:t>
      </w:r>
      <w:r>
        <w:rPr>
          <w:rFonts w:hint="eastAsia" w:ascii="宋体" w:hAnsi="宋体" w:eastAsia="宋体" w:cs="宋体"/>
          <w:b/>
          <w:bCs/>
          <w:color w:val="auto"/>
          <w:sz w:val="21"/>
          <w:szCs w:val="21"/>
          <w:highlight w:val="none"/>
          <w:lang w:val="en-US" w:eastAsia="zh-CN"/>
        </w:rPr>
        <w:t>若一份合同中同时包括该对应类型的概、预</w:t>
      </w:r>
      <w:r>
        <w:rPr>
          <w:rFonts w:hint="eastAsia" w:ascii="宋体" w:hAnsi="宋体" w:eastAsia="宋体" w:cs="宋体"/>
          <w:b/>
          <w:color w:val="auto"/>
          <w:sz w:val="21"/>
          <w:szCs w:val="21"/>
          <w:highlight w:val="none"/>
        </w:rPr>
        <w:t>(或招标控制价)</w:t>
      </w:r>
      <w:r>
        <w:rPr>
          <w:rFonts w:hint="eastAsia" w:ascii="宋体" w:hAnsi="宋体" w:eastAsia="宋体" w:cs="宋体"/>
          <w:b/>
          <w:bCs/>
          <w:color w:val="auto"/>
          <w:sz w:val="21"/>
          <w:szCs w:val="21"/>
          <w:highlight w:val="none"/>
          <w:lang w:val="en-US" w:eastAsia="zh-CN"/>
        </w:rPr>
        <w:t>、结算编制和审核业绩则可视为满足业绩得分基础要求，但仅作为一份合同业绩计分；</w:t>
      </w:r>
    </w:p>
    <w:p w14:paraId="73D3A527">
      <w:pPr>
        <w:autoSpaceDE w:val="0"/>
        <w:autoSpaceDN w:val="0"/>
        <w:adjustRightInd w:val="0"/>
        <w:snapToGrid w:val="0"/>
        <w:spacing w:line="360" w:lineRule="auto"/>
        <w:ind w:left="481" w:leftChars="-41" w:hanging="567" w:hangingChars="270"/>
        <w:jc w:val="left"/>
        <w:outlineLvl w:val="1"/>
        <w:rPr>
          <w:rFonts w:hint="eastAsia" w:ascii="宋体" w:hAnsi="宋体" w:eastAsia="宋体" w:cs="宋体"/>
          <w:color w:val="auto"/>
          <w:szCs w:val="24"/>
          <w:highlight w:val="none"/>
          <w:lang w:val="zh-CN" w:eastAsia="zh-CN"/>
        </w:rPr>
      </w:pPr>
      <w:bookmarkStart w:id="682" w:name="_Toc1196"/>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lang w:val="zh-CN"/>
        </w:rPr>
        <w:t>）</w:t>
      </w:r>
      <w:r>
        <w:rPr>
          <w:rFonts w:hint="eastAsia" w:ascii="宋体" w:hAnsi="宋体" w:eastAsia="宋体" w:cs="宋体"/>
          <w:color w:val="auto"/>
          <w:kern w:val="2"/>
          <w:sz w:val="21"/>
          <w:szCs w:val="21"/>
          <w:highlight w:val="none"/>
        </w:rPr>
        <w:t>业绩不重复计算，由投标人自行放入对应的评分子项</w:t>
      </w:r>
      <w:r>
        <w:rPr>
          <w:rFonts w:hint="eastAsia" w:ascii="宋体" w:hAnsi="宋体" w:eastAsia="宋体" w:cs="宋体"/>
          <w:color w:val="auto"/>
          <w:kern w:val="2"/>
          <w:sz w:val="21"/>
          <w:szCs w:val="21"/>
          <w:highlight w:val="none"/>
          <w:lang w:eastAsia="zh-CN"/>
        </w:rPr>
        <w:t>；</w:t>
      </w:r>
      <w:bookmarkEnd w:id="682"/>
    </w:p>
    <w:p w14:paraId="41850855">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宋体"/>
          <w:b/>
          <w:bCs/>
          <w:color w:val="auto"/>
          <w:szCs w:val="21"/>
          <w:highlight w:val="none"/>
          <w:lang w:bidi="ar"/>
        </w:rPr>
        <w:t>。</w:t>
      </w:r>
    </w:p>
    <w:p w14:paraId="5AD0C0FC">
      <w:pPr>
        <w:autoSpaceDE w:val="0"/>
        <w:autoSpaceDN w:val="0"/>
        <w:adjustRightInd w:val="0"/>
        <w:spacing w:line="360" w:lineRule="auto"/>
        <w:ind w:firstLine="5040" w:firstLineChars="24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 xml:space="preserve"> </w:t>
      </w:r>
    </w:p>
    <w:p w14:paraId="71F36902">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1D95BA0A">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2F79815A">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2E554D08">
      <w:pPr>
        <w:widowControl/>
        <w:autoSpaceDE w:val="0"/>
        <w:autoSpaceDN w:val="0"/>
        <w:adjustRightInd w:val="0"/>
        <w:spacing w:line="360" w:lineRule="auto"/>
        <w:jc w:val="center"/>
        <w:rPr>
          <w:rFonts w:ascii="宋体" w:hAnsi="宋体" w:eastAsia="宋体" w:cs="Times New Roman"/>
          <w:color w:val="auto"/>
          <w:szCs w:val="21"/>
          <w:highlight w:val="none"/>
        </w:rPr>
      </w:pPr>
      <w:r>
        <w:rPr>
          <w:rFonts w:hint="eastAsia" w:ascii="宋体" w:hAnsi="宋体" w:eastAsia="宋体" w:cs="Times New Roman"/>
          <w:b/>
          <w:bCs/>
          <w:color w:val="auto"/>
          <w:szCs w:val="24"/>
          <w:highlight w:val="none"/>
          <w:lang w:val="zh-CN"/>
        </w:rPr>
        <w:t>说明：由投标人使用投标人的企业数字证书电子签名。</w:t>
      </w:r>
    </w:p>
    <w:p w14:paraId="257832D4">
      <w:pPr>
        <w:keepNext w:val="0"/>
        <w:keepLines w:val="0"/>
        <w:pageBreakBefore/>
        <w:widowControl w:val="0"/>
        <w:kinsoku/>
        <w:wordWrap/>
        <w:overflowPunct/>
        <w:topLinePunct w:val="0"/>
        <w:autoSpaceDE w:val="0"/>
        <w:autoSpaceDN w:val="0"/>
        <w:bidi w:val="0"/>
        <w:adjustRightInd w:val="0"/>
        <w:snapToGrid/>
        <w:spacing w:line="360" w:lineRule="auto"/>
        <w:jc w:val="both"/>
        <w:textAlignment w:val="auto"/>
        <w:outlineLvl w:val="2"/>
        <w:rPr>
          <w:rFonts w:hint="eastAsia" w:ascii="宋体" w:hAnsi="宋体" w:eastAsia="宋体" w:cs="宋体"/>
          <w:b/>
          <w:bCs/>
          <w:color w:val="auto"/>
          <w:sz w:val="30"/>
          <w:szCs w:val="30"/>
          <w:highlight w:val="none"/>
          <w:lang w:val="en-US" w:eastAsia="zh-CN"/>
        </w:rPr>
      </w:pPr>
      <w:bookmarkStart w:id="683" w:name="_Toc167"/>
      <w:r>
        <w:rPr>
          <w:rFonts w:hint="eastAsia" w:ascii="宋体" w:hAnsi="宋体" w:eastAsia="宋体" w:cs="宋体"/>
          <w:b/>
          <w:bCs/>
          <w:color w:val="auto"/>
          <w:sz w:val="30"/>
          <w:szCs w:val="30"/>
          <w:highlight w:val="none"/>
          <w:lang w:val="en-US" w:eastAsia="zh-CN"/>
        </w:rPr>
        <w:t>8.3货物、服务类造价咨询业绩</w:t>
      </w:r>
      <w:bookmarkEnd w:id="683"/>
    </w:p>
    <w:p w14:paraId="6F4E0C57">
      <w:pPr>
        <w:autoSpaceDE w:val="0"/>
        <w:autoSpaceDN w:val="0"/>
        <w:adjustRightInd w:val="0"/>
        <w:spacing w:line="360" w:lineRule="auto"/>
        <w:jc w:val="center"/>
        <w:outlineLvl w:val="1"/>
        <w:rPr>
          <w:rFonts w:hint="eastAsia" w:ascii="宋体" w:hAnsi="宋体" w:eastAsia="宋体" w:cs="宋体"/>
          <w:b/>
          <w:bCs/>
          <w:color w:val="auto"/>
          <w:sz w:val="30"/>
          <w:szCs w:val="30"/>
          <w:highlight w:val="none"/>
          <w:lang w:val="en-US" w:eastAsia="zh-CN"/>
        </w:rPr>
      </w:pPr>
      <w:bookmarkStart w:id="684" w:name="_Toc15042"/>
      <w:r>
        <w:rPr>
          <w:rFonts w:hint="eastAsia" w:ascii="宋体" w:hAnsi="宋体" w:eastAsia="宋体" w:cs="宋体"/>
          <w:b/>
          <w:bCs/>
          <w:color w:val="auto"/>
          <w:sz w:val="30"/>
          <w:szCs w:val="30"/>
          <w:highlight w:val="none"/>
          <w:lang w:val="zh-CN" w:eastAsia="zh-CN"/>
        </w:rPr>
        <w:t>202</w:t>
      </w:r>
      <w:r>
        <w:rPr>
          <w:rFonts w:hint="eastAsia" w:ascii="宋体" w:hAnsi="宋体" w:eastAsia="宋体" w:cs="宋体"/>
          <w:b/>
          <w:bCs/>
          <w:color w:val="auto"/>
          <w:sz w:val="30"/>
          <w:szCs w:val="30"/>
          <w:highlight w:val="none"/>
          <w:lang w:val="en-US" w:eastAsia="zh-CN"/>
        </w:rPr>
        <w:t>2</w:t>
      </w:r>
      <w:r>
        <w:rPr>
          <w:rFonts w:hint="eastAsia" w:ascii="宋体" w:hAnsi="宋体" w:eastAsia="宋体" w:cs="宋体"/>
          <w:b/>
          <w:bCs/>
          <w:color w:val="auto"/>
          <w:sz w:val="30"/>
          <w:szCs w:val="30"/>
          <w:highlight w:val="none"/>
          <w:lang w:val="zh-CN" w:eastAsia="zh-CN"/>
        </w:rPr>
        <w:t>年1月1日至今</w:t>
      </w:r>
      <w:r>
        <w:rPr>
          <w:rFonts w:hint="eastAsia" w:ascii="宋体" w:hAnsi="宋体" w:eastAsia="宋体" w:cs="宋体"/>
          <w:b/>
          <w:bCs/>
          <w:color w:val="auto"/>
          <w:sz w:val="30"/>
          <w:szCs w:val="30"/>
          <w:highlight w:val="none"/>
          <w:lang w:val="en-US" w:eastAsia="zh-CN"/>
        </w:rPr>
        <w:t>承接</w:t>
      </w:r>
      <w:r>
        <w:rPr>
          <w:rFonts w:hint="eastAsia" w:ascii="宋体" w:hAnsi="宋体" w:eastAsia="宋体" w:cs="宋体"/>
          <w:b/>
          <w:bCs/>
          <w:color w:val="auto"/>
          <w:sz w:val="30"/>
          <w:szCs w:val="30"/>
          <w:highlight w:val="none"/>
          <w:lang w:val="zh-CN" w:eastAsia="zh-CN"/>
        </w:rPr>
        <w:t>的货物、服务类造价咨询业绩情况表</w:t>
      </w:r>
      <w:bookmarkEnd w:id="684"/>
    </w:p>
    <w:tbl>
      <w:tblPr>
        <w:tblStyle w:val="44"/>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65"/>
        <w:gridCol w:w="2492"/>
        <w:gridCol w:w="1924"/>
        <w:gridCol w:w="2179"/>
        <w:gridCol w:w="1095"/>
        <w:gridCol w:w="1911"/>
      </w:tblGrid>
      <w:tr w14:paraId="6A75F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369" w:type="pct"/>
            <w:tcBorders>
              <w:top w:val="single" w:color="auto" w:sz="4" w:space="0"/>
              <w:left w:val="single" w:color="auto" w:sz="4" w:space="0"/>
              <w:bottom w:val="single" w:color="auto" w:sz="4" w:space="0"/>
              <w:right w:val="single" w:color="auto" w:sz="4" w:space="0"/>
            </w:tcBorders>
            <w:vAlign w:val="center"/>
          </w:tcPr>
          <w:p w14:paraId="6D24EA7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序号</w:t>
            </w:r>
          </w:p>
        </w:tc>
        <w:tc>
          <w:tcPr>
            <w:tcW w:w="1202" w:type="pct"/>
            <w:tcBorders>
              <w:top w:val="single" w:color="auto" w:sz="4" w:space="0"/>
              <w:left w:val="single" w:color="auto" w:sz="4" w:space="0"/>
              <w:bottom w:val="single" w:color="auto" w:sz="4" w:space="0"/>
              <w:right w:val="single" w:color="auto" w:sz="4" w:space="0"/>
            </w:tcBorders>
            <w:vAlign w:val="center"/>
          </w:tcPr>
          <w:p w14:paraId="7D07300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项目名称</w:t>
            </w:r>
          </w:p>
        </w:tc>
        <w:tc>
          <w:tcPr>
            <w:tcW w:w="928" w:type="pct"/>
            <w:tcBorders>
              <w:top w:val="single" w:color="auto" w:sz="4" w:space="0"/>
              <w:left w:val="single" w:color="auto" w:sz="4" w:space="0"/>
              <w:bottom w:val="single" w:color="auto" w:sz="4" w:space="0"/>
              <w:right w:val="single" w:color="auto" w:sz="4" w:space="0"/>
            </w:tcBorders>
            <w:vAlign w:val="center"/>
          </w:tcPr>
          <w:p w14:paraId="62ADB99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业主方名称</w:t>
            </w:r>
          </w:p>
        </w:tc>
        <w:tc>
          <w:tcPr>
            <w:tcW w:w="1051" w:type="pct"/>
            <w:tcBorders>
              <w:top w:val="single" w:color="auto" w:sz="4" w:space="0"/>
              <w:left w:val="single" w:color="auto" w:sz="4" w:space="0"/>
              <w:bottom w:val="single" w:color="auto" w:sz="4" w:space="0"/>
              <w:right w:val="single" w:color="auto" w:sz="4" w:space="0"/>
            </w:tcBorders>
            <w:vAlign w:val="center"/>
          </w:tcPr>
          <w:p w14:paraId="746259F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合同签订时间</w:t>
            </w:r>
          </w:p>
        </w:tc>
        <w:tc>
          <w:tcPr>
            <w:tcW w:w="528" w:type="pct"/>
            <w:tcBorders>
              <w:top w:val="single" w:color="auto" w:sz="4" w:space="0"/>
              <w:left w:val="single" w:color="auto" w:sz="4" w:space="0"/>
              <w:bottom w:val="single" w:color="auto" w:sz="4" w:space="0"/>
              <w:right w:val="single" w:color="auto" w:sz="4" w:space="0"/>
            </w:tcBorders>
            <w:vAlign w:val="center"/>
          </w:tcPr>
          <w:p w14:paraId="61BB20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lang w:val="zh-CN"/>
              </w:rPr>
              <w:t>完成情况</w:t>
            </w:r>
          </w:p>
        </w:tc>
        <w:tc>
          <w:tcPr>
            <w:tcW w:w="917" w:type="pct"/>
            <w:tcBorders>
              <w:top w:val="single" w:color="auto" w:sz="4" w:space="0"/>
              <w:left w:val="single" w:color="auto" w:sz="4" w:space="0"/>
              <w:bottom w:val="single" w:color="auto" w:sz="4" w:space="0"/>
              <w:right w:val="single" w:color="auto" w:sz="4" w:space="0"/>
            </w:tcBorders>
            <w:vAlign w:val="center"/>
          </w:tcPr>
          <w:p w14:paraId="5EC7F79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业主</w:t>
            </w:r>
            <w:r>
              <w:rPr>
                <w:rFonts w:hint="eastAsia" w:ascii="宋体" w:hAnsi="宋体" w:eastAsia="宋体" w:cs="宋体"/>
                <w:color w:val="auto"/>
                <w:kern w:val="2"/>
                <w:sz w:val="21"/>
                <w:szCs w:val="21"/>
                <w:highlight w:val="none"/>
                <w:lang w:val="zh-CN"/>
              </w:rPr>
              <w:t>电话及联系人</w:t>
            </w:r>
          </w:p>
        </w:tc>
      </w:tr>
      <w:tr w14:paraId="0255F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7AAEA4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一、货物类造价咨询业绩</w:t>
            </w:r>
          </w:p>
        </w:tc>
      </w:tr>
      <w:tr w14:paraId="4AE41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69" w:type="pct"/>
            <w:tcBorders>
              <w:top w:val="single" w:color="auto" w:sz="4" w:space="0"/>
              <w:left w:val="single" w:color="auto" w:sz="4" w:space="0"/>
              <w:bottom w:val="single" w:color="auto" w:sz="4" w:space="0"/>
              <w:right w:val="single" w:color="auto" w:sz="4" w:space="0"/>
            </w:tcBorders>
            <w:vAlign w:val="center"/>
          </w:tcPr>
          <w:p w14:paraId="0DB214B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zh-CN"/>
              </w:rPr>
            </w:pPr>
          </w:p>
        </w:tc>
        <w:tc>
          <w:tcPr>
            <w:tcW w:w="1202" w:type="pct"/>
            <w:tcBorders>
              <w:top w:val="single" w:color="auto" w:sz="4" w:space="0"/>
              <w:left w:val="single" w:color="auto" w:sz="4" w:space="0"/>
              <w:bottom w:val="single" w:color="auto" w:sz="4" w:space="0"/>
              <w:right w:val="single" w:color="auto" w:sz="4" w:space="0"/>
            </w:tcBorders>
            <w:vAlign w:val="center"/>
          </w:tcPr>
          <w:p w14:paraId="3FA41EE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28" w:type="pct"/>
            <w:tcBorders>
              <w:top w:val="single" w:color="auto" w:sz="4" w:space="0"/>
              <w:left w:val="single" w:color="auto" w:sz="4" w:space="0"/>
              <w:bottom w:val="single" w:color="auto" w:sz="4" w:space="0"/>
              <w:right w:val="single" w:color="auto" w:sz="4" w:space="0"/>
            </w:tcBorders>
            <w:vAlign w:val="center"/>
          </w:tcPr>
          <w:p w14:paraId="2BF9D12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51" w:type="pct"/>
            <w:tcBorders>
              <w:top w:val="single" w:color="auto" w:sz="4" w:space="0"/>
              <w:left w:val="single" w:color="auto" w:sz="4" w:space="0"/>
              <w:bottom w:val="single" w:color="auto" w:sz="4" w:space="0"/>
              <w:right w:val="single" w:color="auto" w:sz="4" w:space="0"/>
            </w:tcBorders>
            <w:vAlign w:val="center"/>
          </w:tcPr>
          <w:p w14:paraId="24463E9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29970B5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17" w:type="pct"/>
            <w:tcBorders>
              <w:top w:val="single" w:color="auto" w:sz="4" w:space="0"/>
              <w:left w:val="single" w:color="auto" w:sz="4" w:space="0"/>
              <w:bottom w:val="single" w:color="auto" w:sz="4" w:space="0"/>
              <w:right w:val="single" w:color="auto" w:sz="4" w:space="0"/>
            </w:tcBorders>
            <w:vAlign w:val="center"/>
          </w:tcPr>
          <w:p w14:paraId="4318C20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56B2E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69" w:type="pct"/>
            <w:tcBorders>
              <w:top w:val="single" w:color="auto" w:sz="4" w:space="0"/>
              <w:left w:val="single" w:color="auto" w:sz="4" w:space="0"/>
              <w:bottom w:val="single" w:color="auto" w:sz="4" w:space="0"/>
              <w:right w:val="single" w:color="auto" w:sz="4" w:space="0"/>
            </w:tcBorders>
            <w:vAlign w:val="center"/>
          </w:tcPr>
          <w:p w14:paraId="0D0C988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zh-CN"/>
              </w:rPr>
            </w:pPr>
          </w:p>
        </w:tc>
        <w:tc>
          <w:tcPr>
            <w:tcW w:w="1202" w:type="pct"/>
            <w:tcBorders>
              <w:top w:val="single" w:color="auto" w:sz="4" w:space="0"/>
              <w:left w:val="single" w:color="auto" w:sz="4" w:space="0"/>
              <w:bottom w:val="single" w:color="auto" w:sz="4" w:space="0"/>
              <w:right w:val="single" w:color="auto" w:sz="4" w:space="0"/>
            </w:tcBorders>
            <w:vAlign w:val="center"/>
          </w:tcPr>
          <w:p w14:paraId="3B18A9F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28" w:type="pct"/>
            <w:tcBorders>
              <w:top w:val="single" w:color="auto" w:sz="4" w:space="0"/>
              <w:left w:val="single" w:color="auto" w:sz="4" w:space="0"/>
              <w:bottom w:val="single" w:color="auto" w:sz="4" w:space="0"/>
              <w:right w:val="single" w:color="auto" w:sz="4" w:space="0"/>
            </w:tcBorders>
            <w:vAlign w:val="center"/>
          </w:tcPr>
          <w:p w14:paraId="5D596A3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51" w:type="pct"/>
            <w:tcBorders>
              <w:top w:val="single" w:color="auto" w:sz="4" w:space="0"/>
              <w:left w:val="single" w:color="auto" w:sz="4" w:space="0"/>
              <w:bottom w:val="single" w:color="auto" w:sz="4" w:space="0"/>
              <w:right w:val="single" w:color="auto" w:sz="4" w:space="0"/>
            </w:tcBorders>
            <w:vAlign w:val="center"/>
          </w:tcPr>
          <w:p w14:paraId="3502C4C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050BC5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17" w:type="pct"/>
            <w:tcBorders>
              <w:top w:val="single" w:color="auto" w:sz="4" w:space="0"/>
              <w:left w:val="single" w:color="auto" w:sz="4" w:space="0"/>
              <w:bottom w:val="single" w:color="auto" w:sz="4" w:space="0"/>
              <w:right w:val="single" w:color="auto" w:sz="4" w:space="0"/>
            </w:tcBorders>
            <w:vAlign w:val="center"/>
          </w:tcPr>
          <w:p w14:paraId="6139E19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1FE19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69" w:type="pct"/>
            <w:tcBorders>
              <w:top w:val="single" w:color="auto" w:sz="4" w:space="0"/>
              <w:left w:val="single" w:color="auto" w:sz="4" w:space="0"/>
              <w:bottom w:val="single" w:color="auto" w:sz="4" w:space="0"/>
              <w:right w:val="single" w:color="auto" w:sz="4" w:space="0"/>
            </w:tcBorders>
            <w:vAlign w:val="center"/>
          </w:tcPr>
          <w:p w14:paraId="59DAEDC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02" w:type="pct"/>
            <w:tcBorders>
              <w:top w:val="single" w:color="auto" w:sz="4" w:space="0"/>
              <w:left w:val="single" w:color="auto" w:sz="4" w:space="0"/>
              <w:bottom w:val="single" w:color="auto" w:sz="4" w:space="0"/>
              <w:right w:val="single" w:color="auto" w:sz="4" w:space="0"/>
            </w:tcBorders>
            <w:vAlign w:val="center"/>
          </w:tcPr>
          <w:p w14:paraId="664DAB2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28" w:type="pct"/>
            <w:tcBorders>
              <w:top w:val="single" w:color="auto" w:sz="4" w:space="0"/>
              <w:left w:val="single" w:color="auto" w:sz="4" w:space="0"/>
              <w:bottom w:val="single" w:color="auto" w:sz="4" w:space="0"/>
              <w:right w:val="single" w:color="auto" w:sz="4" w:space="0"/>
            </w:tcBorders>
            <w:vAlign w:val="center"/>
          </w:tcPr>
          <w:p w14:paraId="1BB21E4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51" w:type="pct"/>
            <w:tcBorders>
              <w:top w:val="single" w:color="auto" w:sz="4" w:space="0"/>
              <w:left w:val="single" w:color="auto" w:sz="4" w:space="0"/>
              <w:bottom w:val="single" w:color="auto" w:sz="4" w:space="0"/>
              <w:right w:val="single" w:color="auto" w:sz="4" w:space="0"/>
            </w:tcBorders>
            <w:vAlign w:val="center"/>
          </w:tcPr>
          <w:p w14:paraId="04BD589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5FFD66D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17" w:type="pct"/>
            <w:tcBorders>
              <w:top w:val="single" w:color="auto" w:sz="4" w:space="0"/>
              <w:left w:val="single" w:color="auto" w:sz="4" w:space="0"/>
              <w:bottom w:val="single" w:color="auto" w:sz="4" w:space="0"/>
              <w:right w:val="single" w:color="auto" w:sz="4" w:space="0"/>
            </w:tcBorders>
            <w:vAlign w:val="center"/>
          </w:tcPr>
          <w:p w14:paraId="1F16A68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787F1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1F1A364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二、服务类造价咨询业绩</w:t>
            </w:r>
          </w:p>
        </w:tc>
      </w:tr>
      <w:tr w14:paraId="1010C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69" w:type="pct"/>
            <w:tcBorders>
              <w:top w:val="single" w:color="auto" w:sz="4" w:space="0"/>
              <w:left w:val="single" w:color="auto" w:sz="4" w:space="0"/>
              <w:bottom w:val="single" w:color="auto" w:sz="4" w:space="0"/>
              <w:right w:val="single" w:color="auto" w:sz="4" w:space="0"/>
            </w:tcBorders>
            <w:vAlign w:val="center"/>
          </w:tcPr>
          <w:p w14:paraId="4C31900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02" w:type="pct"/>
            <w:tcBorders>
              <w:top w:val="single" w:color="auto" w:sz="4" w:space="0"/>
              <w:left w:val="single" w:color="auto" w:sz="4" w:space="0"/>
              <w:bottom w:val="single" w:color="auto" w:sz="4" w:space="0"/>
              <w:right w:val="single" w:color="auto" w:sz="4" w:space="0"/>
            </w:tcBorders>
            <w:vAlign w:val="center"/>
          </w:tcPr>
          <w:p w14:paraId="150608D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28" w:type="pct"/>
            <w:tcBorders>
              <w:top w:val="single" w:color="auto" w:sz="4" w:space="0"/>
              <w:left w:val="single" w:color="auto" w:sz="4" w:space="0"/>
              <w:bottom w:val="single" w:color="auto" w:sz="4" w:space="0"/>
              <w:right w:val="single" w:color="auto" w:sz="4" w:space="0"/>
            </w:tcBorders>
            <w:vAlign w:val="center"/>
          </w:tcPr>
          <w:p w14:paraId="07FC2EC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51" w:type="pct"/>
            <w:tcBorders>
              <w:top w:val="single" w:color="auto" w:sz="4" w:space="0"/>
              <w:left w:val="single" w:color="auto" w:sz="4" w:space="0"/>
              <w:bottom w:val="single" w:color="auto" w:sz="4" w:space="0"/>
              <w:right w:val="single" w:color="auto" w:sz="4" w:space="0"/>
            </w:tcBorders>
            <w:vAlign w:val="center"/>
          </w:tcPr>
          <w:p w14:paraId="04359C3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0BE754D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17" w:type="pct"/>
            <w:tcBorders>
              <w:top w:val="single" w:color="auto" w:sz="4" w:space="0"/>
              <w:left w:val="single" w:color="auto" w:sz="4" w:space="0"/>
              <w:bottom w:val="single" w:color="auto" w:sz="4" w:space="0"/>
              <w:right w:val="single" w:color="auto" w:sz="4" w:space="0"/>
            </w:tcBorders>
            <w:vAlign w:val="center"/>
          </w:tcPr>
          <w:p w14:paraId="0CFDB94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DCBA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69" w:type="pct"/>
            <w:tcBorders>
              <w:top w:val="single" w:color="auto" w:sz="4" w:space="0"/>
              <w:left w:val="single" w:color="auto" w:sz="4" w:space="0"/>
              <w:bottom w:val="single" w:color="auto" w:sz="4" w:space="0"/>
              <w:right w:val="single" w:color="auto" w:sz="4" w:space="0"/>
            </w:tcBorders>
            <w:vAlign w:val="center"/>
          </w:tcPr>
          <w:p w14:paraId="492B138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02" w:type="pct"/>
            <w:tcBorders>
              <w:top w:val="single" w:color="auto" w:sz="4" w:space="0"/>
              <w:left w:val="single" w:color="auto" w:sz="4" w:space="0"/>
              <w:bottom w:val="single" w:color="auto" w:sz="4" w:space="0"/>
              <w:right w:val="single" w:color="auto" w:sz="4" w:space="0"/>
            </w:tcBorders>
            <w:vAlign w:val="center"/>
          </w:tcPr>
          <w:p w14:paraId="7682E8B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28" w:type="pct"/>
            <w:tcBorders>
              <w:top w:val="single" w:color="auto" w:sz="4" w:space="0"/>
              <w:left w:val="single" w:color="auto" w:sz="4" w:space="0"/>
              <w:bottom w:val="single" w:color="auto" w:sz="4" w:space="0"/>
              <w:right w:val="single" w:color="auto" w:sz="4" w:space="0"/>
            </w:tcBorders>
            <w:vAlign w:val="center"/>
          </w:tcPr>
          <w:p w14:paraId="6303941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51" w:type="pct"/>
            <w:tcBorders>
              <w:top w:val="single" w:color="auto" w:sz="4" w:space="0"/>
              <w:left w:val="single" w:color="auto" w:sz="4" w:space="0"/>
              <w:bottom w:val="single" w:color="auto" w:sz="4" w:space="0"/>
              <w:right w:val="single" w:color="auto" w:sz="4" w:space="0"/>
            </w:tcBorders>
            <w:vAlign w:val="center"/>
          </w:tcPr>
          <w:p w14:paraId="1E46E74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61B20D3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17" w:type="pct"/>
            <w:tcBorders>
              <w:top w:val="single" w:color="auto" w:sz="4" w:space="0"/>
              <w:left w:val="single" w:color="auto" w:sz="4" w:space="0"/>
              <w:bottom w:val="single" w:color="auto" w:sz="4" w:space="0"/>
              <w:right w:val="single" w:color="auto" w:sz="4" w:space="0"/>
            </w:tcBorders>
            <w:vAlign w:val="center"/>
          </w:tcPr>
          <w:p w14:paraId="5E4504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6681D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69" w:type="pct"/>
            <w:tcBorders>
              <w:top w:val="single" w:color="auto" w:sz="4" w:space="0"/>
              <w:left w:val="single" w:color="auto" w:sz="4" w:space="0"/>
              <w:bottom w:val="single" w:color="auto" w:sz="4" w:space="0"/>
              <w:right w:val="single" w:color="auto" w:sz="4" w:space="0"/>
            </w:tcBorders>
            <w:vAlign w:val="center"/>
          </w:tcPr>
          <w:p w14:paraId="2C1CDE9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02" w:type="pct"/>
            <w:tcBorders>
              <w:top w:val="single" w:color="auto" w:sz="4" w:space="0"/>
              <w:left w:val="single" w:color="auto" w:sz="4" w:space="0"/>
              <w:bottom w:val="single" w:color="auto" w:sz="4" w:space="0"/>
              <w:right w:val="single" w:color="auto" w:sz="4" w:space="0"/>
            </w:tcBorders>
            <w:vAlign w:val="center"/>
          </w:tcPr>
          <w:p w14:paraId="2970A22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28" w:type="pct"/>
            <w:tcBorders>
              <w:top w:val="single" w:color="auto" w:sz="4" w:space="0"/>
              <w:left w:val="single" w:color="auto" w:sz="4" w:space="0"/>
              <w:bottom w:val="single" w:color="auto" w:sz="4" w:space="0"/>
              <w:right w:val="single" w:color="auto" w:sz="4" w:space="0"/>
            </w:tcBorders>
            <w:vAlign w:val="center"/>
          </w:tcPr>
          <w:p w14:paraId="3FE2A93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51" w:type="pct"/>
            <w:tcBorders>
              <w:top w:val="single" w:color="auto" w:sz="4" w:space="0"/>
              <w:left w:val="single" w:color="auto" w:sz="4" w:space="0"/>
              <w:bottom w:val="single" w:color="auto" w:sz="4" w:space="0"/>
              <w:right w:val="single" w:color="auto" w:sz="4" w:space="0"/>
            </w:tcBorders>
            <w:vAlign w:val="center"/>
          </w:tcPr>
          <w:p w14:paraId="750A15F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5B87E4D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17" w:type="pct"/>
            <w:tcBorders>
              <w:top w:val="single" w:color="auto" w:sz="4" w:space="0"/>
              <w:left w:val="single" w:color="auto" w:sz="4" w:space="0"/>
              <w:bottom w:val="single" w:color="auto" w:sz="4" w:space="0"/>
              <w:right w:val="single" w:color="auto" w:sz="4" w:space="0"/>
            </w:tcBorders>
            <w:vAlign w:val="center"/>
          </w:tcPr>
          <w:p w14:paraId="6049AD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0D31E57B">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rPr>
      </w:pPr>
    </w:p>
    <w:p w14:paraId="6F14D83E">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04E9BC40">
      <w:pPr>
        <w:numPr>
          <w:ilvl w:val="0"/>
          <w:numId w:val="0"/>
        </w:numPr>
        <w:snapToGrid w:val="0"/>
        <w:spacing w:line="360" w:lineRule="auto"/>
        <w:ind w:left="481" w:leftChars="-4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lang w:val="zh-CN"/>
        </w:rPr>
        <w:t>）同一个单项合同的业绩可以同时在资格业绩和评分业绩重复放置；</w:t>
      </w:r>
    </w:p>
    <w:p w14:paraId="30DC366C">
      <w:pPr>
        <w:keepNext w:val="0"/>
        <w:keepLines w:val="0"/>
        <w:numPr>
          <w:ilvl w:val="0"/>
          <w:numId w:val="0"/>
        </w:numPr>
        <w:suppressLineNumbers w:val="0"/>
        <w:autoSpaceDE w:val="0"/>
        <w:autoSpaceDN w:val="0"/>
        <w:adjustRightInd w:val="0"/>
        <w:snapToGrid w:val="0"/>
        <w:spacing w:before="0" w:beforeAutospacing="0" w:after="0" w:afterAutospacing="0" w:line="360" w:lineRule="auto"/>
        <w:ind w:left="481" w:leftChars="-41" w:right="0" w:hanging="567" w:hangingChars="270"/>
        <w:jc w:val="left"/>
        <w:rPr>
          <w:rFonts w:hint="eastAsia" w:ascii="宋体" w:hAnsi="宋体" w:eastAsia="宋体" w:cs="宋体"/>
          <w:color w:val="auto"/>
          <w:szCs w:val="24"/>
          <w:highlight w:val="none"/>
          <w:lang w:val="zh-CN"/>
        </w:rPr>
      </w:pPr>
      <w:r>
        <w:rPr>
          <w:rFonts w:hint="eastAsia" w:ascii="宋体" w:hAnsi="宋体" w:eastAsia="宋体" w:cs="宋体"/>
          <w:color w:val="auto"/>
          <w:kern w:val="2"/>
          <w:sz w:val="21"/>
          <w:szCs w:val="24"/>
          <w:highlight w:val="none"/>
          <w:lang w:val="zh-CN" w:eastAsia="zh-CN" w:bidi="ar-SA"/>
        </w:rPr>
        <w:t>（2）</w:t>
      </w:r>
      <w:r>
        <w:rPr>
          <w:rFonts w:hint="eastAsia" w:ascii="宋体" w:hAnsi="宋体" w:eastAsia="宋体" w:cs="宋体"/>
          <w:color w:val="auto"/>
          <w:szCs w:val="24"/>
          <w:highlight w:val="none"/>
          <w:lang w:val="zh-CN"/>
        </w:rPr>
        <w:t>业绩须附合同及项目的相关成果文件关键页</w:t>
      </w:r>
      <w:r>
        <w:rPr>
          <w:rFonts w:hint="eastAsia" w:ascii="宋体" w:hAnsi="宋体" w:eastAsia="宋体" w:cs="宋体"/>
          <w:b/>
          <w:bCs/>
          <w:color w:val="auto"/>
          <w:sz w:val="21"/>
          <w:szCs w:val="21"/>
          <w:highlight w:val="none"/>
          <w:lang w:val="en-US" w:eastAsia="zh-CN"/>
        </w:rPr>
        <w:t>扫描件</w:t>
      </w:r>
      <w:r>
        <w:rPr>
          <w:rFonts w:hint="eastAsia" w:ascii="宋体" w:hAnsi="宋体" w:eastAsia="宋体" w:cs="宋体"/>
          <w:color w:val="auto"/>
          <w:szCs w:val="24"/>
          <w:highlight w:val="none"/>
          <w:lang w:val="zh-CN"/>
        </w:rPr>
        <w:t>加盖投标人公章，否则不得分；</w:t>
      </w:r>
    </w:p>
    <w:p w14:paraId="1A094807">
      <w:pPr>
        <w:numPr>
          <w:ilvl w:val="0"/>
          <w:numId w:val="0"/>
        </w:numPr>
        <w:autoSpaceDE w:val="0"/>
        <w:autoSpaceDN w:val="0"/>
        <w:adjustRightInd w:val="0"/>
        <w:snapToGrid w:val="0"/>
        <w:spacing w:line="360" w:lineRule="auto"/>
        <w:ind w:left="481" w:leftChars="-41" w:hanging="567" w:hangingChars="270"/>
        <w:jc w:val="left"/>
        <w:rPr>
          <w:rFonts w:hint="eastAsia" w:ascii="宋体" w:hAnsi="宋体" w:eastAsia="宋体" w:cs="宋体"/>
          <w:b/>
          <w:bCs/>
          <w:color w:val="auto"/>
          <w:sz w:val="21"/>
          <w:szCs w:val="21"/>
          <w:highlight w:val="none"/>
          <w:lang w:val="zh-CN"/>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lang w:val="zh-CN"/>
        </w:rPr>
        <w:t>）</w:t>
      </w:r>
      <w:r>
        <w:rPr>
          <w:rFonts w:hint="eastAsia" w:ascii="宋体" w:hAnsi="宋体" w:eastAsia="宋体" w:cs="宋体"/>
          <w:b/>
          <w:bCs/>
          <w:color w:val="auto"/>
          <w:sz w:val="21"/>
          <w:szCs w:val="21"/>
          <w:highlight w:val="none"/>
          <w:lang w:val="zh-CN"/>
        </w:rPr>
        <w:t>若业绩合同为框架式协议或资格入围的，须同时提供</w:t>
      </w:r>
      <w:r>
        <w:rPr>
          <w:rFonts w:hint="eastAsia" w:ascii="宋体" w:hAnsi="宋体" w:eastAsia="宋体" w:cs="宋体"/>
          <w:b/>
          <w:bCs/>
          <w:color w:val="auto"/>
          <w:sz w:val="21"/>
          <w:szCs w:val="21"/>
          <w:highlight w:val="none"/>
          <w:lang w:val="en-US" w:eastAsia="zh-CN"/>
        </w:rPr>
        <w:t>框架协议合同（或资格入围合同）</w:t>
      </w:r>
      <w:r>
        <w:rPr>
          <w:rFonts w:hint="eastAsia" w:ascii="宋体" w:hAnsi="宋体" w:eastAsia="宋体" w:cs="宋体"/>
          <w:b/>
          <w:bCs/>
          <w:color w:val="auto"/>
          <w:sz w:val="21"/>
          <w:szCs w:val="21"/>
          <w:highlight w:val="none"/>
          <w:lang w:val="zh-CN"/>
        </w:rPr>
        <w:t>及合同期内对应的项目成果文件，按成果文件数量计算得分；</w:t>
      </w:r>
    </w:p>
    <w:p w14:paraId="28CAEF36">
      <w:pPr>
        <w:numPr>
          <w:ilvl w:val="0"/>
          <w:numId w:val="0"/>
        </w:num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lang w:val="zh-CN"/>
        </w:rPr>
        <w:t>）</w:t>
      </w:r>
      <w:r>
        <w:rPr>
          <w:rFonts w:hint="eastAsia" w:ascii="宋体" w:hAnsi="宋体" w:eastAsia="宋体" w:cs="宋体"/>
          <w:b/>
          <w:color w:val="auto"/>
          <w:szCs w:val="21"/>
          <w:highlight w:val="none"/>
          <w:lang w:val="en-US" w:eastAsia="zh-CN"/>
        </w:rPr>
        <w:t>若</w:t>
      </w:r>
      <w:r>
        <w:rPr>
          <w:rFonts w:hint="eastAsia" w:ascii="宋体" w:hAnsi="宋体" w:eastAsia="宋体" w:cs="宋体"/>
          <w:b/>
          <w:color w:val="auto"/>
          <w:sz w:val="21"/>
          <w:szCs w:val="21"/>
          <w:highlight w:val="none"/>
        </w:rPr>
        <w:t>合同等业绩证明材料</w:t>
      </w:r>
      <w:r>
        <w:rPr>
          <w:rFonts w:hint="eastAsia" w:ascii="宋体" w:hAnsi="宋体" w:eastAsia="宋体" w:cs="宋体"/>
          <w:b/>
          <w:color w:val="auto"/>
          <w:sz w:val="21"/>
          <w:szCs w:val="21"/>
          <w:highlight w:val="none"/>
          <w:lang w:val="en-US" w:eastAsia="zh-CN"/>
        </w:rPr>
        <w:t>无法</w:t>
      </w:r>
      <w:r>
        <w:rPr>
          <w:rFonts w:hint="eastAsia" w:ascii="宋体" w:hAnsi="宋体" w:eastAsia="宋体" w:cs="宋体"/>
          <w:b/>
          <w:color w:val="auto"/>
          <w:sz w:val="21"/>
          <w:szCs w:val="21"/>
          <w:highlight w:val="none"/>
        </w:rPr>
        <w:t>反映评分条件[合同签订日期为202</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年1月1日或以后，合同标的必须为</w:t>
      </w:r>
      <w:r>
        <w:rPr>
          <w:rFonts w:hint="eastAsia" w:ascii="宋体" w:hAnsi="宋体" w:eastAsia="宋体" w:cs="宋体"/>
          <w:b/>
          <w:color w:val="auto"/>
          <w:sz w:val="21"/>
          <w:szCs w:val="21"/>
          <w:highlight w:val="none"/>
          <w:lang w:val="en-US" w:eastAsia="zh-CN"/>
        </w:rPr>
        <w:t>货物、服务类造价咨询业绩</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的</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还</w:t>
      </w:r>
      <w:r>
        <w:rPr>
          <w:rFonts w:hint="eastAsia" w:ascii="宋体" w:hAnsi="宋体" w:eastAsia="宋体" w:cs="宋体"/>
          <w:b/>
          <w:color w:val="auto"/>
          <w:sz w:val="21"/>
          <w:szCs w:val="21"/>
          <w:highlight w:val="none"/>
        </w:rPr>
        <w:t>需同时提供业主</w:t>
      </w:r>
      <w:r>
        <w:rPr>
          <w:rFonts w:hint="eastAsia" w:ascii="宋体" w:hAnsi="宋体" w:eastAsia="宋体" w:cs="宋体"/>
          <w:b/>
          <w:color w:val="auto"/>
          <w:sz w:val="21"/>
          <w:szCs w:val="21"/>
          <w:highlight w:val="none"/>
          <w:lang w:val="en-US" w:eastAsia="zh-CN"/>
        </w:rPr>
        <w:t>方</w:t>
      </w:r>
      <w:r>
        <w:rPr>
          <w:rFonts w:hint="eastAsia" w:ascii="宋体" w:hAnsi="宋体" w:eastAsia="宋体" w:cs="宋体"/>
          <w:b/>
          <w:color w:val="auto"/>
          <w:sz w:val="21"/>
          <w:szCs w:val="21"/>
          <w:highlight w:val="none"/>
        </w:rPr>
        <w:t>出具的书面补充情况说明文件</w:t>
      </w:r>
      <w:r>
        <w:rPr>
          <w:rFonts w:hint="eastAsia" w:ascii="宋体" w:hAnsi="宋体" w:eastAsia="宋体" w:cs="宋体"/>
          <w:b/>
          <w:bCs/>
          <w:color w:val="auto"/>
          <w:sz w:val="21"/>
          <w:szCs w:val="21"/>
          <w:highlight w:val="none"/>
          <w:lang w:val="en-US" w:eastAsia="zh-CN"/>
        </w:rPr>
        <w:t>扫描件</w:t>
      </w: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shd w:val="clear" w:color="auto" w:fill="FFFFFF"/>
        </w:rPr>
        <w:t>补充情况说明文件</w:t>
      </w:r>
      <w:r>
        <w:rPr>
          <w:rFonts w:hint="eastAsia" w:ascii="宋体" w:hAnsi="宋体" w:eastAsia="宋体" w:cs="宋体"/>
          <w:b/>
          <w:bCs/>
          <w:color w:val="auto"/>
          <w:sz w:val="21"/>
          <w:szCs w:val="21"/>
          <w:highlight w:val="none"/>
          <w:lang w:val="en-US" w:eastAsia="zh-CN"/>
        </w:rPr>
        <w:t>扫描件</w:t>
      </w:r>
      <w:r>
        <w:rPr>
          <w:rFonts w:hint="eastAsia" w:ascii="宋体" w:hAnsi="宋体" w:eastAsia="宋体" w:cs="宋体"/>
          <w:b/>
          <w:bCs/>
          <w:color w:val="auto"/>
          <w:szCs w:val="21"/>
          <w:highlight w:val="none"/>
          <w:shd w:val="clear" w:color="auto" w:fill="FFFFFF"/>
        </w:rPr>
        <w:t>能显示</w:t>
      </w:r>
      <w:r>
        <w:rPr>
          <w:rFonts w:hint="eastAsia" w:ascii="宋体" w:hAnsi="宋体" w:eastAsia="宋体" w:cs="宋体"/>
          <w:b/>
          <w:bCs/>
          <w:color w:val="auto"/>
          <w:szCs w:val="21"/>
          <w:highlight w:val="none"/>
          <w:shd w:val="clear" w:color="auto" w:fill="FFFFFF"/>
          <w:lang w:val="en-US" w:eastAsia="zh-CN"/>
        </w:rPr>
        <w:t>业主</w:t>
      </w:r>
      <w:r>
        <w:rPr>
          <w:rFonts w:hint="eastAsia" w:ascii="宋体" w:hAnsi="宋体" w:eastAsia="宋体" w:cs="宋体"/>
          <w:b/>
          <w:bCs/>
          <w:color w:val="auto"/>
          <w:szCs w:val="21"/>
          <w:highlight w:val="none"/>
          <w:shd w:val="clear" w:color="auto" w:fill="FFFFFF"/>
        </w:rPr>
        <w:t>方公章</w:t>
      </w:r>
      <w:r>
        <w:rPr>
          <w:rFonts w:hint="eastAsia" w:ascii="宋体" w:hAnsi="宋体" w:eastAsia="宋体" w:cs="宋体"/>
          <w:b/>
          <w:color w:val="auto"/>
          <w:szCs w:val="21"/>
          <w:highlight w:val="none"/>
        </w:rPr>
        <w:t>），否则不得分</w:t>
      </w:r>
      <w:r>
        <w:rPr>
          <w:rFonts w:hint="eastAsia" w:ascii="宋体" w:hAnsi="宋体" w:eastAsia="宋体" w:cs="宋体"/>
          <w:color w:val="auto"/>
          <w:szCs w:val="24"/>
          <w:highlight w:val="none"/>
          <w:lang w:val="zh-CN"/>
        </w:rPr>
        <w:t>；</w:t>
      </w:r>
    </w:p>
    <w:p w14:paraId="41CD555A">
      <w:pPr>
        <w:autoSpaceDE w:val="0"/>
        <w:autoSpaceDN w:val="0"/>
        <w:adjustRightInd w:val="0"/>
        <w:snapToGrid w:val="0"/>
        <w:spacing w:line="360" w:lineRule="auto"/>
        <w:ind w:left="481" w:leftChars="-41" w:hanging="567" w:hangingChars="270"/>
        <w:jc w:val="left"/>
        <w:outlineLvl w:val="1"/>
        <w:rPr>
          <w:rFonts w:hint="eastAsia" w:ascii="宋体" w:hAnsi="宋体" w:eastAsia="宋体" w:cs="宋体"/>
          <w:color w:val="auto"/>
          <w:kern w:val="2"/>
          <w:sz w:val="21"/>
          <w:szCs w:val="21"/>
          <w:highlight w:val="none"/>
          <w:lang w:eastAsia="zh-CN"/>
        </w:rPr>
      </w:pPr>
      <w:bookmarkStart w:id="685" w:name="_Toc1474"/>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val="zh-CN"/>
        </w:rPr>
        <w:t>）</w:t>
      </w:r>
      <w:r>
        <w:rPr>
          <w:rFonts w:hint="eastAsia" w:ascii="宋体" w:hAnsi="宋体" w:eastAsia="宋体" w:cs="宋体"/>
          <w:color w:val="auto"/>
          <w:kern w:val="2"/>
          <w:sz w:val="21"/>
          <w:szCs w:val="21"/>
          <w:highlight w:val="none"/>
        </w:rPr>
        <w:t>业绩不重复计算，由投标人自行放入对应的评分子项</w:t>
      </w:r>
      <w:r>
        <w:rPr>
          <w:rFonts w:hint="eastAsia" w:ascii="宋体" w:hAnsi="宋体" w:eastAsia="宋体" w:cs="宋体"/>
          <w:color w:val="auto"/>
          <w:kern w:val="2"/>
          <w:sz w:val="21"/>
          <w:szCs w:val="21"/>
          <w:highlight w:val="none"/>
          <w:lang w:eastAsia="zh-CN"/>
        </w:rPr>
        <w:t>；</w:t>
      </w:r>
      <w:bookmarkEnd w:id="685"/>
    </w:p>
    <w:p w14:paraId="26CE5703">
      <w:pPr>
        <w:autoSpaceDE w:val="0"/>
        <w:autoSpaceDN w:val="0"/>
        <w:adjustRightInd w:val="0"/>
        <w:snapToGrid w:val="0"/>
        <w:spacing w:line="360" w:lineRule="auto"/>
        <w:ind w:left="481" w:leftChars="-41" w:hanging="567" w:hangingChars="270"/>
        <w:jc w:val="left"/>
        <w:outlineLvl w:val="1"/>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lang w:val="zh-CN"/>
        </w:rPr>
        <w:t>）未按上述要求在此格式下提供证明材料的业绩，或在此格式下所附材料无法证明填报项目符合本项评分要求的业绩，在评标时将不予考虑。</w:t>
      </w:r>
    </w:p>
    <w:p w14:paraId="4D45096C">
      <w:pPr>
        <w:autoSpaceDE w:val="0"/>
        <w:autoSpaceDN w:val="0"/>
        <w:adjustRightInd w:val="0"/>
        <w:spacing w:line="360" w:lineRule="auto"/>
        <w:ind w:firstLine="5040" w:firstLineChars="24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 xml:space="preserve"> </w:t>
      </w:r>
    </w:p>
    <w:p w14:paraId="64059BD5">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113DF838">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5B0B2564">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39CBC5E3">
      <w:pPr>
        <w:widowControl/>
        <w:autoSpaceDE w:val="0"/>
        <w:autoSpaceDN w:val="0"/>
        <w:adjustRightInd w:val="0"/>
        <w:spacing w:line="360" w:lineRule="auto"/>
        <w:jc w:val="center"/>
        <w:rPr>
          <w:rFonts w:hint="eastAsia"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bookmarkEnd w:id="677"/>
      <w:bookmarkEnd w:id="678"/>
      <w:bookmarkStart w:id="686" w:name="_Toc140596939"/>
      <w:bookmarkStart w:id="687" w:name="_Toc24616"/>
      <w:bookmarkStart w:id="688" w:name="_Toc29652"/>
      <w:bookmarkStart w:id="689" w:name="_Toc2007"/>
      <w:bookmarkStart w:id="690" w:name="_Toc94107221"/>
      <w:bookmarkStart w:id="691" w:name="_Toc104991886"/>
      <w:bookmarkStart w:id="692" w:name="_Toc102860084"/>
      <w:bookmarkStart w:id="693" w:name="_Toc102860428"/>
      <w:bookmarkStart w:id="694" w:name="_Toc1977738"/>
      <w:bookmarkStart w:id="695" w:name="_Toc142508379"/>
      <w:bookmarkStart w:id="696" w:name="_Toc533708134"/>
      <w:bookmarkStart w:id="697" w:name="_Toc486167721"/>
    </w:p>
    <w:p w14:paraId="5D89D9D3">
      <w:pPr>
        <w:keepNext w:val="0"/>
        <w:keepLines w:val="0"/>
        <w:pageBreakBefore/>
        <w:widowControl w:val="0"/>
        <w:kinsoku/>
        <w:wordWrap/>
        <w:overflowPunct/>
        <w:topLinePunct w:val="0"/>
        <w:autoSpaceDE w:val="0"/>
        <w:autoSpaceDN w:val="0"/>
        <w:bidi w:val="0"/>
        <w:adjustRightInd w:val="0"/>
        <w:snapToGrid/>
        <w:spacing w:line="360" w:lineRule="auto"/>
        <w:jc w:val="both"/>
        <w:textAlignment w:val="auto"/>
        <w:outlineLvl w:val="2"/>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8.4信息化建设项目造价咨询业绩</w:t>
      </w:r>
    </w:p>
    <w:p w14:paraId="4C18DA7C">
      <w:pPr>
        <w:spacing w:line="360" w:lineRule="auto"/>
        <w:jc w:val="center"/>
        <w:outlineLvl w:val="1"/>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t>202</w:t>
      </w:r>
      <w:r>
        <w:rPr>
          <w:rFonts w:hint="eastAsia" w:ascii="宋体" w:hAnsi="宋体" w:eastAsia="宋体" w:cs="宋体"/>
          <w:b/>
          <w:bCs/>
          <w:color w:val="auto"/>
          <w:kern w:val="2"/>
          <w:sz w:val="30"/>
          <w:szCs w:val="30"/>
          <w:highlight w:val="none"/>
          <w:lang w:val="zh-CN" w:eastAsia="zh-CN"/>
        </w:rPr>
        <w:t>2</w:t>
      </w:r>
      <w:r>
        <w:rPr>
          <w:rFonts w:hint="eastAsia" w:ascii="宋体" w:hAnsi="宋体" w:eastAsia="宋体" w:cs="宋体"/>
          <w:b/>
          <w:bCs/>
          <w:color w:val="auto"/>
          <w:kern w:val="2"/>
          <w:sz w:val="30"/>
          <w:szCs w:val="30"/>
          <w:highlight w:val="none"/>
          <w:lang w:val="zh-CN"/>
        </w:rPr>
        <w:t>年1月1日至今承接过的信息化建设项目造价咨询业绩情况表</w:t>
      </w:r>
    </w:p>
    <w:tbl>
      <w:tblPr>
        <w:tblStyle w:val="4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8"/>
        <w:gridCol w:w="2242"/>
        <w:gridCol w:w="1531"/>
        <w:gridCol w:w="1883"/>
        <w:gridCol w:w="1446"/>
        <w:gridCol w:w="871"/>
        <w:gridCol w:w="1699"/>
      </w:tblGrid>
      <w:tr w14:paraId="6A7E3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14:paraId="4C7E7AD1">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1"/>
                <w:szCs w:val="21"/>
                <w:highlight w:val="none"/>
              </w:rPr>
            </w:pPr>
            <w:r>
              <w:rPr>
                <w:rFonts w:hint="eastAsia" w:ascii="宋体" w:hAnsi="宋体" w:eastAsia="宋体" w:cs="宋体"/>
                <w:b/>
                <w:bCs/>
                <w:kern w:val="2"/>
                <w:sz w:val="21"/>
                <w:szCs w:val="21"/>
                <w:highlight w:val="none"/>
                <w:lang w:val="zh-CN"/>
              </w:rPr>
              <w:t>序号</w:t>
            </w:r>
          </w:p>
        </w:tc>
        <w:tc>
          <w:tcPr>
            <w:tcW w:w="1081" w:type="pct"/>
            <w:tcBorders>
              <w:top w:val="single" w:color="auto" w:sz="4" w:space="0"/>
              <w:left w:val="single" w:color="auto" w:sz="4" w:space="0"/>
              <w:bottom w:val="single" w:color="auto" w:sz="4" w:space="0"/>
              <w:right w:val="single" w:color="auto" w:sz="4" w:space="0"/>
            </w:tcBorders>
            <w:vAlign w:val="center"/>
          </w:tcPr>
          <w:p w14:paraId="2B3A91D9">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1"/>
                <w:szCs w:val="21"/>
                <w:highlight w:val="none"/>
              </w:rPr>
            </w:pPr>
            <w:r>
              <w:rPr>
                <w:rFonts w:hint="eastAsia" w:ascii="宋体" w:hAnsi="宋体" w:eastAsia="宋体" w:cs="宋体"/>
                <w:b/>
                <w:bCs/>
                <w:kern w:val="2"/>
                <w:sz w:val="21"/>
                <w:szCs w:val="21"/>
                <w:highlight w:val="none"/>
                <w:lang w:val="zh-CN"/>
              </w:rPr>
              <w:t>项目名称</w:t>
            </w:r>
          </w:p>
        </w:tc>
        <w:tc>
          <w:tcPr>
            <w:tcW w:w="738" w:type="pct"/>
            <w:tcBorders>
              <w:top w:val="single" w:color="auto" w:sz="4" w:space="0"/>
              <w:left w:val="single" w:color="auto" w:sz="4" w:space="0"/>
              <w:bottom w:val="single" w:color="auto" w:sz="4" w:space="0"/>
              <w:right w:val="single" w:color="auto" w:sz="4" w:space="0"/>
            </w:tcBorders>
            <w:vAlign w:val="center"/>
          </w:tcPr>
          <w:p w14:paraId="00F9F738">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1"/>
                <w:szCs w:val="21"/>
                <w:highlight w:val="none"/>
              </w:rPr>
            </w:pPr>
            <w:r>
              <w:rPr>
                <w:rFonts w:hint="eastAsia" w:ascii="宋体" w:hAnsi="宋体" w:eastAsia="宋体" w:cs="宋体"/>
                <w:b/>
                <w:bCs/>
                <w:kern w:val="2"/>
                <w:sz w:val="21"/>
                <w:szCs w:val="21"/>
                <w:highlight w:val="none"/>
              </w:rPr>
              <w:t>招标人</w:t>
            </w:r>
          </w:p>
        </w:tc>
        <w:tc>
          <w:tcPr>
            <w:tcW w:w="908" w:type="pct"/>
            <w:tcBorders>
              <w:top w:val="single" w:color="auto" w:sz="4" w:space="0"/>
              <w:left w:val="single" w:color="auto" w:sz="4" w:space="0"/>
              <w:bottom w:val="single" w:color="auto" w:sz="4" w:space="0"/>
              <w:right w:val="single" w:color="auto" w:sz="4" w:space="0"/>
            </w:tcBorders>
            <w:vAlign w:val="center"/>
          </w:tcPr>
          <w:p w14:paraId="108DDA77">
            <w:pPr>
              <w:keepNext w:val="0"/>
              <w:keepLines w:val="0"/>
              <w:suppressLineNumbers w:val="0"/>
              <w:spacing w:before="0" w:beforeAutospacing="0" w:after="0" w:afterAutospacing="0" w:line="360" w:lineRule="auto"/>
              <w:ind w:left="0" w:right="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合同类型（概/预</w:t>
            </w:r>
            <w:r>
              <w:rPr>
                <w:rFonts w:hint="eastAsia" w:ascii="宋体" w:hAnsi="宋体" w:eastAsia="宋体" w:cs="宋体"/>
                <w:b/>
                <w:bCs/>
                <w:color w:val="auto"/>
                <w:sz w:val="21"/>
                <w:szCs w:val="21"/>
                <w:highlight w:val="none"/>
              </w:rPr>
              <w:t>(或招标控制价)</w:t>
            </w:r>
            <w:r>
              <w:rPr>
                <w:rFonts w:hint="eastAsia" w:ascii="宋体" w:hAnsi="宋体" w:eastAsia="宋体" w:cs="宋体"/>
                <w:b/>
                <w:bCs/>
                <w:sz w:val="21"/>
                <w:szCs w:val="21"/>
                <w:highlight w:val="none"/>
              </w:rPr>
              <w:t>/结算</w:t>
            </w:r>
            <w:r>
              <w:rPr>
                <w:rFonts w:hint="eastAsia" w:ascii="宋体" w:hAnsi="宋体" w:eastAsia="宋体" w:cs="宋体"/>
                <w:b/>
                <w:bCs/>
                <w:sz w:val="21"/>
                <w:szCs w:val="21"/>
                <w:highlight w:val="none"/>
                <w:lang w:val="en-US" w:eastAsia="zh-CN"/>
              </w:rPr>
              <w:t>编制/审核</w:t>
            </w:r>
            <w:r>
              <w:rPr>
                <w:rFonts w:hint="eastAsia" w:ascii="宋体" w:hAnsi="宋体" w:eastAsia="宋体" w:cs="宋体"/>
                <w:b/>
                <w:bCs/>
                <w:sz w:val="21"/>
                <w:szCs w:val="21"/>
                <w:highlight w:val="none"/>
              </w:rPr>
              <w:t>）</w:t>
            </w:r>
          </w:p>
        </w:tc>
        <w:tc>
          <w:tcPr>
            <w:tcW w:w="697" w:type="pct"/>
            <w:tcBorders>
              <w:top w:val="single" w:color="auto" w:sz="4" w:space="0"/>
              <w:left w:val="single" w:color="auto" w:sz="4" w:space="0"/>
              <w:bottom w:val="single" w:color="auto" w:sz="4" w:space="0"/>
              <w:right w:val="single" w:color="auto" w:sz="4" w:space="0"/>
            </w:tcBorders>
            <w:vAlign w:val="center"/>
          </w:tcPr>
          <w:p w14:paraId="2D02C6C6">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合同签订时间</w:t>
            </w:r>
          </w:p>
        </w:tc>
        <w:tc>
          <w:tcPr>
            <w:tcW w:w="420" w:type="pct"/>
            <w:tcBorders>
              <w:top w:val="single" w:color="auto" w:sz="4" w:space="0"/>
              <w:left w:val="single" w:color="auto" w:sz="4" w:space="0"/>
              <w:bottom w:val="single" w:color="auto" w:sz="4" w:space="0"/>
              <w:right w:val="single" w:color="auto" w:sz="4" w:space="0"/>
            </w:tcBorders>
            <w:vAlign w:val="center"/>
          </w:tcPr>
          <w:p w14:paraId="5E905A1B">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1"/>
                <w:szCs w:val="21"/>
                <w:highlight w:val="none"/>
              </w:rPr>
            </w:pPr>
            <w:r>
              <w:rPr>
                <w:rFonts w:hint="eastAsia" w:ascii="宋体" w:hAnsi="宋体" w:eastAsia="宋体" w:cs="宋体"/>
                <w:b/>
                <w:bCs/>
                <w:kern w:val="2"/>
                <w:sz w:val="21"/>
                <w:szCs w:val="21"/>
                <w:highlight w:val="none"/>
                <w:lang w:val="zh-CN"/>
              </w:rPr>
              <w:t>完成情况</w:t>
            </w:r>
          </w:p>
        </w:tc>
        <w:tc>
          <w:tcPr>
            <w:tcW w:w="819" w:type="pct"/>
            <w:tcBorders>
              <w:top w:val="single" w:color="auto" w:sz="4" w:space="0"/>
              <w:left w:val="single" w:color="auto" w:sz="4" w:space="0"/>
              <w:bottom w:val="single" w:color="auto" w:sz="4" w:space="0"/>
              <w:right w:val="single" w:color="auto" w:sz="4" w:space="0"/>
            </w:tcBorders>
            <w:vAlign w:val="center"/>
          </w:tcPr>
          <w:p w14:paraId="62DD9A88">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1"/>
                <w:szCs w:val="21"/>
                <w:highlight w:val="none"/>
              </w:rPr>
            </w:pPr>
            <w:r>
              <w:rPr>
                <w:rFonts w:hint="eastAsia" w:ascii="宋体" w:hAnsi="宋体" w:eastAsia="宋体" w:cs="宋体"/>
                <w:b/>
                <w:bCs/>
                <w:kern w:val="2"/>
                <w:sz w:val="21"/>
                <w:szCs w:val="21"/>
                <w:highlight w:val="none"/>
                <w:lang w:val="zh-CN"/>
              </w:rPr>
              <w:t>招标人电话及联系人</w:t>
            </w:r>
          </w:p>
        </w:tc>
      </w:tr>
      <w:tr w14:paraId="1B6D5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14:paraId="148B22D4">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szCs w:val="21"/>
                <w:highlight w:val="none"/>
              </w:rPr>
            </w:pPr>
          </w:p>
        </w:tc>
        <w:tc>
          <w:tcPr>
            <w:tcW w:w="1081" w:type="pct"/>
            <w:tcBorders>
              <w:top w:val="single" w:color="auto" w:sz="4" w:space="0"/>
              <w:left w:val="single" w:color="auto" w:sz="4" w:space="0"/>
              <w:bottom w:val="single" w:color="auto" w:sz="4" w:space="0"/>
              <w:right w:val="single" w:color="auto" w:sz="4" w:space="0"/>
            </w:tcBorders>
            <w:vAlign w:val="center"/>
          </w:tcPr>
          <w:p w14:paraId="38C3E5E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szCs w:val="21"/>
                <w:highlight w:val="none"/>
              </w:rPr>
            </w:pPr>
          </w:p>
        </w:tc>
        <w:tc>
          <w:tcPr>
            <w:tcW w:w="738" w:type="pct"/>
            <w:tcBorders>
              <w:top w:val="single" w:color="auto" w:sz="4" w:space="0"/>
              <w:left w:val="single" w:color="auto" w:sz="4" w:space="0"/>
              <w:bottom w:val="single" w:color="auto" w:sz="4" w:space="0"/>
              <w:right w:val="single" w:color="auto" w:sz="4" w:space="0"/>
            </w:tcBorders>
            <w:vAlign w:val="center"/>
          </w:tcPr>
          <w:p w14:paraId="4E577BF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szCs w:val="21"/>
                <w:highlight w:val="none"/>
              </w:rPr>
            </w:pPr>
          </w:p>
        </w:tc>
        <w:tc>
          <w:tcPr>
            <w:tcW w:w="908" w:type="pct"/>
            <w:tcBorders>
              <w:top w:val="single" w:color="auto" w:sz="4" w:space="0"/>
              <w:left w:val="single" w:color="auto" w:sz="4" w:space="0"/>
              <w:bottom w:val="single" w:color="auto" w:sz="4" w:space="0"/>
              <w:right w:val="single" w:color="auto" w:sz="4" w:space="0"/>
            </w:tcBorders>
            <w:vAlign w:val="center"/>
          </w:tcPr>
          <w:p w14:paraId="0D3AF97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szCs w:val="21"/>
                <w:highlight w:val="none"/>
              </w:rPr>
            </w:pPr>
          </w:p>
        </w:tc>
        <w:tc>
          <w:tcPr>
            <w:tcW w:w="697" w:type="pct"/>
            <w:tcBorders>
              <w:top w:val="single" w:color="auto" w:sz="4" w:space="0"/>
              <w:left w:val="single" w:color="auto" w:sz="4" w:space="0"/>
              <w:bottom w:val="single" w:color="auto" w:sz="4" w:space="0"/>
              <w:right w:val="single" w:color="auto" w:sz="4" w:space="0"/>
            </w:tcBorders>
            <w:vAlign w:val="center"/>
          </w:tcPr>
          <w:p w14:paraId="2A81EC94">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szCs w:val="21"/>
                <w:highlight w:val="none"/>
              </w:rPr>
            </w:pPr>
          </w:p>
        </w:tc>
        <w:tc>
          <w:tcPr>
            <w:tcW w:w="420" w:type="pct"/>
            <w:tcBorders>
              <w:top w:val="single" w:color="auto" w:sz="4" w:space="0"/>
              <w:left w:val="single" w:color="auto" w:sz="4" w:space="0"/>
              <w:bottom w:val="single" w:color="auto" w:sz="4" w:space="0"/>
              <w:right w:val="single" w:color="auto" w:sz="4" w:space="0"/>
            </w:tcBorders>
            <w:vAlign w:val="center"/>
          </w:tcPr>
          <w:p w14:paraId="555DBE2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szCs w:val="21"/>
                <w:highlight w:val="none"/>
              </w:rPr>
            </w:pPr>
          </w:p>
        </w:tc>
        <w:tc>
          <w:tcPr>
            <w:tcW w:w="819" w:type="pct"/>
            <w:tcBorders>
              <w:top w:val="single" w:color="auto" w:sz="4" w:space="0"/>
              <w:left w:val="single" w:color="auto" w:sz="4" w:space="0"/>
              <w:bottom w:val="single" w:color="auto" w:sz="4" w:space="0"/>
              <w:right w:val="single" w:color="auto" w:sz="4" w:space="0"/>
            </w:tcBorders>
            <w:vAlign w:val="center"/>
          </w:tcPr>
          <w:p w14:paraId="08540C6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szCs w:val="21"/>
                <w:highlight w:val="none"/>
              </w:rPr>
            </w:pPr>
          </w:p>
        </w:tc>
      </w:tr>
      <w:tr w14:paraId="2AC93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14:paraId="4DD146D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szCs w:val="21"/>
                <w:highlight w:val="none"/>
              </w:rPr>
            </w:pPr>
          </w:p>
        </w:tc>
        <w:tc>
          <w:tcPr>
            <w:tcW w:w="1081" w:type="pct"/>
            <w:tcBorders>
              <w:top w:val="single" w:color="auto" w:sz="4" w:space="0"/>
              <w:left w:val="single" w:color="auto" w:sz="4" w:space="0"/>
              <w:bottom w:val="single" w:color="auto" w:sz="4" w:space="0"/>
              <w:right w:val="single" w:color="auto" w:sz="4" w:space="0"/>
            </w:tcBorders>
            <w:vAlign w:val="center"/>
          </w:tcPr>
          <w:p w14:paraId="7096F34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szCs w:val="21"/>
                <w:highlight w:val="none"/>
              </w:rPr>
            </w:pPr>
          </w:p>
        </w:tc>
        <w:tc>
          <w:tcPr>
            <w:tcW w:w="738" w:type="pct"/>
            <w:tcBorders>
              <w:top w:val="single" w:color="auto" w:sz="4" w:space="0"/>
              <w:left w:val="single" w:color="auto" w:sz="4" w:space="0"/>
              <w:bottom w:val="single" w:color="auto" w:sz="4" w:space="0"/>
              <w:right w:val="single" w:color="auto" w:sz="4" w:space="0"/>
            </w:tcBorders>
            <w:vAlign w:val="center"/>
          </w:tcPr>
          <w:p w14:paraId="6A00CB54">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szCs w:val="21"/>
                <w:highlight w:val="none"/>
              </w:rPr>
            </w:pPr>
          </w:p>
        </w:tc>
        <w:tc>
          <w:tcPr>
            <w:tcW w:w="908" w:type="pct"/>
            <w:tcBorders>
              <w:top w:val="single" w:color="auto" w:sz="4" w:space="0"/>
              <w:left w:val="single" w:color="auto" w:sz="4" w:space="0"/>
              <w:bottom w:val="single" w:color="auto" w:sz="4" w:space="0"/>
              <w:right w:val="single" w:color="auto" w:sz="4" w:space="0"/>
            </w:tcBorders>
            <w:vAlign w:val="center"/>
          </w:tcPr>
          <w:p w14:paraId="3B85472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szCs w:val="21"/>
                <w:highlight w:val="none"/>
              </w:rPr>
            </w:pPr>
          </w:p>
        </w:tc>
        <w:tc>
          <w:tcPr>
            <w:tcW w:w="697" w:type="pct"/>
            <w:tcBorders>
              <w:top w:val="single" w:color="auto" w:sz="4" w:space="0"/>
              <w:left w:val="single" w:color="auto" w:sz="4" w:space="0"/>
              <w:bottom w:val="single" w:color="auto" w:sz="4" w:space="0"/>
              <w:right w:val="single" w:color="auto" w:sz="4" w:space="0"/>
            </w:tcBorders>
            <w:vAlign w:val="center"/>
          </w:tcPr>
          <w:p w14:paraId="03089E9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szCs w:val="21"/>
                <w:highlight w:val="none"/>
              </w:rPr>
            </w:pPr>
          </w:p>
        </w:tc>
        <w:tc>
          <w:tcPr>
            <w:tcW w:w="420" w:type="pct"/>
            <w:tcBorders>
              <w:top w:val="single" w:color="auto" w:sz="4" w:space="0"/>
              <w:left w:val="single" w:color="auto" w:sz="4" w:space="0"/>
              <w:bottom w:val="single" w:color="auto" w:sz="4" w:space="0"/>
              <w:right w:val="single" w:color="auto" w:sz="4" w:space="0"/>
            </w:tcBorders>
            <w:vAlign w:val="center"/>
          </w:tcPr>
          <w:p w14:paraId="7CB9738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szCs w:val="21"/>
                <w:highlight w:val="none"/>
              </w:rPr>
            </w:pPr>
          </w:p>
        </w:tc>
        <w:tc>
          <w:tcPr>
            <w:tcW w:w="819" w:type="pct"/>
            <w:tcBorders>
              <w:top w:val="single" w:color="auto" w:sz="4" w:space="0"/>
              <w:left w:val="single" w:color="auto" w:sz="4" w:space="0"/>
              <w:bottom w:val="single" w:color="auto" w:sz="4" w:space="0"/>
              <w:right w:val="single" w:color="auto" w:sz="4" w:space="0"/>
            </w:tcBorders>
            <w:vAlign w:val="center"/>
          </w:tcPr>
          <w:p w14:paraId="7192E0D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szCs w:val="21"/>
                <w:highlight w:val="none"/>
              </w:rPr>
            </w:pPr>
          </w:p>
        </w:tc>
      </w:tr>
      <w:tr w14:paraId="53AC6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14:paraId="03C614B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szCs w:val="21"/>
                <w:highlight w:val="none"/>
              </w:rPr>
            </w:pPr>
          </w:p>
        </w:tc>
        <w:tc>
          <w:tcPr>
            <w:tcW w:w="1081" w:type="pct"/>
            <w:tcBorders>
              <w:top w:val="single" w:color="auto" w:sz="4" w:space="0"/>
              <w:left w:val="single" w:color="auto" w:sz="4" w:space="0"/>
              <w:bottom w:val="single" w:color="auto" w:sz="4" w:space="0"/>
              <w:right w:val="single" w:color="auto" w:sz="4" w:space="0"/>
            </w:tcBorders>
            <w:vAlign w:val="center"/>
          </w:tcPr>
          <w:p w14:paraId="61168F71">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szCs w:val="21"/>
                <w:highlight w:val="none"/>
              </w:rPr>
            </w:pPr>
          </w:p>
        </w:tc>
        <w:tc>
          <w:tcPr>
            <w:tcW w:w="738" w:type="pct"/>
            <w:tcBorders>
              <w:top w:val="single" w:color="auto" w:sz="4" w:space="0"/>
              <w:left w:val="single" w:color="auto" w:sz="4" w:space="0"/>
              <w:bottom w:val="single" w:color="auto" w:sz="4" w:space="0"/>
              <w:right w:val="single" w:color="auto" w:sz="4" w:space="0"/>
            </w:tcBorders>
            <w:vAlign w:val="center"/>
          </w:tcPr>
          <w:p w14:paraId="3989DAC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szCs w:val="21"/>
                <w:highlight w:val="none"/>
              </w:rPr>
            </w:pPr>
          </w:p>
        </w:tc>
        <w:tc>
          <w:tcPr>
            <w:tcW w:w="908" w:type="pct"/>
            <w:tcBorders>
              <w:top w:val="single" w:color="auto" w:sz="4" w:space="0"/>
              <w:left w:val="single" w:color="auto" w:sz="4" w:space="0"/>
              <w:bottom w:val="single" w:color="auto" w:sz="4" w:space="0"/>
              <w:right w:val="single" w:color="auto" w:sz="4" w:space="0"/>
            </w:tcBorders>
            <w:vAlign w:val="center"/>
          </w:tcPr>
          <w:p w14:paraId="789A3637">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szCs w:val="21"/>
                <w:highlight w:val="none"/>
              </w:rPr>
            </w:pPr>
          </w:p>
        </w:tc>
        <w:tc>
          <w:tcPr>
            <w:tcW w:w="697" w:type="pct"/>
            <w:tcBorders>
              <w:top w:val="single" w:color="auto" w:sz="4" w:space="0"/>
              <w:left w:val="single" w:color="auto" w:sz="4" w:space="0"/>
              <w:bottom w:val="single" w:color="auto" w:sz="4" w:space="0"/>
              <w:right w:val="single" w:color="auto" w:sz="4" w:space="0"/>
            </w:tcBorders>
            <w:vAlign w:val="center"/>
          </w:tcPr>
          <w:p w14:paraId="4F1ED1D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szCs w:val="21"/>
                <w:highlight w:val="none"/>
              </w:rPr>
            </w:pPr>
          </w:p>
        </w:tc>
        <w:tc>
          <w:tcPr>
            <w:tcW w:w="420" w:type="pct"/>
            <w:tcBorders>
              <w:top w:val="single" w:color="auto" w:sz="4" w:space="0"/>
              <w:left w:val="single" w:color="auto" w:sz="4" w:space="0"/>
              <w:bottom w:val="single" w:color="auto" w:sz="4" w:space="0"/>
              <w:right w:val="single" w:color="auto" w:sz="4" w:space="0"/>
            </w:tcBorders>
            <w:vAlign w:val="center"/>
          </w:tcPr>
          <w:p w14:paraId="6C651AA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szCs w:val="21"/>
                <w:highlight w:val="none"/>
              </w:rPr>
            </w:pPr>
          </w:p>
        </w:tc>
        <w:tc>
          <w:tcPr>
            <w:tcW w:w="819" w:type="pct"/>
            <w:tcBorders>
              <w:top w:val="single" w:color="auto" w:sz="4" w:space="0"/>
              <w:left w:val="single" w:color="auto" w:sz="4" w:space="0"/>
              <w:bottom w:val="single" w:color="auto" w:sz="4" w:space="0"/>
              <w:right w:val="single" w:color="auto" w:sz="4" w:space="0"/>
            </w:tcBorders>
            <w:vAlign w:val="center"/>
          </w:tcPr>
          <w:p w14:paraId="7DBCEBB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szCs w:val="21"/>
                <w:highlight w:val="none"/>
              </w:rPr>
            </w:pPr>
          </w:p>
        </w:tc>
      </w:tr>
      <w:tr w14:paraId="0105E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14:paraId="1915316E">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szCs w:val="21"/>
                <w:highlight w:val="none"/>
              </w:rPr>
            </w:pPr>
            <w:r>
              <w:rPr>
                <w:rFonts w:hint="default" w:asciiTheme="minorEastAsia" w:hAnsiTheme="minorEastAsia" w:eastAsiaTheme="minorEastAsia"/>
                <w:sz w:val="21"/>
                <w:szCs w:val="21"/>
                <w:highlight w:val="none"/>
              </w:rPr>
              <w:t>…</w:t>
            </w:r>
          </w:p>
        </w:tc>
        <w:tc>
          <w:tcPr>
            <w:tcW w:w="1081" w:type="pct"/>
            <w:tcBorders>
              <w:top w:val="single" w:color="auto" w:sz="4" w:space="0"/>
              <w:left w:val="single" w:color="auto" w:sz="4" w:space="0"/>
              <w:bottom w:val="single" w:color="auto" w:sz="4" w:space="0"/>
              <w:right w:val="single" w:color="auto" w:sz="4" w:space="0"/>
            </w:tcBorders>
            <w:vAlign w:val="center"/>
          </w:tcPr>
          <w:p w14:paraId="5D15F6A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szCs w:val="21"/>
                <w:highlight w:val="none"/>
              </w:rPr>
            </w:pPr>
          </w:p>
        </w:tc>
        <w:tc>
          <w:tcPr>
            <w:tcW w:w="738" w:type="pct"/>
            <w:tcBorders>
              <w:top w:val="single" w:color="auto" w:sz="4" w:space="0"/>
              <w:left w:val="single" w:color="auto" w:sz="4" w:space="0"/>
              <w:bottom w:val="single" w:color="auto" w:sz="4" w:space="0"/>
              <w:right w:val="single" w:color="auto" w:sz="4" w:space="0"/>
            </w:tcBorders>
            <w:vAlign w:val="center"/>
          </w:tcPr>
          <w:p w14:paraId="2EA4D05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szCs w:val="21"/>
                <w:highlight w:val="none"/>
              </w:rPr>
            </w:pPr>
          </w:p>
        </w:tc>
        <w:tc>
          <w:tcPr>
            <w:tcW w:w="908" w:type="pct"/>
            <w:tcBorders>
              <w:top w:val="single" w:color="auto" w:sz="4" w:space="0"/>
              <w:left w:val="single" w:color="auto" w:sz="4" w:space="0"/>
              <w:bottom w:val="single" w:color="auto" w:sz="4" w:space="0"/>
              <w:right w:val="single" w:color="auto" w:sz="4" w:space="0"/>
            </w:tcBorders>
            <w:vAlign w:val="center"/>
          </w:tcPr>
          <w:p w14:paraId="03D8973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szCs w:val="21"/>
                <w:highlight w:val="none"/>
              </w:rPr>
            </w:pPr>
          </w:p>
        </w:tc>
        <w:tc>
          <w:tcPr>
            <w:tcW w:w="697" w:type="pct"/>
            <w:tcBorders>
              <w:top w:val="single" w:color="auto" w:sz="4" w:space="0"/>
              <w:left w:val="single" w:color="auto" w:sz="4" w:space="0"/>
              <w:bottom w:val="single" w:color="auto" w:sz="4" w:space="0"/>
              <w:right w:val="single" w:color="auto" w:sz="4" w:space="0"/>
            </w:tcBorders>
            <w:vAlign w:val="center"/>
          </w:tcPr>
          <w:p w14:paraId="272E8A2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szCs w:val="21"/>
                <w:highlight w:val="none"/>
              </w:rPr>
            </w:pPr>
          </w:p>
        </w:tc>
        <w:tc>
          <w:tcPr>
            <w:tcW w:w="420" w:type="pct"/>
            <w:tcBorders>
              <w:top w:val="single" w:color="auto" w:sz="4" w:space="0"/>
              <w:left w:val="single" w:color="auto" w:sz="4" w:space="0"/>
              <w:bottom w:val="single" w:color="auto" w:sz="4" w:space="0"/>
              <w:right w:val="single" w:color="auto" w:sz="4" w:space="0"/>
            </w:tcBorders>
            <w:vAlign w:val="center"/>
          </w:tcPr>
          <w:p w14:paraId="3F77AEB9">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szCs w:val="21"/>
                <w:highlight w:val="none"/>
              </w:rPr>
            </w:pPr>
          </w:p>
        </w:tc>
        <w:tc>
          <w:tcPr>
            <w:tcW w:w="819" w:type="pct"/>
            <w:tcBorders>
              <w:top w:val="single" w:color="auto" w:sz="4" w:space="0"/>
              <w:left w:val="single" w:color="auto" w:sz="4" w:space="0"/>
              <w:bottom w:val="single" w:color="auto" w:sz="4" w:space="0"/>
              <w:right w:val="single" w:color="auto" w:sz="4" w:space="0"/>
            </w:tcBorders>
            <w:vAlign w:val="center"/>
          </w:tcPr>
          <w:p w14:paraId="6D76C8E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szCs w:val="21"/>
                <w:highlight w:val="none"/>
              </w:rPr>
            </w:pPr>
          </w:p>
        </w:tc>
      </w:tr>
    </w:tbl>
    <w:p w14:paraId="4CC00961">
      <w:pPr>
        <w:snapToGrid w:val="0"/>
        <w:spacing w:before="164" w:beforeLines="50" w:line="360" w:lineRule="auto"/>
        <w:ind w:left="399" w:leftChars="-58" w:hanging="521" w:hangingChars="247"/>
        <w:rPr>
          <w:rFonts w:hint="eastAsia" w:ascii="宋体" w:hAnsi="宋体" w:eastAsia="宋体" w:cs="宋体"/>
          <w:b/>
          <w:bCs/>
          <w:kern w:val="2"/>
          <w:sz w:val="21"/>
          <w:highlight w:val="none"/>
          <w:lang w:val="zh-CN"/>
        </w:rPr>
      </w:pPr>
      <w:r>
        <w:rPr>
          <w:rFonts w:hint="eastAsia" w:ascii="宋体" w:hAnsi="宋体" w:eastAsia="宋体" w:cs="宋体"/>
          <w:b/>
          <w:bCs/>
          <w:kern w:val="2"/>
          <w:sz w:val="21"/>
          <w:highlight w:val="none"/>
          <w:lang w:val="zh-CN"/>
        </w:rPr>
        <w:t>备注：</w:t>
      </w:r>
    </w:p>
    <w:p w14:paraId="64CC22B5">
      <w:pPr>
        <w:snapToGrid w:val="0"/>
        <w:spacing w:line="360" w:lineRule="auto"/>
        <w:ind w:left="396" w:leftChars="-58" w:hanging="518" w:hangingChars="247"/>
        <w:rPr>
          <w:rFonts w:hint="eastAsia" w:ascii="宋体" w:hAnsi="宋体" w:eastAsia="宋体" w:cs="宋体"/>
          <w:b/>
          <w:bCs/>
          <w:sz w:val="21"/>
          <w:szCs w:val="21"/>
          <w:highlight w:val="none"/>
        </w:rPr>
      </w:pPr>
      <w:r>
        <w:rPr>
          <w:rFonts w:hint="eastAsia" w:ascii="宋体" w:hAnsi="宋体" w:eastAsia="宋体" w:cs="宋体"/>
          <w:kern w:val="2"/>
          <w:sz w:val="21"/>
          <w:highlight w:val="none"/>
          <w:lang w:val="zh-CN"/>
        </w:rPr>
        <w:t>（</w:t>
      </w:r>
      <w:r>
        <w:rPr>
          <w:rFonts w:hint="eastAsia" w:ascii="宋体" w:hAnsi="宋体" w:eastAsia="宋体" w:cs="宋体"/>
          <w:kern w:val="2"/>
          <w:sz w:val="21"/>
          <w:highlight w:val="none"/>
          <w:lang w:val="en-US" w:eastAsia="zh-CN"/>
        </w:rPr>
        <w:t>1</w:t>
      </w:r>
      <w:r>
        <w:rPr>
          <w:rFonts w:hint="eastAsia" w:ascii="宋体" w:hAnsi="宋体" w:eastAsia="宋体" w:cs="宋体"/>
          <w:kern w:val="2"/>
          <w:sz w:val="21"/>
          <w:highlight w:val="none"/>
          <w:lang w:val="zh-CN"/>
        </w:rPr>
        <w:t>）本项目所述“信息化建设项目”是指硬件和通用软件采购类、软件开发类、机房及网络工程类项目，其他类型造价咨询业绩不得分。</w:t>
      </w:r>
      <w:r>
        <w:rPr>
          <w:rFonts w:hint="eastAsia" w:ascii="宋体" w:hAnsi="宋体" w:eastAsia="宋体" w:cs="宋体"/>
          <w:b/>
          <w:bCs/>
          <w:sz w:val="21"/>
          <w:szCs w:val="21"/>
          <w:highlight w:val="none"/>
          <w:lang w:val="zh-CN"/>
        </w:rPr>
        <w:t>业绩须附合同及项目的相关成果文件关键页</w:t>
      </w:r>
      <w:r>
        <w:rPr>
          <w:rFonts w:hint="eastAsia" w:ascii="宋体" w:hAnsi="宋体" w:eastAsia="宋体" w:cs="宋体"/>
          <w:b/>
          <w:bCs/>
          <w:sz w:val="21"/>
          <w:szCs w:val="21"/>
          <w:highlight w:val="none"/>
          <w:lang w:val="en-US" w:eastAsia="zh-CN"/>
        </w:rPr>
        <w:t>扫描件</w:t>
      </w:r>
      <w:r>
        <w:rPr>
          <w:rFonts w:hint="eastAsia" w:ascii="宋体" w:hAnsi="宋体" w:eastAsia="宋体" w:cs="宋体"/>
          <w:b/>
          <w:bCs/>
          <w:sz w:val="21"/>
          <w:szCs w:val="21"/>
          <w:highlight w:val="none"/>
          <w:lang w:val="zh-CN"/>
        </w:rPr>
        <w:t>加盖投标人公章，否则不得分</w:t>
      </w:r>
      <w:r>
        <w:rPr>
          <w:rFonts w:hint="eastAsia" w:ascii="宋体" w:hAnsi="宋体" w:eastAsia="宋体" w:cs="宋体"/>
          <w:b/>
          <w:bCs/>
          <w:sz w:val="21"/>
          <w:szCs w:val="21"/>
          <w:highlight w:val="none"/>
        </w:rPr>
        <w:t>；</w:t>
      </w:r>
    </w:p>
    <w:p w14:paraId="0F90D5C7">
      <w:pPr>
        <w:snapToGrid w:val="0"/>
        <w:spacing w:line="360" w:lineRule="auto"/>
        <w:ind w:left="396" w:leftChars="-58" w:hanging="518" w:hangingChars="247"/>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2</w:t>
      </w:r>
      <w:r>
        <w:rPr>
          <w:rFonts w:hint="eastAsia" w:ascii="宋体" w:hAnsi="宋体" w:eastAsia="宋体" w:cs="宋体"/>
          <w:sz w:val="21"/>
          <w:szCs w:val="21"/>
          <w:highlight w:val="none"/>
        </w:rPr>
        <w:t>）合同等业绩证明材料必须能反映评分条件[合同签订日期为202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年1月1日或以后，合同标的必须为</w:t>
      </w:r>
      <w:r>
        <w:rPr>
          <w:rFonts w:hint="eastAsia" w:ascii="宋体" w:hAnsi="宋体" w:eastAsia="宋体" w:cs="宋体"/>
          <w:sz w:val="21"/>
          <w:szCs w:val="21"/>
          <w:highlight w:val="none"/>
          <w:lang w:val="zh-CN"/>
        </w:rPr>
        <w:t>信息化建设项目造价咨询</w:t>
      </w:r>
      <w:r>
        <w:rPr>
          <w:rFonts w:hint="eastAsia" w:ascii="宋体" w:hAnsi="宋体" w:eastAsia="宋体" w:cs="宋体"/>
          <w:sz w:val="21"/>
          <w:szCs w:val="21"/>
          <w:highlight w:val="none"/>
        </w:rPr>
        <w:t>业绩]，否则，</w:t>
      </w:r>
      <w:r>
        <w:rPr>
          <w:rFonts w:hint="eastAsia" w:ascii="宋体" w:hAnsi="宋体" w:eastAsia="宋体" w:cs="宋体"/>
          <w:b/>
          <w:color w:val="auto"/>
          <w:sz w:val="21"/>
          <w:szCs w:val="21"/>
          <w:highlight w:val="none"/>
          <w:lang w:val="en-US" w:eastAsia="zh-CN"/>
        </w:rPr>
        <w:t>还</w:t>
      </w:r>
      <w:r>
        <w:rPr>
          <w:rFonts w:hint="eastAsia" w:ascii="宋体" w:hAnsi="宋体" w:eastAsia="宋体" w:cs="宋体"/>
          <w:b/>
          <w:color w:val="auto"/>
          <w:sz w:val="21"/>
          <w:szCs w:val="21"/>
          <w:highlight w:val="none"/>
        </w:rPr>
        <w:t>需同时提供业主</w:t>
      </w:r>
      <w:r>
        <w:rPr>
          <w:rFonts w:hint="eastAsia" w:ascii="宋体" w:hAnsi="宋体" w:eastAsia="宋体" w:cs="宋体"/>
          <w:b/>
          <w:color w:val="auto"/>
          <w:sz w:val="21"/>
          <w:szCs w:val="21"/>
          <w:highlight w:val="none"/>
          <w:lang w:val="en-US" w:eastAsia="zh-CN"/>
        </w:rPr>
        <w:t>方</w:t>
      </w:r>
      <w:r>
        <w:rPr>
          <w:rFonts w:hint="eastAsia" w:ascii="宋体" w:hAnsi="宋体" w:eastAsia="宋体" w:cs="宋体"/>
          <w:b/>
          <w:color w:val="auto"/>
          <w:sz w:val="21"/>
          <w:szCs w:val="21"/>
          <w:highlight w:val="none"/>
        </w:rPr>
        <w:t>出具的书面补充情况说明文件</w:t>
      </w:r>
      <w:r>
        <w:rPr>
          <w:rFonts w:hint="eastAsia" w:ascii="宋体" w:hAnsi="宋体" w:eastAsia="宋体" w:cs="宋体"/>
          <w:b/>
          <w:bCs/>
          <w:color w:val="auto"/>
          <w:sz w:val="21"/>
          <w:szCs w:val="21"/>
          <w:highlight w:val="none"/>
          <w:lang w:val="en-US" w:eastAsia="zh-CN"/>
        </w:rPr>
        <w:t>扫描件</w:t>
      </w: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shd w:val="clear" w:color="auto" w:fill="FFFFFF"/>
        </w:rPr>
        <w:t>补充情况说明文件</w:t>
      </w:r>
      <w:r>
        <w:rPr>
          <w:rFonts w:hint="eastAsia" w:ascii="宋体" w:hAnsi="宋体" w:eastAsia="宋体" w:cs="宋体"/>
          <w:b/>
          <w:bCs/>
          <w:color w:val="auto"/>
          <w:sz w:val="21"/>
          <w:szCs w:val="21"/>
          <w:highlight w:val="none"/>
          <w:lang w:val="en-US" w:eastAsia="zh-CN"/>
        </w:rPr>
        <w:t>扫描件</w:t>
      </w:r>
      <w:r>
        <w:rPr>
          <w:rFonts w:hint="eastAsia" w:ascii="宋体" w:hAnsi="宋体" w:eastAsia="宋体" w:cs="宋体"/>
          <w:b/>
          <w:bCs/>
          <w:color w:val="auto"/>
          <w:szCs w:val="21"/>
          <w:highlight w:val="none"/>
          <w:shd w:val="clear" w:color="auto" w:fill="FFFFFF"/>
        </w:rPr>
        <w:t>能显示</w:t>
      </w:r>
      <w:r>
        <w:rPr>
          <w:rFonts w:hint="eastAsia" w:ascii="宋体" w:hAnsi="宋体" w:eastAsia="宋体" w:cs="宋体"/>
          <w:b/>
          <w:bCs/>
          <w:color w:val="auto"/>
          <w:szCs w:val="21"/>
          <w:highlight w:val="none"/>
          <w:shd w:val="clear" w:color="auto" w:fill="FFFFFF"/>
          <w:lang w:val="en-US" w:eastAsia="zh-CN"/>
        </w:rPr>
        <w:t>业主</w:t>
      </w:r>
      <w:r>
        <w:rPr>
          <w:rFonts w:hint="eastAsia" w:ascii="宋体" w:hAnsi="宋体" w:eastAsia="宋体" w:cs="宋体"/>
          <w:b/>
          <w:bCs/>
          <w:color w:val="auto"/>
          <w:szCs w:val="21"/>
          <w:highlight w:val="none"/>
          <w:shd w:val="clear" w:color="auto" w:fill="FFFFFF"/>
        </w:rPr>
        <w:t>方公章</w:t>
      </w:r>
      <w:r>
        <w:rPr>
          <w:rFonts w:hint="eastAsia" w:ascii="宋体" w:hAnsi="宋体" w:eastAsia="宋体" w:cs="宋体"/>
          <w:b/>
          <w:color w:val="auto"/>
          <w:szCs w:val="21"/>
          <w:highlight w:val="none"/>
        </w:rPr>
        <w:t>）</w:t>
      </w:r>
      <w:r>
        <w:rPr>
          <w:rFonts w:hint="eastAsia" w:ascii="宋体" w:hAnsi="宋体" w:eastAsia="宋体" w:cs="宋体"/>
          <w:sz w:val="21"/>
          <w:szCs w:val="21"/>
          <w:highlight w:val="none"/>
          <w:lang w:eastAsia="zh-CN"/>
        </w:rPr>
        <w:t>；</w:t>
      </w:r>
    </w:p>
    <w:p w14:paraId="048B063B">
      <w:pPr>
        <w:snapToGrid w:val="0"/>
        <w:spacing w:line="360" w:lineRule="auto"/>
        <w:ind w:left="396" w:leftChars="-58" w:hanging="518" w:hangingChars="247"/>
        <w:rPr>
          <w:rFonts w:hint="eastAsia" w:ascii="宋体" w:hAnsi="宋体" w:eastAsia="宋体" w:cs="宋体"/>
          <w:sz w:val="21"/>
          <w:szCs w:val="21"/>
          <w:highlight w:val="none"/>
        </w:rPr>
      </w:pPr>
      <w:r>
        <w:rPr>
          <w:rFonts w:hint="eastAsia" w:ascii="宋体" w:hAnsi="宋体" w:eastAsia="宋体" w:cs="宋体"/>
          <w:kern w:val="2"/>
          <w:sz w:val="21"/>
          <w:szCs w:val="21"/>
          <w:highlight w:val="none"/>
        </w:rPr>
        <w:t>（</w:t>
      </w:r>
      <w:r>
        <w:rPr>
          <w:rFonts w:hint="eastAsia" w:ascii="宋体" w:hAnsi="宋体" w:eastAsia="宋体" w:cs="宋体"/>
          <w:kern w:val="2"/>
          <w:sz w:val="21"/>
          <w:szCs w:val="21"/>
          <w:highlight w:val="none"/>
          <w:lang w:eastAsia="zh-CN"/>
        </w:rPr>
        <w:t>3</w:t>
      </w:r>
      <w:r>
        <w:rPr>
          <w:rFonts w:hint="eastAsia" w:ascii="宋体" w:hAnsi="宋体" w:eastAsia="宋体" w:cs="宋体"/>
          <w:kern w:val="2"/>
          <w:sz w:val="21"/>
          <w:szCs w:val="21"/>
          <w:highlight w:val="none"/>
        </w:rPr>
        <w:t>）</w:t>
      </w:r>
      <w:r>
        <w:rPr>
          <w:rFonts w:hint="eastAsia" w:ascii="宋体" w:hAnsi="宋体" w:eastAsia="宋体" w:cs="宋体"/>
          <w:sz w:val="21"/>
          <w:szCs w:val="21"/>
          <w:highlight w:val="none"/>
          <w:lang w:val="zh-CN"/>
        </w:rPr>
        <w:t>若业绩合同为框架式协议或资格入围的，须同时提供中标（成交）通知书及合同期内对应的项目成果文件，按成果文件数量计算得分</w:t>
      </w:r>
      <w:r>
        <w:rPr>
          <w:rFonts w:hint="eastAsia" w:ascii="宋体" w:hAnsi="宋体" w:eastAsia="宋体" w:cs="宋体"/>
          <w:b w:val="0"/>
          <w:bCs w:val="0"/>
          <w:sz w:val="21"/>
          <w:szCs w:val="21"/>
          <w:highlight w:val="none"/>
          <w:lang w:val="zh-CN"/>
        </w:rPr>
        <w:t>；</w:t>
      </w:r>
    </w:p>
    <w:p w14:paraId="2252999D">
      <w:pPr>
        <w:snapToGrid w:val="0"/>
        <w:spacing w:line="360" w:lineRule="auto"/>
        <w:ind w:left="396" w:leftChars="-58" w:hanging="518" w:hangingChars="247"/>
        <w:outlineLvl w:val="1"/>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w:t>
      </w:r>
      <w:r>
        <w:rPr>
          <w:rFonts w:hint="eastAsia" w:ascii="宋体" w:hAnsi="宋体" w:eastAsia="宋体" w:cs="宋体"/>
          <w:kern w:val="2"/>
          <w:sz w:val="21"/>
          <w:szCs w:val="21"/>
          <w:highlight w:val="none"/>
          <w:lang w:eastAsia="zh-CN"/>
        </w:rPr>
        <w:t>4</w:t>
      </w:r>
      <w:r>
        <w:rPr>
          <w:rFonts w:hint="eastAsia" w:ascii="宋体" w:hAnsi="宋体" w:eastAsia="宋体" w:cs="宋体"/>
          <w:kern w:val="2"/>
          <w:sz w:val="21"/>
          <w:szCs w:val="21"/>
          <w:highlight w:val="none"/>
        </w:rPr>
        <w:t>）业绩不重复计算，由投标人自行放入对应的评分子项</w:t>
      </w:r>
      <w:r>
        <w:rPr>
          <w:rFonts w:hint="eastAsia" w:ascii="宋体" w:hAnsi="宋体" w:eastAsia="宋体" w:cs="宋体"/>
          <w:sz w:val="21"/>
          <w:szCs w:val="21"/>
          <w:highlight w:val="none"/>
        </w:rPr>
        <w:t>；</w:t>
      </w:r>
    </w:p>
    <w:p w14:paraId="55DBD6DA">
      <w:pPr>
        <w:snapToGrid w:val="0"/>
        <w:spacing w:line="360" w:lineRule="auto"/>
        <w:ind w:left="443" w:leftChars="-59" w:right="-248" w:rightChars="-118" w:hanging="567" w:hangingChars="27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w:t>
      </w:r>
      <w:r>
        <w:rPr>
          <w:rFonts w:hint="eastAsia" w:ascii="宋体" w:hAnsi="宋体" w:eastAsia="宋体" w:cs="宋体"/>
          <w:kern w:val="2"/>
          <w:sz w:val="21"/>
          <w:szCs w:val="21"/>
          <w:highlight w:val="none"/>
          <w:lang w:eastAsia="zh-CN"/>
        </w:rPr>
        <w:t>5</w:t>
      </w:r>
      <w:r>
        <w:rPr>
          <w:rFonts w:hint="eastAsia" w:ascii="宋体" w:hAnsi="宋体" w:eastAsia="宋体" w:cs="宋体"/>
          <w:kern w:val="2"/>
          <w:sz w:val="21"/>
          <w:szCs w:val="21"/>
          <w:highlight w:val="none"/>
        </w:rPr>
        <w:t>）未按上述要求提供证明材料的业绩，或所附材料无法证明填报项目符合本项评分要求的业绩，在评标时将不予考虑。</w:t>
      </w:r>
    </w:p>
    <w:p w14:paraId="603B3520">
      <w:pPr>
        <w:spacing w:line="360" w:lineRule="auto"/>
        <w:ind w:firstLine="5040" w:firstLineChars="2400"/>
        <w:rPr>
          <w:rFonts w:hAnsi="宋体"/>
          <w:kern w:val="2"/>
          <w:sz w:val="21"/>
          <w:highlight w:val="none"/>
          <w:lang w:val="zh-CN"/>
        </w:rPr>
      </w:pPr>
    </w:p>
    <w:p w14:paraId="61C810B0">
      <w:pPr>
        <w:spacing w:line="360" w:lineRule="auto"/>
        <w:ind w:firstLine="5040" w:firstLineChars="2400"/>
        <w:rPr>
          <w:rFonts w:hAnsi="宋体"/>
          <w:kern w:val="2"/>
          <w:sz w:val="21"/>
          <w:highlight w:val="none"/>
          <w:lang w:val="zh-CN"/>
        </w:rPr>
      </w:pPr>
    </w:p>
    <w:p w14:paraId="4BE04A62">
      <w:pPr>
        <w:spacing w:line="360" w:lineRule="auto"/>
        <w:ind w:firstLine="5040" w:firstLineChars="2400"/>
        <w:rPr>
          <w:rFonts w:hint="eastAsia" w:ascii="宋体" w:hAnsi="宋体" w:eastAsia="宋体" w:cs="宋体"/>
          <w:kern w:val="2"/>
          <w:sz w:val="21"/>
          <w:highlight w:val="none"/>
          <w:lang w:val="zh-CN"/>
        </w:rPr>
      </w:pPr>
      <w:r>
        <w:rPr>
          <w:rFonts w:hint="eastAsia" w:ascii="宋体" w:hAnsi="宋体" w:eastAsia="宋体" w:cs="宋体"/>
          <w:kern w:val="2"/>
          <w:sz w:val="21"/>
          <w:highlight w:val="none"/>
          <w:lang w:val="zh-CN"/>
        </w:rPr>
        <w:t>投标人：（加盖投标人法人公章）</w:t>
      </w:r>
    </w:p>
    <w:p w14:paraId="769276D4">
      <w:pPr>
        <w:spacing w:line="360" w:lineRule="auto"/>
        <w:ind w:firstLine="5040" w:firstLineChars="2400"/>
        <w:rPr>
          <w:rFonts w:hint="eastAsia" w:ascii="宋体" w:hAnsi="宋体" w:eastAsia="宋体" w:cs="宋体"/>
          <w:kern w:val="2"/>
          <w:sz w:val="21"/>
          <w:highlight w:val="none"/>
          <w:lang w:val="zh-CN"/>
        </w:rPr>
      </w:pPr>
      <w:r>
        <w:rPr>
          <w:rFonts w:hint="eastAsia" w:ascii="宋体" w:hAnsi="宋体" w:eastAsia="宋体" w:cs="宋体"/>
          <w:kern w:val="2"/>
          <w:sz w:val="21"/>
          <w:highlight w:val="none"/>
          <w:lang w:val="zh-CN"/>
        </w:rPr>
        <w:t>日期：   年   月   日</w:t>
      </w:r>
    </w:p>
    <w:p w14:paraId="5F24A51B">
      <w:pPr>
        <w:widowControl/>
        <w:autoSpaceDE w:val="0"/>
        <w:autoSpaceDN w:val="0"/>
        <w:adjustRightInd w:val="0"/>
        <w:spacing w:line="360" w:lineRule="auto"/>
        <w:jc w:val="center"/>
        <w:rPr>
          <w:rFonts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br w:type="page"/>
      </w:r>
    </w:p>
    <w:p w14:paraId="6D3AD645">
      <w:pPr>
        <w:numPr>
          <w:ilvl w:val="0"/>
          <w:numId w:val="0"/>
        </w:num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bCs/>
          <w:color w:val="auto"/>
          <w:kern w:val="2"/>
          <w:sz w:val="32"/>
          <w:szCs w:val="32"/>
          <w:highlight w:val="none"/>
          <w:lang w:val="en-US" w:eastAsia="zh-CN" w:bidi="ar"/>
        </w:rPr>
      </w:pPr>
      <w:bookmarkStart w:id="698" w:name="_Toc28283"/>
      <w:bookmarkStart w:id="699" w:name="_Toc10961"/>
      <w:bookmarkStart w:id="700" w:name="_Toc29650"/>
      <w:bookmarkStart w:id="701" w:name="_Toc195714395"/>
      <w:bookmarkStart w:id="702" w:name="_Toc1476"/>
      <w:r>
        <w:rPr>
          <w:rFonts w:hint="eastAsia" w:ascii="宋体" w:hAnsi="宋体" w:eastAsia="宋体" w:cs="宋体"/>
          <w:b/>
          <w:bCs/>
          <w:color w:val="auto"/>
          <w:kern w:val="2"/>
          <w:sz w:val="32"/>
          <w:szCs w:val="32"/>
          <w:highlight w:val="none"/>
          <w:lang w:val="en-US" w:eastAsia="zh-CN" w:bidi="ar"/>
        </w:rPr>
        <w:t>九、承诺书格式</w:t>
      </w:r>
      <w:bookmarkEnd w:id="698"/>
    </w:p>
    <w:p w14:paraId="6EA003F3">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en-US" w:eastAsia="zh-CN" w:bidi="ar"/>
        </w:rPr>
        <w:t>承诺书</w:t>
      </w:r>
    </w:p>
    <w:p w14:paraId="30B68E92">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
        </w:rPr>
        <w:t>致：</w:t>
      </w:r>
      <w:r>
        <w:rPr>
          <w:rFonts w:hint="eastAsia" w:ascii="宋体" w:hAnsi="宋体" w:eastAsia="宋体" w:cs="宋体"/>
          <w:b/>
          <w:bCs/>
          <w:color w:val="auto"/>
          <w:szCs w:val="21"/>
          <w:highlight w:val="none"/>
        </w:rPr>
        <w:t>东莞市水务集</w:t>
      </w:r>
      <w:r>
        <w:rPr>
          <w:rFonts w:hint="eastAsia" w:ascii="宋体" w:hAnsi="宋体" w:eastAsia="宋体" w:cs="宋体"/>
          <w:b/>
          <w:bCs/>
          <w:color w:val="auto"/>
          <w:szCs w:val="21"/>
          <w:highlight w:val="none"/>
          <w:lang w:val="en-US" w:eastAsia="zh-CN"/>
        </w:rPr>
        <w:t>有限公司</w:t>
      </w:r>
    </w:p>
    <w:p w14:paraId="13BA99CC">
      <w:pPr>
        <w:keepNext w:val="0"/>
        <w:keepLines w:val="0"/>
        <w:widowControl w:val="0"/>
        <w:suppressLineNumbers w:val="0"/>
        <w:autoSpaceDE w:val="0"/>
        <w:autoSpaceDN w:val="0"/>
        <w:adjustRightInd w:val="0"/>
        <w:spacing w:before="0" w:beforeAutospacing="0" w:after="0" w:afterAutospacing="0" w:line="360" w:lineRule="auto"/>
        <w:ind w:left="-31" w:leftChars="-15" w:right="18" w:firstLine="457" w:firstLineChars="218"/>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在贵单位组织招标的</w:t>
      </w:r>
      <w:r>
        <w:rPr>
          <w:rFonts w:hint="eastAsia" w:ascii="宋体" w:hAnsi="宋体" w:eastAsia="宋体" w:cs="宋体"/>
          <w:b/>
          <w:bCs/>
          <w:color w:val="auto"/>
          <w:szCs w:val="21"/>
          <w:highlight w:val="none"/>
        </w:rPr>
        <w:t>东莞市水务集团造价咨询服务单位库(2025-2026)采购项目（招标编号：</w:t>
      </w:r>
      <w:r>
        <w:rPr>
          <w:rFonts w:hint="eastAsia" w:ascii="宋体" w:hAnsi="宋体" w:eastAsia="宋体" w:cs="宋体"/>
          <w:b/>
          <w:bCs/>
          <w:color w:val="auto"/>
          <w:szCs w:val="21"/>
          <w:highlight w:val="none"/>
          <w:lang w:eastAsia="zh-CN"/>
        </w:rPr>
        <w:t xml:space="preserve"> </w:t>
      </w:r>
      <w:r>
        <w:rPr>
          <w:rFonts w:hint="eastAsia" w:ascii="宋体" w:hAnsi="宋体" w:eastAsia="宋体" w:cs="宋体"/>
          <w:b/>
          <w:bCs/>
          <w:color w:val="auto"/>
          <w:szCs w:val="21"/>
          <w:highlight w:val="none"/>
          <w:lang w:val="en-US" w:eastAsia="zh-CN"/>
        </w:rPr>
        <w:t xml:space="preserve">         </w:t>
      </w:r>
      <w:r>
        <w:rPr>
          <w:rFonts w:hint="eastAsia" w:ascii="宋体" w:hAnsi="宋体" w:eastAsia="宋体" w:cs="宋体"/>
          <w:b/>
          <w:bCs/>
          <w:color w:val="auto"/>
          <w:szCs w:val="21"/>
          <w:highlight w:val="none"/>
        </w:rPr>
        <w:t>）</w:t>
      </w:r>
      <w:r>
        <w:rPr>
          <w:rFonts w:hint="eastAsia" w:ascii="宋体" w:hAnsi="宋体" w:eastAsia="宋体" w:cs="宋体"/>
          <w:color w:val="auto"/>
          <w:kern w:val="2"/>
          <w:sz w:val="21"/>
          <w:szCs w:val="21"/>
          <w:highlight w:val="none"/>
          <w:lang w:val="en-US" w:eastAsia="zh-CN" w:bidi="ar"/>
        </w:rPr>
        <w:t>招标中，我司如获中标，承诺如下：</w:t>
      </w:r>
    </w:p>
    <w:p w14:paraId="53801DDD">
      <w:pPr>
        <w:keepNext w:val="0"/>
        <w:keepLines w:val="0"/>
        <w:widowControl w:val="0"/>
        <w:suppressLineNumbers w:val="0"/>
        <w:autoSpaceDE w:val="0"/>
        <w:autoSpaceDN w:val="0"/>
        <w:adjustRightInd w:val="0"/>
        <w:spacing w:before="0" w:beforeAutospacing="0" w:after="0" w:afterAutospacing="0" w:line="360" w:lineRule="auto"/>
        <w:ind w:left="-31" w:leftChars="-15" w:right="18" w:firstLine="460" w:firstLineChars="218"/>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eastAsia="宋体" w:cs="宋体"/>
          <w:b/>
          <w:bCs/>
          <w:color w:val="auto"/>
          <w:kern w:val="0"/>
          <w:sz w:val="21"/>
          <w:szCs w:val="21"/>
          <w:highlight w:val="none"/>
          <w:lang w:val="en-US" w:eastAsia="zh-CN" w:bidi="ar"/>
        </w:rPr>
        <w:t>若我公司</w:t>
      </w:r>
      <w:r>
        <w:rPr>
          <w:rFonts w:hint="eastAsia" w:ascii="宋体" w:hAnsi="宋体" w:eastAsia="宋体" w:cs="宋体"/>
          <w:b/>
          <w:bCs/>
          <w:color w:val="auto"/>
          <w:kern w:val="2"/>
          <w:sz w:val="21"/>
          <w:szCs w:val="21"/>
          <w:highlight w:val="none"/>
          <w:lang w:val="en-US" w:eastAsia="zh-CN" w:bidi="ar"/>
        </w:rPr>
        <w:t>在提交投标文件截止时间尚未</w:t>
      </w:r>
      <w:r>
        <w:rPr>
          <w:rFonts w:hint="eastAsia" w:ascii="宋体" w:hAnsi="宋体" w:eastAsia="宋体" w:cs="宋体"/>
          <w:b/>
          <w:bCs/>
          <w:color w:val="auto"/>
          <w:sz w:val="21"/>
          <w:szCs w:val="21"/>
          <w:highlight w:val="none"/>
        </w:rPr>
        <w:t>东莞市住房和城乡建设局（网址：http://zjj.dg.gov.cn/）</w:t>
      </w:r>
      <w:r>
        <w:rPr>
          <w:rFonts w:hint="eastAsia" w:ascii="宋体" w:hAnsi="宋体" w:eastAsia="宋体" w:cs="宋体"/>
          <w:b/>
          <w:bCs/>
          <w:color w:val="auto"/>
          <w:sz w:val="21"/>
          <w:szCs w:val="21"/>
          <w:highlight w:val="none"/>
          <w:lang w:val="en-US" w:eastAsia="zh-CN"/>
        </w:rPr>
        <w:t>及</w:t>
      </w:r>
      <w:r>
        <w:rPr>
          <w:rFonts w:hint="eastAsia" w:ascii="宋体" w:hAnsi="宋体" w:eastAsia="宋体" w:cs="宋体"/>
          <w:b/>
          <w:bCs/>
          <w:snapToGrid w:val="0"/>
          <w:color w:val="auto"/>
          <w:spacing w:val="0"/>
          <w:kern w:val="0"/>
          <w:sz w:val="21"/>
          <w:szCs w:val="21"/>
          <w:highlight w:val="none"/>
          <w:lang w:val="en-US" w:eastAsia="en-US" w:bidi="ar-SA"/>
        </w:rPr>
        <w:t>东莞市水务局“水务工程参建企业信用管理系统”（简称“水务信用系统”）</w:t>
      </w:r>
      <w:r>
        <w:rPr>
          <w:rFonts w:hint="eastAsia" w:ascii="宋体" w:hAnsi="宋体" w:eastAsia="宋体" w:cs="宋体"/>
          <w:b/>
          <w:bCs/>
          <w:color w:val="auto"/>
          <w:sz w:val="21"/>
          <w:szCs w:val="21"/>
          <w:highlight w:val="none"/>
        </w:rPr>
        <w:t>完成企业信息档案登记（企业类型必须为：工程造价咨询机构）</w:t>
      </w:r>
      <w:r>
        <w:rPr>
          <w:rFonts w:hint="eastAsia" w:ascii="宋体" w:hAnsi="宋体" w:eastAsia="宋体" w:cs="宋体"/>
          <w:b/>
          <w:bCs/>
          <w:color w:val="auto"/>
          <w:kern w:val="2"/>
          <w:sz w:val="21"/>
          <w:szCs w:val="21"/>
          <w:highlight w:val="none"/>
          <w:lang w:val="en-US" w:eastAsia="zh-CN" w:bidi="ar"/>
        </w:rPr>
        <w:t>，我公司承诺中标后一个月内</w:t>
      </w:r>
      <w:r>
        <w:rPr>
          <w:rFonts w:hint="eastAsia" w:ascii="宋体" w:hAnsi="宋体" w:eastAsia="宋体" w:cs="宋体"/>
          <w:b/>
          <w:bCs/>
          <w:color w:val="auto"/>
          <w:sz w:val="21"/>
          <w:szCs w:val="21"/>
          <w:highlight w:val="none"/>
        </w:rPr>
        <w:t>在东莞市住房和城乡建设局</w:t>
      </w:r>
      <w:r>
        <w:rPr>
          <w:rFonts w:hint="eastAsia" w:ascii="宋体" w:hAnsi="宋体" w:eastAsia="宋体" w:cs="宋体"/>
          <w:b/>
          <w:bCs/>
          <w:color w:val="auto"/>
          <w:sz w:val="21"/>
          <w:szCs w:val="21"/>
          <w:highlight w:val="none"/>
          <w:lang w:val="en-US" w:eastAsia="zh-CN"/>
        </w:rPr>
        <w:t>及</w:t>
      </w:r>
      <w:r>
        <w:rPr>
          <w:rFonts w:hint="eastAsia" w:ascii="宋体" w:hAnsi="宋体" w:eastAsia="宋体" w:cs="宋体"/>
          <w:b/>
          <w:bCs/>
          <w:color w:val="auto"/>
          <w:sz w:val="21"/>
          <w:szCs w:val="21"/>
          <w:highlight w:val="none"/>
          <w:lang w:val="en-US" w:eastAsia="en-US"/>
        </w:rPr>
        <w:t>水务信用系统</w:t>
      </w:r>
      <w:r>
        <w:rPr>
          <w:rFonts w:hint="eastAsia" w:ascii="宋体" w:hAnsi="宋体" w:eastAsia="宋体" w:cs="宋体"/>
          <w:b/>
          <w:bCs/>
          <w:color w:val="auto"/>
          <w:sz w:val="21"/>
          <w:szCs w:val="21"/>
          <w:highlight w:val="none"/>
          <w:lang w:val="en-US" w:eastAsia="zh-CN"/>
        </w:rPr>
        <w:t>中</w:t>
      </w:r>
      <w:r>
        <w:rPr>
          <w:rFonts w:hint="eastAsia" w:ascii="宋体" w:hAnsi="宋体" w:eastAsia="宋体" w:cs="宋体"/>
          <w:b/>
          <w:bCs/>
          <w:color w:val="auto"/>
          <w:sz w:val="21"/>
          <w:szCs w:val="21"/>
          <w:highlight w:val="none"/>
        </w:rPr>
        <w:t>完成企业信息登记工作</w:t>
      </w:r>
      <w:r>
        <w:rPr>
          <w:rFonts w:hint="eastAsia" w:ascii="宋体" w:hAnsi="宋体" w:eastAsia="宋体" w:cs="宋体"/>
          <w:b/>
          <w:bCs/>
          <w:snapToGrid w:val="0"/>
          <w:color w:val="auto"/>
          <w:spacing w:val="0"/>
          <w:kern w:val="0"/>
          <w:sz w:val="21"/>
          <w:szCs w:val="21"/>
          <w:highlight w:val="none"/>
          <w:lang w:val="en-US" w:eastAsia="zh-CN" w:bidi="ar-SA"/>
        </w:rPr>
        <w:t>，</w:t>
      </w:r>
      <w:r>
        <w:rPr>
          <w:rFonts w:hint="eastAsia" w:ascii="宋体" w:hAnsi="宋体" w:eastAsia="宋体" w:cs="宋体"/>
          <w:b/>
          <w:bCs/>
          <w:snapToGrid w:val="0"/>
          <w:color w:val="auto"/>
          <w:spacing w:val="0"/>
          <w:kern w:val="0"/>
          <w:sz w:val="21"/>
          <w:szCs w:val="21"/>
          <w:highlight w:val="none"/>
          <w:lang w:val="en-US" w:eastAsia="en-US" w:bidi="ar-SA"/>
        </w:rPr>
        <w:t>否则视为放弃中标</w:t>
      </w:r>
      <w:r>
        <w:rPr>
          <w:rFonts w:hint="eastAsia" w:ascii="宋体" w:hAnsi="宋体" w:eastAsia="宋体" w:cs="宋体"/>
          <w:b/>
          <w:bCs/>
          <w:color w:val="auto"/>
          <w:kern w:val="2"/>
          <w:sz w:val="21"/>
          <w:szCs w:val="21"/>
          <w:highlight w:val="none"/>
          <w:lang w:val="en-US" w:eastAsia="zh-CN" w:bidi="ar"/>
        </w:rPr>
        <w:t>。【</w:t>
      </w:r>
      <w:r>
        <w:rPr>
          <w:rFonts w:hint="eastAsia" w:ascii="宋体" w:hAnsi="宋体" w:eastAsia="宋体" w:cs="宋体"/>
          <w:b/>
          <w:bCs/>
          <w:snapToGrid w:val="0"/>
          <w:color w:val="auto"/>
          <w:kern w:val="0"/>
          <w:szCs w:val="21"/>
          <w:highlight w:val="none"/>
          <w:lang w:val="en-US" w:eastAsia="en-US"/>
        </w:rPr>
        <w:t>如</w:t>
      </w:r>
      <w:r>
        <w:rPr>
          <w:rFonts w:hint="eastAsia" w:ascii="宋体" w:hAnsi="宋体" w:eastAsia="宋体" w:cs="宋体"/>
          <w:b/>
          <w:bCs/>
          <w:snapToGrid w:val="0"/>
          <w:color w:val="auto"/>
          <w:spacing w:val="0"/>
          <w:kern w:val="0"/>
          <w:sz w:val="21"/>
          <w:szCs w:val="21"/>
          <w:highlight w:val="none"/>
          <w:lang w:val="en-US" w:eastAsia="en-US" w:bidi="ar-SA"/>
        </w:rPr>
        <w:t>投标人</w:t>
      </w:r>
      <w:r>
        <w:rPr>
          <w:rFonts w:hint="eastAsia" w:ascii="宋体" w:hAnsi="宋体" w:eastAsia="宋体" w:cs="宋体"/>
          <w:b/>
          <w:bCs/>
          <w:snapToGrid w:val="0"/>
          <w:color w:val="auto"/>
          <w:spacing w:val="0"/>
          <w:kern w:val="0"/>
          <w:sz w:val="21"/>
          <w:szCs w:val="21"/>
          <w:highlight w:val="none"/>
          <w:lang w:val="en-US" w:eastAsia="zh-CN" w:bidi="ar-SA"/>
        </w:rPr>
        <w:t>在提交投标文件截止时间前</w:t>
      </w:r>
      <w:r>
        <w:rPr>
          <w:rFonts w:hint="eastAsia" w:ascii="宋体" w:hAnsi="宋体" w:eastAsia="宋体" w:cs="宋体"/>
          <w:b/>
          <w:bCs/>
          <w:snapToGrid w:val="0"/>
          <w:color w:val="auto"/>
          <w:spacing w:val="0"/>
          <w:kern w:val="0"/>
          <w:sz w:val="21"/>
          <w:szCs w:val="21"/>
          <w:highlight w:val="none"/>
          <w:lang w:val="en-US" w:eastAsia="en-US" w:bidi="ar-SA"/>
        </w:rPr>
        <w:t>在</w:t>
      </w:r>
      <w:r>
        <w:rPr>
          <w:rFonts w:hint="eastAsia" w:ascii="宋体" w:hAnsi="宋体" w:eastAsia="宋体" w:cs="宋体"/>
          <w:b/>
          <w:bCs/>
          <w:color w:val="auto"/>
          <w:sz w:val="21"/>
          <w:szCs w:val="21"/>
          <w:highlight w:val="none"/>
        </w:rPr>
        <w:t>东莞市住房和城乡建设局（网址：http://zjj.dg.gov.cn/）</w:t>
      </w:r>
      <w:r>
        <w:rPr>
          <w:rFonts w:hint="eastAsia" w:ascii="宋体" w:hAnsi="宋体" w:eastAsia="宋体" w:cs="宋体"/>
          <w:b/>
          <w:bCs/>
          <w:color w:val="auto"/>
          <w:sz w:val="21"/>
          <w:szCs w:val="21"/>
          <w:highlight w:val="none"/>
          <w:lang w:val="en-US" w:eastAsia="zh-CN"/>
        </w:rPr>
        <w:t>及</w:t>
      </w:r>
      <w:r>
        <w:rPr>
          <w:rFonts w:hint="eastAsia" w:ascii="宋体" w:hAnsi="宋体" w:eastAsia="宋体" w:cs="宋体"/>
          <w:b/>
          <w:bCs/>
          <w:snapToGrid w:val="0"/>
          <w:color w:val="auto"/>
          <w:spacing w:val="0"/>
          <w:kern w:val="0"/>
          <w:sz w:val="21"/>
          <w:szCs w:val="21"/>
          <w:highlight w:val="none"/>
          <w:lang w:val="en-US" w:eastAsia="en-US" w:bidi="ar-SA"/>
        </w:rPr>
        <w:t>东莞市水务局“水务工程参建企业信用管理系统”（简称“水务信用系统”）</w:t>
      </w:r>
      <w:r>
        <w:rPr>
          <w:rFonts w:hint="eastAsia" w:ascii="宋体" w:hAnsi="宋体" w:eastAsia="宋体" w:cs="宋体"/>
          <w:b/>
          <w:bCs/>
          <w:color w:val="auto"/>
          <w:sz w:val="21"/>
          <w:szCs w:val="21"/>
          <w:highlight w:val="none"/>
        </w:rPr>
        <w:t>完成企业信息档案登记（企业类型必须为：工程造价咨询机构）</w:t>
      </w:r>
      <w:r>
        <w:rPr>
          <w:rFonts w:hint="eastAsia" w:ascii="宋体" w:hAnsi="宋体" w:eastAsia="宋体" w:cs="宋体"/>
          <w:b/>
          <w:bCs/>
          <w:snapToGrid w:val="0"/>
          <w:color w:val="auto"/>
          <w:spacing w:val="0"/>
          <w:kern w:val="0"/>
          <w:sz w:val="21"/>
          <w:szCs w:val="21"/>
          <w:highlight w:val="none"/>
          <w:lang w:val="en-US" w:eastAsia="en-US" w:bidi="ar-SA"/>
        </w:rPr>
        <w:t>，</w:t>
      </w:r>
      <w:r>
        <w:rPr>
          <w:rFonts w:hint="eastAsia" w:ascii="宋体" w:hAnsi="宋体" w:eastAsia="宋体" w:cs="宋体"/>
          <w:b/>
          <w:bCs/>
          <w:snapToGrid w:val="0"/>
          <w:color w:val="auto"/>
          <w:spacing w:val="0"/>
          <w:kern w:val="0"/>
          <w:sz w:val="21"/>
          <w:szCs w:val="21"/>
          <w:highlight w:val="none"/>
          <w:lang w:val="en-US" w:eastAsia="zh-CN" w:bidi="ar-SA"/>
        </w:rPr>
        <w:t>则本项无需勾选，并同时提供</w:t>
      </w:r>
      <w:r>
        <w:rPr>
          <w:rFonts w:hint="eastAsia" w:ascii="宋体" w:hAnsi="宋体" w:eastAsia="宋体" w:cs="宋体"/>
          <w:b/>
          <w:bCs/>
          <w:color w:val="auto"/>
          <w:sz w:val="21"/>
          <w:szCs w:val="21"/>
          <w:highlight w:val="none"/>
        </w:rPr>
        <w:t>东莞市住房和城乡建设局</w:t>
      </w:r>
      <w:r>
        <w:rPr>
          <w:rFonts w:hint="eastAsia" w:ascii="宋体" w:hAnsi="宋体" w:eastAsia="宋体" w:cs="宋体"/>
          <w:b/>
          <w:bCs/>
          <w:snapToGrid w:val="0"/>
          <w:color w:val="auto"/>
          <w:spacing w:val="0"/>
          <w:kern w:val="0"/>
          <w:sz w:val="21"/>
          <w:szCs w:val="21"/>
          <w:highlight w:val="none"/>
          <w:lang w:val="en-US" w:eastAsia="zh-CN" w:bidi="ar-SA"/>
        </w:rPr>
        <w:t>系统及</w:t>
      </w:r>
      <w:r>
        <w:rPr>
          <w:rFonts w:hint="eastAsia" w:ascii="宋体" w:hAnsi="宋体" w:eastAsia="宋体" w:cs="宋体"/>
          <w:b/>
          <w:bCs/>
          <w:snapToGrid w:val="0"/>
          <w:color w:val="auto"/>
          <w:spacing w:val="0"/>
          <w:kern w:val="0"/>
          <w:sz w:val="21"/>
          <w:szCs w:val="21"/>
          <w:highlight w:val="none"/>
          <w:lang w:val="en-US" w:eastAsia="en-US" w:bidi="ar-SA"/>
        </w:rPr>
        <w:t>水务信用系统</w:t>
      </w:r>
      <w:r>
        <w:rPr>
          <w:rFonts w:hint="eastAsia" w:ascii="宋体" w:hAnsi="宋体" w:eastAsia="宋体" w:cs="宋体"/>
          <w:b/>
          <w:bCs/>
          <w:snapToGrid w:val="0"/>
          <w:color w:val="auto"/>
          <w:spacing w:val="0"/>
          <w:kern w:val="0"/>
          <w:sz w:val="21"/>
          <w:szCs w:val="21"/>
          <w:highlight w:val="none"/>
          <w:lang w:val="en-US" w:eastAsia="zh-CN" w:bidi="ar-SA"/>
        </w:rPr>
        <w:t>查询截图加盖投标人公章，否则视为未满足本项目“</w:t>
      </w:r>
      <w:r>
        <w:rPr>
          <w:rFonts w:hint="eastAsia" w:ascii="宋体" w:hAnsi="宋体" w:eastAsia="宋体" w:cs="宋体"/>
          <w:b/>
          <w:bCs/>
          <w:color w:val="auto"/>
          <w:szCs w:val="21"/>
          <w:highlight w:val="none"/>
          <w:u w:val="none"/>
        </w:rPr>
        <w:t>★</w:t>
      </w:r>
      <w:r>
        <w:rPr>
          <w:rFonts w:hint="eastAsia" w:ascii="宋体" w:hAnsi="宋体" w:eastAsia="宋体" w:cs="宋体"/>
          <w:b/>
          <w:bCs/>
          <w:snapToGrid w:val="0"/>
          <w:color w:val="auto"/>
          <w:spacing w:val="0"/>
          <w:kern w:val="0"/>
          <w:sz w:val="21"/>
          <w:szCs w:val="21"/>
          <w:highlight w:val="none"/>
          <w:lang w:val="en-US" w:eastAsia="zh-CN" w:bidi="ar-SA"/>
        </w:rPr>
        <w:t>”条款要求。</w:t>
      </w:r>
      <w:r>
        <w:rPr>
          <w:rFonts w:hint="eastAsia" w:ascii="宋体" w:hAnsi="宋体" w:eastAsia="宋体" w:cs="宋体"/>
          <w:b/>
          <w:bCs/>
          <w:color w:val="auto"/>
          <w:kern w:val="2"/>
          <w:sz w:val="21"/>
          <w:szCs w:val="21"/>
          <w:highlight w:val="none"/>
          <w:lang w:val="en-US" w:eastAsia="zh-CN" w:bidi="ar"/>
        </w:rPr>
        <w:t>】</w:t>
      </w:r>
    </w:p>
    <w:p w14:paraId="169889FD">
      <w:pPr>
        <w:keepNext w:val="0"/>
        <w:keepLines w:val="0"/>
        <w:widowControl w:val="0"/>
        <w:suppressLineNumbers w:val="0"/>
        <w:autoSpaceDE w:val="0"/>
        <w:autoSpaceDN w:val="0"/>
        <w:adjustRightInd w:val="0"/>
        <w:spacing w:before="0" w:beforeAutospacing="0" w:after="0" w:afterAutospacing="0" w:line="360" w:lineRule="auto"/>
        <w:ind w:left="-31" w:leftChars="-15" w:right="18" w:firstLine="460" w:firstLineChars="218"/>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□我公司承诺中标后</w:t>
      </w:r>
      <w:r>
        <w:rPr>
          <w:rFonts w:hint="eastAsia" w:ascii="宋体" w:hAnsi="宋体" w:eastAsia="宋体" w:cs="宋体"/>
          <w:b/>
          <w:bCs/>
          <w:color w:val="auto"/>
          <w:kern w:val="0"/>
          <w:sz w:val="21"/>
          <w:szCs w:val="21"/>
          <w:highlight w:val="none"/>
          <w:lang w:val="en-US" w:eastAsia="zh-CN" w:bidi="ar"/>
        </w:rPr>
        <w:t>招标结果公示期间，招标人有权核查中标候选人办公场所、设备以及拟投入服务人员情况，如与我公司提交的投标文件不相符，</w:t>
      </w:r>
      <w:r>
        <w:rPr>
          <w:rFonts w:hint="eastAsia" w:ascii="宋体" w:hAnsi="宋体" w:eastAsia="宋体" w:cs="宋体"/>
          <w:b/>
          <w:bCs/>
          <w:color w:val="auto"/>
          <w:kern w:val="2"/>
          <w:sz w:val="21"/>
          <w:szCs w:val="21"/>
          <w:highlight w:val="none"/>
          <w:lang w:val="en-US" w:eastAsia="zh-CN" w:bidi="ar"/>
        </w:rPr>
        <w:t>招标人有权取消我公司中标资格，并根据评标委员会推荐顺序确定其他中标人。</w:t>
      </w:r>
    </w:p>
    <w:p w14:paraId="1856DF2C">
      <w:pPr>
        <w:keepNext w:val="0"/>
        <w:keepLines w:val="0"/>
        <w:widowControl w:val="0"/>
        <w:suppressLineNumbers w:val="0"/>
        <w:autoSpaceDE w:val="0"/>
        <w:autoSpaceDN w:val="0"/>
        <w:adjustRightInd w:val="0"/>
        <w:spacing w:before="0" w:beforeAutospacing="0" w:after="0" w:afterAutospacing="0" w:line="360" w:lineRule="auto"/>
        <w:ind w:left="0" w:right="893" w:firstLine="48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特此承诺。</w:t>
      </w:r>
    </w:p>
    <w:p w14:paraId="4BB31837">
      <w:pPr>
        <w:keepNext w:val="0"/>
        <w:keepLines w:val="0"/>
        <w:widowControl/>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b/>
          <w:bCs w:val="0"/>
          <w:color w:val="auto"/>
          <w:sz w:val="22"/>
          <w:szCs w:val="22"/>
          <w:highlight w:val="none"/>
        </w:rPr>
      </w:pPr>
      <w:r>
        <w:rPr>
          <w:rFonts w:hint="eastAsia" w:ascii="宋体" w:hAnsi="宋体" w:eastAsia="宋体" w:cs="宋体"/>
          <w:b/>
          <w:bCs w:val="0"/>
          <w:color w:val="auto"/>
          <w:kern w:val="0"/>
          <w:sz w:val="22"/>
          <w:szCs w:val="22"/>
          <w:highlight w:val="none"/>
          <w:lang w:val="en-US" w:eastAsia="zh-CN" w:bidi="ar"/>
        </w:rPr>
        <w:t xml:space="preserve"> </w:t>
      </w:r>
    </w:p>
    <w:p w14:paraId="70A44BD2">
      <w:pPr>
        <w:keepNext w:val="0"/>
        <w:keepLines w:val="0"/>
        <w:widowControl/>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b/>
          <w:bCs w:val="0"/>
          <w:color w:val="auto"/>
          <w:sz w:val="22"/>
          <w:szCs w:val="22"/>
          <w:highlight w:val="none"/>
        </w:rPr>
      </w:pPr>
      <w:r>
        <w:rPr>
          <w:rFonts w:hint="eastAsia" w:ascii="宋体" w:hAnsi="宋体" w:eastAsia="宋体" w:cs="宋体"/>
          <w:b/>
          <w:bCs w:val="0"/>
          <w:color w:val="auto"/>
          <w:kern w:val="0"/>
          <w:sz w:val="22"/>
          <w:szCs w:val="22"/>
          <w:highlight w:val="none"/>
          <w:lang w:val="en-US" w:eastAsia="zh-CN" w:bidi="ar"/>
        </w:rPr>
        <w:t>注：各投标人根据实际情况对以上承诺事项进行勾选承诺，注有“■”或“</w:t>
      </w:r>
      <w:r>
        <w:rPr>
          <w:rFonts w:hint="default" w:ascii="Wingdings" w:hAnsi="Wingdings" w:eastAsia="宋体" w:cs="Wingdings"/>
          <w:b/>
          <w:bCs w:val="0"/>
          <w:color w:val="auto"/>
          <w:kern w:val="0"/>
          <w:sz w:val="22"/>
          <w:szCs w:val="22"/>
          <w:highlight w:val="none"/>
          <w:lang w:val="en-US" w:eastAsia="zh-CN" w:bidi="ar"/>
        </w:rPr>
        <w:t>þ</w:t>
      </w:r>
      <w:r>
        <w:rPr>
          <w:rFonts w:hint="eastAsia" w:ascii="宋体" w:hAnsi="宋体" w:eastAsia="宋体" w:cs="宋体"/>
          <w:b/>
          <w:bCs w:val="0"/>
          <w:color w:val="auto"/>
          <w:kern w:val="0"/>
          <w:sz w:val="22"/>
          <w:szCs w:val="22"/>
          <w:highlight w:val="none"/>
          <w:lang w:val="en-US" w:eastAsia="zh-CN" w:bidi="ar"/>
        </w:rPr>
        <w:t>”符号的视为作出承诺，否则视为未作承诺。</w:t>
      </w:r>
    </w:p>
    <w:p w14:paraId="6B6CCC40">
      <w:pPr>
        <w:autoSpaceDE w:val="0"/>
        <w:autoSpaceDN w:val="0"/>
        <w:adjustRightInd w:val="0"/>
        <w:spacing w:line="360" w:lineRule="auto"/>
        <w:ind w:firstLine="5040" w:firstLineChars="24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 xml:space="preserve"> </w:t>
      </w:r>
    </w:p>
    <w:p w14:paraId="0B9129C8">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600E75B6">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4C7A9DAA">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1D82339F">
      <w:pPr>
        <w:pStyle w:val="16"/>
        <w:numPr>
          <w:ilvl w:val="0"/>
          <w:numId w:val="0"/>
        </w:numPr>
        <w:jc w:val="center"/>
        <w:rPr>
          <w:rFonts w:hint="eastAsia"/>
          <w:color w:val="auto"/>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p w14:paraId="7EC2A033">
      <w:pPr>
        <w:keepNext w:val="0"/>
        <w:keepLines w:val="0"/>
        <w:pageBreakBefore/>
        <w:widowControl w:val="0"/>
        <w:kinsoku/>
        <w:wordWrap/>
        <w:overflowPunct/>
        <w:topLinePunct w:val="0"/>
        <w:autoSpaceDE/>
        <w:autoSpaceDN/>
        <w:bidi w:val="0"/>
        <w:adjustRightInd/>
        <w:snapToGrid/>
        <w:textAlignment w:val="auto"/>
        <w:outlineLvl w:val="2"/>
        <w:rPr>
          <w:rFonts w:hint="eastAsia" w:ascii="宋体" w:hAnsi="宋体" w:eastAsia="宋体" w:cs="宋体"/>
          <w:b/>
          <w:color w:val="auto"/>
          <w:kern w:val="0"/>
          <w:sz w:val="30"/>
          <w:szCs w:val="30"/>
          <w:highlight w:val="none"/>
          <w:lang w:val="en-US" w:eastAsia="zh-CN"/>
        </w:rPr>
      </w:pPr>
      <w:bookmarkStart w:id="703" w:name="_Toc32066"/>
      <w:r>
        <w:rPr>
          <w:rFonts w:hint="eastAsia" w:ascii="宋体" w:hAnsi="宋体" w:eastAsia="宋体" w:cs="宋体"/>
          <w:b/>
          <w:bCs/>
          <w:color w:val="auto"/>
          <w:kern w:val="0"/>
          <w:sz w:val="32"/>
          <w:szCs w:val="32"/>
          <w:highlight w:val="none"/>
          <w:lang w:val="en-US" w:eastAsia="zh-CN"/>
        </w:rPr>
        <w:t>十、</w:t>
      </w:r>
      <w:bookmarkEnd w:id="699"/>
      <w:bookmarkEnd w:id="700"/>
      <w:bookmarkEnd w:id="701"/>
      <w:bookmarkEnd w:id="702"/>
      <w:r>
        <w:rPr>
          <w:rFonts w:hint="eastAsia" w:ascii="宋体" w:hAnsi="宋体" w:eastAsia="宋体" w:cs="宋体"/>
          <w:b/>
          <w:color w:val="auto"/>
          <w:kern w:val="0"/>
          <w:sz w:val="30"/>
          <w:szCs w:val="30"/>
          <w:highlight w:val="none"/>
          <w:lang w:val="en-US" w:eastAsia="zh-CN"/>
        </w:rPr>
        <w:t>投入本项目服务人员情况</w:t>
      </w:r>
      <w:bookmarkEnd w:id="703"/>
    </w:p>
    <w:p w14:paraId="66D72899">
      <w:pPr>
        <w:spacing w:before="240" w:beforeLines="100" w:line="360" w:lineRule="auto"/>
        <w:jc w:val="center"/>
        <w:outlineLvl w:val="3"/>
        <w:rPr>
          <w:rFonts w:hint="eastAsia" w:ascii="宋体" w:hAnsi="宋体" w:eastAsia="宋体" w:cs="宋体"/>
          <w:b/>
          <w:color w:val="auto"/>
          <w:sz w:val="30"/>
          <w:szCs w:val="30"/>
          <w:highlight w:val="none"/>
        </w:rPr>
      </w:pPr>
      <w:bookmarkStart w:id="704" w:name="_Toc9285"/>
      <w:r>
        <w:rPr>
          <w:rFonts w:hint="eastAsia" w:ascii="宋体" w:hAnsi="宋体" w:eastAsia="宋体" w:cs="宋体"/>
          <w:b/>
          <w:color w:val="auto"/>
          <w:sz w:val="30"/>
          <w:szCs w:val="30"/>
          <w:highlight w:val="none"/>
        </w:rPr>
        <w:t>投入本项目服务人员表</w:t>
      </w:r>
      <w:bookmarkEnd w:id="704"/>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689"/>
        <w:gridCol w:w="1473"/>
        <w:gridCol w:w="1558"/>
        <w:gridCol w:w="947"/>
      </w:tblGrid>
      <w:tr w14:paraId="5F6E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vAlign w:val="center"/>
          </w:tcPr>
          <w:p w14:paraId="26D3037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69" w:type="dxa"/>
            <w:vAlign w:val="center"/>
          </w:tcPr>
          <w:p w14:paraId="16B7D1F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677" w:type="dxa"/>
            <w:vAlign w:val="center"/>
          </w:tcPr>
          <w:p w14:paraId="2421F97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677" w:type="dxa"/>
            <w:vAlign w:val="center"/>
          </w:tcPr>
          <w:p w14:paraId="63BC2F0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677" w:type="dxa"/>
            <w:vAlign w:val="center"/>
          </w:tcPr>
          <w:p w14:paraId="63614F6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689" w:type="dxa"/>
            <w:vAlign w:val="center"/>
          </w:tcPr>
          <w:p w14:paraId="0B37522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资格/职称证书</w:t>
            </w:r>
          </w:p>
        </w:tc>
        <w:tc>
          <w:tcPr>
            <w:tcW w:w="1473" w:type="dxa"/>
            <w:vAlign w:val="center"/>
          </w:tcPr>
          <w:p w14:paraId="332028C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本项目担任职务</w:t>
            </w:r>
          </w:p>
        </w:tc>
        <w:tc>
          <w:tcPr>
            <w:tcW w:w="1558" w:type="dxa"/>
            <w:vAlign w:val="center"/>
          </w:tcPr>
          <w:p w14:paraId="6B58C40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从事本行业年限</w:t>
            </w:r>
          </w:p>
        </w:tc>
        <w:tc>
          <w:tcPr>
            <w:tcW w:w="947" w:type="dxa"/>
            <w:vAlign w:val="center"/>
          </w:tcPr>
          <w:p w14:paraId="5C94CB27">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备注</w:t>
            </w:r>
          </w:p>
        </w:tc>
      </w:tr>
      <w:tr w14:paraId="3E93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vAlign w:val="center"/>
          </w:tcPr>
          <w:p w14:paraId="3C6AC1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578B22D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5FE6245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340F597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749B934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89" w:type="dxa"/>
            <w:vAlign w:val="center"/>
          </w:tcPr>
          <w:p w14:paraId="3688D54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vAlign w:val="center"/>
          </w:tcPr>
          <w:p w14:paraId="3E671AA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58" w:type="dxa"/>
            <w:vAlign w:val="center"/>
          </w:tcPr>
          <w:p w14:paraId="0EC5EE7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23456BD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288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48" w:type="dxa"/>
            <w:vAlign w:val="center"/>
          </w:tcPr>
          <w:p w14:paraId="6EF3A37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2BC9F34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50E4939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2600F31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1790C9E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89" w:type="dxa"/>
            <w:vAlign w:val="center"/>
          </w:tcPr>
          <w:p w14:paraId="1FF1601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vAlign w:val="center"/>
          </w:tcPr>
          <w:p w14:paraId="254869F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58" w:type="dxa"/>
            <w:vAlign w:val="center"/>
          </w:tcPr>
          <w:p w14:paraId="4FF0921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767C62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7D4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14:paraId="3B2ADF4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091B42A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53CB4B5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012D70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3D5F490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89" w:type="dxa"/>
            <w:vAlign w:val="center"/>
          </w:tcPr>
          <w:p w14:paraId="355904E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vAlign w:val="center"/>
          </w:tcPr>
          <w:p w14:paraId="7721C0B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58" w:type="dxa"/>
            <w:vAlign w:val="center"/>
          </w:tcPr>
          <w:p w14:paraId="3FFE878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0D6EE31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3F18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14:paraId="207A420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565D421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649ADF7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5B8D13B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46DA10B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89" w:type="dxa"/>
            <w:vAlign w:val="center"/>
          </w:tcPr>
          <w:p w14:paraId="2687309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vAlign w:val="center"/>
          </w:tcPr>
          <w:p w14:paraId="3E67E7A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58" w:type="dxa"/>
            <w:vAlign w:val="center"/>
          </w:tcPr>
          <w:p w14:paraId="39ED340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4CB89D2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143C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14:paraId="7E523F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59290CA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6CDAA58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438E151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2814F8B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89" w:type="dxa"/>
            <w:vAlign w:val="center"/>
          </w:tcPr>
          <w:p w14:paraId="5BACE71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vAlign w:val="center"/>
          </w:tcPr>
          <w:p w14:paraId="568CB43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58" w:type="dxa"/>
            <w:vAlign w:val="center"/>
          </w:tcPr>
          <w:p w14:paraId="3D866E8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3EC1C5E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045F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14:paraId="1AAF747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0780B88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7804D68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73CDAEF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4926E68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89" w:type="dxa"/>
            <w:vAlign w:val="center"/>
          </w:tcPr>
          <w:p w14:paraId="418D92C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vAlign w:val="center"/>
          </w:tcPr>
          <w:p w14:paraId="7DD0FB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58" w:type="dxa"/>
            <w:vAlign w:val="center"/>
          </w:tcPr>
          <w:p w14:paraId="6A92518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4F7FB62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2F2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14:paraId="5786F3D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6A182A5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2A1768B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429DE57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4B77F4E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89" w:type="dxa"/>
            <w:vAlign w:val="center"/>
          </w:tcPr>
          <w:p w14:paraId="7B2A0E6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vAlign w:val="center"/>
          </w:tcPr>
          <w:p w14:paraId="7A38B38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58" w:type="dxa"/>
            <w:vAlign w:val="center"/>
          </w:tcPr>
          <w:p w14:paraId="646D5C9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52AEA6B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050A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48" w:type="dxa"/>
            <w:vAlign w:val="center"/>
          </w:tcPr>
          <w:p w14:paraId="2E7B70E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49C1638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178D3EE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4AE4621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796E764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89" w:type="dxa"/>
            <w:vAlign w:val="center"/>
          </w:tcPr>
          <w:p w14:paraId="5D104B7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vAlign w:val="center"/>
          </w:tcPr>
          <w:p w14:paraId="0C6142D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58" w:type="dxa"/>
            <w:vAlign w:val="center"/>
          </w:tcPr>
          <w:p w14:paraId="523AC94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3DF950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1CE2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48" w:type="dxa"/>
            <w:vAlign w:val="center"/>
          </w:tcPr>
          <w:p w14:paraId="184B68D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3BA6DE1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5572887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4A5ED5A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244F627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89" w:type="dxa"/>
            <w:vAlign w:val="center"/>
          </w:tcPr>
          <w:p w14:paraId="6CD104F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vAlign w:val="center"/>
          </w:tcPr>
          <w:p w14:paraId="629390B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58" w:type="dxa"/>
            <w:vAlign w:val="center"/>
          </w:tcPr>
          <w:p w14:paraId="39D4D1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1EDA2DF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4AE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8" w:type="dxa"/>
            <w:vAlign w:val="center"/>
          </w:tcPr>
          <w:p w14:paraId="28C9234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23A882E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089A021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342FF2D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0BAD023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89" w:type="dxa"/>
            <w:vAlign w:val="center"/>
          </w:tcPr>
          <w:p w14:paraId="626948E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vAlign w:val="center"/>
          </w:tcPr>
          <w:p w14:paraId="123832E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58" w:type="dxa"/>
            <w:vAlign w:val="center"/>
          </w:tcPr>
          <w:p w14:paraId="69BBA33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39DC5BC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1B00C855">
      <w:pPr>
        <w:spacing w:line="360" w:lineRule="auto"/>
        <w:rPr>
          <w:rFonts w:hint="eastAsia" w:ascii="宋体" w:hAnsi="宋体" w:eastAsia="宋体" w:cs="宋体"/>
          <w:color w:val="auto"/>
          <w:sz w:val="21"/>
          <w:szCs w:val="21"/>
          <w:highlight w:val="none"/>
        </w:rPr>
      </w:pPr>
    </w:p>
    <w:p w14:paraId="7FE16BBA">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b/>
          <w:bCs/>
          <w:color w:val="auto"/>
          <w:sz w:val="21"/>
          <w:szCs w:val="21"/>
          <w:highlight w:val="none"/>
        </w:rPr>
        <w:t>注：以上人员须提供</w:t>
      </w:r>
      <w:r>
        <w:rPr>
          <w:rFonts w:hint="eastAsia" w:ascii="宋体" w:hAnsi="宋体" w:eastAsia="宋体" w:cs="宋体"/>
          <w:b/>
          <w:bCs/>
          <w:color w:val="auto"/>
          <w:sz w:val="21"/>
          <w:szCs w:val="21"/>
          <w:highlight w:val="none"/>
          <w:lang w:val="en-US" w:eastAsia="zh-CN"/>
        </w:rPr>
        <w:t>以下证明材料扫描件加盖投标人公章：</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1）人员</w:t>
      </w:r>
      <w:r>
        <w:rPr>
          <w:rFonts w:hint="eastAsia" w:ascii="宋体" w:hAnsi="宋体" w:eastAsia="宋体" w:cs="宋体"/>
          <w:b/>
          <w:bCs/>
          <w:color w:val="auto"/>
          <w:sz w:val="21"/>
          <w:szCs w:val="21"/>
          <w:highlight w:val="none"/>
        </w:rPr>
        <w:t>身份证</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造价工程师职业资格证书；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造价工程师</w:t>
      </w:r>
      <w:r>
        <w:rPr>
          <w:rFonts w:hint="eastAsia" w:ascii="宋体" w:hAnsi="宋体" w:eastAsia="宋体" w:cs="宋体"/>
          <w:b/>
          <w:bCs/>
          <w:color w:val="auto"/>
          <w:sz w:val="21"/>
          <w:szCs w:val="21"/>
          <w:highlight w:val="none"/>
        </w:rPr>
        <w:t>注册证书（或在“全国建筑市场公共服务平台”上的执业注册信息截图）</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职称证书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Cs w:val="21"/>
          <w:highlight w:val="none"/>
        </w:rPr>
        <w:t>人力资源和社会保障部门（或税务部门）出具</w:t>
      </w:r>
      <w:r>
        <w:rPr>
          <w:rFonts w:hint="eastAsia" w:ascii="宋体" w:hAnsi="宋体" w:eastAsia="宋体" w:cs="宋体"/>
          <w:b/>
          <w:bCs/>
          <w:color w:val="auto"/>
          <w:sz w:val="21"/>
          <w:szCs w:val="21"/>
          <w:highlight w:val="none"/>
        </w:rPr>
        <w:t>的202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月至202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月</w:t>
      </w:r>
      <w:r>
        <w:rPr>
          <w:rFonts w:hint="eastAsia" w:ascii="宋体" w:hAnsi="宋体" w:eastAsia="宋体" w:cs="宋体"/>
          <w:b/>
          <w:bCs/>
          <w:color w:val="auto"/>
          <w:szCs w:val="21"/>
          <w:highlight w:val="none"/>
        </w:rPr>
        <w:t>的投标人为其缴纳的社保证明</w:t>
      </w:r>
      <w:r>
        <w:rPr>
          <w:rFonts w:hint="eastAsia" w:ascii="宋体" w:hAnsi="宋体" w:eastAsia="宋体" w:cs="宋体"/>
          <w:b/>
          <w:bCs/>
          <w:color w:val="auto"/>
          <w:szCs w:val="21"/>
          <w:highlight w:val="none"/>
          <w:lang w:val="en-US" w:eastAsia="zh-CN"/>
        </w:rPr>
        <w:t>材料。</w:t>
      </w:r>
    </w:p>
    <w:p w14:paraId="1D0A07AB">
      <w:pPr>
        <w:autoSpaceDE w:val="0"/>
        <w:autoSpaceDN w:val="0"/>
        <w:adjustRightInd w:val="0"/>
        <w:spacing w:line="360" w:lineRule="auto"/>
        <w:ind w:firstLine="3780" w:firstLineChars="1800"/>
        <w:rPr>
          <w:rFonts w:hint="eastAsia" w:ascii="宋体" w:hAnsi="宋体" w:eastAsia="宋体" w:cs="宋体"/>
          <w:color w:val="auto"/>
          <w:szCs w:val="21"/>
          <w:highlight w:val="none"/>
          <w:lang w:val="zh-CN"/>
        </w:rPr>
      </w:pPr>
    </w:p>
    <w:p w14:paraId="24E9A696">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0F4E9474">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5DA33A06">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578CF4E8">
      <w:pPr>
        <w:widowControl/>
        <w:autoSpaceDE w:val="0"/>
        <w:autoSpaceDN w:val="0"/>
        <w:adjustRightInd w:val="0"/>
        <w:spacing w:line="360" w:lineRule="auto"/>
        <w:jc w:val="center"/>
        <w:rPr>
          <w:rFonts w:ascii="宋体" w:hAnsi="宋体" w:eastAsia="宋体" w:cs="Times New Roman"/>
          <w:color w:val="auto"/>
          <w:szCs w:val="21"/>
          <w:highlight w:val="none"/>
        </w:rPr>
      </w:pPr>
      <w:r>
        <w:rPr>
          <w:rFonts w:hint="eastAsia" w:ascii="宋体" w:hAnsi="宋体" w:eastAsia="宋体" w:cs="Times New Roman"/>
          <w:b/>
          <w:bCs/>
          <w:color w:val="auto"/>
          <w:szCs w:val="24"/>
          <w:highlight w:val="none"/>
          <w:lang w:val="zh-CN"/>
        </w:rPr>
        <w:t>说明：由投标人使用投标人的企业数字证书电子签名。</w:t>
      </w:r>
    </w:p>
    <w:p w14:paraId="47394B09">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219C8EE0">
      <w:pPr>
        <w:rPr>
          <w:rFonts w:ascii="宋体" w:hAnsi="宋体" w:eastAsia="宋体" w:cs="宋体"/>
          <w:b/>
          <w:bCs/>
          <w:color w:val="auto"/>
          <w:kern w:val="0"/>
          <w:sz w:val="30"/>
          <w:szCs w:val="30"/>
          <w:highlight w:val="none"/>
          <w:lang w:bidi="ar"/>
        </w:rPr>
      </w:pPr>
      <w:r>
        <w:rPr>
          <w:rFonts w:hint="eastAsia" w:ascii="宋体" w:hAnsi="宋体" w:eastAsia="宋体" w:cs="宋体"/>
          <w:b/>
          <w:bCs/>
          <w:color w:val="auto"/>
          <w:kern w:val="0"/>
          <w:sz w:val="30"/>
          <w:szCs w:val="30"/>
          <w:highlight w:val="none"/>
          <w:lang w:bidi="ar"/>
        </w:rPr>
        <w:br w:type="page"/>
      </w:r>
    </w:p>
    <w:p w14:paraId="263DAB19">
      <w:pPr>
        <w:keepNext w:val="0"/>
        <w:keepLines w:val="0"/>
        <w:pageBreakBefore/>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color w:val="auto"/>
          <w:kern w:val="0"/>
          <w:sz w:val="30"/>
          <w:szCs w:val="30"/>
          <w:highlight w:val="none"/>
          <w:lang w:val="en-US" w:eastAsia="zh-CN"/>
        </w:rPr>
      </w:pPr>
      <w:bookmarkStart w:id="705" w:name="_Toc30246"/>
      <w:r>
        <w:rPr>
          <w:rFonts w:hint="eastAsia" w:ascii="宋体" w:hAnsi="宋体" w:eastAsia="宋体" w:cs="宋体"/>
          <w:b/>
          <w:color w:val="auto"/>
          <w:kern w:val="0"/>
          <w:sz w:val="30"/>
          <w:szCs w:val="30"/>
          <w:highlight w:val="none"/>
          <w:lang w:val="en-US" w:eastAsia="zh-CN"/>
        </w:rPr>
        <w:t>十一、服务便利性</w:t>
      </w:r>
      <w:bookmarkEnd w:id="705"/>
    </w:p>
    <w:p w14:paraId="5F994A71">
      <w:pPr>
        <w:spacing w:line="360" w:lineRule="auto"/>
        <w:jc w:val="center"/>
        <w:outlineLvl w:val="3"/>
        <w:rPr>
          <w:rFonts w:hint="eastAsia" w:ascii="宋体" w:hAnsi="宋体" w:eastAsia="宋体" w:cs="宋体"/>
          <w:b/>
          <w:bCs/>
          <w:color w:val="auto"/>
          <w:kern w:val="2"/>
          <w:sz w:val="30"/>
          <w:szCs w:val="30"/>
          <w:highlight w:val="none"/>
          <w:lang w:val="zh-CN"/>
        </w:rPr>
      </w:pPr>
      <w:bookmarkStart w:id="706" w:name="_Toc30133"/>
      <w:r>
        <w:rPr>
          <w:rFonts w:hint="eastAsia" w:ascii="宋体" w:hAnsi="宋体" w:eastAsia="宋体" w:cs="宋体"/>
          <w:b/>
          <w:bCs/>
          <w:color w:val="auto"/>
          <w:kern w:val="2"/>
          <w:sz w:val="30"/>
          <w:szCs w:val="30"/>
          <w:highlight w:val="none"/>
          <w:lang w:val="zh-CN"/>
        </w:rPr>
        <w:t>服务便利性响应时间承诺表</w:t>
      </w:r>
      <w:bookmarkEnd w:id="706"/>
    </w:p>
    <w:tbl>
      <w:tblPr>
        <w:tblStyle w:val="44"/>
        <w:tblW w:w="45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1"/>
      </w:tblGrid>
      <w:tr w14:paraId="5B43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5000" w:type="pct"/>
            <w:vAlign w:val="center"/>
          </w:tcPr>
          <w:p w14:paraId="6AB39AEB">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shd w:val="clear" w:color="auto" w:fill="FFFFFF"/>
              </w:rPr>
            </w:pPr>
            <w:r>
              <w:rPr>
                <w:rFonts w:hint="eastAsia" w:ascii="宋体" w:hAnsi="宋体" w:eastAsia="宋体" w:cs="宋体"/>
                <w:color w:val="auto"/>
                <w:kern w:val="2"/>
                <w:sz w:val="21"/>
                <w:szCs w:val="21"/>
                <w:highlight w:val="none"/>
                <w:shd w:val="clear" w:color="auto" w:fill="FFFFFF"/>
              </w:rPr>
              <w:t>承诺事项</w:t>
            </w:r>
          </w:p>
        </w:tc>
      </w:tr>
      <w:tr w14:paraId="62D4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5000" w:type="pct"/>
            <w:vAlign w:val="center"/>
          </w:tcPr>
          <w:p w14:paraId="73151F4F">
            <w:pPr>
              <w:keepNext w:val="0"/>
              <w:keepLines w:val="0"/>
              <w:widowControl/>
              <w:suppressLineNumbers w:val="0"/>
              <w:spacing w:before="0" w:beforeAutospacing="0" w:after="0" w:afterAutospacing="0" w:line="360" w:lineRule="auto"/>
              <w:ind w:left="199" w:leftChars="95" w:right="0" w:firstLine="0" w:firstLineChars="0"/>
              <w:jc w:val="both"/>
              <w:rPr>
                <w:rFonts w:hint="eastAsia" w:ascii="宋体" w:hAnsi="宋体" w:eastAsia="宋体" w:cs="宋体"/>
                <w:color w:val="auto"/>
                <w:kern w:val="2"/>
                <w:sz w:val="21"/>
                <w:szCs w:val="21"/>
                <w:highlight w:val="none"/>
                <w:shd w:val="clear" w:color="auto" w:fill="FFFFFF"/>
              </w:rPr>
            </w:pPr>
            <w:r>
              <w:rPr>
                <w:rFonts w:hint="eastAsia" w:ascii="宋体" w:hAnsi="宋体" w:eastAsia="宋体" w:cs="宋体"/>
                <w:color w:val="auto"/>
                <w:szCs w:val="21"/>
                <w:highlight w:val="none"/>
              </w:rPr>
              <w:t>承诺本项目管理人员接到招标人通知后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小时(含)内响应，</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小时(含)内到达</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lang w:eastAsia="zh-CN"/>
              </w:rPr>
              <w:t>。</w:t>
            </w:r>
          </w:p>
        </w:tc>
      </w:tr>
    </w:tbl>
    <w:p w14:paraId="71038D0A">
      <w:pPr>
        <w:spacing w:line="360" w:lineRule="auto"/>
        <w:ind w:firstLine="420" w:firstLineChars="200"/>
        <w:rPr>
          <w:rFonts w:hint="eastAsia" w:ascii="宋体" w:hAnsi="宋体" w:eastAsia="宋体" w:cs="宋体"/>
          <w:color w:val="auto"/>
          <w:sz w:val="21"/>
          <w:szCs w:val="21"/>
          <w:highlight w:val="none"/>
        </w:rPr>
      </w:pPr>
    </w:p>
    <w:p w14:paraId="6B8465FF">
      <w:pPr>
        <w:autoSpaceDE w:val="0"/>
        <w:autoSpaceDN w:val="0"/>
        <w:adjustRightInd w:val="0"/>
        <w:spacing w:line="360" w:lineRule="auto"/>
        <w:ind w:left="525" w:hanging="525" w:hangingChars="250"/>
        <w:jc w:val="left"/>
        <w:rPr>
          <w:rFonts w:ascii="宋体" w:hAnsi="Times New Roman" w:eastAsia="宋体" w:cs="Times New Roman"/>
          <w:color w:val="auto"/>
          <w:kern w:val="0"/>
          <w:szCs w:val="21"/>
          <w:highlight w:val="none"/>
          <w:lang w:bidi="ar"/>
        </w:rPr>
      </w:pPr>
    </w:p>
    <w:p w14:paraId="1DFC7996">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0A704797">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182E881A">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5A0FEF12">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52EDA2E0">
      <w:pPr>
        <w:widowControl/>
        <w:autoSpaceDE w:val="0"/>
        <w:autoSpaceDN w:val="0"/>
        <w:adjustRightInd w:val="0"/>
        <w:spacing w:line="360" w:lineRule="auto"/>
        <w:jc w:val="center"/>
        <w:rPr>
          <w:rFonts w:ascii="宋体" w:hAnsi="宋体" w:eastAsia="宋体" w:cs="Times New Roman"/>
          <w:color w:val="auto"/>
          <w:szCs w:val="21"/>
          <w:highlight w:val="none"/>
        </w:rPr>
      </w:pPr>
      <w:r>
        <w:rPr>
          <w:rFonts w:hint="eastAsia" w:ascii="宋体" w:hAnsi="宋体" w:eastAsia="宋体" w:cs="Times New Roman"/>
          <w:b/>
          <w:bCs/>
          <w:color w:val="auto"/>
          <w:szCs w:val="24"/>
          <w:highlight w:val="none"/>
          <w:lang w:val="zh-CN"/>
        </w:rPr>
        <w:t>说明：由投标人使用投标人的企业数字证书电子签名。</w:t>
      </w:r>
    </w:p>
    <w:p w14:paraId="1EED0648">
      <w:pPr>
        <w:autoSpaceDE w:val="0"/>
        <w:autoSpaceDN w:val="0"/>
        <w:adjustRightInd w:val="0"/>
        <w:ind w:left="5040" w:leftChars="2400"/>
        <w:jc w:val="left"/>
        <w:rPr>
          <w:rFonts w:ascii="宋体" w:hAnsi="宋体" w:eastAsia="宋体" w:cs="宋体"/>
          <w:b/>
          <w:bCs/>
          <w:color w:val="auto"/>
          <w:kern w:val="0"/>
          <w:sz w:val="30"/>
          <w:szCs w:val="30"/>
          <w:highlight w:val="none"/>
          <w:lang w:val="zh-CN"/>
        </w:rPr>
      </w:pPr>
    </w:p>
    <w:p w14:paraId="4F8FFE04">
      <w:pPr>
        <w:rPr>
          <w:rFonts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br w:type="page"/>
      </w:r>
    </w:p>
    <w:p w14:paraId="1AF1C1F7">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707" w:name="_Toc31135"/>
      <w:bookmarkStart w:id="708" w:name="_Toc18185"/>
      <w:bookmarkStart w:id="709" w:name="_Toc18762"/>
      <w:bookmarkStart w:id="710" w:name="_Toc195714398"/>
      <w:bookmarkStart w:id="711" w:name="_Toc28042"/>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二</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扫描件等投标人认为有需要证明其具备为本次招标项目提供服务能力的有关其它商务文件（不做强制要求）</w:t>
      </w:r>
      <w:bookmarkEnd w:id="686"/>
      <w:bookmarkEnd w:id="687"/>
      <w:bookmarkEnd w:id="688"/>
      <w:bookmarkEnd w:id="689"/>
      <w:bookmarkEnd w:id="690"/>
      <w:bookmarkEnd w:id="691"/>
      <w:bookmarkEnd w:id="692"/>
      <w:bookmarkEnd w:id="693"/>
      <w:bookmarkEnd w:id="694"/>
      <w:bookmarkEnd w:id="695"/>
      <w:bookmarkEnd w:id="707"/>
      <w:bookmarkEnd w:id="708"/>
      <w:bookmarkEnd w:id="709"/>
      <w:bookmarkEnd w:id="710"/>
      <w:bookmarkEnd w:id="711"/>
    </w:p>
    <w:p w14:paraId="4ACEBE91">
      <w:pPr>
        <w:jc w:val="center"/>
        <w:outlineLvl w:val="1"/>
        <w:rPr>
          <w:rFonts w:ascii="宋体" w:hAnsi="宋体" w:eastAsia="宋体" w:cs="宋体"/>
          <w:b/>
          <w:color w:val="auto"/>
          <w:kern w:val="0"/>
          <w:sz w:val="32"/>
          <w:szCs w:val="32"/>
          <w:highlight w:val="none"/>
        </w:rPr>
      </w:pPr>
      <w:bookmarkStart w:id="712" w:name="_Toc14997"/>
      <w:bookmarkStart w:id="713" w:name="_Toc27993"/>
      <w:bookmarkStart w:id="714" w:name="_Toc32650"/>
      <w:bookmarkStart w:id="715" w:name="_Toc195714399"/>
      <w:bookmarkStart w:id="716" w:name="_Toc4972"/>
      <w:bookmarkStart w:id="717" w:name="_Toc27482"/>
      <w:bookmarkStart w:id="718" w:name="_Toc94107222"/>
      <w:bookmarkStart w:id="719" w:name="_Toc1977739"/>
      <w:bookmarkStart w:id="720" w:name="_Toc142508380"/>
      <w:bookmarkStart w:id="721" w:name="_Toc18038"/>
      <w:bookmarkStart w:id="722" w:name="_Toc102860085"/>
      <w:bookmarkStart w:id="723" w:name="_Toc104991887"/>
      <w:bookmarkStart w:id="724" w:name="_Toc31916"/>
      <w:bookmarkStart w:id="725" w:name="_Toc140596940"/>
      <w:bookmarkStart w:id="726" w:name="_Toc102860429"/>
      <w:r>
        <w:rPr>
          <w:rFonts w:hint="eastAsia" w:ascii="宋体" w:hAnsi="宋体" w:eastAsia="宋体" w:cs="宋体"/>
          <w:b/>
          <w:color w:val="auto"/>
          <w:kern w:val="0"/>
          <w:sz w:val="32"/>
          <w:szCs w:val="32"/>
          <w:highlight w:val="none"/>
        </w:rPr>
        <w:t>二  技术标格式</w:t>
      </w:r>
      <w:bookmarkEnd w:id="712"/>
      <w:bookmarkEnd w:id="713"/>
      <w:bookmarkEnd w:id="714"/>
      <w:bookmarkEnd w:id="715"/>
      <w:bookmarkEnd w:id="716"/>
    </w:p>
    <w:p w14:paraId="1F01CA17">
      <w:pPr>
        <w:jc w:val="left"/>
        <w:rPr>
          <w:rFonts w:ascii="宋体" w:hAnsi="宋体" w:eastAsia="宋体" w:cs="宋体"/>
          <w:b/>
          <w:color w:val="auto"/>
          <w:kern w:val="0"/>
          <w:sz w:val="32"/>
          <w:szCs w:val="32"/>
          <w:highlight w:val="none"/>
        </w:rPr>
      </w:pPr>
    </w:p>
    <w:bookmarkEnd w:id="696"/>
    <w:bookmarkEnd w:id="717"/>
    <w:bookmarkEnd w:id="718"/>
    <w:bookmarkEnd w:id="719"/>
    <w:bookmarkEnd w:id="720"/>
    <w:bookmarkEnd w:id="721"/>
    <w:bookmarkEnd w:id="722"/>
    <w:bookmarkEnd w:id="723"/>
    <w:bookmarkEnd w:id="724"/>
    <w:bookmarkEnd w:id="725"/>
    <w:bookmarkEnd w:id="726"/>
    <w:p w14:paraId="24228267">
      <w:pPr>
        <w:pStyle w:val="2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br w:type="page"/>
      </w:r>
      <w:bookmarkEnd w:id="697"/>
      <w:bookmarkStart w:id="727" w:name="_Toc102860086"/>
      <w:bookmarkStart w:id="728" w:name="_Toc104991888"/>
      <w:bookmarkStart w:id="729" w:name="_Toc533708135"/>
      <w:bookmarkStart w:id="730" w:name="_Toc140596941"/>
      <w:bookmarkStart w:id="731" w:name="_Toc102860430"/>
      <w:bookmarkStart w:id="732" w:name="_Toc142508381"/>
      <w:bookmarkStart w:id="733" w:name="_Toc1977740"/>
      <w:bookmarkStart w:id="734" w:name="_Toc94107223"/>
    </w:p>
    <w:p w14:paraId="762B7410">
      <w:pPr>
        <w:pStyle w:val="20"/>
        <w:spacing w:line="360" w:lineRule="auto"/>
        <w:jc w:val="center"/>
        <w:rPr>
          <w:rFonts w:ascii="宋体" w:hAnsi="宋体" w:cs="宋体"/>
          <w:b/>
          <w:color w:val="auto"/>
          <w:kern w:val="0"/>
          <w:szCs w:val="21"/>
          <w:highlight w:val="none"/>
        </w:rPr>
      </w:pPr>
    </w:p>
    <w:p w14:paraId="131CCB0B">
      <w:pPr>
        <w:pStyle w:val="20"/>
        <w:spacing w:line="360" w:lineRule="auto"/>
        <w:jc w:val="center"/>
        <w:rPr>
          <w:rFonts w:ascii="宋体" w:hAnsi="宋体" w:cs="宋体"/>
          <w:b/>
          <w:color w:val="auto"/>
          <w:kern w:val="0"/>
          <w:szCs w:val="21"/>
          <w:highlight w:val="none"/>
        </w:rPr>
      </w:pPr>
    </w:p>
    <w:p w14:paraId="5E72110F">
      <w:pPr>
        <w:pStyle w:val="20"/>
        <w:spacing w:line="360" w:lineRule="auto"/>
        <w:jc w:val="center"/>
        <w:rPr>
          <w:rFonts w:ascii="宋体" w:hAnsi="宋体" w:cs="宋体"/>
          <w:b/>
          <w:color w:val="auto"/>
          <w:kern w:val="0"/>
          <w:szCs w:val="21"/>
          <w:highlight w:val="none"/>
        </w:rPr>
      </w:pPr>
    </w:p>
    <w:p w14:paraId="744CD4E6">
      <w:pPr>
        <w:pStyle w:val="20"/>
        <w:spacing w:line="360" w:lineRule="auto"/>
        <w:jc w:val="center"/>
        <w:rPr>
          <w:rFonts w:ascii="宋体" w:hAnsi="宋体" w:cs="宋体"/>
          <w:b/>
          <w:color w:val="auto"/>
          <w:kern w:val="0"/>
          <w:szCs w:val="21"/>
          <w:highlight w:val="none"/>
        </w:rPr>
      </w:pPr>
    </w:p>
    <w:p w14:paraId="50425C6C">
      <w:pPr>
        <w:pStyle w:val="20"/>
        <w:spacing w:line="360" w:lineRule="auto"/>
        <w:jc w:val="center"/>
        <w:rPr>
          <w:rFonts w:ascii="宋体" w:hAnsi="宋体" w:cs="宋体"/>
          <w:b/>
          <w:color w:val="auto"/>
          <w:kern w:val="0"/>
          <w:szCs w:val="21"/>
          <w:highlight w:val="none"/>
        </w:rPr>
      </w:pPr>
    </w:p>
    <w:p w14:paraId="45C99D71">
      <w:pPr>
        <w:pStyle w:val="20"/>
        <w:spacing w:line="360" w:lineRule="auto"/>
        <w:jc w:val="center"/>
        <w:rPr>
          <w:rFonts w:ascii="宋体" w:hAnsi="宋体" w:cs="宋体"/>
          <w:b/>
          <w:color w:val="auto"/>
          <w:kern w:val="0"/>
          <w:szCs w:val="21"/>
          <w:highlight w:val="none"/>
        </w:rPr>
      </w:pPr>
    </w:p>
    <w:p w14:paraId="6765F2E6">
      <w:pPr>
        <w:pStyle w:val="20"/>
        <w:spacing w:line="360" w:lineRule="auto"/>
        <w:jc w:val="center"/>
        <w:rPr>
          <w:rFonts w:ascii="宋体" w:hAnsi="宋体" w:cs="宋体"/>
          <w:b/>
          <w:color w:val="auto"/>
          <w:kern w:val="0"/>
          <w:szCs w:val="21"/>
          <w:highlight w:val="none"/>
        </w:rPr>
      </w:pPr>
    </w:p>
    <w:p w14:paraId="775A15B9">
      <w:pPr>
        <w:pStyle w:val="20"/>
        <w:spacing w:line="360" w:lineRule="auto"/>
        <w:jc w:val="center"/>
        <w:rPr>
          <w:rFonts w:ascii="宋体" w:hAnsi="宋体" w:cs="宋体"/>
          <w:b/>
          <w:color w:val="auto"/>
          <w:kern w:val="0"/>
          <w:szCs w:val="21"/>
          <w:highlight w:val="none"/>
        </w:rPr>
      </w:pPr>
    </w:p>
    <w:p w14:paraId="692AB23E">
      <w:pPr>
        <w:pStyle w:val="20"/>
        <w:spacing w:line="360" w:lineRule="auto"/>
        <w:jc w:val="center"/>
        <w:rPr>
          <w:rFonts w:ascii="宋体" w:hAnsi="宋体" w:cs="宋体"/>
          <w:color w:val="auto"/>
          <w:sz w:val="84"/>
          <w:highlight w:val="none"/>
        </w:rPr>
      </w:pPr>
      <w:r>
        <w:rPr>
          <w:rFonts w:hint="eastAsia" w:ascii="宋体" w:hAnsi="宋体" w:cs="宋体"/>
          <w:color w:val="auto"/>
          <w:sz w:val="84"/>
          <w:highlight w:val="none"/>
        </w:rPr>
        <w:t>投 标 文 件</w:t>
      </w:r>
    </w:p>
    <w:p w14:paraId="09F7E3CB">
      <w:pPr>
        <w:pStyle w:val="20"/>
        <w:spacing w:line="360" w:lineRule="auto"/>
        <w:rPr>
          <w:rFonts w:ascii="宋体" w:hAnsi="宋体" w:cs="宋体"/>
          <w:color w:val="auto"/>
          <w:highlight w:val="none"/>
        </w:rPr>
      </w:pPr>
    </w:p>
    <w:p w14:paraId="274BFA87">
      <w:pPr>
        <w:pStyle w:val="20"/>
        <w:spacing w:line="360" w:lineRule="auto"/>
        <w:rPr>
          <w:rFonts w:ascii="宋体" w:hAnsi="宋体" w:cs="宋体"/>
          <w:color w:val="auto"/>
          <w:highlight w:val="none"/>
        </w:rPr>
      </w:pPr>
    </w:p>
    <w:p w14:paraId="2EC9016B">
      <w:pPr>
        <w:pStyle w:val="20"/>
        <w:spacing w:line="360" w:lineRule="auto"/>
        <w:rPr>
          <w:rFonts w:ascii="宋体" w:hAnsi="宋体" w:cs="宋体"/>
          <w:color w:val="auto"/>
          <w:highlight w:val="none"/>
        </w:rPr>
      </w:pPr>
    </w:p>
    <w:p w14:paraId="63B43AC0">
      <w:pPr>
        <w:pStyle w:val="20"/>
        <w:spacing w:line="360" w:lineRule="auto"/>
        <w:rPr>
          <w:rFonts w:ascii="宋体" w:hAnsi="宋体" w:cs="宋体"/>
          <w:color w:val="auto"/>
          <w:highlight w:val="none"/>
        </w:rPr>
      </w:pPr>
    </w:p>
    <w:p w14:paraId="7DB25015">
      <w:pPr>
        <w:pStyle w:val="20"/>
        <w:spacing w:line="360" w:lineRule="auto"/>
        <w:rPr>
          <w:rFonts w:ascii="宋体" w:hAnsi="宋体" w:cs="宋体"/>
          <w:color w:val="auto"/>
          <w:highlight w:val="none"/>
        </w:rPr>
      </w:pPr>
    </w:p>
    <w:p w14:paraId="68958B53">
      <w:pPr>
        <w:pStyle w:val="20"/>
        <w:spacing w:line="360" w:lineRule="auto"/>
        <w:rPr>
          <w:rFonts w:ascii="宋体" w:hAnsi="宋体" w:cs="宋体"/>
          <w:color w:val="auto"/>
          <w:highlight w:val="none"/>
        </w:rPr>
      </w:pPr>
    </w:p>
    <w:p w14:paraId="3E650627">
      <w:pPr>
        <w:pStyle w:val="20"/>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招标编号：</w:t>
      </w:r>
      <w:r>
        <w:rPr>
          <w:rFonts w:hint="eastAsia" w:ascii="宋体" w:hAnsi="宋体" w:cs="宋体"/>
          <w:color w:val="auto"/>
          <w:sz w:val="30"/>
          <w:highlight w:val="none"/>
          <w:u w:val="single"/>
        </w:rPr>
        <w:t xml:space="preserve">                      </w:t>
      </w:r>
    </w:p>
    <w:p w14:paraId="1A1A29AC">
      <w:pPr>
        <w:pStyle w:val="20"/>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项目名称：</w:t>
      </w:r>
      <w:r>
        <w:rPr>
          <w:rFonts w:hint="eastAsia" w:ascii="宋体" w:hAnsi="宋体" w:cs="宋体"/>
          <w:color w:val="auto"/>
          <w:sz w:val="30"/>
          <w:highlight w:val="none"/>
          <w:u w:val="single"/>
        </w:rPr>
        <w:t xml:space="preserve">                      </w:t>
      </w:r>
    </w:p>
    <w:p w14:paraId="1BD47B69">
      <w:pPr>
        <w:pStyle w:val="20"/>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投标文件内容：</w:t>
      </w:r>
      <w:r>
        <w:rPr>
          <w:rFonts w:hint="eastAsia" w:ascii="宋体" w:hAnsi="宋体" w:cs="宋体"/>
          <w:color w:val="auto"/>
          <w:sz w:val="30"/>
          <w:highlight w:val="none"/>
          <w:u w:val="single"/>
        </w:rPr>
        <w:t xml:space="preserve"> 投标文件技术标 </w:t>
      </w:r>
    </w:p>
    <w:p w14:paraId="37715235">
      <w:pPr>
        <w:pStyle w:val="20"/>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招标人：</w:t>
      </w:r>
      <w:r>
        <w:rPr>
          <w:rFonts w:hint="eastAsia" w:ascii="宋体" w:hAnsi="宋体" w:cs="宋体"/>
          <w:color w:val="auto"/>
          <w:sz w:val="30"/>
          <w:highlight w:val="none"/>
          <w:u w:val="single"/>
        </w:rPr>
        <w:t xml:space="preserve">                        </w:t>
      </w:r>
    </w:p>
    <w:p w14:paraId="337F4484">
      <w:pPr>
        <w:pStyle w:val="20"/>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投标人：</w:t>
      </w:r>
      <w:r>
        <w:rPr>
          <w:rFonts w:hint="eastAsia" w:ascii="宋体" w:hAnsi="宋体" w:cs="宋体"/>
          <w:color w:val="auto"/>
          <w:sz w:val="30"/>
          <w:highlight w:val="none"/>
          <w:u w:val="single"/>
        </w:rPr>
        <w:t xml:space="preserve">    （企业数字证书电子签名）   </w:t>
      </w:r>
    </w:p>
    <w:p w14:paraId="03CC2770">
      <w:pPr>
        <w:pStyle w:val="20"/>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14:paraId="1D3EBF94">
      <w:pPr>
        <w:pStyle w:val="20"/>
        <w:spacing w:line="360" w:lineRule="auto"/>
        <w:rPr>
          <w:rFonts w:ascii="宋体" w:hAnsi="宋体" w:cs="宋体"/>
          <w:color w:val="auto"/>
          <w:highlight w:val="none"/>
        </w:rPr>
      </w:pPr>
    </w:p>
    <w:p w14:paraId="7D532CF4">
      <w:pPr>
        <w:pStyle w:val="20"/>
        <w:spacing w:line="360" w:lineRule="auto"/>
        <w:rPr>
          <w:rFonts w:ascii="宋体" w:hAnsi="宋体" w:cs="宋体"/>
          <w:color w:val="auto"/>
          <w:highlight w:val="none"/>
        </w:rPr>
      </w:pPr>
      <w:r>
        <w:rPr>
          <w:rFonts w:hint="eastAsia" w:ascii="宋体" w:hAnsi="宋体" w:cs="宋体"/>
          <w:color w:val="auto"/>
          <w:highlight w:val="none"/>
        </w:rPr>
        <w:br w:type="page"/>
      </w:r>
    </w:p>
    <w:p w14:paraId="536B4177">
      <w:pPr>
        <w:tabs>
          <w:tab w:val="left" w:pos="567"/>
        </w:tabs>
        <w:autoSpaceDE w:val="0"/>
        <w:autoSpaceDN w:val="0"/>
        <w:adjustRightInd w:val="0"/>
        <w:spacing w:line="360" w:lineRule="auto"/>
        <w:ind w:left="357" w:leftChars="-100" w:hanging="567"/>
        <w:jc w:val="center"/>
        <w:outlineLvl w:val="2"/>
        <w:rPr>
          <w:rFonts w:ascii="宋体" w:hAnsi="宋体" w:eastAsia="宋体" w:cs="宋体"/>
          <w:b/>
          <w:color w:val="auto"/>
          <w:kern w:val="0"/>
          <w:sz w:val="24"/>
          <w:szCs w:val="24"/>
          <w:highlight w:val="none"/>
        </w:rPr>
      </w:pPr>
      <w:bookmarkStart w:id="735" w:name="_Toc195714400"/>
      <w:bookmarkStart w:id="736" w:name="_Toc23902"/>
      <w:bookmarkStart w:id="737" w:name="_Toc14054"/>
      <w:bookmarkStart w:id="738" w:name="_Toc11390"/>
      <w:bookmarkStart w:id="739" w:name="_Toc8004"/>
      <w:r>
        <w:rPr>
          <w:rFonts w:hint="eastAsia" w:ascii="宋体" w:hAnsi="宋体" w:eastAsia="宋体" w:cs="宋体"/>
          <w:b/>
          <w:color w:val="auto"/>
          <w:kern w:val="0"/>
          <w:sz w:val="24"/>
          <w:szCs w:val="24"/>
          <w:highlight w:val="none"/>
        </w:rPr>
        <w:t>目录</w:t>
      </w:r>
      <w:bookmarkEnd w:id="735"/>
      <w:bookmarkEnd w:id="736"/>
      <w:bookmarkEnd w:id="737"/>
      <w:bookmarkEnd w:id="738"/>
      <w:bookmarkEnd w:id="739"/>
    </w:p>
    <w:p w14:paraId="2A7B9B57">
      <w:pPr>
        <w:pBdr>
          <w:bottom w:val="single" w:color="auto" w:sz="6" w:space="0"/>
        </w:pBdr>
        <w:spacing w:line="500" w:lineRule="exact"/>
        <w:ind w:left="0" w:leftChars="0" w:firstLine="472" w:firstLineChars="224"/>
        <w:jc w:val="left"/>
        <w:rPr>
          <w:rFonts w:hint="eastAsia" w:ascii="宋体" w:hAnsi="宋体" w:eastAsia="宋体" w:cs="宋体"/>
          <w:b/>
          <w:bCs/>
          <w:color w:val="auto"/>
          <w:kern w:val="2"/>
          <w:szCs w:val="21"/>
          <w:highlight w:val="none"/>
        </w:rPr>
      </w:pPr>
      <w:r>
        <w:rPr>
          <w:rFonts w:hint="eastAsia" w:ascii="宋体" w:hAnsi="宋体" w:eastAsia="宋体" w:cs="宋体"/>
          <w:b/>
          <w:bCs/>
          <w:color w:val="auto"/>
          <w:kern w:val="2"/>
          <w:szCs w:val="21"/>
          <w:highlight w:val="none"/>
        </w:rPr>
        <w:t>一、用户需求的响应程度（用户需求偏离表）；</w:t>
      </w:r>
    </w:p>
    <w:p w14:paraId="06139FA0">
      <w:pPr>
        <w:pBdr>
          <w:bottom w:val="single" w:color="auto" w:sz="6" w:space="0"/>
        </w:pBdr>
        <w:spacing w:line="500" w:lineRule="exact"/>
        <w:ind w:left="0" w:leftChars="0" w:firstLine="472" w:firstLineChars="224"/>
        <w:jc w:val="left"/>
        <w:rPr>
          <w:rFonts w:hint="eastAsia" w:ascii="宋体" w:hAnsi="宋体" w:eastAsia="宋体" w:cs="宋体"/>
          <w:b/>
          <w:bCs/>
          <w:color w:val="auto"/>
          <w:kern w:val="2"/>
          <w:szCs w:val="21"/>
          <w:highlight w:val="none"/>
          <w:lang w:val="en-US" w:eastAsia="zh-CN"/>
        </w:rPr>
      </w:pPr>
      <w:r>
        <w:rPr>
          <w:rFonts w:hint="eastAsia" w:ascii="宋体" w:hAnsi="宋体" w:eastAsia="宋体" w:cs="宋体"/>
          <w:b/>
          <w:bCs/>
          <w:color w:val="auto"/>
          <w:kern w:val="2"/>
          <w:szCs w:val="21"/>
          <w:highlight w:val="none"/>
          <w:lang w:val="en-US" w:eastAsia="zh-CN"/>
        </w:rPr>
        <w:t>二、工作流程及政策了解；</w:t>
      </w:r>
    </w:p>
    <w:p w14:paraId="0F06C100">
      <w:pPr>
        <w:pBdr>
          <w:bottom w:val="single" w:color="auto" w:sz="6" w:space="0"/>
        </w:pBdr>
        <w:spacing w:line="500" w:lineRule="exact"/>
        <w:ind w:left="0" w:leftChars="0" w:firstLine="472" w:firstLineChars="224"/>
        <w:jc w:val="left"/>
        <w:rPr>
          <w:rFonts w:hint="eastAsia" w:ascii="宋体" w:hAnsi="宋体" w:eastAsia="宋体" w:cs="宋体"/>
          <w:b/>
          <w:bCs/>
          <w:color w:val="auto"/>
          <w:kern w:val="2"/>
          <w:szCs w:val="21"/>
          <w:highlight w:val="none"/>
          <w:lang w:val="en-US" w:eastAsia="zh-CN"/>
        </w:rPr>
      </w:pPr>
      <w:r>
        <w:rPr>
          <w:rFonts w:hint="eastAsia" w:ascii="宋体" w:hAnsi="宋体" w:eastAsia="宋体" w:cs="宋体"/>
          <w:b/>
          <w:bCs/>
          <w:color w:val="auto"/>
          <w:kern w:val="2"/>
          <w:szCs w:val="21"/>
          <w:highlight w:val="none"/>
          <w:lang w:val="en-US" w:eastAsia="zh-CN"/>
        </w:rPr>
        <w:t>三、进度保障；</w:t>
      </w:r>
    </w:p>
    <w:p w14:paraId="1E1590BA">
      <w:pPr>
        <w:pBdr>
          <w:bottom w:val="single" w:color="auto" w:sz="6" w:space="0"/>
        </w:pBdr>
        <w:spacing w:line="500" w:lineRule="exact"/>
        <w:ind w:left="0" w:leftChars="0" w:firstLine="472" w:firstLineChars="224"/>
        <w:jc w:val="left"/>
        <w:rPr>
          <w:rFonts w:hint="eastAsia" w:ascii="宋体" w:hAnsi="宋体" w:eastAsia="宋体" w:cs="宋体"/>
          <w:b/>
          <w:bCs/>
          <w:color w:val="auto"/>
          <w:kern w:val="2"/>
          <w:szCs w:val="21"/>
          <w:highlight w:val="none"/>
          <w:lang w:val="en-US" w:eastAsia="zh-CN"/>
        </w:rPr>
      </w:pPr>
      <w:r>
        <w:rPr>
          <w:rFonts w:hint="eastAsia" w:ascii="宋体" w:hAnsi="宋体" w:eastAsia="宋体" w:cs="宋体"/>
          <w:b/>
          <w:bCs/>
          <w:color w:val="auto"/>
          <w:kern w:val="2"/>
          <w:szCs w:val="21"/>
          <w:highlight w:val="none"/>
          <w:lang w:val="en-US" w:eastAsia="zh-CN"/>
        </w:rPr>
        <w:t>四、质量保证措施；</w:t>
      </w:r>
    </w:p>
    <w:p w14:paraId="14F6EE43">
      <w:pPr>
        <w:pBdr>
          <w:bottom w:val="single" w:color="auto" w:sz="6" w:space="0"/>
        </w:pBdr>
        <w:spacing w:line="500" w:lineRule="exact"/>
        <w:ind w:left="0" w:leftChars="0" w:firstLine="472" w:firstLineChars="224"/>
        <w:jc w:val="left"/>
        <w:rPr>
          <w:rFonts w:hint="eastAsia" w:ascii="宋体" w:hAnsi="宋体" w:eastAsia="宋体" w:cs="宋体"/>
          <w:b/>
          <w:bCs/>
          <w:color w:val="auto"/>
          <w:kern w:val="2"/>
          <w:szCs w:val="21"/>
          <w:highlight w:val="none"/>
          <w:lang w:val="en-US" w:eastAsia="zh-CN"/>
        </w:rPr>
      </w:pPr>
      <w:r>
        <w:rPr>
          <w:rFonts w:hint="eastAsia" w:ascii="宋体" w:hAnsi="宋体" w:eastAsia="宋体" w:cs="宋体"/>
          <w:b/>
          <w:bCs/>
          <w:color w:val="auto"/>
          <w:kern w:val="2"/>
          <w:szCs w:val="21"/>
          <w:highlight w:val="none"/>
          <w:lang w:val="en-US" w:eastAsia="zh-CN"/>
        </w:rPr>
        <w:t>五、质量跟踪及信息反馈机制；</w:t>
      </w:r>
    </w:p>
    <w:p w14:paraId="5F12DFE7">
      <w:pPr>
        <w:pBdr>
          <w:bottom w:val="single" w:color="auto" w:sz="6" w:space="0"/>
        </w:pBdr>
        <w:spacing w:line="500" w:lineRule="exact"/>
        <w:ind w:left="0" w:leftChars="0" w:firstLine="472" w:firstLineChars="224"/>
        <w:jc w:val="left"/>
        <w:rPr>
          <w:rFonts w:hint="eastAsia" w:ascii="宋体" w:hAnsi="宋体" w:eastAsia="宋体" w:cs="宋体"/>
          <w:b/>
          <w:bCs/>
          <w:color w:val="auto"/>
          <w:kern w:val="2"/>
          <w:szCs w:val="21"/>
          <w:highlight w:val="none"/>
        </w:rPr>
      </w:pPr>
      <w:r>
        <w:rPr>
          <w:rFonts w:hint="eastAsia" w:ascii="宋体" w:hAnsi="宋体" w:eastAsia="宋体" w:cs="宋体"/>
          <w:b/>
          <w:bCs/>
          <w:color w:val="auto"/>
          <w:kern w:val="2"/>
          <w:szCs w:val="21"/>
          <w:highlight w:val="none"/>
          <w:lang w:val="en-US" w:eastAsia="zh-CN"/>
        </w:rPr>
        <w:t>六、</w:t>
      </w:r>
      <w:r>
        <w:rPr>
          <w:rFonts w:hint="eastAsia" w:ascii="宋体" w:hAnsi="宋体" w:eastAsia="宋体" w:cs="宋体"/>
          <w:b/>
          <w:bCs/>
          <w:color w:val="auto"/>
          <w:kern w:val="2"/>
          <w:szCs w:val="21"/>
          <w:highlight w:val="none"/>
        </w:rPr>
        <w:t>投标人认为有必要提供的其它材料（不做强制要求）。</w:t>
      </w:r>
    </w:p>
    <w:p w14:paraId="6D4B59E5">
      <w:pPr>
        <w:pBdr>
          <w:bottom w:val="single" w:color="auto" w:sz="6" w:space="0"/>
        </w:pBdr>
        <w:spacing w:line="500" w:lineRule="exact"/>
        <w:ind w:firstLine="675" w:firstLineChars="224"/>
        <w:jc w:val="left"/>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5D230C4E">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740" w:name="_Toc24879"/>
      <w:bookmarkStart w:id="741" w:name="_Toc24129"/>
      <w:bookmarkStart w:id="742" w:name="_Toc30448"/>
      <w:bookmarkStart w:id="743" w:name="_Toc23268"/>
      <w:bookmarkStart w:id="744" w:name="_Toc20085"/>
      <w:bookmarkStart w:id="745" w:name="_Toc195714401"/>
      <w:bookmarkStart w:id="746" w:name="_Toc18999"/>
      <w:bookmarkStart w:id="747" w:name="_Toc27934"/>
      <w:r>
        <w:rPr>
          <w:rFonts w:hint="eastAsia" w:ascii="宋体" w:hAnsi="宋体" w:eastAsia="宋体" w:cs="宋体"/>
          <w:b/>
          <w:color w:val="auto"/>
          <w:kern w:val="0"/>
          <w:sz w:val="30"/>
          <w:szCs w:val="30"/>
          <w:highlight w:val="none"/>
        </w:rPr>
        <w:t>一、用户需求偏离表</w:t>
      </w:r>
      <w:bookmarkEnd w:id="727"/>
      <w:bookmarkEnd w:id="728"/>
      <w:bookmarkEnd w:id="729"/>
      <w:bookmarkEnd w:id="730"/>
      <w:bookmarkEnd w:id="731"/>
      <w:bookmarkEnd w:id="732"/>
      <w:bookmarkEnd w:id="733"/>
      <w:bookmarkEnd w:id="734"/>
      <w:bookmarkEnd w:id="740"/>
      <w:bookmarkEnd w:id="741"/>
      <w:bookmarkEnd w:id="742"/>
      <w:bookmarkEnd w:id="743"/>
      <w:bookmarkEnd w:id="744"/>
      <w:bookmarkEnd w:id="745"/>
      <w:bookmarkEnd w:id="746"/>
      <w:bookmarkEnd w:id="747"/>
    </w:p>
    <w:p w14:paraId="7E9BF0DE">
      <w:pPr>
        <w:spacing w:before="120" w:after="120" w:line="360" w:lineRule="auto"/>
        <w:jc w:val="center"/>
        <w:outlineLvl w:val="3"/>
        <w:rPr>
          <w:rFonts w:ascii="宋体" w:hAnsi="宋体" w:eastAsia="宋体" w:cs="Times New Roman"/>
          <w:color w:val="auto"/>
          <w:kern w:val="0"/>
          <w:szCs w:val="21"/>
          <w:highlight w:val="none"/>
        </w:rPr>
      </w:pPr>
      <w:bookmarkStart w:id="748" w:name="_Toc17449_WPSOffice_Level3"/>
      <w:r>
        <w:rPr>
          <w:rFonts w:hint="eastAsia" w:ascii="宋体" w:hAnsi="宋体" w:eastAsia="宋体" w:cs="宋体"/>
          <w:b/>
          <w:color w:val="auto"/>
          <w:kern w:val="0"/>
          <w:sz w:val="30"/>
          <w:szCs w:val="30"/>
          <w:highlight w:val="none"/>
          <w:lang w:val="zh-CN"/>
        </w:rPr>
        <w:t>用户需求偏离表</w:t>
      </w:r>
      <w:bookmarkEnd w:id="748"/>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952"/>
        <w:gridCol w:w="6413"/>
        <w:gridCol w:w="722"/>
        <w:gridCol w:w="867"/>
        <w:gridCol w:w="825"/>
      </w:tblGrid>
      <w:tr w14:paraId="5D73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5" w:type="pct"/>
            <w:vMerge w:val="restart"/>
            <w:vAlign w:val="center"/>
          </w:tcPr>
          <w:p w14:paraId="7113E15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3551" w:type="pct"/>
            <w:gridSpan w:val="2"/>
            <w:vAlign w:val="center"/>
          </w:tcPr>
          <w:p w14:paraId="1A8C5F3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招标文件要求</w:t>
            </w:r>
          </w:p>
        </w:tc>
        <w:tc>
          <w:tcPr>
            <w:tcW w:w="1162" w:type="pct"/>
            <w:gridSpan w:val="3"/>
            <w:vAlign w:val="center"/>
          </w:tcPr>
          <w:p w14:paraId="6AC9DF1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投标文件内容</w:t>
            </w:r>
          </w:p>
        </w:tc>
      </w:tr>
      <w:tr w14:paraId="7B8D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5" w:type="pct"/>
            <w:vMerge w:val="continue"/>
            <w:vAlign w:val="center"/>
          </w:tcPr>
          <w:p w14:paraId="75232A52">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459" w:type="pct"/>
            <w:vAlign w:val="center"/>
          </w:tcPr>
          <w:p w14:paraId="3D88FCD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3092" w:type="pct"/>
            <w:vAlign w:val="center"/>
          </w:tcPr>
          <w:p w14:paraId="5101C00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简要内容</w:t>
            </w:r>
          </w:p>
        </w:tc>
        <w:tc>
          <w:tcPr>
            <w:tcW w:w="348" w:type="pct"/>
            <w:vAlign w:val="center"/>
          </w:tcPr>
          <w:p w14:paraId="19AA525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c>
          <w:tcPr>
            <w:tcW w:w="418" w:type="pct"/>
            <w:vAlign w:val="center"/>
          </w:tcPr>
          <w:p w14:paraId="485F8C6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实质性响应的具体内容</w:t>
            </w:r>
          </w:p>
        </w:tc>
        <w:tc>
          <w:tcPr>
            <w:tcW w:w="396" w:type="pct"/>
            <w:vAlign w:val="center"/>
          </w:tcPr>
          <w:p w14:paraId="4F62645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对应证明材料页码</w:t>
            </w:r>
          </w:p>
        </w:tc>
      </w:tr>
      <w:tr w14:paraId="3942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5" w:type="pct"/>
            <w:vAlign w:val="center"/>
          </w:tcPr>
          <w:p w14:paraId="019797F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59" w:type="pct"/>
            <w:vAlign w:val="center"/>
          </w:tcPr>
          <w:p w14:paraId="45B8F50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w:t>
            </w:r>
          </w:p>
        </w:tc>
        <w:tc>
          <w:tcPr>
            <w:tcW w:w="3092" w:type="pct"/>
            <w:vAlign w:val="center"/>
          </w:tcPr>
          <w:p w14:paraId="31A4AB3A">
            <w:pPr>
              <w:keepNext w:val="0"/>
              <w:keepLines w:val="0"/>
              <w:suppressLineNumbers w:val="0"/>
              <w:adjustRightInd w:val="0"/>
              <w:snapToGrid w:val="0"/>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项目概况</w:t>
            </w:r>
          </w:p>
        </w:tc>
        <w:tc>
          <w:tcPr>
            <w:tcW w:w="348" w:type="pct"/>
            <w:vAlign w:val="center"/>
          </w:tcPr>
          <w:p w14:paraId="49301EF5">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418" w:type="pct"/>
            <w:vAlign w:val="center"/>
          </w:tcPr>
          <w:p w14:paraId="589C1CDB">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96" w:type="pct"/>
            <w:vAlign w:val="center"/>
          </w:tcPr>
          <w:p w14:paraId="7E36A72A">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3E84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5" w:type="pct"/>
            <w:vAlign w:val="center"/>
          </w:tcPr>
          <w:p w14:paraId="6EE3B79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59" w:type="pct"/>
            <w:vAlign w:val="center"/>
          </w:tcPr>
          <w:p w14:paraId="541CCA77">
            <w:pPr>
              <w:keepNext w:val="0"/>
              <w:keepLines w:val="0"/>
              <w:suppressLineNumbers w:val="0"/>
              <w:spacing w:before="0" w:beforeAutospacing="0" w:after="0" w:afterAutospacing="0"/>
              <w:ind w:left="0" w:right="0"/>
              <w:jc w:val="center"/>
              <w:rPr>
                <w:rFonts w:hint="eastAsia" w:ascii="宋体" w:hAnsi="宋体" w:eastAsia="宋体" w:cs="宋体"/>
                <w:bCs w:val="0"/>
                <w:color w:val="auto"/>
                <w:kern w:val="0"/>
                <w:sz w:val="21"/>
                <w:szCs w:val="21"/>
                <w:highlight w:val="none"/>
                <w:lang w:val="zh-CN"/>
              </w:rPr>
            </w:pPr>
            <w:r>
              <w:rPr>
                <w:rFonts w:hint="eastAsia" w:ascii="宋体" w:hAnsi="宋体" w:eastAsia="宋体" w:cs="宋体"/>
                <w:bCs w:val="0"/>
                <w:color w:val="auto"/>
                <w:kern w:val="0"/>
                <w:sz w:val="21"/>
                <w:szCs w:val="21"/>
                <w:highlight w:val="none"/>
                <w:lang w:val="zh-CN"/>
              </w:rPr>
              <w:t>二</w:t>
            </w:r>
          </w:p>
        </w:tc>
        <w:tc>
          <w:tcPr>
            <w:tcW w:w="3092" w:type="pct"/>
            <w:vAlign w:val="center"/>
          </w:tcPr>
          <w:p w14:paraId="200EE7B5">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服务期限</w:t>
            </w:r>
            <w:r>
              <w:rPr>
                <w:rFonts w:hint="eastAsia" w:ascii="宋体" w:hAnsi="宋体" w:eastAsia="宋体" w:cs="宋体"/>
                <w:b/>
                <w:bCs/>
                <w:color w:val="auto"/>
                <w:sz w:val="21"/>
                <w:szCs w:val="21"/>
                <w:highlight w:val="none"/>
              </w:rPr>
              <w:t>及服务内容</w:t>
            </w:r>
          </w:p>
        </w:tc>
        <w:tc>
          <w:tcPr>
            <w:tcW w:w="348" w:type="pct"/>
            <w:vAlign w:val="center"/>
          </w:tcPr>
          <w:p w14:paraId="4A222C3C">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418" w:type="pct"/>
            <w:vAlign w:val="center"/>
          </w:tcPr>
          <w:p w14:paraId="790386AB">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96" w:type="pct"/>
            <w:vAlign w:val="center"/>
          </w:tcPr>
          <w:p w14:paraId="0C99CD39">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6CC6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 w:type="pct"/>
            <w:vAlign w:val="center"/>
          </w:tcPr>
          <w:p w14:paraId="5D1F5CC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59" w:type="pct"/>
            <w:vAlign w:val="center"/>
          </w:tcPr>
          <w:p w14:paraId="2E121357">
            <w:pPr>
              <w:keepNext w:val="0"/>
              <w:keepLines w:val="0"/>
              <w:suppressLineNumbers w:val="0"/>
              <w:spacing w:before="0" w:beforeAutospacing="0" w:after="0" w:afterAutospacing="0"/>
              <w:ind w:left="0" w:right="0"/>
              <w:jc w:val="center"/>
              <w:rPr>
                <w:rFonts w:hint="eastAsia" w:ascii="宋体" w:hAnsi="宋体" w:eastAsia="宋体" w:cs="宋体"/>
                <w:bCs w:val="0"/>
                <w:color w:val="auto"/>
                <w:sz w:val="21"/>
                <w:szCs w:val="21"/>
                <w:highlight w:val="none"/>
                <w:lang w:val="zh-CN"/>
              </w:rPr>
            </w:pPr>
            <w:r>
              <w:rPr>
                <w:rFonts w:hint="eastAsia" w:ascii="宋体" w:hAnsi="宋体" w:eastAsia="宋体" w:cs="宋体"/>
                <w:bCs w:val="0"/>
                <w:color w:val="auto"/>
                <w:sz w:val="21"/>
                <w:szCs w:val="21"/>
                <w:highlight w:val="none"/>
                <w:lang w:val="zh-CN"/>
              </w:rPr>
              <w:t>三</w:t>
            </w:r>
          </w:p>
        </w:tc>
        <w:tc>
          <w:tcPr>
            <w:tcW w:w="3092" w:type="pct"/>
            <w:vAlign w:val="center"/>
          </w:tcPr>
          <w:p w14:paraId="7AEB4EB7">
            <w:pPr>
              <w:keepNext w:val="0"/>
              <w:keepLines w:val="0"/>
              <w:suppressLineNumbers w:val="0"/>
              <w:adjustRightInd w:val="0"/>
              <w:snapToGrid w:val="0"/>
              <w:spacing w:before="0" w:beforeAutospacing="0" w:after="0" w:afterAutospacing="0"/>
              <w:ind w:left="0" w:right="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服务费的计算及支付方式</w:t>
            </w:r>
          </w:p>
        </w:tc>
        <w:tc>
          <w:tcPr>
            <w:tcW w:w="348" w:type="pct"/>
            <w:vAlign w:val="center"/>
          </w:tcPr>
          <w:p w14:paraId="386917B3">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418" w:type="pct"/>
            <w:vAlign w:val="center"/>
          </w:tcPr>
          <w:p w14:paraId="7E4CC331">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96" w:type="pct"/>
            <w:vAlign w:val="center"/>
          </w:tcPr>
          <w:p w14:paraId="11C730BE">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6969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 w:type="pct"/>
            <w:vAlign w:val="center"/>
          </w:tcPr>
          <w:p w14:paraId="244267D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val="en-US" w:eastAsia="zh-CN"/>
              </w:rPr>
            </w:pPr>
            <w:bookmarkStart w:id="749" w:name="_Toc440"/>
            <w:bookmarkStart w:id="750" w:name="_Toc4860"/>
            <w:bookmarkStart w:id="751" w:name="_Toc32583"/>
            <w:bookmarkStart w:id="752" w:name="_Toc195714402"/>
            <w:r>
              <w:rPr>
                <w:rFonts w:hint="eastAsia" w:ascii="宋体" w:hAnsi="宋体" w:eastAsia="宋体" w:cs="宋体"/>
                <w:color w:val="auto"/>
                <w:kern w:val="0"/>
                <w:sz w:val="21"/>
                <w:szCs w:val="21"/>
                <w:highlight w:val="none"/>
                <w:lang w:val="en-US" w:eastAsia="zh-CN"/>
              </w:rPr>
              <w:t>4</w:t>
            </w:r>
          </w:p>
        </w:tc>
        <w:tc>
          <w:tcPr>
            <w:tcW w:w="459" w:type="pct"/>
            <w:vAlign w:val="center"/>
          </w:tcPr>
          <w:p w14:paraId="3EA10750">
            <w:pPr>
              <w:keepNext w:val="0"/>
              <w:keepLines w:val="0"/>
              <w:suppressLineNumbers w:val="0"/>
              <w:spacing w:before="0" w:beforeAutospacing="0" w:after="0" w:afterAutospacing="0"/>
              <w:ind w:left="0" w:right="0"/>
              <w:jc w:val="center"/>
              <w:rPr>
                <w:rFonts w:hint="eastAsia"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lang w:val="en-US" w:eastAsia="zh-CN"/>
              </w:rPr>
              <w:t>四</w:t>
            </w:r>
          </w:p>
        </w:tc>
        <w:tc>
          <w:tcPr>
            <w:tcW w:w="3092" w:type="pct"/>
            <w:vAlign w:val="center"/>
          </w:tcPr>
          <w:p w14:paraId="230EC97C">
            <w:pPr>
              <w:keepNext w:val="0"/>
              <w:keepLines w:val="0"/>
              <w:suppressLineNumbers w:val="0"/>
              <w:adjustRightInd w:val="0"/>
              <w:snapToGrid w:val="0"/>
              <w:spacing w:before="0" w:beforeAutospacing="0" w:after="0" w:afterAutospacing="0"/>
              <w:ind w:left="0" w:right="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单项造价咨询服务完成时间要求</w:t>
            </w:r>
          </w:p>
        </w:tc>
        <w:tc>
          <w:tcPr>
            <w:tcW w:w="348" w:type="pct"/>
            <w:vAlign w:val="center"/>
          </w:tcPr>
          <w:p w14:paraId="6DB95540">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418" w:type="pct"/>
            <w:vAlign w:val="center"/>
          </w:tcPr>
          <w:p w14:paraId="1FF957C9">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96" w:type="pct"/>
            <w:vAlign w:val="center"/>
          </w:tcPr>
          <w:p w14:paraId="1FFCDA54">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1E7E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51E562BA">
            <w:pPr>
              <w:keepNext/>
              <w:keepLines/>
              <w:suppressLineNumbers w:val="0"/>
              <w:spacing w:before="0" w:beforeAutospacing="0" w:after="0" w:afterAutospacing="0" w:line="400" w:lineRule="exact"/>
              <w:ind w:left="0" w:right="0"/>
              <w:jc w:val="left"/>
              <w:outlineLvl w:val="2"/>
              <w:rPr>
                <w:rFonts w:hint="eastAsia" w:ascii="宋体" w:hAnsi="宋体" w:eastAsia="宋体" w:cs="宋体"/>
                <w:color w:val="auto"/>
                <w:kern w:val="0"/>
                <w:sz w:val="21"/>
                <w:szCs w:val="21"/>
                <w:highlight w:val="none"/>
              </w:rPr>
            </w:pPr>
            <w:bookmarkStart w:id="753" w:name="_Toc32586"/>
            <w:r>
              <w:rPr>
                <w:rFonts w:hint="eastAsia" w:ascii="宋体" w:hAnsi="宋体" w:eastAsia="宋体" w:cs="宋体"/>
                <w:color w:val="auto"/>
                <w:kern w:val="0"/>
                <w:sz w:val="21"/>
                <w:szCs w:val="21"/>
                <w:highlight w:val="none"/>
              </w:rPr>
              <w:t>用户需求书“★”条款汇总：</w:t>
            </w:r>
            <w:bookmarkEnd w:id="749"/>
            <w:bookmarkEnd w:id="750"/>
            <w:bookmarkEnd w:id="751"/>
            <w:bookmarkEnd w:id="752"/>
            <w:bookmarkEnd w:id="753"/>
          </w:p>
        </w:tc>
      </w:tr>
      <w:tr w14:paraId="5BD1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5" w:type="pct"/>
            <w:vAlign w:val="center"/>
          </w:tcPr>
          <w:p w14:paraId="68616CC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459" w:type="pct"/>
            <w:vAlign w:val="center"/>
          </w:tcPr>
          <w:p w14:paraId="248CA19B">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五</w:t>
            </w:r>
          </w:p>
        </w:tc>
        <w:tc>
          <w:tcPr>
            <w:tcW w:w="3092" w:type="pct"/>
            <w:vAlign w:val="center"/>
          </w:tcPr>
          <w:p w14:paraId="02CA7890">
            <w:pPr>
              <w:keepNext w:val="0"/>
              <w:keepLines w:val="0"/>
              <w:suppressLineNumbers w:val="0"/>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★五、服务要求</w:t>
            </w:r>
          </w:p>
          <w:p w14:paraId="749A5FB9">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5.1 根据国家和省、市有关工程造价的法规、政策、文件、以及基建财务管理的有关规定，本着为甲方节约投资的原则，科学、客观、公正地开展工程造价咨询服务工作；应按甲方的要求，按时按质按量提供咨询报告，对成果报告的真实性、准确性、完整性、合法性、合理性负责，并负有保密责任。</w:t>
            </w:r>
          </w:p>
          <w:p w14:paraId="3A609D95">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5.2 根据甲方的委托，编制和审核的工程概预算(含最高限价)、招标工程量清单应确保结果完整、科学、准确，符合工程项目的实际情况和国家有关工程计价规范；招标工程量清单设置要科学、合理，不得有高估冒算、虚列项目，也不得有漏项漏量、重项错量等错误，如有上述错误，应负相应的责任。</w:t>
            </w:r>
          </w:p>
          <w:p w14:paraId="018EFE3F">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5.3 在编制和审核工程概预算(含最高限价)、招标工程量清单时，如甲方有相关需求，乙方须对项目的设计方案作出技术经济分析，并向甲方提出优化方案和合理化建议；</w:t>
            </w:r>
          </w:p>
          <w:p w14:paraId="4670F668">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5.4货物（服务）采购项目的采购控制价进行市场询价(特殊材料除外)，应提交不少于三家或三家以上的有效报价，内容包括供应商名称、联系人、联系电话、报价明细、有效期，并提交对报价单位资质查询、对用户需求的响应分析、拟定价格方案等资料。具体以招标人相关制度要求为准。</w:t>
            </w:r>
          </w:p>
          <w:p w14:paraId="60F0BF0D">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5.5 要坚持科学准确、客观真实、公平公正、合理合法、廉洁高效的原则，审核工程竣工结算。必须及时配合甲方解决结算审核中存在的技术问题，在服务过程中，如发现计价原则方法的确定、重大的签证审核以及工程管理中存在违规行为要及时向甲方反映，不得擅自作出处理，要对项目的全过程管理依法作出正确的评价。</w:t>
            </w:r>
          </w:p>
          <w:p w14:paraId="13BD2316">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5.6 对存有疑问的地方，应配合甲方深入现场调查取证，逐一核实，按实际情况调整，保证工程造价咨询服务成果文件的合理性和真实性。重要的材料或设备价格，应及时与甲方沟通，协商确定合理的价格。</w:t>
            </w:r>
          </w:p>
          <w:p w14:paraId="013BF99A">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5.7 配合甲方做好编审依据的收集及取证工作，所有的编审依据必须是有效的书面资料，并妥善保存。</w:t>
            </w:r>
          </w:p>
          <w:p w14:paraId="1927E949">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5.8 不得接受同一项目不同委托人的造价咨询服务委托，即就同一项目既接受招标人的委托，又接受项目投标供应商、承包单位等相对利益关系人的委托。</w:t>
            </w:r>
          </w:p>
          <w:p w14:paraId="0C5229FD">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5.9 项目的结果未经甲方许可，不得泄露给他人。乙方应对受托任务涉及的有关资料、内容、成果以及结论承担保密的义务。</w:t>
            </w:r>
          </w:p>
          <w:p w14:paraId="1201E7BB">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5.10 对于甲方要求乙方驻场服务的项目，乙方有义务派出专业的人员驻场服务，</w:t>
            </w:r>
            <w:r>
              <w:rPr>
                <w:rFonts w:hint="eastAsia" w:ascii="宋体" w:hAnsi="宋体" w:eastAsia="宋体" w:cs="宋体"/>
                <w:color w:val="auto"/>
                <w:sz w:val="21"/>
                <w:szCs w:val="21"/>
                <w:highlight w:val="none"/>
              </w:rPr>
              <w:t>招标人仅提供服务场地。</w:t>
            </w:r>
          </w:p>
          <w:p w14:paraId="363E1D3F">
            <w:pPr>
              <w:keepNext w:val="0"/>
              <w:keepLines w:val="0"/>
              <w:suppressLineNumbers w:val="0"/>
              <w:spacing w:before="0" w:beforeAutospacing="0" w:after="0" w:afterAutospacing="0" w:line="360" w:lineRule="auto"/>
              <w:ind w:left="0" w:right="0" w:firstLine="422" w:firstLineChars="200"/>
              <w:jc w:val="both"/>
              <w:outlineLvl w:val="2"/>
              <w:rPr>
                <w:rFonts w:hint="eastAsia" w:ascii="宋体" w:hAnsi="宋体" w:eastAsia="宋体" w:cs="宋体"/>
                <w:b/>
                <w:bCs/>
                <w:color w:val="auto"/>
                <w:sz w:val="21"/>
                <w:szCs w:val="21"/>
                <w:highlight w:val="none"/>
              </w:rPr>
            </w:pPr>
            <w:bookmarkStart w:id="754" w:name="_Toc13584"/>
            <w:r>
              <w:rPr>
                <w:rFonts w:hint="eastAsia" w:ascii="宋体" w:hAnsi="宋体" w:eastAsia="宋体" w:cs="宋体"/>
                <w:b/>
                <w:bCs/>
                <w:color w:val="auto"/>
                <w:sz w:val="21"/>
                <w:szCs w:val="21"/>
                <w:highlight w:val="none"/>
              </w:rPr>
              <w:t>5.1</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 xml:space="preserve"> 人员要求</w:t>
            </w:r>
            <w:bookmarkEnd w:id="754"/>
          </w:p>
          <w:p w14:paraId="34AAAD75">
            <w:pPr>
              <w:keepNext w:val="0"/>
              <w:keepLines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（1）拟投入本项目的技术负责人（仅一人）须具有一级注册造价工程师证书，并具有工程或者经济系列高级专业技术职称。</w:t>
            </w:r>
          </w:p>
          <w:p w14:paraId="405A459D">
            <w:pPr>
              <w:keepNext w:val="0"/>
              <w:keepLines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（2）拟投入本项目的服务团队（除技术负责人外）取得二级造价工程师（或以上）注册证书的人员应不少于6人。</w:t>
            </w:r>
          </w:p>
          <w:p w14:paraId="642570DF">
            <w:pPr>
              <w:pStyle w:val="16"/>
              <w:keepNext w:val="0"/>
              <w:keepLines w:val="0"/>
              <w:suppressLineNumbers w:val="0"/>
              <w:spacing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b/>
                <w:bCs/>
                <w:color w:val="auto"/>
                <w:sz w:val="21"/>
                <w:szCs w:val="21"/>
                <w:highlight w:val="none"/>
              </w:rPr>
              <w:t>注：1、同一人员具备同一种类证书的仅按最高等级证书计算；2、以上人员须提供身份证、注册证书（或职称证）、社会保障部门出具的最近3个月（即202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月至202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月）在投标人单位缴纳社会养老保险有效凭证等证明材料</w:t>
            </w:r>
            <w:r>
              <w:rPr>
                <w:rFonts w:hint="eastAsia" w:ascii="宋体" w:hAnsi="宋体" w:eastAsia="宋体" w:cs="宋体"/>
                <w:b/>
                <w:bCs/>
                <w:color w:val="auto"/>
                <w:sz w:val="21"/>
                <w:szCs w:val="21"/>
                <w:highlight w:val="none"/>
                <w:lang w:val="en-US" w:eastAsia="zh-CN"/>
              </w:rPr>
              <w:t>扫描件</w:t>
            </w:r>
            <w:r>
              <w:rPr>
                <w:rFonts w:hint="eastAsia" w:ascii="宋体" w:hAnsi="宋体" w:eastAsia="宋体" w:cs="宋体"/>
                <w:b/>
                <w:bCs/>
                <w:color w:val="auto"/>
                <w:sz w:val="21"/>
                <w:szCs w:val="21"/>
                <w:highlight w:val="none"/>
              </w:rPr>
              <w:t>加盖投标人公章。</w:t>
            </w:r>
          </w:p>
        </w:tc>
        <w:tc>
          <w:tcPr>
            <w:tcW w:w="348" w:type="pct"/>
            <w:vAlign w:val="center"/>
          </w:tcPr>
          <w:p w14:paraId="617F7616">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418" w:type="pct"/>
            <w:vAlign w:val="center"/>
          </w:tcPr>
          <w:p w14:paraId="5E8F3CBF">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96" w:type="pct"/>
            <w:vAlign w:val="center"/>
          </w:tcPr>
          <w:p w14:paraId="210B247C">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3B0B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5" w:type="pct"/>
            <w:vAlign w:val="center"/>
          </w:tcPr>
          <w:p w14:paraId="2390273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6</w:t>
            </w:r>
          </w:p>
        </w:tc>
        <w:tc>
          <w:tcPr>
            <w:tcW w:w="459" w:type="pct"/>
            <w:vAlign w:val="center"/>
          </w:tcPr>
          <w:p w14:paraId="2FCF7A41">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rPr>
              <w:t>六</w:t>
            </w:r>
          </w:p>
        </w:tc>
        <w:tc>
          <w:tcPr>
            <w:tcW w:w="3092" w:type="pct"/>
            <w:vAlign w:val="center"/>
          </w:tcPr>
          <w:p w14:paraId="43E5F449">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六、</w:t>
            </w:r>
            <w:r>
              <w:rPr>
                <w:rFonts w:hint="eastAsia" w:ascii="宋体" w:hAnsi="宋体" w:eastAsia="宋体" w:cs="宋体"/>
                <w:b/>
                <w:color w:val="auto"/>
                <w:sz w:val="21"/>
                <w:szCs w:val="21"/>
                <w:highlight w:val="none"/>
                <w:lang w:val="en-US" w:eastAsia="zh-CN"/>
              </w:rPr>
              <w:t>投标人需在东莞市住房和城乡建设局（网址：http://zjj.dg.gov.cn/）及</w:t>
            </w:r>
            <w:r>
              <w:rPr>
                <w:rFonts w:hint="eastAsia" w:ascii="宋体" w:hAnsi="宋体" w:eastAsia="宋体" w:cs="宋体"/>
                <w:b/>
                <w:color w:val="auto"/>
                <w:sz w:val="21"/>
                <w:szCs w:val="21"/>
                <w:highlight w:val="none"/>
                <w:lang w:val="en-US" w:eastAsia="en-US"/>
              </w:rPr>
              <w:t>东莞市水务局“水务工程参建企业信用管理系统”（简称“水务信用系统”）</w:t>
            </w:r>
            <w:r>
              <w:rPr>
                <w:rFonts w:hint="eastAsia" w:ascii="宋体" w:hAnsi="宋体" w:eastAsia="宋体" w:cs="宋体"/>
                <w:b/>
                <w:color w:val="auto"/>
                <w:sz w:val="21"/>
                <w:szCs w:val="21"/>
                <w:highlight w:val="none"/>
                <w:lang w:val="en-US" w:eastAsia="zh-CN"/>
              </w:rPr>
              <w:t>完成企业信息档案登记（企业类型必须为：造价咨询机构），并且处于“可用状态”。如果投标人在提交投标文件截止时间未能完成企业信息</w:t>
            </w:r>
            <w:bookmarkStart w:id="812" w:name="_GoBack"/>
            <w:bookmarkEnd w:id="812"/>
            <w:r>
              <w:rPr>
                <w:rFonts w:hint="eastAsia" w:ascii="宋体" w:hAnsi="宋体" w:eastAsia="宋体" w:cs="宋体"/>
                <w:b/>
                <w:color w:val="auto"/>
                <w:sz w:val="21"/>
                <w:szCs w:val="21"/>
                <w:highlight w:val="none"/>
                <w:lang w:val="en-US" w:eastAsia="zh-CN"/>
              </w:rPr>
              <w:t>档案登记，需提供单独的承诺书，承诺中标后一个月内在东莞市住房和城乡建设局及</w:t>
            </w:r>
            <w:r>
              <w:rPr>
                <w:rFonts w:hint="eastAsia" w:ascii="宋体" w:hAnsi="宋体" w:eastAsia="宋体" w:cs="宋体"/>
                <w:b/>
                <w:color w:val="auto"/>
                <w:sz w:val="21"/>
                <w:szCs w:val="21"/>
                <w:highlight w:val="none"/>
                <w:lang w:val="en-US" w:eastAsia="en-US"/>
              </w:rPr>
              <w:t>水务信用系统</w:t>
            </w:r>
            <w:r>
              <w:rPr>
                <w:rFonts w:hint="eastAsia" w:ascii="宋体" w:hAnsi="宋体" w:eastAsia="宋体" w:cs="宋体"/>
                <w:b/>
                <w:color w:val="auto"/>
                <w:sz w:val="21"/>
                <w:szCs w:val="21"/>
                <w:highlight w:val="none"/>
                <w:lang w:val="en-US" w:eastAsia="zh-CN"/>
              </w:rPr>
              <w:t>中完成企业信息登记工作（须提供承诺函加盖投标人法人公章）。</w:t>
            </w:r>
          </w:p>
        </w:tc>
        <w:tc>
          <w:tcPr>
            <w:tcW w:w="348" w:type="pct"/>
            <w:vAlign w:val="center"/>
          </w:tcPr>
          <w:p w14:paraId="0D40B122">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418" w:type="pct"/>
            <w:vAlign w:val="center"/>
          </w:tcPr>
          <w:p w14:paraId="3D8F40A9">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96" w:type="pct"/>
            <w:vAlign w:val="center"/>
          </w:tcPr>
          <w:p w14:paraId="445CE04D">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5B10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5" w:type="pct"/>
            <w:vAlign w:val="center"/>
          </w:tcPr>
          <w:p w14:paraId="2A07038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w:t>
            </w:r>
          </w:p>
        </w:tc>
        <w:tc>
          <w:tcPr>
            <w:tcW w:w="459" w:type="pct"/>
            <w:vAlign w:val="center"/>
          </w:tcPr>
          <w:p w14:paraId="0A28A80D">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rPr>
              <w:t>七</w:t>
            </w:r>
          </w:p>
        </w:tc>
        <w:tc>
          <w:tcPr>
            <w:tcW w:w="3092" w:type="pct"/>
            <w:vAlign w:val="center"/>
          </w:tcPr>
          <w:p w14:paraId="0C0F35AE">
            <w:pPr>
              <w:keepNext w:val="0"/>
              <w:keepLines w:val="0"/>
              <w:suppressLineNumbers w:val="0"/>
              <w:spacing w:before="0" w:beforeAutospacing="0" w:after="0" w:afterAutospacing="0" w:line="360" w:lineRule="auto"/>
              <w:ind w:left="0" w:right="0"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★七、招标结果公示期间，招标人有权核查中标候选人办公场所、设备以及拟投入服务人员情况，如与造价</w:t>
            </w:r>
            <w:r>
              <w:rPr>
                <w:rFonts w:hint="eastAsia" w:ascii="宋体" w:hAnsi="宋体" w:eastAsia="宋体" w:cs="宋体"/>
                <w:b/>
                <w:bCs/>
                <w:color w:val="auto"/>
                <w:sz w:val="21"/>
                <w:szCs w:val="21"/>
                <w:highlight w:val="none"/>
                <w:lang w:eastAsia="zh-CN"/>
              </w:rPr>
              <w:t>咨询服务</w:t>
            </w:r>
            <w:r>
              <w:rPr>
                <w:rFonts w:hint="eastAsia" w:ascii="宋体" w:hAnsi="宋体" w:eastAsia="宋体" w:cs="宋体"/>
                <w:b/>
                <w:bCs/>
                <w:color w:val="auto"/>
                <w:sz w:val="21"/>
                <w:szCs w:val="21"/>
                <w:highlight w:val="none"/>
              </w:rPr>
              <w:t>单位投标文件不相符，招标人有权取消其中标资格，并根据评标委员会</w:t>
            </w:r>
            <w:r>
              <w:rPr>
                <w:rFonts w:hint="eastAsia" w:ascii="宋体" w:hAnsi="宋体" w:eastAsia="宋体" w:cs="宋体"/>
                <w:b/>
                <w:color w:val="auto"/>
                <w:sz w:val="21"/>
                <w:szCs w:val="21"/>
                <w:highlight w:val="none"/>
              </w:rPr>
              <w:t>推荐顺序</w:t>
            </w:r>
            <w:r>
              <w:rPr>
                <w:rFonts w:hint="eastAsia" w:ascii="宋体" w:hAnsi="宋体" w:eastAsia="宋体" w:cs="宋体"/>
                <w:b/>
                <w:bCs/>
                <w:color w:val="auto"/>
                <w:sz w:val="21"/>
                <w:szCs w:val="21"/>
                <w:highlight w:val="none"/>
              </w:rPr>
              <w:t>确定其他</w:t>
            </w:r>
            <w:r>
              <w:rPr>
                <w:rFonts w:hint="eastAsia" w:ascii="宋体" w:hAnsi="宋体" w:eastAsia="宋体" w:cs="宋体"/>
                <w:b/>
                <w:color w:val="auto"/>
                <w:sz w:val="21"/>
                <w:szCs w:val="21"/>
                <w:highlight w:val="none"/>
              </w:rPr>
              <w:t>中标人</w:t>
            </w:r>
            <w:r>
              <w:rPr>
                <w:rFonts w:hint="eastAsia" w:ascii="宋体" w:hAnsi="宋体" w:eastAsia="宋体" w:cs="宋体"/>
                <w:b/>
                <w:bCs/>
                <w:color w:val="auto"/>
                <w:sz w:val="21"/>
                <w:szCs w:val="21"/>
                <w:highlight w:val="none"/>
              </w:rPr>
              <w:t>（须提供承诺函加盖投标人法人公章）。</w:t>
            </w:r>
          </w:p>
        </w:tc>
        <w:tc>
          <w:tcPr>
            <w:tcW w:w="348" w:type="pct"/>
            <w:vAlign w:val="center"/>
          </w:tcPr>
          <w:p w14:paraId="2401C4D2">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418" w:type="pct"/>
            <w:vAlign w:val="center"/>
          </w:tcPr>
          <w:p w14:paraId="306B1ECF">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96" w:type="pct"/>
            <w:vAlign w:val="center"/>
          </w:tcPr>
          <w:p w14:paraId="4DB9764A">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bl>
    <w:p w14:paraId="5D6D8DCD">
      <w:pPr>
        <w:spacing w:line="360" w:lineRule="auto"/>
        <w:rPr>
          <w:rFonts w:ascii="宋体" w:hAnsi="宋体" w:eastAsia="宋体" w:cs="宋体"/>
          <w:color w:val="auto"/>
          <w:szCs w:val="21"/>
          <w:highlight w:val="none"/>
        </w:rPr>
      </w:pPr>
    </w:p>
    <w:p w14:paraId="2EC5A07D">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24187FEE">
      <w:pPr>
        <w:spacing w:line="360" w:lineRule="auto"/>
        <w:ind w:left="605" w:leftChars="18" w:hanging="567" w:hangingChars="270"/>
        <w:rPr>
          <w:rFonts w:ascii="宋体" w:hAnsi="宋体" w:eastAsia="宋体" w:cs="宋体"/>
          <w:b/>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39A6BF94">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33EC8BDF">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服务能力的技术支持资料作为本表的附件，并在本偏离表“对应证明材料页码”项内注明其在投标文件中的具体页码。</w:t>
      </w:r>
    </w:p>
    <w:p w14:paraId="5334F323">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w:t>
      </w:r>
      <w:r>
        <w:rPr>
          <w:rFonts w:hint="eastAsia" w:ascii="宋体" w:hAnsi="宋体" w:eastAsia="宋体" w:cs="Times New Roman"/>
          <w:b/>
          <w:color w:val="auto"/>
          <w:kern w:val="0"/>
          <w:szCs w:val="21"/>
          <w:highlight w:val="none"/>
          <w:u w:val="single"/>
        </w:rPr>
        <w:t>商务</w:t>
      </w:r>
      <w:r>
        <w:rPr>
          <w:rFonts w:ascii="宋体" w:hAnsi="宋体" w:eastAsia="宋体" w:cs="Times New Roman"/>
          <w:b/>
          <w:color w:val="auto"/>
          <w:kern w:val="0"/>
          <w:szCs w:val="21"/>
          <w:highlight w:val="none"/>
          <w:u w:val="single"/>
        </w:rPr>
        <w:t>要求或</w:t>
      </w:r>
      <w:r>
        <w:rPr>
          <w:rFonts w:hint="eastAsia" w:ascii="宋体" w:hAnsi="宋体" w:eastAsia="宋体" w:cs="Times New Roman"/>
          <w:b/>
          <w:color w:val="auto"/>
          <w:kern w:val="0"/>
          <w:szCs w:val="21"/>
          <w:highlight w:val="none"/>
          <w:u w:val="single"/>
        </w:rPr>
        <w:t>技术</w:t>
      </w:r>
      <w:r>
        <w:rPr>
          <w:rFonts w:ascii="宋体" w:hAnsi="宋体" w:eastAsia="宋体" w:cs="Times New Roman"/>
          <w:b/>
          <w:color w:val="auto"/>
          <w:kern w:val="0"/>
          <w:szCs w:val="21"/>
          <w:highlight w:val="none"/>
          <w:u w:val="single"/>
        </w:rPr>
        <w:t>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w:t>
      </w:r>
      <w:r>
        <w:rPr>
          <w:rFonts w:hint="eastAsia" w:ascii="宋体" w:hAnsi="宋体" w:eastAsia="宋体" w:cs="Times New Roman"/>
          <w:b/>
          <w:color w:val="auto"/>
          <w:kern w:val="0"/>
          <w:szCs w:val="21"/>
          <w:highlight w:val="none"/>
          <w:u w:val="single"/>
        </w:rPr>
        <w:t>条款</w:t>
      </w:r>
      <w:r>
        <w:rPr>
          <w:rFonts w:ascii="宋体" w:hAnsi="宋体" w:eastAsia="宋体" w:cs="Times New Roman"/>
          <w:b/>
          <w:color w:val="auto"/>
          <w:kern w:val="0"/>
          <w:szCs w:val="21"/>
          <w:highlight w:val="none"/>
          <w:u w:val="single"/>
        </w:rPr>
        <w:t>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14:paraId="566BED1C">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63A58FE4">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5987ED24">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08714E27">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71FD2F64">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19FA3723">
      <w:pPr>
        <w:widowControl/>
        <w:autoSpaceDE w:val="0"/>
        <w:autoSpaceDN w:val="0"/>
        <w:adjustRightInd w:val="0"/>
        <w:spacing w:line="360" w:lineRule="auto"/>
        <w:jc w:val="center"/>
        <w:rPr>
          <w:rFonts w:ascii="宋体" w:hAnsi="宋体" w:eastAsia="宋体" w:cs="Times New Roman"/>
          <w:color w:val="auto"/>
          <w:szCs w:val="21"/>
          <w:highlight w:val="none"/>
        </w:rPr>
      </w:pPr>
      <w:r>
        <w:rPr>
          <w:rFonts w:hint="eastAsia" w:ascii="宋体" w:hAnsi="宋体" w:eastAsia="宋体" w:cs="Times New Roman"/>
          <w:b/>
          <w:bCs/>
          <w:color w:val="auto"/>
          <w:szCs w:val="24"/>
          <w:highlight w:val="none"/>
          <w:lang w:val="zh-CN"/>
        </w:rPr>
        <w:t>说明：由投标人使用投标人的企业数字证书电子签名。</w:t>
      </w:r>
    </w:p>
    <w:p w14:paraId="2098407A">
      <w:pPr>
        <w:autoSpaceDE w:val="0"/>
        <w:autoSpaceDN w:val="0"/>
        <w:adjustRightInd w:val="0"/>
        <w:ind w:left="15" w:leftChars="-50" w:hanging="120"/>
        <w:jc w:val="left"/>
        <w:rPr>
          <w:rFonts w:ascii="宋体" w:hAnsi="宋体" w:eastAsia="宋体" w:cs="宋体"/>
          <w:color w:val="auto"/>
          <w:kern w:val="0"/>
          <w:szCs w:val="21"/>
          <w:highlight w:val="none"/>
        </w:rPr>
      </w:pPr>
    </w:p>
    <w:p w14:paraId="19BA8FFF">
      <w:pPr>
        <w:tabs>
          <w:tab w:val="left" w:pos="567"/>
        </w:tabs>
        <w:autoSpaceDE w:val="0"/>
        <w:autoSpaceDN w:val="0"/>
        <w:adjustRightInd w:val="0"/>
        <w:spacing w:line="360" w:lineRule="auto"/>
        <w:jc w:val="left"/>
        <w:outlineLvl w:val="9"/>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755" w:name="_Toc102860094"/>
      <w:bookmarkStart w:id="756" w:name="_Toc142508389"/>
      <w:bookmarkStart w:id="757" w:name="_Toc140596949"/>
      <w:bookmarkStart w:id="758" w:name="_Toc104991896"/>
      <w:bookmarkStart w:id="759" w:name="_Toc102860438"/>
      <w:bookmarkStart w:id="760" w:name="_Toc533708139"/>
    </w:p>
    <w:p w14:paraId="4F4FE9EA">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761" w:name="_Toc2738"/>
      <w:bookmarkStart w:id="762" w:name="_Toc25329"/>
      <w:bookmarkStart w:id="763" w:name="_Toc195714407"/>
      <w:bookmarkStart w:id="764" w:name="_Toc19562"/>
      <w:bookmarkStart w:id="765" w:name="_Toc21914"/>
      <w:r>
        <w:rPr>
          <w:rFonts w:hint="eastAsia" w:ascii="宋体" w:hAnsi="宋体" w:eastAsia="宋体" w:cs="宋体"/>
          <w:b/>
          <w:color w:val="auto"/>
          <w:kern w:val="0"/>
          <w:sz w:val="30"/>
          <w:szCs w:val="30"/>
          <w:highlight w:val="none"/>
          <w:lang w:val="en-US" w:eastAsia="zh-CN"/>
        </w:rPr>
        <w:t>二</w:t>
      </w:r>
      <w:r>
        <w:rPr>
          <w:rFonts w:hint="eastAsia" w:ascii="宋体" w:hAnsi="宋体" w:eastAsia="宋体" w:cs="宋体"/>
          <w:b/>
          <w:color w:val="auto"/>
          <w:kern w:val="0"/>
          <w:sz w:val="30"/>
          <w:szCs w:val="30"/>
          <w:highlight w:val="none"/>
        </w:rPr>
        <w:t>、</w:t>
      </w:r>
      <w:bookmarkEnd w:id="761"/>
      <w:bookmarkEnd w:id="762"/>
      <w:bookmarkEnd w:id="763"/>
      <w:bookmarkEnd w:id="764"/>
      <w:r>
        <w:rPr>
          <w:rFonts w:hint="eastAsia" w:ascii="宋体" w:hAnsi="宋体" w:eastAsia="宋体" w:cs="宋体"/>
          <w:b/>
          <w:color w:val="auto"/>
          <w:kern w:val="0"/>
          <w:sz w:val="30"/>
          <w:szCs w:val="30"/>
          <w:highlight w:val="none"/>
          <w:lang w:eastAsia="zh-CN"/>
        </w:rPr>
        <w:t>工作流程及政策了解</w:t>
      </w:r>
      <w:bookmarkEnd w:id="765"/>
    </w:p>
    <w:p w14:paraId="6E74046C">
      <w:pPr>
        <w:widowControl/>
        <w:spacing w:line="360" w:lineRule="auto"/>
        <w:jc w:val="left"/>
        <w:rPr>
          <w:rFonts w:ascii="宋体" w:hAnsi="宋体" w:eastAsia="宋体" w:cs="宋体"/>
          <w:b/>
          <w:color w:val="auto"/>
          <w:kern w:val="0"/>
          <w:sz w:val="30"/>
          <w:szCs w:val="30"/>
          <w:highlight w:val="none"/>
        </w:rPr>
      </w:pPr>
    </w:p>
    <w:p w14:paraId="4F90F0A8">
      <w:pPr>
        <w:jc w:val="left"/>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49273FFD">
      <w:pPr>
        <w:numPr>
          <w:ilvl w:val="0"/>
          <w:numId w:val="3"/>
        </w:numPr>
        <w:tabs>
          <w:tab w:val="left" w:pos="567"/>
        </w:tabs>
        <w:autoSpaceDE w:val="0"/>
        <w:autoSpaceDN w:val="0"/>
        <w:adjustRightInd w:val="0"/>
        <w:spacing w:line="360" w:lineRule="auto"/>
        <w:ind w:left="0" w:leftChars="0" w:firstLine="0" w:firstLineChars="0"/>
        <w:jc w:val="left"/>
        <w:outlineLvl w:val="2"/>
        <w:rPr>
          <w:rFonts w:hint="eastAsia" w:ascii="宋体" w:hAnsi="宋体" w:eastAsia="宋体" w:cs="宋体"/>
          <w:b/>
          <w:color w:val="auto"/>
          <w:kern w:val="0"/>
          <w:sz w:val="30"/>
          <w:szCs w:val="30"/>
          <w:highlight w:val="none"/>
          <w:lang w:val="en-US" w:eastAsia="zh-CN"/>
        </w:rPr>
      </w:pPr>
      <w:bookmarkStart w:id="766" w:name="_Toc7771"/>
      <w:bookmarkStart w:id="767" w:name="_Toc29450"/>
      <w:bookmarkStart w:id="768" w:name="_Toc195714408"/>
      <w:bookmarkStart w:id="769" w:name="_Toc6066"/>
      <w:bookmarkStart w:id="770" w:name="_Toc24563"/>
      <w:r>
        <w:rPr>
          <w:rFonts w:hint="eastAsia" w:ascii="宋体" w:hAnsi="宋体" w:eastAsia="宋体" w:cs="宋体"/>
          <w:b/>
          <w:color w:val="auto"/>
          <w:kern w:val="0"/>
          <w:sz w:val="30"/>
          <w:szCs w:val="30"/>
          <w:highlight w:val="none"/>
          <w:lang w:val="en-US" w:eastAsia="zh-CN"/>
        </w:rPr>
        <w:t>进度保障</w:t>
      </w:r>
      <w:bookmarkEnd w:id="766"/>
    </w:p>
    <w:p w14:paraId="783B3909">
      <w:pPr>
        <w:keepNext w:val="0"/>
        <w:keepLines w:val="0"/>
        <w:pageBreakBefore/>
        <w:widowControl w:val="0"/>
        <w:numPr>
          <w:ilvl w:val="0"/>
          <w:numId w:val="3"/>
        </w:numPr>
        <w:tabs>
          <w:tab w:val="left" w:pos="567"/>
        </w:tabs>
        <w:kinsoku/>
        <w:wordWrap/>
        <w:overflowPunct/>
        <w:topLinePunct w:val="0"/>
        <w:autoSpaceDE w:val="0"/>
        <w:autoSpaceDN w:val="0"/>
        <w:bidi w:val="0"/>
        <w:adjustRightInd w:val="0"/>
        <w:snapToGrid/>
        <w:spacing w:line="360" w:lineRule="auto"/>
        <w:ind w:left="0" w:leftChars="0" w:firstLine="0" w:firstLineChars="0"/>
        <w:jc w:val="left"/>
        <w:textAlignment w:val="auto"/>
        <w:outlineLvl w:val="2"/>
        <w:rPr>
          <w:rFonts w:ascii="宋体" w:hAnsi="宋体" w:eastAsia="宋体" w:cs="宋体"/>
          <w:b/>
          <w:color w:val="auto"/>
          <w:kern w:val="0"/>
          <w:sz w:val="30"/>
          <w:szCs w:val="30"/>
          <w:highlight w:val="none"/>
        </w:rPr>
      </w:pPr>
      <w:bookmarkStart w:id="771" w:name="_Toc13611"/>
      <w:r>
        <w:rPr>
          <w:rFonts w:hint="eastAsia" w:ascii="宋体" w:hAnsi="宋体" w:eastAsia="宋体" w:cs="宋体"/>
          <w:b/>
          <w:color w:val="auto"/>
          <w:kern w:val="0"/>
          <w:sz w:val="30"/>
          <w:szCs w:val="30"/>
          <w:highlight w:val="none"/>
          <w:lang w:val="en-US" w:eastAsia="zh-CN"/>
        </w:rPr>
        <w:t>质量保证措施</w:t>
      </w:r>
      <w:bookmarkEnd w:id="771"/>
    </w:p>
    <w:p w14:paraId="1519524F">
      <w:pPr>
        <w:keepNext w:val="0"/>
        <w:keepLines w:val="0"/>
        <w:pageBreakBefore/>
        <w:widowControl w:val="0"/>
        <w:numPr>
          <w:ilvl w:val="0"/>
          <w:numId w:val="3"/>
        </w:numPr>
        <w:tabs>
          <w:tab w:val="left" w:pos="567"/>
        </w:tabs>
        <w:kinsoku/>
        <w:wordWrap/>
        <w:overflowPunct/>
        <w:topLinePunct w:val="0"/>
        <w:autoSpaceDE w:val="0"/>
        <w:autoSpaceDN w:val="0"/>
        <w:bidi w:val="0"/>
        <w:adjustRightInd w:val="0"/>
        <w:snapToGrid/>
        <w:spacing w:line="360" w:lineRule="auto"/>
        <w:ind w:left="0" w:leftChars="0" w:firstLine="0" w:firstLineChars="0"/>
        <w:jc w:val="left"/>
        <w:textAlignment w:val="auto"/>
        <w:outlineLvl w:val="2"/>
        <w:rPr>
          <w:rFonts w:ascii="宋体" w:hAnsi="宋体" w:eastAsia="宋体" w:cs="宋体"/>
          <w:b/>
          <w:color w:val="auto"/>
          <w:kern w:val="0"/>
          <w:sz w:val="30"/>
          <w:szCs w:val="30"/>
          <w:highlight w:val="none"/>
        </w:rPr>
      </w:pPr>
      <w:bookmarkStart w:id="772" w:name="_Toc3308"/>
      <w:r>
        <w:rPr>
          <w:rFonts w:hint="eastAsia" w:ascii="宋体" w:hAnsi="宋体" w:eastAsia="宋体" w:cs="宋体"/>
          <w:b/>
          <w:color w:val="auto"/>
          <w:kern w:val="0"/>
          <w:sz w:val="30"/>
          <w:szCs w:val="30"/>
          <w:highlight w:val="none"/>
          <w:lang w:val="en-US" w:eastAsia="zh-CN"/>
        </w:rPr>
        <w:t>质量跟踪及信息反馈机制</w:t>
      </w:r>
      <w:bookmarkEnd w:id="772"/>
    </w:p>
    <w:p w14:paraId="52C448DC">
      <w:pPr>
        <w:keepNext w:val="0"/>
        <w:keepLines w:val="0"/>
        <w:pageBreakBefore/>
        <w:widowControl w:val="0"/>
        <w:numPr>
          <w:ilvl w:val="0"/>
          <w:numId w:val="3"/>
        </w:numPr>
        <w:tabs>
          <w:tab w:val="left" w:pos="567"/>
        </w:tabs>
        <w:kinsoku/>
        <w:wordWrap/>
        <w:overflowPunct/>
        <w:topLinePunct w:val="0"/>
        <w:autoSpaceDE w:val="0"/>
        <w:autoSpaceDN w:val="0"/>
        <w:bidi w:val="0"/>
        <w:adjustRightInd w:val="0"/>
        <w:snapToGrid/>
        <w:spacing w:line="360" w:lineRule="auto"/>
        <w:ind w:left="0" w:leftChars="0" w:firstLine="0" w:firstLineChars="0"/>
        <w:jc w:val="left"/>
        <w:textAlignment w:val="auto"/>
        <w:outlineLvl w:val="2"/>
        <w:rPr>
          <w:rFonts w:ascii="宋体" w:hAnsi="宋体" w:eastAsia="宋体" w:cs="宋体"/>
          <w:b/>
          <w:color w:val="auto"/>
          <w:kern w:val="0"/>
          <w:sz w:val="30"/>
          <w:szCs w:val="30"/>
          <w:highlight w:val="none"/>
        </w:rPr>
      </w:pPr>
      <w:bookmarkStart w:id="773" w:name="_Toc8905"/>
      <w:r>
        <w:rPr>
          <w:rFonts w:hint="eastAsia" w:ascii="宋体" w:hAnsi="宋体" w:eastAsia="宋体" w:cs="宋体"/>
          <w:b/>
          <w:color w:val="auto"/>
          <w:kern w:val="0"/>
          <w:sz w:val="30"/>
          <w:szCs w:val="30"/>
          <w:highlight w:val="none"/>
        </w:rPr>
        <w:t>投标人认为有必要提供的其它材料（不做强制要求）</w:t>
      </w:r>
      <w:bookmarkEnd w:id="773"/>
    </w:p>
    <w:bookmarkEnd w:id="767"/>
    <w:bookmarkEnd w:id="768"/>
    <w:bookmarkEnd w:id="769"/>
    <w:bookmarkEnd w:id="770"/>
    <w:p w14:paraId="7F957216">
      <w:pPr>
        <w:widowControl/>
        <w:autoSpaceDE w:val="0"/>
        <w:autoSpaceDN w:val="0"/>
        <w:adjustRightInd w:val="0"/>
        <w:spacing w:line="360" w:lineRule="auto"/>
        <w:jc w:val="center"/>
        <w:rPr>
          <w:rFonts w:ascii="宋体" w:hAnsi="宋体" w:eastAsia="宋体" w:cs="Times New Roman"/>
          <w:color w:val="auto"/>
          <w:szCs w:val="21"/>
          <w:highlight w:val="none"/>
        </w:rPr>
      </w:pPr>
    </w:p>
    <w:p w14:paraId="6547DE46">
      <w:pPr>
        <w:pStyle w:val="16"/>
        <w:rPr>
          <w:color w:val="auto"/>
          <w:highlight w:val="none"/>
        </w:rPr>
      </w:pPr>
    </w:p>
    <w:p w14:paraId="71DE2DA3">
      <w:pPr>
        <w:tabs>
          <w:tab w:val="left" w:pos="567"/>
        </w:tabs>
        <w:autoSpaceDE w:val="0"/>
        <w:autoSpaceDN w:val="0"/>
        <w:adjustRightInd w:val="0"/>
        <w:spacing w:line="360" w:lineRule="auto"/>
        <w:jc w:val="left"/>
        <w:rPr>
          <w:rFonts w:ascii="宋体" w:hAnsi="宋体" w:eastAsia="宋体" w:cs="宋体"/>
          <w:b/>
          <w:color w:val="auto"/>
          <w:kern w:val="0"/>
          <w:sz w:val="30"/>
          <w:szCs w:val="30"/>
          <w:highlight w:val="none"/>
        </w:rPr>
      </w:pPr>
    </w:p>
    <w:p w14:paraId="0272F6C9">
      <w:pPr>
        <w:tabs>
          <w:tab w:val="left" w:pos="567"/>
        </w:tabs>
        <w:autoSpaceDE w:val="0"/>
        <w:autoSpaceDN w:val="0"/>
        <w:adjustRightInd w:val="0"/>
        <w:spacing w:line="360" w:lineRule="auto"/>
        <w:jc w:val="left"/>
        <w:rPr>
          <w:rFonts w:ascii="宋体" w:hAnsi="宋体" w:eastAsia="宋体" w:cs="宋体"/>
          <w:b/>
          <w:color w:val="auto"/>
          <w:kern w:val="0"/>
          <w:sz w:val="30"/>
          <w:szCs w:val="30"/>
          <w:highlight w:val="none"/>
        </w:rPr>
      </w:pPr>
    </w:p>
    <w:bookmarkEnd w:id="755"/>
    <w:bookmarkEnd w:id="756"/>
    <w:bookmarkEnd w:id="757"/>
    <w:bookmarkEnd w:id="758"/>
    <w:bookmarkEnd w:id="759"/>
    <w:p w14:paraId="47AD93DC">
      <w:pPr>
        <w:autoSpaceDE w:val="0"/>
        <w:autoSpaceDN w:val="0"/>
        <w:adjustRightInd w:val="0"/>
        <w:jc w:val="left"/>
        <w:rPr>
          <w:rFonts w:ascii="宋体" w:hAnsi="宋体" w:eastAsia="宋体" w:cs="Times New Roman"/>
          <w:color w:val="auto"/>
          <w:kern w:val="0"/>
          <w:sz w:val="24"/>
          <w:szCs w:val="24"/>
          <w:highlight w:val="none"/>
        </w:rPr>
      </w:pPr>
    </w:p>
    <w:p w14:paraId="57A65BEB">
      <w:pPr>
        <w:autoSpaceDE w:val="0"/>
        <w:autoSpaceDN w:val="0"/>
        <w:adjustRightInd w:val="0"/>
        <w:jc w:val="left"/>
        <w:rPr>
          <w:rFonts w:ascii="宋体" w:hAnsi="宋体" w:eastAsia="宋体" w:cs="Times New Roman"/>
          <w:color w:val="auto"/>
          <w:kern w:val="0"/>
          <w:sz w:val="24"/>
          <w:szCs w:val="24"/>
          <w:highlight w:val="none"/>
        </w:rPr>
      </w:pPr>
    </w:p>
    <w:p w14:paraId="1667AC96">
      <w:pPr>
        <w:autoSpaceDE w:val="0"/>
        <w:autoSpaceDN w:val="0"/>
        <w:adjustRightInd w:val="0"/>
        <w:jc w:val="left"/>
        <w:rPr>
          <w:rFonts w:ascii="宋体" w:hAnsi="宋体" w:eastAsia="宋体" w:cs="Times New Roman"/>
          <w:color w:val="auto"/>
          <w:kern w:val="0"/>
          <w:sz w:val="24"/>
          <w:szCs w:val="24"/>
          <w:highlight w:val="none"/>
        </w:rPr>
      </w:pPr>
    </w:p>
    <w:p w14:paraId="54C2B12B">
      <w:pPr>
        <w:autoSpaceDE w:val="0"/>
        <w:autoSpaceDN w:val="0"/>
        <w:adjustRightInd w:val="0"/>
        <w:jc w:val="left"/>
        <w:rPr>
          <w:rFonts w:ascii="宋体" w:hAnsi="宋体" w:eastAsia="宋体" w:cs="Times New Roman"/>
          <w:color w:val="auto"/>
          <w:kern w:val="0"/>
          <w:sz w:val="24"/>
          <w:szCs w:val="24"/>
          <w:highlight w:val="none"/>
        </w:rPr>
      </w:pPr>
    </w:p>
    <w:p w14:paraId="761B8F2F">
      <w:pPr>
        <w:autoSpaceDE/>
        <w:autoSpaceDN/>
        <w:adjustRightInd/>
        <w:jc w:val="left"/>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617DAB5">
      <w:pPr>
        <w:jc w:val="center"/>
        <w:outlineLvl w:val="0"/>
        <w:rPr>
          <w:rFonts w:ascii="宋体" w:hAnsi="宋体" w:eastAsia="宋体" w:cs="宋体"/>
          <w:b/>
          <w:color w:val="auto"/>
          <w:kern w:val="0"/>
          <w:sz w:val="32"/>
          <w:szCs w:val="32"/>
          <w:highlight w:val="none"/>
        </w:rPr>
      </w:pPr>
      <w:bookmarkStart w:id="774" w:name="_Toc18687"/>
      <w:bookmarkStart w:id="775" w:name="_Toc13597"/>
      <w:bookmarkStart w:id="776" w:name="_Toc29896"/>
      <w:bookmarkStart w:id="777" w:name="_Toc13980"/>
      <w:bookmarkStart w:id="778" w:name="_Toc195714410"/>
      <w:r>
        <w:rPr>
          <w:rFonts w:hint="eastAsia" w:ascii="宋体" w:hAnsi="宋体" w:eastAsia="宋体" w:cs="宋体"/>
          <w:b/>
          <w:color w:val="auto"/>
          <w:kern w:val="0"/>
          <w:sz w:val="32"/>
          <w:szCs w:val="32"/>
          <w:highlight w:val="none"/>
        </w:rPr>
        <w:t>三  投标文件报价信封格式</w:t>
      </w:r>
      <w:bookmarkEnd w:id="774"/>
      <w:bookmarkEnd w:id="775"/>
      <w:bookmarkEnd w:id="776"/>
      <w:bookmarkEnd w:id="777"/>
      <w:bookmarkEnd w:id="778"/>
    </w:p>
    <w:p w14:paraId="4D41762F">
      <w:pPr>
        <w:jc w:val="center"/>
        <w:rPr>
          <w:rFonts w:ascii="宋体" w:hAnsi="宋体" w:eastAsia="宋体" w:cs="宋体"/>
          <w:b/>
          <w:color w:val="auto"/>
          <w:kern w:val="0"/>
          <w:sz w:val="32"/>
          <w:szCs w:val="32"/>
          <w:highlight w:val="none"/>
        </w:rPr>
      </w:pPr>
    </w:p>
    <w:p w14:paraId="7EFD82B6">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本部分由投标人使用电子标书制作软件编制并生成报价信封。报价信封的编制要求详见第二篇投标人须知第17.6.3项。由投标人按格式要求进行电子签名。</w:t>
      </w:r>
    </w:p>
    <w:p w14:paraId="60EDC745">
      <w:pPr>
        <w:autoSpaceDE w:val="0"/>
        <w:autoSpaceDN w:val="0"/>
        <w:adjustRightInd w:val="0"/>
        <w:jc w:val="left"/>
        <w:rPr>
          <w:rFonts w:ascii="宋体" w:hAnsi="宋体" w:eastAsia="宋体" w:cs="Times New Roman"/>
          <w:color w:val="auto"/>
          <w:kern w:val="0"/>
          <w:sz w:val="24"/>
          <w:szCs w:val="24"/>
          <w:highlight w:val="none"/>
        </w:rPr>
      </w:pPr>
    </w:p>
    <w:p w14:paraId="00592BEB">
      <w:pPr>
        <w:autoSpaceDE w:val="0"/>
        <w:autoSpaceDN w:val="0"/>
        <w:adjustRightInd w:val="0"/>
        <w:jc w:val="left"/>
        <w:rPr>
          <w:rFonts w:ascii="宋体" w:hAnsi="宋体" w:eastAsia="宋体" w:cs="Times New Roman"/>
          <w:color w:val="auto"/>
          <w:kern w:val="0"/>
          <w:sz w:val="24"/>
          <w:szCs w:val="24"/>
          <w:highlight w:val="none"/>
        </w:rPr>
      </w:pPr>
    </w:p>
    <w:p w14:paraId="50233794">
      <w:pPr>
        <w:autoSpaceDE w:val="0"/>
        <w:autoSpaceDN w:val="0"/>
        <w:adjustRightInd w:val="0"/>
        <w:jc w:val="left"/>
        <w:rPr>
          <w:rFonts w:ascii="宋体" w:hAnsi="宋体" w:eastAsia="宋体" w:cs="Times New Roman"/>
          <w:color w:val="auto"/>
          <w:kern w:val="0"/>
          <w:sz w:val="24"/>
          <w:szCs w:val="24"/>
          <w:highlight w:val="none"/>
        </w:rPr>
      </w:pPr>
    </w:p>
    <w:p w14:paraId="68E16F30">
      <w:pPr>
        <w:autoSpaceDE w:val="0"/>
        <w:autoSpaceDN w:val="0"/>
        <w:adjustRightInd w:val="0"/>
        <w:jc w:val="left"/>
        <w:rPr>
          <w:rFonts w:ascii="宋体" w:hAnsi="宋体" w:eastAsia="宋体" w:cs="Times New Roman"/>
          <w:color w:val="auto"/>
          <w:kern w:val="0"/>
          <w:sz w:val="24"/>
          <w:szCs w:val="24"/>
          <w:highlight w:val="none"/>
        </w:rPr>
      </w:pPr>
    </w:p>
    <w:p w14:paraId="22B3B62A">
      <w:pPr>
        <w:autoSpaceDE w:val="0"/>
        <w:autoSpaceDN w:val="0"/>
        <w:adjustRightInd w:val="0"/>
        <w:jc w:val="left"/>
        <w:rPr>
          <w:rFonts w:ascii="宋体" w:hAnsi="宋体" w:eastAsia="宋体" w:cs="Times New Roman"/>
          <w:color w:val="auto"/>
          <w:kern w:val="0"/>
          <w:sz w:val="24"/>
          <w:szCs w:val="24"/>
          <w:highlight w:val="none"/>
        </w:rPr>
      </w:pPr>
    </w:p>
    <w:p w14:paraId="14D40DFB">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241893FD">
      <w:pPr>
        <w:autoSpaceDE w:val="0"/>
        <w:autoSpaceDN w:val="0"/>
        <w:adjustRightInd w:val="0"/>
        <w:jc w:val="left"/>
        <w:rPr>
          <w:rFonts w:ascii="宋体" w:hAnsi="宋体" w:eastAsia="宋体" w:cs="Times New Roman"/>
          <w:color w:val="auto"/>
          <w:kern w:val="0"/>
          <w:sz w:val="24"/>
          <w:szCs w:val="24"/>
          <w:highlight w:val="none"/>
        </w:rPr>
      </w:pPr>
    </w:p>
    <w:p w14:paraId="252363FD">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779" w:name="_Toc17208"/>
      <w:bookmarkStart w:id="780" w:name="_Toc142508390"/>
      <w:bookmarkStart w:id="781" w:name="_Toc195714411"/>
      <w:bookmarkStart w:id="782" w:name="_Toc14977"/>
      <w:bookmarkStart w:id="783" w:name="_Toc21059"/>
      <w:bookmarkStart w:id="784" w:name="_Toc522047402"/>
      <w:bookmarkStart w:id="785" w:name="_Toc22601_WPSOffice_Level1"/>
      <w:bookmarkStart w:id="786" w:name="_Toc521918141"/>
      <w:r>
        <w:rPr>
          <w:rFonts w:hint="eastAsia" w:ascii="宋体" w:hAnsi="宋体" w:eastAsia="宋体" w:cs="宋体"/>
          <w:b/>
          <w:bCs/>
          <w:color w:val="auto"/>
          <w:kern w:val="44"/>
          <w:sz w:val="32"/>
          <w:szCs w:val="32"/>
          <w:highlight w:val="none"/>
          <w:lang w:val="zh-CN"/>
        </w:rPr>
        <w:t>附件一：评标工作大纲</w:t>
      </w:r>
      <w:bookmarkEnd w:id="779"/>
      <w:bookmarkEnd w:id="780"/>
      <w:bookmarkEnd w:id="781"/>
      <w:bookmarkEnd w:id="782"/>
      <w:bookmarkEnd w:id="783"/>
    </w:p>
    <w:p w14:paraId="2C3A8895">
      <w:pPr>
        <w:autoSpaceDE w:val="0"/>
        <w:autoSpaceDN w:val="0"/>
        <w:adjustRightInd w:val="0"/>
        <w:spacing w:line="400" w:lineRule="atLeast"/>
        <w:jc w:val="center"/>
        <w:rPr>
          <w:rFonts w:ascii="宋体" w:hAnsi="宋体" w:eastAsia="宋体" w:cs="宋体"/>
          <w:b/>
          <w:bCs/>
          <w:color w:val="auto"/>
          <w:szCs w:val="21"/>
          <w:highlight w:val="none"/>
        </w:rPr>
      </w:pPr>
    </w:p>
    <w:p w14:paraId="0044A26A">
      <w:pPr>
        <w:autoSpaceDE w:val="0"/>
        <w:autoSpaceDN w:val="0"/>
        <w:adjustRightInd w:val="0"/>
        <w:spacing w:line="400" w:lineRule="atLeast"/>
        <w:jc w:val="center"/>
        <w:rPr>
          <w:rFonts w:ascii="宋体" w:hAnsi="宋体" w:eastAsia="宋体" w:cs="宋体"/>
          <w:b/>
          <w:bCs/>
          <w:color w:val="auto"/>
          <w:szCs w:val="21"/>
          <w:highlight w:val="none"/>
        </w:rPr>
      </w:pPr>
    </w:p>
    <w:p w14:paraId="2AFF6248">
      <w:pPr>
        <w:autoSpaceDE w:val="0"/>
        <w:autoSpaceDN w:val="0"/>
        <w:adjustRightInd w:val="0"/>
        <w:spacing w:line="400" w:lineRule="atLeast"/>
        <w:jc w:val="center"/>
        <w:rPr>
          <w:rFonts w:ascii="宋体" w:hAnsi="宋体" w:eastAsia="宋体" w:cs="宋体"/>
          <w:b/>
          <w:bCs/>
          <w:color w:val="auto"/>
          <w:szCs w:val="21"/>
          <w:highlight w:val="none"/>
        </w:rPr>
      </w:pPr>
    </w:p>
    <w:p w14:paraId="7F970593">
      <w:pPr>
        <w:autoSpaceDE w:val="0"/>
        <w:autoSpaceDN w:val="0"/>
        <w:adjustRightInd w:val="0"/>
        <w:spacing w:line="400" w:lineRule="atLeast"/>
        <w:jc w:val="center"/>
        <w:rPr>
          <w:rFonts w:ascii="宋体" w:hAnsi="宋体" w:eastAsia="宋体" w:cs="宋体"/>
          <w:b/>
          <w:bCs/>
          <w:color w:val="auto"/>
          <w:szCs w:val="21"/>
          <w:highlight w:val="none"/>
        </w:rPr>
      </w:pPr>
    </w:p>
    <w:p w14:paraId="230824AC">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东莞市水务集团造价咨询服务单位库(2025-2026)采购项目</w:t>
      </w:r>
    </w:p>
    <w:p w14:paraId="1480B2CF">
      <w:pPr>
        <w:autoSpaceDE w:val="0"/>
        <w:autoSpaceDN w:val="0"/>
        <w:adjustRightInd w:val="0"/>
        <w:spacing w:line="360" w:lineRule="auto"/>
        <w:jc w:val="center"/>
        <w:rPr>
          <w:rFonts w:ascii="宋体" w:hAnsi="宋体" w:eastAsia="宋体" w:cs="宋体"/>
          <w:b/>
          <w:bCs/>
          <w:color w:val="auto"/>
          <w:sz w:val="36"/>
          <w:szCs w:val="36"/>
          <w:highlight w:val="none"/>
        </w:rPr>
      </w:pPr>
      <w:bookmarkStart w:id="787" w:name="_Toc14752_WPSOffice_Level1"/>
      <w:r>
        <w:rPr>
          <w:rFonts w:hint="eastAsia" w:ascii="宋体" w:hAnsi="宋体" w:eastAsia="宋体" w:cs="宋体"/>
          <w:b/>
          <w:bCs/>
          <w:color w:val="auto"/>
          <w:sz w:val="36"/>
          <w:szCs w:val="36"/>
          <w:highlight w:val="none"/>
          <w:lang w:val="zh-CN"/>
        </w:rPr>
        <w:t>（招标编号：</w:t>
      </w:r>
      <w:r>
        <w:rPr>
          <w:rFonts w:hint="eastAsia" w:ascii="宋体" w:hAnsi="宋体" w:eastAsia="宋体" w:cs="宋体"/>
          <w:b/>
          <w:bCs/>
          <w:color w:val="auto"/>
          <w:sz w:val="36"/>
          <w:szCs w:val="36"/>
          <w:highlight w:val="none"/>
          <w:lang w:val="en-US" w:eastAsia="zh-CN"/>
        </w:rPr>
        <w:t>SSRSSV12501076</w:t>
      </w:r>
      <w:r>
        <w:rPr>
          <w:rFonts w:hint="eastAsia" w:ascii="宋体" w:hAnsi="宋体" w:eastAsia="宋体" w:cs="宋体"/>
          <w:b/>
          <w:bCs/>
          <w:color w:val="auto"/>
          <w:sz w:val="36"/>
          <w:szCs w:val="36"/>
          <w:highlight w:val="none"/>
          <w:lang w:val="zh-CN"/>
        </w:rPr>
        <w:t>）</w:t>
      </w:r>
      <w:bookmarkEnd w:id="787"/>
    </w:p>
    <w:p w14:paraId="45A8E2FD">
      <w:pPr>
        <w:autoSpaceDE w:val="0"/>
        <w:autoSpaceDN w:val="0"/>
        <w:adjustRightInd w:val="0"/>
        <w:spacing w:line="400" w:lineRule="atLeast"/>
        <w:jc w:val="center"/>
        <w:rPr>
          <w:rFonts w:ascii="宋体" w:hAnsi="宋体" w:eastAsia="宋体" w:cs="宋体"/>
          <w:b/>
          <w:bCs/>
          <w:color w:val="auto"/>
          <w:sz w:val="36"/>
          <w:szCs w:val="36"/>
          <w:highlight w:val="none"/>
        </w:rPr>
      </w:pPr>
    </w:p>
    <w:p w14:paraId="14C84482">
      <w:pPr>
        <w:autoSpaceDE w:val="0"/>
        <w:autoSpaceDN w:val="0"/>
        <w:adjustRightInd w:val="0"/>
        <w:spacing w:line="400" w:lineRule="atLeast"/>
        <w:jc w:val="center"/>
        <w:rPr>
          <w:rFonts w:ascii="宋体" w:hAnsi="宋体" w:eastAsia="宋体" w:cs="宋体"/>
          <w:b/>
          <w:bCs/>
          <w:color w:val="auto"/>
          <w:sz w:val="36"/>
          <w:szCs w:val="36"/>
          <w:highlight w:val="none"/>
        </w:rPr>
      </w:pPr>
    </w:p>
    <w:p w14:paraId="47069310">
      <w:pPr>
        <w:autoSpaceDE w:val="0"/>
        <w:autoSpaceDN w:val="0"/>
        <w:adjustRightInd w:val="0"/>
        <w:spacing w:line="400" w:lineRule="atLeast"/>
        <w:jc w:val="center"/>
        <w:rPr>
          <w:rFonts w:ascii="宋体" w:hAnsi="宋体" w:eastAsia="宋体" w:cs="宋体"/>
          <w:b/>
          <w:bCs/>
          <w:color w:val="auto"/>
          <w:sz w:val="36"/>
          <w:szCs w:val="36"/>
          <w:highlight w:val="none"/>
        </w:rPr>
      </w:pPr>
    </w:p>
    <w:p w14:paraId="758A5702">
      <w:pPr>
        <w:autoSpaceDE w:val="0"/>
        <w:autoSpaceDN w:val="0"/>
        <w:adjustRightInd w:val="0"/>
        <w:spacing w:line="400" w:lineRule="atLeast"/>
        <w:jc w:val="center"/>
        <w:rPr>
          <w:rFonts w:ascii="宋体" w:hAnsi="宋体" w:eastAsia="宋体" w:cs="宋体"/>
          <w:b/>
          <w:bCs/>
          <w:color w:val="auto"/>
          <w:sz w:val="36"/>
          <w:szCs w:val="36"/>
          <w:highlight w:val="none"/>
        </w:rPr>
      </w:pPr>
    </w:p>
    <w:p w14:paraId="19636AA8">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788" w:name="_Toc18947_WPSOffice_Level2"/>
      <w:r>
        <w:rPr>
          <w:rFonts w:hint="eastAsia" w:ascii="宋体" w:hAnsi="宋体" w:eastAsia="宋体" w:cs="宋体"/>
          <w:b/>
          <w:bCs/>
          <w:color w:val="auto"/>
          <w:sz w:val="72"/>
          <w:szCs w:val="72"/>
          <w:highlight w:val="none"/>
          <w:lang w:val="zh-CN"/>
        </w:rPr>
        <w:t>评标工作大纲</w:t>
      </w:r>
      <w:bookmarkEnd w:id="788"/>
    </w:p>
    <w:p w14:paraId="74AB1FB4">
      <w:pPr>
        <w:autoSpaceDE w:val="0"/>
        <w:autoSpaceDN w:val="0"/>
        <w:adjustRightInd w:val="0"/>
        <w:spacing w:line="400" w:lineRule="atLeast"/>
        <w:jc w:val="center"/>
        <w:rPr>
          <w:rFonts w:ascii="宋体" w:hAnsi="宋体" w:eastAsia="宋体" w:cs="宋体"/>
          <w:b/>
          <w:bCs/>
          <w:color w:val="auto"/>
          <w:sz w:val="36"/>
          <w:szCs w:val="36"/>
          <w:highlight w:val="none"/>
        </w:rPr>
      </w:pPr>
    </w:p>
    <w:p w14:paraId="77EBD1F2">
      <w:pPr>
        <w:autoSpaceDE w:val="0"/>
        <w:autoSpaceDN w:val="0"/>
        <w:adjustRightInd w:val="0"/>
        <w:spacing w:line="400" w:lineRule="atLeast"/>
        <w:rPr>
          <w:rFonts w:ascii="宋体" w:hAnsi="宋体" w:eastAsia="宋体" w:cs="宋体"/>
          <w:b/>
          <w:bCs/>
          <w:color w:val="auto"/>
          <w:sz w:val="36"/>
          <w:szCs w:val="36"/>
          <w:highlight w:val="none"/>
        </w:rPr>
      </w:pPr>
    </w:p>
    <w:p w14:paraId="3283F2FC">
      <w:pPr>
        <w:autoSpaceDE w:val="0"/>
        <w:autoSpaceDN w:val="0"/>
        <w:adjustRightInd w:val="0"/>
        <w:spacing w:line="400" w:lineRule="atLeast"/>
        <w:jc w:val="center"/>
        <w:rPr>
          <w:rFonts w:ascii="宋体" w:hAnsi="宋体" w:eastAsia="宋体" w:cs="宋体"/>
          <w:b/>
          <w:bCs/>
          <w:color w:val="auto"/>
          <w:sz w:val="36"/>
          <w:szCs w:val="36"/>
          <w:highlight w:val="none"/>
        </w:rPr>
      </w:pPr>
    </w:p>
    <w:p w14:paraId="5C10CF78">
      <w:pPr>
        <w:autoSpaceDE w:val="0"/>
        <w:autoSpaceDN w:val="0"/>
        <w:adjustRightInd w:val="0"/>
        <w:spacing w:line="400" w:lineRule="atLeast"/>
        <w:jc w:val="center"/>
        <w:rPr>
          <w:rFonts w:ascii="宋体" w:hAnsi="宋体" w:eastAsia="宋体" w:cs="宋体"/>
          <w:b/>
          <w:bCs/>
          <w:color w:val="auto"/>
          <w:sz w:val="36"/>
          <w:szCs w:val="36"/>
          <w:highlight w:val="none"/>
        </w:rPr>
      </w:pPr>
    </w:p>
    <w:p w14:paraId="7A08F6D8">
      <w:pPr>
        <w:autoSpaceDE w:val="0"/>
        <w:autoSpaceDN w:val="0"/>
        <w:adjustRightInd w:val="0"/>
        <w:spacing w:line="400" w:lineRule="atLeast"/>
        <w:jc w:val="center"/>
        <w:rPr>
          <w:rFonts w:ascii="宋体" w:hAnsi="宋体" w:eastAsia="宋体" w:cs="宋体"/>
          <w:b/>
          <w:bCs/>
          <w:color w:val="auto"/>
          <w:sz w:val="36"/>
          <w:szCs w:val="36"/>
          <w:highlight w:val="none"/>
        </w:rPr>
      </w:pPr>
    </w:p>
    <w:p w14:paraId="65108A83">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广东有德招标采购有限公司</w:t>
      </w:r>
    </w:p>
    <w:p w14:paraId="2AC4D2D8">
      <w:pPr>
        <w:autoSpaceDE w:val="0"/>
        <w:autoSpaceDN w:val="0"/>
        <w:adjustRightInd w:val="0"/>
        <w:spacing w:line="400" w:lineRule="atLeast"/>
        <w:jc w:val="center"/>
        <w:rPr>
          <w:rFonts w:ascii="宋体" w:hAnsi="宋体" w:eastAsia="宋体" w:cs="宋体"/>
          <w:b/>
          <w:bCs/>
          <w:color w:val="auto"/>
          <w:sz w:val="36"/>
          <w:szCs w:val="36"/>
          <w:highlight w:val="none"/>
        </w:rPr>
      </w:pPr>
    </w:p>
    <w:p w14:paraId="4E4EDDEC">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789" w:name="_Toc32395_WPSOffice_Level1"/>
      <w:r>
        <w:rPr>
          <w:rFonts w:hint="eastAsia" w:ascii="宋体" w:hAnsi="宋体" w:eastAsia="宋体" w:cs="宋体"/>
          <w:b/>
          <w:bCs/>
          <w:color w:val="auto"/>
          <w:sz w:val="36"/>
          <w:szCs w:val="36"/>
          <w:highlight w:val="none"/>
          <w:lang w:val="zh-CN"/>
        </w:rPr>
        <w:t>目录</w:t>
      </w:r>
      <w:bookmarkEnd w:id="789"/>
    </w:p>
    <w:p w14:paraId="3F6450BF">
      <w:pPr>
        <w:autoSpaceDE w:val="0"/>
        <w:autoSpaceDN w:val="0"/>
        <w:adjustRightInd w:val="0"/>
        <w:spacing w:line="400" w:lineRule="atLeast"/>
        <w:jc w:val="center"/>
        <w:rPr>
          <w:rFonts w:ascii="宋体" w:hAnsi="宋体" w:eastAsia="宋体" w:cs="宋体"/>
          <w:color w:val="auto"/>
          <w:sz w:val="44"/>
          <w:szCs w:val="44"/>
          <w:highlight w:val="none"/>
        </w:rPr>
      </w:pPr>
    </w:p>
    <w:p w14:paraId="1CFA5D38">
      <w:pPr>
        <w:autoSpaceDE w:val="0"/>
        <w:autoSpaceDN w:val="0"/>
        <w:adjustRightInd w:val="0"/>
        <w:spacing w:line="360" w:lineRule="auto"/>
        <w:ind w:left="567" w:hanging="567"/>
        <w:rPr>
          <w:rFonts w:ascii="宋体" w:hAnsi="宋体" w:eastAsia="宋体" w:cs="宋体"/>
          <w:color w:val="auto"/>
          <w:szCs w:val="30"/>
          <w:highlight w:val="none"/>
        </w:rPr>
      </w:pPr>
      <w:bookmarkStart w:id="790"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790"/>
    </w:p>
    <w:p w14:paraId="7D3EAEA0">
      <w:pPr>
        <w:autoSpaceDE w:val="0"/>
        <w:autoSpaceDN w:val="0"/>
        <w:adjustRightInd w:val="0"/>
        <w:spacing w:line="360" w:lineRule="auto"/>
        <w:ind w:left="567" w:hanging="567"/>
        <w:rPr>
          <w:rFonts w:ascii="宋体" w:hAnsi="宋体" w:eastAsia="宋体" w:cs="宋体"/>
          <w:color w:val="auto"/>
          <w:szCs w:val="30"/>
          <w:highlight w:val="none"/>
        </w:rPr>
      </w:pPr>
      <w:bookmarkStart w:id="791"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791"/>
    </w:p>
    <w:p w14:paraId="1B3695CD">
      <w:pPr>
        <w:autoSpaceDE w:val="0"/>
        <w:autoSpaceDN w:val="0"/>
        <w:adjustRightInd w:val="0"/>
        <w:spacing w:line="360" w:lineRule="auto"/>
        <w:ind w:left="567" w:hanging="567"/>
        <w:rPr>
          <w:rFonts w:ascii="宋体" w:hAnsi="宋体" w:eastAsia="宋体" w:cs="宋体"/>
          <w:color w:val="auto"/>
          <w:szCs w:val="30"/>
          <w:highlight w:val="none"/>
        </w:rPr>
      </w:pPr>
      <w:bookmarkStart w:id="792"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792"/>
    </w:p>
    <w:p w14:paraId="0B973D04">
      <w:pPr>
        <w:autoSpaceDE w:val="0"/>
        <w:autoSpaceDN w:val="0"/>
        <w:adjustRightInd w:val="0"/>
        <w:spacing w:line="360" w:lineRule="auto"/>
        <w:ind w:left="567" w:hanging="567"/>
        <w:rPr>
          <w:rFonts w:ascii="宋体" w:hAnsi="宋体" w:eastAsia="宋体" w:cs="宋体"/>
          <w:color w:val="auto"/>
          <w:szCs w:val="30"/>
          <w:highlight w:val="none"/>
        </w:rPr>
      </w:pPr>
      <w:bookmarkStart w:id="793" w:name="_Toc1206_WPSOffice_Level1"/>
      <w:r>
        <w:rPr>
          <w:rFonts w:hint="eastAsia" w:ascii="宋体" w:hAnsi="宋体" w:eastAsia="宋体" w:cs="宋体"/>
          <w:color w:val="auto"/>
          <w:szCs w:val="30"/>
          <w:highlight w:val="none"/>
        </w:rPr>
        <w:t>四、 比较和评价</w:t>
      </w:r>
      <w:bookmarkEnd w:id="793"/>
    </w:p>
    <w:p w14:paraId="4E28F2BF">
      <w:pPr>
        <w:autoSpaceDE w:val="0"/>
        <w:autoSpaceDN w:val="0"/>
        <w:adjustRightInd w:val="0"/>
        <w:spacing w:line="360" w:lineRule="auto"/>
        <w:ind w:left="567" w:hanging="567"/>
        <w:rPr>
          <w:rFonts w:ascii="宋体" w:hAnsi="宋体" w:eastAsia="宋体" w:cs="宋体"/>
          <w:color w:val="auto"/>
          <w:szCs w:val="30"/>
          <w:highlight w:val="none"/>
        </w:rPr>
      </w:pPr>
      <w:bookmarkStart w:id="794"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794"/>
    </w:p>
    <w:p w14:paraId="3A91D0FF">
      <w:pPr>
        <w:autoSpaceDE w:val="0"/>
        <w:autoSpaceDN w:val="0"/>
        <w:adjustRightInd w:val="0"/>
        <w:spacing w:line="360" w:lineRule="auto"/>
        <w:ind w:left="567" w:hanging="567"/>
        <w:rPr>
          <w:rFonts w:ascii="宋体" w:hAnsi="宋体" w:eastAsia="宋体" w:cs="宋体"/>
          <w:color w:val="auto"/>
          <w:szCs w:val="30"/>
          <w:highlight w:val="none"/>
        </w:rPr>
      </w:pPr>
      <w:bookmarkStart w:id="795"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795"/>
    </w:p>
    <w:p w14:paraId="1E512053">
      <w:pPr>
        <w:autoSpaceDE w:val="0"/>
        <w:autoSpaceDN w:val="0"/>
        <w:adjustRightInd w:val="0"/>
        <w:spacing w:line="360" w:lineRule="auto"/>
        <w:ind w:left="567" w:hanging="567"/>
        <w:rPr>
          <w:rFonts w:ascii="宋体" w:hAnsi="宋体" w:eastAsia="宋体" w:cs="宋体"/>
          <w:color w:val="auto"/>
          <w:szCs w:val="30"/>
          <w:highlight w:val="none"/>
        </w:rPr>
      </w:pPr>
      <w:bookmarkStart w:id="796"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796"/>
    </w:p>
    <w:p w14:paraId="4E614A5C">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00EC58DD">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6CC6985F">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70857759">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797"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797"/>
    </w:p>
    <w:p w14:paraId="64518E03">
      <w:pPr>
        <w:tabs>
          <w:tab w:val="left" w:pos="567"/>
          <w:tab w:val="left" w:pos="600"/>
        </w:tabs>
        <w:autoSpaceDE w:val="0"/>
        <w:autoSpaceDN w:val="0"/>
        <w:adjustRightInd w:val="0"/>
        <w:spacing w:line="360" w:lineRule="auto"/>
        <w:ind w:left="600" w:hanging="600"/>
        <w:outlineLvl w:val="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0CA792F1">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东莞市水务集团造价咨询服务单位库(2025-2026)采购项目</w:t>
      </w:r>
      <w:r>
        <w:rPr>
          <w:rFonts w:hint="eastAsia" w:ascii="宋体" w:hAnsi="宋体" w:eastAsia="宋体" w:cs="宋体"/>
          <w:color w:val="auto"/>
          <w:szCs w:val="21"/>
          <w:highlight w:val="none"/>
          <w:lang w:val="zh-CN"/>
        </w:rPr>
        <w:t>(招标编号：SSRSSV12501076</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47AC2B53">
      <w:pPr>
        <w:autoSpaceDE w:val="0"/>
        <w:autoSpaceDN w:val="0"/>
        <w:adjustRightInd w:val="0"/>
        <w:spacing w:line="360" w:lineRule="auto"/>
        <w:ind w:left="567" w:hanging="567"/>
        <w:outlineLvl w:val="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70D372C5">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广东有德招标采购有限公司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14:paraId="0D0039E5">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3EB51AA2">
      <w:pPr>
        <w:numPr>
          <w:ilvl w:val="1"/>
          <w:numId w:val="4"/>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22622115">
      <w:pPr>
        <w:autoSpaceDE w:val="0"/>
        <w:autoSpaceDN w:val="0"/>
        <w:adjustRightInd w:val="0"/>
        <w:spacing w:line="360" w:lineRule="auto"/>
        <w:rPr>
          <w:rFonts w:ascii="宋体" w:hAnsi="宋体" w:eastAsia="宋体" w:cs="宋体"/>
          <w:color w:val="auto"/>
          <w:sz w:val="24"/>
          <w:szCs w:val="24"/>
          <w:highlight w:val="none"/>
          <w:lang w:val="zh-CN"/>
        </w:rPr>
      </w:pPr>
    </w:p>
    <w:p w14:paraId="6EBB748C">
      <w:pPr>
        <w:tabs>
          <w:tab w:val="left" w:pos="360"/>
          <w:tab w:val="left" w:pos="600"/>
        </w:tabs>
        <w:autoSpaceDE w:val="0"/>
        <w:autoSpaceDN w:val="0"/>
        <w:adjustRightInd w:val="0"/>
        <w:spacing w:line="360" w:lineRule="auto"/>
        <w:ind w:left="600" w:hanging="600"/>
        <w:outlineLvl w:val="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68067C33">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hint="eastAsia" w:ascii="宋体" w:hAnsi="宋体" w:eastAsia="宋体" w:cs="宋体"/>
          <w:b/>
          <w:bCs/>
          <w:color w:val="auto"/>
          <w:kern w:val="0"/>
          <w:szCs w:val="24"/>
          <w:highlight w:val="none"/>
        </w:rPr>
        <w:t>5</w:t>
      </w:r>
      <w:r>
        <w:rPr>
          <w:rFonts w:ascii="宋体" w:hAnsi="宋体" w:eastAsia="宋体" w:cs="宋体"/>
          <w:b/>
          <w:bCs/>
          <w:color w:val="auto"/>
          <w:kern w:val="0"/>
          <w:szCs w:val="24"/>
          <w:highlight w:val="none"/>
        </w:rPr>
        <w:t>人以上（含</w:t>
      </w:r>
      <w:r>
        <w:rPr>
          <w:rFonts w:hint="eastAsia" w:ascii="宋体" w:hAnsi="宋体" w:eastAsia="宋体" w:cs="宋体"/>
          <w:b/>
          <w:bCs/>
          <w:color w:val="auto"/>
          <w:kern w:val="0"/>
          <w:szCs w:val="24"/>
          <w:highlight w:val="none"/>
        </w:rPr>
        <w:t>5</w:t>
      </w:r>
      <w:r>
        <w:rPr>
          <w:rFonts w:ascii="宋体" w:hAnsi="宋体" w:eastAsia="宋体" w:cs="宋体"/>
          <w:b/>
          <w:bCs/>
          <w:color w:val="auto"/>
          <w:kern w:val="0"/>
          <w:szCs w:val="24"/>
          <w:highlight w:val="none"/>
        </w:rPr>
        <w:t>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3BE37FDC">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12CCB477">
      <w:pPr>
        <w:autoSpaceDE w:val="0"/>
        <w:autoSpaceDN w:val="0"/>
        <w:adjustRightInd w:val="0"/>
        <w:spacing w:line="360" w:lineRule="auto"/>
        <w:ind w:left="600" w:hanging="600"/>
        <w:outlineLvl w:val="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7348AF4B">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7E12B0E2">
      <w:pPr>
        <w:autoSpaceDE w:val="0"/>
        <w:autoSpaceDN w:val="0"/>
        <w:adjustRightInd w:val="0"/>
        <w:spacing w:line="360" w:lineRule="auto"/>
        <w:rPr>
          <w:rFonts w:ascii="宋体" w:hAnsi="宋体" w:eastAsia="宋体" w:cs="宋体"/>
          <w:color w:val="auto"/>
          <w:sz w:val="24"/>
          <w:szCs w:val="24"/>
          <w:highlight w:val="none"/>
          <w:lang w:val="zh-CN"/>
        </w:rPr>
      </w:pPr>
    </w:p>
    <w:p w14:paraId="5732F0E6">
      <w:pPr>
        <w:autoSpaceDE w:val="0"/>
        <w:autoSpaceDN w:val="0"/>
        <w:adjustRightInd w:val="0"/>
        <w:spacing w:line="360" w:lineRule="auto"/>
        <w:outlineLvl w:val="0"/>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5CBB00C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4A13B25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3C6D5C4E">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251B169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4F173632">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6DDF63FC">
      <w:pPr>
        <w:tabs>
          <w:tab w:val="left" w:pos="720"/>
        </w:tabs>
        <w:autoSpaceDE w:val="0"/>
        <w:autoSpaceDN w:val="0"/>
        <w:adjustRightInd w:val="0"/>
        <w:spacing w:line="360" w:lineRule="auto"/>
        <w:outlineLvl w:val="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72A84D70">
      <w:pPr>
        <w:autoSpaceDE w:val="0"/>
        <w:autoSpaceDN w:val="0"/>
        <w:adjustRightInd w:val="0"/>
        <w:spacing w:line="360" w:lineRule="auto"/>
        <w:jc w:val="left"/>
        <w:outlineLvl w:val="1"/>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7AC8397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0700418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0C786ED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3341D58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289D42F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18102A6B">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7EB3AEEB">
      <w:pPr>
        <w:tabs>
          <w:tab w:val="left" w:pos="1547"/>
        </w:tabs>
        <w:autoSpaceDE w:val="0"/>
        <w:autoSpaceDN w:val="0"/>
        <w:adjustRightInd w:val="0"/>
        <w:spacing w:line="360" w:lineRule="auto"/>
        <w:outlineLvl w:val="0"/>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14:paraId="6081EC34">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14:paraId="324AE651">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14:paraId="05F9FCB9">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14:paraId="33547E61">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14:paraId="0E99E68F">
      <w:pPr>
        <w:autoSpaceDE w:val="0"/>
        <w:autoSpaceDN w:val="0"/>
        <w:adjustRightInd w:val="0"/>
        <w:spacing w:line="360" w:lineRule="auto"/>
        <w:ind w:left="567" w:hanging="567"/>
        <w:outlineLvl w:val="1"/>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w:t>
      </w:r>
    </w:p>
    <w:p w14:paraId="759C410A">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投标人的技术打分的最终综合得分、商务打分的算术平均值得出投标人的总分。</w:t>
      </w:r>
    </w:p>
    <w:p w14:paraId="567180E2">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14:paraId="4508806A">
      <w:pPr>
        <w:autoSpaceDE w:val="0"/>
        <w:autoSpaceDN w:val="0"/>
        <w:adjustRightInd w:val="0"/>
        <w:spacing w:line="360" w:lineRule="auto"/>
        <w:ind w:left="525" w:hanging="525" w:hangingChars="250"/>
        <w:jc w:val="left"/>
        <w:outlineLvl w:val="1"/>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14:paraId="6A606C2C">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1F389EAC">
      <w:pPr>
        <w:tabs>
          <w:tab w:val="left" w:pos="1140"/>
        </w:tabs>
        <w:autoSpaceDE w:val="0"/>
        <w:autoSpaceDN w:val="0"/>
        <w:adjustRightInd w:val="0"/>
        <w:spacing w:line="360" w:lineRule="auto"/>
        <w:jc w:val="center"/>
        <w:outlineLvl w:val="2"/>
        <w:rPr>
          <w:rFonts w:ascii="宋体" w:hAnsi="宋体" w:eastAsia="宋体" w:cs="宋体"/>
          <w:b/>
          <w:bCs/>
          <w:color w:val="auto"/>
          <w:sz w:val="28"/>
          <w:szCs w:val="28"/>
          <w:highlight w:val="none"/>
        </w:rPr>
      </w:pPr>
      <w:bookmarkStart w:id="798" w:name="_Toc19435_WPSOffice_Level1"/>
      <w:r>
        <w:rPr>
          <w:rFonts w:hint="eastAsia" w:ascii="宋体" w:hAnsi="宋体" w:eastAsia="宋体" w:cs="宋体"/>
          <w:b/>
          <w:bCs/>
          <w:color w:val="auto"/>
          <w:sz w:val="28"/>
          <w:szCs w:val="28"/>
          <w:highlight w:val="none"/>
          <w:lang w:val="zh-CN"/>
        </w:rPr>
        <w:t>二、投标文件的初审</w:t>
      </w:r>
      <w:bookmarkEnd w:id="798"/>
    </w:p>
    <w:p w14:paraId="03B5BAA5">
      <w:pPr>
        <w:autoSpaceDE w:val="0"/>
        <w:autoSpaceDN w:val="0"/>
        <w:adjustRightInd w:val="0"/>
        <w:spacing w:line="360" w:lineRule="auto"/>
        <w:outlineLvl w:val="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37D7069D">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2A526710">
      <w:pPr>
        <w:autoSpaceDE w:val="0"/>
        <w:autoSpaceDN w:val="0"/>
        <w:adjustRightInd w:val="0"/>
        <w:spacing w:line="360" w:lineRule="auto"/>
        <w:ind w:left="0" w:leftChars="0"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6A3FA814">
      <w:pPr>
        <w:autoSpaceDE/>
        <w:autoSpaceDN/>
        <w:adjustRightInd/>
        <w:spacing w:line="360" w:lineRule="auto"/>
        <w:ind w:left="0" w:leftChars="0" w:firstLine="527" w:firstLineChars="25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w:t>
      </w:r>
      <w:r>
        <w:rPr>
          <w:rFonts w:hint="eastAsia" w:ascii="宋体" w:hAnsi="宋体" w:eastAsia="宋体" w:cs="宋体"/>
          <w:color w:val="auto"/>
          <w:szCs w:val="24"/>
          <w:highlight w:val="none"/>
          <w:lang w:val="en-US" w:eastAsia="zh-CN"/>
        </w:rPr>
        <w:tab/>
      </w:r>
      <w:r>
        <w:rPr>
          <w:rFonts w:hint="eastAsia" w:ascii="宋体" w:hAnsi="宋体" w:eastAsia="宋体" w:cs="宋体"/>
          <w:color w:val="auto"/>
          <w:szCs w:val="24"/>
          <w:highlight w:val="none"/>
          <w:lang w:val="zh-CN"/>
        </w:rPr>
        <w:t>偏离或保留系指实质上影响到合同项下的服务范围、质量，或指与招标文件有实质不一致，限制了合同项</w:t>
      </w:r>
      <w:r>
        <w:rPr>
          <w:rFonts w:hint="eastAsia" w:ascii="宋体" w:hAnsi="宋体" w:eastAsia="宋体" w:cs="宋体"/>
          <w:color w:val="auto"/>
          <w:szCs w:val="24"/>
          <w:highlight w:val="none"/>
          <w:lang w:val="en-US" w:eastAsia="zh-CN"/>
        </w:rPr>
        <w:tab/>
      </w:r>
      <w:r>
        <w:rPr>
          <w:rFonts w:hint="eastAsia" w:ascii="宋体" w:hAnsi="宋体" w:eastAsia="宋体" w:cs="宋体"/>
          <w:color w:val="auto"/>
          <w:szCs w:val="24"/>
          <w:highlight w:val="none"/>
          <w:lang w:val="zh-CN"/>
        </w:rPr>
        <w:t>下委托人的权利和承包人的义务, 或对该重大偏离的修改对提交实质性响应投标的其他投标人将不公平。</w:t>
      </w:r>
    </w:p>
    <w:p w14:paraId="2861C93C">
      <w:pPr>
        <w:autoSpaceDE/>
        <w:autoSpaceDN/>
        <w:adjustRightInd/>
        <w:spacing w:line="360" w:lineRule="auto"/>
        <w:ind w:left="0" w:firstLine="42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0918FCDA">
      <w:pPr>
        <w:autoSpaceDE/>
        <w:autoSpaceDN/>
        <w:adjustRightInd/>
        <w:spacing w:line="360" w:lineRule="auto"/>
        <w:ind w:left="0" w:leftChars="0" w:firstLine="420" w:firstLineChars="0"/>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对是否符合实质性响应招标文件有争议的投标文件,评标委员会成员将以记名方式表决,根据少数服从多数</w:t>
      </w:r>
      <w:r>
        <w:rPr>
          <w:rFonts w:hint="eastAsia" w:ascii="宋体" w:hAnsi="宋体" w:eastAsia="宋体" w:cs="宋体"/>
          <w:b/>
          <w:bCs/>
          <w:color w:val="auto"/>
          <w:szCs w:val="24"/>
          <w:highlight w:val="none"/>
          <w:lang w:val="en-US" w:eastAsia="zh-CN"/>
        </w:rPr>
        <w:tab/>
      </w:r>
      <w:r>
        <w:rPr>
          <w:rFonts w:hint="eastAsia" w:ascii="宋体" w:hAnsi="宋体" w:eastAsia="宋体" w:cs="宋体"/>
          <w:b/>
          <w:bCs/>
          <w:color w:val="auto"/>
          <w:szCs w:val="24"/>
          <w:highlight w:val="none"/>
          <w:lang w:val="zh-CN"/>
        </w:rPr>
        <w:t>的原则，获多数表决通过的投标人才有资格进入下一阶段的评审,否则将被认定为无效投标文件。</w:t>
      </w:r>
    </w:p>
    <w:p w14:paraId="7EBA4542">
      <w:pPr>
        <w:pStyle w:val="16"/>
        <w:outlineLvl w:val="0"/>
        <w:rPr>
          <w:rFonts w:hint="eastAsia" w:ascii="宋体" w:hAnsi="宋体" w:eastAsia="宋体" w:cs="宋体"/>
          <w:b/>
          <w:snapToGrid/>
          <w:color w:val="auto"/>
          <w:kern w:val="2"/>
          <w:szCs w:val="21"/>
          <w:highlight w:val="none"/>
          <w:lang w:val="zh-CN"/>
        </w:rPr>
      </w:pPr>
      <w:r>
        <w:rPr>
          <w:rFonts w:hint="eastAsia" w:ascii="宋体" w:hAnsi="宋体" w:eastAsia="宋体" w:cs="宋体"/>
          <w:b/>
          <w:snapToGrid/>
          <w:color w:val="auto"/>
          <w:kern w:val="2"/>
          <w:szCs w:val="21"/>
          <w:highlight w:val="none"/>
          <w:lang w:val="zh-CN"/>
        </w:rPr>
        <w:t>7、投标文件出现下列情况之一的，被认定为无效投标:</w:t>
      </w:r>
    </w:p>
    <w:p w14:paraId="1D57F466">
      <w:pPr>
        <w:autoSpaceDE w:val="0"/>
        <w:autoSpaceDN w:val="0"/>
        <w:adjustRightInd w:val="0"/>
        <w:spacing w:line="360" w:lineRule="auto"/>
        <w:outlineLvl w:val="1"/>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 上传的投标文件损坏或无法读取的；</w:t>
      </w:r>
    </w:p>
    <w:p w14:paraId="3D808345">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.2 经招标人确认，投标人在公共资源交易企业库填报的与本项目密切相关的信息与事实不相符的；</w:t>
      </w:r>
    </w:p>
    <w:p w14:paraId="5235214E">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.3 投标文件中使用的本项目招标文件版本，与交易系统上发布的本项目招标文件的最新版本不一致的；</w:t>
      </w:r>
    </w:p>
    <w:p w14:paraId="3EA7DB82">
      <w:pPr>
        <w:autoSpaceDE w:val="0"/>
        <w:autoSpaceDN w:val="0"/>
        <w:adjustRightInd w:val="0"/>
        <w:spacing w:line="360" w:lineRule="auto"/>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7.4 投标文件未使用企业数字证书签名的；</w:t>
      </w:r>
    </w:p>
    <w:p w14:paraId="37568A21">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 xml:space="preserve"> 投标文件签名使用的数字证书与签到的投标人名称不一致的；</w:t>
      </w:r>
    </w:p>
    <w:p w14:paraId="0E6CEF01">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6</w:t>
      </w:r>
      <w:r>
        <w:rPr>
          <w:rFonts w:hint="eastAsia" w:ascii="宋体" w:hAnsi="宋体" w:eastAsia="宋体" w:cs="宋体"/>
          <w:b/>
          <w:color w:val="auto"/>
          <w:szCs w:val="21"/>
          <w:highlight w:val="none"/>
          <w:lang w:val="zh-CN"/>
        </w:rPr>
        <w:t xml:space="preserve"> 投标人的投标编制MAC信息、投标编制CPU序列号、投标编制硬盘序列号均与其他投标人相同的；</w:t>
      </w:r>
    </w:p>
    <w:p w14:paraId="62671B58">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 xml:space="preserve"> 投标文件附有招标人不能接受的条件的；</w:t>
      </w:r>
    </w:p>
    <w:p w14:paraId="68ACE88C">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lang w:val="zh-CN"/>
        </w:rPr>
        <w:t xml:space="preserve"> 投标人资格不满足第二篇投标人须知第2款的要求；</w:t>
      </w:r>
    </w:p>
    <w:p w14:paraId="1FC61C99">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9</w:t>
      </w:r>
      <w:r>
        <w:rPr>
          <w:rFonts w:hint="eastAsia" w:ascii="宋体" w:hAnsi="宋体" w:eastAsia="宋体" w:cs="宋体"/>
          <w:b/>
          <w:color w:val="auto"/>
          <w:szCs w:val="21"/>
          <w:highlight w:val="none"/>
          <w:lang w:val="zh-CN"/>
        </w:rPr>
        <w:t xml:space="preserve"> 投标人未按招标文件要求交纳投标保证金的；</w:t>
      </w:r>
    </w:p>
    <w:p w14:paraId="51809007">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10</w:t>
      </w:r>
      <w:r>
        <w:rPr>
          <w:rFonts w:hint="eastAsia" w:ascii="宋体" w:hAnsi="宋体" w:eastAsia="宋体" w:cs="宋体"/>
          <w:b/>
          <w:color w:val="auto"/>
          <w:szCs w:val="21"/>
          <w:highlight w:val="none"/>
          <w:lang w:val="zh-CN"/>
        </w:rPr>
        <w:t xml:space="preserve"> </w:t>
      </w:r>
      <w:r>
        <w:rPr>
          <w:rFonts w:hint="eastAsia" w:ascii="宋体" w:hAnsi="宋体" w:eastAsia="宋体" w:cs="宋体"/>
          <w:b/>
          <w:color w:val="auto"/>
          <w:kern w:val="0"/>
          <w:szCs w:val="21"/>
          <w:highlight w:val="none"/>
        </w:rPr>
        <w:t>投标文件中的投标报价</w:t>
      </w:r>
      <w:r>
        <w:rPr>
          <w:rFonts w:hint="eastAsia" w:ascii="宋体" w:hAnsi="宋体" w:eastAsia="宋体" w:cs="宋体"/>
          <w:b/>
          <w:color w:val="auto"/>
          <w:kern w:val="0"/>
          <w:szCs w:val="21"/>
          <w:highlight w:val="none"/>
          <w:lang w:val="en-US" w:eastAsia="zh-CN"/>
        </w:rPr>
        <w:t>未按招标文件要求进行填报</w:t>
      </w:r>
      <w:r>
        <w:rPr>
          <w:rFonts w:hint="eastAsia" w:ascii="宋体" w:hAnsi="宋体" w:eastAsia="宋体" w:cs="宋体"/>
          <w:b/>
          <w:color w:val="auto"/>
          <w:szCs w:val="21"/>
          <w:highlight w:val="none"/>
          <w:lang w:val="zh-CN"/>
        </w:rPr>
        <w:t>；</w:t>
      </w:r>
    </w:p>
    <w:p w14:paraId="121C8571">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lang w:val="zh-CN"/>
        </w:rPr>
        <w:t xml:space="preserve"> 投标人以低于企业成本价报价，且投标人不能合理说明或不能提供相关证明材料；</w:t>
      </w:r>
    </w:p>
    <w:p w14:paraId="1846EF9E">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lang w:val="zh-CN"/>
        </w:rPr>
        <w:t xml:space="preserve"> 投标人递交两份或多份内容不同的投标文件，或在一份投标文件中报有两个或多个报价，且未书面声明哪一个有效；</w:t>
      </w:r>
    </w:p>
    <w:p w14:paraId="31D94CBF">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lang w:val="zh-CN"/>
        </w:rPr>
        <w:t xml:space="preserve"> 投标文件未按第二篇投标人须知第17款的要求编制、使用企业数字证书或个人数字证书电子签名的； </w:t>
      </w:r>
    </w:p>
    <w:p w14:paraId="4C05A745">
      <w:pPr>
        <w:autoSpaceDE w:val="0"/>
        <w:autoSpaceDN w:val="0"/>
        <w:adjustRightInd w:val="0"/>
        <w:spacing w:line="360" w:lineRule="auto"/>
        <w:outlineLvl w:val="1"/>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lang w:val="zh-CN"/>
        </w:rPr>
        <w:t xml:space="preserve"> 投标有效期限不符合要求；</w:t>
      </w:r>
    </w:p>
    <w:p w14:paraId="5EB95830">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 xml:space="preserve"> 投标文件未对招标范围内的全部内容进行投标报价或投标方案不是唯一；</w:t>
      </w:r>
    </w:p>
    <w:p w14:paraId="4A97D348">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6</w:t>
      </w:r>
      <w:r>
        <w:rPr>
          <w:rFonts w:hint="eastAsia" w:ascii="宋体" w:hAnsi="宋体" w:eastAsia="宋体" w:cs="宋体"/>
          <w:b/>
          <w:color w:val="auto"/>
          <w:szCs w:val="21"/>
          <w:highlight w:val="none"/>
          <w:lang w:val="zh-CN"/>
        </w:rPr>
        <w:t xml:space="preserve"> 未提供或虚假填写《合同条款偏离表》，或对《合同条款偏离表》有负偏离的；</w:t>
      </w:r>
    </w:p>
    <w:p w14:paraId="735E9B17">
      <w:pPr>
        <w:autoSpaceDE w:val="0"/>
        <w:autoSpaceDN w:val="0"/>
        <w:adjustRightInd w:val="0"/>
        <w:spacing w:line="360" w:lineRule="auto"/>
        <w:outlineLvl w:val="1"/>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 xml:space="preserve"> 未填写或虚假填写《用户需求偏离表》的；</w:t>
      </w:r>
    </w:p>
    <w:p w14:paraId="0DFB1436">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lang w:val="zh-CN"/>
        </w:rPr>
        <w:t xml:space="preserve"> 未响应招标文件提出的实质性要求和条件（标注★的条款）；</w:t>
      </w:r>
    </w:p>
    <w:p w14:paraId="4CB7A2DB">
      <w:pPr>
        <w:autoSpaceDE w:val="0"/>
        <w:autoSpaceDN w:val="0"/>
        <w:adjustRightInd w:val="0"/>
        <w:spacing w:line="360" w:lineRule="auto"/>
        <w:ind w:left="315" w:hanging="316" w:hangingChars="15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9</w:t>
      </w:r>
      <w:r>
        <w:rPr>
          <w:rFonts w:hint="eastAsia" w:ascii="宋体" w:hAnsi="宋体" w:eastAsia="宋体" w:cs="宋体"/>
          <w:b/>
          <w:color w:val="auto"/>
          <w:szCs w:val="21"/>
          <w:highlight w:val="none"/>
          <w:lang w:val="zh-CN"/>
        </w:rPr>
        <w:t xml:space="preserve"> 属于招标文件中规定为无效标的；属于法律、法规、规章规定的应作无效投标文件处理的。</w:t>
      </w:r>
    </w:p>
    <w:p w14:paraId="4ADD76D4">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7ACBC424">
      <w:pPr>
        <w:spacing w:line="360" w:lineRule="auto"/>
        <w:ind w:left="480"/>
        <w:rPr>
          <w:rFonts w:ascii="宋体" w:hAnsi="宋体" w:eastAsia="宋体" w:cs="宋体"/>
          <w:b/>
          <w:color w:val="auto"/>
          <w:kern w:val="0"/>
          <w:szCs w:val="21"/>
          <w:highlight w:val="none"/>
        </w:rPr>
      </w:pPr>
    </w:p>
    <w:p w14:paraId="0B11BAD8">
      <w:pPr>
        <w:tabs>
          <w:tab w:val="left" w:pos="1140"/>
        </w:tabs>
        <w:autoSpaceDE w:val="0"/>
        <w:autoSpaceDN w:val="0"/>
        <w:adjustRightInd w:val="0"/>
        <w:spacing w:line="360" w:lineRule="auto"/>
        <w:ind w:firstLine="3528" w:firstLineChars="1255"/>
        <w:jc w:val="left"/>
        <w:outlineLvl w:val="2"/>
        <w:rPr>
          <w:rFonts w:ascii="宋体" w:hAnsi="宋体" w:eastAsia="宋体" w:cs="宋体"/>
          <w:b/>
          <w:bCs/>
          <w:color w:val="auto"/>
          <w:sz w:val="28"/>
          <w:szCs w:val="28"/>
          <w:highlight w:val="none"/>
        </w:rPr>
      </w:pPr>
      <w:bookmarkStart w:id="799" w:name="_Toc4109_WPSOffice_Level1"/>
      <w:r>
        <w:rPr>
          <w:rFonts w:hint="eastAsia" w:ascii="宋体" w:hAnsi="宋体" w:eastAsia="宋体" w:cs="宋体"/>
          <w:b/>
          <w:bCs/>
          <w:color w:val="auto"/>
          <w:sz w:val="28"/>
          <w:szCs w:val="28"/>
          <w:highlight w:val="none"/>
          <w:lang w:val="zh-CN"/>
        </w:rPr>
        <w:t>三、澄清有关问题</w:t>
      </w:r>
      <w:bookmarkEnd w:id="799"/>
    </w:p>
    <w:p w14:paraId="12BB1931">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3B680071">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531BFE95">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766D5854">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0A0B2CB7">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800" w:name="_Toc8518_WPSOffice_Level1"/>
    </w:p>
    <w:p w14:paraId="4F43A816">
      <w:pPr>
        <w:autoSpaceDE w:val="0"/>
        <w:autoSpaceDN w:val="0"/>
        <w:adjustRightInd w:val="0"/>
        <w:spacing w:line="360" w:lineRule="auto"/>
        <w:jc w:val="center"/>
        <w:outlineLvl w:val="2"/>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800"/>
    </w:p>
    <w:p w14:paraId="70B00DF2">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等内容进行打分。</w:t>
      </w:r>
    </w:p>
    <w:p w14:paraId="5C1CED60">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0CA87EFF">
      <w:pPr>
        <w:tabs>
          <w:tab w:val="left" w:pos="1701"/>
        </w:tabs>
        <w:autoSpaceDE w:val="0"/>
        <w:autoSpaceDN w:val="0"/>
        <w:adjustRightInd w:val="0"/>
        <w:spacing w:line="360" w:lineRule="auto"/>
        <w:outlineLvl w:val="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14:paraId="531DC684">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3127E4D5">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46DDFFCE">
      <w:pPr>
        <w:autoSpaceDE w:val="0"/>
        <w:autoSpaceDN w:val="0"/>
        <w:adjustRightInd w:val="0"/>
        <w:spacing w:line="360" w:lineRule="auto"/>
        <w:ind w:left="565" w:leftChars="-1" w:hanging="567" w:hangingChars="270"/>
        <w:rPr>
          <w:rFonts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评标委员会专家组的每一位评委根据招标文件评分标准对投标文件分别评审，对有效投标人投标文件的商务、技术分别评分。</w:t>
      </w:r>
    </w:p>
    <w:p w14:paraId="12A8C16C">
      <w:pPr>
        <w:autoSpaceDE w:val="0"/>
        <w:autoSpaceDN w:val="0"/>
        <w:adjustRightInd w:val="0"/>
        <w:spacing w:line="360" w:lineRule="auto"/>
        <w:ind w:left="565" w:leftChars="-1" w:hanging="567" w:hangingChars="2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（1）评标委员会首先对商务标进行评审，按评标标准打分后，取所有评委评分的平均值得出该投标人的商务评分；</w:t>
      </w:r>
    </w:p>
    <w:p w14:paraId="513D6011">
      <w:pPr>
        <w:autoSpaceDE w:val="0"/>
        <w:autoSpaceDN w:val="0"/>
        <w:adjustRightInd w:val="0"/>
        <w:spacing w:line="360" w:lineRule="auto"/>
        <w:ind w:left="565" w:leftChars="-1" w:hanging="567" w:hangingChars="270"/>
        <w:rPr>
          <w:rFonts w:ascii="宋体" w:hAnsi="宋体" w:eastAsia="宋体" w:cs="宋体"/>
          <w:color w:val="auto"/>
          <w:szCs w:val="21"/>
          <w:highlight w:val="none"/>
        </w:rPr>
      </w:pPr>
      <w:r>
        <w:rPr>
          <w:rFonts w:hint="eastAsia" w:ascii="宋体" w:hAnsi="宋体" w:eastAsia="宋体" w:cs="宋体"/>
          <w:color w:val="auto"/>
          <w:kern w:val="0"/>
          <w:szCs w:val="21"/>
          <w:highlight w:val="none"/>
        </w:rPr>
        <w:t>（2）然后评标委员会对技术标进行评审，按评标标准打分后，</w:t>
      </w:r>
      <w:r>
        <w:rPr>
          <w:rFonts w:hint="eastAsia" w:ascii="宋体" w:hAnsi="宋体" w:eastAsia="宋体" w:cs="宋体"/>
          <w:color w:val="auto"/>
          <w:szCs w:val="21"/>
          <w:highlight w:val="none"/>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中、差”评审的评分因素的评分低于权重分值60%的，应在评标报告中作出说明。</w:t>
      </w:r>
    </w:p>
    <w:p w14:paraId="3B3F76CE">
      <w:pPr>
        <w:tabs>
          <w:tab w:val="left" w:pos="600"/>
        </w:tabs>
        <w:autoSpaceDE w:val="0"/>
        <w:autoSpaceDN w:val="0"/>
        <w:adjustRightInd w:val="0"/>
        <w:spacing w:line="360" w:lineRule="auto"/>
        <w:outlineLvl w:val="1"/>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14:paraId="1E4A6975">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2F95D903">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750AB0FF">
      <w:pPr>
        <w:tabs>
          <w:tab w:val="left" w:pos="600"/>
        </w:tabs>
        <w:autoSpaceDE w:val="0"/>
        <w:autoSpaceDN w:val="0"/>
        <w:adjustRightInd w:val="0"/>
        <w:spacing w:line="360" w:lineRule="auto"/>
        <w:outlineLvl w:val="1"/>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14:paraId="24795577">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24C5DD2B">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40699D74">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）评分统计表中各投标人技术得分应为最终综合得分，商务得分应为评委打分的算术平均值。</w:t>
      </w:r>
    </w:p>
    <w:p w14:paraId="611D4274">
      <w:pPr>
        <w:autoSpaceDE w:val="0"/>
        <w:autoSpaceDN w:val="0"/>
        <w:adjustRightInd w:val="0"/>
        <w:spacing w:line="360" w:lineRule="auto"/>
        <w:rPr>
          <w:rFonts w:ascii="宋体" w:hAnsi="宋体" w:eastAsia="宋体" w:cs="宋体"/>
          <w:color w:val="auto"/>
          <w:szCs w:val="24"/>
          <w:highlight w:val="none"/>
          <w:lang w:val="zh-CN"/>
        </w:rPr>
      </w:pPr>
    </w:p>
    <w:p w14:paraId="2FC88EE4">
      <w:pPr>
        <w:tabs>
          <w:tab w:val="left" w:pos="1701"/>
        </w:tabs>
        <w:autoSpaceDE w:val="0"/>
        <w:autoSpaceDN w:val="0"/>
        <w:adjustRightInd w:val="0"/>
        <w:spacing w:line="360" w:lineRule="auto"/>
        <w:outlineLvl w:val="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4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6"/>
        <w:gridCol w:w="5174"/>
      </w:tblGrid>
      <w:tr w14:paraId="2A883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2505" w:type="pct"/>
            <w:tcBorders>
              <w:top w:val="single" w:color="auto" w:sz="4" w:space="0"/>
              <w:left w:val="single" w:color="auto" w:sz="4" w:space="0"/>
              <w:bottom w:val="single" w:color="auto" w:sz="4" w:space="0"/>
              <w:right w:val="single" w:color="auto" w:sz="4" w:space="0"/>
            </w:tcBorders>
            <w:vAlign w:val="center"/>
          </w:tcPr>
          <w:p w14:paraId="4B2EAAC2">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7CB79FF6">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分值</w:t>
            </w:r>
          </w:p>
        </w:tc>
      </w:tr>
      <w:tr w14:paraId="0BB0D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5" w:type="pct"/>
            <w:tcBorders>
              <w:top w:val="single" w:color="auto" w:sz="4" w:space="0"/>
              <w:left w:val="single" w:color="auto" w:sz="4" w:space="0"/>
              <w:bottom w:val="single" w:color="auto" w:sz="4" w:space="0"/>
              <w:right w:val="single" w:color="auto" w:sz="4" w:space="0"/>
            </w:tcBorders>
            <w:vAlign w:val="center"/>
          </w:tcPr>
          <w:p w14:paraId="4E3A4E66">
            <w:pPr>
              <w:keepNext w:val="0"/>
              <w:keepLines w:val="0"/>
              <w:suppressLineNumbers w:val="0"/>
              <w:spacing w:before="0" w:beforeAutospacing="0" w:after="0" w:afterAutospacing="0" w:line="400" w:lineRule="exact"/>
              <w:ind w:left="0" w:right="0"/>
              <w:jc w:val="center"/>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15F43C6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kern w:val="0"/>
                <w:sz w:val="21"/>
                <w:szCs w:val="21"/>
                <w:highlight w:val="none"/>
                <w:lang w:val="zh-CN"/>
              </w:rPr>
            </w:pPr>
            <w:r>
              <w:rPr>
                <w:rFonts w:hint="eastAsia" w:ascii="宋体" w:hAnsi="宋体" w:eastAsia="宋体" w:cs="宋体"/>
                <w:b/>
                <w:color w:val="auto"/>
                <w:sz w:val="21"/>
                <w:szCs w:val="21"/>
                <w:highlight w:val="none"/>
                <w:lang w:val="en-US" w:eastAsia="zh-CN"/>
              </w:rPr>
              <w:t>70</w:t>
            </w:r>
            <w:r>
              <w:rPr>
                <w:rFonts w:hint="eastAsia" w:ascii="宋体" w:hAnsi="宋体" w:eastAsia="宋体" w:cs="宋体"/>
                <w:b/>
                <w:color w:val="auto"/>
                <w:sz w:val="21"/>
                <w:szCs w:val="21"/>
                <w:highlight w:val="none"/>
                <w:lang w:val="zh-CN"/>
              </w:rPr>
              <w:t>分</w:t>
            </w:r>
          </w:p>
        </w:tc>
      </w:tr>
      <w:tr w14:paraId="75F67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5" w:type="pct"/>
            <w:tcBorders>
              <w:top w:val="single" w:color="auto" w:sz="4" w:space="0"/>
              <w:left w:val="single" w:color="auto" w:sz="4" w:space="0"/>
              <w:bottom w:val="single" w:color="auto" w:sz="4" w:space="0"/>
              <w:right w:val="single" w:color="auto" w:sz="4" w:space="0"/>
            </w:tcBorders>
            <w:vAlign w:val="center"/>
          </w:tcPr>
          <w:p w14:paraId="2CFAF845">
            <w:pPr>
              <w:keepNext w:val="0"/>
              <w:keepLines w:val="0"/>
              <w:suppressLineNumbers w:val="0"/>
              <w:spacing w:before="0" w:beforeAutospacing="0" w:after="0" w:afterAutospacing="0" w:line="400" w:lineRule="exact"/>
              <w:ind w:left="0" w:right="0"/>
              <w:jc w:val="center"/>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21BAFFD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kern w:val="0"/>
                <w:sz w:val="21"/>
                <w:szCs w:val="21"/>
                <w:highlight w:val="none"/>
                <w:lang w:val="zh-CN"/>
              </w:rPr>
            </w:pPr>
            <w:r>
              <w:rPr>
                <w:rFonts w:hint="eastAsia" w:ascii="宋体" w:hAnsi="宋体" w:eastAsia="宋体" w:cs="宋体"/>
                <w:b/>
                <w:color w:val="auto"/>
                <w:sz w:val="21"/>
                <w:szCs w:val="21"/>
                <w:highlight w:val="none"/>
                <w:lang w:val="en-US" w:eastAsia="zh-CN"/>
              </w:rPr>
              <w:t>30</w:t>
            </w:r>
            <w:r>
              <w:rPr>
                <w:rFonts w:hint="eastAsia" w:ascii="宋体" w:hAnsi="宋体" w:eastAsia="宋体" w:cs="宋体"/>
                <w:b/>
                <w:color w:val="auto"/>
                <w:sz w:val="21"/>
                <w:szCs w:val="21"/>
                <w:highlight w:val="none"/>
                <w:lang w:val="zh-CN"/>
              </w:rPr>
              <w:t>分</w:t>
            </w:r>
          </w:p>
        </w:tc>
      </w:tr>
    </w:tbl>
    <w:p w14:paraId="7CE892FB">
      <w:pPr>
        <w:keepNext w:val="0"/>
        <w:keepLines w:val="0"/>
        <w:widowControl w:val="0"/>
        <w:suppressLineNumbers w:val="0"/>
        <w:tabs>
          <w:tab w:val="left" w:pos="585"/>
        </w:tabs>
        <w:autoSpaceDE w:val="0"/>
        <w:autoSpaceDN w:val="0"/>
        <w:adjustRightInd w:val="0"/>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p>
    <w:p w14:paraId="41C613C9">
      <w:pPr>
        <w:keepNext w:val="0"/>
        <w:keepLines w:val="0"/>
        <w:widowControl w:val="0"/>
        <w:suppressLineNumbers w:val="0"/>
        <w:tabs>
          <w:tab w:val="left" w:pos="585"/>
        </w:tabs>
        <w:autoSpaceDE w:val="0"/>
        <w:autoSpaceDN w:val="0"/>
        <w:adjustRightInd w:val="0"/>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（1）商务：总分70分</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71"/>
        <w:gridCol w:w="1164"/>
        <w:gridCol w:w="7800"/>
        <w:gridCol w:w="935"/>
      </w:tblGrid>
      <w:tr w14:paraId="598E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14:paraId="46AF1E6B">
            <w:pPr>
              <w:keepNext w:val="0"/>
              <w:keepLines w:val="0"/>
              <w:pageBreakBefore w:val="0"/>
              <w:widowControl w:val="0"/>
              <w:suppressLineNumbers w:val="0"/>
              <w:tabs>
                <w:tab w:val="left" w:pos="585"/>
              </w:tabs>
              <w:kinsoku/>
              <w:wordWrap/>
              <w:overflowPunct/>
              <w:topLinePunct w:val="0"/>
              <w:bidi w:val="0"/>
              <w:adjustRightInd/>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bookmarkStart w:id="801" w:name="_Toc11639_WPSOffice_Level2"/>
            <w:r>
              <w:rPr>
                <w:rFonts w:hint="eastAsia" w:ascii="宋体" w:hAnsi="宋体" w:eastAsia="宋体" w:cs="宋体"/>
                <w:b/>
                <w:bCs w:val="0"/>
                <w:color w:val="auto"/>
                <w:kern w:val="2"/>
                <w:sz w:val="21"/>
                <w:szCs w:val="21"/>
                <w:highlight w:val="none"/>
                <w:lang w:val="en-US" w:eastAsia="zh-CN" w:bidi="ar"/>
              </w:rPr>
              <w:t>序号</w:t>
            </w:r>
            <w:bookmarkEnd w:id="801"/>
          </w:p>
        </w:tc>
        <w:tc>
          <w:tcPr>
            <w:tcW w:w="561" w:type="pct"/>
            <w:tcBorders>
              <w:top w:val="single" w:color="auto" w:sz="4" w:space="0"/>
              <w:left w:val="nil"/>
              <w:bottom w:val="single" w:color="auto" w:sz="4" w:space="0"/>
              <w:right w:val="single" w:color="auto" w:sz="4" w:space="0"/>
            </w:tcBorders>
            <w:shd w:val="clear" w:color="auto" w:fill="auto"/>
            <w:vAlign w:val="center"/>
          </w:tcPr>
          <w:p w14:paraId="73570AE1">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评审内容</w:t>
            </w:r>
          </w:p>
        </w:tc>
        <w:tc>
          <w:tcPr>
            <w:tcW w:w="3760" w:type="pct"/>
            <w:tcBorders>
              <w:top w:val="single" w:color="auto" w:sz="4" w:space="0"/>
              <w:left w:val="nil"/>
              <w:bottom w:val="single" w:color="auto" w:sz="4" w:space="0"/>
              <w:right w:val="single" w:color="auto" w:sz="4" w:space="0"/>
            </w:tcBorders>
            <w:shd w:val="clear" w:color="auto" w:fill="auto"/>
            <w:vAlign w:val="center"/>
          </w:tcPr>
          <w:p w14:paraId="53D6D2DB">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评审细则</w:t>
            </w:r>
          </w:p>
        </w:tc>
        <w:tc>
          <w:tcPr>
            <w:tcW w:w="451" w:type="pct"/>
            <w:tcBorders>
              <w:top w:val="single" w:color="auto" w:sz="4" w:space="0"/>
              <w:left w:val="nil"/>
              <w:bottom w:val="single" w:color="auto" w:sz="4" w:space="0"/>
              <w:right w:val="single" w:color="auto" w:sz="4" w:space="0"/>
            </w:tcBorders>
            <w:shd w:val="clear" w:color="auto" w:fill="auto"/>
            <w:vAlign w:val="center"/>
          </w:tcPr>
          <w:p w14:paraId="698C4493">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满分值</w:t>
            </w:r>
          </w:p>
        </w:tc>
      </w:tr>
      <w:tr w14:paraId="20621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14:paraId="2A3F0951">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561" w:type="pct"/>
            <w:tcBorders>
              <w:top w:val="single" w:color="auto" w:sz="4" w:space="0"/>
              <w:left w:val="nil"/>
              <w:bottom w:val="single" w:color="auto" w:sz="4" w:space="0"/>
              <w:right w:val="single" w:color="auto" w:sz="4" w:space="0"/>
            </w:tcBorders>
            <w:shd w:val="clear" w:color="auto" w:fill="auto"/>
            <w:vAlign w:val="center"/>
          </w:tcPr>
          <w:p w14:paraId="5794E25B">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财务状况</w:t>
            </w:r>
          </w:p>
        </w:tc>
        <w:tc>
          <w:tcPr>
            <w:tcW w:w="3760" w:type="pct"/>
            <w:tcBorders>
              <w:top w:val="single" w:color="auto" w:sz="4" w:space="0"/>
              <w:left w:val="nil"/>
              <w:bottom w:val="single" w:color="auto" w:sz="4" w:space="0"/>
              <w:right w:val="single" w:color="auto" w:sz="4" w:space="0"/>
            </w:tcBorders>
            <w:shd w:val="clear" w:color="auto" w:fill="auto"/>
            <w:vAlign w:val="center"/>
          </w:tcPr>
          <w:p w14:paraId="13978DC7">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投标人2022年-2024年三个年度，每具有1个年度盈利的得1分，满分3分。</w:t>
            </w:r>
          </w:p>
          <w:p w14:paraId="736FEEE9">
            <w:pPr>
              <w:keepNext w:val="0"/>
              <w:keepLines w:val="0"/>
              <w:pageBreakBefore w:val="0"/>
              <w:widowControl w:val="0"/>
              <w:suppressLineNumbers w:val="0"/>
              <w:kinsoku/>
              <w:wordWrap/>
              <w:overflowPunct/>
              <w:topLinePunct w:val="0"/>
              <w:autoSpaceDE w:val="0"/>
              <w:autoSpaceDN/>
              <w:bidi w:val="0"/>
              <w:adjustRightInd/>
              <w:snapToGrid w:val="0"/>
              <w:spacing w:before="164" w:beforeLines="5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0"/>
                <w:sz w:val="21"/>
                <w:szCs w:val="21"/>
                <w:highlight w:val="none"/>
                <w:lang w:val="en-US" w:eastAsia="zh-CN" w:bidi="ar"/>
              </w:rPr>
              <w:t>注：盈利指净利润为正数（非零、非负数），投标人应提供2022年、2023年、2024年三个年度的财务报表，净利润以对应年度经审计的财务报表为准，应提供经独立会计师事务所审计过的有效的财务报表</w:t>
            </w:r>
            <w:r>
              <w:rPr>
                <w:rFonts w:hint="eastAsia" w:ascii="宋体" w:hAnsi="宋体" w:eastAsia="宋体" w:cs="宋体"/>
                <w:b/>
                <w:bCs/>
                <w:color w:val="auto"/>
                <w:sz w:val="21"/>
                <w:szCs w:val="21"/>
                <w:highlight w:val="none"/>
                <w:lang w:val="en-US" w:eastAsia="zh-CN"/>
              </w:rPr>
              <w:t>扫描件</w:t>
            </w:r>
            <w:r>
              <w:rPr>
                <w:rFonts w:hint="eastAsia" w:ascii="宋体" w:hAnsi="宋体" w:eastAsia="宋体" w:cs="宋体"/>
                <w:b/>
                <w:bCs w:val="0"/>
                <w:color w:val="auto"/>
                <w:kern w:val="0"/>
                <w:sz w:val="21"/>
                <w:szCs w:val="21"/>
                <w:highlight w:val="none"/>
                <w:lang w:val="en-US" w:eastAsia="zh-CN" w:bidi="ar"/>
              </w:rPr>
              <w:t>；未提供前述财务报表或财务报表未能反映净利润的，不得分。</w:t>
            </w:r>
          </w:p>
        </w:tc>
        <w:tc>
          <w:tcPr>
            <w:tcW w:w="451" w:type="pct"/>
            <w:tcBorders>
              <w:top w:val="single" w:color="auto" w:sz="4" w:space="0"/>
              <w:left w:val="nil"/>
              <w:bottom w:val="single" w:color="auto" w:sz="4" w:space="0"/>
              <w:right w:val="single" w:color="auto" w:sz="4" w:space="0"/>
            </w:tcBorders>
            <w:shd w:val="clear" w:color="auto" w:fill="auto"/>
            <w:vAlign w:val="center"/>
          </w:tcPr>
          <w:p w14:paraId="4FCC255B">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3分</w:t>
            </w:r>
          </w:p>
        </w:tc>
      </w:tr>
      <w:tr w14:paraId="5154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14:paraId="6500F6E9">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561" w:type="pct"/>
            <w:tcBorders>
              <w:top w:val="single" w:color="auto" w:sz="4" w:space="0"/>
              <w:left w:val="nil"/>
              <w:bottom w:val="single" w:color="auto" w:sz="4" w:space="0"/>
              <w:right w:val="single" w:color="auto" w:sz="4" w:space="0"/>
            </w:tcBorders>
            <w:shd w:val="clear" w:color="auto" w:fill="auto"/>
            <w:vAlign w:val="center"/>
          </w:tcPr>
          <w:p w14:paraId="670B523C">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标准化程度</w:t>
            </w:r>
          </w:p>
        </w:tc>
        <w:tc>
          <w:tcPr>
            <w:tcW w:w="3760" w:type="pct"/>
            <w:tcBorders>
              <w:top w:val="single" w:color="auto" w:sz="4" w:space="0"/>
              <w:left w:val="nil"/>
              <w:bottom w:val="single" w:color="auto" w:sz="4" w:space="0"/>
              <w:right w:val="single" w:color="auto" w:sz="4" w:space="0"/>
            </w:tcBorders>
            <w:shd w:val="clear" w:color="auto" w:fill="auto"/>
            <w:vAlign w:val="center"/>
          </w:tcPr>
          <w:p w14:paraId="3A58924E">
            <w:pPr>
              <w:keepNext w:val="0"/>
              <w:keepLines w:val="0"/>
              <w:pageBreakBefore w:val="0"/>
              <w:widowControl w:val="0"/>
              <w:suppressLineNumbers w:val="0"/>
              <w:tabs>
                <w:tab w:val="left" w:pos="134"/>
              </w:tabs>
              <w:kinsoku/>
              <w:wordWrap/>
              <w:overflowPunct/>
              <w:topLinePunct w:val="0"/>
              <w:autoSpaceDE w:val="0"/>
              <w:autoSpaceDN/>
              <w:bidi w:val="0"/>
              <w:adjustRightInd/>
              <w:snapToGrid w:val="0"/>
              <w:spacing w:before="164" w:beforeLines="5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（1）投标人具有有效期内的ISO9001质量管理体系认证证书得1分；</w:t>
            </w:r>
          </w:p>
          <w:p w14:paraId="3D4FBBAD">
            <w:pPr>
              <w:keepNext w:val="0"/>
              <w:keepLines w:val="0"/>
              <w:pageBreakBefore w:val="0"/>
              <w:widowControl w:val="0"/>
              <w:suppressLineNumbers w:val="0"/>
              <w:tabs>
                <w:tab w:val="left" w:pos="134"/>
              </w:tabs>
              <w:kinsoku/>
              <w:wordWrap/>
              <w:overflowPunct/>
              <w:topLinePunct w:val="0"/>
              <w:bidi w:val="0"/>
              <w:adjustRightInd/>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（2）投标人具有有效期内的ISO14001环境管理体系认证证书得1分；</w:t>
            </w:r>
          </w:p>
          <w:p w14:paraId="31F90C1A">
            <w:pPr>
              <w:keepNext w:val="0"/>
              <w:keepLines w:val="0"/>
              <w:pageBreakBefore w:val="0"/>
              <w:widowControl w:val="0"/>
              <w:suppressLineNumbers w:val="0"/>
              <w:tabs>
                <w:tab w:val="left" w:pos="134"/>
              </w:tabs>
              <w:kinsoku/>
              <w:wordWrap/>
              <w:overflowPunct/>
              <w:topLinePunct w:val="0"/>
              <w:bidi w:val="0"/>
              <w:adjustRightInd/>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bookmarkStart w:id="802" w:name="OLE_LINK2"/>
            <w:r>
              <w:rPr>
                <w:rFonts w:hint="eastAsia" w:ascii="宋体" w:hAnsi="宋体" w:eastAsia="宋体" w:cs="宋体"/>
                <w:color w:val="auto"/>
                <w:kern w:val="2"/>
                <w:sz w:val="21"/>
                <w:szCs w:val="21"/>
                <w:highlight w:val="none"/>
                <w:lang w:val="en-US" w:eastAsia="zh-CN" w:bidi="ar"/>
              </w:rPr>
              <w:t>（3）</w:t>
            </w:r>
            <w:bookmarkEnd w:id="802"/>
            <w:r>
              <w:rPr>
                <w:rFonts w:hint="eastAsia" w:ascii="宋体" w:hAnsi="宋体" w:eastAsia="宋体" w:cs="宋体"/>
                <w:color w:val="auto"/>
                <w:kern w:val="2"/>
                <w:sz w:val="21"/>
                <w:szCs w:val="21"/>
                <w:highlight w:val="none"/>
                <w:lang w:val="en-US" w:eastAsia="zh-CN" w:bidi="ar"/>
              </w:rPr>
              <w:t>投标人具有有效期内的OHSAS18001（或GB/T45001-2020，或ISO45001）职业健康安全管理体系认证证书得1分。</w:t>
            </w:r>
          </w:p>
          <w:p w14:paraId="451D3E10">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备注：</w:t>
            </w:r>
          </w:p>
          <w:p w14:paraId="0D80BA1E">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投标人应提供上述有效证书</w:t>
            </w:r>
            <w:r>
              <w:rPr>
                <w:rFonts w:hint="eastAsia" w:ascii="宋体" w:hAnsi="宋体" w:eastAsia="宋体" w:cs="宋体"/>
                <w:b/>
                <w:bCs/>
                <w:color w:val="auto"/>
                <w:sz w:val="21"/>
                <w:szCs w:val="21"/>
                <w:highlight w:val="none"/>
                <w:lang w:val="en-US" w:eastAsia="zh-CN"/>
              </w:rPr>
              <w:t>扫描件</w:t>
            </w:r>
            <w:r>
              <w:rPr>
                <w:rFonts w:hint="eastAsia" w:ascii="宋体" w:hAnsi="宋体" w:eastAsia="宋体" w:cs="宋体"/>
                <w:b/>
                <w:bCs w:val="0"/>
                <w:color w:val="auto"/>
                <w:kern w:val="2"/>
                <w:sz w:val="21"/>
                <w:szCs w:val="21"/>
                <w:highlight w:val="none"/>
                <w:lang w:val="en-US" w:eastAsia="zh-CN" w:bidi="ar"/>
              </w:rPr>
              <w:t>及能显示证书有效状态的全国认证认可信息公共服务平台（http://cx.cnca.cn/）查询结果凭证{凭证界面需显示有“全国认证认可信息公共服务平台”或“认证证书（需显示网址cx.cnca.cn）”}，否则不得分。</w:t>
            </w:r>
          </w:p>
        </w:tc>
        <w:tc>
          <w:tcPr>
            <w:tcW w:w="451" w:type="pct"/>
            <w:tcBorders>
              <w:top w:val="single" w:color="auto" w:sz="4" w:space="0"/>
              <w:left w:val="nil"/>
              <w:bottom w:val="single" w:color="auto" w:sz="4" w:space="0"/>
              <w:right w:val="single" w:color="auto" w:sz="4" w:space="0"/>
            </w:tcBorders>
            <w:shd w:val="clear" w:color="auto" w:fill="auto"/>
            <w:vAlign w:val="center"/>
          </w:tcPr>
          <w:p w14:paraId="66866F94">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3分</w:t>
            </w:r>
          </w:p>
        </w:tc>
      </w:tr>
      <w:tr w14:paraId="4E010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14:paraId="259E02E7">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561" w:type="pct"/>
            <w:tcBorders>
              <w:top w:val="single" w:color="auto" w:sz="4" w:space="0"/>
              <w:left w:val="nil"/>
              <w:bottom w:val="single" w:color="auto" w:sz="4" w:space="0"/>
              <w:right w:val="single" w:color="auto" w:sz="4" w:space="0"/>
            </w:tcBorders>
            <w:shd w:val="clear" w:color="auto" w:fill="auto"/>
            <w:vAlign w:val="center"/>
          </w:tcPr>
          <w:p w14:paraId="019BEDFA">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企业荣誉</w:t>
            </w:r>
          </w:p>
        </w:tc>
        <w:tc>
          <w:tcPr>
            <w:tcW w:w="3760" w:type="pct"/>
            <w:tcBorders>
              <w:top w:val="single" w:color="auto" w:sz="4" w:space="0"/>
              <w:left w:val="nil"/>
              <w:bottom w:val="single" w:color="auto" w:sz="4" w:space="0"/>
              <w:right w:val="single" w:color="auto" w:sz="4" w:space="0"/>
            </w:tcBorders>
            <w:shd w:val="clear" w:color="auto" w:fill="auto"/>
            <w:vAlign w:val="center"/>
          </w:tcPr>
          <w:p w14:paraId="769CF01C">
            <w:pPr>
              <w:keepNext w:val="0"/>
              <w:keepLines w:val="0"/>
              <w:pageBreakBefore w:val="0"/>
              <w:widowControl w:val="0"/>
              <w:suppressLineNumbers w:val="0"/>
              <w:kinsoku/>
              <w:wordWrap/>
              <w:overflowPunct/>
              <w:topLinePunct w:val="0"/>
              <w:autoSpaceDE w:val="0"/>
              <w:autoSpaceDN/>
              <w:bidi w:val="0"/>
              <w:adjustRightInd/>
              <w:spacing w:before="164" w:beforeLines="5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根据投标人2022年以来获得行政主管部门或行业协会颁发的有关工程造价咨询的奖项荣誉的，省级或以上的每个得2分，市级的每个得1分，最高得8分。</w:t>
            </w:r>
          </w:p>
          <w:p w14:paraId="1F176596">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备注：须提供奖项证明材料</w:t>
            </w:r>
            <w:r>
              <w:rPr>
                <w:rFonts w:hint="eastAsia" w:ascii="宋体" w:hAnsi="宋体" w:eastAsia="宋体" w:cs="宋体"/>
                <w:b/>
                <w:bCs/>
                <w:color w:val="auto"/>
                <w:sz w:val="21"/>
                <w:szCs w:val="21"/>
                <w:highlight w:val="none"/>
                <w:lang w:val="en-US" w:eastAsia="zh-CN"/>
              </w:rPr>
              <w:t>扫描件</w:t>
            </w:r>
            <w:r>
              <w:rPr>
                <w:rFonts w:hint="eastAsia" w:ascii="宋体" w:hAnsi="宋体" w:eastAsia="宋体" w:cs="宋体"/>
                <w:b/>
                <w:bCs/>
                <w:color w:val="auto"/>
                <w:kern w:val="2"/>
                <w:sz w:val="21"/>
                <w:szCs w:val="21"/>
                <w:highlight w:val="none"/>
                <w:lang w:val="en-US" w:eastAsia="zh-CN" w:bidi="ar"/>
              </w:rPr>
              <w:t>加盖投标人公章。</w:t>
            </w:r>
          </w:p>
        </w:tc>
        <w:tc>
          <w:tcPr>
            <w:tcW w:w="451" w:type="pct"/>
            <w:tcBorders>
              <w:top w:val="single" w:color="auto" w:sz="4" w:space="0"/>
              <w:left w:val="nil"/>
              <w:bottom w:val="single" w:color="auto" w:sz="4" w:space="0"/>
              <w:right w:val="single" w:color="auto" w:sz="4" w:space="0"/>
            </w:tcBorders>
            <w:shd w:val="clear" w:color="auto" w:fill="auto"/>
            <w:vAlign w:val="center"/>
          </w:tcPr>
          <w:p w14:paraId="7DE96EDF">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8分</w:t>
            </w:r>
          </w:p>
        </w:tc>
      </w:tr>
      <w:tr w14:paraId="0CF0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14:paraId="4602E8EA">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561" w:type="pct"/>
            <w:tcBorders>
              <w:top w:val="single" w:color="auto" w:sz="4" w:space="0"/>
              <w:left w:val="nil"/>
              <w:bottom w:val="single" w:color="auto" w:sz="4" w:space="0"/>
              <w:right w:val="single" w:color="auto" w:sz="4" w:space="0"/>
            </w:tcBorders>
            <w:shd w:val="clear" w:color="auto" w:fill="auto"/>
            <w:vAlign w:val="center"/>
          </w:tcPr>
          <w:p w14:paraId="46377368">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业绩</w:t>
            </w:r>
          </w:p>
        </w:tc>
        <w:tc>
          <w:tcPr>
            <w:tcW w:w="3760" w:type="pct"/>
            <w:tcBorders>
              <w:top w:val="single" w:color="auto" w:sz="4" w:space="0"/>
              <w:left w:val="nil"/>
              <w:bottom w:val="single" w:color="auto" w:sz="4" w:space="0"/>
              <w:right w:val="single" w:color="auto" w:sz="4" w:space="0"/>
            </w:tcBorders>
            <w:shd w:val="clear" w:color="auto" w:fill="auto"/>
            <w:vAlign w:val="center"/>
          </w:tcPr>
          <w:p w14:paraId="4E082C5A">
            <w:pPr>
              <w:pStyle w:val="39"/>
              <w:keepNext w:val="0"/>
              <w:keepLines w:val="0"/>
              <w:pageBreakBefore w:val="0"/>
              <w:widowControl w:val="0"/>
              <w:suppressLineNumbers w:val="0"/>
              <w:kinsoku/>
              <w:wordWrap/>
              <w:overflowPunct/>
              <w:topLinePunct w:val="0"/>
              <w:autoSpaceDE/>
              <w:autoSpaceDN/>
              <w:bidi w:val="0"/>
              <w:adjustRightInd/>
              <w:spacing w:before="164" w:beforeLines="50" w:beforeAutospacing="0" w:after="0" w:afterAutospacing="0" w:line="360" w:lineRule="auto"/>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1、工程造价咨询业绩（满分18分）</w:t>
            </w:r>
          </w:p>
          <w:p w14:paraId="5CDA0850">
            <w:pPr>
              <w:pStyle w:val="39"/>
              <w:keepNext w:val="0"/>
              <w:keepLines w:val="0"/>
              <w:pageBreakBefore w:val="0"/>
              <w:widowControl w:val="0"/>
              <w:suppressLineNumbers w:val="0"/>
              <w:kinsoku/>
              <w:wordWrap/>
              <w:overflowPunct/>
              <w:topLinePunct w:val="0"/>
              <w:bidi w:val="0"/>
              <w:adjustRightInd/>
              <w:spacing w:before="0" w:beforeLines="0" w:beforeAutospacing="0" w:after="0" w:afterAutospacing="0" w:line="360" w:lineRule="auto"/>
              <w:ind w:left="0" w:leftChars="0" w:right="0" w:firstLine="0" w:firstLineChars="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根据投标人在2022年、2023年、2024年各年度承接的概、预</w:t>
            </w:r>
            <w:r>
              <w:rPr>
                <w:rFonts w:hint="eastAsia" w:ascii="宋体" w:hAnsi="宋体" w:eastAsia="宋体" w:cs="宋体"/>
                <w:color w:val="auto"/>
                <w:sz w:val="21"/>
                <w:szCs w:val="21"/>
                <w:highlight w:val="none"/>
              </w:rPr>
              <w:t>(或招标控制价)</w:t>
            </w:r>
            <w:r>
              <w:rPr>
                <w:rFonts w:hint="eastAsia" w:ascii="宋体" w:hAnsi="宋体" w:eastAsia="宋体" w:cs="宋体"/>
                <w:color w:val="auto"/>
                <w:kern w:val="2"/>
                <w:sz w:val="21"/>
                <w:szCs w:val="21"/>
                <w:highlight w:val="none"/>
                <w:lang w:val="en-US" w:eastAsia="zh-CN" w:bidi="ar"/>
              </w:rPr>
              <w:t>、结算</w:t>
            </w:r>
            <w:r>
              <w:rPr>
                <w:rFonts w:hint="eastAsia" w:eastAsia="宋体" w:cs="宋体"/>
                <w:color w:val="auto"/>
                <w:kern w:val="2"/>
                <w:sz w:val="21"/>
                <w:szCs w:val="21"/>
                <w:highlight w:val="none"/>
                <w:lang w:val="en-US" w:eastAsia="zh-CN" w:bidi="ar"/>
              </w:rPr>
              <w:t>编制和审核</w:t>
            </w:r>
            <w:r>
              <w:rPr>
                <w:rFonts w:hint="eastAsia" w:ascii="宋体" w:hAnsi="宋体" w:eastAsia="宋体" w:cs="宋体"/>
                <w:color w:val="auto"/>
                <w:kern w:val="2"/>
                <w:sz w:val="21"/>
                <w:szCs w:val="21"/>
                <w:highlight w:val="none"/>
                <w:lang w:val="en-US" w:eastAsia="zh-CN" w:bidi="ar"/>
              </w:rPr>
              <w:t>业绩情况进行评审，每年度至少须有10项造价咨询业绩（含概、预</w:t>
            </w:r>
            <w:r>
              <w:rPr>
                <w:rFonts w:hint="eastAsia" w:ascii="宋体" w:hAnsi="宋体" w:eastAsia="宋体" w:cs="宋体"/>
                <w:color w:val="auto"/>
                <w:sz w:val="21"/>
                <w:szCs w:val="21"/>
                <w:highlight w:val="none"/>
              </w:rPr>
              <w:t>(或招标控制价)</w:t>
            </w:r>
            <w:r>
              <w:rPr>
                <w:rFonts w:hint="eastAsia" w:ascii="宋体" w:hAnsi="宋体" w:eastAsia="宋体" w:cs="宋体"/>
                <w:color w:val="auto"/>
                <w:kern w:val="2"/>
                <w:sz w:val="21"/>
                <w:szCs w:val="21"/>
                <w:highlight w:val="none"/>
                <w:lang w:val="en-US" w:eastAsia="zh-CN" w:bidi="ar"/>
              </w:rPr>
              <w:t>、结算</w:t>
            </w:r>
            <w:r>
              <w:rPr>
                <w:rFonts w:hint="eastAsia" w:eastAsia="宋体" w:cs="宋体"/>
                <w:color w:val="auto"/>
                <w:kern w:val="2"/>
                <w:sz w:val="21"/>
                <w:szCs w:val="21"/>
                <w:highlight w:val="none"/>
                <w:lang w:val="en-US" w:eastAsia="zh-CN" w:bidi="ar"/>
              </w:rPr>
              <w:t>编制和审核</w:t>
            </w:r>
            <w:r>
              <w:rPr>
                <w:rFonts w:hint="eastAsia" w:ascii="宋体" w:hAnsi="宋体" w:eastAsia="宋体" w:cs="宋体"/>
                <w:color w:val="auto"/>
                <w:kern w:val="2"/>
                <w:sz w:val="21"/>
                <w:szCs w:val="21"/>
                <w:highlight w:val="none"/>
                <w:lang w:val="en-US" w:eastAsia="zh-CN" w:bidi="ar"/>
              </w:rPr>
              <w:t>业绩</w:t>
            </w:r>
            <w:bookmarkStart w:id="803" w:name="OLE_LINK3"/>
            <w:r>
              <w:rPr>
                <w:rFonts w:hint="eastAsia" w:ascii="宋体" w:hAnsi="宋体" w:eastAsia="宋体" w:cs="宋体"/>
                <w:color w:val="auto"/>
                <w:kern w:val="2"/>
                <w:sz w:val="21"/>
                <w:szCs w:val="21"/>
                <w:highlight w:val="none"/>
                <w:lang w:val="en-US" w:eastAsia="zh-CN" w:bidi="ar"/>
              </w:rPr>
              <w:t>，金额在100万元（含）以上</w:t>
            </w:r>
            <w:r>
              <w:rPr>
                <w:rStyle w:val="46"/>
                <w:rFonts w:hint="eastAsia" w:ascii="宋体" w:hAnsi="宋体" w:eastAsia="宋体" w:cs="宋体"/>
                <w:i w:val="0"/>
                <w:iCs w:val="0"/>
                <w:caps w:val="0"/>
                <w:color w:val="auto"/>
                <w:spacing w:val="0"/>
                <w:sz w:val="21"/>
                <w:szCs w:val="21"/>
                <w:highlight w:val="none"/>
                <w:vertAlign w:val="baseline"/>
                <w:lang w:val="en-US" w:eastAsia="zh-CN" w:bidi="ar"/>
              </w:rPr>
              <w:t>）</w:t>
            </w:r>
            <w:bookmarkEnd w:id="803"/>
            <w:r>
              <w:rPr>
                <w:rFonts w:hint="eastAsia" w:ascii="宋体" w:hAnsi="宋体" w:eastAsia="宋体" w:cs="宋体"/>
                <w:color w:val="auto"/>
                <w:kern w:val="2"/>
                <w:sz w:val="21"/>
                <w:szCs w:val="21"/>
                <w:highlight w:val="none"/>
                <w:lang w:val="en-US" w:eastAsia="zh-CN" w:bidi="ar"/>
              </w:rPr>
              <w:t>，否则该年度不得分，满足业绩数量及金额要求的，该年度满分可得6分，3年度满分18分。具体金额标准如下：</w:t>
            </w:r>
          </w:p>
          <w:p w14:paraId="5C5D9B8F">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Lines="0" w:beforeAutospacing="0" w:after="0" w:afterAutospacing="0" w:line="360" w:lineRule="auto"/>
              <w:ind w:left="0" w:leftChars="0" w:right="0" w:firstLineChars="0"/>
              <w:jc w:val="left"/>
              <w:textAlignment w:val="baseline"/>
              <w:rPr>
                <w:rStyle w:val="46"/>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w:t>
            </w:r>
            <w:r>
              <w:rPr>
                <w:rStyle w:val="46"/>
                <w:rFonts w:hint="eastAsia" w:ascii="宋体" w:hAnsi="宋体" w:eastAsia="宋体" w:cs="宋体"/>
                <w:i w:val="0"/>
                <w:iCs w:val="0"/>
                <w:caps w:val="0"/>
                <w:color w:val="auto"/>
                <w:spacing w:val="0"/>
                <w:sz w:val="21"/>
                <w:szCs w:val="21"/>
                <w:highlight w:val="none"/>
                <w:vertAlign w:val="baseline"/>
                <w:lang w:bidi="ar"/>
              </w:rPr>
              <w:t xml:space="preserve">单项工程造价咨询业绩金额在 </w:t>
            </w:r>
            <w:r>
              <w:rPr>
                <w:rStyle w:val="46"/>
                <w:rFonts w:hint="eastAsia" w:ascii="宋体" w:hAnsi="宋体" w:eastAsia="宋体" w:cs="宋体"/>
                <w:i w:val="0"/>
                <w:iCs w:val="0"/>
                <w:caps w:val="0"/>
                <w:color w:val="auto"/>
                <w:spacing w:val="0"/>
                <w:sz w:val="21"/>
                <w:szCs w:val="21"/>
                <w:highlight w:val="none"/>
                <w:vertAlign w:val="baseline"/>
                <w:lang w:val="en-US" w:eastAsia="zh-CN" w:bidi="ar"/>
              </w:rPr>
              <w:t>1</w:t>
            </w:r>
            <w:r>
              <w:rPr>
                <w:rStyle w:val="46"/>
                <w:rFonts w:hint="eastAsia" w:ascii="宋体" w:hAnsi="宋体" w:eastAsia="宋体" w:cs="宋体"/>
                <w:i w:val="0"/>
                <w:iCs w:val="0"/>
                <w:caps w:val="0"/>
                <w:color w:val="auto"/>
                <w:spacing w:val="0"/>
                <w:sz w:val="21"/>
                <w:szCs w:val="21"/>
                <w:highlight w:val="none"/>
                <w:vertAlign w:val="baseline"/>
                <w:lang w:bidi="ar"/>
              </w:rPr>
              <w:t>000 万元（含）以上，</w:t>
            </w:r>
            <w:r>
              <w:rPr>
                <w:rStyle w:val="46"/>
                <w:rFonts w:hint="eastAsia" w:ascii="宋体" w:hAnsi="宋体" w:eastAsia="宋体" w:cs="宋体"/>
                <w:i w:val="0"/>
                <w:iCs w:val="0"/>
                <w:caps w:val="0"/>
                <w:color w:val="auto"/>
                <w:spacing w:val="0"/>
                <w:sz w:val="21"/>
                <w:szCs w:val="21"/>
                <w:highlight w:val="none"/>
                <w:vertAlign w:val="baseline"/>
                <w:lang w:val="en-US" w:eastAsia="zh-CN" w:bidi="ar"/>
              </w:rPr>
              <w:t>每项1.8分</w:t>
            </w:r>
            <w:r>
              <w:rPr>
                <w:rStyle w:val="46"/>
                <w:rFonts w:hint="eastAsia" w:ascii="宋体" w:hAnsi="宋体" w:eastAsia="宋体" w:cs="宋体"/>
                <w:i w:val="0"/>
                <w:iCs w:val="0"/>
                <w:caps w:val="0"/>
                <w:color w:val="auto"/>
                <w:spacing w:val="0"/>
                <w:sz w:val="21"/>
                <w:szCs w:val="21"/>
                <w:highlight w:val="none"/>
                <w:vertAlign w:val="baseline"/>
                <w:lang w:bidi="ar"/>
              </w:rPr>
              <w:t>。</w:t>
            </w:r>
          </w:p>
          <w:p w14:paraId="1BF57A71">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Lines="0" w:beforeAutospacing="0" w:after="0" w:afterAutospacing="0" w:line="360" w:lineRule="auto"/>
              <w:ind w:left="0" w:right="0" w:firstLine="0"/>
              <w:jc w:val="left"/>
              <w:textAlignment w:val="baseline"/>
              <w:rPr>
                <w:rStyle w:val="46"/>
                <w:rFonts w:hint="eastAsia" w:ascii="宋体" w:hAnsi="宋体" w:eastAsia="宋体" w:cs="宋体"/>
                <w:i w:val="0"/>
                <w:iCs w:val="0"/>
                <w:caps w:val="0"/>
                <w:color w:val="auto"/>
                <w:spacing w:val="0"/>
                <w:sz w:val="21"/>
                <w:szCs w:val="21"/>
                <w:highlight w:val="none"/>
                <w:vertAlign w:val="baseline"/>
                <w:lang w:bidi="ar"/>
              </w:rPr>
            </w:pPr>
            <w:r>
              <w:rPr>
                <w:rFonts w:hint="eastAsia" w:ascii="宋体" w:hAnsi="宋体" w:eastAsia="宋体" w:cs="宋体"/>
                <w:color w:val="auto"/>
                <w:kern w:val="2"/>
                <w:sz w:val="21"/>
                <w:szCs w:val="21"/>
                <w:highlight w:val="none"/>
                <w:lang w:val="en-US" w:eastAsia="zh-CN" w:bidi="ar"/>
              </w:rPr>
              <w:t>（2）</w:t>
            </w:r>
            <w:r>
              <w:rPr>
                <w:rStyle w:val="46"/>
                <w:rFonts w:hint="eastAsia" w:ascii="宋体" w:hAnsi="宋体" w:eastAsia="宋体" w:cs="宋体"/>
                <w:i w:val="0"/>
                <w:iCs w:val="0"/>
                <w:caps w:val="0"/>
                <w:color w:val="auto"/>
                <w:spacing w:val="0"/>
                <w:sz w:val="21"/>
                <w:szCs w:val="21"/>
                <w:highlight w:val="none"/>
                <w:vertAlign w:val="baseline"/>
                <w:lang w:bidi="ar"/>
              </w:rPr>
              <w:t xml:space="preserve">单项工程造价咨询业绩金额在 </w:t>
            </w:r>
            <w:r>
              <w:rPr>
                <w:rStyle w:val="46"/>
                <w:rFonts w:hint="eastAsia" w:ascii="宋体" w:hAnsi="宋体" w:eastAsia="宋体" w:cs="宋体"/>
                <w:i w:val="0"/>
                <w:iCs w:val="0"/>
                <w:caps w:val="0"/>
                <w:color w:val="auto"/>
                <w:spacing w:val="0"/>
                <w:sz w:val="21"/>
                <w:szCs w:val="21"/>
                <w:highlight w:val="none"/>
                <w:vertAlign w:val="baseline"/>
                <w:lang w:val="en-US" w:eastAsia="zh-CN" w:bidi="ar"/>
              </w:rPr>
              <w:t>4</w:t>
            </w:r>
            <w:r>
              <w:rPr>
                <w:rStyle w:val="46"/>
                <w:rFonts w:hint="eastAsia" w:ascii="宋体" w:hAnsi="宋体" w:eastAsia="宋体" w:cs="宋体"/>
                <w:i w:val="0"/>
                <w:iCs w:val="0"/>
                <w:caps w:val="0"/>
                <w:color w:val="auto"/>
                <w:spacing w:val="0"/>
                <w:sz w:val="21"/>
                <w:szCs w:val="21"/>
                <w:highlight w:val="none"/>
                <w:vertAlign w:val="baseline"/>
                <w:lang w:bidi="ar"/>
              </w:rPr>
              <w:t xml:space="preserve">00 万元（含）至 </w:t>
            </w:r>
            <w:r>
              <w:rPr>
                <w:rStyle w:val="46"/>
                <w:rFonts w:hint="eastAsia" w:ascii="宋体" w:hAnsi="宋体" w:eastAsia="宋体" w:cs="宋体"/>
                <w:i w:val="0"/>
                <w:iCs w:val="0"/>
                <w:caps w:val="0"/>
                <w:color w:val="auto"/>
                <w:spacing w:val="0"/>
                <w:sz w:val="21"/>
                <w:szCs w:val="21"/>
                <w:highlight w:val="none"/>
                <w:vertAlign w:val="baseline"/>
                <w:lang w:val="en-US" w:eastAsia="zh-CN" w:bidi="ar"/>
              </w:rPr>
              <w:t>1</w:t>
            </w:r>
            <w:r>
              <w:rPr>
                <w:rStyle w:val="46"/>
                <w:rFonts w:hint="eastAsia" w:ascii="宋体" w:hAnsi="宋体" w:eastAsia="宋体" w:cs="宋体"/>
                <w:i w:val="0"/>
                <w:iCs w:val="0"/>
                <w:caps w:val="0"/>
                <w:color w:val="auto"/>
                <w:spacing w:val="0"/>
                <w:sz w:val="21"/>
                <w:szCs w:val="21"/>
                <w:highlight w:val="none"/>
                <w:vertAlign w:val="baseline"/>
                <w:lang w:bidi="ar"/>
              </w:rPr>
              <w:t>000 万元（</w:t>
            </w:r>
            <w:r>
              <w:rPr>
                <w:rStyle w:val="46"/>
                <w:rFonts w:hint="eastAsia" w:ascii="宋体" w:hAnsi="宋体" w:eastAsia="宋体" w:cs="宋体"/>
                <w:i w:val="0"/>
                <w:iCs w:val="0"/>
                <w:caps w:val="0"/>
                <w:color w:val="auto"/>
                <w:spacing w:val="0"/>
                <w:sz w:val="21"/>
                <w:szCs w:val="21"/>
                <w:highlight w:val="none"/>
                <w:vertAlign w:val="baseline"/>
                <w:lang w:val="en-US" w:eastAsia="zh-CN" w:bidi="ar"/>
              </w:rPr>
              <w:t>不</w:t>
            </w:r>
            <w:r>
              <w:rPr>
                <w:rStyle w:val="46"/>
                <w:rFonts w:hint="eastAsia" w:ascii="宋体" w:hAnsi="宋体" w:eastAsia="宋体" w:cs="宋体"/>
                <w:i w:val="0"/>
                <w:iCs w:val="0"/>
                <w:caps w:val="0"/>
                <w:color w:val="auto"/>
                <w:spacing w:val="0"/>
                <w:sz w:val="21"/>
                <w:szCs w:val="21"/>
                <w:highlight w:val="none"/>
                <w:vertAlign w:val="baseline"/>
                <w:lang w:bidi="ar"/>
              </w:rPr>
              <w:t>含）之间，</w:t>
            </w:r>
            <w:r>
              <w:rPr>
                <w:rStyle w:val="46"/>
                <w:rFonts w:hint="eastAsia" w:ascii="宋体" w:hAnsi="宋体" w:eastAsia="宋体" w:cs="宋体"/>
                <w:i w:val="0"/>
                <w:iCs w:val="0"/>
                <w:caps w:val="0"/>
                <w:color w:val="auto"/>
                <w:spacing w:val="0"/>
                <w:sz w:val="21"/>
                <w:szCs w:val="21"/>
                <w:highlight w:val="none"/>
                <w:vertAlign w:val="baseline"/>
                <w:lang w:val="en-US" w:eastAsia="zh-CN" w:bidi="ar"/>
              </w:rPr>
              <w:t>每项0.9分</w:t>
            </w:r>
            <w:r>
              <w:rPr>
                <w:rStyle w:val="46"/>
                <w:rFonts w:hint="eastAsia" w:ascii="宋体" w:hAnsi="宋体" w:eastAsia="宋体" w:cs="宋体"/>
                <w:i w:val="0"/>
                <w:iCs w:val="0"/>
                <w:caps w:val="0"/>
                <w:color w:val="auto"/>
                <w:spacing w:val="0"/>
                <w:sz w:val="21"/>
                <w:szCs w:val="21"/>
                <w:highlight w:val="none"/>
                <w:vertAlign w:val="baseline"/>
                <w:lang w:bidi="ar"/>
              </w:rPr>
              <w:t>。</w:t>
            </w:r>
          </w:p>
          <w:p w14:paraId="2C5391C1">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Lines="0" w:beforeAutospacing="0" w:after="0" w:afterAutospacing="0" w:line="360" w:lineRule="auto"/>
              <w:ind w:left="0" w:right="0" w:firstLine="0"/>
              <w:jc w:val="left"/>
              <w:textAlignment w:val="baseline"/>
              <w:rPr>
                <w:rStyle w:val="46"/>
                <w:rFonts w:hint="eastAsia" w:ascii="宋体" w:hAnsi="宋体" w:eastAsia="宋体" w:cs="宋体"/>
                <w:i w:val="0"/>
                <w:iCs w:val="0"/>
                <w:caps w:val="0"/>
                <w:color w:val="auto"/>
                <w:spacing w:val="0"/>
                <w:sz w:val="21"/>
                <w:szCs w:val="21"/>
                <w:highlight w:val="none"/>
                <w:vertAlign w:val="baseline"/>
                <w:lang w:bidi="ar"/>
              </w:rPr>
            </w:pPr>
            <w:r>
              <w:rPr>
                <w:rFonts w:hint="eastAsia" w:ascii="宋体" w:hAnsi="宋体" w:eastAsia="宋体" w:cs="宋体"/>
                <w:color w:val="auto"/>
                <w:kern w:val="2"/>
                <w:sz w:val="21"/>
                <w:szCs w:val="21"/>
                <w:highlight w:val="none"/>
                <w:lang w:val="en-US" w:eastAsia="zh-CN" w:bidi="ar"/>
              </w:rPr>
              <w:t>（3）</w:t>
            </w:r>
            <w:r>
              <w:rPr>
                <w:rStyle w:val="46"/>
                <w:rFonts w:hint="eastAsia" w:ascii="宋体" w:hAnsi="宋体" w:eastAsia="宋体" w:cs="宋体"/>
                <w:i w:val="0"/>
                <w:iCs w:val="0"/>
                <w:caps w:val="0"/>
                <w:color w:val="auto"/>
                <w:spacing w:val="0"/>
                <w:sz w:val="21"/>
                <w:szCs w:val="21"/>
                <w:highlight w:val="none"/>
                <w:vertAlign w:val="baseline"/>
                <w:lang w:bidi="ar"/>
              </w:rPr>
              <w:t xml:space="preserve">单项工程造价咨询业绩金额在 </w:t>
            </w:r>
            <w:r>
              <w:rPr>
                <w:rStyle w:val="46"/>
                <w:rFonts w:hint="eastAsia" w:ascii="宋体" w:hAnsi="宋体" w:eastAsia="宋体" w:cs="宋体"/>
                <w:i w:val="0"/>
                <w:iCs w:val="0"/>
                <w:caps w:val="0"/>
                <w:color w:val="auto"/>
                <w:spacing w:val="0"/>
                <w:sz w:val="21"/>
                <w:szCs w:val="21"/>
                <w:highlight w:val="none"/>
                <w:vertAlign w:val="baseline"/>
                <w:lang w:val="en-US" w:eastAsia="zh-CN" w:bidi="ar"/>
              </w:rPr>
              <w:t>1</w:t>
            </w:r>
            <w:r>
              <w:rPr>
                <w:rStyle w:val="46"/>
                <w:rFonts w:hint="eastAsia" w:ascii="宋体" w:hAnsi="宋体" w:eastAsia="宋体" w:cs="宋体"/>
                <w:i w:val="0"/>
                <w:iCs w:val="0"/>
                <w:caps w:val="0"/>
                <w:color w:val="auto"/>
                <w:spacing w:val="0"/>
                <w:sz w:val="21"/>
                <w:szCs w:val="21"/>
                <w:highlight w:val="none"/>
                <w:vertAlign w:val="baseline"/>
                <w:lang w:bidi="ar"/>
              </w:rPr>
              <w:t>00 万元以</w:t>
            </w:r>
            <w:r>
              <w:rPr>
                <w:rStyle w:val="46"/>
                <w:rFonts w:hint="eastAsia" w:ascii="宋体" w:hAnsi="宋体" w:eastAsia="宋体" w:cs="宋体"/>
                <w:i w:val="0"/>
                <w:iCs w:val="0"/>
                <w:caps w:val="0"/>
                <w:color w:val="auto"/>
                <w:spacing w:val="0"/>
                <w:sz w:val="21"/>
                <w:szCs w:val="21"/>
                <w:highlight w:val="none"/>
                <w:vertAlign w:val="baseline"/>
                <w:lang w:val="en-US" w:eastAsia="zh-CN" w:bidi="ar"/>
              </w:rPr>
              <w:t>上（含）至400万元</w:t>
            </w:r>
            <w:r>
              <w:rPr>
                <w:rStyle w:val="46"/>
                <w:rFonts w:hint="eastAsia" w:ascii="宋体" w:hAnsi="宋体" w:eastAsia="宋体" w:cs="宋体"/>
                <w:i w:val="0"/>
                <w:iCs w:val="0"/>
                <w:caps w:val="0"/>
                <w:color w:val="auto"/>
                <w:spacing w:val="0"/>
                <w:sz w:val="21"/>
                <w:szCs w:val="21"/>
                <w:highlight w:val="none"/>
                <w:vertAlign w:val="baseline"/>
                <w:lang w:bidi="ar"/>
              </w:rPr>
              <w:t>（</w:t>
            </w:r>
            <w:r>
              <w:rPr>
                <w:rStyle w:val="46"/>
                <w:rFonts w:hint="eastAsia" w:ascii="宋体" w:hAnsi="宋体" w:eastAsia="宋体" w:cs="宋体"/>
                <w:i w:val="0"/>
                <w:iCs w:val="0"/>
                <w:caps w:val="0"/>
                <w:color w:val="auto"/>
                <w:spacing w:val="0"/>
                <w:sz w:val="21"/>
                <w:szCs w:val="21"/>
                <w:highlight w:val="none"/>
                <w:vertAlign w:val="baseline"/>
                <w:lang w:val="en-US" w:eastAsia="zh-CN" w:bidi="ar"/>
              </w:rPr>
              <w:t>不</w:t>
            </w:r>
            <w:r>
              <w:rPr>
                <w:rStyle w:val="46"/>
                <w:rFonts w:hint="eastAsia" w:ascii="宋体" w:hAnsi="宋体" w:eastAsia="宋体" w:cs="宋体"/>
                <w:i w:val="0"/>
                <w:iCs w:val="0"/>
                <w:caps w:val="0"/>
                <w:color w:val="auto"/>
                <w:spacing w:val="0"/>
                <w:sz w:val="21"/>
                <w:szCs w:val="21"/>
                <w:highlight w:val="none"/>
                <w:vertAlign w:val="baseline"/>
                <w:lang w:bidi="ar"/>
              </w:rPr>
              <w:t>含）</w:t>
            </w:r>
            <w:r>
              <w:rPr>
                <w:rStyle w:val="46"/>
                <w:rFonts w:hint="eastAsia" w:ascii="宋体" w:hAnsi="宋体" w:eastAsia="宋体" w:cs="宋体"/>
                <w:i w:val="0"/>
                <w:iCs w:val="0"/>
                <w:caps w:val="0"/>
                <w:color w:val="auto"/>
                <w:spacing w:val="0"/>
                <w:sz w:val="21"/>
                <w:szCs w:val="21"/>
                <w:highlight w:val="none"/>
                <w:vertAlign w:val="baseline"/>
                <w:lang w:val="en-US" w:eastAsia="zh-CN" w:bidi="ar"/>
              </w:rPr>
              <w:t>之间</w:t>
            </w:r>
            <w:r>
              <w:rPr>
                <w:rStyle w:val="46"/>
                <w:rFonts w:hint="eastAsia" w:ascii="宋体" w:hAnsi="宋体" w:eastAsia="宋体" w:cs="宋体"/>
                <w:i w:val="0"/>
                <w:iCs w:val="0"/>
                <w:caps w:val="0"/>
                <w:color w:val="auto"/>
                <w:spacing w:val="0"/>
                <w:sz w:val="21"/>
                <w:szCs w:val="21"/>
                <w:highlight w:val="none"/>
                <w:vertAlign w:val="baseline"/>
                <w:lang w:bidi="ar"/>
              </w:rPr>
              <w:t>，</w:t>
            </w:r>
            <w:r>
              <w:rPr>
                <w:rStyle w:val="46"/>
                <w:rFonts w:hint="eastAsia" w:ascii="宋体" w:hAnsi="宋体" w:eastAsia="宋体" w:cs="宋体"/>
                <w:i w:val="0"/>
                <w:iCs w:val="0"/>
                <w:caps w:val="0"/>
                <w:color w:val="auto"/>
                <w:spacing w:val="0"/>
                <w:sz w:val="21"/>
                <w:szCs w:val="21"/>
                <w:highlight w:val="none"/>
                <w:vertAlign w:val="baseline"/>
                <w:lang w:val="en-US" w:eastAsia="zh-CN" w:bidi="ar"/>
              </w:rPr>
              <w:t>得0.45分</w:t>
            </w:r>
            <w:r>
              <w:rPr>
                <w:rStyle w:val="46"/>
                <w:rFonts w:hint="eastAsia" w:ascii="宋体" w:hAnsi="宋体" w:eastAsia="宋体" w:cs="宋体"/>
                <w:i w:val="0"/>
                <w:iCs w:val="0"/>
                <w:caps w:val="0"/>
                <w:color w:val="auto"/>
                <w:spacing w:val="0"/>
                <w:sz w:val="21"/>
                <w:szCs w:val="21"/>
                <w:highlight w:val="none"/>
                <w:vertAlign w:val="baseline"/>
                <w:lang w:bidi="ar"/>
              </w:rPr>
              <w:t>。</w:t>
            </w:r>
          </w:p>
          <w:p w14:paraId="4A62940D">
            <w:pPr>
              <w:pStyle w:val="39"/>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Autospacing="0" w:line="360" w:lineRule="auto"/>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2、不同类型工程</w:t>
            </w:r>
            <w:r>
              <w:rPr>
                <w:rFonts w:hint="eastAsia" w:eastAsia="宋体" w:cs="宋体"/>
                <w:color w:val="auto"/>
                <w:kern w:val="2"/>
                <w:sz w:val="21"/>
                <w:szCs w:val="21"/>
                <w:highlight w:val="none"/>
                <w:lang w:val="en-US" w:eastAsia="zh-CN" w:bidi="ar"/>
              </w:rPr>
              <w:t>编制和审核</w:t>
            </w:r>
            <w:r>
              <w:rPr>
                <w:rFonts w:hint="eastAsia" w:ascii="宋体" w:hAnsi="宋体" w:eastAsia="宋体" w:cs="宋体"/>
                <w:b/>
                <w:bCs/>
                <w:color w:val="auto"/>
                <w:kern w:val="2"/>
                <w:sz w:val="21"/>
                <w:szCs w:val="21"/>
                <w:highlight w:val="none"/>
                <w:lang w:val="en-US" w:eastAsia="zh-CN" w:bidi="ar"/>
              </w:rPr>
              <w:t>业绩（满分9分）：</w:t>
            </w:r>
          </w:p>
          <w:p w14:paraId="65BC80F9">
            <w:pPr>
              <w:pStyle w:val="39"/>
              <w:keepNext w:val="0"/>
              <w:keepLines w:val="0"/>
              <w:pageBreakBefore w:val="0"/>
              <w:widowControl w:val="0"/>
              <w:suppressLineNumbers w:val="0"/>
              <w:tabs>
                <w:tab w:val="left" w:pos="210"/>
              </w:tabs>
              <w:kinsoku/>
              <w:wordWrap/>
              <w:overflowPunct/>
              <w:topLinePunct w:val="0"/>
              <w:bidi w:val="0"/>
              <w:adjustRightInd/>
              <w:spacing w:before="0" w:beforeLines="0" w:beforeAutospacing="0" w:after="0" w:afterAutospacing="0" w:line="360" w:lineRule="auto"/>
              <w:ind w:left="0" w:leftChars="0" w:right="0" w:firstLine="0" w:firstLineChars="0"/>
              <w:jc w:val="both"/>
              <w:rPr>
                <w:rFonts w:hint="eastAsia" w:ascii="宋体" w:hAnsi="宋体" w:eastAsia="宋体" w:cs="宋体"/>
                <w:b/>
                <w:bCs/>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根据投标人2022年1月1日至今</w:t>
            </w:r>
            <w:bookmarkStart w:id="804" w:name="_Hlk122543198"/>
            <w:r>
              <w:rPr>
                <w:rFonts w:hint="eastAsia" w:ascii="宋体" w:hAnsi="宋体" w:eastAsia="宋体" w:cs="宋体"/>
                <w:color w:val="auto"/>
                <w:kern w:val="2"/>
                <w:sz w:val="21"/>
                <w:szCs w:val="21"/>
                <w:highlight w:val="none"/>
                <w:lang w:val="en-US" w:eastAsia="zh-CN" w:bidi="ar"/>
              </w:rPr>
              <w:t>承接的不同类型工程</w:t>
            </w:r>
            <w:r>
              <w:rPr>
                <w:rFonts w:hint="eastAsia" w:eastAsia="宋体" w:cs="宋体"/>
                <w:color w:val="auto"/>
                <w:kern w:val="2"/>
                <w:sz w:val="21"/>
                <w:szCs w:val="21"/>
                <w:highlight w:val="none"/>
                <w:lang w:val="en-US" w:eastAsia="zh-CN" w:bidi="ar"/>
              </w:rPr>
              <w:t>编制和审核</w:t>
            </w:r>
            <w:r>
              <w:rPr>
                <w:rFonts w:hint="eastAsia" w:ascii="宋体" w:hAnsi="宋体" w:eastAsia="宋体" w:cs="宋体"/>
                <w:color w:val="auto"/>
                <w:kern w:val="2"/>
                <w:sz w:val="21"/>
                <w:szCs w:val="21"/>
                <w:highlight w:val="none"/>
                <w:lang w:val="en-US" w:eastAsia="zh-CN" w:bidi="ar"/>
              </w:rPr>
              <w:t>业绩</w:t>
            </w:r>
            <w:bookmarkEnd w:id="804"/>
            <w:r>
              <w:rPr>
                <w:rFonts w:hint="eastAsia" w:ascii="宋体" w:hAnsi="宋体" w:eastAsia="宋体" w:cs="宋体"/>
                <w:color w:val="auto"/>
                <w:kern w:val="2"/>
                <w:sz w:val="21"/>
                <w:szCs w:val="21"/>
                <w:highlight w:val="none"/>
                <w:lang w:val="en-US" w:eastAsia="zh-CN" w:bidi="ar"/>
              </w:rPr>
              <w:t>进行评审，【房建（含装饰）类、市政类、</w:t>
            </w:r>
            <w:bookmarkStart w:id="805" w:name="OLE_LINK1"/>
            <w:r>
              <w:rPr>
                <w:rFonts w:hint="eastAsia" w:ascii="宋体" w:hAnsi="宋体" w:eastAsia="宋体" w:cs="宋体"/>
                <w:color w:val="auto"/>
                <w:kern w:val="2"/>
                <w:sz w:val="21"/>
                <w:szCs w:val="21"/>
                <w:highlight w:val="none"/>
                <w:lang w:val="en-US" w:eastAsia="zh-CN" w:bidi="ar"/>
              </w:rPr>
              <w:t>水利</w:t>
            </w:r>
            <w:bookmarkEnd w:id="805"/>
            <w:r>
              <w:rPr>
                <w:rFonts w:hint="eastAsia" w:ascii="宋体" w:hAnsi="宋体" w:eastAsia="宋体" w:cs="宋体"/>
                <w:color w:val="auto"/>
                <w:kern w:val="2"/>
                <w:sz w:val="21"/>
                <w:szCs w:val="21"/>
                <w:highlight w:val="none"/>
                <w:lang w:val="en-US" w:eastAsia="zh-CN" w:bidi="ar"/>
              </w:rPr>
              <w:t>类】，每一种专业类型得3分，</w:t>
            </w:r>
            <w:r>
              <w:rPr>
                <w:rFonts w:hint="eastAsia" w:ascii="宋体" w:hAnsi="宋体" w:eastAsia="宋体" w:cs="宋体"/>
                <w:b/>
                <w:bCs/>
                <w:color w:val="auto"/>
                <w:kern w:val="2"/>
                <w:sz w:val="21"/>
                <w:szCs w:val="21"/>
                <w:highlight w:val="none"/>
                <w:lang w:val="en-US" w:eastAsia="zh-CN" w:bidi="ar"/>
              </w:rPr>
              <w:t>每一种专业类型（即前述的房建（含装饰）类或市政类或水利类）工程</w:t>
            </w:r>
            <w:r>
              <w:rPr>
                <w:rFonts w:hint="eastAsia" w:eastAsia="宋体" w:cs="宋体"/>
                <w:b/>
                <w:bCs/>
                <w:color w:val="auto"/>
                <w:kern w:val="2"/>
                <w:sz w:val="21"/>
                <w:szCs w:val="21"/>
                <w:highlight w:val="none"/>
                <w:lang w:val="en-US" w:eastAsia="zh-CN" w:bidi="ar"/>
              </w:rPr>
              <w:t>编制和审核</w:t>
            </w:r>
            <w:r>
              <w:rPr>
                <w:rFonts w:hint="eastAsia" w:ascii="宋体" w:hAnsi="宋体" w:eastAsia="宋体" w:cs="宋体"/>
                <w:b/>
                <w:bCs/>
                <w:color w:val="auto"/>
                <w:kern w:val="2"/>
                <w:sz w:val="21"/>
                <w:szCs w:val="21"/>
                <w:highlight w:val="none"/>
                <w:lang w:val="en-US" w:eastAsia="zh-CN" w:bidi="ar"/>
              </w:rPr>
              <w:t>业绩均须包含该类型概、预</w:t>
            </w:r>
            <w:r>
              <w:rPr>
                <w:rFonts w:hint="eastAsia" w:ascii="宋体" w:hAnsi="宋体" w:eastAsia="宋体" w:cs="宋体"/>
                <w:b/>
                <w:bCs/>
                <w:color w:val="auto"/>
                <w:sz w:val="21"/>
                <w:szCs w:val="21"/>
                <w:highlight w:val="none"/>
                <w:lang w:bidi="ar"/>
              </w:rPr>
              <w:t>(或招标控制价)</w:t>
            </w:r>
            <w:r>
              <w:rPr>
                <w:rFonts w:hint="eastAsia" w:ascii="宋体" w:hAnsi="宋体" w:eastAsia="宋体" w:cs="宋体"/>
                <w:b/>
                <w:bCs/>
                <w:color w:val="auto"/>
                <w:kern w:val="2"/>
                <w:sz w:val="21"/>
                <w:szCs w:val="21"/>
                <w:highlight w:val="none"/>
                <w:lang w:val="en-US" w:eastAsia="zh-CN" w:bidi="ar"/>
              </w:rPr>
              <w:t>、结算编制和审核业绩，否则该类型工程编制和审核业绩不得分，本项目满分9分。</w:t>
            </w:r>
          </w:p>
          <w:p w14:paraId="3FEE4C60">
            <w:pPr>
              <w:keepNext w:val="0"/>
              <w:keepLines w:val="0"/>
              <w:pageBreakBefore w:val="0"/>
              <w:widowControl w:val="0"/>
              <w:suppressLineNumbers w:val="0"/>
              <w:kinsoku/>
              <w:wordWrap/>
              <w:overflowPunct/>
              <w:topLinePunct w:val="0"/>
              <w:autoSpaceDE/>
              <w:autoSpaceDN/>
              <w:bidi w:val="0"/>
              <w:adjustRightInd/>
              <w:spacing w:before="164" w:beforeLines="50" w:beforeAutospacing="0" w:after="0" w:afterAutospacing="0" w:line="360" w:lineRule="auto"/>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3、货物、服务类造价咨询业绩（满分7分）：</w:t>
            </w:r>
          </w:p>
          <w:p w14:paraId="53A15F79">
            <w:pPr>
              <w:keepNext w:val="0"/>
              <w:keepLines w:val="0"/>
              <w:pageBreakBefore w:val="0"/>
              <w:widowControl w:val="0"/>
              <w:suppressLineNumbers w:val="0"/>
              <w:kinsoku/>
              <w:wordWrap/>
              <w:overflowPunct/>
              <w:topLinePunct w:val="0"/>
              <w:bidi w:val="0"/>
              <w:adjustRightInd/>
              <w:spacing w:before="0" w:beforeLines="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根据投标人2022年1月1日至今承接的货物、服务类造价咨询业绩进行评审：每提供一个货物类造价咨询业绩的，得1分，最高得3分；每提供一个服务类造价咨询业绩的，得1分，最高得4分。</w:t>
            </w:r>
          </w:p>
          <w:p w14:paraId="7D2EC77D">
            <w:pPr>
              <w:keepNext w:val="0"/>
              <w:keepLines w:val="0"/>
              <w:pageBreakBefore w:val="0"/>
              <w:widowControl w:val="0"/>
              <w:suppressLineNumbers w:val="0"/>
              <w:kinsoku/>
              <w:wordWrap/>
              <w:overflowPunct/>
              <w:topLinePunct w:val="0"/>
              <w:bidi w:val="0"/>
              <w:adjustRightInd/>
              <w:spacing w:before="0" w:beforeLines="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4、信息化建设项目造价咨询业绩（满分4分）</w:t>
            </w:r>
          </w:p>
          <w:p w14:paraId="6E528994">
            <w:pPr>
              <w:keepNext w:val="0"/>
              <w:keepLines w:val="0"/>
              <w:pageBreakBefore w:val="0"/>
              <w:widowControl w:val="0"/>
              <w:suppressLineNumbers w:val="0"/>
              <w:kinsoku/>
              <w:wordWrap/>
              <w:overflowPunct/>
              <w:topLinePunct w:val="0"/>
              <w:bidi w:val="0"/>
              <w:adjustRightInd/>
              <w:spacing w:before="0" w:beforeLines="0" w:beforeAutospacing="0" w:after="0" w:afterAutospacing="0" w:line="360" w:lineRule="auto"/>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根据投标人2022年1月1日至今承接过的信息化建设项目造价咨询业绩进行评审，每提供一个有效业绩得1分，本项最高4分。</w:t>
            </w:r>
          </w:p>
          <w:p w14:paraId="768ADAFB">
            <w:pPr>
              <w:keepNext w:val="0"/>
              <w:keepLines w:val="0"/>
              <w:pageBreakBefore w:val="0"/>
              <w:widowControl w:val="0"/>
              <w:suppressLineNumbers w:val="0"/>
              <w:kinsoku/>
              <w:wordWrap/>
              <w:overflowPunct/>
              <w:topLinePunct w:val="0"/>
              <w:bidi w:val="0"/>
              <w:adjustRightInd/>
              <w:spacing w:before="0" w:beforeLines="0" w:beforeAutospacing="0" w:after="0" w:afterAutospacing="0" w:line="360" w:lineRule="auto"/>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备注：</w:t>
            </w:r>
          </w:p>
          <w:p w14:paraId="658E2FDC">
            <w:pPr>
              <w:pStyle w:val="39"/>
              <w:keepNext w:val="0"/>
              <w:keepLines w:val="0"/>
              <w:pageBreakBefore w:val="0"/>
              <w:widowControl w:val="0"/>
              <w:suppressLineNumbers w:val="0"/>
              <w:kinsoku/>
              <w:wordWrap/>
              <w:overflowPunct/>
              <w:topLinePunct w:val="0"/>
              <w:bidi w:val="0"/>
              <w:adjustRightInd/>
              <w:spacing w:before="0" w:beforeLines="0" w:beforeAutospacing="0" w:after="0" w:afterAutospacing="0" w:line="360" w:lineRule="auto"/>
              <w:ind w:left="0" w:leftChars="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1）</w:t>
            </w:r>
            <w:r>
              <w:rPr>
                <w:rFonts w:hint="eastAsia" w:ascii="宋体" w:hAnsi="宋体" w:eastAsia="宋体" w:cs="宋体"/>
                <w:b/>
                <w:bCs/>
                <w:color w:val="auto"/>
                <w:kern w:val="2"/>
                <w:sz w:val="21"/>
                <w:szCs w:val="21"/>
                <w:highlight w:val="none"/>
                <w:lang w:val="en-US" w:eastAsia="zh-CN" w:bidi="ar"/>
              </w:rPr>
              <w:t>业绩须附合同及项目的相关成果文件关键页</w:t>
            </w:r>
            <w:r>
              <w:rPr>
                <w:rFonts w:hint="eastAsia" w:ascii="宋体" w:hAnsi="宋体" w:eastAsia="宋体" w:cs="宋体"/>
                <w:b/>
                <w:bCs/>
                <w:color w:val="auto"/>
                <w:sz w:val="21"/>
                <w:szCs w:val="21"/>
                <w:highlight w:val="none"/>
                <w:lang w:val="en-US" w:eastAsia="zh-CN"/>
              </w:rPr>
              <w:t>扫描件</w:t>
            </w:r>
            <w:r>
              <w:rPr>
                <w:rFonts w:hint="eastAsia" w:ascii="宋体" w:hAnsi="宋体" w:eastAsia="宋体" w:cs="宋体"/>
                <w:b/>
                <w:bCs/>
                <w:color w:val="auto"/>
                <w:kern w:val="2"/>
                <w:sz w:val="21"/>
                <w:szCs w:val="21"/>
                <w:highlight w:val="none"/>
                <w:lang w:val="en-US" w:eastAsia="zh-CN" w:bidi="ar"/>
              </w:rPr>
              <w:t>加盖投标人公章，否则不得分；</w:t>
            </w:r>
          </w:p>
          <w:p w14:paraId="69615C73">
            <w:pPr>
              <w:pStyle w:val="39"/>
              <w:keepNext w:val="0"/>
              <w:keepLines w:val="0"/>
              <w:pageBreakBefore w:val="0"/>
              <w:widowControl w:val="0"/>
              <w:suppressLineNumbers w:val="0"/>
              <w:kinsoku/>
              <w:wordWrap/>
              <w:overflowPunct/>
              <w:topLinePunct w:val="0"/>
              <w:bidi w:val="0"/>
              <w:adjustRightInd/>
              <w:spacing w:before="0" w:beforeLines="0" w:beforeAutospacing="0" w:after="0" w:afterAutospacing="0" w:line="360" w:lineRule="auto"/>
              <w:ind w:left="0" w:leftChars="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2</w:t>
            </w:r>
            <w:r>
              <w:rPr>
                <w:rFonts w:hint="eastAsia" w:ascii="宋体" w:hAnsi="宋体" w:eastAsia="宋体" w:cs="宋体"/>
                <w:b/>
                <w:bCs w:val="0"/>
                <w:color w:val="auto"/>
                <w:kern w:val="2"/>
                <w:sz w:val="21"/>
                <w:szCs w:val="21"/>
                <w:highlight w:val="none"/>
                <w:lang w:val="en-US" w:eastAsia="zh-CN" w:bidi="ar"/>
              </w:rPr>
              <w:t>）若合同等业绩证明材料无法反映评分条件[合同签订日期为2022年1月1日或以后，合同标的必须为概/预(或招标控制价)/结算编制</w:t>
            </w:r>
            <w:r>
              <w:rPr>
                <w:rFonts w:hint="eastAsia" w:eastAsia="宋体" w:cs="宋体"/>
                <w:b/>
                <w:bCs w:val="0"/>
                <w:color w:val="auto"/>
                <w:kern w:val="2"/>
                <w:sz w:val="21"/>
                <w:szCs w:val="21"/>
                <w:highlight w:val="none"/>
                <w:lang w:val="en-US" w:eastAsia="zh-CN" w:bidi="ar"/>
              </w:rPr>
              <w:t>/</w:t>
            </w:r>
            <w:r>
              <w:rPr>
                <w:rFonts w:hint="eastAsia" w:ascii="宋体" w:hAnsi="宋体" w:eastAsia="宋体" w:cs="宋体"/>
                <w:b/>
                <w:bCs w:val="0"/>
                <w:color w:val="auto"/>
                <w:kern w:val="2"/>
                <w:sz w:val="21"/>
                <w:szCs w:val="21"/>
                <w:highlight w:val="none"/>
                <w:lang w:val="en-US" w:eastAsia="zh-CN" w:bidi="ar"/>
              </w:rPr>
              <w:t>审核业绩或货物、服务类造价咨询业绩或信息化建设项目造价咨询业绩]的，还需同时提供业主方出具的书面补充情况说明文件</w:t>
            </w:r>
            <w:r>
              <w:rPr>
                <w:rFonts w:hint="eastAsia" w:ascii="宋体" w:hAnsi="宋体" w:eastAsia="宋体" w:cs="宋体"/>
                <w:b/>
                <w:bCs/>
                <w:color w:val="auto"/>
                <w:sz w:val="21"/>
                <w:szCs w:val="21"/>
                <w:highlight w:val="none"/>
                <w:lang w:val="en-US" w:eastAsia="zh-CN"/>
              </w:rPr>
              <w:t>扫描件</w:t>
            </w: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b/>
                <w:bCs/>
                <w:color w:val="auto"/>
                <w:kern w:val="2"/>
                <w:sz w:val="21"/>
                <w:szCs w:val="21"/>
                <w:highlight w:val="none"/>
                <w:shd w:val="clear" w:fill="FFFFFF"/>
                <w:lang w:val="en-US" w:eastAsia="zh-CN" w:bidi="ar"/>
              </w:rPr>
              <w:t>补充情况说明文件</w:t>
            </w:r>
            <w:r>
              <w:rPr>
                <w:rFonts w:hint="eastAsia" w:ascii="宋体" w:hAnsi="宋体" w:eastAsia="宋体" w:cs="宋体"/>
                <w:b/>
                <w:bCs/>
                <w:color w:val="auto"/>
                <w:sz w:val="21"/>
                <w:szCs w:val="21"/>
                <w:highlight w:val="none"/>
                <w:lang w:val="en-US" w:eastAsia="zh-CN"/>
              </w:rPr>
              <w:t>扫描件</w:t>
            </w:r>
            <w:r>
              <w:rPr>
                <w:rFonts w:hint="eastAsia" w:ascii="宋体" w:hAnsi="宋体" w:eastAsia="宋体" w:cs="宋体"/>
                <w:b/>
                <w:bCs/>
                <w:color w:val="auto"/>
                <w:kern w:val="2"/>
                <w:sz w:val="21"/>
                <w:szCs w:val="21"/>
                <w:highlight w:val="none"/>
                <w:shd w:val="clear" w:fill="FFFFFF"/>
                <w:lang w:val="en-US" w:eastAsia="zh-CN" w:bidi="ar"/>
              </w:rPr>
              <w:t>能显示业主方公章</w:t>
            </w:r>
            <w:r>
              <w:rPr>
                <w:rFonts w:hint="eastAsia" w:ascii="宋体" w:hAnsi="宋体" w:eastAsia="宋体" w:cs="宋体"/>
                <w:b/>
                <w:bCs w:val="0"/>
                <w:color w:val="auto"/>
                <w:kern w:val="2"/>
                <w:sz w:val="21"/>
                <w:szCs w:val="21"/>
                <w:highlight w:val="none"/>
                <w:lang w:val="en-US" w:eastAsia="zh-CN" w:bidi="ar"/>
              </w:rPr>
              <w:t>），否则不得分；</w:t>
            </w:r>
          </w:p>
          <w:p w14:paraId="7D697A0F">
            <w:pPr>
              <w:pStyle w:val="39"/>
              <w:keepNext w:val="0"/>
              <w:keepLines w:val="0"/>
              <w:pageBreakBefore w:val="0"/>
              <w:widowControl w:val="0"/>
              <w:suppressLineNumbers w:val="0"/>
              <w:kinsoku/>
              <w:wordWrap/>
              <w:overflowPunct/>
              <w:topLinePunct w:val="0"/>
              <w:bidi w:val="0"/>
              <w:adjustRightInd/>
              <w:spacing w:before="0" w:beforeLines="0" w:beforeAutospacing="0" w:after="0" w:afterAutospacing="0" w:line="360" w:lineRule="auto"/>
              <w:ind w:left="0" w:leftChars="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3）若业绩合同为框架式协议或资格入围的，须同时提供框架协议合同（或资格入围合同）及合同期内对应的项目成果文件，按成果文件数量计算得分；</w:t>
            </w:r>
          </w:p>
          <w:p w14:paraId="5E67218F">
            <w:pPr>
              <w:pStyle w:val="39"/>
              <w:keepNext w:val="0"/>
              <w:keepLines w:val="0"/>
              <w:pageBreakBefore w:val="0"/>
              <w:widowControl w:val="0"/>
              <w:suppressLineNumbers w:val="0"/>
              <w:kinsoku/>
              <w:wordWrap/>
              <w:overflowPunct/>
              <w:topLinePunct w:val="0"/>
              <w:bidi w:val="0"/>
              <w:adjustRightInd/>
              <w:spacing w:before="0" w:beforeLines="0" w:beforeAutospacing="0" w:after="0" w:afterAutospacing="0" w:line="360" w:lineRule="auto"/>
              <w:ind w:left="0" w:leftChars="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4）第1项“工程造价咨询业绩”评审中的每年度至少须有10项造价咨询业绩（含概、预(或招标控制价)、结算</w:t>
            </w:r>
            <w:r>
              <w:rPr>
                <w:rFonts w:hint="eastAsia" w:eastAsia="宋体" w:cs="宋体"/>
                <w:b/>
                <w:bCs/>
                <w:color w:val="auto"/>
                <w:sz w:val="21"/>
                <w:szCs w:val="21"/>
                <w:highlight w:val="none"/>
                <w:lang w:bidi="ar"/>
              </w:rPr>
              <w:t>编制和审核</w:t>
            </w:r>
            <w:r>
              <w:rPr>
                <w:rFonts w:hint="eastAsia" w:ascii="宋体" w:hAnsi="宋体" w:eastAsia="宋体" w:cs="宋体"/>
                <w:b/>
                <w:bCs/>
                <w:color w:val="auto"/>
                <w:kern w:val="2"/>
                <w:sz w:val="21"/>
                <w:szCs w:val="21"/>
                <w:highlight w:val="none"/>
                <w:lang w:val="en-US" w:eastAsia="zh-CN" w:bidi="ar"/>
              </w:rPr>
              <w:t>业绩）是指：每一个年度内投标人业绩内容必须至少涵盖1个概算</w:t>
            </w:r>
            <w:r>
              <w:rPr>
                <w:rFonts w:hint="eastAsia" w:eastAsia="宋体" w:cs="宋体"/>
                <w:b/>
                <w:bCs/>
                <w:color w:val="auto"/>
                <w:sz w:val="21"/>
                <w:szCs w:val="21"/>
                <w:highlight w:val="none"/>
                <w:lang w:bidi="ar"/>
              </w:rPr>
              <w:t>编制和审核</w:t>
            </w:r>
            <w:r>
              <w:rPr>
                <w:rFonts w:hint="eastAsia" w:ascii="宋体" w:hAnsi="宋体" w:eastAsia="宋体" w:cs="宋体"/>
                <w:b/>
                <w:bCs/>
                <w:color w:val="auto"/>
                <w:kern w:val="2"/>
                <w:sz w:val="21"/>
                <w:szCs w:val="21"/>
                <w:highlight w:val="none"/>
                <w:lang w:val="en-US" w:eastAsia="zh-CN" w:bidi="ar"/>
              </w:rPr>
              <w:t>业绩、1个预算(或招标控制价)编制和审核业绩、1个结算</w:t>
            </w:r>
            <w:r>
              <w:rPr>
                <w:rFonts w:hint="eastAsia" w:eastAsia="宋体" w:cs="宋体"/>
                <w:b/>
                <w:bCs/>
                <w:color w:val="auto"/>
                <w:sz w:val="21"/>
                <w:szCs w:val="21"/>
                <w:highlight w:val="none"/>
                <w:lang w:bidi="ar"/>
              </w:rPr>
              <w:t>编制和审核</w:t>
            </w:r>
            <w:r>
              <w:rPr>
                <w:rFonts w:hint="eastAsia" w:ascii="宋体" w:hAnsi="宋体" w:eastAsia="宋体" w:cs="宋体"/>
                <w:b/>
                <w:bCs/>
                <w:color w:val="auto"/>
                <w:kern w:val="2"/>
                <w:sz w:val="21"/>
                <w:szCs w:val="21"/>
                <w:highlight w:val="none"/>
                <w:lang w:val="en-US" w:eastAsia="zh-CN" w:bidi="ar"/>
              </w:rPr>
              <w:t>业绩，且三者总和达10项（含10项），而非三者分别需10项业绩。若一份合同中同时包括概、预(或招标控制价)、结算</w:t>
            </w:r>
            <w:r>
              <w:rPr>
                <w:rFonts w:hint="eastAsia" w:eastAsia="宋体" w:cs="宋体"/>
                <w:b/>
                <w:bCs/>
                <w:color w:val="auto"/>
                <w:sz w:val="21"/>
                <w:szCs w:val="21"/>
                <w:highlight w:val="none"/>
                <w:lang w:bidi="ar"/>
              </w:rPr>
              <w:t>编制和审核</w:t>
            </w:r>
            <w:r>
              <w:rPr>
                <w:rFonts w:hint="eastAsia" w:ascii="宋体" w:hAnsi="宋体" w:eastAsia="宋体" w:cs="宋体"/>
                <w:b/>
                <w:bCs/>
                <w:color w:val="auto"/>
                <w:kern w:val="2"/>
                <w:sz w:val="21"/>
                <w:szCs w:val="21"/>
                <w:highlight w:val="none"/>
                <w:lang w:val="en-US" w:eastAsia="zh-CN" w:bidi="ar"/>
              </w:rPr>
              <w:t>业绩的仅按一项业绩计算；</w:t>
            </w:r>
          </w:p>
          <w:p w14:paraId="732402C8">
            <w:pPr>
              <w:pStyle w:val="39"/>
              <w:keepNext w:val="0"/>
              <w:keepLines w:val="0"/>
              <w:pageBreakBefore w:val="0"/>
              <w:widowControl w:val="0"/>
              <w:suppressLineNumbers w:val="0"/>
              <w:kinsoku/>
              <w:wordWrap/>
              <w:overflowPunct/>
              <w:topLinePunct w:val="0"/>
              <w:bidi w:val="0"/>
              <w:adjustRightInd/>
              <w:spacing w:before="0" w:beforeLines="0" w:beforeAutospacing="0" w:after="0" w:afterAutospacing="0" w:line="360" w:lineRule="auto"/>
              <w:ind w:left="0" w:leftChars="0" w:right="0" w:firstLine="422" w:firstLineChars="200"/>
              <w:jc w:val="both"/>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5</w:t>
            </w:r>
            <w:bookmarkStart w:id="806" w:name="OLE_LINK6"/>
            <w:r>
              <w:rPr>
                <w:rFonts w:hint="eastAsia" w:ascii="宋体" w:hAnsi="宋体" w:eastAsia="宋体" w:cs="宋体"/>
                <w:b/>
                <w:bCs/>
                <w:color w:val="auto"/>
                <w:kern w:val="2"/>
                <w:sz w:val="21"/>
                <w:szCs w:val="21"/>
                <w:highlight w:val="none"/>
                <w:lang w:val="en-US" w:eastAsia="zh-CN" w:bidi="ar"/>
              </w:rPr>
              <w:t>）</w:t>
            </w:r>
            <w:bookmarkEnd w:id="806"/>
            <w:r>
              <w:rPr>
                <w:rFonts w:hint="eastAsia" w:ascii="宋体" w:hAnsi="宋体" w:eastAsia="宋体" w:cs="宋体"/>
                <w:b/>
                <w:bCs/>
                <w:color w:val="auto"/>
                <w:kern w:val="2"/>
                <w:sz w:val="21"/>
                <w:szCs w:val="21"/>
                <w:highlight w:val="none"/>
                <w:lang w:val="en-US" w:eastAsia="zh-CN" w:bidi="ar"/>
              </w:rPr>
              <w:t>第2项“工程编制和审核业绩”评审中，若一份合同中同时包括该对应类型的概、预(或招标控制价)、结算编制和审核业绩可视为满足业绩得分要求；</w:t>
            </w:r>
            <w:bookmarkStart w:id="807" w:name="_Hlk131667431"/>
          </w:p>
          <w:p w14:paraId="02D4D75C">
            <w:pPr>
              <w:pStyle w:val="39"/>
              <w:keepNext w:val="0"/>
              <w:keepLines w:val="0"/>
              <w:pageBreakBefore w:val="0"/>
              <w:widowControl w:val="0"/>
              <w:suppressLineNumbers w:val="0"/>
              <w:kinsoku/>
              <w:wordWrap/>
              <w:overflowPunct/>
              <w:topLinePunct w:val="0"/>
              <w:bidi w:val="0"/>
              <w:adjustRightInd/>
              <w:spacing w:before="0" w:beforeLines="0" w:beforeAutospacing="0" w:after="0" w:afterAutospacing="0" w:line="360" w:lineRule="auto"/>
              <w:ind w:left="0" w:leftChars="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6</w:t>
            </w:r>
            <w:bookmarkEnd w:id="807"/>
            <w:r>
              <w:rPr>
                <w:rFonts w:hint="eastAsia" w:ascii="宋体" w:hAnsi="宋体" w:eastAsia="宋体" w:cs="宋体"/>
                <w:b/>
                <w:bCs/>
                <w:color w:val="auto"/>
                <w:kern w:val="2"/>
                <w:sz w:val="21"/>
                <w:szCs w:val="21"/>
                <w:highlight w:val="none"/>
                <w:lang w:val="en-US" w:eastAsia="zh-CN" w:bidi="ar"/>
              </w:rPr>
              <w:t>）第4项“信息化建设项目”是指硬件和通用软件采购类、软件开发类、机房及网络工程类项目，其他类型造价咨询业绩不得分；</w:t>
            </w:r>
          </w:p>
          <w:p w14:paraId="34834C4A">
            <w:pPr>
              <w:pStyle w:val="39"/>
              <w:keepNext w:val="0"/>
              <w:keepLines w:val="0"/>
              <w:pageBreakBefore w:val="0"/>
              <w:widowControl w:val="0"/>
              <w:suppressLineNumbers w:val="0"/>
              <w:kinsoku/>
              <w:wordWrap/>
              <w:overflowPunct/>
              <w:topLinePunct w:val="0"/>
              <w:bidi w:val="0"/>
              <w:adjustRightInd/>
              <w:spacing w:before="0" w:beforeLines="0" w:beforeAutospacing="0" w:after="0" w:afterAutospacing="0" w:line="360" w:lineRule="auto"/>
              <w:ind w:left="0" w:leftChars="0" w:right="0" w:firstLine="42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7）以上4种业绩不重复计算，由投标人自行放入对应的评分子项；</w:t>
            </w:r>
          </w:p>
          <w:p w14:paraId="4DB1FBC7">
            <w:pPr>
              <w:pStyle w:val="39"/>
              <w:keepNext w:val="0"/>
              <w:keepLines w:val="0"/>
              <w:pageBreakBefore w:val="0"/>
              <w:widowControl w:val="0"/>
              <w:suppressLineNumbers w:val="0"/>
              <w:kinsoku/>
              <w:wordWrap/>
              <w:overflowPunct/>
              <w:topLinePunct w:val="0"/>
              <w:bidi w:val="0"/>
              <w:adjustRightInd/>
              <w:spacing w:before="0" w:beforeLines="0" w:beforeAutospacing="0" w:after="0" w:afterAutospacing="0" w:line="360" w:lineRule="auto"/>
              <w:ind w:left="0" w:right="0" w:firstLine="420" w:firstLineChars="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8）未按上述要求提供证明材料的业绩，或所附材料无法证明填报项目符合本项评分要求的业绩，在评标时将不予考虑。</w:t>
            </w:r>
          </w:p>
        </w:tc>
        <w:tc>
          <w:tcPr>
            <w:tcW w:w="451" w:type="pct"/>
            <w:tcBorders>
              <w:top w:val="single" w:color="auto" w:sz="4" w:space="0"/>
              <w:left w:val="nil"/>
              <w:bottom w:val="single" w:color="auto" w:sz="4" w:space="0"/>
              <w:right w:val="single" w:color="auto" w:sz="4" w:space="0"/>
            </w:tcBorders>
            <w:shd w:val="clear" w:color="auto" w:fill="auto"/>
            <w:vAlign w:val="center"/>
          </w:tcPr>
          <w:p w14:paraId="23A7E09F">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38分</w:t>
            </w:r>
          </w:p>
        </w:tc>
      </w:tr>
      <w:tr w14:paraId="7B9A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14:paraId="6862DF39">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561" w:type="pct"/>
            <w:tcBorders>
              <w:top w:val="single" w:color="auto" w:sz="4" w:space="0"/>
              <w:left w:val="nil"/>
              <w:bottom w:val="single" w:color="auto" w:sz="4" w:space="0"/>
              <w:right w:val="single" w:color="auto" w:sz="4" w:space="0"/>
            </w:tcBorders>
            <w:shd w:val="clear" w:color="auto" w:fill="auto"/>
            <w:vAlign w:val="center"/>
          </w:tcPr>
          <w:p w14:paraId="44043B2D">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拟投入人员</w:t>
            </w:r>
          </w:p>
        </w:tc>
        <w:tc>
          <w:tcPr>
            <w:tcW w:w="3760" w:type="pct"/>
            <w:tcBorders>
              <w:top w:val="single" w:color="auto" w:sz="4" w:space="0"/>
              <w:left w:val="nil"/>
              <w:bottom w:val="single" w:color="auto" w:sz="4" w:space="0"/>
              <w:right w:val="single" w:color="auto" w:sz="4" w:space="0"/>
            </w:tcBorders>
            <w:shd w:val="clear" w:color="auto" w:fill="auto"/>
            <w:vAlign w:val="center"/>
          </w:tcPr>
          <w:p w14:paraId="3FFEEA4B">
            <w:pPr>
              <w:keepNext w:val="0"/>
              <w:keepLines w:val="0"/>
              <w:pageBreakBefore w:val="0"/>
              <w:widowControl w:val="0"/>
              <w:suppressLineNumbers w:val="0"/>
              <w:kinsoku/>
              <w:wordWrap/>
              <w:overflowPunct/>
              <w:topLinePunct w:val="0"/>
              <w:bidi w:val="0"/>
              <w:adjustRightInd/>
              <w:spacing w:before="164" w:beforeLines="5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1、投标人拟投入本项目的服务团队（技术负责人除外）中具备</w:t>
            </w:r>
            <w:r>
              <w:rPr>
                <w:rFonts w:hint="eastAsia" w:ascii="宋体" w:hAnsi="宋体" w:eastAsia="宋体" w:cs="宋体"/>
                <w:b/>
                <w:bCs/>
                <w:color w:val="auto"/>
                <w:kern w:val="2"/>
                <w:sz w:val="21"/>
                <w:szCs w:val="21"/>
                <w:highlight w:val="none"/>
                <w:lang w:val="en-US" w:eastAsia="zh-CN" w:bidi="ar"/>
              </w:rPr>
              <w:t>二级或以上造价工程师注册证书</w:t>
            </w:r>
            <w:r>
              <w:rPr>
                <w:rFonts w:hint="eastAsia" w:ascii="宋体" w:hAnsi="宋体" w:eastAsia="宋体" w:cs="宋体"/>
                <w:color w:val="auto"/>
                <w:kern w:val="2"/>
                <w:sz w:val="21"/>
                <w:szCs w:val="21"/>
                <w:highlight w:val="none"/>
                <w:lang w:val="en-US" w:eastAsia="zh-CN" w:bidi="ar"/>
              </w:rPr>
              <w:t>的人员在不少于6人的基础上，每增加1人具备</w:t>
            </w:r>
            <w:r>
              <w:rPr>
                <w:rFonts w:hint="eastAsia" w:ascii="宋体" w:hAnsi="宋体" w:eastAsia="宋体" w:cs="宋体"/>
                <w:b/>
                <w:bCs/>
                <w:color w:val="auto"/>
                <w:kern w:val="2"/>
                <w:sz w:val="21"/>
                <w:szCs w:val="21"/>
                <w:highlight w:val="none"/>
                <w:lang w:val="en-US" w:eastAsia="zh-CN" w:bidi="ar"/>
              </w:rPr>
              <w:t>二级或以上造价工程师注册证书</w:t>
            </w:r>
            <w:r>
              <w:rPr>
                <w:rFonts w:hint="eastAsia" w:ascii="宋体" w:hAnsi="宋体" w:eastAsia="宋体" w:cs="宋体"/>
                <w:color w:val="auto"/>
                <w:kern w:val="2"/>
                <w:sz w:val="21"/>
                <w:szCs w:val="21"/>
                <w:highlight w:val="none"/>
                <w:lang w:val="en-US" w:eastAsia="zh-CN" w:bidi="ar"/>
              </w:rPr>
              <w:t>的得1分，</w:t>
            </w:r>
            <w:r>
              <w:rPr>
                <w:rFonts w:hint="eastAsia" w:ascii="宋体" w:hAnsi="宋体" w:eastAsia="宋体" w:cs="宋体"/>
                <w:b/>
                <w:bCs/>
                <w:color w:val="auto"/>
                <w:kern w:val="2"/>
                <w:sz w:val="21"/>
                <w:szCs w:val="21"/>
                <w:highlight w:val="none"/>
                <w:lang w:val="en-US" w:eastAsia="zh-CN" w:bidi="ar"/>
              </w:rPr>
              <w:t>本子项满分5分</w:t>
            </w:r>
            <w:r>
              <w:rPr>
                <w:rFonts w:hint="eastAsia" w:ascii="宋体" w:hAnsi="宋体" w:eastAsia="宋体" w:cs="宋体"/>
                <w:color w:val="auto"/>
                <w:kern w:val="2"/>
                <w:sz w:val="21"/>
                <w:szCs w:val="21"/>
                <w:highlight w:val="none"/>
                <w:lang w:val="en-US" w:eastAsia="zh-CN" w:bidi="ar"/>
              </w:rPr>
              <w:t>。</w:t>
            </w:r>
          </w:p>
          <w:p w14:paraId="087AB390">
            <w:pPr>
              <w:keepNext w:val="0"/>
              <w:keepLines w:val="0"/>
              <w:pageBreakBefore w:val="0"/>
              <w:widowControl w:val="0"/>
              <w:suppressLineNumbers w:val="0"/>
              <w:kinsoku/>
              <w:wordWrap/>
              <w:overflowPunct/>
              <w:topLinePunct w:val="0"/>
              <w:bidi w:val="0"/>
              <w:adjustRightInd/>
              <w:spacing w:before="164" w:beforeLines="5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2、以上人员中每1人具有</w:t>
            </w:r>
            <w:r>
              <w:rPr>
                <w:rFonts w:hint="eastAsia" w:ascii="宋体" w:hAnsi="宋体" w:eastAsia="宋体" w:cs="宋体"/>
                <w:b/>
                <w:bCs/>
                <w:color w:val="auto"/>
                <w:kern w:val="2"/>
                <w:sz w:val="21"/>
                <w:szCs w:val="21"/>
                <w:highlight w:val="none"/>
                <w:lang w:val="en-US" w:eastAsia="zh-CN" w:bidi="ar"/>
              </w:rPr>
              <w:t>一级造价工程师注册证书</w:t>
            </w:r>
            <w:r>
              <w:rPr>
                <w:rFonts w:hint="eastAsia" w:ascii="宋体" w:hAnsi="宋体" w:eastAsia="宋体" w:cs="宋体"/>
                <w:color w:val="auto"/>
                <w:spacing w:val="0"/>
                <w:kern w:val="0"/>
                <w:sz w:val="21"/>
                <w:szCs w:val="21"/>
                <w:highlight w:val="none"/>
                <w:lang w:val="en-US" w:eastAsia="zh-CN" w:bidi="ar"/>
              </w:rPr>
              <w:t>的加1分，</w:t>
            </w:r>
            <w:r>
              <w:rPr>
                <w:rFonts w:hint="eastAsia" w:ascii="宋体" w:hAnsi="宋体" w:eastAsia="宋体" w:cs="宋体"/>
                <w:b/>
                <w:bCs/>
                <w:color w:val="auto"/>
                <w:kern w:val="2"/>
                <w:sz w:val="21"/>
                <w:szCs w:val="21"/>
                <w:highlight w:val="none"/>
                <w:lang w:val="en-US" w:eastAsia="zh-CN" w:bidi="ar"/>
              </w:rPr>
              <w:t>本子项满分5分</w:t>
            </w:r>
            <w:r>
              <w:rPr>
                <w:rFonts w:hint="eastAsia" w:ascii="宋体" w:hAnsi="宋体" w:eastAsia="宋体" w:cs="宋体"/>
                <w:color w:val="auto"/>
                <w:kern w:val="2"/>
                <w:sz w:val="21"/>
                <w:szCs w:val="21"/>
                <w:highlight w:val="none"/>
                <w:lang w:val="en-US" w:eastAsia="zh-CN" w:bidi="ar"/>
              </w:rPr>
              <w:t>。</w:t>
            </w:r>
          </w:p>
          <w:p w14:paraId="3595B62D">
            <w:pPr>
              <w:keepNext w:val="0"/>
              <w:keepLines w:val="0"/>
              <w:pageBreakBefore w:val="0"/>
              <w:widowControl w:val="0"/>
              <w:suppressLineNumbers w:val="0"/>
              <w:kinsoku/>
              <w:wordWrap/>
              <w:overflowPunct/>
              <w:topLinePunct w:val="0"/>
              <w:bidi w:val="0"/>
              <w:adjustRightInd/>
              <w:spacing w:before="164" w:beforeLines="5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以上人员同时具备工程类相关高级专业技术职称的，每人得2分；或同时具备工程类相关中级专业技术职称的，每人得1分。同一人同时具备中级、高级专业技术职称的，不重复计分，按具备高级专业技术职称计分，</w:t>
            </w:r>
            <w:r>
              <w:rPr>
                <w:rFonts w:hint="eastAsia" w:ascii="宋体" w:hAnsi="宋体" w:eastAsia="宋体" w:cs="宋体"/>
                <w:b/>
                <w:bCs/>
                <w:color w:val="auto"/>
                <w:kern w:val="2"/>
                <w:sz w:val="21"/>
                <w:szCs w:val="21"/>
                <w:highlight w:val="none"/>
                <w:lang w:val="en-US" w:eastAsia="zh-CN" w:bidi="ar"/>
              </w:rPr>
              <w:t>本子项满分6分</w:t>
            </w:r>
            <w:r>
              <w:rPr>
                <w:rFonts w:hint="eastAsia" w:ascii="宋体" w:hAnsi="宋体" w:eastAsia="宋体" w:cs="宋体"/>
                <w:color w:val="auto"/>
                <w:kern w:val="2"/>
                <w:sz w:val="21"/>
                <w:szCs w:val="21"/>
                <w:highlight w:val="none"/>
                <w:lang w:val="en-US" w:eastAsia="zh-CN" w:bidi="ar"/>
              </w:rPr>
              <w:t>。</w:t>
            </w:r>
          </w:p>
          <w:p w14:paraId="471A4C6A">
            <w:pPr>
              <w:keepNext w:val="0"/>
              <w:keepLines w:val="0"/>
              <w:pageBreakBefore w:val="0"/>
              <w:widowControl w:val="0"/>
              <w:suppressLineNumbers w:val="0"/>
              <w:kinsoku/>
              <w:wordWrap/>
              <w:overflowPunct/>
              <w:topLinePunct w:val="0"/>
              <w:autoSpaceDE w:val="0"/>
              <w:autoSpaceDN/>
              <w:bidi w:val="0"/>
              <w:adjustRightInd/>
              <w:spacing w:before="164" w:beforeLines="50" w:beforeAutospacing="0" w:after="0" w:afterAutospacing="0" w:line="360" w:lineRule="auto"/>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备注：以上人员须提供以下证明材料</w:t>
            </w:r>
            <w:r>
              <w:rPr>
                <w:rFonts w:hint="eastAsia" w:ascii="宋体" w:hAnsi="宋体" w:eastAsia="宋体" w:cs="宋体"/>
                <w:b/>
                <w:bCs/>
                <w:color w:val="auto"/>
                <w:sz w:val="21"/>
                <w:szCs w:val="21"/>
                <w:highlight w:val="none"/>
                <w:lang w:val="en-US" w:eastAsia="zh-CN"/>
              </w:rPr>
              <w:t>扫描件</w:t>
            </w:r>
            <w:r>
              <w:rPr>
                <w:rFonts w:hint="eastAsia" w:ascii="宋体" w:hAnsi="宋体" w:eastAsia="宋体" w:cs="宋体"/>
                <w:b/>
                <w:bCs/>
                <w:color w:val="auto"/>
                <w:kern w:val="2"/>
                <w:sz w:val="21"/>
                <w:szCs w:val="21"/>
                <w:highlight w:val="none"/>
                <w:lang w:val="en-US" w:eastAsia="zh-CN" w:bidi="ar"/>
              </w:rPr>
              <w:t>加盖投标人公章：（1）人员身份证；（2）造价工程师职业资格证书；（3）造价工程师注册证书（或在“全国建筑市场公共服务平台”上的执业注册信息截图）；（4）职称证书；（5）人力资源和社会保障部门（或税务部门）出具的2025年3月至2025年5月的投标人为其缴纳的社保证明材料。</w:t>
            </w:r>
          </w:p>
        </w:tc>
        <w:tc>
          <w:tcPr>
            <w:tcW w:w="451" w:type="pct"/>
            <w:tcBorders>
              <w:top w:val="single" w:color="auto" w:sz="4" w:space="0"/>
              <w:left w:val="nil"/>
              <w:bottom w:val="single" w:color="auto" w:sz="4" w:space="0"/>
              <w:right w:val="single" w:color="auto" w:sz="4" w:space="0"/>
            </w:tcBorders>
            <w:shd w:val="clear" w:color="auto" w:fill="auto"/>
            <w:vAlign w:val="center"/>
          </w:tcPr>
          <w:p w14:paraId="1F79BF6B">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16分</w:t>
            </w:r>
          </w:p>
        </w:tc>
      </w:tr>
      <w:tr w14:paraId="0407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14:paraId="7B09E94D">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561" w:type="pct"/>
            <w:tcBorders>
              <w:top w:val="single" w:color="auto" w:sz="4" w:space="0"/>
              <w:left w:val="nil"/>
              <w:bottom w:val="single" w:color="auto" w:sz="4" w:space="0"/>
              <w:right w:val="single" w:color="auto" w:sz="4" w:space="0"/>
            </w:tcBorders>
            <w:shd w:val="clear" w:color="auto" w:fill="auto"/>
            <w:vAlign w:val="center"/>
          </w:tcPr>
          <w:p w14:paraId="585DD23B">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服务便利性</w:t>
            </w:r>
          </w:p>
        </w:tc>
        <w:tc>
          <w:tcPr>
            <w:tcW w:w="3760" w:type="pct"/>
            <w:tcBorders>
              <w:top w:val="single" w:color="auto" w:sz="4" w:space="0"/>
              <w:left w:val="nil"/>
              <w:bottom w:val="single" w:color="auto" w:sz="4" w:space="0"/>
              <w:right w:val="single" w:color="auto" w:sz="4" w:space="0"/>
            </w:tcBorders>
            <w:shd w:val="clear" w:color="auto" w:fill="auto"/>
            <w:vAlign w:val="center"/>
          </w:tcPr>
          <w:p w14:paraId="5426C26C">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根据投标人承诺的服务便利性响应时间进行评审：</w:t>
            </w:r>
          </w:p>
          <w:p w14:paraId="11E8B66A">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（1）投标人承诺本项目管理人员接到招标人通知后1小时(含)内响应，2小时(含)内到达服务地点的，得2分；</w:t>
            </w:r>
          </w:p>
          <w:p w14:paraId="769E9F18">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（2）投标人承诺本项目管理人员接到招标人通知后2小时(含)内响应，4小时(含)内到达服务地点的，得1分。</w:t>
            </w:r>
          </w:p>
          <w:p w14:paraId="26E39B8A">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备注：根据《服务便利性响应时间承诺表》对应的内容进行评审。</w:t>
            </w:r>
          </w:p>
        </w:tc>
        <w:tc>
          <w:tcPr>
            <w:tcW w:w="451" w:type="pct"/>
            <w:tcBorders>
              <w:top w:val="single" w:color="auto" w:sz="4" w:space="0"/>
              <w:left w:val="nil"/>
              <w:bottom w:val="single" w:color="auto" w:sz="4" w:space="0"/>
              <w:right w:val="single" w:color="auto" w:sz="4" w:space="0"/>
            </w:tcBorders>
            <w:shd w:val="clear" w:color="auto" w:fill="auto"/>
            <w:vAlign w:val="center"/>
          </w:tcPr>
          <w:p w14:paraId="09462493">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2分</w:t>
            </w:r>
          </w:p>
        </w:tc>
      </w:tr>
      <w:tr w14:paraId="6D80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54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CAE5878">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商务总分</w:t>
            </w:r>
          </w:p>
        </w:tc>
        <w:tc>
          <w:tcPr>
            <w:tcW w:w="451" w:type="pct"/>
            <w:tcBorders>
              <w:top w:val="single" w:color="auto" w:sz="4" w:space="0"/>
              <w:left w:val="nil"/>
              <w:bottom w:val="single" w:color="auto" w:sz="4" w:space="0"/>
              <w:right w:val="single" w:color="auto" w:sz="4" w:space="0"/>
            </w:tcBorders>
            <w:shd w:val="clear" w:color="auto" w:fill="auto"/>
            <w:vAlign w:val="center"/>
          </w:tcPr>
          <w:p w14:paraId="61F5B96B">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70</w:t>
            </w:r>
          </w:p>
        </w:tc>
      </w:tr>
    </w:tbl>
    <w:p w14:paraId="4AE62E81">
      <w:pPr>
        <w:keepNext w:val="0"/>
        <w:keepLines w:val="0"/>
        <w:widowControl w:val="0"/>
        <w:suppressLineNumbers w:val="0"/>
        <w:autoSpaceDE w:val="0"/>
        <w:autoSpaceDN w:val="0"/>
        <w:adjustRightInd w:val="0"/>
        <w:spacing w:before="0" w:beforeAutospacing="0" w:after="0" w:afterAutospacing="0"/>
        <w:ind w:left="0" w:right="-26" w:firstLine="48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
        </w:rPr>
        <w:t xml:space="preserve"> </w:t>
      </w:r>
    </w:p>
    <w:p w14:paraId="5BA0190C">
      <w:pPr>
        <w:keepNext w:val="0"/>
        <w:keepLines w:val="0"/>
        <w:widowControl w:val="0"/>
        <w:suppressLineNumbers w:val="0"/>
        <w:tabs>
          <w:tab w:val="left" w:pos="585"/>
        </w:tabs>
        <w:autoSpaceDE w:val="0"/>
        <w:autoSpaceDN w:val="0"/>
        <w:adjustRightInd w:val="0"/>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（2）技术：总分30分</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60"/>
        <w:gridCol w:w="1184"/>
        <w:gridCol w:w="7782"/>
        <w:gridCol w:w="944"/>
      </w:tblGrid>
      <w:tr w14:paraId="7E08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jc w:val="center"/>
        </w:trPr>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773A96C7">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序号</w:t>
            </w:r>
          </w:p>
        </w:tc>
        <w:tc>
          <w:tcPr>
            <w:tcW w:w="571" w:type="pct"/>
            <w:tcBorders>
              <w:top w:val="single" w:color="auto" w:sz="4" w:space="0"/>
              <w:left w:val="nil"/>
              <w:bottom w:val="single" w:color="auto" w:sz="4" w:space="0"/>
              <w:right w:val="single" w:color="auto" w:sz="4" w:space="0"/>
            </w:tcBorders>
            <w:shd w:val="clear" w:color="auto" w:fill="auto"/>
            <w:vAlign w:val="center"/>
          </w:tcPr>
          <w:p w14:paraId="0F0C9A69">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评审内容</w:t>
            </w:r>
          </w:p>
        </w:tc>
        <w:tc>
          <w:tcPr>
            <w:tcW w:w="3752" w:type="pct"/>
            <w:tcBorders>
              <w:top w:val="single" w:color="auto" w:sz="4" w:space="0"/>
              <w:left w:val="nil"/>
              <w:bottom w:val="single" w:color="auto" w:sz="4" w:space="0"/>
              <w:right w:val="single" w:color="auto" w:sz="4" w:space="0"/>
            </w:tcBorders>
            <w:shd w:val="clear" w:color="auto" w:fill="auto"/>
            <w:vAlign w:val="center"/>
          </w:tcPr>
          <w:p w14:paraId="3C599650">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评审细则</w:t>
            </w:r>
          </w:p>
        </w:tc>
        <w:tc>
          <w:tcPr>
            <w:tcW w:w="455" w:type="pct"/>
            <w:tcBorders>
              <w:top w:val="single" w:color="auto" w:sz="4" w:space="0"/>
              <w:left w:val="nil"/>
              <w:bottom w:val="single" w:color="auto" w:sz="4" w:space="0"/>
              <w:right w:val="single" w:color="auto" w:sz="4" w:space="0"/>
            </w:tcBorders>
            <w:shd w:val="clear" w:color="auto" w:fill="auto"/>
            <w:vAlign w:val="center"/>
          </w:tcPr>
          <w:p w14:paraId="460B421A">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满分值（分）</w:t>
            </w:r>
          </w:p>
        </w:tc>
      </w:tr>
      <w:tr w14:paraId="3A71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14:paraId="38FA1D39">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184" w:type="dxa"/>
            <w:tcBorders>
              <w:top w:val="single" w:color="auto" w:sz="4" w:space="0"/>
              <w:left w:val="nil"/>
              <w:bottom w:val="single" w:color="auto" w:sz="4" w:space="0"/>
              <w:right w:val="single" w:color="auto" w:sz="4" w:space="0"/>
            </w:tcBorders>
            <w:shd w:val="clear" w:color="auto" w:fill="auto"/>
            <w:vAlign w:val="center"/>
          </w:tcPr>
          <w:p w14:paraId="714C72A9">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bCs/>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用户需求的响应程度</w:t>
            </w:r>
          </w:p>
        </w:tc>
        <w:tc>
          <w:tcPr>
            <w:tcW w:w="7782" w:type="dxa"/>
            <w:tcBorders>
              <w:top w:val="single" w:color="auto" w:sz="4" w:space="0"/>
              <w:left w:val="nil"/>
              <w:bottom w:val="single" w:color="auto" w:sz="4" w:space="0"/>
              <w:right w:val="single" w:color="auto" w:sz="4" w:space="0"/>
            </w:tcBorders>
            <w:shd w:val="clear" w:color="auto" w:fill="auto"/>
            <w:vAlign w:val="center"/>
          </w:tcPr>
          <w:p w14:paraId="4CD0280D">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leftChars="0" w:right="0" w:rightChars="0"/>
              <w:jc w:val="both"/>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对用户需求偏离表的偏离情况进行评审计分，完全满足用户需求书的要求得满分；每一处负偏离，扣1分；同时参照其投标文件中技术资料内容进行对比，每发现一处投标人填写为无偏离或正偏离，但评标委员会评审认定其为负偏离的，每处扣3分；本项最低分为0分。</w:t>
            </w:r>
          </w:p>
        </w:tc>
        <w:tc>
          <w:tcPr>
            <w:tcW w:w="944" w:type="dxa"/>
            <w:tcBorders>
              <w:top w:val="single" w:color="auto" w:sz="4" w:space="0"/>
              <w:left w:val="nil"/>
              <w:bottom w:val="single" w:color="auto" w:sz="4" w:space="0"/>
              <w:right w:val="single" w:color="auto" w:sz="4" w:space="0"/>
            </w:tcBorders>
            <w:shd w:val="clear" w:color="auto" w:fill="auto"/>
            <w:vAlign w:val="center"/>
          </w:tcPr>
          <w:p w14:paraId="0E1E0E66">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6分</w:t>
            </w:r>
          </w:p>
        </w:tc>
      </w:tr>
      <w:tr w14:paraId="24312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14:paraId="228F16C4">
            <w:pPr>
              <w:keepNext w:val="0"/>
              <w:keepLines w:val="0"/>
              <w:pageBreakBefore w:val="0"/>
              <w:widowControl w:val="0"/>
              <w:suppressLineNumbers w:val="0"/>
              <w:kinsoku/>
              <w:wordWrap/>
              <w:overflowPunct/>
              <w:topLinePunct w:val="0"/>
              <w:autoSpaceDN/>
              <w:bidi w:val="0"/>
              <w:spacing w:before="0" w:beforeLines="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w:t>
            </w:r>
          </w:p>
        </w:tc>
        <w:tc>
          <w:tcPr>
            <w:tcW w:w="1184" w:type="dxa"/>
            <w:tcBorders>
              <w:top w:val="single" w:color="auto" w:sz="4" w:space="0"/>
              <w:left w:val="nil"/>
              <w:bottom w:val="single" w:color="auto" w:sz="4" w:space="0"/>
              <w:right w:val="single" w:color="auto" w:sz="4" w:space="0"/>
            </w:tcBorders>
            <w:shd w:val="clear" w:color="auto" w:fill="auto"/>
            <w:vAlign w:val="center"/>
          </w:tcPr>
          <w:p w14:paraId="3A69F0FC">
            <w:pPr>
              <w:keepNext w:val="0"/>
              <w:keepLines w:val="0"/>
              <w:pageBreakBefore w:val="0"/>
              <w:widowControl w:val="0"/>
              <w:suppressLineNumbers w:val="0"/>
              <w:kinsoku/>
              <w:wordWrap/>
              <w:overflowPunct/>
              <w:topLinePunct w:val="0"/>
              <w:autoSpaceDN/>
              <w:bidi w:val="0"/>
              <w:spacing w:before="0" w:beforeLines="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工作流程及政策了解</w:t>
            </w:r>
          </w:p>
        </w:tc>
        <w:tc>
          <w:tcPr>
            <w:tcW w:w="7782" w:type="dxa"/>
            <w:tcBorders>
              <w:top w:val="single" w:color="auto" w:sz="4" w:space="0"/>
              <w:left w:val="nil"/>
              <w:bottom w:val="single" w:color="auto" w:sz="4" w:space="0"/>
              <w:right w:val="single" w:color="auto" w:sz="4" w:space="0"/>
            </w:tcBorders>
            <w:shd w:val="clear" w:color="auto" w:fill="auto"/>
            <w:vAlign w:val="center"/>
          </w:tcPr>
          <w:p w14:paraId="6563005B">
            <w:pPr>
              <w:keepNext w:val="0"/>
              <w:keepLines w:val="0"/>
              <w:pageBreakBefore w:val="0"/>
              <w:widowControl w:val="0"/>
              <w:suppressLineNumbers w:val="0"/>
              <w:kinsoku/>
              <w:wordWrap/>
              <w:overflowPunct/>
              <w:topLinePunct w:val="0"/>
              <w:autoSpaceDN/>
              <w:bidi w:val="0"/>
              <w:spacing w:before="0" w:beforeLines="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横向比较各投标人造价咨询的工作流程，对造价咨询方面的政策、法规、知识和现行做法的理解程度等方面进行评审：</w:t>
            </w:r>
          </w:p>
          <w:p w14:paraId="02195610">
            <w:pPr>
              <w:keepNext w:val="0"/>
              <w:keepLines w:val="0"/>
              <w:pageBreakBefore w:val="0"/>
              <w:widowControl w:val="0"/>
              <w:suppressLineNumbers w:val="0"/>
              <w:kinsoku/>
              <w:wordWrap/>
              <w:overflowPunct/>
              <w:topLinePunct w:val="0"/>
              <w:autoSpaceDN/>
              <w:bidi w:val="0"/>
              <w:spacing w:before="0" w:beforeLines="0" w:beforeAutospacing="0" w:after="0" w:afterAutospacing="0" w:line="360" w:lineRule="auto"/>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优：</w:t>
            </w:r>
            <w:r>
              <w:rPr>
                <w:rFonts w:hint="eastAsia" w:ascii="宋体" w:hAnsi="宋体" w:eastAsia="宋体" w:cs="宋体"/>
                <w:bCs/>
                <w:color w:val="auto"/>
                <w:kern w:val="2"/>
                <w:sz w:val="21"/>
                <w:szCs w:val="21"/>
                <w:highlight w:val="none"/>
                <w:lang w:val="en-US" w:eastAsia="zh-CN" w:bidi="ar"/>
              </w:rPr>
              <w:t>造价咨询工作流程科学合理、清晰明确，各个环节紧密衔接；每一个步骤都有详细的操作规范和质量控制措施，确保造价咨询结果的准确性和可靠性能够高效地完成项目任务，对造价咨询方面的政策、法规、知识和现行做法有深入的理解和准确的把握，能够熟练运用相关政策法规指导造价咨询工作，对行业动态和最新知识保持高度关注，并及时应用到实际项目中，得6分。</w:t>
            </w:r>
          </w:p>
          <w:p w14:paraId="5B2C9946">
            <w:pPr>
              <w:keepNext w:val="0"/>
              <w:keepLines w:val="0"/>
              <w:pageBreakBefore w:val="0"/>
              <w:widowControl w:val="0"/>
              <w:suppressLineNumbers w:val="0"/>
              <w:kinsoku/>
              <w:wordWrap/>
              <w:overflowPunct/>
              <w:topLinePunct w:val="0"/>
              <w:autoSpaceDN/>
              <w:bidi w:val="0"/>
              <w:spacing w:before="0" w:beforeLines="0" w:beforeAutospacing="0" w:after="0" w:afterAutospacing="0" w:line="360" w:lineRule="auto"/>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良：</w:t>
            </w:r>
            <w:r>
              <w:rPr>
                <w:rFonts w:hint="eastAsia" w:ascii="宋体" w:hAnsi="宋体" w:eastAsia="宋体" w:cs="宋体"/>
                <w:bCs/>
                <w:color w:val="auto"/>
                <w:kern w:val="2"/>
                <w:sz w:val="21"/>
                <w:szCs w:val="21"/>
                <w:highlight w:val="none"/>
                <w:lang w:val="en-US" w:eastAsia="zh-CN" w:bidi="ar"/>
              </w:rPr>
              <w:t>造价咨询工作流程较为规范，基本能够满足造价咨询的要求，在主要环节上有一定的操作流程和质量把控；对政策法规等有较好的理解，能够在造价咨询工作中正确运用，得4分。</w:t>
            </w:r>
          </w:p>
          <w:p w14:paraId="6163C8D4">
            <w:pPr>
              <w:keepNext w:val="0"/>
              <w:keepLines w:val="0"/>
              <w:pageBreakBefore w:val="0"/>
              <w:widowControl w:val="0"/>
              <w:suppressLineNumbers w:val="0"/>
              <w:kinsoku/>
              <w:wordWrap/>
              <w:overflowPunct/>
              <w:topLinePunct w:val="0"/>
              <w:autoSpaceDN/>
              <w:bidi w:val="0"/>
              <w:spacing w:before="0" w:beforeLines="0" w:beforeAutospacing="0" w:after="0" w:afterAutospacing="0" w:line="360" w:lineRule="auto"/>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中：</w:t>
            </w:r>
            <w:r>
              <w:rPr>
                <w:rFonts w:hint="eastAsia" w:ascii="宋体" w:hAnsi="宋体" w:eastAsia="宋体" w:cs="宋体"/>
                <w:bCs/>
                <w:color w:val="auto"/>
                <w:kern w:val="2"/>
                <w:sz w:val="21"/>
                <w:szCs w:val="21"/>
                <w:highlight w:val="none"/>
                <w:lang w:val="en-US" w:eastAsia="zh-CN" w:bidi="ar"/>
              </w:rPr>
              <w:t>造价咨询工作流程存在一定的合理性，但在部分环节上不够清晰或缺乏有效的质量控制手段，对政策法规等有一定的认识，但理解不够深入，得2分。</w:t>
            </w:r>
          </w:p>
          <w:p w14:paraId="3F8D5714">
            <w:pPr>
              <w:keepNext w:val="0"/>
              <w:keepLines w:val="0"/>
              <w:pageBreakBefore w:val="0"/>
              <w:widowControl w:val="0"/>
              <w:suppressLineNumbers w:val="0"/>
              <w:kinsoku/>
              <w:wordWrap/>
              <w:overflowPunct/>
              <w:topLinePunct w:val="0"/>
              <w:autoSpaceDN/>
              <w:bidi w:val="0"/>
              <w:spacing w:before="0" w:beforeLines="0" w:beforeAutospacing="0" w:after="0" w:afterAutospacing="0" w:line="360" w:lineRule="auto"/>
              <w:ind w:left="0" w:leftChars="0" w:right="0" w:rightChars="0"/>
              <w:jc w:val="both"/>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差：</w:t>
            </w:r>
            <w:r>
              <w:rPr>
                <w:rFonts w:hint="eastAsia" w:ascii="宋体" w:hAnsi="宋体" w:eastAsia="宋体" w:cs="宋体"/>
                <w:bCs/>
                <w:color w:val="auto"/>
                <w:kern w:val="2"/>
                <w:sz w:val="21"/>
                <w:szCs w:val="21"/>
                <w:highlight w:val="none"/>
                <w:lang w:val="en-US" w:eastAsia="zh-CN" w:bidi="ar"/>
              </w:rPr>
              <w:t>造价咨询工作流程混乱，缺乏系统性和规范性，对政策法规等缺乏了解，在造价咨询工作中不能正确运用，得0分。</w:t>
            </w:r>
          </w:p>
        </w:tc>
        <w:tc>
          <w:tcPr>
            <w:tcW w:w="944" w:type="dxa"/>
            <w:tcBorders>
              <w:top w:val="single" w:color="auto" w:sz="4" w:space="0"/>
              <w:left w:val="nil"/>
              <w:bottom w:val="single" w:color="auto" w:sz="4" w:space="0"/>
              <w:right w:val="single" w:color="auto" w:sz="4" w:space="0"/>
            </w:tcBorders>
            <w:shd w:val="clear" w:color="auto" w:fill="auto"/>
            <w:vAlign w:val="center"/>
          </w:tcPr>
          <w:p w14:paraId="394B5B38">
            <w:pPr>
              <w:keepNext w:val="0"/>
              <w:keepLines w:val="0"/>
              <w:pageBreakBefore w:val="0"/>
              <w:widowControl w:val="0"/>
              <w:suppressLineNumbers w:val="0"/>
              <w:kinsoku/>
              <w:wordWrap/>
              <w:overflowPunct/>
              <w:topLinePunct w:val="0"/>
              <w:autoSpaceDN/>
              <w:bidi w:val="0"/>
              <w:spacing w:before="0" w:beforeLines="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rPr>
            </w:pPr>
            <w:r>
              <w:rPr>
                <w:rFonts w:hint="eastAsia" w:ascii="宋体" w:hAnsi="宋体" w:eastAsia="宋体" w:cs="宋体"/>
                <w:b w:val="0"/>
                <w:bCs/>
                <w:color w:val="auto"/>
                <w:kern w:val="2"/>
                <w:sz w:val="21"/>
                <w:szCs w:val="21"/>
                <w:highlight w:val="none"/>
                <w:lang w:val="en-US" w:eastAsia="zh-CN" w:bidi="ar"/>
              </w:rPr>
              <w:t>6分</w:t>
            </w:r>
          </w:p>
        </w:tc>
      </w:tr>
      <w:tr w14:paraId="41AA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14:paraId="05FD62F9">
            <w:pPr>
              <w:keepNext w:val="0"/>
              <w:keepLines w:val="0"/>
              <w:pageBreakBefore w:val="0"/>
              <w:widowControl w:val="0"/>
              <w:suppressLineNumbers w:val="0"/>
              <w:kinsoku/>
              <w:wordWrap/>
              <w:overflowPunct/>
              <w:topLinePunct w:val="0"/>
              <w:autoSpaceDN/>
              <w:bidi w:val="0"/>
              <w:spacing w:before="0" w:beforeLines="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w:t>
            </w:r>
          </w:p>
        </w:tc>
        <w:tc>
          <w:tcPr>
            <w:tcW w:w="1184" w:type="dxa"/>
            <w:tcBorders>
              <w:top w:val="single" w:color="auto" w:sz="4" w:space="0"/>
              <w:left w:val="nil"/>
              <w:bottom w:val="single" w:color="auto" w:sz="4" w:space="0"/>
              <w:right w:val="single" w:color="auto" w:sz="4" w:space="0"/>
            </w:tcBorders>
            <w:shd w:val="clear" w:color="auto" w:fill="auto"/>
            <w:vAlign w:val="center"/>
          </w:tcPr>
          <w:p w14:paraId="4D2C5E0E">
            <w:pPr>
              <w:keepNext w:val="0"/>
              <w:keepLines w:val="0"/>
              <w:pageBreakBefore w:val="0"/>
              <w:widowControl w:val="0"/>
              <w:suppressLineNumbers w:val="0"/>
              <w:kinsoku/>
              <w:wordWrap/>
              <w:overflowPunct/>
              <w:topLinePunct w:val="0"/>
              <w:autoSpaceDN/>
              <w:bidi w:val="0"/>
              <w:spacing w:before="0" w:beforeLines="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进度保障</w:t>
            </w:r>
          </w:p>
        </w:tc>
        <w:tc>
          <w:tcPr>
            <w:tcW w:w="7782" w:type="dxa"/>
            <w:tcBorders>
              <w:top w:val="single" w:color="auto" w:sz="4" w:space="0"/>
              <w:left w:val="nil"/>
              <w:bottom w:val="single" w:color="auto" w:sz="4" w:space="0"/>
              <w:right w:val="single" w:color="auto" w:sz="4" w:space="0"/>
            </w:tcBorders>
            <w:shd w:val="clear" w:color="auto" w:fill="auto"/>
            <w:vAlign w:val="center"/>
          </w:tcPr>
          <w:p w14:paraId="4FCAE098">
            <w:pPr>
              <w:keepNext w:val="0"/>
              <w:keepLines w:val="0"/>
              <w:pageBreakBefore w:val="0"/>
              <w:widowControl w:val="0"/>
              <w:suppressLineNumbers w:val="0"/>
              <w:kinsoku/>
              <w:wordWrap/>
              <w:overflowPunct/>
              <w:topLinePunct w:val="0"/>
              <w:autoSpaceDN/>
              <w:bidi w:val="0"/>
              <w:spacing w:before="0" w:beforeLines="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横向比较各投标人在造价咨询委托业务实施过程中的进度保障措施方案进行评审：</w:t>
            </w:r>
          </w:p>
          <w:p w14:paraId="7309E428">
            <w:pPr>
              <w:keepNext w:val="0"/>
              <w:keepLines w:val="0"/>
              <w:pageBreakBefore w:val="0"/>
              <w:widowControl w:val="0"/>
              <w:suppressLineNumbers w:val="0"/>
              <w:kinsoku/>
              <w:wordWrap/>
              <w:overflowPunct/>
              <w:topLinePunct w:val="0"/>
              <w:autoSpaceDN/>
              <w:bidi w:val="0"/>
              <w:spacing w:before="0" w:beforeLines="0" w:beforeAutospacing="0" w:after="0" w:afterAutospacing="0" w:line="360" w:lineRule="auto"/>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优：制定了详细的项目进度计划，将整个造价咨询委托业务分解为多个具体的阶段和任务，并明确了每个任务的时间节点和责任人，对项目进度进行实时监控和调整，确保项目始终按照计划顺利推进，得6分。</w:t>
            </w:r>
          </w:p>
          <w:p w14:paraId="4F86C1B3">
            <w:pPr>
              <w:keepNext w:val="0"/>
              <w:keepLines w:val="0"/>
              <w:pageBreakBefore w:val="0"/>
              <w:widowControl w:val="0"/>
              <w:suppressLineNumbers w:val="0"/>
              <w:kinsoku/>
              <w:wordWrap/>
              <w:overflowPunct/>
              <w:topLinePunct w:val="0"/>
              <w:autoSpaceDN/>
              <w:bidi w:val="0"/>
              <w:spacing w:before="0" w:beforeLines="0" w:beforeAutospacing="0" w:after="0" w:afterAutospacing="0" w:line="360" w:lineRule="auto"/>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良：有较为清晰的项目进度规划，对各个阶段的任务和时间安排较为合理，对进度有一定的监控和调整能力，进度保障措施方案较为完善，得4分。</w:t>
            </w:r>
          </w:p>
          <w:p w14:paraId="4022D0C0">
            <w:pPr>
              <w:keepNext w:val="0"/>
              <w:keepLines w:val="0"/>
              <w:pageBreakBefore w:val="0"/>
              <w:widowControl w:val="0"/>
              <w:suppressLineNumbers w:val="0"/>
              <w:kinsoku/>
              <w:wordWrap/>
              <w:overflowPunct/>
              <w:topLinePunct w:val="0"/>
              <w:autoSpaceDN/>
              <w:bidi w:val="0"/>
              <w:spacing w:before="0" w:beforeLines="0" w:beforeAutospacing="0" w:after="0" w:afterAutospacing="0" w:line="360" w:lineRule="auto"/>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中：项目进度计划不够详细，任务分解不够明确，可能会导致执行过程中出现混乱，缺乏有效的监控和调整手段，对进度的把控能力较弱，得2分。</w:t>
            </w:r>
          </w:p>
          <w:p w14:paraId="724E277E">
            <w:pPr>
              <w:keepNext w:val="0"/>
              <w:keepLines w:val="0"/>
              <w:pageBreakBefore w:val="0"/>
              <w:widowControl w:val="0"/>
              <w:suppressLineNumbers w:val="0"/>
              <w:kinsoku/>
              <w:wordWrap/>
              <w:overflowPunct/>
              <w:topLinePunct w:val="0"/>
              <w:autoSpaceDN/>
              <w:bidi w:val="0"/>
              <w:spacing w:before="0" w:beforeLines="0" w:beforeAutospacing="0" w:after="0" w:afterAutospacing="0" w:line="360" w:lineRule="auto"/>
              <w:ind w:left="0" w:leftChars="0" w:right="0" w:rightChars="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差：没有明确的项目进度计划，没有任何有效的手段来监控和调整进度，得0分。</w:t>
            </w:r>
          </w:p>
        </w:tc>
        <w:tc>
          <w:tcPr>
            <w:tcW w:w="944" w:type="dxa"/>
            <w:tcBorders>
              <w:top w:val="single" w:color="auto" w:sz="4" w:space="0"/>
              <w:left w:val="nil"/>
              <w:bottom w:val="single" w:color="auto" w:sz="4" w:space="0"/>
              <w:right w:val="single" w:color="auto" w:sz="4" w:space="0"/>
            </w:tcBorders>
            <w:shd w:val="clear" w:color="auto" w:fill="auto"/>
            <w:vAlign w:val="center"/>
          </w:tcPr>
          <w:p w14:paraId="112223C6">
            <w:pPr>
              <w:keepNext w:val="0"/>
              <w:keepLines w:val="0"/>
              <w:pageBreakBefore w:val="0"/>
              <w:widowControl w:val="0"/>
              <w:suppressLineNumbers w:val="0"/>
              <w:kinsoku/>
              <w:wordWrap/>
              <w:overflowPunct/>
              <w:topLinePunct w:val="0"/>
              <w:autoSpaceDN/>
              <w:bidi w:val="0"/>
              <w:spacing w:before="0" w:beforeLines="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rPr>
            </w:pPr>
            <w:r>
              <w:rPr>
                <w:rFonts w:hint="eastAsia" w:ascii="宋体" w:hAnsi="宋体" w:eastAsia="宋体" w:cs="宋体"/>
                <w:b w:val="0"/>
                <w:bCs/>
                <w:color w:val="auto"/>
                <w:kern w:val="2"/>
                <w:sz w:val="21"/>
                <w:szCs w:val="21"/>
                <w:highlight w:val="none"/>
                <w:lang w:val="en-US" w:eastAsia="zh-CN" w:bidi="ar"/>
              </w:rPr>
              <w:t>6分</w:t>
            </w:r>
          </w:p>
        </w:tc>
      </w:tr>
      <w:tr w14:paraId="36143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14:paraId="63ADD7EA">
            <w:pPr>
              <w:keepNext w:val="0"/>
              <w:keepLines w:val="0"/>
              <w:pageBreakBefore w:val="0"/>
              <w:widowControl w:val="0"/>
              <w:suppressLineNumbers w:val="0"/>
              <w:kinsoku/>
              <w:wordWrap/>
              <w:overflowPunct/>
              <w:topLinePunct w:val="0"/>
              <w:autoSpaceDN/>
              <w:bidi w:val="0"/>
              <w:spacing w:before="0" w:beforeLines="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w:t>
            </w:r>
          </w:p>
        </w:tc>
        <w:tc>
          <w:tcPr>
            <w:tcW w:w="1184" w:type="dxa"/>
            <w:tcBorders>
              <w:top w:val="single" w:color="auto" w:sz="4" w:space="0"/>
              <w:left w:val="nil"/>
              <w:bottom w:val="single" w:color="auto" w:sz="4" w:space="0"/>
              <w:right w:val="single" w:color="auto" w:sz="4" w:space="0"/>
            </w:tcBorders>
            <w:shd w:val="clear" w:color="auto" w:fill="auto"/>
            <w:vAlign w:val="center"/>
          </w:tcPr>
          <w:p w14:paraId="51C3E9CE">
            <w:pPr>
              <w:keepNext w:val="0"/>
              <w:keepLines w:val="0"/>
              <w:pageBreakBefore w:val="0"/>
              <w:widowControl w:val="0"/>
              <w:suppressLineNumbers w:val="0"/>
              <w:kinsoku/>
              <w:wordWrap/>
              <w:overflowPunct/>
              <w:topLinePunct w:val="0"/>
              <w:autoSpaceDN/>
              <w:bidi w:val="0"/>
              <w:spacing w:before="0" w:beforeLines="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质量保证措施</w:t>
            </w:r>
          </w:p>
        </w:tc>
        <w:tc>
          <w:tcPr>
            <w:tcW w:w="7782" w:type="dxa"/>
            <w:tcBorders>
              <w:top w:val="single" w:color="auto" w:sz="4" w:space="0"/>
              <w:left w:val="nil"/>
              <w:bottom w:val="single" w:color="auto" w:sz="4" w:space="0"/>
              <w:right w:val="single" w:color="auto" w:sz="4" w:space="0"/>
            </w:tcBorders>
            <w:shd w:val="clear" w:color="auto" w:fill="auto"/>
            <w:vAlign w:val="center"/>
          </w:tcPr>
          <w:p w14:paraId="30EEC69B">
            <w:pPr>
              <w:keepNext w:val="0"/>
              <w:keepLines w:val="0"/>
              <w:pageBreakBefore w:val="0"/>
              <w:widowControl w:val="0"/>
              <w:suppressLineNumbers w:val="0"/>
              <w:kinsoku/>
              <w:wordWrap/>
              <w:overflowPunct/>
              <w:topLinePunct w:val="0"/>
              <w:autoSpaceDN/>
              <w:bidi w:val="0"/>
              <w:spacing w:before="0" w:beforeLines="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横向比较各投标人的相关质量保证措施包括但不限于是否能够承诺保证有足够的人力、物力等资源按时按质按量完成委托的造价咨询服务任务进行评审：</w:t>
            </w:r>
          </w:p>
          <w:p w14:paraId="3466D8A8">
            <w:pPr>
              <w:keepNext w:val="0"/>
              <w:keepLines w:val="0"/>
              <w:pageBreakBefore w:val="0"/>
              <w:widowControl w:val="0"/>
              <w:suppressLineNumbers w:val="0"/>
              <w:kinsoku/>
              <w:wordWrap/>
              <w:overflowPunct/>
              <w:topLinePunct w:val="0"/>
              <w:autoSpaceDN/>
              <w:bidi w:val="0"/>
              <w:spacing w:before="0" w:beforeLines="0" w:beforeAutospacing="0" w:after="0" w:afterAutospacing="0" w:line="360" w:lineRule="auto"/>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优：</w:t>
            </w:r>
            <w:r>
              <w:rPr>
                <w:rFonts w:hint="eastAsia" w:ascii="宋体" w:hAnsi="宋体" w:eastAsia="宋体" w:cs="宋体"/>
                <w:bCs/>
                <w:color w:val="auto"/>
                <w:kern w:val="2"/>
                <w:sz w:val="21"/>
                <w:szCs w:val="21"/>
                <w:highlight w:val="none"/>
                <w:lang w:val="en-US" w:eastAsia="zh-CN" w:bidi="ar"/>
              </w:rPr>
              <w:t>有充足的人力、物力等资源投入到委托的造价咨询服务任务中，拥有一支专业素质高、经验丰富的造价咨询团队，人员配备齐全，能够满足不同类型项目的需求；同时，具备先进的技术设备和软件工具，为高质量完成任务提供有力保障，得6分。</w:t>
            </w:r>
          </w:p>
          <w:p w14:paraId="764D842D">
            <w:pPr>
              <w:keepNext w:val="0"/>
              <w:keepLines w:val="0"/>
              <w:pageBreakBefore w:val="0"/>
              <w:widowControl w:val="0"/>
              <w:suppressLineNumbers w:val="0"/>
              <w:kinsoku/>
              <w:wordWrap/>
              <w:overflowPunct/>
              <w:topLinePunct w:val="0"/>
              <w:autoSpaceDN/>
              <w:bidi w:val="0"/>
              <w:spacing w:before="0" w:beforeLines="0" w:beforeAutospacing="0" w:after="0" w:afterAutospacing="0" w:line="360" w:lineRule="auto"/>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良：</w:t>
            </w:r>
            <w:r>
              <w:rPr>
                <w:rFonts w:hint="eastAsia" w:ascii="宋体" w:hAnsi="宋体" w:eastAsia="宋体" w:cs="宋体"/>
                <w:bCs/>
                <w:color w:val="auto"/>
                <w:kern w:val="2"/>
                <w:sz w:val="21"/>
                <w:szCs w:val="21"/>
                <w:highlight w:val="none"/>
                <w:lang w:val="en-US" w:eastAsia="zh-CN" w:bidi="ar"/>
              </w:rPr>
              <w:t>有一定的人力、物力资源来完成造价咨询服务任务，团队成员具备较好的专业能力，技术设备和软件工具能够满足基本需求，得4分。</w:t>
            </w:r>
          </w:p>
          <w:p w14:paraId="2FBF37BB">
            <w:pPr>
              <w:keepNext w:val="0"/>
              <w:keepLines w:val="0"/>
              <w:pageBreakBefore w:val="0"/>
              <w:widowControl w:val="0"/>
              <w:suppressLineNumbers w:val="0"/>
              <w:kinsoku/>
              <w:wordWrap/>
              <w:overflowPunct/>
              <w:topLinePunct w:val="0"/>
              <w:autoSpaceDN/>
              <w:bidi w:val="0"/>
              <w:spacing w:before="0" w:beforeLines="0" w:beforeAutospacing="0" w:after="0" w:afterAutospacing="0" w:line="360" w:lineRule="auto"/>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中：</w:t>
            </w:r>
            <w:r>
              <w:rPr>
                <w:rFonts w:hint="eastAsia" w:ascii="宋体" w:hAnsi="宋体" w:eastAsia="宋体" w:cs="宋体"/>
                <w:bCs/>
                <w:color w:val="auto"/>
                <w:kern w:val="2"/>
                <w:sz w:val="21"/>
                <w:szCs w:val="21"/>
                <w:highlight w:val="none"/>
                <w:lang w:val="en-US" w:eastAsia="zh-CN" w:bidi="ar"/>
              </w:rPr>
              <w:t>人力、物力资源相对有限，可能在某些方面存在不足，团队的专业能力和经验参差不齐，技术设备和软件工具可能需要进一步更新和完善，得2分。</w:t>
            </w:r>
          </w:p>
          <w:p w14:paraId="27E51ED8">
            <w:pPr>
              <w:keepNext w:val="0"/>
              <w:keepLines w:val="0"/>
              <w:pageBreakBefore w:val="0"/>
              <w:widowControl w:val="0"/>
              <w:suppressLineNumbers w:val="0"/>
              <w:kinsoku/>
              <w:wordWrap/>
              <w:overflowPunct/>
              <w:topLinePunct w:val="0"/>
              <w:autoSpaceDN/>
              <w:bidi w:val="0"/>
              <w:spacing w:before="0" w:beforeLines="0" w:beforeAutospacing="0" w:after="0" w:afterAutospacing="0" w:line="360" w:lineRule="auto"/>
              <w:ind w:left="0" w:leftChars="0" w:right="0" w:rightChars="0"/>
              <w:jc w:val="both"/>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差：</w:t>
            </w:r>
            <w:r>
              <w:rPr>
                <w:rFonts w:hint="eastAsia" w:ascii="宋体" w:hAnsi="宋体" w:eastAsia="宋体" w:cs="宋体"/>
                <w:bCs/>
                <w:color w:val="auto"/>
                <w:kern w:val="2"/>
                <w:sz w:val="21"/>
                <w:szCs w:val="21"/>
                <w:highlight w:val="none"/>
                <w:lang w:val="en-US" w:eastAsia="zh-CN" w:bidi="ar"/>
              </w:rPr>
              <w:t>难以保证有足够的人力、物力资源完成任务，团队规模较小，专业能力不足，技术设备和软件工具落后，得0分。</w:t>
            </w:r>
          </w:p>
        </w:tc>
        <w:tc>
          <w:tcPr>
            <w:tcW w:w="944" w:type="dxa"/>
            <w:tcBorders>
              <w:top w:val="single" w:color="auto" w:sz="4" w:space="0"/>
              <w:left w:val="nil"/>
              <w:bottom w:val="single" w:color="auto" w:sz="4" w:space="0"/>
              <w:right w:val="single" w:color="auto" w:sz="4" w:space="0"/>
            </w:tcBorders>
            <w:shd w:val="clear" w:color="auto" w:fill="auto"/>
            <w:vAlign w:val="center"/>
          </w:tcPr>
          <w:p w14:paraId="78F2BD25">
            <w:pPr>
              <w:keepNext w:val="0"/>
              <w:keepLines w:val="0"/>
              <w:pageBreakBefore w:val="0"/>
              <w:widowControl w:val="0"/>
              <w:suppressLineNumbers w:val="0"/>
              <w:kinsoku/>
              <w:wordWrap/>
              <w:overflowPunct/>
              <w:topLinePunct w:val="0"/>
              <w:autoSpaceDN/>
              <w:bidi w:val="0"/>
              <w:spacing w:before="0" w:beforeLines="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rPr>
            </w:pPr>
            <w:r>
              <w:rPr>
                <w:rFonts w:hint="eastAsia" w:ascii="宋体" w:hAnsi="宋体" w:eastAsia="宋体" w:cs="宋体"/>
                <w:b w:val="0"/>
                <w:bCs/>
                <w:color w:val="auto"/>
                <w:kern w:val="2"/>
                <w:sz w:val="21"/>
                <w:szCs w:val="21"/>
                <w:highlight w:val="none"/>
                <w:lang w:val="en-US" w:eastAsia="zh-CN" w:bidi="ar"/>
              </w:rPr>
              <w:t>6分</w:t>
            </w:r>
          </w:p>
        </w:tc>
      </w:tr>
      <w:tr w14:paraId="6649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14:paraId="7E35E7B6">
            <w:pPr>
              <w:keepNext w:val="0"/>
              <w:keepLines w:val="0"/>
              <w:pageBreakBefore w:val="0"/>
              <w:widowControl w:val="0"/>
              <w:suppressLineNumbers w:val="0"/>
              <w:kinsoku/>
              <w:wordWrap/>
              <w:overflowPunct/>
              <w:topLinePunct w:val="0"/>
              <w:autoSpaceDN/>
              <w:bidi w:val="0"/>
              <w:spacing w:before="0" w:beforeLines="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w:t>
            </w:r>
          </w:p>
        </w:tc>
        <w:tc>
          <w:tcPr>
            <w:tcW w:w="1184" w:type="dxa"/>
            <w:tcBorders>
              <w:top w:val="single" w:color="auto" w:sz="4" w:space="0"/>
              <w:left w:val="nil"/>
              <w:bottom w:val="single" w:color="auto" w:sz="4" w:space="0"/>
              <w:right w:val="single" w:color="auto" w:sz="4" w:space="0"/>
            </w:tcBorders>
            <w:shd w:val="clear" w:color="auto" w:fill="auto"/>
            <w:vAlign w:val="center"/>
          </w:tcPr>
          <w:p w14:paraId="68DA7152">
            <w:pPr>
              <w:keepNext w:val="0"/>
              <w:keepLines w:val="0"/>
              <w:pageBreakBefore w:val="0"/>
              <w:widowControl w:val="0"/>
              <w:suppressLineNumbers w:val="0"/>
              <w:kinsoku/>
              <w:wordWrap/>
              <w:overflowPunct/>
              <w:topLinePunct w:val="0"/>
              <w:autoSpaceDN/>
              <w:bidi w:val="0"/>
              <w:spacing w:before="0" w:beforeLines="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质量跟踪及信息反馈机制</w:t>
            </w:r>
          </w:p>
        </w:tc>
        <w:tc>
          <w:tcPr>
            <w:tcW w:w="7782" w:type="dxa"/>
            <w:tcBorders>
              <w:top w:val="single" w:color="auto" w:sz="4" w:space="0"/>
              <w:left w:val="nil"/>
              <w:bottom w:val="single" w:color="auto" w:sz="4" w:space="0"/>
              <w:right w:val="single" w:color="auto" w:sz="4" w:space="0"/>
            </w:tcBorders>
            <w:shd w:val="clear" w:color="auto" w:fill="auto"/>
            <w:vAlign w:val="center"/>
          </w:tcPr>
          <w:p w14:paraId="0455DF19">
            <w:pPr>
              <w:keepNext w:val="0"/>
              <w:keepLines w:val="0"/>
              <w:pageBreakBefore w:val="0"/>
              <w:widowControl w:val="0"/>
              <w:suppressLineNumbers w:val="0"/>
              <w:kinsoku/>
              <w:wordWrap/>
              <w:overflowPunct/>
              <w:topLinePunct w:val="0"/>
              <w:autoSpaceDN/>
              <w:bidi w:val="0"/>
              <w:spacing w:before="0" w:beforeLines="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横向比较各投标人质量跟踪与信息反馈机制是否完善，问题分析是否到位，实施措施与渠道是否齐全合理等方面进行评审：</w:t>
            </w:r>
          </w:p>
          <w:p w14:paraId="4DB0E16D">
            <w:pPr>
              <w:keepNext w:val="0"/>
              <w:keepLines w:val="0"/>
              <w:pageBreakBefore w:val="0"/>
              <w:widowControl w:val="0"/>
              <w:suppressLineNumbers w:val="0"/>
              <w:kinsoku/>
              <w:wordWrap/>
              <w:overflowPunct/>
              <w:topLinePunct w:val="0"/>
              <w:autoSpaceDN/>
              <w:bidi w:val="0"/>
              <w:spacing w:before="0" w:beforeLines="0" w:beforeAutospacing="0" w:after="0" w:afterAutospacing="0" w:line="360" w:lineRule="auto"/>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优：</w:t>
            </w:r>
            <w:r>
              <w:rPr>
                <w:rFonts w:hint="eastAsia" w:ascii="宋体" w:hAnsi="宋体" w:eastAsia="宋体" w:cs="宋体"/>
                <w:bCs/>
                <w:color w:val="auto"/>
                <w:kern w:val="2"/>
                <w:sz w:val="21"/>
                <w:szCs w:val="21"/>
                <w:highlight w:val="none"/>
                <w:lang w:val="en-US" w:eastAsia="zh-CN" w:bidi="ar"/>
              </w:rPr>
              <w:t>投标人具备完善的质量跟踪与信息反馈机制。建立了专门的质量跟踪团队，对项目实施全过程进行严格监控，能够及时发现并解决问题，对问题的分析深入到位。能够迅速准确地识别问题的本质和根源，运用专业知识和经验进行全面分析，提出具有针对性和可操作性的解决方案，实施措施与渠道丰富齐全且合理，得6分。</w:t>
            </w:r>
          </w:p>
          <w:p w14:paraId="03F162D0">
            <w:pPr>
              <w:keepNext w:val="0"/>
              <w:keepLines w:val="0"/>
              <w:pageBreakBefore w:val="0"/>
              <w:widowControl w:val="0"/>
              <w:suppressLineNumbers w:val="0"/>
              <w:kinsoku/>
              <w:wordWrap/>
              <w:overflowPunct/>
              <w:topLinePunct w:val="0"/>
              <w:autoSpaceDN/>
              <w:bidi w:val="0"/>
              <w:spacing w:before="0" w:beforeLines="0" w:beforeAutospacing="0" w:after="0" w:afterAutospacing="0" w:line="360" w:lineRule="auto"/>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良：</w:t>
            </w:r>
            <w:r>
              <w:rPr>
                <w:rFonts w:hint="eastAsia" w:ascii="宋体" w:hAnsi="宋体" w:eastAsia="宋体" w:cs="宋体"/>
                <w:bCs/>
                <w:color w:val="auto"/>
                <w:kern w:val="2"/>
                <w:sz w:val="21"/>
                <w:szCs w:val="21"/>
                <w:highlight w:val="none"/>
                <w:lang w:val="en-US" w:eastAsia="zh-CN" w:bidi="ar"/>
              </w:rPr>
              <w:t>质量跟踪与信息反馈机制较为完善。有明确的质量跟踪流程和责任人，能够对项目关键节点进行有效监控，对问题分析较为准确。能够在一定程度上识别问题的关键所在，进行较为合理的分析并提出解决方案，实施措施与渠道较为齐全合理，得4分。</w:t>
            </w:r>
          </w:p>
          <w:p w14:paraId="5FFE2873">
            <w:pPr>
              <w:keepNext w:val="0"/>
              <w:keepLines w:val="0"/>
              <w:pageBreakBefore w:val="0"/>
              <w:widowControl w:val="0"/>
              <w:suppressLineNumbers w:val="0"/>
              <w:kinsoku/>
              <w:wordWrap/>
              <w:overflowPunct/>
              <w:topLinePunct w:val="0"/>
              <w:autoSpaceDN/>
              <w:bidi w:val="0"/>
              <w:spacing w:before="0" w:beforeLines="0" w:beforeAutospacing="0" w:after="0" w:afterAutospacing="0" w:line="360" w:lineRule="auto"/>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中：</w:t>
            </w:r>
            <w:r>
              <w:rPr>
                <w:rFonts w:hint="eastAsia" w:ascii="宋体" w:hAnsi="宋体" w:eastAsia="宋体" w:cs="宋体"/>
                <w:bCs/>
                <w:color w:val="auto"/>
                <w:kern w:val="2"/>
                <w:sz w:val="21"/>
                <w:szCs w:val="21"/>
                <w:highlight w:val="none"/>
                <w:lang w:val="en-US" w:eastAsia="zh-CN" w:bidi="ar"/>
              </w:rPr>
              <w:t>质量跟踪与信息反馈机制有一定基础，但存在一些不足。质量跟踪的力度和频率不够，可能会遗漏一些问题，对问题分析能力一般。能够发现问题，但在分析过程中不够深入，解决方案的针对性不强，实施措施与渠道有一定基础，但不够完善，得2分。</w:t>
            </w:r>
          </w:p>
          <w:p w14:paraId="557D28B2">
            <w:pPr>
              <w:keepNext w:val="0"/>
              <w:keepLines w:val="0"/>
              <w:pageBreakBefore w:val="0"/>
              <w:widowControl w:val="0"/>
              <w:suppressLineNumbers w:val="0"/>
              <w:kinsoku/>
              <w:wordWrap/>
              <w:overflowPunct/>
              <w:topLinePunct w:val="0"/>
              <w:autoSpaceDN/>
              <w:bidi w:val="0"/>
              <w:spacing w:before="0" w:beforeLines="0" w:beforeAutospacing="0" w:after="0" w:afterAutospacing="0" w:line="360" w:lineRule="auto"/>
              <w:ind w:left="0" w:leftChars="0" w:right="0" w:rightChars="0"/>
              <w:jc w:val="both"/>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差：</w:t>
            </w:r>
            <w:r>
              <w:rPr>
                <w:rFonts w:hint="eastAsia" w:ascii="宋体" w:hAnsi="宋体" w:eastAsia="宋体" w:cs="宋体"/>
                <w:bCs/>
                <w:color w:val="auto"/>
                <w:kern w:val="2"/>
                <w:sz w:val="21"/>
                <w:szCs w:val="21"/>
                <w:highlight w:val="none"/>
                <w:lang w:val="en-US" w:eastAsia="zh-CN" w:bidi="ar"/>
              </w:rPr>
              <w:t>质量跟踪与信息反馈机制不完善。缺乏有效的质量跟踪手段，信息反馈渠道不畅通，对问题分析不到位。难以准确识别问题的本质，分析过程混乱，提出的解决方案不切实际，没有明确的实施措施和渠道，得0分。</w:t>
            </w:r>
          </w:p>
        </w:tc>
        <w:tc>
          <w:tcPr>
            <w:tcW w:w="944" w:type="dxa"/>
            <w:tcBorders>
              <w:top w:val="single" w:color="auto" w:sz="4" w:space="0"/>
              <w:left w:val="nil"/>
              <w:bottom w:val="single" w:color="auto" w:sz="4" w:space="0"/>
              <w:right w:val="single" w:color="auto" w:sz="4" w:space="0"/>
            </w:tcBorders>
            <w:shd w:val="clear" w:color="auto" w:fill="auto"/>
            <w:vAlign w:val="center"/>
          </w:tcPr>
          <w:p w14:paraId="05661622">
            <w:pPr>
              <w:keepNext w:val="0"/>
              <w:keepLines w:val="0"/>
              <w:pageBreakBefore w:val="0"/>
              <w:widowControl w:val="0"/>
              <w:suppressLineNumbers w:val="0"/>
              <w:kinsoku/>
              <w:wordWrap/>
              <w:overflowPunct/>
              <w:topLinePunct w:val="0"/>
              <w:autoSpaceDN/>
              <w:bidi w:val="0"/>
              <w:spacing w:before="0" w:beforeLines="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rPr>
            </w:pPr>
            <w:r>
              <w:rPr>
                <w:rFonts w:hint="eastAsia" w:ascii="宋体" w:hAnsi="宋体" w:eastAsia="宋体" w:cs="宋体"/>
                <w:b w:val="0"/>
                <w:bCs/>
                <w:color w:val="auto"/>
                <w:kern w:val="2"/>
                <w:sz w:val="21"/>
                <w:szCs w:val="21"/>
                <w:highlight w:val="none"/>
                <w:lang w:val="en-US" w:eastAsia="zh-CN" w:bidi="ar"/>
              </w:rPr>
              <w:t>6分</w:t>
            </w:r>
          </w:p>
        </w:tc>
      </w:tr>
      <w:tr w14:paraId="00A1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54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04EB6C7">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技术总分</w:t>
            </w:r>
          </w:p>
        </w:tc>
        <w:tc>
          <w:tcPr>
            <w:tcW w:w="455" w:type="pct"/>
            <w:tcBorders>
              <w:top w:val="single" w:color="auto" w:sz="4" w:space="0"/>
              <w:left w:val="nil"/>
              <w:bottom w:val="single" w:color="auto" w:sz="4" w:space="0"/>
              <w:right w:val="single" w:color="auto" w:sz="4" w:space="0"/>
            </w:tcBorders>
            <w:shd w:val="clear" w:color="auto" w:fill="auto"/>
            <w:vAlign w:val="center"/>
          </w:tcPr>
          <w:p w14:paraId="7A1E966A">
            <w:pPr>
              <w:pStyle w:val="39"/>
              <w:keepNext/>
              <w:keepLines w:val="0"/>
              <w:pageBreakBefore w:val="0"/>
              <w:widowControl w:val="0"/>
              <w:suppressLineNumbers w:val="0"/>
              <w:tabs>
                <w:tab w:val="left" w:pos="585"/>
                <w:tab w:val="left" w:pos="680"/>
              </w:tabs>
              <w:kinsoku/>
              <w:wordWrap/>
              <w:overflowPunct/>
              <w:topLinePunct w:val="0"/>
              <w:autoSpaceDE w:val="0"/>
              <w:autoSpaceDN/>
              <w:bidi w:val="0"/>
              <w:adjustRightInd/>
              <w:spacing w:before="0" w:beforeAutospacing="1"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eastAsia="宋体" w:cs="宋体"/>
                <w:b/>
                <w:bCs w:val="0"/>
                <w:color w:val="auto"/>
                <w:kern w:val="2"/>
                <w:sz w:val="21"/>
                <w:szCs w:val="21"/>
                <w:highlight w:val="none"/>
                <w:lang w:val="en-US" w:eastAsia="zh-CN" w:bidi="ar"/>
              </w:rPr>
              <w:t>3</w:t>
            </w:r>
            <w:r>
              <w:rPr>
                <w:rFonts w:hint="eastAsia" w:ascii="宋体" w:hAnsi="宋体" w:eastAsia="宋体" w:cs="宋体"/>
                <w:b/>
                <w:bCs w:val="0"/>
                <w:color w:val="auto"/>
                <w:kern w:val="2"/>
                <w:sz w:val="21"/>
                <w:szCs w:val="21"/>
                <w:highlight w:val="none"/>
                <w:lang w:val="en-US" w:eastAsia="zh-CN" w:bidi="ar"/>
              </w:rPr>
              <w:t>0</w:t>
            </w:r>
          </w:p>
        </w:tc>
      </w:tr>
    </w:tbl>
    <w:p w14:paraId="7400CB5B">
      <w:pPr>
        <w:keepNext w:val="0"/>
        <w:keepLines w:val="0"/>
        <w:widowControl w:val="0"/>
        <w:suppressLineNumbers w:val="0"/>
        <w:autoSpaceDE w:val="0"/>
        <w:autoSpaceDN w:val="0"/>
        <w:adjustRightInd w:val="0"/>
        <w:spacing w:before="0" w:beforeAutospacing="0" w:after="0" w:afterAutospacing="0" w:line="360" w:lineRule="auto"/>
        <w:ind w:left="4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备注：</w:t>
      </w:r>
    </w:p>
    <w:p w14:paraId="6D85B57B">
      <w:pPr>
        <w:keepNext w:val="0"/>
        <w:keepLines w:val="0"/>
        <w:widowControl w:val="0"/>
        <w:suppressLineNumbers w:val="0"/>
        <w:autoSpaceDE w:val="0"/>
        <w:autoSpaceDN w:val="0"/>
        <w:adjustRightInd w:val="0"/>
        <w:spacing w:before="0" w:beforeAutospacing="0" w:after="0" w:afterAutospacing="0" w:line="360" w:lineRule="auto"/>
        <w:ind w:left="4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①分数出现小数点，保留小数点后2位，从小数点后第3位四舍五入。</w:t>
      </w:r>
    </w:p>
    <w:p w14:paraId="1E499D37">
      <w:pPr>
        <w:keepNext w:val="0"/>
        <w:keepLines w:val="0"/>
        <w:widowControl w:val="0"/>
        <w:suppressLineNumbers w:val="0"/>
        <w:autoSpaceDE w:val="0"/>
        <w:autoSpaceDN w:val="0"/>
        <w:adjustRightInd w:val="0"/>
        <w:spacing w:before="0" w:beforeAutospacing="0" w:after="0" w:afterAutospacing="0" w:line="360" w:lineRule="auto"/>
        <w:ind w:left="420" w:leftChars="20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②上述“评分项目”中按“优、良、中、差”区间评审的，若低于该项满分分值60%时，评标专家需详细填写该项低分的充分理由，例如：该项目内容存在违反国家有关标准和规范或与项目实际不符等原则性问题。</w:t>
      </w:r>
    </w:p>
    <w:p w14:paraId="02E04DFE">
      <w:pPr>
        <w:keepNext w:val="0"/>
        <w:keepLines w:val="0"/>
        <w:widowControl w:val="0"/>
        <w:suppressLineNumbers w:val="0"/>
        <w:autoSpaceDE w:val="0"/>
        <w:autoSpaceDN w:val="0"/>
        <w:adjustRightInd w:val="0"/>
        <w:spacing w:before="0" w:beforeAutospacing="0" w:after="0" w:afterAutospacing="0" w:line="360" w:lineRule="auto"/>
        <w:ind w:left="420" w:leftChars="200" w:right="0" w:firstLine="422" w:firstLineChars="200"/>
        <w:jc w:val="both"/>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2"/>
          <w:sz w:val="21"/>
          <w:szCs w:val="21"/>
          <w:highlight w:val="none"/>
          <w:lang w:val="en-US" w:eastAsia="zh-CN" w:bidi="ar"/>
        </w:rPr>
        <w:t>③</w:t>
      </w:r>
      <w:r>
        <w:rPr>
          <w:rFonts w:hint="eastAsia" w:ascii="宋体" w:hAnsi="宋体" w:eastAsia="宋体" w:cs="宋体"/>
          <w:b/>
          <w:bCs/>
          <w:color w:val="auto"/>
          <w:kern w:val="0"/>
          <w:sz w:val="21"/>
          <w:szCs w:val="21"/>
          <w:highlight w:val="none"/>
          <w:lang w:val="en-US" w:eastAsia="zh-CN" w:bidi="ar"/>
        </w:rPr>
        <w:t>对于各评标委员会成员存在客观分打分不一致时,根据少数服从多数的原则，以记名方式表决确定该项的评分。</w:t>
      </w:r>
    </w:p>
    <w:p w14:paraId="1F6A5B25">
      <w:pPr>
        <w:keepNext w:val="0"/>
        <w:keepLines w:val="0"/>
        <w:widowControl w:val="0"/>
        <w:suppressLineNumbers w:val="0"/>
        <w:tabs>
          <w:tab w:val="left" w:pos="585"/>
        </w:tabs>
        <w:autoSpaceDE w:val="0"/>
        <w:autoSpaceDN w:val="0"/>
        <w:adjustRightInd w:val="0"/>
        <w:spacing w:before="0" w:beforeAutospacing="0" w:after="0" w:afterAutospacing="0" w:line="400" w:lineRule="exact"/>
        <w:ind w:left="0" w:right="0"/>
        <w:jc w:val="both"/>
        <w:outlineLvl w:val="1"/>
        <w:rPr>
          <w:rFonts w:hint="eastAsia" w:ascii="宋体" w:hAnsi="宋体" w:eastAsia="宋体" w:cs="宋体"/>
          <w:b/>
          <w:bCs w:val="0"/>
          <w:color w:val="auto"/>
          <w:kern w:val="2"/>
          <w:sz w:val="21"/>
          <w:szCs w:val="21"/>
          <w:highlight w:val="none"/>
        </w:rPr>
      </w:pPr>
      <w:bookmarkStart w:id="808" w:name="_Toc19726"/>
      <w:r>
        <w:rPr>
          <w:rFonts w:hint="eastAsia" w:ascii="宋体" w:hAnsi="宋体" w:eastAsia="宋体" w:cs="宋体"/>
          <w:b/>
          <w:bCs w:val="0"/>
          <w:color w:val="auto"/>
          <w:kern w:val="2"/>
          <w:sz w:val="21"/>
          <w:szCs w:val="21"/>
          <w:highlight w:val="none"/>
          <w:lang w:val="en-US" w:eastAsia="zh-CN" w:bidi="ar"/>
        </w:rPr>
        <w:t>（4）综合得分</w:t>
      </w:r>
      <w:bookmarkEnd w:id="808"/>
    </w:p>
    <w:p w14:paraId="6DFFB1CE">
      <w:pPr>
        <w:keepNext w:val="0"/>
        <w:keepLines w:val="0"/>
        <w:widowControl w:val="0"/>
        <w:suppressLineNumbers w:val="0"/>
        <w:spacing w:before="0" w:beforeAutospacing="0" w:after="0" w:afterAutospacing="0" w:line="400" w:lineRule="exact"/>
        <w:ind w:left="0" w:right="0" w:firstLine="848" w:firstLineChars="404"/>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评标总得分=F1＋F2＋……+Fn</w:t>
      </w:r>
    </w:p>
    <w:p w14:paraId="3F79E88C">
      <w:pPr>
        <w:keepNext w:val="0"/>
        <w:keepLines w:val="0"/>
        <w:widowControl/>
        <w:suppressLineNumbers w:val="0"/>
        <w:autoSpaceDE w:val="0"/>
        <w:autoSpaceDN w:val="0"/>
        <w:adjustRightInd w:val="0"/>
        <w:spacing w:before="0" w:beforeAutospacing="0" w:after="0" w:afterAutospacing="0" w:line="400" w:lineRule="exact"/>
        <w:ind w:left="0" w:right="0" w:firstLine="840" w:firstLineChars="4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F1、F2、……Fn分别为各项评分因素的得分。</w:t>
      </w:r>
    </w:p>
    <w:p w14:paraId="0E5CD0D5">
      <w:pPr>
        <w:autoSpaceDE w:val="0"/>
        <w:autoSpaceDN w:val="0"/>
        <w:adjustRightInd w:val="0"/>
        <w:spacing w:line="360" w:lineRule="auto"/>
        <w:ind w:left="564" w:leftChars="1" w:hanging="562" w:hangingChars="200"/>
        <w:rPr>
          <w:rFonts w:hint="eastAsia" w:ascii="宋体" w:hAnsi="宋体" w:eastAsia="宋体" w:cs="宋体"/>
          <w:b/>
          <w:bCs/>
          <w:color w:val="auto"/>
          <w:sz w:val="28"/>
          <w:szCs w:val="28"/>
          <w:highlight w:val="none"/>
          <w:lang w:eastAsia="zh-CN"/>
        </w:rPr>
      </w:pPr>
    </w:p>
    <w:p w14:paraId="384593B6">
      <w:pPr>
        <w:autoSpaceDE w:val="0"/>
        <w:autoSpaceDN w:val="0"/>
        <w:adjustRightInd w:val="0"/>
        <w:spacing w:line="360" w:lineRule="auto"/>
        <w:jc w:val="center"/>
        <w:outlineLvl w:val="2"/>
        <w:rPr>
          <w:rFonts w:ascii="宋体" w:hAnsi="宋体" w:eastAsia="宋体" w:cs="宋体"/>
          <w:b/>
          <w:bCs/>
          <w:color w:val="auto"/>
          <w:sz w:val="28"/>
          <w:szCs w:val="28"/>
          <w:highlight w:val="none"/>
        </w:rPr>
      </w:pPr>
      <w:bookmarkStart w:id="809" w:name="_Toc518_WPSOffice_Level1"/>
      <w:r>
        <w:rPr>
          <w:rFonts w:hint="eastAsia" w:ascii="宋体" w:hAnsi="宋体" w:eastAsia="宋体" w:cs="宋体"/>
          <w:b/>
          <w:bCs/>
          <w:color w:val="auto"/>
          <w:sz w:val="28"/>
          <w:szCs w:val="28"/>
          <w:highlight w:val="none"/>
          <w:lang w:val="zh-CN"/>
        </w:rPr>
        <w:t>五、推荐中标人</w:t>
      </w:r>
      <w:bookmarkEnd w:id="809"/>
    </w:p>
    <w:p w14:paraId="1604DB83">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评标委员会按评审后得分由高到低顺序排列</w:t>
      </w:r>
      <w:r>
        <w:rPr>
          <w:rFonts w:hint="eastAsia" w:ascii="宋体" w:hAnsi="宋体" w:eastAsia="宋体" w:cs="宋体"/>
          <w:color w:val="auto"/>
          <w:kern w:val="0"/>
          <w:szCs w:val="21"/>
          <w:highlight w:val="none"/>
        </w:rPr>
        <w:t>，并向招标人推荐综合得分前六名的投标人为第一中标候选人，综合得分排名第七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八</w:t>
      </w:r>
      <w:r>
        <w:rPr>
          <w:rFonts w:hint="eastAsia" w:ascii="宋体" w:hAnsi="宋体" w:eastAsia="宋体" w:cs="宋体"/>
          <w:color w:val="auto"/>
          <w:kern w:val="0"/>
          <w:szCs w:val="21"/>
          <w:highlight w:val="none"/>
        </w:rPr>
        <w:t>名的为第二中标候选人，</w:t>
      </w:r>
      <w:r>
        <w:rPr>
          <w:rFonts w:hint="eastAsia" w:ascii="宋体" w:hAnsi="宋体" w:eastAsia="宋体" w:cs="Times New Roman"/>
          <w:color w:val="auto"/>
          <w:kern w:val="0"/>
          <w:szCs w:val="21"/>
          <w:highlight w:val="none"/>
        </w:rPr>
        <w:t>招标人将确定第一中标候选人为中标人</w:t>
      </w:r>
      <w:r>
        <w:rPr>
          <w:rFonts w:hint="eastAsia" w:ascii="宋体" w:hAnsi="宋体" w:eastAsia="宋体" w:cs="Times New Roman"/>
          <w:color w:val="auto"/>
          <w:kern w:val="0"/>
          <w:szCs w:val="21"/>
          <w:highlight w:val="none"/>
          <w:lang w:eastAsia="zh-CN"/>
        </w:rPr>
        <w:t>（日常使用单位），</w:t>
      </w:r>
      <w:r>
        <w:rPr>
          <w:rFonts w:hint="eastAsia" w:ascii="宋体" w:hAnsi="宋体" w:eastAsia="宋体" w:cs="Times New Roman"/>
          <w:color w:val="auto"/>
          <w:kern w:val="0"/>
          <w:szCs w:val="21"/>
          <w:highlight w:val="none"/>
          <w:lang w:val="en-US" w:eastAsia="zh-CN"/>
        </w:rPr>
        <w:t>确定第二中标候选人为候补单位</w:t>
      </w:r>
      <w:r>
        <w:rPr>
          <w:rFonts w:hint="eastAsia" w:ascii="宋体" w:hAnsi="宋体" w:eastAsia="宋体" w:cs="Times New Roman"/>
          <w:color w:val="auto"/>
          <w:kern w:val="0"/>
          <w:szCs w:val="21"/>
          <w:highlight w:val="none"/>
        </w:rPr>
        <w:t>。</w:t>
      </w:r>
    </w:p>
    <w:p w14:paraId="1269155F">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宋体"/>
          <w:color w:val="auto"/>
          <w:sz w:val="21"/>
          <w:szCs w:val="21"/>
          <w:highlight w:val="none"/>
        </w:rPr>
        <w:t>如果有两个或以上的投标人的综合得分相同，则按以下方式确定得分相同的投标人的排名次序：在综合得分相同的投标人中按商务得分由高至低排出次序，得分高的排前，得分低的排后；按上述环节依然存在同分情形而不能确认排名顺序时</w:t>
      </w:r>
      <w:r>
        <w:rPr>
          <w:rFonts w:hint="eastAsia" w:ascii="宋体" w:hAnsi="宋体" w:eastAsia="宋体" w:cs="Times New Roman"/>
          <w:color w:val="auto"/>
          <w:kern w:val="0"/>
          <w:szCs w:val="21"/>
          <w:highlight w:val="none"/>
        </w:rPr>
        <w:t>，由评标委员会进行投票，得票多的排名在先。当第一轮投票结果为投标人得票数相同时，再次进行投票，如此类推，直到能确定排序次序为止。</w:t>
      </w:r>
    </w:p>
    <w:p w14:paraId="6B74C21C">
      <w:pPr>
        <w:widowControl/>
        <w:spacing w:line="360" w:lineRule="auto"/>
        <w:jc w:val="left"/>
        <w:rPr>
          <w:rFonts w:ascii="宋体" w:hAnsi="宋体" w:eastAsia="宋体" w:cs="宋体"/>
          <w:color w:val="auto"/>
          <w:kern w:val="0"/>
          <w:szCs w:val="21"/>
          <w:highlight w:val="none"/>
        </w:rPr>
      </w:pPr>
    </w:p>
    <w:p w14:paraId="4BAC9969">
      <w:pPr>
        <w:autoSpaceDE w:val="0"/>
        <w:autoSpaceDN w:val="0"/>
        <w:adjustRightInd w:val="0"/>
        <w:spacing w:line="360" w:lineRule="auto"/>
        <w:ind w:left="185" w:leftChars="88" w:firstLine="3443" w:firstLineChars="1225"/>
        <w:outlineLvl w:val="2"/>
        <w:rPr>
          <w:rFonts w:ascii="宋体" w:hAnsi="宋体" w:eastAsia="宋体" w:cs="宋体"/>
          <w:b/>
          <w:bCs/>
          <w:color w:val="auto"/>
          <w:sz w:val="28"/>
          <w:szCs w:val="28"/>
          <w:highlight w:val="none"/>
          <w:lang w:val="zh-CN"/>
        </w:rPr>
      </w:pPr>
      <w:bookmarkStart w:id="810" w:name="_Toc22724_WPSOffice_Level1"/>
      <w:r>
        <w:rPr>
          <w:rFonts w:hint="eastAsia" w:ascii="宋体" w:hAnsi="宋体" w:eastAsia="宋体" w:cs="宋体"/>
          <w:b/>
          <w:bCs/>
          <w:color w:val="auto"/>
          <w:sz w:val="28"/>
          <w:szCs w:val="28"/>
          <w:highlight w:val="none"/>
          <w:lang w:val="zh-CN"/>
        </w:rPr>
        <w:t>六、编写评标报告</w:t>
      </w:r>
      <w:bookmarkEnd w:id="810"/>
    </w:p>
    <w:p w14:paraId="3400D2D6">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75D5F9F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54911E96">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2F1F40A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7DB89EE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5CF8D480">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43387316">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21FCE07D">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50C16EFC">
      <w:pPr>
        <w:autoSpaceDE w:val="0"/>
        <w:autoSpaceDN w:val="0"/>
        <w:adjustRightInd w:val="0"/>
        <w:spacing w:line="360" w:lineRule="auto"/>
        <w:jc w:val="center"/>
        <w:outlineLvl w:val="2"/>
        <w:rPr>
          <w:rFonts w:ascii="宋体" w:hAnsi="宋体" w:eastAsia="宋体" w:cs="宋体"/>
          <w:b/>
          <w:bCs/>
          <w:color w:val="auto"/>
          <w:sz w:val="30"/>
          <w:szCs w:val="30"/>
          <w:highlight w:val="none"/>
          <w:lang w:val="zh-CN"/>
        </w:rPr>
      </w:pPr>
      <w:bookmarkStart w:id="811" w:name="_Toc23773_WPSOffice_Level1"/>
      <w:r>
        <w:rPr>
          <w:rFonts w:hint="eastAsia" w:ascii="宋体" w:hAnsi="宋体" w:eastAsia="宋体" w:cs="宋体"/>
          <w:b/>
          <w:bCs/>
          <w:color w:val="auto"/>
          <w:sz w:val="28"/>
          <w:szCs w:val="28"/>
          <w:highlight w:val="none"/>
          <w:lang w:val="zh-CN"/>
        </w:rPr>
        <w:t>七、注意事项</w:t>
      </w:r>
      <w:bookmarkEnd w:id="811"/>
    </w:p>
    <w:p w14:paraId="07BBA1E6">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45917701">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07F06B8B">
      <w:pPr>
        <w:autoSpaceDE w:val="0"/>
        <w:autoSpaceDN w:val="0"/>
        <w:adjustRightInd w:val="0"/>
        <w:spacing w:line="360" w:lineRule="auto"/>
        <w:ind w:left="436" w:leftChars="-59" w:hanging="560" w:hangingChars="267"/>
        <w:outlineLvl w:val="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09F4A175">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55093E6D">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rPr>
        <w:t>如有需要举行</w:t>
      </w:r>
      <w:r>
        <w:rPr>
          <w:rFonts w:hint="eastAsia" w:ascii="宋体" w:hAnsi="宋体" w:eastAsia="宋体" w:cs="宋体"/>
          <w:color w:val="auto"/>
          <w:szCs w:val="24"/>
          <w:highlight w:val="none"/>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57FC4F90">
      <w:pPr>
        <w:widowControl/>
        <w:jc w:val="left"/>
        <w:outlineLvl w:val="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（5）任何评审人员和工作人员不得对外公布评审的一切内容。</w:t>
      </w:r>
      <w:bookmarkEnd w:id="760"/>
      <w:bookmarkEnd w:id="784"/>
      <w:bookmarkEnd w:id="785"/>
      <w:bookmarkEnd w:id="786"/>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921038B-3453-44D2-BA96-998527EB5D9B}"/>
  </w:font>
  <w:font w:name="Arial">
    <w:panose1 w:val="020B0604020202020204"/>
    <w:charset w:val="01"/>
    <w:family w:val="swiss"/>
    <w:pitch w:val="default"/>
    <w:sig w:usb0="E0002EFF" w:usb1="C000785B" w:usb2="00000009" w:usb3="00000000" w:csb0="400001FF" w:csb1="FFFF0000"/>
    <w:embedRegular r:id="rId2" w:fontKey="{710E615B-93B4-4712-B202-8419B563736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58B700FE-821A-4625-97A1-4DA82B07E22A}"/>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embedRegular r:id="rId4" w:fontKey="{9EAF5953-AD2C-44D0-ABB1-2D3F5B2A3B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161B9">
    <w:pPr>
      <w:pStyle w:val="28"/>
      <w:jc w:val="center"/>
    </w:pPr>
    <w:r>
      <w:rPr>
        <w:rFonts w:hint="eastAsia"/>
      </w:rPr>
      <w:t>第</w:t>
    </w:r>
    <w:r>
      <w:rPr>
        <w:bCs/>
      </w:rPr>
      <w:fldChar w:fldCharType="begin"/>
    </w:r>
    <w:r>
      <w:rPr>
        <w:bCs/>
      </w:rPr>
      <w:instrText xml:space="preserve">PAGE</w:instrText>
    </w:r>
    <w:r>
      <w:rPr>
        <w:bCs/>
      </w:rPr>
      <w:fldChar w:fldCharType="separate"/>
    </w:r>
    <w:r>
      <w:rPr>
        <w:bCs/>
      </w:rPr>
      <w:t>157</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199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92158">
    <w:pPr>
      <w:pStyle w:val="28"/>
      <w:jc w:val="center"/>
    </w:pPr>
    <w:r>
      <w:rPr>
        <w:rFonts w:hint="eastAsia"/>
      </w:rPr>
      <w:t>第</w:t>
    </w:r>
    <w:r>
      <w:rPr>
        <w:bCs/>
      </w:rPr>
      <w:fldChar w:fldCharType="begin"/>
    </w:r>
    <w:r>
      <w:rPr>
        <w:bCs/>
      </w:rPr>
      <w:instrText xml:space="preserve">PAGE</w:instrText>
    </w:r>
    <w:r>
      <w:rPr>
        <w:bCs/>
      </w:rPr>
      <w:fldChar w:fldCharType="separate"/>
    </w:r>
    <w:r>
      <w:rPr>
        <w:bCs/>
      </w:rPr>
      <w:t>140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199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3E200">
    <w:pPr>
      <w:pStyle w:val="28"/>
      <w:jc w:val="center"/>
    </w:pPr>
    <w:r>
      <w:rPr>
        <w:rFonts w:hint="eastAsia"/>
      </w:rPr>
      <w:t>第</w:t>
    </w:r>
    <w:r>
      <w:rPr>
        <w:bCs/>
      </w:rPr>
      <w:fldChar w:fldCharType="begin"/>
    </w:r>
    <w:r>
      <w:rPr>
        <w:bCs/>
      </w:rPr>
      <w:instrText xml:space="preserve">PAGE</w:instrText>
    </w:r>
    <w:r>
      <w:rPr>
        <w:bCs/>
      </w:rPr>
      <w:fldChar w:fldCharType="separate"/>
    </w:r>
    <w:r>
      <w:rPr>
        <w:bCs/>
      </w:rPr>
      <w:t>161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199</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124E8">
    <w:pPr>
      <w:pStyle w:val="28"/>
      <w:jc w:val="center"/>
    </w:pPr>
    <w:r>
      <w:rPr>
        <w:rFonts w:hint="eastAsia"/>
      </w:rPr>
      <w:t>第</w:t>
    </w:r>
    <w:r>
      <w:rPr>
        <w:bCs/>
      </w:rPr>
      <w:fldChar w:fldCharType="begin"/>
    </w:r>
    <w:r>
      <w:rPr>
        <w:bCs/>
      </w:rPr>
      <w:instrText xml:space="preserve">PAGE</w:instrText>
    </w:r>
    <w:r>
      <w:rPr>
        <w:bCs/>
      </w:rPr>
      <w:fldChar w:fldCharType="separate"/>
    </w:r>
    <w:r>
      <w:rPr>
        <w:bCs/>
      </w:rPr>
      <w:t>175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199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7A026">
    <w:pPr>
      <w:pStyle w:val="28"/>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201</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202</w:t>
    </w:r>
    <w:r>
      <w:rPr>
        <w:bCs/>
        <w:sz w:val="24"/>
        <w:szCs w:val="24"/>
      </w:rPr>
      <w:fldChar w:fldCharType="end"/>
    </w:r>
    <w:r>
      <w:rPr>
        <w:b/>
        <w:bCs/>
        <w:sz w:val="24"/>
        <w:szCs w:val="24"/>
      </w:rPr>
      <w:t xml:space="preserve"> </w:t>
    </w:r>
    <w:r>
      <w:rPr>
        <w:rFonts w:hint="eastAsia"/>
      </w:rPr>
      <w:t>页</w:t>
    </w:r>
  </w:p>
  <w:p w14:paraId="42142C2B">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9C317"/>
    <w:multiLevelType w:val="multilevel"/>
    <w:tmpl w:val="8189C317"/>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2">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88186F6"/>
    <w:multiLevelType w:val="multilevel"/>
    <w:tmpl w:val="788186F6"/>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0NDg5OTQ2MGFlN2EyNGU1ZWNjNjc4ZmI5MDlhMTAifQ=="/>
  </w:docVars>
  <w:rsids>
    <w:rsidRoot w:val="00172A27"/>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E661C"/>
    <w:rsid w:val="000F0A84"/>
    <w:rsid w:val="000F317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2A27"/>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A6B09"/>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45773"/>
    <w:rsid w:val="004551D1"/>
    <w:rsid w:val="0045753C"/>
    <w:rsid w:val="004577C3"/>
    <w:rsid w:val="0046038A"/>
    <w:rsid w:val="00460F3E"/>
    <w:rsid w:val="00464570"/>
    <w:rsid w:val="004761B2"/>
    <w:rsid w:val="00481AFA"/>
    <w:rsid w:val="0049337D"/>
    <w:rsid w:val="004B093D"/>
    <w:rsid w:val="004B14B8"/>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948CE"/>
    <w:rsid w:val="00695AA7"/>
    <w:rsid w:val="006A29A5"/>
    <w:rsid w:val="006A2BD9"/>
    <w:rsid w:val="006A3C57"/>
    <w:rsid w:val="006A4F83"/>
    <w:rsid w:val="006A5072"/>
    <w:rsid w:val="006B5151"/>
    <w:rsid w:val="006C2D84"/>
    <w:rsid w:val="006C2F7D"/>
    <w:rsid w:val="006C3580"/>
    <w:rsid w:val="006C3F4D"/>
    <w:rsid w:val="006C6349"/>
    <w:rsid w:val="006D479F"/>
    <w:rsid w:val="006E2E51"/>
    <w:rsid w:val="006F4BBB"/>
    <w:rsid w:val="006F6DB2"/>
    <w:rsid w:val="00704B3A"/>
    <w:rsid w:val="00710CF8"/>
    <w:rsid w:val="00711E08"/>
    <w:rsid w:val="007138FD"/>
    <w:rsid w:val="00716BB1"/>
    <w:rsid w:val="007172FD"/>
    <w:rsid w:val="007200C8"/>
    <w:rsid w:val="007215F6"/>
    <w:rsid w:val="00721BAA"/>
    <w:rsid w:val="00737401"/>
    <w:rsid w:val="00745968"/>
    <w:rsid w:val="00747A3E"/>
    <w:rsid w:val="007730C9"/>
    <w:rsid w:val="00775150"/>
    <w:rsid w:val="00776B48"/>
    <w:rsid w:val="0078099D"/>
    <w:rsid w:val="00787DE8"/>
    <w:rsid w:val="007942D8"/>
    <w:rsid w:val="00794983"/>
    <w:rsid w:val="00796ED7"/>
    <w:rsid w:val="007A7740"/>
    <w:rsid w:val="007B00BF"/>
    <w:rsid w:val="007B4F1D"/>
    <w:rsid w:val="007C002A"/>
    <w:rsid w:val="007C024B"/>
    <w:rsid w:val="007C4664"/>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0F88"/>
    <w:rsid w:val="009077A0"/>
    <w:rsid w:val="009113DE"/>
    <w:rsid w:val="00913121"/>
    <w:rsid w:val="009171D5"/>
    <w:rsid w:val="00917709"/>
    <w:rsid w:val="00917C84"/>
    <w:rsid w:val="009220F2"/>
    <w:rsid w:val="009227C1"/>
    <w:rsid w:val="00923EDB"/>
    <w:rsid w:val="00925D9A"/>
    <w:rsid w:val="00926978"/>
    <w:rsid w:val="00932BD9"/>
    <w:rsid w:val="00943742"/>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2C49"/>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1991"/>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3EAF"/>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5838"/>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B7E60"/>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4D28C9"/>
    <w:rsid w:val="015059EE"/>
    <w:rsid w:val="01710365"/>
    <w:rsid w:val="01970CE9"/>
    <w:rsid w:val="01BD616A"/>
    <w:rsid w:val="01D63A04"/>
    <w:rsid w:val="02975DA2"/>
    <w:rsid w:val="02D20623"/>
    <w:rsid w:val="02D34569"/>
    <w:rsid w:val="03211F11"/>
    <w:rsid w:val="0334789D"/>
    <w:rsid w:val="035622D5"/>
    <w:rsid w:val="03E0798B"/>
    <w:rsid w:val="03EA2651"/>
    <w:rsid w:val="03EC461B"/>
    <w:rsid w:val="04274CAC"/>
    <w:rsid w:val="0435036D"/>
    <w:rsid w:val="04403A48"/>
    <w:rsid w:val="04554F55"/>
    <w:rsid w:val="0455554A"/>
    <w:rsid w:val="04D055E9"/>
    <w:rsid w:val="05225564"/>
    <w:rsid w:val="05282AA4"/>
    <w:rsid w:val="056903FC"/>
    <w:rsid w:val="058F7720"/>
    <w:rsid w:val="0592587A"/>
    <w:rsid w:val="065055F6"/>
    <w:rsid w:val="06A75D00"/>
    <w:rsid w:val="06AE2959"/>
    <w:rsid w:val="06D05CDA"/>
    <w:rsid w:val="06E710CA"/>
    <w:rsid w:val="070D455F"/>
    <w:rsid w:val="071426B7"/>
    <w:rsid w:val="071C5217"/>
    <w:rsid w:val="07462FD2"/>
    <w:rsid w:val="07E37E3E"/>
    <w:rsid w:val="08607386"/>
    <w:rsid w:val="08797942"/>
    <w:rsid w:val="087D1CE6"/>
    <w:rsid w:val="08AB7738"/>
    <w:rsid w:val="08AF05F8"/>
    <w:rsid w:val="08E00F81"/>
    <w:rsid w:val="08F33D56"/>
    <w:rsid w:val="09403496"/>
    <w:rsid w:val="0946657C"/>
    <w:rsid w:val="09664528"/>
    <w:rsid w:val="0A097F22"/>
    <w:rsid w:val="0A0D22B5"/>
    <w:rsid w:val="0A171CC6"/>
    <w:rsid w:val="0A51342A"/>
    <w:rsid w:val="0A8B68D1"/>
    <w:rsid w:val="0A911A78"/>
    <w:rsid w:val="0AF54A38"/>
    <w:rsid w:val="0B3C2236"/>
    <w:rsid w:val="0C3952B8"/>
    <w:rsid w:val="0C3F46FB"/>
    <w:rsid w:val="0CCE0066"/>
    <w:rsid w:val="0CEA0AED"/>
    <w:rsid w:val="0DCB6F7B"/>
    <w:rsid w:val="0DF748F5"/>
    <w:rsid w:val="0E774FF5"/>
    <w:rsid w:val="0EF645A0"/>
    <w:rsid w:val="0F037F40"/>
    <w:rsid w:val="0F241091"/>
    <w:rsid w:val="0F2561EC"/>
    <w:rsid w:val="0F370844"/>
    <w:rsid w:val="0F482829"/>
    <w:rsid w:val="0F697A75"/>
    <w:rsid w:val="0F9230D3"/>
    <w:rsid w:val="0FE102BB"/>
    <w:rsid w:val="10230FB4"/>
    <w:rsid w:val="103D33B1"/>
    <w:rsid w:val="108C58F8"/>
    <w:rsid w:val="10B72B6A"/>
    <w:rsid w:val="10BC03C7"/>
    <w:rsid w:val="11094EF4"/>
    <w:rsid w:val="11851182"/>
    <w:rsid w:val="118D5137"/>
    <w:rsid w:val="11CF7AC1"/>
    <w:rsid w:val="1208099D"/>
    <w:rsid w:val="12B46E52"/>
    <w:rsid w:val="12C22B33"/>
    <w:rsid w:val="12D616CB"/>
    <w:rsid w:val="12E32EDE"/>
    <w:rsid w:val="12FE1C75"/>
    <w:rsid w:val="130F4A87"/>
    <w:rsid w:val="131E6243"/>
    <w:rsid w:val="141C0B09"/>
    <w:rsid w:val="14237C67"/>
    <w:rsid w:val="143C0BC9"/>
    <w:rsid w:val="150F3DBE"/>
    <w:rsid w:val="153732D2"/>
    <w:rsid w:val="15820CF9"/>
    <w:rsid w:val="158A77F0"/>
    <w:rsid w:val="15A13C38"/>
    <w:rsid w:val="15E909BB"/>
    <w:rsid w:val="16047038"/>
    <w:rsid w:val="161E3E86"/>
    <w:rsid w:val="16225C7A"/>
    <w:rsid w:val="162E65C0"/>
    <w:rsid w:val="163D1C9C"/>
    <w:rsid w:val="16527416"/>
    <w:rsid w:val="16B60189"/>
    <w:rsid w:val="16BF171B"/>
    <w:rsid w:val="16C115CB"/>
    <w:rsid w:val="16CF5E02"/>
    <w:rsid w:val="16E6367E"/>
    <w:rsid w:val="1706559C"/>
    <w:rsid w:val="171A2056"/>
    <w:rsid w:val="17321A57"/>
    <w:rsid w:val="174A48BA"/>
    <w:rsid w:val="176C0D57"/>
    <w:rsid w:val="177E4989"/>
    <w:rsid w:val="17C05342"/>
    <w:rsid w:val="17E01765"/>
    <w:rsid w:val="182745FA"/>
    <w:rsid w:val="18450EF1"/>
    <w:rsid w:val="19293D73"/>
    <w:rsid w:val="19643BF1"/>
    <w:rsid w:val="19A76BC3"/>
    <w:rsid w:val="1A010EDF"/>
    <w:rsid w:val="1A6920CA"/>
    <w:rsid w:val="1AD559B1"/>
    <w:rsid w:val="1ADD7A62"/>
    <w:rsid w:val="1AE34571"/>
    <w:rsid w:val="1B0940FF"/>
    <w:rsid w:val="1B667448"/>
    <w:rsid w:val="1B8D2C3F"/>
    <w:rsid w:val="1BB76E65"/>
    <w:rsid w:val="1BB84D32"/>
    <w:rsid w:val="1BC27D0F"/>
    <w:rsid w:val="1BEE10DD"/>
    <w:rsid w:val="1C2756DA"/>
    <w:rsid w:val="1C3B7A96"/>
    <w:rsid w:val="1C7A0F4E"/>
    <w:rsid w:val="1C7C1ACE"/>
    <w:rsid w:val="1CBA2D9A"/>
    <w:rsid w:val="1CE011DA"/>
    <w:rsid w:val="1CED5B5F"/>
    <w:rsid w:val="1CF814E3"/>
    <w:rsid w:val="1D16347D"/>
    <w:rsid w:val="1D4A4B12"/>
    <w:rsid w:val="1DB62E2E"/>
    <w:rsid w:val="1E0D0FBE"/>
    <w:rsid w:val="1E753AFD"/>
    <w:rsid w:val="1F5C3FAB"/>
    <w:rsid w:val="1F6F787D"/>
    <w:rsid w:val="1FA30D6D"/>
    <w:rsid w:val="1FEA5A5B"/>
    <w:rsid w:val="20141E2D"/>
    <w:rsid w:val="2035390D"/>
    <w:rsid w:val="207A1985"/>
    <w:rsid w:val="20A41B57"/>
    <w:rsid w:val="20B75F78"/>
    <w:rsid w:val="2125070E"/>
    <w:rsid w:val="212D6B7C"/>
    <w:rsid w:val="216E39A4"/>
    <w:rsid w:val="22055633"/>
    <w:rsid w:val="222907BE"/>
    <w:rsid w:val="223E0DB0"/>
    <w:rsid w:val="22602008"/>
    <w:rsid w:val="227036B8"/>
    <w:rsid w:val="22AD273C"/>
    <w:rsid w:val="22C62CF4"/>
    <w:rsid w:val="22FA4207"/>
    <w:rsid w:val="23A06120"/>
    <w:rsid w:val="23AC3ABD"/>
    <w:rsid w:val="23D1648D"/>
    <w:rsid w:val="246B437F"/>
    <w:rsid w:val="248D5FC1"/>
    <w:rsid w:val="24AA6654"/>
    <w:rsid w:val="25070D37"/>
    <w:rsid w:val="250A3135"/>
    <w:rsid w:val="25127EC9"/>
    <w:rsid w:val="25873916"/>
    <w:rsid w:val="25941224"/>
    <w:rsid w:val="265577FD"/>
    <w:rsid w:val="26AD27CC"/>
    <w:rsid w:val="27223D2C"/>
    <w:rsid w:val="28093668"/>
    <w:rsid w:val="284B0D66"/>
    <w:rsid w:val="286D408E"/>
    <w:rsid w:val="286E02B3"/>
    <w:rsid w:val="28814A83"/>
    <w:rsid w:val="289018A6"/>
    <w:rsid w:val="28AC24C6"/>
    <w:rsid w:val="28CD7B64"/>
    <w:rsid w:val="28DA73F5"/>
    <w:rsid w:val="297B3849"/>
    <w:rsid w:val="298001BF"/>
    <w:rsid w:val="29AE6B2F"/>
    <w:rsid w:val="29BD1AEA"/>
    <w:rsid w:val="2A4276AF"/>
    <w:rsid w:val="2A7B69A9"/>
    <w:rsid w:val="2A947DE8"/>
    <w:rsid w:val="2A9E4307"/>
    <w:rsid w:val="2AEA2DB3"/>
    <w:rsid w:val="2B163BA8"/>
    <w:rsid w:val="2B382728"/>
    <w:rsid w:val="2B5E4C51"/>
    <w:rsid w:val="2B7129F4"/>
    <w:rsid w:val="2BBD2276"/>
    <w:rsid w:val="2BFE33E2"/>
    <w:rsid w:val="2C437642"/>
    <w:rsid w:val="2C4955AF"/>
    <w:rsid w:val="2C892158"/>
    <w:rsid w:val="2CFC2BFE"/>
    <w:rsid w:val="2D4F50B7"/>
    <w:rsid w:val="2D81695F"/>
    <w:rsid w:val="2D89631C"/>
    <w:rsid w:val="2DB149E8"/>
    <w:rsid w:val="2DDB1DA3"/>
    <w:rsid w:val="2DF46565"/>
    <w:rsid w:val="2E2F6C9B"/>
    <w:rsid w:val="2EBD59CF"/>
    <w:rsid w:val="2F071B18"/>
    <w:rsid w:val="2F5A49A3"/>
    <w:rsid w:val="2F646705"/>
    <w:rsid w:val="2FBB4D1E"/>
    <w:rsid w:val="301164E2"/>
    <w:rsid w:val="30AB47A7"/>
    <w:rsid w:val="30FB5744"/>
    <w:rsid w:val="30FD40AA"/>
    <w:rsid w:val="30FD4EC2"/>
    <w:rsid w:val="31126BC0"/>
    <w:rsid w:val="31267AAE"/>
    <w:rsid w:val="31444881"/>
    <w:rsid w:val="314D028A"/>
    <w:rsid w:val="31CA749A"/>
    <w:rsid w:val="31E676C8"/>
    <w:rsid w:val="3202189B"/>
    <w:rsid w:val="320A66A5"/>
    <w:rsid w:val="322F554F"/>
    <w:rsid w:val="32C91500"/>
    <w:rsid w:val="32D27B67"/>
    <w:rsid w:val="334C1F0A"/>
    <w:rsid w:val="33B915C6"/>
    <w:rsid w:val="34237336"/>
    <w:rsid w:val="34266DEB"/>
    <w:rsid w:val="3491604D"/>
    <w:rsid w:val="34A46A8E"/>
    <w:rsid w:val="34AC627E"/>
    <w:rsid w:val="34DE113B"/>
    <w:rsid w:val="34E95E89"/>
    <w:rsid w:val="352805DA"/>
    <w:rsid w:val="355530AA"/>
    <w:rsid w:val="355D42FC"/>
    <w:rsid w:val="355E7835"/>
    <w:rsid w:val="35646712"/>
    <w:rsid w:val="35D13A3C"/>
    <w:rsid w:val="360016DD"/>
    <w:rsid w:val="361000EE"/>
    <w:rsid w:val="3623361D"/>
    <w:rsid w:val="364631D7"/>
    <w:rsid w:val="3688292B"/>
    <w:rsid w:val="36890EF7"/>
    <w:rsid w:val="368928C2"/>
    <w:rsid w:val="36C86BF9"/>
    <w:rsid w:val="36DB257F"/>
    <w:rsid w:val="36E0506A"/>
    <w:rsid w:val="36E55870"/>
    <w:rsid w:val="36FA3F13"/>
    <w:rsid w:val="374D1701"/>
    <w:rsid w:val="37623CD1"/>
    <w:rsid w:val="37850378"/>
    <w:rsid w:val="37D51F88"/>
    <w:rsid w:val="38065969"/>
    <w:rsid w:val="380E11B5"/>
    <w:rsid w:val="38224438"/>
    <w:rsid w:val="385578DD"/>
    <w:rsid w:val="389E4A58"/>
    <w:rsid w:val="38CA6DC7"/>
    <w:rsid w:val="38F00B77"/>
    <w:rsid w:val="390B0C5E"/>
    <w:rsid w:val="39684950"/>
    <w:rsid w:val="39A34800"/>
    <w:rsid w:val="39B57C6A"/>
    <w:rsid w:val="39DF350D"/>
    <w:rsid w:val="3A025137"/>
    <w:rsid w:val="3A0D3672"/>
    <w:rsid w:val="3A940645"/>
    <w:rsid w:val="3AA77E3B"/>
    <w:rsid w:val="3AB03A41"/>
    <w:rsid w:val="3AC86541"/>
    <w:rsid w:val="3B1F29B6"/>
    <w:rsid w:val="3B443718"/>
    <w:rsid w:val="3BA71F2B"/>
    <w:rsid w:val="3C234450"/>
    <w:rsid w:val="3C633344"/>
    <w:rsid w:val="3D060D95"/>
    <w:rsid w:val="3D246484"/>
    <w:rsid w:val="3D604F23"/>
    <w:rsid w:val="3D9E13E7"/>
    <w:rsid w:val="3DBA6D6D"/>
    <w:rsid w:val="3E375EB7"/>
    <w:rsid w:val="3E9B4320"/>
    <w:rsid w:val="3EBA2645"/>
    <w:rsid w:val="3EF83BC6"/>
    <w:rsid w:val="3F5B255F"/>
    <w:rsid w:val="3F6F1E30"/>
    <w:rsid w:val="3F8213B4"/>
    <w:rsid w:val="3FB72902"/>
    <w:rsid w:val="40550877"/>
    <w:rsid w:val="40DC5A18"/>
    <w:rsid w:val="40EB41E2"/>
    <w:rsid w:val="41410D52"/>
    <w:rsid w:val="415305A0"/>
    <w:rsid w:val="4183060E"/>
    <w:rsid w:val="41863429"/>
    <w:rsid w:val="41CA0DF1"/>
    <w:rsid w:val="41F4275B"/>
    <w:rsid w:val="42083B1B"/>
    <w:rsid w:val="424F13FD"/>
    <w:rsid w:val="42BC0B52"/>
    <w:rsid w:val="42E6560B"/>
    <w:rsid w:val="43B50E83"/>
    <w:rsid w:val="4482063F"/>
    <w:rsid w:val="44A27BED"/>
    <w:rsid w:val="44C45FCB"/>
    <w:rsid w:val="44C77AAC"/>
    <w:rsid w:val="456C22D6"/>
    <w:rsid w:val="459D251C"/>
    <w:rsid w:val="45DA7613"/>
    <w:rsid w:val="45EC0586"/>
    <w:rsid w:val="460320FD"/>
    <w:rsid w:val="4687710A"/>
    <w:rsid w:val="46E22723"/>
    <w:rsid w:val="475573AE"/>
    <w:rsid w:val="476F0470"/>
    <w:rsid w:val="478101A3"/>
    <w:rsid w:val="47B656EC"/>
    <w:rsid w:val="47D13163"/>
    <w:rsid w:val="482A4397"/>
    <w:rsid w:val="48EC035B"/>
    <w:rsid w:val="490715C7"/>
    <w:rsid w:val="49172B6D"/>
    <w:rsid w:val="492E0DFE"/>
    <w:rsid w:val="49313AF9"/>
    <w:rsid w:val="4931445C"/>
    <w:rsid w:val="4933371F"/>
    <w:rsid w:val="49514A8C"/>
    <w:rsid w:val="49900B72"/>
    <w:rsid w:val="49A11F60"/>
    <w:rsid w:val="4A010F2E"/>
    <w:rsid w:val="4A1A5044"/>
    <w:rsid w:val="4A224AAB"/>
    <w:rsid w:val="4A3E05CE"/>
    <w:rsid w:val="4A977611"/>
    <w:rsid w:val="4AC578F8"/>
    <w:rsid w:val="4ACF1226"/>
    <w:rsid w:val="4B3E33A3"/>
    <w:rsid w:val="4B641F01"/>
    <w:rsid w:val="4BB01057"/>
    <w:rsid w:val="4BBB3648"/>
    <w:rsid w:val="4BC8467F"/>
    <w:rsid w:val="4BE42812"/>
    <w:rsid w:val="4C0513A3"/>
    <w:rsid w:val="4C0D2006"/>
    <w:rsid w:val="4CCE2A6C"/>
    <w:rsid w:val="4CCF375F"/>
    <w:rsid w:val="4CFB049C"/>
    <w:rsid w:val="4CFE53E3"/>
    <w:rsid w:val="4D06388C"/>
    <w:rsid w:val="4D1203EE"/>
    <w:rsid w:val="4D267823"/>
    <w:rsid w:val="4D9D6E87"/>
    <w:rsid w:val="4DFD4457"/>
    <w:rsid w:val="4E6B5986"/>
    <w:rsid w:val="4E8924B7"/>
    <w:rsid w:val="4ED82D9F"/>
    <w:rsid w:val="4F0A4599"/>
    <w:rsid w:val="4F177B13"/>
    <w:rsid w:val="4F1B4F8F"/>
    <w:rsid w:val="4F581B68"/>
    <w:rsid w:val="4F5F72FE"/>
    <w:rsid w:val="4F9662AF"/>
    <w:rsid w:val="4FE17411"/>
    <w:rsid w:val="4FE63648"/>
    <w:rsid w:val="4FF954B0"/>
    <w:rsid w:val="501036E9"/>
    <w:rsid w:val="503B1D58"/>
    <w:rsid w:val="5105515C"/>
    <w:rsid w:val="512A47D7"/>
    <w:rsid w:val="514C7451"/>
    <w:rsid w:val="515D7E0E"/>
    <w:rsid w:val="51964EBE"/>
    <w:rsid w:val="51DD7ACF"/>
    <w:rsid w:val="51E33768"/>
    <w:rsid w:val="528B5F99"/>
    <w:rsid w:val="52F368EA"/>
    <w:rsid w:val="5314221C"/>
    <w:rsid w:val="53624CAE"/>
    <w:rsid w:val="53CE7CE3"/>
    <w:rsid w:val="53DF5D8C"/>
    <w:rsid w:val="54196C13"/>
    <w:rsid w:val="54615848"/>
    <w:rsid w:val="546926EB"/>
    <w:rsid w:val="54F06565"/>
    <w:rsid w:val="55461CD0"/>
    <w:rsid w:val="55562C6F"/>
    <w:rsid w:val="559A0800"/>
    <w:rsid w:val="55BD2CEE"/>
    <w:rsid w:val="562C4293"/>
    <w:rsid w:val="567012E7"/>
    <w:rsid w:val="56876E58"/>
    <w:rsid w:val="56B37004"/>
    <w:rsid w:val="56E6127C"/>
    <w:rsid w:val="571B04AD"/>
    <w:rsid w:val="57392849"/>
    <w:rsid w:val="576A47B0"/>
    <w:rsid w:val="578E3178"/>
    <w:rsid w:val="57C739B1"/>
    <w:rsid w:val="57F75816"/>
    <w:rsid w:val="580659AE"/>
    <w:rsid w:val="589477E8"/>
    <w:rsid w:val="589C308F"/>
    <w:rsid w:val="592B73FA"/>
    <w:rsid w:val="59367EC7"/>
    <w:rsid w:val="59633BAD"/>
    <w:rsid w:val="59FB128F"/>
    <w:rsid w:val="5A0B7CD0"/>
    <w:rsid w:val="5A455D9B"/>
    <w:rsid w:val="5A8E6A07"/>
    <w:rsid w:val="5AA72721"/>
    <w:rsid w:val="5AE60011"/>
    <w:rsid w:val="5B37709F"/>
    <w:rsid w:val="5BB0235D"/>
    <w:rsid w:val="5BE12FA3"/>
    <w:rsid w:val="5BE37C7D"/>
    <w:rsid w:val="5C4D6613"/>
    <w:rsid w:val="5C917C8F"/>
    <w:rsid w:val="5C936557"/>
    <w:rsid w:val="5D52369F"/>
    <w:rsid w:val="5D7E0FB5"/>
    <w:rsid w:val="5D8866EC"/>
    <w:rsid w:val="5D967CCA"/>
    <w:rsid w:val="5D9B2DBB"/>
    <w:rsid w:val="5DAE1741"/>
    <w:rsid w:val="5E3E0B9A"/>
    <w:rsid w:val="5EBF421E"/>
    <w:rsid w:val="5FE73417"/>
    <w:rsid w:val="60011A2A"/>
    <w:rsid w:val="600E5712"/>
    <w:rsid w:val="605B6755"/>
    <w:rsid w:val="608F64D8"/>
    <w:rsid w:val="60974DF7"/>
    <w:rsid w:val="60F8107F"/>
    <w:rsid w:val="621A4CCD"/>
    <w:rsid w:val="62297FF7"/>
    <w:rsid w:val="62716746"/>
    <w:rsid w:val="62B13874"/>
    <w:rsid w:val="62C57A58"/>
    <w:rsid w:val="62D943E0"/>
    <w:rsid w:val="62F647CF"/>
    <w:rsid w:val="635A1B7D"/>
    <w:rsid w:val="63672753"/>
    <w:rsid w:val="6372336A"/>
    <w:rsid w:val="638E0D2F"/>
    <w:rsid w:val="63AD0583"/>
    <w:rsid w:val="64632CB3"/>
    <w:rsid w:val="64786EB7"/>
    <w:rsid w:val="64A010A4"/>
    <w:rsid w:val="64D651F4"/>
    <w:rsid w:val="653B5B23"/>
    <w:rsid w:val="657E2BA4"/>
    <w:rsid w:val="65E62E7A"/>
    <w:rsid w:val="6651045E"/>
    <w:rsid w:val="66EC7F6C"/>
    <w:rsid w:val="66F2338B"/>
    <w:rsid w:val="67402739"/>
    <w:rsid w:val="67BB5990"/>
    <w:rsid w:val="67F105D6"/>
    <w:rsid w:val="681A3036"/>
    <w:rsid w:val="68DB72BC"/>
    <w:rsid w:val="68F13272"/>
    <w:rsid w:val="690A5DF3"/>
    <w:rsid w:val="691E27F7"/>
    <w:rsid w:val="69683870"/>
    <w:rsid w:val="699110D7"/>
    <w:rsid w:val="69EC5DE8"/>
    <w:rsid w:val="69F452BC"/>
    <w:rsid w:val="69F85BB3"/>
    <w:rsid w:val="6A210462"/>
    <w:rsid w:val="6A241D9D"/>
    <w:rsid w:val="6A942593"/>
    <w:rsid w:val="6AAD178D"/>
    <w:rsid w:val="6AB73874"/>
    <w:rsid w:val="6B7439F8"/>
    <w:rsid w:val="6B863082"/>
    <w:rsid w:val="6BA14108"/>
    <w:rsid w:val="6BFF7765"/>
    <w:rsid w:val="6C12075B"/>
    <w:rsid w:val="6C33653A"/>
    <w:rsid w:val="6C567ACE"/>
    <w:rsid w:val="6C5F620F"/>
    <w:rsid w:val="6C762F3B"/>
    <w:rsid w:val="6CC649E7"/>
    <w:rsid w:val="6D27431E"/>
    <w:rsid w:val="6D593B65"/>
    <w:rsid w:val="6DC2298A"/>
    <w:rsid w:val="6DDA5CDD"/>
    <w:rsid w:val="6E661C4B"/>
    <w:rsid w:val="6E737F96"/>
    <w:rsid w:val="6EB570F1"/>
    <w:rsid w:val="6EB74327"/>
    <w:rsid w:val="6EF54E4F"/>
    <w:rsid w:val="6F5F71DE"/>
    <w:rsid w:val="6F77163A"/>
    <w:rsid w:val="6FC4095F"/>
    <w:rsid w:val="6FFD4727"/>
    <w:rsid w:val="7016507D"/>
    <w:rsid w:val="70553DF8"/>
    <w:rsid w:val="707D1C40"/>
    <w:rsid w:val="7086127D"/>
    <w:rsid w:val="70C943AC"/>
    <w:rsid w:val="70F45895"/>
    <w:rsid w:val="711D41EA"/>
    <w:rsid w:val="713B2DF3"/>
    <w:rsid w:val="717958C4"/>
    <w:rsid w:val="71EF23D9"/>
    <w:rsid w:val="724A45D8"/>
    <w:rsid w:val="72603664"/>
    <w:rsid w:val="728313C6"/>
    <w:rsid w:val="72AA0928"/>
    <w:rsid w:val="73597B32"/>
    <w:rsid w:val="7362231C"/>
    <w:rsid w:val="73A409FB"/>
    <w:rsid w:val="73A66718"/>
    <w:rsid w:val="74177616"/>
    <w:rsid w:val="742F670E"/>
    <w:rsid w:val="7441037B"/>
    <w:rsid w:val="745028BB"/>
    <w:rsid w:val="74825555"/>
    <w:rsid w:val="750648B2"/>
    <w:rsid w:val="751D3132"/>
    <w:rsid w:val="75CF1E94"/>
    <w:rsid w:val="764E578E"/>
    <w:rsid w:val="766975F4"/>
    <w:rsid w:val="76AE7BE8"/>
    <w:rsid w:val="76B146A9"/>
    <w:rsid w:val="76B37127"/>
    <w:rsid w:val="76D14890"/>
    <w:rsid w:val="771F0CBB"/>
    <w:rsid w:val="77281627"/>
    <w:rsid w:val="773C1CB6"/>
    <w:rsid w:val="77A2369A"/>
    <w:rsid w:val="783B7DD5"/>
    <w:rsid w:val="78930E2C"/>
    <w:rsid w:val="78C22246"/>
    <w:rsid w:val="78E53565"/>
    <w:rsid w:val="78FD1E3E"/>
    <w:rsid w:val="790D22C6"/>
    <w:rsid w:val="796C6890"/>
    <w:rsid w:val="79F24465"/>
    <w:rsid w:val="79F44E2E"/>
    <w:rsid w:val="79FE1940"/>
    <w:rsid w:val="7A087E4F"/>
    <w:rsid w:val="7A287E87"/>
    <w:rsid w:val="7A2F68BA"/>
    <w:rsid w:val="7A4831E2"/>
    <w:rsid w:val="7A583B2A"/>
    <w:rsid w:val="7A5E1AFB"/>
    <w:rsid w:val="7A666C01"/>
    <w:rsid w:val="7A6D7F90"/>
    <w:rsid w:val="7ADD216B"/>
    <w:rsid w:val="7AE40AEA"/>
    <w:rsid w:val="7AEC35AA"/>
    <w:rsid w:val="7B705F89"/>
    <w:rsid w:val="7B8F3F36"/>
    <w:rsid w:val="7B96103C"/>
    <w:rsid w:val="7BBA49A3"/>
    <w:rsid w:val="7BD008BB"/>
    <w:rsid w:val="7BDC53CD"/>
    <w:rsid w:val="7C093CE8"/>
    <w:rsid w:val="7C69271F"/>
    <w:rsid w:val="7C7F6AF7"/>
    <w:rsid w:val="7C9931A2"/>
    <w:rsid w:val="7CE7709B"/>
    <w:rsid w:val="7D052D9F"/>
    <w:rsid w:val="7D630A43"/>
    <w:rsid w:val="7D6457E7"/>
    <w:rsid w:val="7D990506"/>
    <w:rsid w:val="7EC1023D"/>
    <w:rsid w:val="7EF36664"/>
    <w:rsid w:val="7EFB200E"/>
    <w:rsid w:val="7F1B5BE6"/>
    <w:rsid w:val="7F370B6C"/>
    <w:rsid w:val="7F5F6799"/>
    <w:rsid w:val="7F6C4CBA"/>
    <w:rsid w:val="7FCA0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9"/>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3">
    <w:name w:val="heading 2"/>
    <w:basedOn w:val="1"/>
    <w:next w:val="1"/>
    <w:link w:val="57"/>
    <w:autoRedefine/>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4">
    <w:name w:val="heading 3"/>
    <w:basedOn w:val="1"/>
    <w:next w:val="1"/>
    <w:link w:val="153"/>
    <w:autoRedefine/>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59"/>
    <w:autoRedefine/>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41"/>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51"/>
    <w:autoRedefine/>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62"/>
    <w:autoRedefine/>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63"/>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64"/>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8">
    <w:name w:val="模板正文"/>
    <w:basedOn w:val="1"/>
    <w:link w:val="103"/>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toc 7"/>
    <w:basedOn w:val="1"/>
    <w:next w:val="1"/>
    <w:autoRedefine/>
    <w:unhideWhenUsed/>
    <w:qFormat/>
    <w:uiPriority w:val="39"/>
    <w:pPr>
      <w:ind w:left="2520" w:leftChars="1200"/>
    </w:pPr>
  </w:style>
  <w:style w:type="paragraph" w:styleId="13">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92"/>
    <w:autoRedefine/>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25"/>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172"/>
    <w:autoRedefine/>
    <w:unhideWhenUsed/>
    <w:qFormat/>
    <w:uiPriority w:val="99"/>
    <w:pPr>
      <w:jc w:val="left"/>
    </w:pPr>
    <w:rPr>
      <w:rFonts w:hint="eastAsia" w:ascii="等线" w:hAnsi="等线" w:eastAsia="等线" w:cs="Times New Roman"/>
    </w:rPr>
  </w:style>
  <w:style w:type="paragraph" w:styleId="18">
    <w:name w:val="Body Text 3"/>
    <w:basedOn w:val="1"/>
    <w:link w:val="165"/>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w:basedOn w:val="1"/>
    <w:next w:val="1"/>
    <w:link w:val="127"/>
    <w:autoRedefine/>
    <w:qFormat/>
    <w:uiPriority w:val="99"/>
    <w:pPr>
      <w:autoSpaceDE w:val="0"/>
      <w:autoSpaceDN w:val="0"/>
      <w:adjustRightInd w:val="0"/>
      <w:ind w:right="-26"/>
      <w:jc w:val="center"/>
    </w:pPr>
    <w:rPr>
      <w:rFonts w:ascii="宋体" w:eastAsia="宋体"/>
      <w:b/>
      <w:bCs/>
      <w:sz w:val="84"/>
      <w:szCs w:val="84"/>
      <w:lang w:val="zh-CN"/>
    </w:rPr>
  </w:style>
  <w:style w:type="paragraph" w:styleId="20">
    <w:name w:val="Body Text Indent"/>
    <w:basedOn w:val="1"/>
    <w:link w:val="101"/>
    <w:autoRedefine/>
    <w:qFormat/>
    <w:uiPriority w:val="0"/>
    <w:pPr>
      <w:ind w:left="567" w:leftChars="270"/>
    </w:pPr>
    <w:rPr>
      <w:rFonts w:ascii="Times New Roman" w:hAnsi="Times New Roman" w:eastAsia="宋体" w:cs="Times New Roman"/>
      <w:szCs w:val="20"/>
    </w:rPr>
  </w:style>
  <w:style w:type="paragraph" w:styleId="21">
    <w:name w:val="toc 5"/>
    <w:basedOn w:val="1"/>
    <w:next w:val="1"/>
    <w:autoRedefine/>
    <w:unhideWhenUsed/>
    <w:qFormat/>
    <w:uiPriority w:val="39"/>
    <w:pPr>
      <w:ind w:left="1680" w:leftChars="800"/>
    </w:pPr>
  </w:style>
  <w:style w:type="paragraph" w:styleId="22">
    <w:name w:val="toc 3"/>
    <w:basedOn w:val="1"/>
    <w:next w:val="1"/>
    <w:autoRedefine/>
    <w:unhideWhenUsed/>
    <w:qFormat/>
    <w:uiPriority w:val="39"/>
    <w:pPr>
      <w:tabs>
        <w:tab w:val="right" w:leader="dot" w:pos="10144"/>
      </w:tabs>
      <w:ind w:left="840" w:leftChars="400"/>
    </w:pPr>
  </w:style>
  <w:style w:type="paragraph" w:styleId="23">
    <w:name w:val="Plain Text"/>
    <w:basedOn w:val="1"/>
    <w:link w:val="109"/>
    <w:autoRedefine/>
    <w:qFormat/>
    <w:uiPriority w:val="0"/>
    <w:rPr>
      <w:rFonts w:ascii="宋体" w:hAnsi="Courier New" w:eastAsia="宋体"/>
    </w:rPr>
  </w:style>
  <w:style w:type="paragraph" w:styleId="24">
    <w:name w:val="toc 8"/>
    <w:basedOn w:val="1"/>
    <w:next w:val="1"/>
    <w:autoRedefine/>
    <w:unhideWhenUsed/>
    <w:qFormat/>
    <w:uiPriority w:val="39"/>
    <w:pPr>
      <w:ind w:left="2940" w:leftChars="1400"/>
    </w:pPr>
  </w:style>
  <w:style w:type="paragraph" w:styleId="25">
    <w:name w:val="Date"/>
    <w:basedOn w:val="1"/>
    <w:next w:val="1"/>
    <w:link w:val="117"/>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6">
    <w:name w:val="Body Text Indent 2"/>
    <w:basedOn w:val="1"/>
    <w:link w:val="110"/>
    <w:autoRedefine/>
    <w:qFormat/>
    <w:uiPriority w:val="0"/>
    <w:pPr>
      <w:tabs>
        <w:tab w:val="left" w:pos="8640"/>
      </w:tabs>
      <w:ind w:left="1260"/>
    </w:pPr>
    <w:rPr>
      <w:rFonts w:ascii="宋体" w:hAnsi="Times New Roman" w:eastAsia="宋体" w:cs="Times New Roman"/>
      <w:szCs w:val="20"/>
    </w:rPr>
  </w:style>
  <w:style w:type="paragraph" w:styleId="27">
    <w:name w:val="Balloon Text"/>
    <w:basedOn w:val="1"/>
    <w:link w:val="83"/>
    <w:autoRedefine/>
    <w:qFormat/>
    <w:uiPriority w:val="0"/>
    <w:rPr>
      <w:rFonts w:ascii="Times New Roman" w:hAnsi="Times New Roman" w:eastAsia="宋体" w:cs="Times New Roman"/>
      <w:sz w:val="18"/>
      <w:szCs w:val="18"/>
    </w:rPr>
  </w:style>
  <w:style w:type="paragraph" w:styleId="28">
    <w:name w:val="footer"/>
    <w:basedOn w:val="1"/>
    <w:link w:val="212"/>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9">
    <w:name w:val="header"/>
    <w:basedOn w:val="1"/>
    <w:link w:val="129"/>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30">
    <w:name w:val="toc 1"/>
    <w:basedOn w:val="1"/>
    <w:next w:val="1"/>
    <w:autoRedefine/>
    <w:unhideWhenUsed/>
    <w:qFormat/>
    <w:uiPriority w:val="39"/>
  </w:style>
  <w:style w:type="paragraph" w:styleId="31">
    <w:name w:val="toc 4"/>
    <w:basedOn w:val="1"/>
    <w:next w:val="1"/>
    <w:autoRedefine/>
    <w:unhideWhenUsed/>
    <w:qFormat/>
    <w:uiPriority w:val="39"/>
    <w:pPr>
      <w:ind w:left="1260" w:leftChars="600"/>
    </w:pPr>
  </w:style>
  <w:style w:type="paragraph" w:styleId="32">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3">
    <w:name w:val="toc 6"/>
    <w:basedOn w:val="1"/>
    <w:next w:val="1"/>
    <w:autoRedefine/>
    <w:unhideWhenUsed/>
    <w:qFormat/>
    <w:uiPriority w:val="39"/>
    <w:pPr>
      <w:ind w:left="2100" w:leftChars="1000"/>
    </w:pPr>
  </w:style>
  <w:style w:type="paragraph" w:styleId="34">
    <w:name w:val="Body Text Indent 3"/>
    <w:basedOn w:val="1"/>
    <w:link w:val="163"/>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5">
    <w:name w:val="toc 2"/>
    <w:basedOn w:val="1"/>
    <w:next w:val="1"/>
    <w:autoRedefine/>
    <w:unhideWhenUsed/>
    <w:qFormat/>
    <w:uiPriority w:val="39"/>
    <w:pPr>
      <w:ind w:left="420" w:leftChars="200"/>
    </w:pPr>
  </w:style>
  <w:style w:type="paragraph" w:styleId="36">
    <w:name w:val="toc 9"/>
    <w:basedOn w:val="1"/>
    <w:next w:val="1"/>
    <w:autoRedefine/>
    <w:unhideWhenUsed/>
    <w:qFormat/>
    <w:uiPriority w:val="39"/>
    <w:pPr>
      <w:ind w:left="3360" w:leftChars="1600"/>
    </w:pPr>
  </w:style>
  <w:style w:type="paragraph" w:styleId="37">
    <w:name w:val="Body Text 2"/>
    <w:basedOn w:val="1"/>
    <w:link w:val="152"/>
    <w:autoRedefine/>
    <w:qFormat/>
    <w:uiPriority w:val="0"/>
    <w:pPr>
      <w:tabs>
        <w:tab w:val="left" w:pos="0"/>
      </w:tabs>
      <w:spacing w:line="400" w:lineRule="atLeast"/>
    </w:pPr>
    <w:rPr>
      <w:rFonts w:ascii="Arial" w:hAnsi="Arial" w:eastAsia="宋体" w:cs="Times New Roman"/>
      <w:color w:val="000000"/>
      <w:szCs w:val="24"/>
    </w:rPr>
  </w:style>
  <w:style w:type="paragraph" w:styleId="38">
    <w:name w:val="HTML Preformatted"/>
    <w:basedOn w:val="1"/>
    <w:link w:val="95"/>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9">
    <w:name w:val="Normal (Web)"/>
    <w:basedOn w:val="1"/>
    <w:link w:val="102"/>
    <w:autoRedefine/>
    <w:qFormat/>
    <w:uiPriority w:val="0"/>
    <w:pPr>
      <w:widowControl/>
      <w:spacing w:before="100" w:beforeAutospacing="1" w:after="100" w:afterAutospacing="1"/>
      <w:jc w:val="left"/>
    </w:pPr>
    <w:rPr>
      <w:rFonts w:ascii="宋体" w:hAnsi="宋体"/>
      <w:sz w:val="15"/>
      <w:szCs w:val="15"/>
    </w:rPr>
  </w:style>
  <w:style w:type="paragraph" w:styleId="40">
    <w:name w:val="Title"/>
    <w:basedOn w:val="1"/>
    <w:next w:val="1"/>
    <w:link w:val="67"/>
    <w:autoRedefine/>
    <w:qFormat/>
    <w:uiPriority w:val="10"/>
    <w:pPr>
      <w:spacing w:before="120" w:after="60" w:line="300" w:lineRule="auto"/>
      <w:jc w:val="left"/>
      <w:outlineLvl w:val="0"/>
    </w:pPr>
    <w:rPr>
      <w:rFonts w:ascii="等线 Light" w:hAnsi="等线 Light" w:eastAsia="仿宋"/>
      <w:b/>
      <w:bCs/>
      <w:sz w:val="28"/>
      <w:szCs w:val="32"/>
    </w:rPr>
  </w:style>
  <w:style w:type="paragraph" w:styleId="41">
    <w:name w:val="annotation subject"/>
    <w:basedOn w:val="17"/>
    <w:next w:val="17"/>
    <w:link w:val="119"/>
    <w:autoRedefine/>
    <w:qFormat/>
    <w:uiPriority w:val="99"/>
    <w:pPr>
      <w:autoSpaceDE w:val="0"/>
      <w:autoSpaceDN w:val="0"/>
      <w:adjustRightInd w:val="0"/>
    </w:pPr>
    <w:rPr>
      <w:rFonts w:ascii="宋体" w:hAnsi="Times New Roman" w:eastAsia="宋体"/>
      <w:b/>
      <w:bCs/>
      <w:kern w:val="0"/>
      <w:sz w:val="24"/>
      <w:szCs w:val="24"/>
    </w:rPr>
  </w:style>
  <w:style w:type="paragraph" w:styleId="42">
    <w:name w:val="Body Text First Indent"/>
    <w:basedOn w:val="19"/>
    <w:link w:val="210"/>
    <w:autoRedefine/>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43">
    <w:name w:val="Body Text First Indent 2"/>
    <w:qFormat/>
    <w:uiPriority w:val="0"/>
    <w:pPr>
      <w:widowControl w:val="0"/>
      <w:tabs>
        <w:tab w:val="left" w:pos="1218"/>
        <w:tab w:val="left" w:pos="3544"/>
      </w:tabs>
      <w:adjustRightInd w:val="0"/>
      <w:snapToGrid w:val="0"/>
      <w:spacing w:line="300" w:lineRule="auto"/>
      <w:ind w:left="567" w:leftChars="270" w:firstLine="420"/>
      <w:jc w:val="both"/>
    </w:pPr>
    <w:rPr>
      <w:rFonts w:ascii="Times New Roman" w:hAnsi="Times New Roman" w:eastAsia="宋体" w:cs="Times New Roman"/>
      <w:kern w:val="2"/>
      <w:sz w:val="21"/>
      <w:szCs w:val="28"/>
      <w:lang w:val="en-US" w:eastAsia="zh-CN" w:bidi="ar-SA"/>
    </w:rPr>
  </w:style>
  <w:style w:type="table" w:styleId="45">
    <w:name w:val="Table Grid"/>
    <w:basedOn w:val="44"/>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uiPriority w:val="0"/>
    <w:rPr>
      <w:b/>
      <w:bCs/>
    </w:rPr>
  </w:style>
  <w:style w:type="character" w:styleId="48">
    <w:name w:val="page number"/>
    <w:basedOn w:val="46"/>
    <w:qFormat/>
    <w:uiPriority w:val="0"/>
  </w:style>
  <w:style w:type="character" w:styleId="49">
    <w:name w:val="FollowedHyperlink"/>
    <w:autoRedefine/>
    <w:unhideWhenUsed/>
    <w:qFormat/>
    <w:uiPriority w:val="99"/>
    <w:rPr>
      <w:color w:val="954F72"/>
      <w:u w:val="single"/>
    </w:rPr>
  </w:style>
  <w:style w:type="character" w:styleId="50">
    <w:name w:val="Emphasis"/>
    <w:autoRedefine/>
    <w:qFormat/>
    <w:uiPriority w:val="0"/>
    <w:rPr>
      <w:i/>
      <w:iCs/>
    </w:rPr>
  </w:style>
  <w:style w:type="character" w:styleId="51">
    <w:name w:val="Hyperlink"/>
    <w:autoRedefine/>
    <w:qFormat/>
    <w:uiPriority w:val="99"/>
    <w:rPr>
      <w:rFonts w:hint="default" w:ascii="Arial" w:hAnsi="Arial" w:cs="Arial"/>
      <w:color w:val="000000"/>
      <w:sz w:val="20"/>
      <w:szCs w:val="20"/>
      <w:u w:val="none"/>
    </w:rPr>
  </w:style>
  <w:style w:type="character" w:styleId="52">
    <w:name w:val="HTML Code"/>
    <w:basedOn w:val="46"/>
    <w:semiHidden/>
    <w:unhideWhenUsed/>
    <w:qFormat/>
    <w:uiPriority w:val="99"/>
    <w:rPr>
      <w:rFonts w:ascii="Courier New" w:hAnsi="Courier New"/>
      <w:sz w:val="20"/>
    </w:rPr>
  </w:style>
  <w:style w:type="character" w:styleId="53">
    <w:name w:val="annotation reference"/>
    <w:basedOn w:val="46"/>
    <w:autoRedefine/>
    <w:qFormat/>
    <w:uiPriority w:val="99"/>
    <w:rPr>
      <w:sz w:val="21"/>
      <w:szCs w:val="21"/>
    </w:rPr>
  </w:style>
  <w:style w:type="paragraph" w:customStyle="1" w:styleId="54">
    <w:name w:val="文档正文"/>
    <w:basedOn w:val="1"/>
    <w:qFormat/>
    <w:uiPriority w:val="0"/>
    <w:pPr>
      <w:keepNext w:val="0"/>
      <w:keepLines w:val="0"/>
      <w:widowControl w:val="0"/>
      <w:suppressLineNumbers w:val="0"/>
      <w:autoSpaceDE w:val="0"/>
      <w:autoSpaceDN w:val="0"/>
      <w:adjustRightInd w:val="0"/>
      <w:spacing w:before="0" w:beforeAutospacing="0" w:after="0" w:afterAutospacing="0" w:line="360" w:lineRule="auto"/>
      <w:ind w:left="0" w:right="0"/>
      <w:jc w:val="left"/>
    </w:pPr>
    <w:rPr>
      <w:rFonts w:hint="eastAsia" w:ascii="宋体" w:hAnsi="Times New Roman" w:eastAsia="宋体" w:cs="Arial"/>
      <w:bCs/>
      <w:kern w:val="0"/>
      <w:sz w:val="24"/>
      <w:szCs w:val="24"/>
      <w:lang w:val="en-US" w:eastAsia="zh-CN" w:bidi="ar"/>
    </w:rPr>
  </w:style>
  <w:style w:type="paragraph" w:customStyle="1" w:styleId="55">
    <w:name w:val="首行缩进"/>
    <w:basedOn w:val="1"/>
    <w:autoRedefine/>
    <w:qFormat/>
    <w:uiPriority w:val="0"/>
    <w:pPr>
      <w:ind w:firstLine="480" w:firstLineChars="200"/>
    </w:pPr>
    <w:rPr>
      <w:lang w:val="zh-CN"/>
    </w:rPr>
  </w:style>
  <w:style w:type="character" w:customStyle="1" w:styleId="56">
    <w:name w:val="标题 1 字符"/>
    <w:basedOn w:val="46"/>
    <w:autoRedefine/>
    <w:qFormat/>
    <w:uiPriority w:val="0"/>
    <w:rPr>
      <w:b/>
      <w:bCs/>
      <w:kern w:val="44"/>
      <w:sz w:val="44"/>
      <w:szCs w:val="44"/>
    </w:rPr>
  </w:style>
  <w:style w:type="character" w:customStyle="1" w:styleId="57">
    <w:name w:val="标题 2 字符"/>
    <w:basedOn w:val="46"/>
    <w:link w:val="3"/>
    <w:autoRedefine/>
    <w:qFormat/>
    <w:uiPriority w:val="0"/>
    <w:rPr>
      <w:rFonts w:ascii="宋体" w:hAnsi="Calibri" w:eastAsia="宋体" w:cs="Times New Roman"/>
      <w:kern w:val="0"/>
      <w:sz w:val="24"/>
      <w:szCs w:val="24"/>
    </w:rPr>
  </w:style>
  <w:style w:type="character" w:customStyle="1" w:styleId="58">
    <w:name w:val="标题 3 字符"/>
    <w:basedOn w:val="46"/>
    <w:autoRedefine/>
    <w:qFormat/>
    <w:uiPriority w:val="0"/>
    <w:rPr>
      <w:b/>
      <w:bCs/>
      <w:sz w:val="32"/>
      <w:szCs w:val="32"/>
    </w:rPr>
  </w:style>
  <w:style w:type="character" w:customStyle="1" w:styleId="59">
    <w:name w:val="标题 4 字符"/>
    <w:basedOn w:val="46"/>
    <w:link w:val="5"/>
    <w:autoRedefine/>
    <w:qFormat/>
    <w:uiPriority w:val="9"/>
    <w:rPr>
      <w:rFonts w:ascii="Arial" w:hAnsi="Arial" w:eastAsia="黑体" w:cs="Times New Roman"/>
      <w:b/>
      <w:bCs/>
      <w:kern w:val="0"/>
      <w:sz w:val="28"/>
      <w:szCs w:val="28"/>
    </w:rPr>
  </w:style>
  <w:style w:type="character" w:customStyle="1" w:styleId="60">
    <w:name w:val="标题 5 字符"/>
    <w:basedOn w:val="46"/>
    <w:autoRedefine/>
    <w:qFormat/>
    <w:uiPriority w:val="9"/>
    <w:rPr>
      <w:b/>
      <w:bCs/>
      <w:sz w:val="28"/>
      <w:szCs w:val="28"/>
    </w:rPr>
  </w:style>
  <w:style w:type="character" w:customStyle="1" w:styleId="61">
    <w:name w:val="标题 6 字符"/>
    <w:basedOn w:val="46"/>
    <w:autoRedefine/>
    <w:qFormat/>
    <w:uiPriority w:val="0"/>
    <w:rPr>
      <w:rFonts w:asciiTheme="majorHAnsi" w:hAnsiTheme="majorHAnsi" w:eastAsiaTheme="majorEastAsia" w:cstheme="majorBidi"/>
      <w:b/>
      <w:bCs/>
      <w:sz w:val="24"/>
      <w:szCs w:val="24"/>
    </w:rPr>
  </w:style>
  <w:style w:type="character" w:customStyle="1" w:styleId="62">
    <w:name w:val="标题 7 字符"/>
    <w:basedOn w:val="46"/>
    <w:link w:val="9"/>
    <w:autoRedefine/>
    <w:qFormat/>
    <w:uiPriority w:val="9"/>
    <w:rPr>
      <w:rFonts w:ascii="Times New Roman" w:hAnsi="Calibri" w:eastAsia="黑体" w:cs="Times New Roman"/>
      <w:b/>
      <w:bCs/>
      <w:kern w:val="0"/>
      <w:sz w:val="28"/>
      <w:szCs w:val="24"/>
    </w:rPr>
  </w:style>
  <w:style w:type="character" w:customStyle="1" w:styleId="63">
    <w:name w:val="标题 8 字符"/>
    <w:basedOn w:val="46"/>
    <w:link w:val="10"/>
    <w:autoRedefine/>
    <w:qFormat/>
    <w:uiPriority w:val="9"/>
    <w:rPr>
      <w:rFonts w:ascii="Times New Roman" w:hAnsi="Calibri" w:eastAsia="黑体" w:cs="Times New Roman"/>
      <w:b/>
      <w:kern w:val="0"/>
      <w:sz w:val="28"/>
      <w:szCs w:val="24"/>
    </w:rPr>
  </w:style>
  <w:style w:type="character" w:customStyle="1" w:styleId="64">
    <w:name w:val="标题 9 字符"/>
    <w:basedOn w:val="46"/>
    <w:link w:val="11"/>
    <w:autoRedefine/>
    <w:qFormat/>
    <w:uiPriority w:val="9"/>
    <w:rPr>
      <w:rFonts w:ascii="Times New Roman" w:hAnsi="Calibri" w:eastAsia="黑体" w:cs="Times New Roman"/>
      <w:b/>
      <w:kern w:val="0"/>
      <w:sz w:val="28"/>
      <w:szCs w:val="24"/>
    </w:rPr>
  </w:style>
  <w:style w:type="character" w:customStyle="1" w:styleId="65">
    <w:name w:val="正文文本缩进 字符"/>
    <w:autoRedefine/>
    <w:qFormat/>
    <w:uiPriority w:val="0"/>
    <w:rPr>
      <w:rFonts w:ascii="Times New Roman" w:hAnsi="Times New Roman" w:eastAsia="宋体" w:cs="Times New Roman"/>
      <w:szCs w:val="20"/>
    </w:rPr>
  </w:style>
  <w:style w:type="character" w:customStyle="1" w:styleId="66">
    <w:name w:val="普通(网站) Char"/>
    <w:autoRedefine/>
    <w:qFormat/>
    <w:locked/>
    <w:uiPriority w:val="0"/>
    <w:rPr>
      <w:rFonts w:ascii="宋体" w:hAnsi="宋体"/>
      <w:sz w:val="15"/>
      <w:szCs w:val="15"/>
    </w:rPr>
  </w:style>
  <w:style w:type="character" w:customStyle="1" w:styleId="67">
    <w:name w:val="标题 字符1"/>
    <w:link w:val="40"/>
    <w:autoRedefine/>
    <w:qFormat/>
    <w:uiPriority w:val="10"/>
    <w:rPr>
      <w:rFonts w:ascii="等线 Light" w:hAnsi="等线 Light" w:eastAsia="仿宋"/>
      <w:b/>
      <w:bCs/>
      <w:sz w:val="28"/>
      <w:szCs w:val="32"/>
    </w:rPr>
  </w:style>
  <w:style w:type="character" w:customStyle="1" w:styleId="68">
    <w:name w:val="日期 Char"/>
    <w:autoRedefine/>
    <w:semiHidden/>
    <w:qFormat/>
    <w:uiPriority w:val="99"/>
    <w:rPr>
      <w:kern w:val="2"/>
      <w:sz w:val="21"/>
    </w:rPr>
  </w:style>
  <w:style w:type="character" w:customStyle="1" w:styleId="69">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70">
    <w:name w:val="批注文字 Char"/>
    <w:autoRedefine/>
    <w:semiHidden/>
    <w:qFormat/>
    <w:uiPriority w:val="99"/>
    <w:rPr>
      <w:kern w:val="2"/>
      <w:sz w:val="21"/>
    </w:rPr>
  </w:style>
  <w:style w:type="character" w:customStyle="1" w:styleId="71">
    <w:name w:val="正文缩进2格 Char"/>
    <w:link w:val="72"/>
    <w:autoRedefine/>
    <w:qFormat/>
    <w:uiPriority w:val="0"/>
    <w:rPr>
      <w:rFonts w:ascii="仿宋_GB2312" w:hAnsi="宋体" w:eastAsia="仿宋_GB2312"/>
      <w:sz w:val="31"/>
      <w:szCs w:val="28"/>
    </w:rPr>
  </w:style>
  <w:style w:type="paragraph" w:customStyle="1" w:styleId="72">
    <w:name w:val="正文缩进2格"/>
    <w:basedOn w:val="1"/>
    <w:link w:val="71"/>
    <w:autoRedefine/>
    <w:qFormat/>
    <w:uiPriority w:val="0"/>
    <w:pPr>
      <w:spacing w:line="600" w:lineRule="exact"/>
      <w:ind w:firstLine="639" w:firstLineChars="206"/>
    </w:pPr>
    <w:rPr>
      <w:rFonts w:ascii="仿宋_GB2312" w:hAnsi="宋体" w:eastAsia="仿宋_GB2312"/>
      <w:sz w:val="31"/>
      <w:szCs w:val="28"/>
    </w:rPr>
  </w:style>
  <w:style w:type="character" w:customStyle="1" w:styleId="73">
    <w:name w:val="批注文字 字符"/>
    <w:autoRedefine/>
    <w:semiHidden/>
    <w:qFormat/>
    <w:uiPriority w:val="99"/>
    <w:rPr>
      <w:rFonts w:ascii="Times New Roman" w:hAnsi="Times New Roman"/>
      <w:kern w:val="2"/>
      <w:sz w:val="24"/>
      <w:szCs w:val="24"/>
    </w:rPr>
  </w:style>
  <w:style w:type="character" w:customStyle="1" w:styleId="74">
    <w:name w:val="正文文本缩进 Char"/>
    <w:autoRedefine/>
    <w:qFormat/>
    <w:uiPriority w:val="0"/>
    <w:rPr>
      <w:rFonts w:ascii="Times New Roman" w:hAnsi="Times New Roman" w:eastAsia="宋体" w:cs="Times New Roman"/>
      <w:szCs w:val="20"/>
      <w:lang w:val="en-US" w:eastAsia="zh-CN"/>
    </w:rPr>
  </w:style>
  <w:style w:type="character" w:customStyle="1" w:styleId="75">
    <w:name w:val="批注框文本 字符1"/>
    <w:autoRedefine/>
    <w:semiHidden/>
    <w:qFormat/>
    <w:uiPriority w:val="99"/>
    <w:rPr>
      <w:rFonts w:ascii="宋体" w:hAnsi="Calibri" w:eastAsia="宋体" w:cs="Times New Roman"/>
      <w:kern w:val="0"/>
      <w:sz w:val="18"/>
      <w:szCs w:val="18"/>
    </w:rPr>
  </w:style>
  <w:style w:type="character" w:customStyle="1" w:styleId="76">
    <w:name w:val="List Paragraph Char"/>
    <w:link w:val="77"/>
    <w:autoRedefine/>
    <w:qFormat/>
    <w:uiPriority w:val="34"/>
    <w:rPr>
      <w:rFonts w:ascii="Calibri" w:hAnsi="Calibri"/>
    </w:rPr>
  </w:style>
  <w:style w:type="paragraph" w:customStyle="1" w:styleId="77">
    <w:name w:val="列出段落1"/>
    <w:basedOn w:val="1"/>
    <w:link w:val="76"/>
    <w:autoRedefine/>
    <w:qFormat/>
    <w:uiPriority w:val="34"/>
    <w:pPr>
      <w:ind w:firstLine="420" w:firstLineChars="200"/>
    </w:pPr>
    <w:rPr>
      <w:rFonts w:ascii="Calibri" w:hAnsi="Calibri"/>
    </w:rPr>
  </w:style>
  <w:style w:type="character" w:customStyle="1" w:styleId="78">
    <w:name w:val="标书正文 字符"/>
    <w:link w:val="79"/>
    <w:autoRedefine/>
    <w:qFormat/>
    <w:uiPriority w:val="0"/>
    <w:rPr>
      <w:rFonts w:ascii="Calibri" w:hAnsi="Calibri" w:eastAsia="仿宋"/>
      <w:sz w:val="24"/>
      <w:szCs w:val="21"/>
    </w:rPr>
  </w:style>
  <w:style w:type="paragraph" w:customStyle="1" w:styleId="79">
    <w:name w:val="标书正文"/>
    <w:basedOn w:val="1"/>
    <w:link w:val="78"/>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80">
    <w:name w:val="正文文本 字符"/>
    <w:autoRedefine/>
    <w:semiHidden/>
    <w:qFormat/>
    <w:uiPriority w:val="99"/>
    <w:rPr>
      <w:rFonts w:ascii="Times New Roman" w:hAnsi="Times New Roman"/>
      <w:kern w:val="2"/>
      <w:sz w:val="24"/>
      <w:szCs w:val="24"/>
    </w:rPr>
  </w:style>
  <w:style w:type="character" w:customStyle="1" w:styleId="81">
    <w:name w:val="页脚 Char"/>
    <w:autoRedefine/>
    <w:qFormat/>
    <w:uiPriority w:val="0"/>
    <w:rPr>
      <w:kern w:val="2"/>
      <w:sz w:val="18"/>
      <w:szCs w:val="18"/>
    </w:rPr>
  </w:style>
  <w:style w:type="character" w:customStyle="1" w:styleId="82">
    <w:name w:val="neir1"/>
    <w:autoRedefine/>
    <w:qFormat/>
    <w:uiPriority w:val="0"/>
    <w:rPr>
      <w:rFonts w:hint="default" w:ascii="ˎ̥" w:hAnsi="ˎ̥"/>
      <w:color w:val="333333"/>
      <w:sz w:val="21"/>
      <w:szCs w:val="21"/>
      <w:u w:val="none"/>
    </w:rPr>
  </w:style>
  <w:style w:type="character" w:customStyle="1" w:styleId="83">
    <w:name w:val="批注框文本 字符"/>
    <w:link w:val="27"/>
    <w:autoRedefine/>
    <w:qFormat/>
    <w:uiPriority w:val="0"/>
    <w:rPr>
      <w:rFonts w:ascii="Times New Roman" w:hAnsi="Times New Roman" w:eastAsia="宋体" w:cs="Times New Roman"/>
      <w:sz w:val="18"/>
      <w:szCs w:val="18"/>
    </w:rPr>
  </w:style>
  <w:style w:type="character" w:customStyle="1" w:styleId="84">
    <w:name w:val="正文文本 3 字符1"/>
    <w:autoRedefine/>
    <w:semiHidden/>
    <w:qFormat/>
    <w:uiPriority w:val="99"/>
    <w:rPr>
      <w:rFonts w:ascii="宋体" w:hAnsi="Calibri" w:eastAsia="宋体" w:cs="Times New Roman"/>
      <w:kern w:val="0"/>
      <w:sz w:val="16"/>
      <w:szCs w:val="16"/>
    </w:rPr>
  </w:style>
  <w:style w:type="character" w:customStyle="1" w:styleId="85">
    <w:name w:val="正文文本 字符3"/>
    <w:autoRedefine/>
    <w:semiHidden/>
    <w:qFormat/>
    <w:uiPriority w:val="99"/>
    <w:rPr>
      <w:rFonts w:ascii="宋体" w:hAnsi="Calibri" w:eastAsia="宋体" w:cs="Times New Roman"/>
      <w:kern w:val="0"/>
      <w:sz w:val="24"/>
      <w:szCs w:val="24"/>
    </w:rPr>
  </w:style>
  <w:style w:type="character" w:customStyle="1" w:styleId="86">
    <w:name w:val="日期 字符1"/>
    <w:autoRedefine/>
    <w:semiHidden/>
    <w:qFormat/>
    <w:uiPriority w:val="99"/>
    <w:rPr>
      <w:rFonts w:ascii="宋体" w:hAnsi="Calibri" w:eastAsia="宋体" w:cs="Times New Roman"/>
      <w:kern w:val="0"/>
      <w:sz w:val="24"/>
      <w:szCs w:val="24"/>
    </w:rPr>
  </w:style>
  <w:style w:type="character" w:customStyle="1" w:styleId="87">
    <w:name w:val="页脚 Char2"/>
    <w:autoRedefine/>
    <w:qFormat/>
    <w:uiPriority w:val="99"/>
    <w:rPr>
      <w:rFonts w:ascii="宋体" w:eastAsia="宋体"/>
      <w:sz w:val="18"/>
      <w:szCs w:val="18"/>
    </w:rPr>
  </w:style>
  <w:style w:type="character" w:customStyle="1" w:styleId="88">
    <w:name w:val="吉奥正文 Char"/>
    <w:link w:val="89"/>
    <w:autoRedefine/>
    <w:qFormat/>
    <w:locked/>
    <w:uiPriority w:val="0"/>
    <w:rPr>
      <w:rFonts w:eastAsia="仿宋_GB2312"/>
      <w:sz w:val="28"/>
    </w:rPr>
  </w:style>
  <w:style w:type="paragraph" w:customStyle="1" w:styleId="89">
    <w:name w:val="吉奥正文"/>
    <w:basedOn w:val="1"/>
    <w:link w:val="88"/>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90">
    <w:name w:val="页脚 Char1"/>
    <w:autoRedefine/>
    <w:qFormat/>
    <w:uiPriority w:val="99"/>
    <w:rPr>
      <w:rFonts w:ascii="宋体" w:hAnsi="Times New Roman" w:eastAsia="宋体" w:cs="Times New Roman"/>
      <w:kern w:val="0"/>
      <w:sz w:val="18"/>
      <w:szCs w:val="18"/>
    </w:rPr>
  </w:style>
  <w:style w:type="character" w:customStyle="1" w:styleId="91">
    <w:name w:val="标题 字符"/>
    <w:autoRedefine/>
    <w:qFormat/>
    <w:uiPriority w:val="10"/>
    <w:rPr>
      <w:rFonts w:ascii="Cambria" w:hAnsi="Cambria" w:eastAsia="宋体" w:cs="Times New Roman"/>
      <w:b/>
      <w:bCs/>
      <w:kern w:val="0"/>
      <w:sz w:val="32"/>
      <w:szCs w:val="32"/>
      <w:lang w:val="en-US" w:eastAsia="zh-CN"/>
    </w:rPr>
  </w:style>
  <w:style w:type="character" w:customStyle="1" w:styleId="92">
    <w:name w:val="题注 字符1"/>
    <w:link w:val="14"/>
    <w:autoRedefine/>
    <w:qFormat/>
    <w:uiPriority w:val="0"/>
    <w:rPr>
      <w:rFonts w:ascii="Arial" w:hAnsi="Arial" w:eastAsia="黑体" w:cs="Arial"/>
    </w:rPr>
  </w:style>
  <w:style w:type="character" w:customStyle="1" w:styleId="93">
    <w:name w:val="批注文字 字符2"/>
    <w:autoRedefine/>
    <w:qFormat/>
    <w:uiPriority w:val="99"/>
    <w:rPr>
      <w:rFonts w:ascii="宋体" w:hAnsi="Times New Roman" w:eastAsia="宋体" w:cs="Times New Roman"/>
      <w:kern w:val="0"/>
      <w:sz w:val="24"/>
      <w:szCs w:val="24"/>
    </w:rPr>
  </w:style>
  <w:style w:type="character" w:customStyle="1" w:styleId="94">
    <w:name w:val="批注主题 字符1"/>
    <w:autoRedefine/>
    <w:semiHidden/>
    <w:qFormat/>
    <w:uiPriority w:val="99"/>
    <w:rPr>
      <w:rFonts w:ascii="宋体" w:hAnsi="Calibri" w:eastAsia="宋体" w:cs="Times New Roman"/>
      <w:b/>
      <w:bCs/>
      <w:kern w:val="0"/>
      <w:sz w:val="24"/>
      <w:szCs w:val="24"/>
    </w:rPr>
  </w:style>
  <w:style w:type="character" w:customStyle="1" w:styleId="95">
    <w:name w:val="HTML 预设格式 字符"/>
    <w:link w:val="38"/>
    <w:autoRedefine/>
    <w:qFormat/>
    <w:uiPriority w:val="99"/>
    <w:rPr>
      <w:rFonts w:ascii="Arial" w:hAnsi="Arial" w:eastAsia="宋体" w:cs="Arial"/>
      <w:szCs w:val="21"/>
    </w:rPr>
  </w:style>
  <w:style w:type="character" w:customStyle="1" w:styleId="96">
    <w:name w:val="标题 3.1 Char"/>
    <w:link w:val="97"/>
    <w:autoRedefine/>
    <w:qFormat/>
    <w:uiPriority w:val="0"/>
    <w:rPr>
      <w:rFonts w:ascii="宋体" w:hAnsi="宋体"/>
      <w:b/>
      <w:bCs/>
      <w:sz w:val="32"/>
      <w:szCs w:val="32"/>
    </w:rPr>
  </w:style>
  <w:style w:type="paragraph" w:customStyle="1" w:styleId="97">
    <w:name w:val="标题 3.1"/>
    <w:basedOn w:val="4"/>
    <w:link w:val="96"/>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98">
    <w:name w:val="HTML 预设格式 Char1"/>
    <w:autoRedefine/>
    <w:semiHidden/>
    <w:qFormat/>
    <w:uiPriority w:val="99"/>
    <w:rPr>
      <w:rFonts w:ascii="Courier New" w:hAnsi="Courier New" w:eastAsia="宋体" w:cs="Courier New"/>
      <w:kern w:val="0"/>
      <w:sz w:val="20"/>
      <w:szCs w:val="20"/>
    </w:rPr>
  </w:style>
  <w:style w:type="character" w:customStyle="1" w:styleId="99">
    <w:name w:val="批注文字 字符1"/>
    <w:autoRedefine/>
    <w:qFormat/>
    <w:uiPriority w:val="0"/>
    <w:rPr>
      <w:rFonts w:eastAsia="宋体"/>
      <w:kern w:val="2"/>
      <w:sz w:val="24"/>
      <w:szCs w:val="24"/>
      <w:lang w:val="en-US" w:eastAsia="zh-CN" w:bidi="ar-SA"/>
    </w:rPr>
  </w:style>
  <w:style w:type="character" w:customStyle="1" w:styleId="100">
    <w:name w:val="正文文本缩进 字符2"/>
    <w:autoRedefine/>
    <w:semiHidden/>
    <w:qFormat/>
    <w:uiPriority w:val="99"/>
    <w:rPr>
      <w:rFonts w:ascii="宋体" w:hAnsi="Calibri" w:eastAsia="宋体" w:cs="Times New Roman"/>
      <w:kern w:val="0"/>
      <w:sz w:val="24"/>
      <w:szCs w:val="24"/>
    </w:rPr>
  </w:style>
  <w:style w:type="character" w:customStyle="1" w:styleId="101">
    <w:name w:val="正文文本缩进 字符1"/>
    <w:link w:val="20"/>
    <w:autoRedefine/>
    <w:qFormat/>
    <w:uiPriority w:val="0"/>
    <w:rPr>
      <w:rFonts w:ascii="Times New Roman" w:hAnsi="Times New Roman" w:eastAsia="宋体" w:cs="Times New Roman"/>
      <w:szCs w:val="20"/>
    </w:rPr>
  </w:style>
  <w:style w:type="character" w:customStyle="1" w:styleId="102">
    <w:name w:val="普通(网站) 字符2"/>
    <w:link w:val="39"/>
    <w:autoRedefine/>
    <w:qFormat/>
    <w:locked/>
    <w:uiPriority w:val="0"/>
    <w:rPr>
      <w:rFonts w:ascii="宋体" w:hAnsi="宋体"/>
      <w:sz w:val="15"/>
      <w:szCs w:val="15"/>
    </w:rPr>
  </w:style>
  <w:style w:type="character" w:customStyle="1" w:styleId="103">
    <w:name w:val="模板正文 Char"/>
    <w:link w:val="8"/>
    <w:autoRedefine/>
    <w:qFormat/>
    <w:uiPriority w:val="0"/>
    <w:rPr>
      <w:rFonts w:ascii="宋体" w:eastAsia="仿宋"/>
      <w:sz w:val="24"/>
      <w:szCs w:val="21"/>
    </w:rPr>
  </w:style>
  <w:style w:type="character" w:customStyle="1" w:styleId="104">
    <w:name w:val="批注主题 Char"/>
    <w:autoRedefine/>
    <w:semiHidden/>
    <w:qFormat/>
    <w:uiPriority w:val="99"/>
    <w:rPr>
      <w:b/>
      <w:bCs/>
      <w:kern w:val="2"/>
      <w:sz w:val="21"/>
    </w:rPr>
  </w:style>
  <w:style w:type="character" w:customStyle="1" w:styleId="105">
    <w:name w:val="正文文本 Char1"/>
    <w:autoRedefine/>
    <w:qFormat/>
    <w:uiPriority w:val="0"/>
    <w:rPr>
      <w:rFonts w:ascii="宋体" w:hAnsi="Times New Roman" w:eastAsia="宋体" w:cs="Times New Roman"/>
      <w:kern w:val="0"/>
      <w:sz w:val="24"/>
      <w:szCs w:val="24"/>
    </w:rPr>
  </w:style>
  <w:style w:type="character" w:customStyle="1" w:styleId="106">
    <w:name w:val="正文文本 字符1"/>
    <w:autoRedefine/>
    <w:qFormat/>
    <w:uiPriority w:val="99"/>
    <w:rPr>
      <w:rFonts w:ascii="宋体" w:eastAsia="宋体"/>
      <w:b/>
      <w:bCs/>
      <w:sz w:val="84"/>
      <w:szCs w:val="84"/>
      <w:lang w:val="zh-CN"/>
    </w:rPr>
  </w:style>
  <w:style w:type="character" w:customStyle="1" w:styleId="107">
    <w:name w:val="标题 1 Char"/>
    <w:autoRedefine/>
    <w:qFormat/>
    <w:uiPriority w:val="9"/>
    <w:rPr>
      <w:rFonts w:ascii="宋体" w:hAnsi="Times New Roman" w:eastAsia="宋体" w:cs="Times New Roman"/>
      <w:kern w:val="0"/>
      <w:sz w:val="24"/>
      <w:szCs w:val="24"/>
    </w:rPr>
  </w:style>
  <w:style w:type="character" w:customStyle="1" w:styleId="108">
    <w:name w:val="正文文本 Char2"/>
    <w:autoRedefine/>
    <w:qFormat/>
    <w:uiPriority w:val="99"/>
    <w:rPr>
      <w:rFonts w:ascii="宋体" w:eastAsia="宋体"/>
      <w:b/>
      <w:bCs/>
      <w:sz w:val="84"/>
      <w:szCs w:val="84"/>
      <w:lang w:val="zh-CN"/>
    </w:rPr>
  </w:style>
  <w:style w:type="character" w:customStyle="1" w:styleId="109">
    <w:name w:val="纯文本 字符2"/>
    <w:link w:val="23"/>
    <w:autoRedefine/>
    <w:qFormat/>
    <w:uiPriority w:val="0"/>
    <w:rPr>
      <w:rFonts w:ascii="宋体" w:hAnsi="Courier New" w:eastAsia="宋体"/>
    </w:rPr>
  </w:style>
  <w:style w:type="character" w:customStyle="1" w:styleId="110">
    <w:name w:val="正文文本缩进 2 字符"/>
    <w:link w:val="26"/>
    <w:autoRedefine/>
    <w:qFormat/>
    <w:uiPriority w:val="0"/>
    <w:rPr>
      <w:rFonts w:ascii="宋体" w:hAnsi="Times New Roman" w:eastAsia="宋体" w:cs="Times New Roman"/>
      <w:szCs w:val="20"/>
    </w:rPr>
  </w:style>
  <w:style w:type="character" w:customStyle="1" w:styleId="111">
    <w:name w:val="HTML Markup"/>
    <w:autoRedefine/>
    <w:qFormat/>
    <w:uiPriority w:val="0"/>
    <w:rPr>
      <w:vanish/>
      <w:color w:val="FF0000"/>
    </w:rPr>
  </w:style>
  <w:style w:type="character" w:customStyle="1" w:styleId="112">
    <w:name w:val="页眉 Char1"/>
    <w:autoRedefine/>
    <w:qFormat/>
    <w:uiPriority w:val="0"/>
    <w:rPr>
      <w:rFonts w:ascii="宋体" w:hAnsi="Times New Roman" w:eastAsia="宋体" w:cs="Times New Roman"/>
      <w:kern w:val="0"/>
      <w:sz w:val="18"/>
      <w:szCs w:val="18"/>
    </w:rPr>
  </w:style>
  <w:style w:type="character" w:customStyle="1" w:styleId="113">
    <w:name w:val="font11"/>
    <w:autoRedefine/>
    <w:qFormat/>
    <w:uiPriority w:val="0"/>
    <w:rPr>
      <w:rFonts w:hint="eastAsia" w:ascii="宋体" w:hAnsi="宋体" w:eastAsia="宋体" w:cs="宋体"/>
      <w:color w:val="FF0000"/>
      <w:sz w:val="22"/>
      <w:szCs w:val="22"/>
      <w:u w:val="none"/>
    </w:rPr>
  </w:style>
  <w:style w:type="character" w:customStyle="1" w:styleId="114">
    <w:name w:val="style61"/>
    <w:autoRedefine/>
    <w:qFormat/>
    <w:uiPriority w:val="0"/>
    <w:rPr>
      <w:b/>
      <w:bCs/>
    </w:rPr>
  </w:style>
  <w:style w:type="character" w:customStyle="1" w:styleId="115">
    <w:name w:val="表头文字 Char"/>
    <w:link w:val="116"/>
    <w:autoRedefine/>
    <w:qFormat/>
    <w:uiPriority w:val="0"/>
    <w:rPr>
      <w:rFonts w:eastAsia="仿宋_GB2312"/>
      <w:b/>
      <w:sz w:val="28"/>
      <w:szCs w:val="21"/>
    </w:rPr>
  </w:style>
  <w:style w:type="paragraph" w:customStyle="1" w:styleId="116">
    <w:name w:val="表头文字"/>
    <w:basedOn w:val="1"/>
    <w:link w:val="115"/>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17">
    <w:name w:val="日期 字符"/>
    <w:link w:val="25"/>
    <w:autoRedefine/>
    <w:qFormat/>
    <w:uiPriority w:val="99"/>
    <w:rPr>
      <w:rFonts w:ascii="宋体" w:hAnsi="Times New Roman" w:eastAsia="宋体" w:cs="Times New Roman"/>
      <w:b/>
      <w:bCs/>
      <w:szCs w:val="21"/>
      <w:lang w:val="zh-CN"/>
    </w:rPr>
  </w:style>
  <w:style w:type="character" w:customStyle="1" w:styleId="118">
    <w:name w:val="纯文本 Char1"/>
    <w:autoRedefine/>
    <w:qFormat/>
    <w:uiPriority w:val="0"/>
    <w:rPr>
      <w:rFonts w:ascii="宋体" w:hAnsi="Courier New" w:eastAsia="宋体" w:cs="Courier New"/>
      <w:kern w:val="0"/>
      <w:szCs w:val="21"/>
    </w:rPr>
  </w:style>
  <w:style w:type="character" w:customStyle="1" w:styleId="119">
    <w:name w:val="批注主题 字符"/>
    <w:link w:val="41"/>
    <w:autoRedefine/>
    <w:qFormat/>
    <w:uiPriority w:val="99"/>
    <w:rPr>
      <w:rFonts w:ascii="宋体" w:hAnsi="Times New Roman" w:eastAsia="宋体" w:cs="Times New Roman"/>
      <w:b/>
      <w:bCs/>
      <w:kern w:val="0"/>
      <w:sz w:val="24"/>
      <w:szCs w:val="24"/>
    </w:rPr>
  </w:style>
  <w:style w:type="character" w:customStyle="1" w:styleId="120">
    <w:name w:val="纯文本 字符"/>
    <w:autoRedefine/>
    <w:qFormat/>
    <w:uiPriority w:val="99"/>
    <w:rPr>
      <w:rFonts w:ascii="宋体" w:hAnsi="Courier New" w:eastAsia="宋体" w:cs="Times New Roman"/>
      <w:szCs w:val="20"/>
      <w:lang w:val="en-US" w:eastAsia="zh-CN"/>
    </w:rPr>
  </w:style>
  <w:style w:type="character" w:customStyle="1" w:styleId="121">
    <w:name w:val="font71"/>
    <w:autoRedefine/>
    <w:qFormat/>
    <w:uiPriority w:val="0"/>
    <w:rPr>
      <w:rFonts w:hint="eastAsia" w:ascii="宋体" w:hAnsi="宋体" w:eastAsia="宋体" w:cs="宋体"/>
      <w:color w:val="FF0000"/>
      <w:sz w:val="18"/>
      <w:szCs w:val="18"/>
      <w:u w:val="none"/>
    </w:rPr>
  </w:style>
  <w:style w:type="character" w:customStyle="1" w:styleId="122">
    <w:name w:val="font21"/>
    <w:autoRedefine/>
    <w:qFormat/>
    <w:uiPriority w:val="0"/>
    <w:rPr>
      <w:rFonts w:hint="eastAsia" w:ascii="宋体" w:hAnsi="宋体" w:eastAsia="宋体" w:cs="宋体"/>
      <w:b/>
      <w:color w:val="000000"/>
      <w:sz w:val="21"/>
      <w:szCs w:val="21"/>
      <w:u w:val="none"/>
    </w:rPr>
  </w:style>
  <w:style w:type="character" w:customStyle="1" w:styleId="123">
    <w:name w:val="纯文本 字符3"/>
    <w:autoRedefine/>
    <w:semiHidden/>
    <w:qFormat/>
    <w:uiPriority w:val="99"/>
    <w:rPr>
      <w:rFonts w:ascii="等线" w:hAnsi="Courier New" w:cs="Courier New"/>
      <w:kern w:val="0"/>
      <w:sz w:val="24"/>
      <w:szCs w:val="24"/>
    </w:rPr>
  </w:style>
  <w:style w:type="character" w:customStyle="1" w:styleId="124">
    <w:name w:val="font31"/>
    <w:autoRedefine/>
    <w:qFormat/>
    <w:uiPriority w:val="0"/>
    <w:rPr>
      <w:rFonts w:hint="eastAsia" w:ascii="宋体" w:hAnsi="宋体" w:eastAsia="宋体" w:cs="宋体"/>
      <w:color w:val="000000"/>
      <w:sz w:val="18"/>
      <w:szCs w:val="18"/>
      <w:u w:val="none"/>
    </w:rPr>
  </w:style>
  <w:style w:type="character" w:customStyle="1" w:styleId="125">
    <w:name w:val="文档结构图 字符"/>
    <w:link w:val="15"/>
    <w:autoRedefine/>
    <w:semiHidden/>
    <w:qFormat/>
    <w:uiPriority w:val="99"/>
    <w:rPr>
      <w:rFonts w:ascii="宋体" w:hAnsi="Times New Roman" w:eastAsia="宋体" w:cs="Times New Roman"/>
      <w:kern w:val="0"/>
      <w:sz w:val="24"/>
      <w:szCs w:val="24"/>
      <w:shd w:val="clear" w:color="auto" w:fill="000080"/>
    </w:rPr>
  </w:style>
  <w:style w:type="character" w:customStyle="1" w:styleId="126">
    <w:name w:val="普通(网站) 字符1"/>
    <w:autoRedefine/>
    <w:qFormat/>
    <w:locked/>
    <w:uiPriority w:val="0"/>
    <w:rPr>
      <w:rFonts w:ascii="宋体" w:hAnsi="宋体"/>
      <w:sz w:val="15"/>
      <w:szCs w:val="15"/>
    </w:rPr>
  </w:style>
  <w:style w:type="character" w:customStyle="1" w:styleId="127">
    <w:name w:val="正文文本 字符2"/>
    <w:link w:val="19"/>
    <w:autoRedefine/>
    <w:qFormat/>
    <w:uiPriority w:val="99"/>
    <w:rPr>
      <w:rFonts w:ascii="宋体" w:eastAsia="宋体"/>
      <w:b/>
      <w:bCs/>
      <w:sz w:val="84"/>
      <w:szCs w:val="84"/>
      <w:lang w:val="zh-CN"/>
    </w:rPr>
  </w:style>
  <w:style w:type="character" w:customStyle="1" w:styleId="128">
    <w:name w:val="标题 5 Char"/>
    <w:autoRedefine/>
    <w:semiHidden/>
    <w:qFormat/>
    <w:uiPriority w:val="9"/>
    <w:rPr>
      <w:b/>
      <w:bCs/>
      <w:kern w:val="2"/>
      <w:sz w:val="28"/>
      <w:szCs w:val="28"/>
    </w:rPr>
  </w:style>
  <w:style w:type="character" w:customStyle="1" w:styleId="129">
    <w:name w:val="页眉 字符"/>
    <w:link w:val="29"/>
    <w:autoRedefine/>
    <w:qFormat/>
    <w:uiPriority w:val="99"/>
    <w:rPr>
      <w:rFonts w:ascii="宋体" w:eastAsia="宋体"/>
      <w:sz w:val="18"/>
      <w:szCs w:val="18"/>
    </w:rPr>
  </w:style>
  <w:style w:type="character" w:customStyle="1" w:styleId="130">
    <w:name w:val="表格文字 Char"/>
    <w:link w:val="131"/>
    <w:autoRedefine/>
    <w:qFormat/>
    <w:uiPriority w:val="0"/>
    <w:rPr>
      <w:rFonts w:eastAsia="仿宋_GB2312"/>
      <w:sz w:val="28"/>
      <w:szCs w:val="24"/>
    </w:rPr>
  </w:style>
  <w:style w:type="paragraph" w:customStyle="1" w:styleId="131">
    <w:name w:val="表格文字"/>
    <w:basedOn w:val="1"/>
    <w:link w:val="130"/>
    <w:autoRedefine/>
    <w:qFormat/>
    <w:uiPriority w:val="0"/>
    <w:rPr>
      <w:rFonts w:eastAsia="仿宋_GB2312"/>
      <w:sz w:val="28"/>
      <w:szCs w:val="24"/>
    </w:rPr>
  </w:style>
  <w:style w:type="character" w:customStyle="1" w:styleId="132">
    <w:name w:val="标题 字符2"/>
    <w:autoRedefine/>
    <w:qFormat/>
    <w:uiPriority w:val="10"/>
    <w:rPr>
      <w:rFonts w:ascii="等线 Light" w:hAnsi="等线 Light" w:eastAsia="等线 Light" w:cs="Times New Roman"/>
      <w:b/>
      <w:bCs/>
      <w:kern w:val="0"/>
      <w:sz w:val="32"/>
      <w:szCs w:val="32"/>
    </w:rPr>
  </w:style>
  <w:style w:type="character" w:customStyle="1" w:styleId="133">
    <w:name w:val="正文缩进2格 Char Char"/>
    <w:autoRedefine/>
    <w:qFormat/>
    <w:uiPriority w:val="0"/>
    <w:rPr>
      <w:rFonts w:ascii="仿宋_GB2312" w:hAnsi="宋体" w:eastAsia="仿宋_GB2312"/>
      <w:kern w:val="2"/>
      <w:sz w:val="31"/>
      <w:szCs w:val="28"/>
      <w:lang w:val="en-US" w:eastAsia="zh-CN" w:bidi="ar-SA"/>
    </w:rPr>
  </w:style>
  <w:style w:type="character" w:customStyle="1" w:styleId="134">
    <w:name w:val="小 Char"/>
    <w:autoRedefine/>
    <w:qFormat/>
    <w:uiPriority w:val="0"/>
    <w:rPr>
      <w:rFonts w:ascii="宋体" w:hAnsi="Courier New" w:eastAsia="宋体"/>
      <w:kern w:val="2"/>
      <w:sz w:val="21"/>
      <w:lang w:val="en-US" w:eastAsia="zh-CN" w:bidi="ar-SA"/>
    </w:rPr>
  </w:style>
  <w:style w:type="character" w:customStyle="1" w:styleId="135">
    <w:name w:val="themebody1"/>
    <w:autoRedefine/>
    <w:qFormat/>
    <w:uiPriority w:val="0"/>
    <w:rPr>
      <w:color w:val="FFFFFF"/>
    </w:rPr>
  </w:style>
  <w:style w:type="character" w:customStyle="1" w:styleId="136">
    <w:name w:val="页脚 字符1"/>
    <w:autoRedefine/>
    <w:semiHidden/>
    <w:qFormat/>
    <w:uiPriority w:val="99"/>
    <w:rPr>
      <w:rFonts w:ascii="宋体" w:hAnsi="Calibri" w:eastAsia="宋体" w:cs="Times New Roman"/>
      <w:kern w:val="0"/>
      <w:sz w:val="18"/>
      <w:szCs w:val="18"/>
    </w:rPr>
  </w:style>
  <w:style w:type="character" w:customStyle="1" w:styleId="137">
    <w:name w:val="列出段落 字符"/>
    <w:link w:val="138"/>
    <w:autoRedefine/>
    <w:qFormat/>
    <w:uiPriority w:val="34"/>
    <w:rPr>
      <w:kern w:val="2"/>
      <w:sz w:val="21"/>
      <w:szCs w:val="22"/>
    </w:rPr>
  </w:style>
  <w:style w:type="paragraph" w:styleId="138">
    <w:name w:val="List Paragraph"/>
    <w:basedOn w:val="1"/>
    <w:link w:val="137"/>
    <w:autoRedefine/>
    <w:qFormat/>
    <w:uiPriority w:val="34"/>
    <w:pPr>
      <w:ind w:firstLine="420" w:firstLineChars="200"/>
    </w:pPr>
  </w:style>
  <w:style w:type="character" w:customStyle="1" w:styleId="139">
    <w:name w:val="正文文本 Char"/>
    <w:autoRedefine/>
    <w:qFormat/>
    <w:uiPriority w:val="99"/>
    <w:rPr>
      <w:rFonts w:ascii="宋体" w:eastAsia="宋体"/>
      <w:b/>
      <w:bCs/>
      <w:sz w:val="84"/>
      <w:szCs w:val="84"/>
      <w:lang w:val="zh-CN"/>
    </w:rPr>
  </w:style>
  <w:style w:type="character" w:customStyle="1" w:styleId="140">
    <w:name w:val="页眉 字符1"/>
    <w:autoRedefine/>
    <w:semiHidden/>
    <w:qFormat/>
    <w:uiPriority w:val="99"/>
    <w:rPr>
      <w:rFonts w:ascii="宋体" w:hAnsi="Calibri" w:eastAsia="宋体" w:cs="Times New Roman"/>
      <w:kern w:val="0"/>
      <w:sz w:val="18"/>
      <w:szCs w:val="18"/>
    </w:rPr>
  </w:style>
  <w:style w:type="character" w:customStyle="1" w:styleId="141">
    <w:name w:val="标题 5 字符1"/>
    <w:link w:val="6"/>
    <w:autoRedefine/>
    <w:qFormat/>
    <w:uiPriority w:val="9"/>
    <w:rPr>
      <w:rFonts w:ascii="宋体" w:hAnsi="Calibri" w:eastAsia="宋体" w:cs="Times New Roman"/>
      <w:b/>
      <w:bCs/>
      <w:kern w:val="0"/>
      <w:sz w:val="28"/>
      <w:szCs w:val="28"/>
    </w:rPr>
  </w:style>
  <w:style w:type="character" w:customStyle="1" w:styleId="142">
    <w:name w:val="keyfeatures1"/>
    <w:autoRedefine/>
    <w:qFormat/>
    <w:uiPriority w:val="0"/>
    <w:rPr>
      <w:rFonts w:hint="default" w:ascii="Arial" w:hAnsi="Arial" w:cs="Arial"/>
      <w:color w:val="003366"/>
      <w:sz w:val="17"/>
      <w:szCs w:val="17"/>
      <w:u w:val="none"/>
    </w:rPr>
  </w:style>
  <w:style w:type="character" w:customStyle="1" w:styleId="143">
    <w:name w:val="题注 字符"/>
    <w:autoRedefine/>
    <w:qFormat/>
    <w:uiPriority w:val="0"/>
    <w:rPr>
      <w:rFonts w:ascii="宋体" w:hAnsi="宋体" w:eastAsia="黑体" w:cs="Times New Roman"/>
      <w:b/>
      <w:szCs w:val="21"/>
    </w:rPr>
  </w:style>
  <w:style w:type="character" w:customStyle="1" w:styleId="144">
    <w:name w:val="标题 4 Char"/>
    <w:autoRedefine/>
    <w:qFormat/>
    <w:uiPriority w:val="0"/>
    <w:rPr>
      <w:rFonts w:ascii="宋体" w:hAnsi="宋体" w:eastAsia="宋体"/>
      <w:b/>
      <w:kern w:val="2"/>
      <w:sz w:val="21"/>
      <w:szCs w:val="24"/>
      <w:lang w:val="en-US" w:eastAsia="zh-CN" w:bidi="ar-SA"/>
    </w:rPr>
  </w:style>
  <w:style w:type="character" w:customStyle="1" w:styleId="145">
    <w:name w:val="批注文字 字符3"/>
    <w:autoRedefine/>
    <w:semiHidden/>
    <w:qFormat/>
    <w:uiPriority w:val="99"/>
    <w:rPr>
      <w:rFonts w:ascii="宋体" w:hAnsi="Calibri" w:eastAsia="宋体" w:cs="Times New Roman"/>
      <w:kern w:val="0"/>
      <w:sz w:val="24"/>
      <w:szCs w:val="24"/>
    </w:rPr>
  </w:style>
  <w:style w:type="character" w:customStyle="1" w:styleId="146">
    <w:name w:val="纯文本 字符1"/>
    <w:autoRedefine/>
    <w:qFormat/>
    <w:uiPriority w:val="0"/>
    <w:rPr>
      <w:rFonts w:ascii="宋体" w:hAnsi="Courier New" w:eastAsia="宋体"/>
      <w:kern w:val="2"/>
      <w:sz w:val="21"/>
      <w:szCs w:val="24"/>
      <w:lang w:val="en-US" w:eastAsia="zh-CN" w:bidi="ar-SA"/>
    </w:rPr>
  </w:style>
  <w:style w:type="character" w:customStyle="1" w:styleId="147">
    <w:name w:val="列出段落 Char1"/>
    <w:autoRedefine/>
    <w:qFormat/>
    <w:uiPriority w:val="34"/>
    <w:rPr>
      <w:rFonts w:ascii="宋体"/>
      <w:sz w:val="24"/>
      <w:szCs w:val="24"/>
    </w:rPr>
  </w:style>
  <w:style w:type="character" w:customStyle="1" w:styleId="148">
    <w:name w:val="彩色列表 - 着色 1 字符"/>
    <w:link w:val="149"/>
    <w:autoRedefine/>
    <w:qFormat/>
    <w:uiPriority w:val="0"/>
    <w:rPr>
      <w:rFonts w:ascii="Calibri" w:hAnsi="Calibri"/>
    </w:rPr>
  </w:style>
  <w:style w:type="paragraph" w:customStyle="1" w:styleId="149">
    <w:name w:val="彩色列表 - 着色 11"/>
    <w:basedOn w:val="1"/>
    <w:link w:val="148"/>
    <w:autoRedefine/>
    <w:qFormat/>
    <w:uiPriority w:val="0"/>
    <w:pPr>
      <w:ind w:firstLine="420" w:firstLineChars="200"/>
    </w:pPr>
    <w:rPr>
      <w:rFonts w:ascii="Calibri" w:hAnsi="Calibri"/>
    </w:rPr>
  </w:style>
  <w:style w:type="character" w:customStyle="1" w:styleId="150">
    <w:name w:val="纯文本 Char"/>
    <w:autoRedefine/>
    <w:qFormat/>
    <w:uiPriority w:val="0"/>
    <w:rPr>
      <w:rFonts w:ascii="宋体" w:hAnsi="Courier New" w:eastAsia="宋体" w:cs="Times New Roman"/>
      <w:szCs w:val="20"/>
    </w:rPr>
  </w:style>
  <w:style w:type="character" w:customStyle="1" w:styleId="151">
    <w:name w:val="标题 6 字符1"/>
    <w:link w:val="7"/>
    <w:autoRedefine/>
    <w:qFormat/>
    <w:uiPriority w:val="9"/>
    <w:rPr>
      <w:rFonts w:ascii="Times New Roman" w:hAnsi="Calibri" w:eastAsia="黑体" w:cs="Times New Roman"/>
      <w:b/>
      <w:bCs/>
      <w:kern w:val="0"/>
      <w:sz w:val="28"/>
      <w:szCs w:val="24"/>
    </w:rPr>
  </w:style>
  <w:style w:type="character" w:customStyle="1" w:styleId="152">
    <w:name w:val="正文文本 2 字符"/>
    <w:link w:val="37"/>
    <w:autoRedefine/>
    <w:qFormat/>
    <w:uiPriority w:val="0"/>
    <w:rPr>
      <w:rFonts w:ascii="Arial" w:hAnsi="Arial" w:eastAsia="宋体" w:cs="Times New Roman"/>
      <w:color w:val="000000"/>
      <w:szCs w:val="24"/>
    </w:rPr>
  </w:style>
  <w:style w:type="character" w:customStyle="1" w:styleId="153">
    <w:name w:val="标题 3 字符1"/>
    <w:link w:val="4"/>
    <w:autoRedefine/>
    <w:qFormat/>
    <w:uiPriority w:val="0"/>
    <w:rPr>
      <w:rFonts w:ascii="宋体" w:hAnsi="Calibri" w:eastAsia="宋体" w:cs="Times New Roman"/>
      <w:kern w:val="0"/>
      <w:sz w:val="24"/>
      <w:szCs w:val="24"/>
    </w:rPr>
  </w:style>
  <w:style w:type="character" w:customStyle="1" w:styleId="154">
    <w:name w:val="正文文本缩进 2 字符1"/>
    <w:autoRedefine/>
    <w:semiHidden/>
    <w:qFormat/>
    <w:uiPriority w:val="99"/>
    <w:rPr>
      <w:rFonts w:ascii="宋体" w:hAnsi="Calibri" w:eastAsia="宋体" w:cs="Times New Roman"/>
      <w:kern w:val="0"/>
      <w:sz w:val="24"/>
      <w:szCs w:val="24"/>
    </w:rPr>
  </w:style>
  <w:style w:type="character" w:customStyle="1" w:styleId="155">
    <w:name w:val="正文文本缩进 3 字符1"/>
    <w:autoRedefine/>
    <w:semiHidden/>
    <w:qFormat/>
    <w:uiPriority w:val="99"/>
    <w:rPr>
      <w:rFonts w:ascii="宋体" w:hAnsi="Calibri" w:eastAsia="宋体" w:cs="Times New Roman"/>
      <w:kern w:val="0"/>
      <w:sz w:val="16"/>
      <w:szCs w:val="16"/>
    </w:rPr>
  </w:style>
  <w:style w:type="character" w:customStyle="1" w:styleId="156">
    <w:name w:val="正文文本 2 字符1"/>
    <w:autoRedefine/>
    <w:semiHidden/>
    <w:qFormat/>
    <w:uiPriority w:val="99"/>
    <w:rPr>
      <w:rFonts w:ascii="宋体" w:hAnsi="Calibri" w:eastAsia="宋体" w:cs="Times New Roman"/>
      <w:kern w:val="0"/>
      <w:sz w:val="24"/>
      <w:szCs w:val="24"/>
    </w:rPr>
  </w:style>
  <w:style w:type="character" w:customStyle="1" w:styleId="157">
    <w:name w:val="eschoolnr"/>
    <w:autoRedefine/>
    <w:qFormat/>
    <w:uiPriority w:val="0"/>
    <w:rPr>
      <w:sz w:val="23"/>
      <w:szCs w:val="23"/>
    </w:rPr>
  </w:style>
  <w:style w:type="character" w:customStyle="1" w:styleId="158">
    <w:name w:val="访问过的超链接1"/>
    <w:autoRedefine/>
    <w:qFormat/>
    <w:uiPriority w:val="0"/>
    <w:rPr>
      <w:rFonts w:ascii="Arial" w:hAnsi="Arial" w:cs="Arial"/>
      <w:color w:val="000000"/>
      <w:sz w:val="20"/>
      <w:szCs w:val="20"/>
      <w:u w:val="none"/>
    </w:rPr>
  </w:style>
  <w:style w:type="character" w:customStyle="1" w:styleId="159">
    <w:name w:val="标题 1 字符1"/>
    <w:link w:val="2"/>
    <w:autoRedefine/>
    <w:qFormat/>
    <w:uiPriority w:val="0"/>
    <w:rPr>
      <w:rFonts w:ascii="宋体" w:hAnsi="Calibri" w:eastAsia="宋体" w:cs="Times New Roman"/>
      <w:kern w:val="0"/>
      <w:sz w:val="24"/>
      <w:szCs w:val="24"/>
    </w:rPr>
  </w:style>
  <w:style w:type="character" w:customStyle="1" w:styleId="160">
    <w:name w:val="批注文字 Char1"/>
    <w:autoRedefine/>
    <w:qFormat/>
    <w:uiPriority w:val="0"/>
    <w:rPr>
      <w:kern w:val="2"/>
      <w:sz w:val="21"/>
      <w:szCs w:val="24"/>
    </w:rPr>
  </w:style>
  <w:style w:type="character" w:customStyle="1" w:styleId="161">
    <w:name w:val="批注框文本 Char"/>
    <w:autoRedefine/>
    <w:semiHidden/>
    <w:qFormat/>
    <w:uiPriority w:val="99"/>
    <w:rPr>
      <w:kern w:val="2"/>
      <w:sz w:val="18"/>
      <w:szCs w:val="18"/>
    </w:rPr>
  </w:style>
  <w:style w:type="character" w:customStyle="1" w:styleId="162">
    <w:name w:val="DAS正文 Char"/>
    <w:autoRedefine/>
    <w:qFormat/>
    <w:uiPriority w:val="0"/>
    <w:rPr>
      <w:rFonts w:ascii="Verdana" w:hAnsi="Verdana" w:eastAsia="宋体"/>
      <w:kern w:val="2"/>
      <w:sz w:val="21"/>
      <w:szCs w:val="21"/>
      <w:lang w:val="en-US" w:eastAsia="zh-CN" w:bidi="ar-SA"/>
    </w:rPr>
  </w:style>
  <w:style w:type="character" w:customStyle="1" w:styleId="163">
    <w:name w:val="正文文本缩进 3 字符"/>
    <w:link w:val="34"/>
    <w:autoRedefine/>
    <w:qFormat/>
    <w:uiPriority w:val="0"/>
    <w:rPr>
      <w:rFonts w:ascii="宋体" w:hAnsi="Times New Roman" w:eastAsia="宋体" w:cs="Times New Roman"/>
      <w:kern w:val="0"/>
      <w:sz w:val="24"/>
      <w:szCs w:val="24"/>
    </w:rPr>
  </w:style>
  <w:style w:type="character" w:customStyle="1" w:styleId="164">
    <w:name w:val="页眉 Char"/>
    <w:autoRedefine/>
    <w:qFormat/>
    <w:uiPriority w:val="99"/>
    <w:rPr>
      <w:kern w:val="2"/>
      <w:sz w:val="18"/>
      <w:szCs w:val="18"/>
    </w:rPr>
  </w:style>
  <w:style w:type="character" w:customStyle="1" w:styleId="165">
    <w:name w:val="正文文本 3 字符"/>
    <w:link w:val="18"/>
    <w:autoRedefine/>
    <w:qFormat/>
    <w:uiPriority w:val="0"/>
    <w:rPr>
      <w:rFonts w:ascii="宋体" w:hAnsi="Times New Roman" w:eastAsia="宋体" w:cs="Times New Roman"/>
      <w:b/>
      <w:bCs/>
      <w:color w:val="3366FF"/>
      <w:sz w:val="52"/>
      <w:szCs w:val="52"/>
      <w:lang w:val="zh-CN"/>
    </w:rPr>
  </w:style>
  <w:style w:type="character" w:customStyle="1" w:styleId="166">
    <w:name w:val="HTML 预设格式 字符1"/>
    <w:autoRedefine/>
    <w:semiHidden/>
    <w:qFormat/>
    <w:uiPriority w:val="99"/>
    <w:rPr>
      <w:rFonts w:ascii="Courier New" w:hAnsi="Courier New" w:eastAsia="宋体" w:cs="Courier New"/>
      <w:kern w:val="0"/>
      <w:sz w:val="20"/>
      <w:szCs w:val="20"/>
    </w:rPr>
  </w:style>
  <w:style w:type="character" w:customStyle="1" w:styleId="167">
    <w:name w:val="彩色列表 - 强调文字颜色 1 Char"/>
    <w:link w:val="168"/>
    <w:autoRedefine/>
    <w:qFormat/>
    <w:uiPriority w:val="0"/>
    <w:rPr>
      <w:rFonts w:ascii="宋体"/>
      <w:sz w:val="24"/>
      <w:szCs w:val="24"/>
    </w:rPr>
  </w:style>
  <w:style w:type="paragraph" w:customStyle="1" w:styleId="168">
    <w:name w:val="彩色列表 - 强调文字颜色 11"/>
    <w:basedOn w:val="1"/>
    <w:link w:val="167"/>
    <w:autoRedefine/>
    <w:qFormat/>
    <w:uiPriority w:val="0"/>
    <w:pPr>
      <w:autoSpaceDE w:val="0"/>
      <w:autoSpaceDN w:val="0"/>
      <w:adjustRightInd w:val="0"/>
      <w:ind w:firstLine="420" w:firstLineChars="200"/>
      <w:jc w:val="left"/>
    </w:pPr>
    <w:rPr>
      <w:rFonts w:ascii="宋体"/>
      <w:sz w:val="24"/>
      <w:szCs w:val="24"/>
    </w:rPr>
  </w:style>
  <w:style w:type="character" w:customStyle="1" w:styleId="169">
    <w:name w:val="普通(网站) 字符"/>
    <w:autoRedefine/>
    <w:qFormat/>
    <w:locked/>
    <w:uiPriority w:val="99"/>
    <w:rPr>
      <w:rFonts w:ascii="宋体" w:hAnsi="宋体" w:eastAsia="宋体" w:cs="Times New Roman"/>
      <w:kern w:val="0"/>
      <w:sz w:val="15"/>
      <w:szCs w:val="15"/>
      <w:lang w:val="en-US" w:eastAsia="zh-CN"/>
    </w:rPr>
  </w:style>
  <w:style w:type="paragraph" w:customStyle="1" w:styleId="170">
    <w:name w:val="_Style 123"/>
    <w:basedOn w:val="1"/>
    <w:next w:val="138"/>
    <w:autoRedefine/>
    <w:qFormat/>
    <w:uiPriority w:val="34"/>
    <w:pPr>
      <w:spacing w:line="360" w:lineRule="auto"/>
      <w:ind w:firstLine="420" w:firstLineChars="200"/>
    </w:pPr>
    <w:rPr>
      <w:rFonts w:ascii="Calibri" w:hAnsi="Calibri" w:eastAsia="宋体" w:cs="Times New Roman"/>
    </w:rPr>
  </w:style>
  <w:style w:type="character" w:customStyle="1" w:styleId="171">
    <w:name w:val="纯文本 字符4"/>
    <w:basedOn w:val="46"/>
    <w:autoRedefine/>
    <w:semiHidden/>
    <w:qFormat/>
    <w:uiPriority w:val="99"/>
    <w:rPr>
      <w:rFonts w:hAnsi="Courier New" w:cs="Courier New" w:asciiTheme="minorEastAsia"/>
    </w:rPr>
  </w:style>
  <w:style w:type="character" w:customStyle="1" w:styleId="172">
    <w:name w:val="批注文字 字符4"/>
    <w:basedOn w:val="46"/>
    <w:link w:val="17"/>
    <w:autoRedefine/>
    <w:semiHidden/>
    <w:qFormat/>
    <w:uiPriority w:val="99"/>
  </w:style>
  <w:style w:type="character" w:customStyle="1" w:styleId="173">
    <w:name w:val="批注主题 字符2"/>
    <w:basedOn w:val="172"/>
    <w:autoRedefine/>
    <w:semiHidden/>
    <w:qFormat/>
    <w:uiPriority w:val="99"/>
    <w:rPr>
      <w:b/>
      <w:bCs/>
    </w:rPr>
  </w:style>
  <w:style w:type="character" w:customStyle="1" w:styleId="174">
    <w:name w:val="标题 字符3"/>
    <w:basedOn w:val="46"/>
    <w:autoRedefine/>
    <w:qFormat/>
    <w:uiPriority w:val="10"/>
    <w:rPr>
      <w:rFonts w:asciiTheme="majorHAnsi" w:hAnsiTheme="majorHAnsi" w:eastAsiaTheme="majorEastAsia" w:cstheme="majorBidi"/>
      <w:b/>
      <w:bCs/>
      <w:sz w:val="32"/>
      <w:szCs w:val="32"/>
    </w:rPr>
  </w:style>
  <w:style w:type="character" w:customStyle="1" w:styleId="175">
    <w:name w:val="正文文本缩进 字符3"/>
    <w:basedOn w:val="46"/>
    <w:autoRedefine/>
    <w:semiHidden/>
    <w:qFormat/>
    <w:uiPriority w:val="99"/>
  </w:style>
  <w:style w:type="character" w:customStyle="1" w:styleId="176">
    <w:name w:val="正文文本 字符4"/>
    <w:basedOn w:val="46"/>
    <w:autoRedefine/>
    <w:semiHidden/>
    <w:qFormat/>
    <w:uiPriority w:val="99"/>
  </w:style>
  <w:style w:type="character" w:customStyle="1" w:styleId="177">
    <w:name w:val="正文文本缩进 3 字符2"/>
    <w:basedOn w:val="46"/>
    <w:autoRedefine/>
    <w:semiHidden/>
    <w:qFormat/>
    <w:uiPriority w:val="99"/>
    <w:rPr>
      <w:sz w:val="16"/>
      <w:szCs w:val="16"/>
    </w:rPr>
  </w:style>
  <w:style w:type="character" w:customStyle="1" w:styleId="178">
    <w:name w:val="页眉 字符2"/>
    <w:basedOn w:val="46"/>
    <w:autoRedefine/>
    <w:semiHidden/>
    <w:qFormat/>
    <w:uiPriority w:val="99"/>
    <w:rPr>
      <w:sz w:val="18"/>
      <w:szCs w:val="18"/>
    </w:rPr>
  </w:style>
  <w:style w:type="character" w:customStyle="1" w:styleId="179">
    <w:name w:val="批注框文本 字符2"/>
    <w:basedOn w:val="46"/>
    <w:autoRedefine/>
    <w:semiHidden/>
    <w:qFormat/>
    <w:uiPriority w:val="99"/>
    <w:rPr>
      <w:sz w:val="18"/>
      <w:szCs w:val="18"/>
    </w:rPr>
  </w:style>
  <w:style w:type="character" w:customStyle="1" w:styleId="180">
    <w:name w:val="HTML 预设格式 字符2"/>
    <w:basedOn w:val="46"/>
    <w:autoRedefine/>
    <w:semiHidden/>
    <w:qFormat/>
    <w:uiPriority w:val="99"/>
    <w:rPr>
      <w:rFonts w:ascii="Courier New" w:hAnsi="Courier New" w:cs="Courier New"/>
      <w:sz w:val="20"/>
      <w:szCs w:val="20"/>
    </w:rPr>
  </w:style>
  <w:style w:type="character" w:customStyle="1" w:styleId="181">
    <w:name w:val="页脚 字符2"/>
    <w:basedOn w:val="46"/>
    <w:autoRedefine/>
    <w:semiHidden/>
    <w:qFormat/>
    <w:uiPriority w:val="99"/>
    <w:rPr>
      <w:sz w:val="18"/>
      <w:szCs w:val="18"/>
    </w:rPr>
  </w:style>
  <w:style w:type="character" w:customStyle="1" w:styleId="182">
    <w:name w:val="正文文本缩进 2 字符2"/>
    <w:basedOn w:val="46"/>
    <w:autoRedefine/>
    <w:semiHidden/>
    <w:qFormat/>
    <w:uiPriority w:val="99"/>
  </w:style>
  <w:style w:type="character" w:customStyle="1" w:styleId="183">
    <w:name w:val="正文文本 3 字符2"/>
    <w:basedOn w:val="46"/>
    <w:autoRedefine/>
    <w:semiHidden/>
    <w:qFormat/>
    <w:uiPriority w:val="99"/>
    <w:rPr>
      <w:sz w:val="16"/>
      <w:szCs w:val="16"/>
    </w:rPr>
  </w:style>
  <w:style w:type="character" w:customStyle="1" w:styleId="184">
    <w:name w:val="正文文本 2 字符2"/>
    <w:basedOn w:val="46"/>
    <w:autoRedefine/>
    <w:semiHidden/>
    <w:qFormat/>
    <w:uiPriority w:val="99"/>
  </w:style>
  <w:style w:type="paragraph" w:customStyle="1" w:styleId="185">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86">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87">
    <w:name w:val="文档结构图 字符2"/>
    <w:basedOn w:val="46"/>
    <w:autoRedefine/>
    <w:semiHidden/>
    <w:qFormat/>
    <w:uiPriority w:val="99"/>
    <w:rPr>
      <w:rFonts w:ascii="Microsoft YaHei UI" w:eastAsia="Microsoft YaHei UI"/>
      <w:sz w:val="18"/>
      <w:szCs w:val="18"/>
    </w:rPr>
  </w:style>
  <w:style w:type="character" w:customStyle="1" w:styleId="188">
    <w:name w:val="日期 字符2"/>
    <w:basedOn w:val="46"/>
    <w:autoRedefine/>
    <w:semiHidden/>
    <w:qFormat/>
    <w:uiPriority w:val="99"/>
  </w:style>
  <w:style w:type="paragraph" w:customStyle="1" w:styleId="189">
    <w:name w:val="彩色底纹 - 强调文字颜色 11"/>
    <w:autoRedefine/>
    <w:semiHidden/>
    <w:qFormat/>
    <w:uiPriority w:val="99"/>
    <w:rPr>
      <w:rFonts w:ascii="宋体" w:hAnsi="Calibri" w:eastAsia="宋体" w:cs="Times New Roman"/>
      <w:sz w:val="24"/>
      <w:szCs w:val="24"/>
      <w:lang w:val="en-US" w:eastAsia="zh-CN" w:bidi="ar-SA"/>
    </w:rPr>
  </w:style>
  <w:style w:type="paragraph" w:customStyle="1" w:styleId="190">
    <w:name w:val="d"/>
    <w:basedOn w:val="1"/>
    <w:autoRedefine/>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91">
    <w:name w:val="修订1"/>
    <w:autoRedefine/>
    <w:semiHidden/>
    <w:qFormat/>
    <w:uiPriority w:val="99"/>
    <w:rPr>
      <w:rFonts w:ascii="宋体" w:hAnsi="Calibri" w:eastAsia="宋体" w:cs="Times New Roman"/>
      <w:sz w:val="24"/>
      <w:szCs w:val="24"/>
      <w:lang w:val="en-US" w:eastAsia="zh-CN" w:bidi="ar-SA"/>
    </w:rPr>
  </w:style>
  <w:style w:type="paragraph" w:customStyle="1" w:styleId="192">
    <w:name w:val="图/图注"/>
    <w:basedOn w:val="8"/>
    <w:autoRedefine/>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93">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94">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95">
    <w:name w:val="Pa8"/>
    <w:basedOn w:val="1"/>
    <w:next w:val="1"/>
    <w:autoRedefine/>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96">
    <w:name w:val="p0"/>
    <w:basedOn w:val="1"/>
    <w:autoRedefine/>
    <w:qFormat/>
    <w:uiPriority w:val="0"/>
    <w:pPr>
      <w:widowControl/>
    </w:pPr>
    <w:rPr>
      <w:rFonts w:ascii="Times New Roman" w:hAnsi="Calibri" w:eastAsia="宋体" w:cs="Times New Roman"/>
      <w:kern w:val="0"/>
      <w:szCs w:val="20"/>
    </w:rPr>
  </w:style>
  <w:style w:type="paragraph" w:customStyle="1" w:styleId="197">
    <w:name w:val="Char Char 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8">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99">
    <w:name w:val="网格表 32"/>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00">
    <w:name w:val="WPSOffice手动目录 1"/>
    <w:autoRedefine/>
    <w:qFormat/>
    <w:uiPriority w:val="0"/>
    <w:rPr>
      <w:rFonts w:ascii="Calibri" w:hAnsi="Calibri" w:eastAsia="宋体" w:cs="Times New Roman"/>
      <w:lang w:val="en-US" w:eastAsia="zh-CN" w:bidi="ar-SA"/>
    </w:rPr>
  </w:style>
  <w:style w:type="paragraph" w:customStyle="1" w:styleId="201">
    <w:name w:val="_Style 69"/>
    <w:basedOn w:val="1"/>
    <w:next w:val="138"/>
    <w:autoRedefine/>
    <w:qFormat/>
    <w:uiPriority w:val="34"/>
    <w:pPr>
      <w:spacing w:line="360" w:lineRule="auto"/>
      <w:ind w:firstLine="420" w:firstLineChars="200"/>
    </w:pPr>
    <w:rPr>
      <w:rFonts w:ascii="Calibri" w:hAnsi="Calibri" w:eastAsia="宋体" w:cs="Times New Roman"/>
    </w:rPr>
  </w:style>
  <w:style w:type="paragraph" w:customStyle="1" w:styleId="202">
    <w:name w:val="中等深浅网格 2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3">
    <w:name w:val="保留正文"/>
    <w:basedOn w:val="19"/>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204">
    <w:name w:val="彩色底纹 - 着色 11"/>
    <w:autoRedefine/>
    <w:semiHidden/>
    <w:qFormat/>
    <w:uiPriority w:val="99"/>
    <w:rPr>
      <w:rFonts w:ascii="宋体" w:hAnsi="Calibri" w:eastAsia="宋体" w:cs="Times New Roman"/>
      <w:sz w:val="24"/>
      <w:szCs w:val="24"/>
      <w:lang w:val="en-US" w:eastAsia="zh-CN" w:bidi="ar-SA"/>
    </w:rPr>
  </w:style>
  <w:style w:type="paragraph" w:customStyle="1" w:styleId="205">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206">
    <w:name w:val="网格表 31"/>
    <w:basedOn w:val="2"/>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07">
    <w:name w:val="表格文字居中"/>
    <w:basedOn w:val="131"/>
    <w:autoRedefine/>
    <w:qFormat/>
    <w:uiPriority w:val="0"/>
    <w:pPr>
      <w:jc w:val="center"/>
    </w:pPr>
    <w:rPr>
      <w:rFonts w:cs="宋体"/>
      <w:szCs w:val="20"/>
    </w:rPr>
  </w:style>
  <w:style w:type="paragraph" w:customStyle="1" w:styleId="208">
    <w:name w:val="正文缩进4格"/>
    <w:basedOn w:val="72"/>
    <w:autoRedefine/>
    <w:qFormat/>
    <w:uiPriority w:val="0"/>
    <w:pPr>
      <w:spacing w:line="360" w:lineRule="auto"/>
      <w:ind w:left="964" w:leftChars="314" w:hanging="210" w:hangingChars="100"/>
    </w:pPr>
    <w:rPr>
      <w:rFonts w:ascii="宋体" w:eastAsia="宋体"/>
      <w:sz w:val="21"/>
      <w:szCs w:val="21"/>
      <w:lang w:val="zh-CN"/>
    </w:rPr>
  </w:style>
  <w:style w:type="paragraph" w:customStyle="1" w:styleId="209">
    <w:name w:val="版本说明标题"/>
    <w:basedOn w:val="1"/>
    <w:autoRedefine/>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10">
    <w:name w:val="正文首行缩进 字符"/>
    <w:basedOn w:val="127"/>
    <w:link w:val="42"/>
    <w:autoRedefine/>
    <w:semiHidden/>
    <w:qFormat/>
    <w:uiPriority w:val="99"/>
    <w:rPr>
      <w:rFonts w:ascii="宋体" w:eastAsia="宋体"/>
      <w:b w:val="0"/>
      <w:bCs w:val="0"/>
      <w:sz w:val="84"/>
      <w:szCs w:val="84"/>
      <w:lang w:val="zh-CN"/>
    </w:rPr>
  </w:style>
  <w:style w:type="paragraph" w:customStyle="1" w:styleId="211">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2">
    <w:name w:val="页脚 字符"/>
    <w:basedOn w:val="46"/>
    <w:link w:val="28"/>
    <w:autoRedefine/>
    <w:qFormat/>
    <w:uiPriority w:val="0"/>
    <w:rPr>
      <w:kern w:val="2"/>
      <w:sz w:val="18"/>
    </w:rPr>
  </w:style>
  <w:style w:type="paragraph" w:customStyle="1" w:styleId="213">
    <w:name w:val="Table Text"/>
    <w:basedOn w:val="1"/>
    <w:link w:val="214"/>
    <w:autoRedefine/>
    <w:qFormat/>
    <w:uiPriority w:val="0"/>
    <w:pPr>
      <w:topLinePunct/>
      <w:adjustRightInd w:val="0"/>
      <w:snapToGrid w:val="0"/>
      <w:spacing w:before="80" w:after="80" w:line="240" w:lineRule="atLeast"/>
      <w:jc w:val="left"/>
    </w:pPr>
    <w:rPr>
      <w:rFonts w:ascii="Times New Roman" w:hAnsi="Times New Roman" w:eastAsia="宋体" w:cs="Times New Roman"/>
      <w:kern w:val="0"/>
      <w:szCs w:val="21"/>
    </w:rPr>
  </w:style>
  <w:style w:type="character" w:customStyle="1" w:styleId="214">
    <w:name w:val="Table Text Char1"/>
    <w:basedOn w:val="46"/>
    <w:link w:val="213"/>
    <w:autoRedefine/>
    <w:qFormat/>
    <w:uiPriority w:val="0"/>
    <w:rPr>
      <w:rFonts w:hint="default" w:ascii="Arial" w:hAnsi="Arial" w:cs="Arial"/>
      <w:snapToGrid/>
      <w:sz w:val="21"/>
      <w:szCs w:val="21"/>
    </w:rPr>
  </w:style>
  <w:style w:type="table" w:customStyle="1" w:styleId="215">
    <w:name w:val="Table Normal"/>
    <w:basedOn w:val="44"/>
    <w:autoRedefine/>
    <w:semiHidden/>
    <w:qFormat/>
    <w:uiPriority w:val="0"/>
    <w:pPr>
      <w:widowControl w:val="0"/>
      <w:autoSpaceDE w:val="0"/>
      <w:autoSpaceDN w:val="0"/>
    </w:pPr>
    <w:rPr>
      <w:rFonts w:ascii="Calibri" w:hAnsi="Calibri" w:cs="Calibri"/>
      <w:sz w:val="22"/>
      <w:szCs w:val="22"/>
      <w:lang w:eastAsia="en-US"/>
    </w:rPr>
    <w:tblPr>
      <w:tblCellMar>
        <w:left w:w="0" w:type="dxa"/>
        <w:right w:w="0" w:type="dxa"/>
      </w:tblCellMar>
    </w:tblPr>
  </w:style>
  <w:style w:type="paragraph" w:customStyle="1" w:styleId="216">
    <w:name w:val="！正文"/>
    <w:basedOn w:val="1"/>
    <w:autoRedefine/>
    <w:qFormat/>
    <w:uiPriority w:val="0"/>
    <w:pPr>
      <w:spacing w:line="360" w:lineRule="auto"/>
      <w:ind w:firstLine="624" w:firstLineChars="200"/>
    </w:pPr>
    <w:rPr>
      <w:rFonts w:ascii="Times New Roman" w:hAnsi="Times New Roman" w:eastAsia="仿宋_GB2312" w:cs="Times New Roman"/>
      <w:bCs/>
      <w:color w:val="000000"/>
      <w:sz w:val="28"/>
      <w:szCs w:val="28"/>
    </w:rPr>
  </w:style>
  <w:style w:type="paragraph" w:customStyle="1" w:styleId="217">
    <w:name w:val="列出段落2"/>
    <w:basedOn w:val="1"/>
    <w:qFormat/>
    <w:uiPriority w:val="99"/>
    <w:pPr>
      <w:ind w:firstLine="420" w:firstLineChars="200"/>
    </w:pPr>
  </w:style>
  <w:style w:type="character" w:customStyle="1" w:styleId="218">
    <w:name w:val="10"/>
    <w:basedOn w:val="46"/>
    <w:qFormat/>
    <w:uiPriority w:val="0"/>
    <w:rPr>
      <w:rFonts w:hint="default" w:ascii="Times New Roman" w:hAnsi="Times New Roman" w:cs="Times New Roman"/>
    </w:rPr>
  </w:style>
  <w:style w:type="character" w:customStyle="1" w:styleId="219">
    <w:name w:val="15"/>
    <w:basedOn w:val="4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20822</Words>
  <Characters>22039</Characters>
  <Lines>1</Lines>
  <Paragraphs>1</Paragraphs>
  <TotalTime>4</TotalTime>
  <ScaleCrop>false</ScaleCrop>
  <LinksUpToDate>false</LinksUpToDate>
  <CharactersWithSpaces>22614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郑翠婷</cp:lastModifiedBy>
  <cp:lastPrinted>2025-06-24T01:44:07Z</cp:lastPrinted>
  <dcterms:modified xsi:type="dcterms:W3CDTF">2025-06-24T01:46:54Z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DD63FAA4C0D04FA09843BF30691A743C_13</vt:lpwstr>
  </property>
  <property fmtid="{D5CDD505-2E9C-101B-9397-08002B2CF9AE}" pid="4" name="KSOTemplateDocerSaveRecord">
    <vt:lpwstr>eyJoZGlkIjoiMTc5YzhiYWE3NjUwZTczOTVhM2Y3YjhmMzQ2NGQwMWEiLCJ1c2VySWQiOiI0MzczNTY5ODQifQ==</vt:lpwstr>
  </property>
</Properties>
</file>