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东莞市置拓投资有限公司水业大厦食堂设备设施采购项目</w:t>
      </w: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号：0832-SFCX25DG030A</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人：东莞市置拓投资有限公司</w:t>
      </w:r>
    </w:p>
    <w:p>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w:t>
      </w:r>
      <w:r>
        <w:rPr>
          <w:rFonts w:hint="eastAsia" w:ascii="宋体" w:hAnsi="宋体" w:eastAsia="宋体" w:cs="宋体"/>
          <w:b/>
          <w:bCs/>
          <w:color w:val="auto"/>
          <w:sz w:val="32"/>
          <w:szCs w:val="32"/>
          <w:highlight w:val="none"/>
          <w:lang w:val="zh-CN"/>
        </w:rPr>
        <w:t>三方诚信招标有限公司</w:t>
      </w:r>
    </w:p>
    <w:p>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6</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13</w:t>
      </w:r>
      <w:r>
        <w:rPr>
          <w:rFonts w:hint="eastAsia" w:ascii="宋体" w:hAnsi="宋体" w:eastAsia="宋体" w:cs="宋体"/>
          <w:b/>
          <w:bCs/>
          <w:color w:val="auto"/>
          <w:sz w:val="32"/>
          <w:szCs w:val="32"/>
          <w:highlight w:val="none"/>
          <w:lang w:val="zh-CN"/>
        </w:rPr>
        <w:t>日</w:t>
      </w:r>
    </w:p>
    <w:p>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pPr>
        <w:pStyle w:val="6"/>
        <w:rPr>
          <w:color w:val="auto"/>
        </w:rPr>
      </w:pPr>
    </w:p>
    <w:sdt>
      <w:sdtPr>
        <w:rPr>
          <w:rFonts w:ascii="宋体" w:hAnsi="宋体" w:eastAsia="宋体" w:cstheme="minorBidi"/>
          <w:color w:val="auto"/>
          <w:kern w:val="2"/>
          <w:sz w:val="21"/>
          <w:szCs w:val="22"/>
          <w:lang w:val="en-US" w:eastAsia="zh-CN" w:bidi="ar-SA"/>
        </w:rPr>
        <w:id w:val="147464870"/>
        <w15:color w:val="DBDBDB"/>
        <w:docPartObj>
          <w:docPartGallery w:val="Table of Contents"/>
          <w:docPartUnique/>
        </w:docPartObj>
      </w:sdtPr>
      <w:sdtEndPr>
        <w:rPr>
          <w:rFonts w:ascii="宋体" w:hAnsi="宋体" w:eastAsia="宋体" w:cstheme="minorBidi"/>
          <w:color w:val="auto"/>
          <w:kern w:val="2"/>
          <w:sz w:val="21"/>
          <w:szCs w:val="2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color w:val="auto"/>
              <w:sz w:val="28"/>
              <w:szCs w:val="28"/>
            </w:rPr>
          </w:pPr>
          <w:r>
            <w:rPr>
              <w:rFonts w:ascii="宋体" w:hAnsi="宋体" w:eastAsia="宋体"/>
              <w:b/>
              <w:bCs/>
              <w:color w:val="auto"/>
              <w:sz w:val="28"/>
              <w:szCs w:val="28"/>
            </w:rPr>
            <w:t>目</w:t>
          </w:r>
          <w:r>
            <w:rPr>
              <w:rFonts w:hint="eastAsia" w:ascii="宋体" w:hAnsi="宋体" w:eastAsia="宋体"/>
              <w:b/>
              <w:bCs/>
              <w:color w:val="auto"/>
              <w:sz w:val="28"/>
              <w:szCs w:val="28"/>
              <w:lang w:val="en-US" w:eastAsia="zh-CN"/>
            </w:rPr>
            <w:t xml:space="preserve">    </w:t>
          </w:r>
          <w:r>
            <w:rPr>
              <w:rFonts w:ascii="宋体" w:hAnsi="宋体" w:eastAsia="宋体"/>
              <w:b/>
              <w:bCs/>
              <w:color w:val="auto"/>
              <w:sz w:val="28"/>
              <w:szCs w:val="28"/>
            </w:rPr>
            <w:t>录</w:t>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rPr>
          </w:pPr>
          <w:r>
            <w:rPr>
              <w:color w:val="auto"/>
            </w:rPr>
            <w:fldChar w:fldCharType="begin"/>
          </w:r>
          <w:r>
            <w:rPr>
              <w:color w:val="auto"/>
            </w:rPr>
            <w:instrText xml:space="preserve">TOC \o "1-3" \h \u </w:instrText>
          </w:r>
          <w:r>
            <w:rPr>
              <w:color w:val="auto"/>
            </w:rPr>
            <w:fldChar w:fldCharType="separate"/>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_Toc3798 </w:instrText>
          </w:r>
          <w:r>
            <w:rPr>
              <w:rFonts w:hint="eastAsia" w:ascii="宋体" w:hAnsi="宋体" w:eastAsia="宋体" w:cs="宋体"/>
              <w:b/>
              <w:bCs/>
              <w:color w:val="auto"/>
            </w:rPr>
            <w:fldChar w:fldCharType="separate"/>
          </w:r>
          <w:r>
            <w:rPr>
              <w:rFonts w:hint="eastAsia" w:ascii="宋体" w:hAnsi="宋体" w:eastAsia="宋体" w:cs="宋体"/>
              <w:b/>
              <w:bCs/>
              <w:color w:val="auto"/>
              <w:kern w:val="44"/>
              <w:szCs w:val="32"/>
              <w:highlight w:val="none"/>
              <w:lang w:val="zh-CN"/>
            </w:rPr>
            <w:t>第</w:t>
          </w:r>
          <w:r>
            <w:rPr>
              <w:rFonts w:hint="eastAsia" w:ascii="宋体" w:hAnsi="宋体" w:eastAsia="宋体" w:cs="宋体"/>
              <w:b/>
              <w:bCs/>
              <w:color w:val="auto"/>
              <w:kern w:val="44"/>
              <w:szCs w:val="32"/>
              <w:highlight w:val="none"/>
              <w:lang w:val="en-US" w:eastAsia="zh-CN"/>
            </w:rPr>
            <w:t>一</w:t>
          </w:r>
          <w:r>
            <w:rPr>
              <w:rFonts w:hint="eastAsia" w:ascii="宋体" w:hAnsi="宋体" w:eastAsia="宋体" w:cs="宋体"/>
              <w:b/>
              <w:bCs/>
              <w:color w:val="auto"/>
              <w:kern w:val="44"/>
              <w:szCs w:val="32"/>
              <w:highlight w:val="none"/>
              <w:lang w:val="zh-CN"/>
            </w:rPr>
            <w:t>篇</w:t>
          </w:r>
          <w:r>
            <w:rPr>
              <w:rFonts w:hint="eastAsia" w:ascii="宋体" w:hAnsi="宋体" w:eastAsia="宋体" w:cs="宋体"/>
              <w:b/>
              <w:bCs/>
              <w:color w:val="auto"/>
              <w:kern w:val="44"/>
              <w:szCs w:val="32"/>
              <w:highlight w:val="none"/>
            </w:rPr>
            <w:t xml:space="preserve"> </w:t>
          </w:r>
          <w:r>
            <w:rPr>
              <w:rFonts w:hint="eastAsia" w:ascii="宋体" w:hAnsi="宋体" w:eastAsia="宋体" w:cs="宋体"/>
              <w:b/>
              <w:bCs/>
              <w:color w:val="auto"/>
              <w:kern w:val="44"/>
              <w:szCs w:val="32"/>
              <w:highlight w:val="none"/>
              <w:lang w:val="en-US" w:eastAsia="zh-CN"/>
            </w:rPr>
            <w:t>招标公告</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_Toc3798 \h </w:instrText>
          </w:r>
          <w:r>
            <w:rPr>
              <w:rFonts w:hint="eastAsia" w:ascii="宋体" w:hAnsi="宋体" w:eastAsia="宋体" w:cs="宋体"/>
              <w:b/>
              <w:bCs/>
              <w:color w:val="auto"/>
            </w:rPr>
            <w:fldChar w:fldCharType="separate"/>
          </w:r>
          <w:r>
            <w:rPr>
              <w:rFonts w:hint="eastAsia" w:ascii="宋体" w:hAnsi="宋体" w:eastAsia="宋体" w:cs="宋体"/>
              <w:b/>
              <w:bCs/>
              <w:color w:val="auto"/>
            </w:rPr>
            <w:t>4</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_Toc13533 </w:instrText>
          </w:r>
          <w:r>
            <w:rPr>
              <w:rFonts w:hint="eastAsia" w:ascii="宋体" w:hAnsi="宋体" w:eastAsia="宋体" w:cs="宋体"/>
              <w:b/>
              <w:bCs/>
              <w:color w:val="auto"/>
            </w:rPr>
            <w:fldChar w:fldCharType="separate"/>
          </w:r>
          <w:r>
            <w:rPr>
              <w:rFonts w:hint="eastAsia" w:ascii="宋体" w:hAnsi="宋体" w:eastAsia="宋体" w:cs="宋体"/>
              <w:b/>
              <w:bCs/>
              <w:color w:val="auto"/>
              <w:kern w:val="44"/>
              <w:szCs w:val="32"/>
              <w:highlight w:val="none"/>
              <w:lang w:val="zh-CN"/>
            </w:rPr>
            <w:t>第二篇</w:t>
          </w:r>
          <w:r>
            <w:rPr>
              <w:rFonts w:hint="eastAsia" w:ascii="宋体" w:hAnsi="宋体" w:eastAsia="宋体" w:cs="宋体"/>
              <w:b/>
              <w:bCs/>
              <w:color w:val="auto"/>
              <w:kern w:val="44"/>
              <w:szCs w:val="32"/>
              <w:highlight w:val="none"/>
            </w:rPr>
            <w:t xml:space="preserve"> </w:t>
          </w:r>
          <w:r>
            <w:rPr>
              <w:rFonts w:hint="eastAsia" w:ascii="宋体" w:hAnsi="宋体" w:eastAsia="宋体" w:cs="宋体"/>
              <w:b/>
              <w:bCs/>
              <w:color w:val="auto"/>
              <w:kern w:val="44"/>
              <w:szCs w:val="32"/>
              <w:highlight w:val="none"/>
              <w:lang w:val="zh-CN"/>
            </w:rPr>
            <w:t>投标人须知</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_Toc13533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_Toc18164 </w:instrText>
          </w:r>
          <w:r>
            <w:rPr>
              <w:rFonts w:hint="eastAsia" w:ascii="宋体" w:hAnsi="宋体" w:eastAsia="宋体" w:cs="宋体"/>
              <w:color w:val="auto"/>
            </w:rPr>
            <w:fldChar w:fldCharType="separate"/>
          </w:r>
          <w:r>
            <w:rPr>
              <w:rFonts w:hint="eastAsia" w:ascii="宋体" w:hAnsi="宋体" w:eastAsia="宋体" w:cs="宋体"/>
              <w:bCs/>
              <w:color w:val="auto"/>
              <w:kern w:val="44"/>
              <w:szCs w:val="21"/>
              <w:highlight w:val="none"/>
              <w:lang w:val="zh-CN"/>
            </w:rPr>
            <w:t>一、总则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_Toc18164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_Toc17369 </w:instrText>
          </w:r>
          <w:r>
            <w:rPr>
              <w:rFonts w:hint="eastAsia" w:ascii="宋体" w:hAnsi="宋体" w:eastAsia="宋体" w:cs="宋体"/>
              <w:color w:val="auto"/>
            </w:rPr>
            <w:fldChar w:fldCharType="separate"/>
          </w:r>
          <w:r>
            <w:rPr>
              <w:rFonts w:hint="eastAsia" w:ascii="宋体" w:hAnsi="宋体" w:eastAsia="宋体" w:cs="宋体"/>
              <w:color w:val="auto"/>
              <w:lang w:val="zh-CN"/>
            </w:rPr>
            <w:t>1 资金来源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_Toc17369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_Toc13464 </w:instrText>
          </w:r>
          <w:r>
            <w:rPr>
              <w:rFonts w:hint="eastAsia" w:ascii="宋体" w:hAnsi="宋体" w:eastAsia="宋体" w:cs="宋体"/>
              <w:color w:val="auto"/>
            </w:rPr>
            <w:fldChar w:fldCharType="separate"/>
          </w:r>
          <w:r>
            <w:rPr>
              <w:rFonts w:hint="eastAsia" w:ascii="宋体" w:hAnsi="宋体" w:eastAsia="宋体" w:cs="宋体"/>
              <w:color w:val="auto"/>
              <w:lang w:val="zh-CN"/>
            </w:rPr>
            <w:t>2 合格的投标人</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_Toc13464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_Toc26948 </w:instrText>
          </w:r>
          <w:r>
            <w:rPr>
              <w:rFonts w:hint="eastAsia" w:ascii="宋体" w:hAnsi="宋体" w:eastAsia="宋体" w:cs="宋体"/>
              <w:color w:val="auto"/>
            </w:rPr>
            <w:fldChar w:fldCharType="separate"/>
          </w:r>
          <w:r>
            <w:rPr>
              <w:rFonts w:hint="eastAsia" w:ascii="宋体" w:hAnsi="宋体" w:eastAsia="宋体" w:cs="宋体"/>
              <w:color w:val="auto"/>
              <w:lang w:val="zh-CN"/>
            </w:rPr>
            <w:t>3 合格的货物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_Toc26948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_Toc16122 </w:instrText>
          </w:r>
          <w:r>
            <w:rPr>
              <w:rFonts w:hint="eastAsia" w:ascii="宋体" w:hAnsi="宋体" w:eastAsia="宋体" w:cs="宋体"/>
              <w:color w:val="auto"/>
            </w:rPr>
            <w:fldChar w:fldCharType="separate"/>
          </w:r>
          <w:r>
            <w:rPr>
              <w:rFonts w:hint="eastAsia" w:ascii="宋体" w:hAnsi="宋体" w:eastAsia="宋体" w:cs="宋体"/>
              <w:color w:val="auto"/>
              <w:lang w:val="zh-CN"/>
            </w:rPr>
            <w:t>4 其它说明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_Toc16122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_Toc2394 </w:instrText>
          </w:r>
          <w:r>
            <w:rPr>
              <w:rFonts w:hint="eastAsia" w:ascii="宋体" w:hAnsi="宋体" w:eastAsia="宋体" w:cs="宋体"/>
              <w:color w:val="auto"/>
            </w:rPr>
            <w:fldChar w:fldCharType="separate"/>
          </w:r>
          <w:r>
            <w:rPr>
              <w:rFonts w:hint="eastAsia" w:ascii="宋体" w:hAnsi="宋体" w:eastAsia="宋体" w:cs="宋体"/>
              <w:bCs/>
              <w:color w:val="auto"/>
              <w:kern w:val="44"/>
              <w:szCs w:val="21"/>
              <w:highlight w:val="none"/>
              <w:lang w:val="zh-CN"/>
            </w:rPr>
            <w:t>二、招标文件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_Toc2394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_Toc5028 </w:instrText>
          </w:r>
          <w:r>
            <w:rPr>
              <w:rFonts w:hint="eastAsia" w:ascii="宋体" w:hAnsi="宋体" w:eastAsia="宋体" w:cs="宋体"/>
              <w:color w:val="auto"/>
            </w:rPr>
            <w:fldChar w:fldCharType="separate"/>
          </w:r>
          <w:r>
            <w:rPr>
              <w:rFonts w:hint="eastAsia" w:ascii="宋体" w:hAnsi="宋体" w:eastAsia="宋体" w:cs="宋体"/>
              <w:color w:val="auto"/>
              <w:lang w:val="zh-CN"/>
            </w:rPr>
            <w:t>5 招标文件的构成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_Toc5028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_Toc5306 </w:instrText>
          </w:r>
          <w:r>
            <w:rPr>
              <w:rFonts w:hint="eastAsia" w:ascii="宋体" w:hAnsi="宋体" w:eastAsia="宋体" w:cs="宋体"/>
              <w:color w:val="auto"/>
            </w:rPr>
            <w:fldChar w:fldCharType="separate"/>
          </w:r>
          <w:r>
            <w:rPr>
              <w:rFonts w:hint="eastAsia" w:ascii="宋体" w:hAnsi="宋体" w:eastAsia="宋体" w:cs="宋体"/>
              <w:color w:val="auto"/>
              <w:lang w:val="zh-CN"/>
            </w:rPr>
            <w:t>6 招标文件的异议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_Toc5306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_Toc23818 </w:instrText>
          </w:r>
          <w:r>
            <w:rPr>
              <w:rFonts w:hint="eastAsia" w:ascii="宋体" w:hAnsi="宋体" w:eastAsia="宋体" w:cs="宋体"/>
              <w:color w:val="auto"/>
            </w:rPr>
            <w:fldChar w:fldCharType="separate"/>
          </w:r>
          <w:r>
            <w:rPr>
              <w:rFonts w:hint="eastAsia" w:ascii="宋体" w:hAnsi="宋体" w:eastAsia="宋体" w:cs="宋体"/>
              <w:color w:val="auto"/>
              <w:lang w:val="zh-CN"/>
            </w:rPr>
            <w:t>7 招标文件的澄清及修改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_Toc23818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_Toc24335 </w:instrText>
          </w:r>
          <w:r>
            <w:rPr>
              <w:rFonts w:hint="eastAsia" w:ascii="宋体" w:hAnsi="宋体" w:eastAsia="宋体" w:cs="宋体"/>
              <w:color w:val="auto"/>
            </w:rPr>
            <w:fldChar w:fldCharType="separate"/>
          </w:r>
          <w:r>
            <w:rPr>
              <w:rFonts w:hint="eastAsia" w:ascii="宋体" w:hAnsi="宋体" w:eastAsia="宋体" w:cs="宋体"/>
              <w:bCs/>
              <w:color w:val="auto"/>
              <w:kern w:val="44"/>
              <w:szCs w:val="21"/>
              <w:highlight w:val="none"/>
              <w:lang w:val="zh-CN"/>
            </w:rPr>
            <w:t>三、投标文件的编制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_Toc24335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_Toc20240 </w:instrText>
          </w:r>
          <w:r>
            <w:rPr>
              <w:rFonts w:hint="eastAsia" w:ascii="宋体" w:hAnsi="宋体" w:eastAsia="宋体" w:cs="宋体"/>
              <w:color w:val="auto"/>
            </w:rPr>
            <w:fldChar w:fldCharType="separate"/>
          </w:r>
          <w:r>
            <w:rPr>
              <w:rFonts w:hint="eastAsia" w:ascii="宋体" w:hAnsi="宋体" w:eastAsia="宋体" w:cs="宋体"/>
              <w:color w:val="auto"/>
              <w:lang w:val="zh-CN"/>
            </w:rPr>
            <w:t>8 投标使用的文字及度量衡单位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_Toc20240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_Toc18442 </w:instrText>
          </w:r>
          <w:r>
            <w:rPr>
              <w:rFonts w:hint="eastAsia" w:ascii="宋体" w:hAnsi="宋体" w:eastAsia="宋体" w:cs="宋体"/>
              <w:color w:val="auto"/>
            </w:rPr>
            <w:fldChar w:fldCharType="separate"/>
          </w:r>
          <w:r>
            <w:rPr>
              <w:rFonts w:hint="eastAsia" w:ascii="宋体" w:hAnsi="宋体" w:eastAsia="宋体" w:cs="宋体"/>
              <w:color w:val="auto"/>
              <w:lang w:val="zh-CN"/>
            </w:rPr>
            <w:t>9 投标文件的组成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_Toc18442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_Toc16534 </w:instrText>
          </w:r>
          <w:r>
            <w:rPr>
              <w:rFonts w:hint="eastAsia" w:ascii="宋体" w:hAnsi="宋体" w:eastAsia="宋体" w:cs="宋体"/>
              <w:color w:val="auto"/>
            </w:rPr>
            <w:fldChar w:fldCharType="separate"/>
          </w:r>
          <w:r>
            <w:rPr>
              <w:rFonts w:hint="eastAsia" w:ascii="宋体" w:hAnsi="宋体" w:eastAsia="宋体" w:cs="宋体"/>
              <w:color w:val="auto"/>
              <w:lang w:val="zh-CN"/>
            </w:rPr>
            <w:t>10 投标函</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_Toc16534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_Toc12598 </w:instrText>
          </w:r>
          <w:r>
            <w:rPr>
              <w:rFonts w:hint="eastAsia" w:ascii="宋体" w:hAnsi="宋体" w:eastAsia="宋体" w:cs="宋体"/>
              <w:color w:val="auto"/>
            </w:rPr>
            <w:fldChar w:fldCharType="separate"/>
          </w:r>
          <w:r>
            <w:rPr>
              <w:rFonts w:hint="eastAsia" w:ascii="宋体" w:hAnsi="宋体" w:eastAsia="宋体" w:cs="宋体"/>
              <w:color w:val="auto"/>
              <w:lang w:val="zh-CN"/>
            </w:rPr>
            <w:t>11 投标报价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_Toc12598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_Toc635 </w:instrText>
          </w:r>
          <w:r>
            <w:rPr>
              <w:rFonts w:hint="eastAsia" w:ascii="宋体" w:hAnsi="宋体" w:eastAsia="宋体" w:cs="宋体"/>
              <w:color w:val="auto"/>
            </w:rPr>
            <w:fldChar w:fldCharType="separate"/>
          </w:r>
          <w:r>
            <w:rPr>
              <w:rFonts w:hint="eastAsia" w:ascii="宋体" w:hAnsi="宋体" w:eastAsia="宋体" w:cs="宋体"/>
              <w:color w:val="auto"/>
              <w:lang w:val="zh-CN"/>
            </w:rPr>
            <w:t>12 投标报价货币</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_Toc635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_Toc20334 </w:instrText>
          </w:r>
          <w:r>
            <w:rPr>
              <w:rFonts w:hint="eastAsia" w:ascii="宋体" w:hAnsi="宋体" w:eastAsia="宋体" w:cs="宋体"/>
              <w:color w:val="auto"/>
            </w:rPr>
            <w:fldChar w:fldCharType="separate"/>
          </w:r>
          <w:r>
            <w:rPr>
              <w:rFonts w:hint="eastAsia" w:ascii="宋体" w:hAnsi="宋体" w:eastAsia="宋体" w:cs="宋体"/>
              <w:color w:val="auto"/>
              <w:lang w:val="zh-CN"/>
            </w:rPr>
            <w:t>13 证明投标人的合格性和资格的声明文件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_Toc20334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_Toc26559 </w:instrText>
          </w:r>
          <w:r>
            <w:rPr>
              <w:rFonts w:hint="eastAsia" w:ascii="宋体" w:hAnsi="宋体" w:eastAsia="宋体" w:cs="宋体"/>
              <w:color w:val="auto"/>
            </w:rPr>
            <w:fldChar w:fldCharType="separate"/>
          </w:r>
          <w:r>
            <w:rPr>
              <w:rFonts w:hint="eastAsia" w:ascii="宋体" w:hAnsi="宋体" w:eastAsia="宋体" w:cs="宋体"/>
              <w:color w:val="auto"/>
              <w:lang w:val="zh-CN"/>
            </w:rPr>
            <w:t>14 证明货物的合格性并符合招标文件规定的声明文件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_Toc26559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_Toc7420 </w:instrText>
          </w:r>
          <w:r>
            <w:rPr>
              <w:rFonts w:hint="eastAsia" w:ascii="宋体" w:hAnsi="宋体" w:eastAsia="宋体" w:cs="宋体"/>
              <w:color w:val="auto"/>
            </w:rPr>
            <w:fldChar w:fldCharType="separate"/>
          </w:r>
          <w:r>
            <w:rPr>
              <w:rFonts w:hint="eastAsia" w:ascii="宋体" w:hAnsi="宋体" w:eastAsia="宋体" w:cs="宋体"/>
              <w:color w:val="auto"/>
              <w:lang w:val="zh-CN"/>
            </w:rPr>
            <w:t>15 投标保证金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_Toc7420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_Toc20393 </w:instrText>
          </w:r>
          <w:r>
            <w:rPr>
              <w:rFonts w:hint="eastAsia" w:ascii="宋体" w:hAnsi="宋体" w:eastAsia="宋体" w:cs="宋体"/>
              <w:color w:val="auto"/>
            </w:rPr>
            <w:fldChar w:fldCharType="separate"/>
          </w:r>
          <w:r>
            <w:rPr>
              <w:rFonts w:hint="eastAsia" w:ascii="宋体" w:hAnsi="宋体" w:eastAsia="宋体" w:cs="宋体"/>
              <w:color w:val="auto"/>
              <w:lang w:val="zh-CN"/>
            </w:rPr>
            <w:t>16 投标有效期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_Toc20393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_Toc6565 </w:instrText>
          </w:r>
          <w:r>
            <w:rPr>
              <w:rFonts w:hint="eastAsia" w:ascii="宋体" w:hAnsi="宋体" w:eastAsia="宋体" w:cs="宋体"/>
              <w:color w:val="auto"/>
            </w:rPr>
            <w:fldChar w:fldCharType="separate"/>
          </w:r>
          <w:r>
            <w:rPr>
              <w:rFonts w:hint="eastAsia" w:ascii="宋体" w:hAnsi="宋体" w:eastAsia="宋体" w:cs="宋体"/>
              <w:color w:val="auto"/>
              <w:lang w:val="zh-CN"/>
            </w:rPr>
            <w:t>17 投标文件的式样和签署</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_Toc6565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_Toc18968 </w:instrText>
          </w:r>
          <w:r>
            <w:rPr>
              <w:rFonts w:hint="eastAsia" w:ascii="宋体" w:hAnsi="宋体" w:eastAsia="宋体" w:cs="宋体"/>
              <w:color w:val="auto"/>
            </w:rPr>
            <w:fldChar w:fldCharType="separate"/>
          </w:r>
          <w:r>
            <w:rPr>
              <w:rFonts w:hint="eastAsia" w:ascii="宋体" w:hAnsi="宋体" w:eastAsia="宋体" w:cs="宋体"/>
              <w:bCs/>
              <w:color w:val="auto"/>
              <w:kern w:val="44"/>
              <w:szCs w:val="21"/>
              <w:highlight w:val="none"/>
              <w:lang w:val="zh-CN"/>
            </w:rPr>
            <w:t>四、投标文件的递交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_Toc18968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_Toc12342 </w:instrText>
          </w:r>
          <w:r>
            <w:rPr>
              <w:rFonts w:hint="eastAsia" w:ascii="宋体" w:hAnsi="宋体" w:eastAsia="宋体" w:cs="宋体"/>
              <w:color w:val="auto"/>
            </w:rPr>
            <w:fldChar w:fldCharType="separate"/>
          </w:r>
          <w:r>
            <w:rPr>
              <w:rFonts w:hint="eastAsia" w:ascii="宋体" w:hAnsi="宋体" w:eastAsia="宋体" w:cs="宋体"/>
              <w:color w:val="auto"/>
              <w:lang w:val="zh-CN"/>
            </w:rPr>
            <w:t>18 投标文件的密封和标记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_Toc12342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_Toc28525 </w:instrText>
          </w:r>
          <w:r>
            <w:rPr>
              <w:rFonts w:hint="eastAsia" w:ascii="宋体" w:hAnsi="宋体" w:eastAsia="宋体" w:cs="宋体"/>
              <w:color w:val="auto"/>
            </w:rPr>
            <w:fldChar w:fldCharType="separate"/>
          </w:r>
          <w:r>
            <w:rPr>
              <w:rFonts w:hint="eastAsia" w:ascii="宋体" w:hAnsi="宋体" w:eastAsia="宋体" w:cs="宋体"/>
              <w:color w:val="auto"/>
              <w:lang w:val="zh-CN"/>
            </w:rPr>
            <w:t>19 递交投标文件的截止日期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_Toc28525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_Toc5446 </w:instrText>
          </w:r>
          <w:r>
            <w:rPr>
              <w:rFonts w:hint="eastAsia" w:ascii="宋体" w:hAnsi="宋体" w:eastAsia="宋体" w:cs="宋体"/>
              <w:color w:val="auto"/>
            </w:rPr>
            <w:fldChar w:fldCharType="separate"/>
          </w:r>
          <w:r>
            <w:rPr>
              <w:rFonts w:hint="eastAsia" w:ascii="宋体" w:hAnsi="宋体" w:eastAsia="宋体" w:cs="宋体"/>
              <w:color w:val="auto"/>
              <w:lang w:val="zh-CN"/>
            </w:rPr>
            <w:t>20 迟交的投标文件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_Toc5446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_Toc4269 </w:instrText>
          </w:r>
          <w:r>
            <w:rPr>
              <w:rFonts w:hint="eastAsia" w:ascii="宋体" w:hAnsi="宋体" w:eastAsia="宋体" w:cs="宋体"/>
              <w:color w:val="auto"/>
            </w:rPr>
            <w:fldChar w:fldCharType="separate"/>
          </w:r>
          <w:r>
            <w:rPr>
              <w:rFonts w:hint="eastAsia" w:ascii="宋体" w:hAnsi="宋体" w:eastAsia="宋体" w:cs="宋体"/>
              <w:color w:val="auto"/>
              <w:lang w:val="zh-CN"/>
            </w:rPr>
            <w:t>21 投标文件的修改和撤回</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_Toc4269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_Toc20817 </w:instrText>
          </w:r>
          <w:r>
            <w:rPr>
              <w:rFonts w:hint="eastAsia" w:ascii="宋体" w:hAnsi="宋体" w:eastAsia="宋体" w:cs="宋体"/>
              <w:color w:val="auto"/>
            </w:rPr>
            <w:fldChar w:fldCharType="separate"/>
          </w:r>
          <w:r>
            <w:rPr>
              <w:rFonts w:hint="eastAsia" w:ascii="宋体" w:hAnsi="宋体" w:eastAsia="宋体" w:cs="宋体"/>
              <w:bCs/>
              <w:color w:val="auto"/>
              <w:kern w:val="44"/>
              <w:szCs w:val="21"/>
              <w:highlight w:val="none"/>
              <w:lang w:val="zh-CN"/>
            </w:rPr>
            <w:t>五、开标与评标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_Toc20817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_Toc18892 </w:instrText>
          </w:r>
          <w:r>
            <w:rPr>
              <w:rFonts w:hint="eastAsia" w:ascii="宋体" w:hAnsi="宋体" w:eastAsia="宋体" w:cs="宋体"/>
              <w:color w:val="auto"/>
            </w:rPr>
            <w:fldChar w:fldCharType="separate"/>
          </w:r>
          <w:r>
            <w:rPr>
              <w:rFonts w:hint="eastAsia" w:ascii="宋体" w:hAnsi="宋体" w:eastAsia="宋体" w:cs="宋体"/>
              <w:color w:val="auto"/>
              <w:lang w:val="zh-CN"/>
            </w:rPr>
            <w:t>22 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_Toc18892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_Toc30804 </w:instrText>
          </w:r>
          <w:r>
            <w:rPr>
              <w:rFonts w:hint="eastAsia" w:ascii="宋体" w:hAnsi="宋体" w:eastAsia="宋体" w:cs="宋体"/>
              <w:color w:val="auto"/>
            </w:rPr>
            <w:fldChar w:fldCharType="separate"/>
          </w:r>
          <w:r>
            <w:rPr>
              <w:rFonts w:hint="eastAsia" w:ascii="宋体" w:hAnsi="宋体" w:eastAsia="宋体" w:cs="宋体"/>
              <w:color w:val="auto"/>
              <w:lang w:val="zh-CN"/>
            </w:rPr>
            <w:t xml:space="preserve">23 </w:t>
          </w:r>
          <w:r>
            <w:rPr>
              <w:rFonts w:hint="eastAsia" w:ascii="宋体" w:hAnsi="宋体" w:eastAsia="宋体" w:cs="宋体"/>
              <w:color w:val="auto"/>
            </w:rPr>
            <w:t>评标过程的保密性</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_Toc30804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_Toc3908 </w:instrText>
          </w:r>
          <w:r>
            <w:rPr>
              <w:rFonts w:hint="eastAsia" w:ascii="宋体" w:hAnsi="宋体" w:eastAsia="宋体" w:cs="宋体"/>
              <w:color w:val="auto"/>
            </w:rPr>
            <w:fldChar w:fldCharType="separate"/>
          </w:r>
          <w:r>
            <w:rPr>
              <w:rFonts w:hint="eastAsia" w:ascii="宋体" w:hAnsi="宋体" w:eastAsia="宋体" w:cs="宋体"/>
              <w:color w:val="auto"/>
              <w:lang w:val="zh-CN"/>
            </w:rPr>
            <w:t>24 评标委员会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_Toc3908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_Toc25484 </w:instrText>
          </w:r>
          <w:r>
            <w:rPr>
              <w:rFonts w:hint="eastAsia" w:ascii="宋体" w:hAnsi="宋体" w:eastAsia="宋体" w:cs="宋体"/>
              <w:color w:val="auto"/>
            </w:rPr>
            <w:fldChar w:fldCharType="separate"/>
          </w:r>
          <w:r>
            <w:rPr>
              <w:rFonts w:hint="eastAsia" w:ascii="宋体" w:hAnsi="宋体" w:eastAsia="宋体" w:cs="宋体"/>
              <w:color w:val="auto"/>
              <w:lang w:val="zh-CN"/>
            </w:rPr>
            <w:t>25 投标文件的初审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_Toc25484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_Toc22879 </w:instrText>
          </w:r>
          <w:r>
            <w:rPr>
              <w:rFonts w:hint="eastAsia" w:ascii="宋体" w:hAnsi="宋体" w:eastAsia="宋体" w:cs="宋体"/>
              <w:color w:val="auto"/>
            </w:rPr>
            <w:fldChar w:fldCharType="separate"/>
          </w:r>
          <w:r>
            <w:rPr>
              <w:rFonts w:hint="eastAsia" w:ascii="宋体" w:hAnsi="宋体" w:eastAsia="宋体" w:cs="宋体"/>
              <w:color w:val="auto"/>
              <w:lang w:val="zh-CN"/>
            </w:rPr>
            <w:t>26 投标文件的澄清</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_Toc22879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_Toc9746 </w:instrText>
          </w:r>
          <w:r>
            <w:rPr>
              <w:rFonts w:hint="eastAsia" w:ascii="宋体" w:hAnsi="宋体" w:eastAsia="宋体" w:cs="宋体"/>
              <w:color w:val="auto"/>
            </w:rPr>
            <w:fldChar w:fldCharType="separate"/>
          </w:r>
          <w:r>
            <w:rPr>
              <w:rFonts w:hint="eastAsia" w:ascii="宋体" w:hAnsi="宋体" w:eastAsia="宋体" w:cs="宋体"/>
              <w:color w:val="auto"/>
              <w:lang w:val="zh-CN"/>
            </w:rPr>
            <w:t>27 对投标文件的比较和评价</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_Toc9746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_Toc25314 </w:instrText>
          </w:r>
          <w:r>
            <w:rPr>
              <w:rFonts w:hint="eastAsia" w:ascii="宋体" w:hAnsi="宋体" w:eastAsia="宋体" w:cs="宋体"/>
              <w:color w:val="auto"/>
            </w:rPr>
            <w:fldChar w:fldCharType="separate"/>
          </w:r>
          <w:r>
            <w:rPr>
              <w:rFonts w:hint="eastAsia" w:ascii="宋体" w:hAnsi="宋体" w:eastAsia="宋体" w:cs="宋体"/>
              <w:color w:val="auto"/>
              <w:lang w:val="zh-CN"/>
            </w:rPr>
            <w:t>28 评标原则及方法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_Toc25314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_Toc31588 </w:instrText>
          </w:r>
          <w:r>
            <w:rPr>
              <w:rFonts w:hint="eastAsia" w:ascii="宋体" w:hAnsi="宋体" w:eastAsia="宋体" w:cs="宋体"/>
              <w:color w:val="auto"/>
            </w:rPr>
            <w:fldChar w:fldCharType="separate"/>
          </w:r>
          <w:r>
            <w:rPr>
              <w:rFonts w:hint="eastAsia" w:ascii="宋体" w:hAnsi="宋体" w:eastAsia="宋体" w:cs="宋体"/>
              <w:color w:val="auto"/>
              <w:lang w:val="zh-CN"/>
            </w:rPr>
            <w:t>2</w:t>
          </w:r>
          <w:r>
            <w:rPr>
              <w:rFonts w:hint="eastAsia" w:ascii="宋体" w:hAnsi="宋体" w:eastAsia="宋体" w:cs="宋体"/>
              <w:color w:val="auto"/>
            </w:rPr>
            <w:t xml:space="preserve">9 </w:t>
          </w:r>
          <w:r>
            <w:rPr>
              <w:rFonts w:hint="eastAsia" w:ascii="宋体" w:hAnsi="宋体" w:eastAsia="宋体" w:cs="宋体"/>
              <w:color w:val="auto"/>
              <w:lang w:val="zh-CN"/>
            </w:rPr>
            <w:t>评标结果公示及异议、投诉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_Toc31588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_Toc24057 </w:instrText>
          </w:r>
          <w:r>
            <w:rPr>
              <w:rFonts w:hint="eastAsia" w:ascii="宋体" w:hAnsi="宋体" w:eastAsia="宋体" w:cs="宋体"/>
              <w:color w:val="auto"/>
            </w:rPr>
            <w:fldChar w:fldCharType="separate"/>
          </w:r>
          <w:r>
            <w:rPr>
              <w:rFonts w:hint="eastAsia" w:ascii="宋体" w:hAnsi="宋体" w:eastAsia="宋体" w:cs="宋体"/>
              <w:color w:val="auto"/>
            </w:rPr>
            <w:t>30</w:t>
          </w:r>
          <w:r>
            <w:rPr>
              <w:rFonts w:hint="eastAsia" w:ascii="宋体" w:hAnsi="宋体" w:eastAsia="宋体" w:cs="宋体"/>
              <w:color w:val="auto"/>
              <w:lang w:val="zh-CN"/>
            </w:rPr>
            <w:t xml:space="preserve"> 真实性审查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_Toc24057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_Toc10009 </w:instrText>
          </w:r>
          <w:r>
            <w:rPr>
              <w:rFonts w:hint="eastAsia" w:ascii="宋体" w:hAnsi="宋体" w:eastAsia="宋体" w:cs="宋体"/>
              <w:color w:val="auto"/>
            </w:rPr>
            <w:fldChar w:fldCharType="separate"/>
          </w:r>
          <w:r>
            <w:rPr>
              <w:rFonts w:hint="eastAsia" w:ascii="宋体" w:hAnsi="宋体" w:eastAsia="宋体" w:cs="宋体"/>
              <w:color w:val="auto"/>
            </w:rPr>
            <w:t>31</w:t>
          </w:r>
          <w:r>
            <w:rPr>
              <w:rFonts w:hint="eastAsia" w:ascii="宋体" w:hAnsi="宋体" w:eastAsia="宋体" w:cs="宋体"/>
              <w:color w:val="auto"/>
              <w:lang w:val="zh-CN"/>
            </w:rPr>
            <w:t xml:space="preserve"> 评标委员会和招标人接受或拒绝任何投标或所有投标的权利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_Toc10009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_Toc22929 </w:instrText>
          </w:r>
          <w:r>
            <w:rPr>
              <w:rFonts w:hint="eastAsia" w:ascii="宋体" w:hAnsi="宋体" w:eastAsia="宋体" w:cs="宋体"/>
              <w:color w:val="auto"/>
            </w:rPr>
            <w:fldChar w:fldCharType="separate"/>
          </w:r>
          <w:r>
            <w:rPr>
              <w:rFonts w:hint="eastAsia" w:ascii="宋体" w:hAnsi="宋体" w:eastAsia="宋体" w:cs="宋体"/>
              <w:bCs/>
              <w:color w:val="auto"/>
              <w:kern w:val="44"/>
              <w:szCs w:val="21"/>
              <w:highlight w:val="none"/>
              <w:lang w:val="zh-CN"/>
            </w:rPr>
            <w:t>六、授予合同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_Toc22929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_Toc14160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_Toc14160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_Toc8842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lang w:val="zh-CN"/>
            </w:rPr>
            <w:t>33 中标通知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_Toc8842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_Toc26535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_Toc26535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_Toc1889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_Toc1889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_Toc4271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_Toc4271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_Toc23107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_Toc23107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_Toc12346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_Toc12346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_Toc11437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rPr>
            <w:t>39 招标相关补充约定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_Toc11437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1"/>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60" w:lineRule="auto"/>
            <w:ind w:left="840" w:leftChars="200" w:hanging="420" w:hangingChars="20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_Toc14591 </w:instrText>
          </w:r>
          <w:r>
            <w:rPr>
              <w:rFonts w:hint="eastAsia" w:ascii="宋体" w:hAnsi="宋体" w:eastAsia="宋体" w:cs="宋体"/>
              <w:color w:val="auto"/>
            </w:rPr>
            <w:fldChar w:fldCharType="separate"/>
          </w:r>
          <w:r>
            <w:rPr>
              <w:rFonts w:hint="eastAsia" w:ascii="宋体" w:hAnsi="宋体" w:eastAsia="宋体" w:cs="宋体"/>
              <w:color w:val="auto"/>
              <w:szCs w:val="21"/>
              <w:highlight w:val="none"/>
            </w:rPr>
            <w:t>40 本次招标活动的最终解释权归招标代理机构及招标人所有。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_Toc14591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_Toc22779 </w:instrText>
          </w:r>
          <w:r>
            <w:rPr>
              <w:rFonts w:hint="eastAsia" w:ascii="宋体" w:hAnsi="宋体" w:eastAsia="宋体" w:cs="宋体"/>
              <w:b/>
              <w:bCs/>
              <w:color w:val="auto"/>
            </w:rPr>
            <w:fldChar w:fldCharType="separate"/>
          </w:r>
          <w:r>
            <w:rPr>
              <w:rFonts w:hint="eastAsia" w:ascii="宋体" w:hAnsi="宋体" w:eastAsia="宋体" w:cs="宋体"/>
              <w:b/>
              <w:bCs/>
              <w:color w:val="auto"/>
              <w:kern w:val="44"/>
              <w:szCs w:val="32"/>
              <w:highlight w:val="none"/>
              <w:lang w:val="zh-CN"/>
            </w:rPr>
            <w:t>第三篇 用户需求书</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_Toc22779 \h </w:instrText>
          </w:r>
          <w:r>
            <w:rPr>
              <w:rFonts w:hint="eastAsia" w:ascii="宋体" w:hAnsi="宋体" w:eastAsia="宋体" w:cs="宋体"/>
              <w:b/>
              <w:bCs/>
              <w:color w:val="auto"/>
            </w:rPr>
            <w:fldChar w:fldCharType="separate"/>
          </w:r>
          <w:r>
            <w:rPr>
              <w:rFonts w:hint="eastAsia" w:ascii="宋体" w:hAnsi="宋体" w:eastAsia="宋体" w:cs="宋体"/>
              <w:b/>
              <w:bCs/>
              <w:color w:val="auto"/>
            </w:rPr>
            <w:t>22</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_Toc3166 </w:instrText>
          </w:r>
          <w:r>
            <w:rPr>
              <w:rFonts w:hint="eastAsia" w:ascii="宋体" w:hAnsi="宋体" w:eastAsia="宋体" w:cs="宋体"/>
              <w:b/>
              <w:bCs/>
              <w:color w:val="auto"/>
            </w:rPr>
            <w:fldChar w:fldCharType="separate"/>
          </w:r>
          <w:r>
            <w:rPr>
              <w:rFonts w:hint="eastAsia" w:ascii="宋体" w:hAnsi="宋体" w:eastAsia="宋体" w:cs="宋体"/>
              <w:b/>
              <w:bCs/>
              <w:color w:val="auto"/>
              <w:kern w:val="44"/>
              <w:szCs w:val="32"/>
              <w:highlight w:val="none"/>
              <w:lang w:val="zh-CN"/>
            </w:rPr>
            <w:t>第四篇 合同条款格式</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_Toc3166 \h </w:instrText>
          </w:r>
          <w:r>
            <w:rPr>
              <w:rFonts w:hint="eastAsia" w:ascii="宋体" w:hAnsi="宋体" w:eastAsia="宋体" w:cs="宋体"/>
              <w:b/>
              <w:bCs/>
              <w:color w:val="auto"/>
            </w:rPr>
            <w:fldChar w:fldCharType="separate"/>
          </w:r>
          <w:r>
            <w:rPr>
              <w:rFonts w:hint="eastAsia" w:ascii="宋体" w:hAnsi="宋体" w:eastAsia="宋体" w:cs="宋体"/>
              <w:b/>
              <w:bCs/>
              <w:color w:val="auto"/>
            </w:rPr>
            <w:t>58</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_Toc20895 </w:instrText>
          </w:r>
          <w:r>
            <w:rPr>
              <w:rFonts w:hint="eastAsia" w:ascii="宋体" w:hAnsi="宋体" w:eastAsia="宋体" w:cs="宋体"/>
              <w:b/>
              <w:bCs/>
              <w:color w:val="auto"/>
            </w:rPr>
            <w:fldChar w:fldCharType="separate"/>
          </w:r>
          <w:r>
            <w:rPr>
              <w:rFonts w:hint="eastAsia" w:ascii="宋体" w:hAnsi="宋体" w:eastAsia="宋体" w:cs="宋体"/>
              <w:b/>
              <w:bCs/>
              <w:color w:val="auto"/>
              <w:szCs w:val="32"/>
              <w:highlight w:val="none"/>
              <w:lang w:val="zh-CN"/>
            </w:rPr>
            <w:t>第五篇 相关保函格式</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_Toc20895 \h </w:instrText>
          </w:r>
          <w:r>
            <w:rPr>
              <w:rFonts w:hint="eastAsia" w:ascii="宋体" w:hAnsi="宋体" w:eastAsia="宋体" w:cs="宋体"/>
              <w:b/>
              <w:bCs/>
              <w:color w:val="auto"/>
            </w:rPr>
            <w:fldChar w:fldCharType="separate"/>
          </w:r>
          <w:r>
            <w:rPr>
              <w:rFonts w:hint="eastAsia" w:ascii="宋体" w:hAnsi="宋体" w:eastAsia="宋体" w:cs="宋体"/>
              <w:b/>
              <w:bCs/>
              <w:color w:val="auto"/>
            </w:rPr>
            <w:t>81</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_Toc14839 </w:instrText>
          </w:r>
          <w:r>
            <w:rPr>
              <w:rFonts w:hint="eastAsia" w:ascii="宋体" w:hAnsi="宋体" w:eastAsia="宋体" w:cs="宋体"/>
              <w:b/>
              <w:bCs/>
              <w:color w:val="auto"/>
            </w:rPr>
            <w:fldChar w:fldCharType="separate"/>
          </w:r>
          <w:r>
            <w:rPr>
              <w:rFonts w:hint="eastAsia" w:ascii="宋体" w:hAnsi="宋体" w:eastAsia="宋体" w:cs="宋体"/>
              <w:b/>
              <w:bCs/>
              <w:color w:val="auto"/>
              <w:kern w:val="44"/>
              <w:szCs w:val="32"/>
              <w:highlight w:val="none"/>
              <w:lang w:val="zh-CN"/>
            </w:rPr>
            <w:t>第六篇 投标文件格式</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_Toc14839 \h </w:instrText>
          </w:r>
          <w:r>
            <w:rPr>
              <w:rFonts w:hint="eastAsia" w:ascii="宋体" w:hAnsi="宋体" w:eastAsia="宋体" w:cs="宋体"/>
              <w:b/>
              <w:bCs/>
              <w:color w:val="auto"/>
            </w:rPr>
            <w:fldChar w:fldCharType="separate"/>
          </w:r>
          <w:r>
            <w:rPr>
              <w:rFonts w:hint="eastAsia" w:ascii="宋体" w:hAnsi="宋体" w:eastAsia="宋体" w:cs="宋体"/>
              <w:b/>
              <w:bCs/>
              <w:color w:val="auto"/>
            </w:rPr>
            <w:t>84</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pPr>
            <w:pStyle w:val="28"/>
            <w:keepNext w:val="0"/>
            <w:keepLines w:val="0"/>
            <w:pageBreakBefore w:val="0"/>
            <w:widowControl w:val="0"/>
            <w:tabs>
              <w:tab w:val="right" w:leader="dot" w:pos="10154"/>
            </w:tabs>
            <w:kinsoku/>
            <w:wordWrap/>
            <w:overflowPunct/>
            <w:topLinePunct w:val="0"/>
            <w:autoSpaceDE/>
            <w:autoSpaceDN/>
            <w:bidi w:val="0"/>
            <w:adjustRightInd/>
            <w:snapToGrid/>
            <w:spacing w:line="360" w:lineRule="auto"/>
            <w:textAlignment w:val="auto"/>
            <w:rPr>
              <w:b/>
              <w:bCs/>
              <w:color w:val="auto"/>
            </w:rPr>
          </w:pP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HYPERLINK \l _Toc3113 </w:instrText>
          </w:r>
          <w:r>
            <w:rPr>
              <w:rFonts w:hint="eastAsia" w:ascii="宋体" w:hAnsi="宋体" w:eastAsia="宋体" w:cs="宋体"/>
              <w:b/>
              <w:bCs/>
              <w:color w:val="auto"/>
            </w:rPr>
            <w:fldChar w:fldCharType="separate"/>
          </w:r>
          <w:r>
            <w:rPr>
              <w:rFonts w:hint="eastAsia" w:ascii="宋体" w:hAnsi="宋体" w:eastAsia="宋体" w:cs="宋体"/>
              <w:b/>
              <w:bCs/>
              <w:color w:val="auto"/>
              <w:kern w:val="44"/>
              <w:szCs w:val="32"/>
              <w:highlight w:val="none"/>
              <w:lang w:val="zh-CN"/>
            </w:rPr>
            <w:t>附件一：评标工作大纲</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_Toc3113 \h </w:instrText>
          </w:r>
          <w:r>
            <w:rPr>
              <w:rFonts w:hint="eastAsia" w:ascii="宋体" w:hAnsi="宋体" w:eastAsia="宋体" w:cs="宋体"/>
              <w:b/>
              <w:bCs/>
              <w:color w:val="auto"/>
            </w:rPr>
            <w:fldChar w:fldCharType="separate"/>
          </w:r>
          <w:r>
            <w:rPr>
              <w:rFonts w:hint="eastAsia" w:ascii="宋体" w:hAnsi="宋体" w:eastAsia="宋体" w:cs="宋体"/>
              <w:b/>
              <w:bCs/>
              <w:color w:val="auto"/>
            </w:rPr>
            <w:t>211</w:t>
          </w:r>
          <w:r>
            <w:rPr>
              <w:rFonts w:hint="eastAsia" w:ascii="宋体" w:hAnsi="宋体" w:eastAsia="宋体" w:cs="宋体"/>
              <w:b/>
              <w:bCs/>
              <w:color w:val="auto"/>
            </w:rPr>
            <w:fldChar w:fldCharType="end"/>
          </w:r>
          <w:r>
            <w:rPr>
              <w:rFonts w:hint="eastAsia" w:ascii="宋体" w:hAnsi="宋体" w:eastAsia="宋体" w:cs="宋体"/>
              <w:b/>
              <w:bCs/>
              <w:color w:val="auto"/>
            </w:rPr>
            <w:fldChar w:fldCharType="end"/>
          </w:r>
        </w:p>
        <w:p>
          <w:pPr>
            <w:rPr>
              <w:color w:val="auto"/>
            </w:rPr>
          </w:pPr>
          <w:r>
            <w:rPr>
              <w:color w:val="auto"/>
            </w:rPr>
            <w:fldChar w:fldCharType="end"/>
          </w:r>
        </w:p>
      </w:sdtContent>
    </w:sdt>
    <w:p>
      <w:pPr>
        <w:rPr>
          <w:color w:val="auto"/>
        </w:rPr>
      </w:pPr>
      <w:r>
        <w:rPr>
          <w:color w:val="auto"/>
        </w:rPr>
        <w:br w:type="page"/>
      </w:r>
    </w:p>
    <w:p>
      <w:pPr>
        <w:pageBreakBefore/>
        <w:tabs>
          <w:tab w:val="left" w:pos="1080"/>
        </w:tabs>
        <w:autoSpaceDE w:val="0"/>
        <w:autoSpaceDN w:val="0"/>
        <w:adjustRightInd w:val="0"/>
        <w:spacing w:line="360" w:lineRule="auto"/>
        <w:ind w:left="-167" w:leftChars="-100" w:hanging="43"/>
        <w:jc w:val="center"/>
        <w:outlineLvl w:val="0"/>
        <w:rPr>
          <w:rFonts w:hint="default" w:ascii="宋体" w:hAnsi="宋体" w:eastAsia="宋体" w:cs="宋体"/>
          <w:b/>
          <w:bCs/>
          <w:color w:val="auto"/>
          <w:kern w:val="44"/>
          <w:sz w:val="32"/>
          <w:szCs w:val="32"/>
          <w:highlight w:val="none"/>
          <w:lang w:val="en-US" w:eastAsia="zh-CN"/>
        </w:rPr>
      </w:pPr>
      <w:bookmarkStart w:id="0" w:name="_Toc3798"/>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一</w:t>
      </w:r>
      <w:r>
        <w:rPr>
          <w:rFonts w:hint="eastAsia" w:ascii="宋体" w:hAnsi="宋体" w:eastAsia="宋体" w:cs="宋体"/>
          <w:b/>
          <w:bCs/>
          <w:color w:val="auto"/>
          <w:kern w:val="44"/>
          <w:sz w:val="32"/>
          <w:szCs w:val="32"/>
          <w:highlight w:val="none"/>
          <w:lang w:val="zh-CN"/>
        </w:rPr>
        <w:t>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en-US" w:eastAsia="zh-CN"/>
        </w:rPr>
        <w:t>招标公告</w:t>
      </w:r>
      <w:bookmarkEnd w:id="0"/>
    </w:p>
    <w:p>
      <w:pPr>
        <w:rPr>
          <w:color w:val="auto"/>
        </w:rPr>
      </w:pPr>
    </w:p>
    <w:p>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三方诚信招标有限公司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东莞市置拓投资有限公司</w:t>
      </w:r>
      <w:r>
        <w:rPr>
          <w:rFonts w:ascii="宋体" w:hAnsi="宋体" w:eastAsia="宋体" w:cs="Times New Roman"/>
          <w:color w:val="auto"/>
          <w:szCs w:val="21"/>
          <w:highlight w:val="none"/>
          <w:lang w:val="zh-CN"/>
        </w:rPr>
        <w:t>（以下简称“招标人”）的委托，对</w:t>
      </w:r>
      <w:bookmarkStart w:id="1" w:name="_Hlk41903390"/>
      <w:r>
        <w:rPr>
          <w:rFonts w:hint="eastAsia" w:ascii="宋体" w:hAnsi="宋体" w:eastAsia="宋体" w:cs="Times New Roman"/>
          <w:color w:val="auto"/>
          <w:kern w:val="0"/>
          <w:szCs w:val="21"/>
          <w:highlight w:val="none"/>
          <w:lang w:eastAsia="zh-CN"/>
        </w:rPr>
        <w:t>东莞市置拓投资有限公司水业大厦食堂设备设施采购项目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0832-SFCX25DG030A</w:t>
      </w:r>
      <w:r>
        <w:rPr>
          <w:rFonts w:ascii="宋体" w:hAnsi="宋体" w:eastAsia="宋体" w:cs="Times New Roman"/>
          <w:color w:val="auto"/>
          <w:szCs w:val="21"/>
          <w:highlight w:val="none"/>
          <w:lang w:val="zh-CN"/>
        </w:rPr>
        <w:t>)</w:t>
      </w:r>
      <w:bookmarkEnd w:id="1"/>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szCs w:val="21"/>
          <w:highlight w:val="none"/>
          <w:lang w:val="zh-CN" w:eastAsia="zh-CN"/>
        </w:rPr>
      </w:pPr>
      <w:r>
        <w:rPr>
          <w:rFonts w:hint="eastAsia" w:ascii="宋体" w:hAnsi="宋体" w:eastAsia="宋体" w:cs="宋体"/>
          <w:sz w:val="21"/>
          <w:szCs w:val="21"/>
          <w:lang w:val="en-US" w:eastAsia="zh-CN"/>
        </w:rPr>
        <w:t>东莞市置拓投资有限公司水业大厦食堂设备设施采购项目，包括本项目</w:t>
      </w:r>
      <w:r>
        <w:rPr>
          <w:rFonts w:hint="eastAsia" w:ascii="宋体" w:hAnsi="宋体" w:eastAsia="宋体" w:cs="宋体"/>
          <w:color w:val="auto"/>
          <w:sz w:val="21"/>
          <w:szCs w:val="21"/>
          <w:highlight w:val="none"/>
          <w:lang w:val="en-US" w:eastAsia="zh-CN"/>
        </w:rPr>
        <w:t>设计图纸范围内并满足厨房设计功能要求的</w:t>
      </w:r>
      <w:r>
        <w:rPr>
          <w:rFonts w:hint="eastAsia" w:ascii="宋体" w:hAnsi="宋体" w:eastAsia="宋体" w:cs="宋体"/>
          <w:sz w:val="21"/>
          <w:szCs w:val="21"/>
          <w:lang w:val="en-US" w:eastAsia="zh-CN"/>
        </w:rPr>
        <w:t>厨房设备、阳光厨房管理系统、室内/后厨制冷空调降温系统、厨房系统安全措施及灭火系统、净水设备、通排新风系统等设备设施及</w:t>
      </w:r>
      <w:r>
        <w:rPr>
          <w:rFonts w:hint="eastAsia" w:ascii="宋体" w:hAnsi="宋体" w:eastAsia="宋体" w:cs="Times New Roman"/>
          <w:color w:val="auto"/>
          <w:kern w:val="0"/>
          <w:szCs w:val="21"/>
          <w:highlight w:val="none"/>
          <w:lang w:eastAsia="zh-CN"/>
        </w:rPr>
        <w:t>其配备的附件的设计（含配合招标人完成深化设计、土建装修及水电装修过程的跟踪及参与验收）、采购、制造、检测、检验、试验、包装、储存（含现场仓储）、运输（退换货运输）、送货、装卸（含二次搬运至招标人指定交货或仓储地点）、安装、调试、质保期免费上门提供售后服务、培训、专用工具及备品备件、验收及技术服务</w:t>
      </w:r>
      <w:r>
        <w:rPr>
          <w:rFonts w:hint="eastAsia" w:ascii="宋体" w:hAnsi="宋体" w:eastAsia="宋体" w:cs="Times New Roman"/>
          <w:color w:val="auto"/>
          <w:kern w:val="0"/>
          <w:szCs w:val="21"/>
          <w:highlight w:val="none"/>
          <w:lang w:val="en-US" w:eastAsia="zh-CN"/>
        </w:rPr>
        <w:t>等工作</w:t>
      </w:r>
      <w:r>
        <w:rPr>
          <w:rFonts w:hint="eastAsia" w:ascii="宋体" w:hAnsi="宋体" w:eastAsia="宋体" w:cs="Times New Roman"/>
          <w:color w:val="auto"/>
          <w:kern w:val="0"/>
          <w:szCs w:val="21"/>
          <w:highlight w:val="none"/>
          <w:lang w:eastAsia="zh-CN"/>
        </w:rPr>
        <w:t>（具体内容详见：第三篇用户需求书）。</w:t>
      </w:r>
    </w:p>
    <w:p>
      <w:pPr>
        <w:pStyle w:val="16"/>
        <w:rPr>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p>
    <w:p>
      <w:pPr>
        <w:pStyle w:val="159"/>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pPr>
        <w:pStyle w:val="159"/>
        <w:spacing w:line="360" w:lineRule="auto"/>
        <w:ind w:right="-29" w:rightChars="-14" w:firstLine="0" w:firstLineChars="0"/>
        <w:jc w:val="both"/>
        <w:rPr>
          <w:rFonts w:hint="eastAsia" w:hAnsi="宋体" w:eastAsia="宋体"/>
          <w:b/>
          <w:color w:val="auto"/>
          <w:sz w:val="21"/>
          <w:szCs w:val="21"/>
          <w:highlight w:val="none"/>
          <w:lang w:val="zh-CN" w:eastAsia="zh-CN"/>
        </w:rPr>
      </w:pPr>
      <w:bookmarkStart w:id="2" w:name="_Toc25819"/>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 xml:space="preserve"> 投标人202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年1月1日以来具有一份</w:t>
      </w:r>
      <w:r>
        <w:rPr>
          <w:rFonts w:hint="eastAsia" w:hAnsi="宋体" w:eastAsia="宋体"/>
          <w:b/>
          <w:color w:val="auto"/>
          <w:sz w:val="21"/>
          <w:szCs w:val="21"/>
          <w:highlight w:val="none"/>
          <w:lang w:val="zh-CN" w:eastAsia="zh-CN"/>
        </w:rPr>
        <w:t>食堂</w:t>
      </w:r>
      <w:r>
        <w:rPr>
          <w:rFonts w:hint="eastAsia" w:hAnsi="宋体" w:eastAsia="宋体"/>
          <w:b/>
          <w:color w:val="auto"/>
          <w:sz w:val="21"/>
          <w:szCs w:val="21"/>
          <w:highlight w:val="none"/>
          <w:lang w:val="en-US" w:eastAsia="zh-CN"/>
        </w:rPr>
        <w:t>厨房</w:t>
      </w:r>
      <w:r>
        <w:rPr>
          <w:rFonts w:hint="eastAsia" w:hAnsi="宋体" w:eastAsia="宋体"/>
          <w:b/>
          <w:color w:val="auto"/>
          <w:sz w:val="21"/>
          <w:szCs w:val="21"/>
          <w:highlight w:val="none"/>
          <w:lang w:val="zh-CN" w:eastAsia="zh-CN"/>
        </w:rPr>
        <w:t>设备</w:t>
      </w:r>
      <w:r>
        <w:rPr>
          <w:rFonts w:hint="eastAsia" w:hAnsi="宋体" w:eastAsia="宋体"/>
          <w:b/>
          <w:color w:val="auto"/>
          <w:sz w:val="21"/>
          <w:szCs w:val="21"/>
          <w:highlight w:val="none"/>
          <w:lang w:val="en-US" w:eastAsia="zh-CN"/>
        </w:rPr>
        <w:t>供货</w:t>
      </w:r>
      <w:r>
        <w:rPr>
          <w:rFonts w:hint="eastAsia" w:hAnsi="宋体" w:eastAsia="宋体"/>
          <w:b/>
          <w:color w:val="auto"/>
          <w:sz w:val="21"/>
          <w:szCs w:val="21"/>
          <w:highlight w:val="none"/>
          <w:lang w:val="zh-CN"/>
        </w:rPr>
        <w:t>业绩（</w:t>
      </w:r>
      <w:r>
        <w:rPr>
          <w:rFonts w:hint="eastAsia" w:hAnsi="宋体" w:eastAsia="宋体"/>
          <w:b/>
          <w:color w:val="auto"/>
          <w:sz w:val="21"/>
          <w:szCs w:val="21"/>
          <w:highlight w:val="none"/>
          <w:lang w:val="zh-CN" w:eastAsia="zh-CN"/>
        </w:rPr>
        <w:t>合同标的供货内容须同时包含厨房油烟净化设</w:t>
      </w:r>
    </w:p>
    <w:p>
      <w:pPr>
        <w:pStyle w:val="159"/>
        <w:spacing w:line="360" w:lineRule="auto"/>
        <w:ind w:right="-29" w:rightChars="-14" w:firstLine="422" w:firstLineChars="200"/>
        <w:jc w:val="both"/>
        <w:rPr>
          <w:rFonts w:hint="eastAsia" w:hAnsi="宋体" w:eastAsia="宋体"/>
          <w:b/>
          <w:color w:val="auto"/>
          <w:sz w:val="21"/>
          <w:szCs w:val="21"/>
          <w:highlight w:val="none"/>
          <w:lang w:val="en-US" w:eastAsia="zh-CN"/>
        </w:rPr>
      </w:pPr>
      <w:r>
        <w:rPr>
          <w:rFonts w:hint="eastAsia" w:hAnsi="宋体" w:eastAsia="宋体"/>
          <w:b/>
          <w:color w:val="auto"/>
          <w:sz w:val="21"/>
          <w:szCs w:val="21"/>
          <w:highlight w:val="none"/>
          <w:lang w:val="zh-CN" w:eastAsia="zh-CN"/>
        </w:rPr>
        <w:t>备、洗碗设备、冷藏/冷冻设备、炉灶设备</w:t>
      </w:r>
      <w:r>
        <w:rPr>
          <w:rFonts w:hint="eastAsia" w:hAnsi="宋体" w:eastAsia="宋体"/>
          <w:b/>
          <w:color w:val="auto"/>
          <w:sz w:val="21"/>
          <w:szCs w:val="21"/>
          <w:highlight w:val="none"/>
          <w:lang w:val="en-US" w:eastAsia="zh-CN"/>
        </w:rPr>
        <w:t>，</w:t>
      </w:r>
      <w:r>
        <w:rPr>
          <w:rFonts w:hint="eastAsia" w:hAnsi="宋体" w:eastAsia="宋体"/>
          <w:b/>
          <w:color w:val="auto"/>
          <w:sz w:val="21"/>
          <w:szCs w:val="21"/>
          <w:highlight w:val="none"/>
          <w:lang w:val="zh-CN"/>
        </w:rPr>
        <w:t>合同签订日期为202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年1月1日或以后）；</w:t>
      </w:r>
    </w:p>
    <w:p>
      <w:pPr>
        <w:pStyle w:val="159"/>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2.3 </w:t>
      </w:r>
      <w:r>
        <w:rPr>
          <w:rFonts w:hint="eastAsia" w:hAnsi="宋体" w:eastAsia="宋体"/>
          <w:b/>
          <w:color w:val="auto"/>
          <w:sz w:val="21"/>
          <w:szCs w:val="21"/>
          <w:highlight w:val="none"/>
          <w:lang w:val="zh-CN"/>
        </w:rPr>
        <w:t>本项目不接受联合体投标。</w:t>
      </w:r>
      <w:bookmarkEnd w:id="2"/>
    </w:p>
    <w:p>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pPr>
        <w:pStyle w:val="177"/>
        <w:numPr>
          <w:ilvl w:val="0"/>
          <w:numId w:val="1"/>
        </w:numPr>
        <w:spacing w:line="360" w:lineRule="auto"/>
        <w:ind w:left="426" w:right="-34" w:hanging="426" w:firstLineChars="0"/>
        <w:jc w:val="both"/>
        <w:rPr>
          <w:rFonts w:hint="eastAsia" w:ascii="宋体" w:hAnsi="宋体" w:eastAsia="宋体" w:cs="宋体"/>
          <w:color w:val="auto"/>
          <w:sz w:val="21"/>
          <w:szCs w:val="21"/>
          <w:highlight w:val="none"/>
        </w:rPr>
      </w:pPr>
      <w:r>
        <w:rPr>
          <w:rFonts w:ascii="宋体" w:hAnsi="宋体"/>
          <w:color w:val="auto"/>
          <w:szCs w:val="21"/>
          <w:highlight w:val="none"/>
          <w:lang w:val="zh-CN"/>
        </w:rPr>
        <w:t>获取招标文件</w:t>
      </w:r>
      <w:r>
        <w:rPr>
          <w:rFonts w:hint="eastAsia" w:ascii="宋体" w:hAnsi="宋体" w:cs="宋体"/>
          <w:color w:val="auto"/>
          <w:szCs w:val="21"/>
          <w:highlight w:val="none"/>
        </w:rPr>
        <w:t>方式：本项目采用“不记名网上下载”的方式获取招标文件，有意向的投标人可于本项目投标截止时间前，在本项目招标信息发布媒介【详见本招标公告第7点（除中国招标投标公共服务平台外）】下载招标文件</w:t>
      </w:r>
      <w:r>
        <w:rPr>
          <w:rFonts w:hint="eastAsia" w:ascii="宋体" w:hAnsi="宋体" w:cs="宋体"/>
          <w:color w:val="auto"/>
          <w:sz w:val="21"/>
          <w:szCs w:val="21"/>
          <w:highlight w:val="none"/>
          <w:lang w:eastAsia="zh-CN"/>
        </w:rPr>
        <w:t>。</w:t>
      </w:r>
    </w:p>
    <w:p>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宋体"/>
          <w:color w:val="auto"/>
          <w:szCs w:val="21"/>
          <w:u w:val="single"/>
          <w:lang w:val="en-US" w:eastAsia="zh-CN"/>
        </w:rPr>
        <w:t>202</w:t>
      </w:r>
      <w:r>
        <w:rPr>
          <w:rFonts w:hint="eastAsia" w:ascii="宋体" w:hAnsi="宋体" w:eastAsia="宋体" w:cs="宋体"/>
          <w:color w:val="auto"/>
          <w:szCs w:val="21"/>
          <w:u w:val="single"/>
          <w:lang w:val="en-US" w:eastAsia="zh-CN"/>
        </w:rPr>
        <w:t>5</w:t>
      </w:r>
      <w:r>
        <w:rPr>
          <w:rFonts w:hint="eastAsia" w:ascii="宋体" w:hAnsi="宋体" w:eastAsia="宋体" w:cs="宋体"/>
          <w:bCs/>
          <w:color w:val="auto"/>
          <w:kern w:val="0"/>
          <w:szCs w:val="21"/>
        </w:rPr>
        <w:t>年</w:t>
      </w:r>
      <w:r>
        <w:rPr>
          <w:rFonts w:hint="eastAsia" w:ascii="宋体" w:hAnsi="宋体" w:eastAsia="宋体" w:cs="宋体"/>
          <w:bCs/>
          <w:color w:val="auto"/>
          <w:kern w:val="0"/>
          <w:sz w:val="21"/>
          <w:szCs w:val="21"/>
          <w:u w:val="single"/>
          <w:lang w:val="en-US" w:eastAsia="zh-CN"/>
        </w:rPr>
        <w:t>7</w:t>
      </w:r>
      <w:r>
        <w:rPr>
          <w:rFonts w:hint="eastAsia" w:ascii="宋体" w:hAnsi="宋体" w:eastAsia="宋体" w:cs="宋体"/>
          <w:bCs/>
          <w:color w:val="auto"/>
          <w:kern w:val="0"/>
          <w:sz w:val="21"/>
          <w:szCs w:val="21"/>
        </w:rPr>
        <w:t>月</w:t>
      </w:r>
      <w:r>
        <w:rPr>
          <w:rFonts w:hint="eastAsia" w:ascii="宋体" w:hAnsi="宋体" w:eastAsia="宋体" w:cs="宋体"/>
          <w:color w:val="auto"/>
          <w:sz w:val="21"/>
          <w:szCs w:val="21"/>
          <w:u w:val="single"/>
          <w:lang w:val="en-US" w:eastAsia="zh-CN"/>
        </w:rPr>
        <w:t>3</w:t>
      </w:r>
      <w:r>
        <w:rPr>
          <w:rFonts w:hint="eastAsia" w:ascii="宋体" w:hAnsi="宋体" w:eastAsia="宋体" w:cs="宋体"/>
          <w:bCs/>
          <w:color w:val="auto"/>
          <w:kern w:val="0"/>
          <w:sz w:val="21"/>
          <w:szCs w:val="21"/>
        </w:rPr>
        <w:t>日</w:t>
      </w:r>
      <w:r>
        <w:rPr>
          <w:rFonts w:hint="eastAsia" w:ascii="宋体" w:hAnsi="宋体" w:eastAsia="宋体" w:cs="宋体"/>
          <w:color w:val="auto"/>
          <w:szCs w:val="21"/>
          <w:u w:val="single"/>
        </w:rPr>
        <w:t>13</w:t>
      </w:r>
      <w:r>
        <w:rPr>
          <w:rFonts w:hint="eastAsia" w:ascii="宋体" w:hAnsi="宋体" w:eastAsia="宋体" w:cs="宋体"/>
          <w:bCs/>
          <w:color w:val="auto"/>
          <w:kern w:val="0"/>
          <w:szCs w:val="21"/>
          <w:u w:val="single"/>
        </w:rPr>
        <w:t>:30</w:t>
      </w:r>
      <w:r>
        <w:rPr>
          <w:rFonts w:hint="eastAsia" w:ascii="宋体" w:hAnsi="宋体" w:eastAsia="宋体" w:cs="宋体"/>
          <w:bCs/>
          <w:color w:val="auto"/>
          <w:kern w:val="0"/>
          <w:szCs w:val="21"/>
        </w:rPr>
        <w:t>～</w:t>
      </w:r>
      <w:r>
        <w:rPr>
          <w:rFonts w:hint="eastAsia" w:ascii="宋体" w:hAnsi="宋体" w:eastAsia="宋体" w:cs="宋体"/>
          <w:color w:val="auto"/>
          <w:szCs w:val="21"/>
          <w:u w:val="single"/>
        </w:rPr>
        <w:t>14</w:t>
      </w:r>
      <w:r>
        <w:rPr>
          <w:rFonts w:hint="eastAsia" w:ascii="宋体" w:hAnsi="宋体" w:eastAsia="宋体" w:cs="宋体"/>
          <w:bCs/>
          <w:color w:val="auto"/>
          <w:kern w:val="0"/>
          <w:szCs w:val="21"/>
          <w:u w:val="single"/>
        </w:rPr>
        <w:t>:</w:t>
      </w:r>
      <w:r>
        <w:rPr>
          <w:rFonts w:hint="eastAsia" w:ascii="宋体" w:hAnsi="宋体" w:eastAsia="宋体" w:cs="宋体"/>
          <w:color w:val="auto"/>
          <w:szCs w:val="21"/>
          <w:u w:val="single"/>
        </w:rPr>
        <w:t>00</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u w:val="single"/>
          <w:lang w:val="en-US" w:eastAsia="zh-CN"/>
        </w:rPr>
        <w:t>2025</w:t>
      </w:r>
      <w:r>
        <w:rPr>
          <w:rFonts w:hint="eastAsia" w:ascii="宋体" w:hAnsi="宋体" w:eastAsia="宋体" w:cs="宋体"/>
          <w:bCs/>
          <w:color w:val="auto"/>
          <w:kern w:val="0"/>
          <w:szCs w:val="21"/>
        </w:rPr>
        <w:t>年</w:t>
      </w:r>
      <w:r>
        <w:rPr>
          <w:rFonts w:hint="eastAsia" w:ascii="宋体" w:hAnsi="宋体" w:eastAsia="宋体" w:cs="宋体"/>
          <w:bCs/>
          <w:color w:val="auto"/>
          <w:kern w:val="0"/>
          <w:sz w:val="21"/>
          <w:szCs w:val="21"/>
          <w:u w:val="single"/>
          <w:lang w:val="en-US" w:eastAsia="zh-CN"/>
        </w:rPr>
        <w:t>7</w:t>
      </w:r>
      <w:r>
        <w:rPr>
          <w:rFonts w:hint="eastAsia" w:ascii="宋体" w:hAnsi="宋体" w:eastAsia="宋体" w:cs="宋体"/>
          <w:bCs/>
          <w:color w:val="auto"/>
          <w:kern w:val="0"/>
          <w:sz w:val="21"/>
          <w:szCs w:val="21"/>
        </w:rPr>
        <w:t>月</w:t>
      </w:r>
      <w:r>
        <w:rPr>
          <w:rFonts w:hint="eastAsia" w:ascii="宋体" w:hAnsi="宋体" w:eastAsia="宋体" w:cs="宋体"/>
          <w:color w:val="auto"/>
          <w:sz w:val="21"/>
          <w:szCs w:val="21"/>
          <w:u w:val="single"/>
          <w:lang w:val="en-US" w:eastAsia="zh-CN"/>
        </w:rPr>
        <w:t>3</w:t>
      </w:r>
      <w:r>
        <w:rPr>
          <w:rFonts w:hint="eastAsia" w:ascii="宋体" w:hAnsi="宋体" w:eastAsia="宋体" w:cs="宋体"/>
          <w:bCs/>
          <w:color w:val="auto"/>
          <w:kern w:val="0"/>
          <w:sz w:val="21"/>
          <w:szCs w:val="21"/>
        </w:rPr>
        <w:t>日</w:t>
      </w:r>
      <w:r>
        <w:rPr>
          <w:rFonts w:hint="eastAsia" w:ascii="宋体" w:hAnsi="宋体" w:eastAsia="宋体" w:cs="宋体"/>
          <w:color w:val="auto"/>
          <w:szCs w:val="21"/>
          <w:u w:val="single"/>
        </w:rPr>
        <w:t>14</w:t>
      </w:r>
      <w:r>
        <w:rPr>
          <w:rFonts w:hint="eastAsia" w:ascii="宋体" w:hAnsi="宋体" w:eastAsia="宋体" w:cs="宋体"/>
          <w:bCs/>
          <w:color w:val="auto"/>
          <w:kern w:val="0"/>
          <w:szCs w:val="21"/>
          <w:u w:val="single"/>
        </w:rPr>
        <w:t>:</w:t>
      </w:r>
      <w:r>
        <w:rPr>
          <w:rFonts w:hint="eastAsia" w:ascii="宋体" w:hAnsi="宋体" w:eastAsia="宋体" w:cs="宋体"/>
          <w:color w:val="auto"/>
          <w:szCs w:val="21"/>
          <w:u w:val="single"/>
        </w:rPr>
        <w:t>00</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u w:val="single"/>
          <w:lang w:eastAsia="zh-CN"/>
        </w:rPr>
        <w:t>东莞市南城街道鸿福西路81号国际商会大厦601室</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bookmarkStart w:id="734" w:name="_GoBack"/>
      <w:bookmarkEnd w:id="734"/>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网站（www.sfcx.cn</w:t>
      </w:r>
      <w:r>
        <w:rPr>
          <w:rFonts w:ascii="宋体" w:hAnsi="宋体" w:eastAsia="宋体" w:cs="Times New Roman"/>
          <w:color w:val="auto"/>
          <w:szCs w:val="21"/>
          <w:highlight w:val="none"/>
          <w:lang w:val="zh-CN"/>
        </w:rPr>
        <w:t>）。</w:t>
      </w:r>
    </w:p>
    <w:p>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lang w:eastAsia="zh-CN"/>
        </w:rPr>
      </w:pPr>
      <w:r>
        <w:rPr>
          <w:rFonts w:ascii="宋体" w:hAnsi="宋体" w:eastAsia="宋体" w:cs="Times New Roman"/>
          <w:color w:val="auto"/>
          <w:kern w:val="0"/>
          <w:szCs w:val="21"/>
        </w:rPr>
        <w:t>招标人：</w:t>
      </w:r>
      <w:r>
        <w:rPr>
          <w:rFonts w:hint="eastAsia" w:ascii="宋体" w:hAnsi="宋体" w:eastAsia="宋体" w:cs="Times New Roman"/>
          <w:color w:val="auto"/>
          <w:kern w:val="0"/>
          <w:szCs w:val="21"/>
          <w:lang w:eastAsia="zh-CN"/>
        </w:rPr>
        <w:t>东莞市置拓投资有限公司</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lang w:val="en-US" w:eastAsia="zh-CN"/>
        </w:rPr>
      </w:pPr>
      <w:r>
        <w:rPr>
          <w:rFonts w:ascii="宋体" w:hAnsi="宋体" w:eastAsia="宋体" w:cs="Times New Roman"/>
          <w:color w:val="auto"/>
          <w:kern w:val="0"/>
          <w:szCs w:val="21"/>
        </w:rPr>
        <w:t>地</w:t>
      </w:r>
      <w:r>
        <w:rPr>
          <w:rFonts w:hint="eastAsia" w:ascii="宋体" w:hAnsi="宋体" w:eastAsia="宋体" w:cs="Times New Roman"/>
          <w:color w:val="auto"/>
          <w:kern w:val="0"/>
          <w:szCs w:val="21"/>
        </w:rPr>
        <w:t xml:space="preserve"> </w:t>
      </w:r>
      <w:r>
        <w:rPr>
          <w:rFonts w:ascii="宋体" w:hAnsi="宋体" w:eastAsia="宋体" w:cs="Times New Roman"/>
          <w:color w:val="auto"/>
          <w:kern w:val="0"/>
          <w:szCs w:val="21"/>
        </w:rPr>
        <w:t xml:space="preserve"> 址：</w:t>
      </w:r>
      <w:r>
        <w:rPr>
          <w:rFonts w:hint="eastAsia" w:ascii="宋体" w:hAnsi="宋体" w:eastAsia="宋体" w:cs="Times New Roman"/>
          <w:color w:val="auto"/>
          <w:kern w:val="0"/>
          <w:szCs w:val="21"/>
          <w:lang w:val="en-US" w:eastAsia="zh-CN"/>
        </w:rPr>
        <w:t>东莞市南城街道滨河路100号二期（东莞市水务集团净水有限公司）新大门内3号楼3楼</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lang w:val="en-US" w:eastAsia="zh-CN"/>
        </w:rPr>
      </w:pPr>
      <w:r>
        <w:rPr>
          <w:rFonts w:ascii="宋体" w:hAnsi="宋体" w:eastAsia="宋体" w:cs="Times New Roman"/>
          <w:color w:val="auto"/>
          <w:kern w:val="0"/>
          <w:szCs w:val="21"/>
        </w:rPr>
        <w:t>联系人</w:t>
      </w:r>
      <w:r>
        <w:rPr>
          <w:rFonts w:hint="eastAsia" w:ascii="宋体" w:hAnsi="宋体" w:eastAsia="宋体" w:cs="Times New Roman"/>
          <w:color w:val="auto"/>
          <w:kern w:val="0"/>
          <w:szCs w:val="21"/>
        </w:rPr>
        <w:t>：</w:t>
      </w:r>
      <w:r>
        <w:rPr>
          <w:rFonts w:hint="eastAsia" w:ascii="宋体" w:hAnsi="宋体" w:eastAsia="宋体" w:cs="Times New Roman"/>
          <w:color w:val="auto"/>
          <w:kern w:val="0"/>
          <w:szCs w:val="21"/>
          <w:lang w:val="en-US" w:eastAsia="zh-CN"/>
        </w:rPr>
        <w:t>龚浩</w:t>
      </w:r>
    </w:p>
    <w:p>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lang w:val="en-US" w:eastAsia="zh-CN"/>
        </w:rPr>
      </w:pPr>
      <w:r>
        <w:rPr>
          <w:rFonts w:ascii="宋体" w:hAnsi="宋体" w:eastAsia="宋体" w:cs="Times New Roman"/>
          <w:color w:val="auto"/>
          <w:kern w:val="0"/>
          <w:szCs w:val="21"/>
        </w:rPr>
        <w:t>电  话：</w:t>
      </w:r>
      <w:r>
        <w:rPr>
          <w:rFonts w:hint="eastAsia" w:ascii="宋体" w:hAnsi="宋体" w:eastAsia="宋体" w:cs="Times New Roman"/>
          <w:color w:val="auto"/>
          <w:kern w:val="0"/>
          <w:szCs w:val="21"/>
          <w:lang w:val="en-US" w:eastAsia="zh-CN"/>
        </w:rPr>
        <w:t>0769-22621996</w:t>
      </w:r>
    </w:p>
    <w:p>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lang w:val="en-US" w:eastAsia="zh-CN"/>
        </w:rPr>
        <w:t>及异议受理</w:t>
      </w:r>
      <w:r>
        <w:rPr>
          <w:rFonts w:ascii="宋体" w:hAnsi="宋体" w:eastAsia="宋体" w:cs="Times New Roman"/>
          <w:color w:val="auto"/>
          <w:szCs w:val="21"/>
          <w:highlight w:val="none"/>
        </w:rPr>
        <w:t>联系方式</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bookmarkStart w:id="3" w:name="_Toc31764_WPSOffice_Level1"/>
      <w:bookmarkStart w:id="4" w:name="_Toc486167661"/>
      <w:bookmarkStart w:id="5" w:name="_Toc450662847"/>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lang w:eastAsia="zh-CN"/>
        </w:rPr>
        <w:t>三方诚信招标有限公司</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地  址：东莞市南城街道鸿福西路81号国际商会大厦</w:t>
      </w:r>
      <w:r>
        <w:rPr>
          <w:rFonts w:hint="eastAsia" w:ascii="宋体" w:hAnsi="宋体" w:eastAsia="宋体" w:cs="宋体"/>
          <w:color w:val="auto"/>
          <w:kern w:val="0"/>
          <w:szCs w:val="21"/>
          <w:highlight w:val="none"/>
          <w:lang w:val="en-US" w:eastAsia="zh-CN"/>
        </w:rPr>
        <w:t>706</w:t>
      </w:r>
      <w:r>
        <w:rPr>
          <w:rFonts w:hint="eastAsia" w:ascii="宋体" w:hAnsi="宋体" w:eastAsia="宋体" w:cs="宋体"/>
          <w:color w:val="auto"/>
          <w:kern w:val="0"/>
          <w:szCs w:val="21"/>
          <w:highlight w:val="none"/>
          <w:lang w:eastAsia="zh-CN"/>
        </w:rPr>
        <w:t>室</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Times New Roman"/>
          <w:color w:val="auto"/>
          <w:kern w:val="0"/>
          <w:szCs w:val="21"/>
          <w:lang w:eastAsia="zh-CN"/>
        </w:rPr>
        <w:t>谭杰滨</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lang w:eastAsia="zh-CN"/>
        </w:rPr>
      </w:pPr>
      <w:r>
        <w:rPr>
          <w:rFonts w:hint="eastAsia" w:ascii="宋体" w:hAnsi="宋体" w:eastAsia="宋体" w:cs="宋体"/>
          <w:color w:val="auto"/>
          <w:kern w:val="0"/>
          <w:szCs w:val="21"/>
          <w:highlight w:val="none"/>
        </w:rPr>
        <w:t>电  话：0769-</w:t>
      </w:r>
      <w:r>
        <w:rPr>
          <w:rFonts w:hint="eastAsia" w:ascii="宋体" w:hAnsi="宋体" w:eastAsia="宋体" w:cs="Times New Roman"/>
          <w:color w:val="auto"/>
          <w:kern w:val="0"/>
          <w:szCs w:val="21"/>
          <w:lang w:eastAsia="zh-CN"/>
        </w:rPr>
        <w:t>21682660</w:t>
      </w:r>
    </w:p>
    <w:p>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6" w:name="_Toc12475"/>
      <w:bookmarkStart w:id="7" w:name="_Toc142508311"/>
      <w:bookmarkStart w:id="8" w:name="_Toc24735"/>
      <w:bookmarkStart w:id="9" w:name="_Toc13533"/>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3"/>
      <w:bookmarkEnd w:id="4"/>
      <w:bookmarkEnd w:id="5"/>
      <w:bookmarkEnd w:id="6"/>
      <w:bookmarkEnd w:id="7"/>
      <w:bookmarkEnd w:id="8"/>
      <w:bookmarkEnd w:id="9"/>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0" w:name="_Toc140596871"/>
      <w:bookmarkStart w:id="11" w:name="_Toc450662848"/>
      <w:bookmarkStart w:id="12" w:name="_Toc18164"/>
      <w:bookmarkStart w:id="13" w:name="_Toc15366_WPSOffice_Level2"/>
      <w:bookmarkStart w:id="14" w:name="_Toc486167662"/>
      <w:bookmarkStart w:id="15" w:name="_Toc142508312"/>
      <w:bookmarkStart w:id="16" w:name="_Toc30360"/>
      <w:bookmarkStart w:id="17" w:name="_Toc16098"/>
      <w:r>
        <w:rPr>
          <w:rFonts w:hint="eastAsia" w:ascii="宋体" w:hAnsi="宋体" w:eastAsia="宋体" w:cs="宋体"/>
          <w:b/>
          <w:bCs/>
          <w:color w:val="auto"/>
          <w:kern w:val="44"/>
          <w:szCs w:val="21"/>
          <w:highlight w:val="none"/>
          <w:lang w:val="zh-CN"/>
        </w:rPr>
        <w:t>一、总则</w:t>
      </w:r>
      <w:bookmarkEnd w:id="10"/>
      <w:bookmarkEnd w:id="11"/>
      <w:bookmarkEnd w:id="12"/>
      <w:bookmarkEnd w:id="13"/>
      <w:bookmarkEnd w:id="14"/>
      <w:bookmarkEnd w:id="15"/>
      <w:bookmarkEnd w:id="16"/>
      <w:bookmarkEnd w:id="1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 w:name="_Toc21710_WPSOffice_Level3"/>
      <w:bookmarkStart w:id="19" w:name="_Toc142508313"/>
      <w:bookmarkStart w:id="20" w:name="_Toc16700"/>
      <w:bookmarkStart w:id="21" w:name="_Toc17369"/>
      <w:bookmarkStart w:id="22" w:name="_Toc22130"/>
      <w:bookmarkStart w:id="23" w:name="_Toc450662849"/>
      <w:bookmarkStart w:id="24" w:name="_Toc48616766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18"/>
      <w:bookmarkEnd w:id="19"/>
      <w:bookmarkEnd w:id="20"/>
      <w:bookmarkEnd w:id="21"/>
      <w:bookmarkEnd w:id="22"/>
      <w:bookmarkEnd w:id="23"/>
      <w:bookmarkEnd w:id="24"/>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5" w:name="_Toc486167664"/>
      <w:bookmarkStart w:id="26" w:name="_Toc5550"/>
      <w:bookmarkStart w:id="27" w:name="_Toc450662850"/>
      <w:bookmarkStart w:id="28" w:name="_Toc27011"/>
      <w:bookmarkStart w:id="29" w:name="_Toc80_WPSOffice_Level3"/>
      <w:bookmarkStart w:id="30" w:name="_Toc142508314"/>
      <w:bookmarkStart w:id="31" w:name="_Toc13464"/>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5"/>
      <w:bookmarkEnd w:id="26"/>
      <w:bookmarkEnd w:id="27"/>
      <w:bookmarkEnd w:id="28"/>
      <w:bookmarkEnd w:id="29"/>
      <w:bookmarkEnd w:id="30"/>
      <w:bookmarkEnd w:id="31"/>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w:t>
      </w: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lang w:val="en-US" w:eastAsia="zh-CN"/>
        </w:rPr>
        <w:t>2023年修订</w:t>
      </w:r>
      <w:r>
        <w:rPr>
          <w:rFonts w:hint="eastAsia" w:ascii="宋体" w:hAnsi="宋体" w:eastAsia="宋体" w:cs="Times New Roman"/>
          <w:b/>
          <w:color w:val="auto"/>
          <w:kern w:val="0"/>
          <w:szCs w:val="21"/>
          <w:highlight w:val="none"/>
          <w:lang w:eastAsia="zh-CN"/>
        </w:rPr>
        <w:t>）</w:t>
      </w:r>
      <w:r>
        <w:rPr>
          <w:rFonts w:hint="eastAsia" w:ascii="宋体" w:hAnsi="宋体" w:eastAsia="宋体" w:cs="Times New Roman"/>
          <w:b/>
          <w:color w:val="auto"/>
          <w:kern w:val="0"/>
          <w:szCs w:val="21"/>
          <w:highlight w:val="none"/>
        </w:rPr>
        <w:t>》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2" w:name="_Toc8199"/>
      <w:bookmarkStart w:id="33" w:name="_Toc142508315"/>
      <w:bookmarkStart w:id="34" w:name="_Toc4257"/>
      <w:bookmarkStart w:id="35" w:name="_Toc26948"/>
      <w:bookmarkStart w:id="36" w:name="_Toc23847_WPSOffice_Level3"/>
      <w:bookmarkStart w:id="37" w:name="_Toc486167665"/>
      <w:bookmarkStart w:id="38"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2"/>
      <w:bookmarkEnd w:id="33"/>
      <w:bookmarkEnd w:id="34"/>
      <w:bookmarkEnd w:id="35"/>
      <w:bookmarkEnd w:id="36"/>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39" w:name="_Toc533708063"/>
      <w:bookmarkStart w:id="40"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39"/>
    <w:bookmarkEnd w:id="40"/>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1" w:name="_Toc533708064"/>
      <w:bookmarkStart w:id="42" w:name="_Toc1977664"/>
      <w:r>
        <w:rPr>
          <w:rFonts w:hint="eastAsia" w:ascii="宋体" w:hAnsi="宋体" w:eastAsia="宋体" w:cs="宋体"/>
          <w:color w:val="auto"/>
          <w:szCs w:val="21"/>
          <w:highlight w:val="none"/>
          <w:lang w:val="zh-CN"/>
        </w:rPr>
        <w:t xml:space="preserve">3.3  </w:t>
      </w:r>
      <w:bookmarkEnd w:id="41"/>
      <w:bookmarkEnd w:id="42"/>
      <w:bookmarkStart w:id="43" w:name="_Toc533708065"/>
      <w:bookmarkStart w:id="44"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43"/>
      <w:bookmarkEnd w:id="44"/>
    </w:p>
    <w:p>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45" w:name="_Toc533708066"/>
      <w:bookmarkStart w:id="46"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5"/>
    <w:bookmarkEnd w:id="46"/>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7" w:name="_Toc1977667"/>
      <w:bookmarkStart w:id="48" w:name="_Toc5337080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7"/>
      <w:bookmarkEnd w:id="48"/>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9" w:name="_Toc533708068"/>
      <w:bookmarkStart w:id="50"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49"/>
      <w:bookmarkEnd w:id="50"/>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1" w:name="_Toc142508316"/>
      <w:bookmarkStart w:id="52" w:name="_Toc9658_WPSOffice_Level3"/>
      <w:bookmarkStart w:id="53" w:name="_Toc20936"/>
      <w:bookmarkStart w:id="54" w:name="_Toc23394"/>
      <w:bookmarkStart w:id="55" w:name="_Toc16122"/>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1"/>
      <w:bookmarkEnd w:id="52"/>
      <w:bookmarkEnd w:id="53"/>
      <w:bookmarkEnd w:id="54"/>
      <w:bookmarkEnd w:id="55"/>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1977670"/>
      <w:bookmarkStart w:id="57" w:name="_Toc533708070"/>
      <w:r>
        <w:rPr>
          <w:rFonts w:hint="eastAsia" w:ascii="宋体" w:hAnsi="宋体" w:eastAsia="宋体" w:cs="宋体"/>
          <w:color w:val="auto"/>
          <w:szCs w:val="21"/>
          <w:highlight w:val="none"/>
          <w:lang w:val="zh-CN"/>
        </w:rPr>
        <w:t>4.1  投标费用</w:t>
      </w:r>
      <w:bookmarkEnd w:id="56"/>
      <w:bookmarkEnd w:id="57"/>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58" w:name="_Toc533708072"/>
      <w:bookmarkStart w:id="59"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58"/>
      <w:bookmarkEnd w:id="59"/>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1977673"/>
      <w:bookmarkStart w:id="61" w:name="_Toc533708073"/>
      <w:r>
        <w:rPr>
          <w:rFonts w:hint="eastAsia" w:ascii="宋体" w:hAnsi="宋体" w:eastAsia="宋体" w:cs="宋体"/>
          <w:color w:val="auto"/>
          <w:szCs w:val="21"/>
          <w:highlight w:val="none"/>
          <w:lang w:val="zh-CN"/>
        </w:rPr>
        <w:t>4.2  踏勘现场</w:t>
      </w:r>
      <w:bookmarkEnd w:id="60"/>
      <w:bookmarkEnd w:id="61"/>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2" w:name="_Toc533708076"/>
      <w:bookmarkStart w:id="63" w:name="_Toc1977676"/>
      <w:r>
        <w:rPr>
          <w:rFonts w:hint="eastAsia" w:ascii="宋体" w:hAnsi="宋体" w:eastAsia="宋体" w:cs="Times New Roman"/>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7"/>
      <w:bookmarkEnd w:id="38"/>
      <w:bookmarkEnd w:id="62"/>
      <w:bookmarkEnd w:id="63"/>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64" w:name="_Toc140596876"/>
      <w:bookmarkStart w:id="65" w:name="_Toc142508317"/>
      <w:bookmarkStart w:id="66" w:name="_Toc30507_WPSOffice_Level2"/>
      <w:bookmarkStart w:id="67" w:name="_Toc450662853"/>
      <w:bookmarkStart w:id="68" w:name="_Toc9339"/>
      <w:bookmarkStart w:id="69" w:name="_Toc486167667"/>
      <w:bookmarkStart w:id="70" w:name="_Toc2394"/>
      <w:bookmarkStart w:id="71" w:name="_Toc1482"/>
      <w:r>
        <w:rPr>
          <w:rFonts w:hint="eastAsia" w:ascii="宋体" w:hAnsi="宋体" w:eastAsia="宋体" w:cs="宋体"/>
          <w:b/>
          <w:bCs/>
          <w:color w:val="auto"/>
          <w:kern w:val="44"/>
          <w:szCs w:val="21"/>
          <w:highlight w:val="none"/>
          <w:lang w:val="zh-CN"/>
        </w:rPr>
        <w:t>二、招标文件</w:t>
      </w:r>
      <w:bookmarkEnd w:id="64"/>
      <w:bookmarkEnd w:id="65"/>
      <w:bookmarkEnd w:id="66"/>
      <w:bookmarkEnd w:id="67"/>
      <w:bookmarkEnd w:id="68"/>
      <w:bookmarkEnd w:id="69"/>
      <w:bookmarkEnd w:id="70"/>
      <w:bookmarkEnd w:id="71"/>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2" w:name="_Toc486167668"/>
      <w:bookmarkStart w:id="73" w:name="_Toc5028"/>
      <w:bookmarkStart w:id="74" w:name="_Toc28179"/>
      <w:bookmarkStart w:id="75" w:name="_Toc142508318"/>
      <w:bookmarkStart w:id="76" w:name="_Toc450662854"/>
      <w:bookmarkStart w:id="77" w:name="_Toc26635_WPSOffice_Level3"/>
      <w:bookmarkStart w:id="78" w:name="_Toc31963"/>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2"/>
      <w:bookmarkEnd w:id="73"/>
      <w:bookmarkEnd w:id="74"/>
      <w:bookmarkEnd w:id="75"/>
      <w:bookmarkEnd w:id="76"/>
      <w:bookmarkEnd w:id="77"/>
      <w:bookmarkEnd w:id="78"/>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东莞市置拓投资有限公司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宋体"/>
          <w:color w:val="auto"/>
          <w:kern w:val="0"/>
          <w:szCs w:val="21"/>
          <w:highlight w:val="none"/>
          <w:lang w:eastAsia="zh-CN"/>
        </w:rPr>
        <w:t>三方诚信招标有限公司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w:t>
      </w:r>
      <w:r>
        <w:rPr>
          <w:rFonts w:hint="eastAsia" w:ascii="宋体" w:hAnsi="宋体" w:eastAsia="宋体" w:cs="Times New Roman"/>
          <w:color w:val="auto"/>
          <w:kern w:val="0"/>
          <w:szCs w:val="21"/>
          <w:highlight w:val="none"/>
          <w:lang w:eastAsia="zh-CN"/>
        </w:rPr>
        <w:t>参加东莞市置拓投资有限公司水业大厦食堂设备设施采购项目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东莞市置拓投资有限公司</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r>
        <w:rPr>
          <w:rFonts w:hint="eastAsia" w:ascii="宋体" w:hAnsi="宋体" w:eastAsia="宋体" w:cs="Times New Roman"/>
          <w:color w:val="auto"/>
          <w:kern w:val="0"/>
          <w:szCs w:val="21"/>
          <w:highlight w:val="none"/>
          <w:lang w:eastAsia="zh-CN"/>
        </w:rPr>
        <w:t>。</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9" w:name="_Toc29125_WPSOffice_Level3"/>
      <w:bookmarkStart w:id="80" w:name="_Toc18407"/>
      <w:bookmarkStart w:id="81" w:name="_Toc5306"/>
      <w:bookmarkStart w:id="82" w:name="_Toc142508319"/>
      <w:bookmarkStart w:id="83" w:name="_Toc450662855"/>
      <w:bookmarkStart w:id="84" w:name="_Toc486167669"/>
      <w:bookmarkStart w:id="85" w:name="_Toc2435"/>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79"/>
      <w:bookmarkEnd w:id="80"/>
      <w:bookmarkEnd w:id="81"/>
      <w:bookmarkEnd w:id="82"/>
      <w:bookmarkEnd w:id="83"/>
      <w:bookmarkEnd w:id="84"/>
      <w:bookmarkEnd w:id="85"/>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6" w:name="_Toc23818"/>
      <w:bookmarkStart w:id="87" w:name="_Toc142508320"/>
      <w:bookmarkStart w:id="88" w:name="_Toc23483_WPSOffice_Level3"/>
      <w:bookmarkStart w:id="89" w:name="_Toc26320"/>
      <w:bookmarkStart w:id="90" w:name="_Toc486167670"/>
      <w:bookmarkStart w:id="91" w:name="_Toc450662856"/>
      <w:bookmarkStart w:id="92" w:name="_Toc19618"/>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86"/>
      <w:bookmarkEnd w:id="87"/>
      <w:bookmarkEnd w:id="88"/>
      <w:bookmarkEnd w:id="89"/>
      <w:bookmarkEnd w:id="90"/>
      <w:bookmarkEnd w:id="91"/>
      <w:bookmarkEnd w:id="92"/>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w:t>
      </w:r>
      <w:r>
        <w:rPr>
          <w:rFonts w:hint="eastAsia" w:ascii="宋体" w:hAnsi="宋体" w:eastAsia="宋体" w:cs="宋体"/>
          <w:color w:val="auto"/>
          <w:szCs w:val="21"/>
          <w:lang w:val="zh-CN"/>
        </w:rPr>
        <w:t>请各投标人密切留意。</w:t>
      </w:r>
      <w:r>
        <w:rPr>
          <w:rFonts w:hint="eastAsia" w:ascii="宋体" w:hAnsi="宋体" w:eastAsia="宋体" w:cs="宋体"/>
          <w:color w:val="auto"/>
          <w:szCs w:val="21"/>
          <w:highlight w:val="none"/>
          <w:lang w:val="zh-CN"/>
        </w:rPr>
        <w:t>该澄清或者修改的内容为招标文件的组成部分。</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4"/>
          <w:rFonts w:ascii="宋体" w:hAnsi="宋体" w:eastAsia="宋体" w:cs="Times New Roman"/>
          <w:color w:val="auto"/>
          <w:sz w:val="21"/>
          <w:szCs w:val="21"/>
          <w:highlight w:val="none"/>
        </w:rPr>
        <w:t>www.dgswjt.cn）</w:t>
      </w:r>
      <w:r>
        <w:rPr>
          <w:rStyle w:val="44"/>
          <w:rFonts w:ascii="宋体" w:hAnsi="宋体" w:eastAsia="宋体" w:cs="Times New Roman"/>
          <w:color w:val="auto"/>
          <w:sz w:val="21"/>
          <w:szCs w:val="21"/>
          <w:highlight w:val="none"/>
          <w:lang w:val="zh-CN"/>
        </w:rPr>
        <w:t>、</w:t>
      </w:r>
      <w:r>
        <w:rPr>
          <w:rStyle w:val="44"/>
          <w:rFonts w:hint="eastAsia" w:ascii="宋体" w:hAnsi="宋体" w:eastAsia="宋体" w:cs="Times New Roman"/>
          <w:bCs/>
          <w:color w:val="auto"/>
          <w:kern w:val="0"/>
          <w:sz w:val="21"/>
          <w:szCs w:val="21"/>
          <w:highlight w:val="none"/>
        </w:rPr>
        <w:t>招标代理</w:t>
      </w:r>
      <w:r>
        <w:rPr>
          <w:rStyle w:val="44"/>
          <w:rFonts w:hint="eastAsia" w:ascii="宋体" w:hAnsi="宋体" w:eastAsia="宋体" w:cs="Times New Roman"/>
          <w:bCs/>
          <w:color w:val="auto"/>
          <w:kern w:val="0"/>
          <w:sz w:val="21"/>
          <w:szCs w:val="21"/>
          <w:highlight w:val="none"/>
          <w:lang w:val="en-US" w:eastAsia="zh-CN"/>
        </w:rPr>
        <w:t>机构</w:t>
      </w:r>
      <w:r>
        <w:rPr>
          <w:rStyle w:val="44"/>
          <w:rFonts w:hint="eastAsia" w:ascii="宋体" w:hAnsi="宋体" w:eastAsia="宋体" w:cs="Times New Roman"/>
          <w:bCs/>
          <w:color w:val="auto"/>
          <w:kern w:val="0"/>
          <w:sz w:val="21"/>
          <w:szCs w:val="21"/>
          <w:highlight w:val="none"/>
        </w:rPr>
        <w:t>网站（</w:t>
      </w:r>
      <w:r>
        <w:rPr>
          <w:rFonts w:hint="eastAsia" w:ascii="宋体" w:hAnsi="宋体" w:eastAsia="宋体" w:cs="宋体"/>
          <w:color w:val="auto"/>
          <w:szCs w:val="21"/>
          <w:lang w:val="zh-CN"/>
        </w:rPr>
        <w:t>www.sfcx.cn</w:t>
      </w:r>
      <w:r>
        <w:rPr>
          <w:rStyle w:val="44"/>
          <w:rFonts w:ascii="宋体" w:hAnsi="宋体" w:eastAsia="宋体" w:cs="Times New Roman"/>
          <w:bCs/>
          <w:color w:val="auto"/>
          <w:kern w:val="0"/>
          <w:sz w:val="21"/>
          <w:szCs w:val="21"/>
          <w:highlight w:val="none"/>
        </w:rPr>
        <w:t>）</w:t>
      </w:r>
      <w:r>
        <w:rPr>
          <w:rStyle w:val="44"/>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Times New Roman"/>
          <w:color w:val="auto"/>
          <w:szCs w:val="21"/>
          <w:highlight w:val="none"/>
          <w:lang w:val="zh-CN"/>
        </w:rPr>
        <w:t>，</w:t>
      </w:r>
      <w:r>
        <w:rPr>
          <w:rFonts w:hint="eastAsia" w:ascii="宋体" w:hAnsi="宋体" w:eastAsia="宋体" w:cs="宋体"/>
          <w:color w:val="auto"/>
          <w:szCs w:val="21"/>
          <w:lang w:val="zh-CN"/>
        </w:rPr>
        <w:t>请各投标人密切留意。</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3" w:name="_Toc450662857"/>
      <w:bookmarkStart w:id="94" w:name="_Toc2222"/>
      <w:bookmarkStart w:id="95" w:name="_Toc486167671"/>
      <w:bookmarkStart w:id="96" w:name="_Toc6039"/>
      <w:bookmarkStart w:id="97" w:name="_Toc140596880"/>
      <w:bookmarkStart w:id="98" w:name="_Toc29659_WPSOffice_Level2"/>
      <w:bookmarkStart w:id="99" w:name="_Toc142508321"/>
      <w:bookmarkStart w:id="100" w:name="_Toc24335"/>
      <w:r>
        <w:rPr>
          <w:rFonts w:hint="eastAsia" w:ascii="宋体" w:hAnsi="宋体" w:eastAsia="宋体" w:cs="宋体"/>
          <w:b/>
          <w:bCs/>
          <w:color w:val="auto"/>
          <w:kern w:val="44"/>
          <w:szCs w:val="21"/>
          <w:highlight w:val="none"/>
          <w:lang w:val="zh-CN"/>
        </w:rPr>
        <w:t>三、投标文件的编制</w:t>
      </w:r>
      <w:bookmarkEnd w:id="93"/>
      <w:bookmarkEnd w:id="94"/>
      <w:bookmarkEnd w:id="95"/>
      <w:bookmarkEnd w:id="96"/>
      <w:bookmarkEnd w:id="97"/>
      <w:bookmarkEnd w:id="98"/>
      <w:bookmarkEnd w:id="99"/>
      <w:bookmarkEnd w:id="100"/>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1" w:name="_Toc20240"/>
      <w:bookmarkStart w:id="102" w:name="_Toc16966"/>
      <w:bookmarkStart w:id="103" w:name="_Toc142508322"/>
      <w:bookmarkStart w:id="104" w:name="_Toc25773"/>
      <w:bookmarkStart w:id="105" w:name="_Toc450662858"/>
      <w:bookmarkStart w:id="106" w:name="_Toc486167672"/>
      <w:bookmarkStart w:id="107" w:name="_Toc10015_WPSOffice_Level3"/>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01"/>
      <w:bookmarkEnd w:id="102"/>
      <w:bookmarkEnd w:id="103"/>
      <w:bookmarkEnd w:id="104"/>
      <w:bookmarkEnd w:id="105"/>
      <w:bookmarkEnd w:id="106"/>
      <w:bookmarkEnd w:id="107"/>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08" w:name="_Toc24916_WPSOffice_Level3"/>
      <w:bookmarkStart w:id="109" w:name="_Toc142508323"/>
      <w:bookmarkStart w:id="110" w:name="_Toc18442"/>
      <w:bookmarkStart w:id="111" w:name="_Toc486167673"/>
      <w:bookmarkStart w:id="112" w:name="_Toc1879"/>
      <w:bookmarkStart w:id="113" w:name="_Toc450662859"/>
      <w:bookmarkStart w:id="114" w:name="_Toc4729"/>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08"/>
      <w:bookmarkEnd w:id="109"/>
      <w:bookmarkEnd w:id="110"/>
      <w:bookmarkEnd w:id="111"/>
      <w:bookmarkEnd w:id="112"/>
      <w:bookmarkEnd w:id="113"/>
      <w:bookmarkEnd w:id="114"/>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w:t>
      </w:r>
      <w:r>
        <w:rPr>
          <w:rFonts w:hint="eastAsia" w:ascii="宋体" w:hAnsi="宋体" w:eastAsia="宋体" w:cs="宋体"/>
          <w:color w:val="auto"/>
          <w:szCs w:val="21"/>
          <w:highlight w:val="none"/>
          <w:lang w:val="zh-CN"/>
        </w:rPr>
        <w:t>分项报价明细表)；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开户许可证（基本存款账户）复印件</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pPr>
        <w:tabs>
          <w:tab w:val="left" w:pos="1276"/>
        </w:tabs>
        <w:spacing w:line="360" w:lineRule="auto"/>
        <w:ind w:left="283" w:hanging="283" w:hangingChars="135"/>
        <w:rPr>
          <w:rFonts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w:t>
      </w:r>
      <w:r>
        <w:rPr>
          <w:rFonts w:hint="eastAsia" w:ascii="宋体" w:hAnsi="宋体" w:eastAsia="宋体"/>
          <w:color w:val="auto"/>
          <w:szCs w:val="21"/>
        </w:rPr>
        <w:t>资格业绩【投标人202</w:t>
      </w:r>
      <w:r>
        <w:rPr>
          <w:rFonts w:hint="eastAsia" w:ascii="宋体" w:hAnsi="宋体" w:eastAsia="宋体"/>
          <w:color w:val="auto"/>
          <w:szCs w:val="21"/>
          <w:lang w:val="en-US" w:eastAsia="zh-CN"/>
        </w:rPr>
        <w:t>2</w:t>
      </w:r>
      <w:r>
        <w:rPr>
          <w:rFonts w:hint="eastAsia" w:ascii="宋体" w:hAnsi="宋体" w:eastAsia="宋体"/>
          <w:color w:val="auto"/>
          <w:szCs w:val="21"/>
        </w:rPr>
        <w:t>年1月1日以来</w:t>
      </w:r>
      <w:r>
        <w:rPr>
          <w:rFonts w:hint="eastAsia" w:ascii="宋体" w:hAnsi="宋体" w:eastAsia="宋体"/>
          <w:color w:val="auto"/>
          <w:szCs w:val="21"/>
          <w:lang w:val="en-US" w:eastAsia="zh-CN"/>
        </w:rPr>
        <w:t>具有一份</w:t>
      </w:r>
      <w:r>
        <w:rPr>
          <w:rFonts w:hint="eastAsia" w:ascii="宋体" w:hAnsi="宋体" w:eastAsia="宋体" w:cs="宋体"/>
          <w:b/>
          <w:color w:val="auto"/>
          <w:szCs w:val="21"/>
          <w:lang w:eastAsia="zh-CN"/>
        </w:rPr>
        <w:t>食堂</w:t>
      </w:r>
      <w:r>
        <w:rPr>
          <w:rFonts w:hint="eastAsia" w:ascii="宋体" w:hAnsi="宋体" w:eastAsia="宋体" w:cs="宋体"/>
          <w:b/>
          <w:color w:val="auto"/>
          <w:szCs w:val="21"/>
          <w:lang w:val="en-US" w:eastAsia="zh-CN"/>
        </w:rPr>
        <w:t>厨房</w:t>
      </w:r>
      <w:r>
        <w:rPr>
          <w:rFonts w:hint="eastAsia" w:ascii="宋体" w:hAnsi="宋体" w:eastAsia="宋体" w:cs="宋体"/>
          <w:b/>
          <w:color w:val="auto"/>
          <w:szCs w:val="21"/>
          <w:lang w:eastAsia="zh-CN"/>
        </w:rPr>
        <w:t>设备</w:t>
      </w:r>
      <w:r>
        <w:rPr>
          <w:rFonts w:hint="eastAsia" w:ascii="宋体" w:hAnsi="宋体" w:eastAsia="宋体" w:cs="宋体"/>
          <w:b/>
          <w:color w:val="auto"/>
          <w:szCs w:val="21"/>
          <w:lang w:val="en-US" w:eastAsia="zh-CN"/>
        </w:rPr>
        <w:t>供货</w:t>
      </w:r>
      <w:r>
        <w:rPr>
          <w:rFonts w:hint="eastAsia" w:ascii="宋体" w:hAnsi="宋体" w:eastAsia="宋体" w:cs="宋体"/>
          <w:b/>
          <w:color w:val="auto"/>
          <w:szCs w:val="21"/>
        </w:rPr>
        <w:t>业绩</w:t>
      </w:r>
      <w:r>
        <w:rPr>
          <w:rFonts w:hint="eastAsia" w:ascii="宋体" w:hAnsi="宋体" w:eastAsia="宋体"/>
          <w:color w:val="auto"/>
          <w:szCs w:val="21"/>
        </w:rPr>
        <w:t>（</w:t>
      </w:r>
      <w:r>
        <w:rPr>
          <w:rFonts w:hint="eastAsia" w:ascii="宋体" w:hAnsi="宋体" w:eastAsia="宋体"/>
          <w:color w:val="auto"/>
          <w:szCs w:val="21"/>
          <w:lang w:val="zh-CN" w:eastAsia="zh-CN"/>
        </w:rPr>
        <w:t>合同标的供货内容须同时包含厨房油烟净化设备、洗碗设备、冷藏/冷冻设备、炉灶设备</w:t>
      </w:r>
      <w:r>
        <w:rPr>
          <w:rFonts w:hint="eastAsia" w:ascii="宋体" w:hAnsi="宋体" w:eastAsia="宋体"/>
          <w:color w:val="auto"/>
          <w:szCs w:val="21"/>
          <w:lang w:val="en-US" w:eastAsia="zh-CN"/>
        </w:rPr>
        <w:t>，</w:t>
      </w:r>
      <w:r>
        <w:rPr>
          <w:rFonts w:hint="eastAsia" w:ascii="宋体" w:hAnsi="宋体" w:eastAsia="宋体"/>
          <w:color w:val="auto"/>
          <w:szCs w:val="21"/>
          <w:lang w:val="zh-CN"/>
        </w:rPr>
        <w:t>合同签订日期为202</w:t>
      </w:r>
      <w:r>
        <w:rPr>
          <w:rFonts w:hint="eastAsia" w:ascii="宋体" w:hAnsi="宋体" w:eastAsia="宋体"/>
          <w:color w:val="auto"/>
          <w:szCs w:val="21"/>
          <w:lang w:val="en-US" w:eastAsia="zh-CN"/>
        </w:rPr>
        <w:t>2</w:t>
      </w:r>
      <w:r>
        <w:rPr>
          <w:rFonts w:hint="eastAsia" w:ascii="宋体" w:hAnsi="宋体" w:eastAsia="宋体"/>
          <w:color w:val="auto"/>
          <w:szCs w:val="21"/>
          <w:lang w:val="zh-CN"/>
        </w:rPr>
        <w:t>年1月1日或以后</w:t>
      </w:r>
      <w:r>
        <w:rPr>
          <w:rFonts w:hint="eastAsia" w:ascii="宋体" w:hAnsi="宋体" w:eastAsia="宋体"/>
          <w:color w:val="auto"/>
          <w:szCs w:val="21"/>
        </w:rPr>
        <w:t>），资格业绩证明材料提交要求详见招标文件第六篇投标文件格式</w:t>
      </w:r>
      <w:r>
        <w:rPr>
          <w:rFonts w:hint="eastAsia" w:ascii="宋体" w:hAnsi="宋体" w:eastAsia="宋体"/>
          <w:color w:val="auto"/>
          <w:szCs w:val="21"/>
          <w:u w:val="single"/>
        </w:rPr>
        <w:t>5</w:t>
      </w:r>
      <w:r>
        <w:rPr>
          <w:rFonts w:hint="eastAsia" w:ascii="宋体" w:hAnsi="宋体" w:eastAsia="宋体"/>
          <w:color w:val="auto"/>
          <w:szCs w:val="21"/>
          <w:u w:val="single"/>
          <w:lang w:val="en-US" w:eastAsia="zh-CN"/>
        </w:rPr>
        <w:t>.</w:t>
      </w:r>
      <w:r>
        <w:rPr>
          <w:rFonts w:hint="eastAsia" w:ascii="宋体" w:hAnsi="宋体" w:eastAsia="宋体"/>
          <w:color w:val="auto"/>
          <w:szCs w:val="21"/>
          <w:u w:val="single"/>
        </w:rPr>
        <w:t>5</w:t>
      </w:r>
      <w:r>
        <w:rPr>
          <w:rFonts w:hint="eastAsia" w:ascii="宋体" w:hAnsi="宋体" w:eastAsia="宋体"/>
          <w:color w:val="auto"/>
          <w:szCs w:val="21"/>
        </w:rPr>
        <w:t>】；</w:t>
      </w:r>
    </w:p>
    <w:p>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rPr>
        <w:t>标准化体系认证</w:t>
      </w:r>
      <w:r>
        <w:rPr>
          <w:rFonts w:hint="eastAsia" w:ascii="宋体" w:hAnsi="宋体" w:eastAsia="宋体" w:cs="宋体"/>
          <w:color w:val="auto"/>
          <w:kern w:val="0"/>
          <w:szCs w:val="21"/>
          <w:lang w:eastAsia="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w:t>
      </w:r>
      <w:r>
        <w:rPr>
          <w:rFonts w:hint="eastAsia" w:ascii="宋体" w:hAnsi="宋体" w:eastAsia="宋体" w:cs="宋体"/>
          <w:color w:val="auto"/>
          <w:kern w:val="0"/>
          <w:szCs w:val="21"/>
        </w:rPr>
        <w:t>格式见附件13</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rPr>
        <w:t>1用户需求偏离表格式</w:t>
      </w:r>
      <w:r>
        <w:rPr>
          <w:rFonts w:hint="eastAsia" w:ascii="宋体" w:hAnsi="宋体" w:eastAsia="宋体" w:cs="宋体"/>
          <w:color w:val="auto"/>
          <w:kern w:val="0"/>
          <w:szCs w:val="21"/>
          <w:highlight w:val="none"/>
        </w:rPr>
        <w:t>）；</w:t>
      </w:r>
    </w:p>
    <w:p>
      <w:pPr>
        <w:spacing w:line="360" w:lineRule="auto"/>
        <w:ind w:left="315" w:leftChars="-100" w:hanging="525" w:hangingChars="250"/>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rPr>
        <w:t>（2）</w:t>
      </w:r>
      <w:r>
        <w:rPr>
          <w:rFonts w:hint="eastAsia" w:ascii="宋体" w:hAnsi="宋体" w:eastAsia="宋体" w:cs="宋体"/>
          <w:color w:val="auto"/>
          <w:kern w:val="0"/>
          <w:szCs w:val="21"/>
          <w:highlight w:val="none"/>
          <w:lang w:val="en-US" w:eastAsia="zh-CN"/>
        </w:rPr>
        <w:t>项目总体实施方案；</w:t>
      </w:r>
    </w:p>
    <w:p>
      <w:pPr>
        <w:spacing w:line="360" w:lineRule="auto"/>
        <w:ind w:left="315" w:leftChars="-100" w:hanging="525" w:hangingChars="250"/>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w:t>
      </w:r>
      <w:r>
        <w:rPr>
          <w:rFonts w:hint="eastAsia" w:ascii="宋体" w:hAnsi="宋体" w:eastAsia="宋体" w:cs="宋体"/>
          <w:color w:val="auto"/>
          <w:kern w:val="0"/>
          <w:szCs w:val="21"/>
          <w:highlight w:val="none"/>
          <w:lang w:val="en-US" w:eastAsia="zh-CN"/>
        </w:rPr>
        <w:t>投标产品质量可靠性；</w:t>
      </w:r>
    </w:p>
    <w:p>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kern w:val="0"/>
          <w:szCs w:val="21"/>
          <w:highlight w:val="none"/>
        </w:rPr>
        <w:t>投标产品技术性能说明</w:t>
      </w:r>
      <w:r>
        <w:rPr>
          <w:rFonts w:hint="eastAsia" w:ascii="宋体" w:hAnsi="宋体" w:eastAsia="宋体" w:cs="宋体"/>
          <w:color w:val="auto"/>
          <w:kern w:val="0"/>
          <w:szCs w:val="21"/>
        </w:rPr>
        <w:t>；</w:t>
      </w:r>
    </w:p>
    <w:p>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w:t>
      </w:r>
      <w:r>
        <w:rPr>
          <w:rFonts w:hint="eastAsia" w:ascii="宋体" w:hAnsi="宋体" w:eastAsia="宋体" w:cs="宋体"/>
          <w:color w:val="auto"/>
          <w:kern w:val="0"/>
          <w:szCs w:val="21"/>
          <w:highlight w:val="none"/>
          <w:lang w:val="en-US" w:eastAsia="zh-CN"/>
        </w:rPr>
        <w:t>投标品牌</w:t>
      </w:r>
      <w:r>
        <w:rPr>
          <w:rFonts w:hint="eastAsia" w:ascii="宋体" w:hAnsi="宋体" w:eastAsia="宋体" w:cs="宋体"/>
          <w:color w:val="auto"/>
          <w:kern w:val="0"/>
          <w:szCs w:val="21"/>
          <w:highlight w:val="none"/>
        </w:rPr>
        <w:t>表；</w:t>
      </w:r>
    </w:p>
    <w:p>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w:t>
      </w:r>
      <w:r>
        <w:rPr>
          <w:rFonts w:hint="eastAsia" w:ascii="宋体" w:hAnsi="宋体" w:eastAsia="宋体" w:cs="宋体"/>
          <w:color w:val="auto"/>
          <w:kern w:val="0"/>
          <w:szCs w:val="21"/>
          <w:highlight w:val="none"/>
          <w:lang w:eastAsia="zh-CN"/>
        </w:rPr>
        <w:t>供货、安装时间承诺表</w:t>
      </w:r>
      <w:r>
        <w:rPr>
          <w:rFonts w:hint="eastAsia" w:ascii="宋体" w:hAnsi="宋体" w:eastAsia="宋体" w:cs="宋体"/>
          <w:color w:val="auto"/>
          <w:kern w:val="0"/>
          <w:szCs w:val="21"/>
        </w:rPr>
        <w:t>；</w:t>
      </w:r>
    </w:p>
    <w:p>
      <w:pPr>
        <w:spacing w:line="360" w:lineRule="auto"/>
        <w:ind w:left="315" w:leftChars="-100" w:hanging="525" w:hangingChars="250"/>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highlight w:val="none"/>
          <w:lang w:eastAsia="zh-CN"/>
        </w:rPr>
        <w:t>质保期、维修响应时间承诺表</w:t>
      </w:r>
      <w:r>
        <w:rPr>
          <w:rFonts w:hint="eastAsia" w:ascii="宋体" w:hAnsi="宋体" w:eastAsia="宋体" w:cs="宋体"/>
          <w:color w:val="auto"/>
          <w:kern w:val="0"/>
          <w:szCs w:val="21"/>
          <w:lang w:val="en-US" w:eastAsia="zh-CN"/>
        </w:rPr>
        <w:t>；</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5" w:name="_Toc486167674"/>
      <w:bookmarkStart w:id="116" w:name="_Toc142508324"/>
      <w:bookmarkStart w:id="117" w:name="_Toc450662860"/>
      <w:bookmarkStart w:id="118" w:name="_Toc6234"/>
      <w:bookmarkStart w:id="119" w:name="_Toc16534"/>
      <w:bookmarkStart w:id="120" w:name="_Toc8675_WPSOffice_Level3"/>
      <w:bookmarkStart w:id="121" w:name="_Toc18697"/>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15"/>
      <w:bookmarkEnd w:id="116"/>
      <w:bookmarkEnd w:id="117"/>
      <w:bookmarkEnd w:id="118"/>
      <w:bookmarkEnd w:id="119"/>
      <w:bookmarkEnd w:id="120"/>
      <w:bookmarkEnd w:id="121"/>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2" w:name="_Toc450662861"/>
      <w:bookmarkStart w:id="123" w:name="_Toc28822"/>
      <w:bookmarkStart w:id="124" w:name="_Toc12598"/>
      <w:bookmarkStart w:id="125" w:name="_Toc142508325"/>
      <w:bookmarkStart w:id="126" w:name="_Toc6905"/>
      <w:bookmarkStart w:id="127" w:name="_Toc486167675"/>
      <w:bookmarkStart w:id="128" w:name="_Toc4385_WPSOffice_Level3"/>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22"/>
      <w:bookmarkEnd w:id="123"/>
      <w:bookmarkEnd w:id="124"/>
      <w:bookmarkEnd w:id="125"/>
      <w:bookmarkEnd w:id="126"/>
      <w:bookmarkEnd w:id="127"/>
      <w:bookmarkEnd w:id="128"/>
    </w:p>
    <w:p>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left="420" w:leftChars="200" w:firstLine="42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left="420" w:leftChars="200" w:firstLine="42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rPr>
        <w:t>本采购项目投标报价已含投标人履行本招标内容全部义务的一切费用，包括但不限于：</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合同项下所供货物及其配备的附件的设计（含配合招标人完成厨房及中西明档区的深化设计、跟踪厨房及中西明档区的土建装修、水电装修过程并参与验收）、采购、制造、检测、检验、试验、包装、储存（含现场仓储）、运输（退换货运输）、送货、装卸（含二次搬运至甲方指定交货或仓储地点）、人工费、材料费、安装费、调试费、运费、保险、质保期免费上门提供售后服务、培训、专用工具及备品备件、验收、技术服务的全部费用。</w:t>
      </w:r>
      <w:r>
        <w:rPr>
          <w:rFonts w:hint="eastAsia" w:ascii="宋体" w:hAnsi="宋体" w:eastAsia="宋体" w:cs="宋体"/>
          <w:color w:val="auto"/>
          <w:szCs w:val="21"/>
          <w:highlight w:val="none"/>
          <w:lang w:val="en-US" w:eastAsia="zh-CN"/>
        </w:rPr>
        <w:t>中标人安装设备、设施期间的水、电费用由招标人承担。</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）投标货物及其工艺所有制造方、使用方应支付的对专有技术、商标权、专利权和版权、设计或其他知识产权而需要向其他方支付的版税；</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（3）验收时为达到相关标准而可能增加的、不合格货物更换、零配件更换等费用；</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（4）招标人所在地及项目现场培训全过程（含会务、资料、培训方及非中文培训师的翻译、中标人、招标人涉及的所有费用）。</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（5）设备备品备件（含零配件）、设备拆装维修所需特殊专用工具购置。</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（6）日常技术指导，免费的质保期保修服务，包括但不限于对设备的运行指导，免费维修、保修或更换配件，在设备出现严重故障、影响正常运行、修复有困难的情况下，对设备进行免费更换的费用；</w:t>
      </w:r>
    </w:p>
    <w:p>
      <w:pPr>
        <w:autoSpaceDE w:val="0"/>
        <w:autoSpaceDN w:val="0"/>
        <w:adjustRightInd w:val="0"/>
        <w:spacing w:line="360" w:lineRule="auto"/>
        <w:ind w:left="357" w:leftChars="-100" w:hanging="567"/>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（7）招标设备清单虽未列出，但根据设计图纸或为满足设计功能所必需的设备材料购置费；</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lang w:val="en-US" w:eastAsia="zh-CN"/>
        </w:rPr>
        <w:t>（8）合理利润、中标人销项税额以外的税费等；</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szCs w:val="21"/>
          <w:highlight w:val="none"/>
          <w:lang w:val="zh-CN"/>
        </w:rPr>
        <w:t>11.6</w:t>
      </w:r>
      <w:r>
        <w:rPr>
          <w:rFonts w:hint="eastAsia" w:ascii="宋体" w:hAnsi="宋体" w:eastAsia="宋体" w:cs="Times New Roman"/>
          <w:b/>
          <w:bCs/>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的投标报价高于最高投标限价的，该投标人的投标文件将被视为无效投标</w:t>
      </w:r>
      <w:r>
        <w:rPr>
          <w:rFonts w:hint="eastAsia" w:ascii="宋体" w:hAnsi="宋体" w:eastAsia="宋体" w:cs="宋体"/>
          <w:b/>
          <w:color w:val="auto"/>
          <w:szCs w:val="21"/>
          <w:highlight w:val="none"/>
          <w:u w:val="single"/>
          <w:lang w:val="zh-CN"/>
        </w:rPr>
        <w:t>。本项目的不含税最高投标限价</w:t>
      </w:r>
      <w:r>
        <w:rPr>
          <w:rFonts w:hint="eastAsia" w:ascii="宋体" w:hAnsi="宋体" w:eastAsia="宋体" w:cs="Times New Roman"/>
          <w:b/>
          <w:bCs/>
          <w:color w:val="auto"/>
          <w:szCs w:val="21"/>
          <w:highlight w:val="none"/>
          <w:u w:val="single"/>
          <w:lang w:val="zh-CN"/>
        </w:rPr>
        <w:t>为</w:t>
      </w:r>
      <w:r>
        <w:rPr>
          <w:rFonts w:hint="eastAsia" w:ascii="宋体" w:hAnsi="宋体" w:eastAsia="宋体" w:cs="Times New Roman"/>
          <w:b/>
          <w:bCs/>
          <w:color w:val="auto"/>
          <w:szCs w:val="21"/>
          <w:highlight w:val="none"/>
          <w:u w:val="single"/>
          <w:lang w:val="en-US" w:eastAsia="zh-CN"/>
        </w:rPr>
        <w:t>2,955,619.66</w:t>
      </w:r>
      <w:r>
        <w:rPr>
          <w:rFonts w:hint="eastAsia" w:ascii="宋体" w:hAnsi="宋体" w:eastAsia="宋体" w:cs="Times New Roman"/>
          <w:b/>
          <w:bCs/>
          <w:color w:val="auto"/>
          <w:szCs w:val="21"/>
          <w:highlight w:val="none"/>
          <w:u w:val="single"/>
          <w:lang w:val="zh-CN"/>
        </w:rPr>
        <w:t>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贰佰玖拾伍万伍仟陆佰壹拾玖元陆角陆分</w:t>
      </w:r>
      <w:r>
        <w:rPr>
          <w:rFonts w:hint="eastAsia" w:ascii="宋体" w:hAnsi="宋体" w:eastAsia="宋体" w:cs="宋体"/>
          <w:b/>
          <w:color w:val="auto"/>
          <w:szCs w:val="21"/>
          <w:highlight w:val="none"/>
          <w:u w:val="single"/>
          <w:lang w:val="zh-CN"/>
        </w:rPr>
        <w:t>）。</w:t>
      </w:r>
      <w:r>
        <w:rPr>
          <w:rFonts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129" w:name="_Toc14068"/>
      <w:bookmarkStart w:id="130" w:name="_Toc30042_WPSOffice_Level3"/>
      <w:bookmarkStart w:id="131" w:name="_Toc12103"/>
      <w:bookmarkStart w:id="132" w:name="_Toc635"/>
      <w:bookmarkStart w:id="133" w:name="_Toc486167676"/>
      <w:bookmarkStart w:id="134" w:name="_Toc450662862"/>
      <w:bookmarkStart w:id="135" w:name="_Toc142508326"/>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29"/>
      <w:bookmarkEnd w:id="130"/>
      <w:bookmarkEnd w:id="131"/>
      <w:bookmarkEnd w:id="132"/>
      <w:bookmarkEnd w:id="133"/>
      <w:bookmarkEnd w:id="134"/>
      <w:bookmarkEnd w:id="135"/>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6" w:name="_Toc21258"/>
      <w:bookmarkStart w:id="137" w:name="_Toc9411_WPSOffice_Level3"/>
      <w:bookmarkStart w:id="138" w:name="_Toc450662863"/>
      <w:bookmarkStart w:id="139" w:name="_Toc25596"/>
      <w:bookmarkStart w:id="140" w:name="_Toc486167677"/>
      <w:bookmarkStart w:id="141" w:name="_Toc142508327"/>
      <w:bookmarkStart w:id="142" w:name="_Toc20334"/>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36"/>
      <w:bookmarkEnd w:id="137"/>
      <w:bookmarkEnd w:id="138"/>
      <w:bookmarkEnd w:id="139"/>
      <w:bookmarkEnd w:id="140"/>
      <w:bookmarkEnd w:id="141"/>
      <w:bookmarkEnd w:id="142"/>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5" w:leftChars="104" w:hanging="13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5" w:leftChars="104" w:hanging="13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5" w:leftChars="104" w:hanging="13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27771_WPSOffice_Level3"/>
      <w:bookmarkStart w:id="144" w:name="_Toc142508328"/>
      <w:bookmarkStart w:id="145" w:name="_Toc450662864"/>
      <w:bookmarkStart w:id="146" w:name="_Toc30441"/>
      <w:bookmarkStart w:id="147" w:name="_Toc26154"/>
      <w:bookmarkStart w:id="148" w:name="_Toc486167678"/>
      <w:bookmarkStart w:id="149" w:name="_Toc26559"/>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43"/>
      <w:bookmarkEnd w:id="144"/>
      <w:bookmarkEnd w:id="145"/>
      <w:bookmarkEnd w:id="146"/>
      <w:bookmarkEnd w:id="147"/>
      <w:bookmarkEnd w:id="148"/>
      <w:bookmarkEnd w:id="149"/>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0" w:name="_Toc7420"/>
      <w:bookmarkStart w:id="151" w:name="_Toc142508329"/>
      <w:bookmarkStart w:id="152" w:name="_Toc486167679"/>
      <w:bookmarkStart w:id="153" w:name="_Toc24774"/>
      <w:bookmarkStart w:id="154" w:name="_Toc5356_WPSOffice_Level3"/>
      <w:bookmarkStart w:id="155" w:name="_Toc416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50"/>
      <w:bookmarkEnd w:id="151"/>
      <w:bookmarkEnd w:id="152"/>
      <w:bookmarkEnd w:id="153"/>
      <w:bookmarkEnd w:id="154"/>
      <w:bookmarkEnd w:id="155"/>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yellow"/>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59,000.00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伍万玖仟元整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pPr>
        <w:spacing w:line="360" w:lineRule="auto"/>
        <w:ind w:left="210" w:leftChars="100" w:firstLine="210" w:firstLineChars="1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开户名称：东莞市</w:t>
      </w:r>
      <w:r>
        <w:rPr>
          <w:rFonts w:hint="eastAsia" w:ascii="宋体" w:hAnsi="宋体" w:eastAsia="宋体" w:cs="宋体"/>
          <w:color w:val="auto"/>
          <w:kern w:val="0"/>
          <w:szCs w:val="21"/>
          <w:highlight w:val="none"/>
          <w:lang w:val="en-US" w:eastAsia="zh-CN"/>
        </w:rPr>
        <w:t>置拓投资</w:t>
      </w:r>
      <w:r>
        <w:rPr>
          <w:rFonts w:hint="eastAsia" w:ascii="宋体" w:hAnsi="宋体" w:eastAsia="宋体" w:cs="宋体"/>
          <w:color w:val="auto"/>
          <w:kern w:val="0"/>
          <w:szCs w:val="21"/>
          <w:highlight w:val="none"/>
          <w:lang w:val="zh-CN"/>
        </w:rPr>
        <w:t>有限公司</w:t>
      </w:r>
    </w:p>
    <w:p>
      <w:pPr>
        <w:spacing w:line="360" w:lineRule="auto"/>
        <w:ind w:left="210" w:leftChars="100" w:firstLine="210" w:firstLineChars="100"/>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zh-CN"/>
        </w:rPr>
        <w:t>银行账号：</w:t>
      </w:r>
      <w:r>
        <w:rPr>
          <w:rFonts w:hint="eastAsia" w:ascii="宋体" w:hAnsi="宋体" w:eastAsia="宋体" w:cs="宋体"/>
          <w:color w:val="auto"/>
          <w:kern w:val="0"/>
          <w:szCs w:val="21"/>
          <w:highlight w:val="none"/>
          <w:lang w:val="en-US" w:eastAsia="zh-CN"/>
        </w:rPr>
        <w:t>2010021319200579580</w:t>
      </w:r>
    </w:p>
    <w:p>
      <w:pPr>
        <w:spacing w:line="360" w:lineRule="auto"/>
        <w:ind w:left="210" w:leftChars="100" w:firstLine="210" w:firstLineChars="1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开户银行：</w:t>
      </w:r>
      <w:r>
        <w:rPr>
          <w:rFonts w:hint="eastAsia" w:ascii="宋体" w:hAnsi="宋体" w:eastAsia="宋体" w:cs="宋体"/>
          <w:color w:val="auto"/>
          <w:kern w:val="0"/>
          <w:szCs w:val="21"/>
          <w:highlight w:val="none"/>
          <w:lang w:val="en-US" w:eastAsia="zh-CN"/>
        </w:rPr>
        <w:t>中国工商银行</w:t>
      </w:r>
      <w:r>
        <w:rPr>
          <w:rFonts w:hint="eastAsia" w:ascii="宋体" w:hAnsi="宋体" w:eastAsia="宋体" w:cs="宋体"/>
          <w:color w:val="auto"/>
          <w:kern w:val="0"/>
          <w:szCs w:val="21"/>
          <w:highlight w:val="none"/>
          <w:lang w:val="zh-CN"/>
        </w:rPr>
        <w:t>股份有限公司</w:t>
      </w:r>
      <w:r>
        <w:rPr>
          <w:rFonts w:hint="eastAsia" w:ascii="宋体" w:hAnsi="宋体" w:eastAsia="宋体" w:cs="宋体"/>
          <w:color w:val="auto"/>
          <w:kern w:val="0"/>
          <w:szCs w:val="21"/>
          <w:highlight w:val="none"/>
          <w:lang w:val="en-US" w:eastAsia="zh-CN"/>
        </w:rPr>
        <w:t>东莞分</w:t>
      </w:r>
      <w:r>
        <w:rPr>
          <w:rFonts w:hint="eastAsia" w:ascii="宋体" w:hAnsi="宋体" w:eastAsia="宋体" w:cs="宋体"/>
          <w:color w:val="auto"/>
          <w:kern w:val="0"/>
          <w:szCs w:val="21"/>
          <w:highlight w:val="none"/>
          <w:lang w:val="zh-CN"/>
        </w:rPr>
        <w:t>行</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6" w:name="_Toc10550"/>
      <w:bookmarkStart w:id="157" w:name="_Toc20393"/>
      <w:bookmarkStart w:id="158" w:name="_Toc22649_WPSOffice_Level3"/>
      <w:bookmarkStart w:id="159" w:name="_Toc142508330"/>
      <w:bookmarkStart w:id="160" w:name="_Toc450662865"/>
      <w:bookmarkStart w:id="161" w:name="_Toc2942"/>
      <w:bookmarkStart w:id="162" w:name="_Toc48616768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56"/>
      <w:bookmarkEnd w:id="157"/>
      <w:bookmarkEnd w:id="158"/>
      <w:bookmarkEnd w:id="159"/>
      <w:bookmarkEnd w:id="160"/>
      <w:bookmarkEnd w:id="161"/>
      <w:bookmarkEnd w:id="162"/>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3" w:name="_Toc6565"/>
      <w:bookmarkStart w:id="164" w:name="_Toc13311"/>
      <w:bookmarkStart w:id="165" w:name="_Toc358"/>
      <w:bookmarkStart w:id="166" w:name="_Toc142508331"/>
      <w:bookmarkStart w:id="167" w:name="_Toc486167681"/>
      <w:bookmarkStart w:id="168" w:name="_Toc450662866"/>
      <w:bookmarkStart w:id="169" w:name="_Toc25637_WPSOffice_Level3"/>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63"/>
      <w:bookmarkEnd w:id="164"/>
      <w:bookmarkEnd w:id="165"/>
      <w:bookmarkEnd w:id="166"/>
      <w:bookmarkEnd w:id="167"/>
      <w:bookmarkEnd w:id="168"/>
      <w:bookmarkEnd w:id="16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bCs/>
          <w:color w:val="auto"/>
          <w:szCs w:val="21"/>
          <w:lang w:val="zh-CN"/>
        </w:rPr>
        <w:t>“</w:t>
      </w:r>
      <w:r>
        <w:rPr>
          <w:rFonts w:hint="eastAsia" w:ascii="宋体" w:hAnsi="宋体" w:eastAsia="宋体" w:cs="宋体"/>
          <w:color w:val="auto"/>
          <w:szCs w:val="21"/>
          <w:lang w:val="zh-CN"/>
        </w:rPr>
        <w:t>法定代表人授权书</w:t>
      </w:r>
      <w:r>
        <w:rPr>
          <w:rFonts w:hint="eastAsia" w:ascii="宋体" w:hAnsi="宋体" w:eastAsia="宋体" w:cs="宋体"/>
          <w:bCs/>
          <w:color w:val="auto"/>
          <w:szCs w:val="21"/>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170" w:name="_Toc450662867"/>
    </w:p>
    <w:p>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71" w:name="_Toc486167682"/>
      <w:bookmarkStart w:id="172" w:name="_Toc140596891"/>
      <w:bookmarkStart w:id="173" w:name="_Toc18968"/>
      <w:bookmarkStart w:id="174" w:name="_Toc142508332"/>
      <w:bookmarkStart w:id="175" w:name="_Toc22356_WPSOffice_Level2"/>
      <w:bookmarkStart w:id="176" w:name="_Toc11345"/>
      <w:bookmarkStart w:id="177" w:name="_Toc17608"/>
      <w:r>
        <w:rPr>
          <w:rFonts w:hint="eastAsia" w:ascii="宋体" w:hAnsi="宋体" w:eastAsia="宋体" w:cs="宋体"/>
          <w:b/>
          <w:bCs/>
          <w:color w:val="auto"/>
          <w:kern w:val="44"/>
          <w:szCs w:val="21"/>
          <w:highlight w:val="none"/>
          <w:lang w:val="zh-CN"/>
        </w:rPr>
        <w:t>四、投标文件的递交</w:t>
      </w:r>
      <w:bookmarkEnd w:id="170"/>
      <w:bookmarkEnd w:id="171"/>
      <w:bookmarkEnd w:id="172"/>
      <w:bookmarkEnd w:id="173"/>
      <w:bookmarkEnd w:id="174"/>
      <w:bookmarkEnd w:id="175"/>
      <w:bookmarkEnd w:id="176"/>
      <w:bookmarkEnd w:id="17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8" w:name="_Toc142508333"/>
      <w:bookmarkStart w:id="179" w:name="_Toc450662868"/>
      <w:bookmarkStart w:id="180" w:name="_Toc31579"/>
      <w:bookmarkStart w:id="181" w:name="_Toc486167683"/>
      <w:bookmarkStart w:id="182" w:name="_Toc12342"/>
      <w:bookmarkStart w:id="183" w:name="_Toc9900"/>
      <w:bookmarkStart w:id="184" w:name="_Toc12192_WPSOffice_Level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78"/>
      <w:bookmarkEnd w:id="179"/>
      <w:bookmarkEnd w:id="180"/>
      <w:bookmarkEnd w:id="181"/>
      <w:bookmarkEnd w:id="182"/>
      <w:bookmarkEnd w:id="183"/>
      <w:bookmarkEnd w:id="184"/>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5" w:name="_Toc486167684"/>
      <w:bookmarkStart w:id="186" w:name="_Toc29665_WPSOffice_Level3"/>
      <w:bookmarkStart w:id="187" w:name="_Toc32205"/>
      <w:bookmarkStart w:id="188" w:name="_Toc142508334"/>
      <w:bookmarkStart w:id="189" w:name="_Toc3384"/>
      <w:bookmarkStart w:id="190" w:name="_Toc450662869"/>
      <w:bookmarkStart w:id="191" w:name="_Toc28525"/>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85"/>
      <w:bookmarkEnd w:id="186"/>
      <w:bookmarkEnd w:id="187"/>
      <w:bookmarkEnd w:id="188"/>
      <w:bookmarkEnd w:id="189"/>
      <w:bookmarkEnd w:id="190"/>
      <w:bookmarkEnd w:id="191"/>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92" w:name="_Toc22431_WPSOffice_Level3"/>
      <w:bookmarkStart w:id="193" w:name="_Toc6684"/>
      <w:bookmarkStart w:id="194" w:name="_Toc450662870"/>
      <w:bookmarkStart w:id="195" w:name="_Toc5446"/>
      <w:bookmarkStart w:id="196" w:name="_Toc142508335"/>
      <w:bookmarkStart w:id="197" w:name="_Toc486167685"/>
      <w:bookmarkStart w:id="198" w:name="_Toc19193"/>
      <w:r>
        <w:rPr>
          <w:rFonts w:hint="eastAsia" w:ascii="宋体" w:hAnsi="宋体" w:eastAsia="宋体" w:cs="宋体"/>
          <w:color w:val="auto"/>
          <w:szCs w:val="21"/>
          <w:highlight w:val="none"/>
          <w:lang w:val="zh-CN"/>
        </w:rPr>
        <w:t>20 迟交的投标文件</w:t>
      </w:r>
      <w:bookmarkEnd w:id="192"/>
      <w:bookmarkEnd w:id="193"/>
      <w:bookmarkEnd w:id="194"/>
      <w:bookmarkEnd w:id="195"/>
      <w:bookmarkEnd w:id="196"/>
      <w:bookmarkEnd w:id="197"/>
      <w:bookmarkEnd w:id="198"/>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9" w:name="_Toc142508336"/>
      <w:bookmarkStart w:id="200" w:name="_Toc16964"/>
      <w:bookmarkStart w:id="201" w:name="_Toc450662871"/>
      <w:bookmarkStart w:id="202" w:name="_Toc4269"/>
      <w:bookmarkStart w:id="203" w:name="_Toc15452"/>
      <w:bookmarkStart w:id="204" w:name="_Toc486167686"/>
      <w:bookmarkStart w:id="205" w:name="_Toc4883_WPSOffice_Level3"/>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99"/>
      <w:bookmarkEnd w:id="200"/>
      <w:bookmarkEnd w:id="201"/>
      <w:bookmarkEnd w:id="202"/>
      <w:bookmarkEnd w:id="203"/>
      <w:bookmarkEnd w:id="204"/>
      <w:bookmarkEnd w:id="205"/>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06" w:name="_Toc486167687"/>
      <w:bookmarkStart w:id="207" w:name="_Toc142508337"/>
      <w:bookmarkStart w:id="208" w:name="_Toc1049_WPSOffice_Level2"/>
      <w:bookmarkStart w:id="209" w:name="_Toc27648"/>
      <w:bookmarkStart w:id="210" w:name="_Toc450662872"/>
      <w:bookmarkStart w:id="211" w:name="_Toc140596896"/>
      <w:bookmarkStart w:id="212" w:name="_Toc20817"/>
      <w:bookmarkStart w:id="213" w:name="_Toc6702"/>
      <w:r>
        <w:rPr>
          <w:rFonts w:hint="eastAsia" w:ascii="宋体" w:hAnsi="宋体" w:eastAsia="宋体" w:cs="宋体"/>
          <w:b/>
          <w:bCs/>
          <w:color w:val="auto"/>
          <w:kern w:val="44"/>
          <w:szCs w:val="21"/>
          <w:highlight w:val="none"/>
          <w:lang w:val="zh-CN"/>
        </w:rPr>
        <w:t>五、开标与评标</w:t>
      </w:r>
      <w:bookmarkEnd w:id="206"/>
      <w:bookmarkEnd w:id="207"/>
      <w:bookmarkEnd w:id="208"/>
      <w:bookmarkEnd w:id="209"/>
      <w:bookmarkEnd w:id="210"/>
      <w:bookmarkEnd w:id="211"/>
      <w:bookmarkEnd w:id="212"/>
      <w:bookmarkEnd w:id="213"/>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4" w:name="_Toc29881"/>
      <w:bookmarkStart w:id="215" w:name="_Toc7200"/>
      <w:bookmarkStart w:id="216" w:name="_Toc144_WPSOffice_Level3"/>
      <w:bookmarkStart w:id="217" w:name="_Toc450662873"/>
      <w:bookmarkStart w:id="218" w:name="_Toc18892"/>
      <w:bookmarkStart w:id="219" w:name="_Toc486167688"/>
      <w:bookmarkStart w:id="220" w:name="_Toc142508338"/>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14"/>
      <w:bookmarkEnd w:id="215"/>
      <w:bookmarkEnd w:id="216"/>
      <w:bookmarkEnd w:id="217"/>
      <w:bookmarkEnd w:id="218"/>
      <w:bookmarkEnd w:id="219"/>
      <w:bookmarkEnd w:id="220"/>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w:t>
      </w:r>
      <w:r>
        <w:rPr>
          <w:rFonts w:hint="eastAsia" w:ascii="宋体" w:hAnsi="宋体" w:eastAsia="宋体" w:cs="宋体"/>
          <w:color w:val="auto"/>
          <w:szCs w:val="21"/>
          <w:highlight w:val="none"/>
          <w:lang w:val="en-US" w:eastAsia="zh-CN"/>
        </w:rPr>
        <w:t>；当开标一览表(投标报价表)内总报价金额与按综合单价计算的总价不一致的，以综合单价计算结果为准，单项金额小数点有明显错位的，应以总价为准，并修正综合单价金额；当分项报价明细表内累计与投标报价表内报价不符时，以投标报价表（开标一览表）为准，修正分项报价明细表内的各分项报价；</w:t>
      </w:r>
      <w:r>
        <w:rPr>
          <w:rFonts w:hint="eastAsia" w:ascii="宋体" w:hAnsi="宋体" w:eastAsia="宋体" w:cs="宋体"/>
          <w:color w:val="auto"/>
          <w:szCs w:val="21"/>
          <w:highlight w:val="none"/>
          <w:lang w:val="zh-CN"/>
        </w:rPr>
        <w:t>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1" w:name="_Toc12165_WPSOffice_Level3"/>
      <w:bookmarkStart w:id="222" w:name="_Toc30804"/>
      <w:bookmarkStart w:id="223" w:name="_Toc2038"/>
      <w:bookmarkStart w:id="224" w:name="_Toc450662874"/>
      <w:bookmarkStart w:id="225" w:name="_Toc486167689"/>
      <w:bookmarkStart w:id="226" w:name="_Toc142508339"/>
      <w:bookmarkStart w:id="227" w:name="_Toc11072"/>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21"/>
      <w:bookmarkEnd w:id="222"/>
      <w:bookmarkEnd w:id="223"/>
      <w:bookmarkEnd w:id="224"/>
      <w:bookmarkEnd w:id="225"/>
      <w:bookmarkEnd w:id="226"/>
      <w:bookmarkEnd w:id="227"/>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8" w:name="_Toc3748"/>
      <w:bookmarkStart w:id="229" w:name="_Toc833"/>
      <w:bookmarkStart w:id="230" w:name="_Toc486167690"/>
      <w:bookmarkStart w:id="231" w:name="_Toc450662875"/>
      <w:bookmarkStart w:id="232" w:name="_Toc15565_WPSOffice_Level3"/>
      <w:bookmarkStart w:id="233" w:name="_Toc3908"/>
      <w:bookmarkStart w:id="234" w:name="_Toc14250834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28"/>
      <w:bookmarkEnd w:id="229"/>
      <w:bookmarkEnd w:id="230"/>
      <w:bookmarkEnd w:id="231"/>
      <w:bookmarkEnd w:id="232"/>
      <w:bookmarkEnd w:id="233"/>
      <w:bookmarkEnd w:id="234"/>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35" w:name="_Toc450662876"/>
      <w:bookmarkStart w:id="236" w:name="_Toc142508341"/>
      <w:bookmarkStart w:id="237" w:name="_Toc28910_WPSOffice_Level3"/>
      <w:bookmarkStart w:id="238" w:name="_Toc830"/>
      <w:bookmarkStart w:id="239" w:name="_Toc25484"/>
      <w:bookmarkStart w:id="240" w:name="_Toc31399"/>
      <w:bookmarkStart w:id="241" w:name="_Toc486167691"/>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35"/>
      <w:bookmarkEnd w:id="236"/>
      <w:bookmarkEnd w:id="237"/>
      <w:bookmarkEnd w:id="238"/>
      <w:bookmarkEnd w:id="239"/>
      <w:bookmarkEnd w:id="240"/>
      <w:bookmarkEnd w:id="241"/>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2" w:name="_Toc9436"/>
      <w:bookmarkStart w:id="243" w:name="_Toc142508342"/>
      <w:bookmarkStart w:id="244" w:name="_Toc22879"/>
      <w:bookmarkStart w:id="245" w:name="_Toc338_WPSOffice_Level3"/>
      <w:bookmarkStart w:id="246" w:name="_Toc450662877"/>
      <w:bookmarkStart w:id="247" w:name="_Toc486167692"/>
      <w:bookmarkStart w:id="248" w:name="_Toc10130"/>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42"/>
      <w:bookmarkEnd w:id="243"/>
      <w:bookmarkEnd w:id="244"/>
      <w:bookmarkEnd w:id="245"/>
      <w:bookmarkEnd w:id="246"/>
      <w:bookmarkEnd w:id="247"/>
      <w:bookmarkEnd w:id="248"/>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49"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49"/>
    <w:p>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50" w:name="_Toc522047355"/>
      <w:bookmarkStart w:id="251" w:name="_Toc521918096"/>
      <w:bookmarkStart w:id="252" w:name="_Toc18368_WPSOffice_Level3"/>
      <w:bookmarkStart w:id="253" w:name="_Toc142508343"/>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4" w:name="_Toc9746"/>
      <w:bookmarkStart w:id="255" w:name="_Toc26392"/>
      <w:bookmarkStart w:id="256"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50"/>
      <w:bookmarkEnd w:id="251"/>
      <w:bookmarkEnd w:id="252"/>
      <w:bookmarkEnd w:id="253"/>
      <w:bookmarkEnd w:id="254"/>
      <w:bookmarkEnd w:id="255"/>
      <w:bookmarkEnd w:id="256"/>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57" w:name="_Toc521918097"/>
      <w:bookmarkStart w:id="258" w:name="_Toc52204735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9" w:name="_Toc31279"/>
      <w:bookmarkStart w:id="260" w:name="_Toc21460_WPSOffice_Level3"/>
      <w:bookmarkStart w:id="261" w:name="_Toc142508344"/>
      <w:bookmarkStart w:id="262" w:name="_Toc25314"/>
      <w:bookmarkStart w:id="263" w:name="_Toc18255"/>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57"/>
      <w:bookmarkEnd w:id="258"/>
      <w:bookmarkEnd w:id="259"/>
      <w:bookmarkEnd w:id="260"/>
      <w:bookmarkEnd w:id="261"/>
      <w:bookmarkEnd w:id="262"/>
      <w:bookmarkEnd w:id="263"/>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pPr>
        <w:autoSpaceDE w:val="0"/>
        <w:autoSpaceDN w:val="0"/>
        <w:adjustRightInd w:val="0"/>
        <w:spacing w:line="360" w:lineRule="auto"/>
        <w:ind w:left="441" w:leftChars="-95" w:hanging="640" w:hangingChars="30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4" w:name="_Toc31588"/>
      <w:bookmarkStart w:id="265" w:name="_Toc32498_WPSOffice_Level3"/>
      <w:bookmarkStart w:id="266" w:name="_Toc142508345"/>
      <w:bookmarkStart w:id="267" w:name="_Toc15841"/>
      <w:bookmarkStart w:id="268" w:name="_Toc486167694"/>
      <w:bookmarkStart w:id="269" w:name="_Toc465358969"/>
      <w:bookmarkStart w:id="270" w:name="_Toc25047"/>
      <w:bookmarkStart w:id="271" w:name="_Toc46688201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64"/>
      <w:bookmarkEnd w:id="265"/>
      <w:bookmarkEnd w:id="266"/>
      <w:bookmarkEnd w:id="267"/>
      <w:bookmarkEnd w:id="268"/>
      <w:bookmarkEnd w:id="269"/>
      <w:bookmarkEnd w:id="270"/>
      <w:bookmarkEnd w:id="271"/>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72" w:name="_Toc466882018"/>
      <w:bookmarkStart w:id="273" w:name="_Toc465358970"/>
      <w:bookmarkStart w:id="274" w:name="_Toc1848_WPSOffice_Level3"/>
      <w:bookmarkStart w:id="275" w:name="_Toc142508346"/>
      <w:bookmarkStart w:id="276" w:name="_Toc486167695"/>
      <w:bookmarkStart w:id="277" w:name="_Toc24057"/>
      <w:bookmarkStart w:id="278" w:name="_Toc26138"/>
      <w:bookmarkStart w:id="279" w:name="_Toc4325"/>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2"/>
      <w:bookmarkEnd w:id="273"/>
      <w:bookmarkEnd w:id="274"/>
      <w:bookmarkEnd w:id="275"/>
      <w:bookmarkEnd w:id="276"/>
      <w:bookmarkEnd w:id="277"/>
      <w:bookmarkEnd w:id="278"/>
      <w:bookmarkEnd w:id="279"/>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280" w:name="_Toc465358971"/>
      <w:bookmarkStart w:id="281" w:name="_Toc466882019"/>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82" w:name="_Toc10867_WPSOffice_Level3"/>
      <w:bookmarkStart w:id="283" w:name="_Toc26035"/>
      <w:bookmarkStart w:id="284" w:name="_Toc486167696"/>
      <w:bookmarkStart w:id="285" w:name="_Toc142508347"/>
      <w:bookmarkStart w:id="286" w:name="_Toc10009"/>
      <w:bookmarkStart w:id="287" w:name="_Toc14140"/>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0"/>
      <w:bookmarkEnd w:id="281"/>
      <w:bookmarkEnd w:id="282"/>
      <w:bookmarkEnd w:id="283"/>
      <w:bookmarkEnd w:id="284"/>
      <w:bookmarkEnd w:id="285"/>
      <w:bookmarkEnd w:id="286"/>
      <w:bookmarkEnd w:id="287"/>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88" w:name="_Toc450662880"/>
    </w:p>
    <w:p>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89" w:name="_Toc142508348"/>
      <w:bookmarkStart w:id="290" w:name="_Toc486167697"/>
      <w:bookmarkStart w:id="291" w:name="_Toc18316"/>
      <w:bookmarkStart w:id="292" w:name="_Toc140596907"/>
      <w:bookmarkStart w:id="293" w:name="_Toc16848_WPSOffice_Level2"/>
      <w:bookmarkStart w:id="294" w:name="_Toc23395"/>
      <w:bookmarkStart w:id="295" w:name="_Toc22929"/>
      <w:r>
        <w:rPr>
          <w:rFonts w:hint="eastAsia" w:ascii="宋体" w:hAnsi="宋体" w:eastAsia="宋体" w:cs="宋体"/>
          <w:b/>
          <w:bCs/>
          <w:color w:val="auto"/>
          <w:kern w:val="44"/>
          <w:szCs w:val="21"/>
          <w:highlight w:val="none"/>
          <w:lang w:val="zh-CN"/>
        </w:rPr>
        <w:t>六、授予合同</w:t>
      </w:r>
      <w:bookmarkEnd w:id="288"/>
      <w:bookmarkEnd w:id="289"/>
      <w:bookmarkEnd w:id="290"/>
      <w:bookmarkEnd w:id="291"/>
      <w:bookmarkEnd w:id="292"/>
      <w:bookmarkEnd w:id="293"/>
      <w:bookmarkEnd w:id="294"/>
      <w:bookmarkEnd w:id="29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6" w:name="_Toc6401_WPSOffice_Level3"/>
      <w:bookmarkStart w:id="297" w:name="_Toc14160"/>
      <w:bookmarkStart w:id="298" w:name="_Toc25540"/>
      <w:bookmarkStart w:id="299" w:name="_Toc21588"/>
      <w:bookmarkStart w:id="300" w:name="_Toc486167698"/>
      <w:bookmarkStart w:id="301" w:name="_Toc142508349"/>
      <w:bookmarkStart w:id="302" w:name="_Toc450662881"/>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96"/>
      <w:bookmarkEnd w:id="297"/>
      <w:bookmarkEnd w:id="298"/>
      <w:bookmarkEnd w:id="299"/>
      <w:bookmarkEnd w:id="300"/>
      <w:bookmarkEnd w:id="301"/>
      <w:bookmarkEnd w:id="302"/>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03"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4" w:name="_Toc30848"/>
      <w:bookmarkStart w:id="305" w:name="_Toc24266"/>
      <w:bookmarkStart w:id="306" w:name="_Toc486167699"/>
      <w:bookmarkStart w:id="307" w:name="_Toc6726_WPSOffice_Level3"/>
      <w:bookmarkStart w:id="308" w:name="_Toc142508350"/>
      <w:bookmarkStart w:id="309" w:name="_Toc8842"/>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303"/>
      <w:bookmarkEnd w:id="304"/>
      <w:bookmarkEnd w:id="305"/>
      <w:bookmarkEnd w:id="306"/>
      <w:bookmarkEnd w:id="307"/>
      <w:bookmarkEnd w:id="308"/>
      <w:bookmarkEnd w:id="309"/>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10"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1" w:name="_Toc24946"/>
      <w:bookmarkStart w:id="312" w:name="_Toc26535"/>
      <w:bookmarkStart w:id="313" w:name="_Toc142508351"/>
      <w:bookmarkStart w:id="314" w:name="_Toc9694_WPSOffice_Level3"/>
      <w:bookmarkStart w:id="315" w:name="_Toc32732"/>
      <w:bookmarkStart w:id="316" w:name="_Toc486167700"/>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10"/>
      <w:bookmarkEnd w:id="311"/>
      <w:bookmarkEnd w:id="312"/>
      <w:bookmarkEnd w:id="313"/>
      <w:bookmarkEnd w:id="314"/>
      <w:bookmarkEnd w:id="315"/>
      <w:bookmarkEnd w:id="316"/>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pPr>
        <w:autoSpaceDE w:val="0"/>
        <w:autoSpaceDN w:val="0"/>
        <w:adjustRightInd w:val="0"/>
        <w:snapToGrid w:val="0"/>
        <w:spacing w:line="360" w:lineRule="auto"/>
        <w:ind w:left="315" w:leftChars="100" w:hanging="105" w:hangingChars="50"/>
        <w:jc w:val="left"/>
        <w:rPr>
          <w:rFonts w:hint="eastAsia" w:ascii="宋体" w:hAnsi="宋体" w:eastAsia="宋体" w:cs="Times New Roman"/>
          <w:szCs w:val="21"/>
          <w:highlight w:val="none"/>
          <w:lang w:val="zh-CN"/>
        </w:rPr>
      </w:pPr>
      <w:bookmarkStart w:id="317" w:name="_Toc486167701"/>
      <w:bookmarkStart w:id="318" w:name="_Toc142508352"/>
      <w:bookmarkStart w:id="319" w:name="_Toc450662887"/>
      <w:bookmarkStart w:id="320" w:name="_Toc10513_WPSOffice_Level3"/>
      <w:r>
        <w:rPr>
          <w:rFonts w:hint="eastAsia" w:ascii="宋体" w:hAnsi="宋体" w:eastAsia="宋体" w:cs="Times New Roman"/>
          <w:szCs w:val="21"/>
          <w:highlight w:val="none"/>
          <w:lang w:val="zh-CN"/>
        </w:rPr>
        <w:t>（1）当以数字表示的金额与以文字表示的金额不一致时，以文字表示的金额为准；</w:t>
      </w:r>
    </w:p>
    <w:p>
      <w:pPr>
        <w:autoSpaceDE w:val="0"/>
        <w:autoSpaceDN w:val="0"/>
        <w:adjustRightInd w:val="0"/>
        <w:snapToGrid w:val="0"/>
        <w:spacing w:line="360" w:lineRule="auto"/>
        <w:ind w:left="315" w:leftChars="100" w:hanging="105" w:hangingChars="5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（2）当开标一览表(投标报价表)内总报价金额与按综合单价计算的总价不一致的，以综合单价计算结果为准，单项金额小数点有明显错位的，应以总价为准，并修正综合单价金额；</w:t>
      </w:r>
    </w:p>
    <w:p>
      <w:pPr>
        <w:autoSpaceDE w:val="0"/>
        <w:autoSpaceDN w:val="0"/>
        <w:adjustRightInd w:val="0"/>
        <w:snapToGrid w:val="0"/>
        <w:spacing w:line="360" w:lineRule="auto"/>
        <w:ind w:left="315" w:leftChars="100" w:hanging="105" w:hangingChars="50"/>
        <w:jc w:val="left"/>
        <w:rPr>
          <w:rFonts w:hint="eastAsia" w:ascii="宋体" w:hAnsi="宋体" w:eastAsia="宋体" w:cs="Times New Roman"/>
          <w:szCs w:val="21"/>
          <w:highlight w:val="none"/>
          <w:lang w:val="zh-CN"/>
        </w:rPr>
      </w:pPr>
      <w:r>
        <w:rPr>
          <w:rFonts w:hint="eastAsia" w:ascii="宋体" w:hAnsi="宋体" w:eastAsia="宋体" w:cs="Times New Roman"/>
          <w:szCs w:val="21"/>
          <w:highlight w:val="none"/>
          <w:lang w:val="zh-CN"/>
        </w:rPr>
        <w:t>（3）当分项报价明细表内累计与投标报价表内报价不符时，以投标报价表（开标一览表）为准，修正分项报价明细表内的各分项报价。</w:t>
      </w:r>
    </w:p>
    <w:p>
      <w:pPr>
        <w:autoSpaceDE w:val="0"/>
        <w:autoSpaceDN w:val="0"/>
        <w:adjustRightInd w:val="0"/>
        <w:snapToGrid w:val="0"/>
        <w:spacing w:line="360" w:lineRule="auto"/>
        <w:ind w:left="315" w:leftChars="100" w:hanging="105" w:hangingChars="50"/>
        <w:jc w:val="left"/>
        <w:rPr>
          <w:rFonts w:ascii="宋体" w:hAnsi="宋体" w:eastAsia="宋体" w:cs="Times New Roman"/>
          <w:szCs w:val="21"/>
          <w:highlight w:val="none"/>
          <w:lang w:val="zh-CN"/>
        </w:rPr>
      </w:pPr>
      <w:r>
        <w:rPr>
          <w:rFonts w:hint="eastAsia" w:ascii="宋体" w:hAnsi="宋体" w:eastAsia="宋体" w:cs="Times New Roman"/>
          <w:szCs w:val="21"/>
          <w:highlight w:val="none"/>
          <w:lang w:val="zh-CN"/>
        </w:rPr>
        <w:t>按前述修正原则排序依次进行修正至唯一值后的报价表经双方确认后，作为合同文件的组成部分。</w:t>
      </w:r>
    </w:p>
    <w:p>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1" w:name="_Toc24297"/>
      <w:bookmarkStart w:id="322" w:name="_Toc8873"/>
      <w:bookmarkStart w:id="323" w:name="_Toc1889"/>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17"/>
      <w:bookmarkEnd w:id="318"/>
      <w:bookmarkEnd w:id="319"/>
      <w:bookmarkEnd w:id="320"/>
      <w:bookmarkEnd w:id="321"/>
      <w:bookmarkEnd w:id="322"/>
      <w:bookmarkEnd w:id="323"/>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24" w:name="_Toc466882025"/>
      <w:bookmarkStart w:id="325"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w:t>
      </w:r>
      <w:r>
        <w:rPr>
          <w:rFonts w:hint="eastAsia" w:ascii="宋体" w:hAnsi="宋体" w:eastAsia="宋体" w:cs="Times New Roman"/>
          <w:b/>
          <w:bCs/>
          <w:color w:val="auto"/>
          <w:sz w:val="21"/>
          <w:szCs w:val="21"/>
          <w:highlight w:val="none"/>
          <w:u w:val="single"/>
          <w:lang w:val="en-US" w:eastAsia="zh-CN"/>
        </w:rPr>
        <w:t>且中标通知书</w:t>
      </w:r>
      <w:r>
        <w:rPr>
          <w:rFonts w:hint="eastAsia" w:ascii="宋体" w:hAnsi="宋体" w:eastAsia="宋体" w:cs="Times New Roman"/>
          <w:b/>
          <w:bCs/>
          <w:color w:val="auto"/>
          <w:sz w:val="21"/>
          <w:szCs w:val="21"/>
          <w:highlight w:val="none"/>
          <w:u w:val="single"/>
          <w:lang w:val="zh-CN"/>
        </w:rPr>
        <w:t>发出之日起30日</w:t>
      </w:r>
      <w:r>
        <w:rPr>
          <w:rFonts w:hint="eastAsia" w:ascii="宋体" w:hAnsi="宋体" w:eastAsia="宋体" w:cs="Times New Roman"/>
          <w:b/>
          <w:bCs/>
          <w:color w:val="auto"/>
          <w:sz w:val="21"/>
          <w:szCs w:val="21"/>
          <w:highlight w:val="none"/>
          <w:u w:val="single"/>
          <w:lang w:val="en-US" w:eastAsia="zh-CN"/>
        </w:rPr>
        <w:t>内</w:t>
      </w:r>
      <w:r>
        <w:rPr>
          <w:rFonts w:hint="eastAsia" w:ascii="宋体" w:hAnsi="宋体" w:eastAsia="宋体" w:cs="Times New Roman"/>
          <w:b/>
          <w:bCs/>
          <w:color w:val="auto"/>
          <w:szCs w:val="21"/>
          <w:highlight w:val="none"/>
          <w:u w:val="single"/>
          <w:lang w:val="zh-CN"/>
        </w:rPr>
        <w:t>，按本招标文件规定金额及形式要求，向招标人提交不可撤销银行履约保函（或履约保证金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w:t>
      </w:r>
      <w:r>
        <w:rPr>
          <w:rFonts w:hint="eastAsia" w:ascii="宋体" w:hAnsi="宋体" w:eastAsia="宋体" w:cs="Arial"/>
          <w:b/>
          <w:bCs/>
          <w:color w:val="auto"/>
          <w:kern w:val="0"/>
          <w:szCs w:val="24"/>
          <w:highlight w:val="none"/>
          <w:u w:val="single"/>
          <w:lang w:val="en-US" w:eastAsia="zh-CN"/>
        </w:rPr>
        <w:t>有权</w:t>
      </w:r>
      <w:r>
        <w:rPr>
          <w:rFonts w:ascii="宋体" w:hAnsi="宋体" w:eastAsia="宋体" w:cs="Arial"/>
          <w:b/>
          <w:bCs/>
          <w:color w:val="auto"/>
          <w:kern w:val="0"/>
          <w:szCs w:val="24"/>
          <w:highlight w:val="none"/>
          <w:u w:val="single"/>
        </w:rPr>
        <w:t>取消中标人的中标资格，</w:t>
      </w:r>
      <w:r>
        <w:rPr>
          <w:rFonts w:hint="eastAsia" w:ascii="宋体" w:hAnsi="宋体" w:eastAsia="宋体" w:cs="Arial"/>
          <w:b/>
          <w:bCs/>
          <w:color w:val="auto"/>
          <w:kern w:val="0"/>
          <w:szCs w:val="24"/>
          <w:highlight w:val="none"/>
          <w:u w:val="single"/>
          <w:lang w:val="en-US" w:eastAsia="zh-CN"/>
        </w:rPr>
        <w:t>并</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其中，采用履约保证金（银行转账形式）的金额为合同含税总价的5%，采用不可撤销银行履约保函</w:t>
      </w:r>
      <w:r>
        <w:rPr>
          <w:rFonts w:hint="eastAsia" w:ascii="宋体" w:hAnsi="宋体" w:eastAsia="宋体" w:cs="Times New Roman"/>
          <w:b/>
          <w:bCs/>
          <w:color w:val="auto"/>
          <w:szCs w:val="21"/>
          <w:u w:val="single"/>
          <w:lang w:val="zh-CN"/>
        </w:rPr>
        <w:t>（</w:t>
      </w:r>
      <w:r>
        <w:rPr>
          <w:rFonts w:hint="eastAsia" w:ascii="宋体" w:hAnsi="宋体" w:eastAsia="宋体" w:cs="Times New Roman"/>
          <w:b/>
          <w:bCs/>
          <w:color w:val="auto"/>
          <w:szCs w:val="21"/>
          <w:u w:val="single"/>
        </w:rPr>
        <w:t>履约保证保险</w:t>
      </w:r>
      <w:r>
        <w:rPr>
          <w:rFonts w:hint="eastAsia" w:ascii="宋体" w:hAnsi="宋体" w:eastAsia="宋体" w:cs="Times New Roman"/>
          <w:b/>
          <w:bCs/>
          <w:color w:val="auto"/>
          <w:szCs w:val="21"/>
          <w:u w:val="single"/>
          <w:lang w:val="zh-CN"/>
        </w:rPr>
        <w:t>）</w:t>
      </w:r>
      <w:r>
        <w:rPr>
          <w:rFonts w:hint="eastAsia" w:ascii="宋体" w:hAnsi="宋体" w:eastAsia="宋体" w:cs="Times New Roman"/>
          <w:b/>
          <w:bCs/>
          <w:color w:val="auto"/>
          <w:szCs w:val="21"/>
          <w:highlight w:val="none"/>
          <w:u w:val="single"/>
          <w:lang w:val="zh-CN"/>
        </w:rPr>
        <w:t>形式的金额为合同含税总价的8%，采用担保公司履约担保书形式的金额为合同含税总价的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Times New Roman"/>
          <w:color w:val="auto"/>
          <w:kern w:val="0"/>
          <w:szCs w:val="21"/>
          <w:highlight w:val="none"/>
        </w:rPr>
        <w:t>不可撤销银行履约保函（或履约保证保险或担保公司履约担保书）</w:t>
      </w:r>
      <w:r>
        <w:rPr>
          <w:rFonts w:hint="eastAsia" w:ascii="宋体" w:hAnsi="宋体" w:eastAsia="宋体" w:cs="Times New Roman"/>
          <w:color w:val="auto"/>
          <w:kern w:val="0"/>
          <w:szCs w:val="21"/>
        </w:rPr>
        <w:t>应自合同签订之日起至</w:t>
      </w:r>
      <w:r>
        <w:rPr>
          <w:rFonts w:hint="eastAsia" w:ascii="宋体" w:hAnsi="宋体" w:eastAsia="宋体" w:cs="宋体"/>
          <w:color w:val="auto"/>
          <w:szCs w:val="21"/>
          <w:highlight w:val="none"/>
        </w:rPr>
        <w:t>合同期限届满并全部货物经最终验收合格后二十八（28）日内保持有效</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35.4  </w:t>
      </w:r>
      <w:r>
        <w:rPr>
          <w:rFonts w:hint="eastAsia" w:ascii="宋体" w:hAnsi="宋体" w:eastAsia="宋体" w:cs="宋体"/>
          <w:color w:val="auto"/>
          <w:kern w:val="0"/>
          <w:szCs w:val="21"/>
          <w:highlight w:val="none"/>
        </w:rPr>
        <w:t>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w:t>
      </w:r>
      <w:r>
        <w:rPr>
          <w:rFonts w:hint="eastAsia" w:ascii="宋体" w:hAnsi="宋体" w:eastAsia="宋体" w:cs="宋体"/>
          <w:b/>
          <w:color w:val="auto"/>
          <w:kern w:val="0"/>
          <w:szCs w:val="21"/>
          <w:highlight w:val="none"/>
          <w:lang w:val="en-US" w:eastAsia="zh-CN"/>
        </w:rPr>
        <w:t>东莞市置拓投资有限公司</w:t>
      </w:r>
    </w:p>
    <w:p>
      <w:pPr>
        <w:autoSpaceDE w:val="0"/>
        <w:autoSpaceDN w:val="0"/>
        <w:adjustRightInd w:val="0"/>
        <w:snapToGrid w:val="0"/>
        <w:spacing w:line="360" w:lineRule="auto"/>
        <w:ind w:firstLine="632" w:firstLineChars="300"/>
        <w:jc w:val="left"/>
        <w:outlineLvl w:val="9"/>
        <w:rPr>
          <w:rFonts w:hint="default"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银行账号：</w:t>
      </w:r>
      <w:r>
        <w:rPr>
          <w:rFonts w:hint="eastAsia" w:ascii="宋体" w:hAnsi="宋体" w:eastAsia="宋体" w:cs="宋体"/>
          <w:b/>
          <w:color w:val="auto"/>
          <w:kern w:val="0"/>
          <w:szCs w:val="21"/>
          <w:highlight w:val="none"/>
          <w:lang w:val="en-US" w:eastAsia="zh-CN"/>
        </w:rPr>
        <w:t>2010021319200579580</w:t>
      </w:r>
    </w:p>
    <w:p>
      <w:pPr>
        <w:autoSpaceDE w:val="0"/>
        <w:autoSpaceDN w:val="0"/>
        <w:adjustRightInd w:val="0"/>
        <w:snapToGrid w:val="0"/>
        <w:spacing w:line="360" w:lineRule="auto"/>
        <w:ind w:firstLine="632" w:firstLineChars="300"/>
        <w:jc w:val="left"/>
        <w:outlineLvl w:val="9"/>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开户银行：</w:t>
      </w:r>
      <w:r>
        <w:rPr>
          <w:rFonts w:hint="eastAsia" w:ascii="宋体" w:hAnsi="宋体" w:eastAsia="宋体" w:cs="宋体"/>
          <w:b/>
          <w:color w:val="auto"/>
          <w:kern w:val="0"/>
          <w:szCs w:val="21"/>
          <w:highlight w:val="none"/>
          <w:lang w:val="en-US" w:eastAsia="zh-CN"/>
        </w:rPr>
        <w:t>中国工商银行股份有限公司东莞分</w:t>
      </w:r>
      <w:r>
        <w:rPr>
          <w:rFonts w:hint="eastAsia" w:ascii="宋体" w:hAnsi="宋体" w:eastAsia="宋体" w:cs="宋体"/>
          <w:b/>
          <w:color w:val="auto"/>
          <w:kern w:val="0"/>
          <w:szCs w:val="21"/>
          <w:highlight w:val="none"/>
        </w:rPr>
        <w:t>行</w:t>
      </w:r>
    </w:p>
    <w:p>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合同期限届满并全部货物经最终验收合格二十八（28）日后，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6" w:name="_Toc486167702"/>
      <w:bookmarkStart w:id="327" w:name="_Toc4271"/>
      <w:bookmarkStart w:id="328" w:name="_Toc21389"/>
      <w:bookmarkStart w:id="329" w:name="_Toc142508353"/>
      <w:bookmarkStart w:id="330" w:name="_Toc1303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24"/>
      <w:bookmarkEnd w:id="325"/>
      <w:bookmarkEnd w:id="326"/>
      <w:bookmarkEnd w:id="327"/>
      <w:bookmarkEnd w:id="328"/>
      <w:bookmarkEnd w:id="329"/>
      <w:bookmarkEnd w:id="330"/>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1"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2" w:name="_Toc23107"/>
      <w:bookmarkStart w:id="333" w:name="_Toc486167703"/>
      <w:bookmarkStart w:id="334" w:name="_Toc14372"/>
      <w:bookmarkStart w:id="335" w:name="_Toc11444"/>
      <w:bookmarkStart w:id="336" w:name="_Toc28921_WPSOffice_Level3"/>
      <w:bookmarkStart w:id="337" w:name="_Toc142508354"/>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31"/>
      <w:bookmarkEnd w:id="332"/>
      <w:bookmarkEnd w:id="333"/>
      <w:bookmarkEnd w:id="334"/>
      <w:bookmarkEnd w:id="335"/>
      <w:bookmarkEnd w:id="336"/>
      <w:bookmarkEnd w:id="337"/>
    </w:p>
    <w:p>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8"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9" w:name="_Toc26292"/>
      <w:bookmarkStart w:id="340" w:name="_Toc6764_WPSOffice_Level3"/>
      <w:bookmarkStart w:id="341" w:name="_Toc142508355"/>
      <w:bookmarkStart w:id="342" w:name="_Toc486167704"/>
      <w:bookmarkStart w:id="343" w:name="_Toc16761"/>
      <w:bookmarkStart w:id="344" w:name="_Toc12346"/>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38"/>
      <w:bookmarkEnd w:id="339"/>
      <w:bookmarkEnd w:id="340"/>
      <w:bookmarkEnd w:id="341"/>
      <w:bookmarkEnd w:id="342"/>
      <w:bookmarkEnd w:id="343"/>
      <w:bookmarkEnd w:id="344"/>
    </w:p>
    <w:p>
      <w:pPr>
        <w:autoSpaceDE w:val="0"/>
        <w:autoSpaceDN w:val="0"/>
        <w:adjustRightInd w:val="0"/>
        <w:snapToGrid w:val="0"/>
        <w:spacing w:line="360" w:lineRule="auto"/>
        <w:ind w:left="315" w:leftChars="-100" w:hanging="525" w:hangingChars="250"/>
        <w:jc w:val="left"/>
        <w:rPr>
          <w:rFonts w:ascii="宋体" w:hAnsi="宋体" w:eastAsia="宋体" w:cs="Times New Roman"/>
          <w:szCs w:val="21"/>
          <w:highlight w:val="none"/>
          <w:lang w:val="zh-CN"/>
        </w:rPr>
      </w:pPr>
      <w:bookmarkStart w:id="345" w:name="_Toc486167705"/>
      <w:bookmarkStart w:id="346" w:name="_Toc31106_WPSOffice_Level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该项目获得中标的中标人在执行合同过程中，向招标人出具的发票必须是由中标人开具，不得以其他单位或个人名义出具，本项目中标人向招标人出具的发票类型为增值税专用</w:t>
      </w:r>
      <w:r>
        <w:rPr>
          <w:rFonts w:hint="eastAsia" w:ascii="宋体" w:hAnsi="宋体" w:eastAsia="宋体" w:cs="Times New Roman"/>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47" w:name="_Toc4658"/>
      <w:bookmarkStart w:id="348" w:name="_Toc16304"/>
      <w:bookmarkStart w:id="349" w:name="_Toc11437"/>
      <w:bookmarkStart w:id="350" w:name="_Toc142508356"/>
      <w:r>
        <w:rPr>
          <w:rFonts w:ascii="宋体" w:hAnsi="宋体" w:eastAsia="宋体" w:cs="宋体"/>
          <w:b/>
          <w:color w:val="auto"/>
          <w:szCs w:val="21"/>
          <w:highlight w:val="none"/>
        </w:rPr>
        <w:t>39 招标相关补充约定</w:t>
      </w:r>
      <w:bookmarkEnd w:id="347"/>
      <w:bookmarkEnd w:id="348"/>
      <w:bookmarkEnd w:id="349"/>
      <w:bookmarkEnd w:id="350"/>
    </w:p>
    <w:p>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51" w:name="_Toc142508357"/>
      <w:bookmarkStart w:id="352" w:name="_Toc25568"/>
      <w:bookmarkStart w:id="353" w:name="_Toc26725"/>
      <w:bookmarkStart w:id="354" w:name="_Toc14591"/>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45"/>
      <w:bookmarkEnd w:id="346"/>
      <w:bookmarkEnd w:id="351"/>
      <w:bookmarkEnd w:id="352"/>
      <w:bookmarkEnd w:id="353"/>
      <w:bookmarkEnd w:id="354"/>
    </w:p>
    <w:p>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355" w:name="_Toc142508358"/>
      <w:bookmarkStart w:id="356" w:name="_Toc486167706"/>
      <w:bookmarkStart w:id="357" w:name="_Toc22779"/>
      <w:bookmarkStart w:id="358" w:name="_Toc28218"/>
      <w:bookmarkStart w:id="359" w:name="_Toc27939_WPSOffice_Level1"/>
      <w:bookmarkStart w:id="360" w:name="_Toc450662891"/>
      <w:bookmarkStart w:id="361" w:name="_Toc4217"/>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55"/>
      <w:bookmarkEnd w:id="356"/>
      <w:bookmarkEnd w:id="357"/>
      <w:bookmarkEnd w:id="358"/>
      <w:bookmarkEnd w:id="359"/>
      <w:bookmarkEnd w:id="360"/>
      <w:bookmarkEnd w:id="36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color w:val="auto"/>
          <w:kern w:val="2"/>
          <w:sz w:val="21"/>
          <w:szCs w:val="21"/>
          <w:highlight w:val="none"/>
          <w:lang w:val="en-US" w:eastAsia="zh-CN"/>
        </w:rPr>
      </w:pPr>
      <w:bookmarkStart w:id="362" w:name="_Toc121083043"/>
      <w:bookmarkStart w:id="363" w:name="_Toc119866905"/>
      <w:bookmarkStart w:id="364" w:name="_Toc119913536"/>
      <w:bookmarkStart w:id="365" w:name="_Toc119864779"/>
      <w:r>
        <w:rPr>
          <w:rFonts w:hint="eastAsia" w:ascii="宋体" w:hAnsi="宋体" w:eastAsia="宋体" w:cs="宋体"/>
          <w:b/>
          <w:color w:val="auto"/>
          <w:kern w:val="2"/>
          <w:sz w:val="21"/>
          <w:szCs w:val="21"/>
          <w:highlight w:val="none"/>
        </w:rPr>
        <w:t>一、</w:t>
      </w:r>
      <w:bookmarkEnd w:id="362"/>
      <w:bookmarkEnd w:id="363"/>
      <w:bookmarkEnd w:id="364"/>
      <w:bookmarkEnd w:id="365"/>
      <w:r>
        <w:rPr>
          <w:rFonts w:hint="eastAsia" w:ascii="宋体" w:hAnsi="宋体" w:eastAsia="宋体" w:cs="宋体"/>
          <w:b/>
          <w:color w:val="auto"/>
          <w:kern w:val="2"/>
          <w:sz w:val="21"/>
          <w:szCs w:val="21"/>
          <w:highlight w:val="none"/>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食堂建设规划：水业大厦食堂以市场化、智能化、专业化为规划目标，建设面积约3590㎡（套内面积约2000㎡），设置厨房区、公共就餐区（暂设436个公区座位，远期可满足800人就餐）、独立就餐区等（就餐人数以实际为准），为招标人员工（指招标人及招标人关联公司、上级单位水务集团等集团内入驻水业大厦的员工）及外来零散人员和外来团体人员及公务接待人员等提供早餐、午餐、晚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（二）用餐需求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本项目主要满足水务集团办公人员，同时兼顾对外经营的能力，预计本项目投入使用后人员规模为650人，远期可满足800人用餐规模（就餐人数以实际为准）。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（三）时间要求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（1）交货时间：中标人收到招标人书面供货通知之日起45天内完成招标人供货通知内容要求的设备设施的供货。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（2）设备安装调试完成时间：在招标人书面供货通知内容要求的设备设施完成交货并通过初步验收后，中标人在接到招标人书面通知安装之日起15天内完成设备的安装及调试等工作。</w:t>
      </w:r>
      <w:bookmarkStart w:id="366" w:name="_Toc119913537"/>
      <w:bookmarkStart w:id="367" w:name="_Toc119866906"/>
      <w:bookmarkStart w:id="368" w:name="_Toc121083044"/>
      <w:bookmarkStart w:id="369" w:name="_Toc11986478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二、招标范围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（一）本次招标范围包括但不限于以下内容：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w:t>
      </w:r>
      <w:r>
        <w:rPr>
          <w:rFonts w:hint="eastAsia" w:ascii="宋体" w:hAnsi="宋体" w:eastAsia="宋体" w:cs="宋体"/>
          <w:color w:val="auto"/>
          <w:sz w:val="21"/>
          <w:szCs w:val="21"/>
          <w:highlight w:val="none"/>
          <w:lang w:val="en-US" w:eastAsia="zh-CN"/>
        </w:rPr>
        <w:t>设计图纸范围内并满足厨房设计功能要求的</w:t>
      </w:r>
      <w:r>
        <w:rPr>
          <w:rFonts w:hint="eastAsia" w:ascii="宋体" w:hAnsi="宋体" w:eastAsia="宋体" w:cs="宋体"/>
          <w:sz w:val="21"/>
          <w:szCs w:val="21"/>
          <w:lang w:val="en-US" w:eastAsia="zh-CN"/>
        </w:rPr>
        <w:t>厨房设备供货及安装；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（2）厨房及中西明档区的深化设计配合，对于本次招标范围内设备安装等技术参数配合装修单位优化施工图纸；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（3）配合厨房及中西明档区土建装修及水电装修过程的跟踪及参与验收。</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（二）新建食堂须满足国家和属地政府关于食品安全管理、消防安全管理和食堂卫生管理等各项规定要求，中标人须配合相关验收工作，确保验收合格。</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（三）施工段界面划分</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（1）厨房设备：厨房区土建部分装修施工由招标人负责设计、施工，招标人做好厨房设备区各项设备的给排水及用电接入点位，中标人负责设备设施的安装调试。</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（2）阳光厨房管理系统的安装：招标人提供用电位置接入点，中标人负责完成整个系统的弱电工程布线，并完成整个系统安装调试。</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（3）室内/后厨制冷空调降温系统：招标人提供用电接入点，中标人负责整个空调系统的安装，并承担因此安装过程中的相关耗材。</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（4）厨房系统安全措施及灭火系统：招标人提供用电接入点，中标人负责完成厨房灭火系统的安装调试。</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（5）净水设备：招标人提供设备用给水及用电接入点位，中标人负责净水设备管道布排及设备设施安装调试。</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（6）通排新风系统系统：招标人提供设备设施用电接入点位，中标人负责整个系统安装，管道布排，并承担因此安装过程中的相关耗材。</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中标人应统筹考虑安装项目的线缆、管线(含桥架)的设计，优先考虑统一布置，当需要土建装修预留相应的线缆槽盒空间、管线空间或布置空间时，由招标人在设计、工程实施中预留，保证厨房内综合布线的规范、美观性，中标人自行考虑相关费用，后续不因此发生费用调整。</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（8）招标人负责厨房区域的给水、排水、照明及消防系统施工。</w:t>
      </w:r>
    </w:p>
    <w:p>
      <w:pPr>
        <w:numPr>
          <w:ilvl w:val="0"/>
          <w:numId w:val="0"/>
        </w:numPr>
        <w:autoSpaceDE/>
        <w:autoSpaceDN/>
        <w:adjustRightInd/>
        <w:spacing w:line="360" w:lineRule="auto"/>
        <w:ind w:firstLine="422" w:firstLineChars="200"/>
        <w:outlineLvl w:val="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三、</w:t>
      </w:r>
      <w:bookmarkEnd w:id="366"/>
      <w:bookmarkEnd w:id="367"/>
      <w:bookmarkEnd w:id="368"/>
      <w:bookmarkEnd w:id="369"/>
      <w:r>
        <w:rPr>
          <w:rFonts w:hint="eastAsia" w:ascii="宋体" w:hAnsi="宋体" w:eastAsia="宋体" w:cs="宋体"/>
          <w:b/>
          <w:color w:val="auto"/>
          <w:kern w:val="2"/>
          <w:sz w:val="21"/>
          <w:szCs w:val="21"/>
          <w:highlight w:val="none"/>
          <w:lang w:val="en-US" w:eastAsia="zh-CN"/>
        </w:rPr>
        <w:t>设备设施采购清单</w:t>
      </w:r>
    </w:p>
    <w:tbl>
      <w:tblPr>
        <w:tblStyle w:val="37"/>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1280"/>
        <w:gridCol w:w="6341"/>
        <w:gridCol w:w="650"/>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设备名称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配置说明</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一、厨房设备部分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A、仓储区/更衣室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不锈钢存放地架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规格：1200*600*200mm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1.采用304不锈钢；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2.立柱采用38*38*1.2mm不锈钢方管；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3.横档采用304不锈钢材质，厚度1.2mm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4.配可调节不锈钢子弹脚；</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除湿机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除湿率：60L/D</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水箱大小：10L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功率：800W</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电源：220V</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挡鼠板</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产品材质：不锈钢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主板厚度：2.5cm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卡槽尺寸：卡口2.5cm</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产品特性：易拆卸，防小动物。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挡鼠板</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规格：800*25*600mm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产品材质： 不锈钢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主板厚度：2.5cm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卡槽尺寸：卡口2.5cm</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产品特性：易拆卸，防小动物。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四层栅格货架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规格：1500*500*1550mm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1.采用304不锈钢；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2.立柱采用38*38*1.2mm不锈钢方管；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3.横档采用304不锈钢材质，厚度1.2mm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4.配可调节不锈钢子弹脚；</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四层平板货架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规格：1200*500*1550mm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1.采用304不锈钢1.0mm；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2.立柱采用38*38*1.2mm不锈钢方管；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3.横档采用304不锈钢材质，厚度1.2mm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4.配可调节不锈钢子弹脚；</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回收柜（开孔）</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规格：700*650*800+150mm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材质说明：</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1.不锈钢304制造。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2.台面厚1.2mm。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3.柜身、底板厚1.0mm。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4.上斜拉门，外门厚1.0mm，门胆厚0.8mm。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5.通脚38*38*1.0mm，横梁38*25*1.0mm方管。</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6.承重脚：全不锈钢可调节承重脚，调节范围3cm~5cm。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单星盆水池</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规格：600*650*800+150mm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1.采用304不锈钢磨砂板材；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灭蚊灯</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额定功率：≥0.016KW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额定电压：220V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频率：50HZ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有效范围：≥35平方米</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材料等级：ABS阻燃材料</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不锈钢存放地架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规格：1200*600*200mm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1.采用304不锈钢；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2.立柱采用38*38*1.2mm不锈钢方管；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3.横档采用304不锈钢材质，厚度1.2mm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4.配可调节不锈钢子弹脚；</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干手器</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额定功率：2KW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机身材质：ABS</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出风速度：≥12m/s</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洗手星（脚踏式）</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规格：500*450*600mm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1.整体采用304不锈钢制作，台面厚1.2mm；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2.星盆斗厚1.0mm，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3.立柱采用38*38*1.2mm厚不锈钢方管，配不锈钢可调子弹脚；</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4.工作形式：脚踏式</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5.配水龙头。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四层平板货架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规格：1500*500*1550mm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1.采用304不锈钢1.0mm；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2.立柱采用38*38*1.2mm不锈钢方管；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3.横档采用304不锈钢材质，厚度1.2mm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4.配可调节不锈钢子弹脚；</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6门更衣柜（下置鞋柜）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规格：900*390*1800mm；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材质说明：</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1.304不锈钢材质制造；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2.柜身厚1.0mm；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3.层板、外门板采用活动式结构；</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4.配可调节脚；</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5.2层衣柜+1层鞋柜</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组合冷库/保鲜库</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规格：2400*3400*2600mm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1.冷库内壁板为304不锈钢1.0mm，内注B1级环保阻燃聚氨酯，聚胺脂厚100mm，其密度高保温性能好。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2.地面预留排水管道，边角整体弧形定制。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3.设备支架使用碳素钢矩形支架角钢，承重量大，刷油漆二遍，防锈。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4.配门规格≥800*1800，304材质1.0mm，门带除霜功能；自动化霜，食品级密封胶条，配安全逃生锁具。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5.冷库温度：最低温度≤0℃，温度可调，电子显示温度工况。。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6.蒸发器管式过滤器使用低噪音风机，外壳采用优质不锈钢合金工艺，耐腐蚀。换热管采用光亮性铜管，机械胀管工艺，贴合密切换热效果好。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7.不锈钢电加热管均与分布于蒸发器芯体与接水盘，除霜效果好，冷库内匹配。膨胀阀、干燥过滤器、液境、雪种及电阀磁吸、继电器、高低压力制。丹佛斯吸附法干燥过滤与机组相匹配。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含油）高低压表，表壳采用SUS-304不锈钢材质配不锈钢法兰.表盖PC镜面强化玻璃,不锈钢表框.高压-0.1～3.8MPa.连接螺纹铜合金7/16″-20UNF铜管牙.弹簧管材质磷青铜.精度等级1.6，使用环境条件温度-20～60℃相对湿度小于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9.系统智能化管理，缺压安全预警，能源管理。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10.需配备自动控制系统，具有交流控制器，综合保护器。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11、含安装辅材及室外铜管延长50米，铜管保温（根据现场定制安装），保证设备完整性。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12.压缩机功率≥5HP</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▲压缩机推荐品牌：应符合或相当于谷轮、松下、日立品牌品质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组合冷库/冷冻库</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规格：2100*3400*2600mm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1.冷库内壁板为304不锈钢1.0mm，内注B1级环保阻燃聚氨酯，聚胺脂厚100mm，其密度高保温性能好。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2.地面预留排水管道，边角整体弧形定制。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3.设备支架使用碳素钢矩形支架角钢，承重量大，刷油漆二遍，防锈。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4.配门规格≥800*1800，304材质1.0mm，门带除霜功能；自动化霜，食品级密封胶条，配安全逃生锁具。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5.冷库温度：最低温度≤-18℃，温度可调，电子显示温度工况。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6.蒸发器管式过滤器使用低噪音风机，外壳采用优质不锈钢合金工艺，耐腐蚀。换热管采用光亮性铜管，机械胀管工艺，贴合密切换热效果好。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7.不锈钢电加热管均与分布于蒸发器芯体与接水盘，除霜效果好，冷库内匹配。膨胀阀、干燥过滤器、液境、雪种及电阀磁吸、继电器、高低压力制。丹佛斯吸附法干燥过滤与机组相匹配。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含油）高低压表，表壳采用SUS-304不锈钢材质配不锈钢法兰.表盖PC镜面强化玻璃,不锈钢表框.高压-0.1～3.8MPa.连接螺纹铜合金7/16″-20UNF铜管牙.弹簧管材质磷青铜.精度等级1.6，使用环境条件温度-20～60℃相对湿度小于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9.系统智能化管理，缺压安全预警，能源管理。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10.需配备自动控制系统，具有交流控制器，综合保护器。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11、含安装辅材及室外铜管延长50米，铜管保温（根据现场定制安装），保证设备完整性。</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12.压缩机功率≥5HP</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▲压缩机推荐品牌：应符合或相当于谷轮、松下、日立品牌品质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739"/>
              </w:tabs>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B、加工间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柜式餐具车</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规格：500*800*950mm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2.推车面板厚1.2mm。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3.设置不锈钢推拉手，下配两定两动静音轮。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4.配重力型脚轮。</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平板推车</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规格：500*900*857mm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2.推车面板厚1.5mm。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3.设置不锈钢推拉手，下配两定两动静音轮。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4.配重力型脚轮。</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三层餐车</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规格：850*500*900mm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2.推车面板厚1.2mm。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3.设置不锈钢推拉手，下配两定两动静音轮。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4.配重力型脚轮。</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洗地龙头</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1.规格：蓝色液压管/配10米；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2.采用不锈钢开放式卷盘厚度1.2MM，液压管出口采用304不锈钢板加固，系统控制软管的长度和拖拉力度，可自动撤回；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3.标配一把喷枪或花洒喷头。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单星杀鱼台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1.整体采用304不锈钢制作，台面厚1.2mm；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2.星盆斗厚1.0mm，星盆斗尺寸：500*500*280mm，配置提篮式不锈钢下水器；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3.立柱采用Φ48*1.0mm圆通，配不锈钢可调子弹脚；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4.横撑采用Φ32*1.0mm圆通。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刀具砧板及毛巾消毒柜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规格：1200*600*1800mm、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材质：不锈钢材质1.0mm，配刀具、毛巾及砧板三种功能消毒；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功率/电压：0.35kw/220V；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柜上部紫外线，柜下部红外线。</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不锈钢存放地架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规格：1500*500*200mm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电热水器</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电压：220V；功率：2KW，储水容积≥80L；一级能效；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水电分离瓷热舱+加长防电墙+漏电提醒；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内胆材质搪瓷或珐琅或金圭。</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干手器</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额定功率：2KW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机身材质：ABS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出风速度：≥12m/s</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洗手星</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规格：500*450*600mm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四层货架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规格：1200*500*1500mm、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规格：1600*760*950mm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规格：900*760*950mm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绞切肉机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规格：630*430*800mm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1.绞肉产量：≥180kg/h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2.切肉产量：≥400kg/h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3.使用电压：220V/50Hz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4.电机功率：1500W。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▲推荐品牌：应符合或相当于旭众、恒联、华菱、银鹰品牌品质；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切片机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规格：420*265*390mm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刀片直径：10"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功率：≥0.23kw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转速282 R/min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切片厚度：1-12mm；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▲推荐品牌：应符合或相当于恒联、裕飞永强、华菱、银鹰品牌品质；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规格：1100*700*800mm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规格;1000*700*800mm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多功能切菜机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规格：1300*700*1140mm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功率：≥1.3KW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生产能力：≥300kg/H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配置：叶菜部标配2支叶菜805大刀，球根茎标配1个3片、1个3丝、1套12丁（其中根茎片盘2-10mm可选，丝盘2-10mm可选）</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砧板工作台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1.优质不锈钢304制造，台面1.2mm。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2.砧板面板垫实木板≥15mm，台面厚50mm。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大单星盆水池</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规格：1000*760*800+150mm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三星盆水池</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规格;2000*760*800+150mm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三星盆水池</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摇头壁扇</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650壁扇；钛铝镁合金扇叶；上下左右摇头；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扇叶片数：3叶；额定功率≥230W；风力档位：3档</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C、烹饪间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吊天花双层架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规格：1800*400*1500mm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摇摆汤锅</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容积≥150L；燃气种类：天燃气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1.热负荷≥40kw；额定压力：2000Pa；热效率≥55%；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2.炉头需要熄火保护控制。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四层平板货架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规格：1200*760*950mm、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规格：800*900*950mm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燃气六头煲仔炉</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规格：1500*900*800+150mm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1.不锈钢SUS304制造，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2.炉面板厚1.2mm，150mm高后挡水。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3.下层板厚1.0mm。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4.炉围及炉身、前板、接油盘厚1.0mm*通脚38*38*1.0mm方管。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5.热电偶式熄火保护安全稳定。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6.子弹脚：全不锈钢可调节子弹脚，调节范围3cm~5cm。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7.热负荷：≥30kw；额定压力：2000Pa。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8.炉头需要熄火保护控制。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规格：1800*760*800mm、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双头大锅灶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规格：2200*1100*800+450mm；燃气种类：天燃气；配锅800mm*2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1.炉面板采用1.5mm厚304食品级不锈钢板材，台面一体成型，IPX4标准防水设计。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2.水围、炉围及炉身、背板、前板采用1.2mm厚304食品级不锈钢板制作。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3.底架采用50mm×50mm不锈钢方管，2.0mm厚钢板与面板隔热处理。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6.炉头火位：内砌耐火砖结火位,环保节能炉头﹐静音设计。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8.热负荷：单头≥40kw；额定压力：2000Pa；热效率≥55%。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10.设备配套风机组件、0.125KW/220V~0.550KW/220V</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单星工作台（右星）</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规格：1800*760*800mm、1.材质:304不锈钢板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双通工作台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规格：1800*800*800mm、1.材质:不锈钢板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2.面板用304不锈钢板制作δ=1.2mm,柜门及层板δ=1.0mm,内层马仔用不锈钢板制作加固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炉拼台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规格：400*1100*800+450mm、1.优质304不锈钢磨砂板，面板1.2mm、侧板1.0mm；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2.立柱采用38×38×1.0mm厚不锈钢方管，配不锈钢可调子弹脚；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3.横撑采用38*25*1.0mm方管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4.配不锈钢可调子弹脚。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大单星盆水池</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规格：1200*760*800+150mm、1.采用304不锈钢磨砂板材；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双门蒸饭柜（含饭盆）</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24盆，配饭盆；燃气种类：天燃气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1.采用304食品级不锈钢板材1.0mm，整体发泡。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2.配节能蒸汽发生器。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6.双门可独立控制。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8.热负荷：≥36kw；额定压力：2000Pa；热效率≥55%。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10.设备配套风机组件、0.075KW/220V~0.550KW/220V</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海鲜蒸柜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规格：1000*900*1800mm；燃气种类：天燃气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1.炉面板采用1.2mm厚304食品级不锈钢板材，台面一体成型，IPX4标准防水设计。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2.配节能蒸汽发生器。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6.三门独立控制。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8.热负荷≥40kw；额定压力：2000Pa；热效率≥55%。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10.设备配套风机组件、0.075KW/220V~0.550KW/220V</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洗米机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容积≥100kg；材质:不锈钢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规格:100kg洗米机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水压:4kg</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双头单尾小炒灶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规格：1800*1100*915mm；燃气种类：天燃气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1.炉面板采用1.5mm厚304食品级不锈钢板材，台面一体成型，IPX4标准防水设计。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2.水围、炉围及炉身、背板、前板采用1.2mm厚304食品级不锈钢板制作。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3.底架采用50mm×50mm不锈钢方管，2.0mm厚钢板与面板隔热处理。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6.炉头火位：内砌耐火砖结火位,环保节能炉头﹐静音设计。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8.热负荷：单头≥40kw；额定压力：2000Pa；热效率≥45%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10.设备配套风机组件、0.125KW/220V~0.550KW/220V</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单头矮汤炉</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规格：700*850*600+650mm、燃气种类：天燃气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1.炉面板采用1.5mm厚304食品级不锈钢板材，台面一体成型，IPX4标准防水设计。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2.水围、炉围及炉身、背板、前板采用1.2mm厚304食品级不锈钢板制作。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3.底架采用50mm×50mm不锈钢方管，2.0mm厚钢板与面板隔热处理。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6.炉头火位：内砌耐火砖结火位，环保节能炉头，静音设计。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8.热负荷：单头≥32kw；额定压力：2000Pa；热效率≥55%。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10.设备配套风机组件、0.125KW/220V~0.550KW/220V</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普通式油网烟罩</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规格：4200*1200*500mm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1.采用1.0mm厚304磨砂不锈钢板。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2.不锈钢接驳口焊连接，烟罩深度≥1200mm，高度≥500mm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3.烟罩内部的前方及两侧设有油脂、泠凝水收集槽，油槽底面设有≥15mm的高度差，每节烟罩配有活动双折迭把手接油盆隔热、散热、防潮、防尘电器检修舱设计。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5.配可调节风口，配合使用工位及天花整体设计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6.配封钢板（配套安装高度1000mm），1.0mm厚304磨砂不锈钢板。</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普通式油网烟罩</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规格：4200*1200*500mm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1.采用1.0mm厚304磨砂不锈钢板。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2.不锈钢接驳口焊连接，烟罩深度≥1200mm，高度≥500mm。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3.烟罩内部的前方及两侧设有油脂、泠凝水收集槽，油槽底面设有≥15mm的高度差，每节烟罩配有活动双折迭把手接油盆隔热、散热、防潮、防尘电器检修舱设计。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5.配可调节风口，配合使用工位及天花整体设计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6.配封钢板（配套安装高度1000mm），1.0mm厚304磨砂不锈钢板。</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不锈钢存放地架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洗地龙头</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1.规格：蓝色液压管/配15米；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2.采用不锈钢开放式卷盘厚度1.2MM，液压管出口采用304不锈钢板加固，系统控制软管的长度和拖拉力度，可自动撤回；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3.标配一把喷枪或花洒喷头。</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油烟净化一体机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规格：2000*1300*1000mm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不锈钢板材制作，内置净化单元（集抽、排、净化于一体），采用单台操作及控制系统（独立风机、噪音低、流量大。效率高），实现低空达标排放标准，采用防火灾设计理念，风机整体内嵌隐藏在烟罩之内，避免二次吊装，自带动力，自动清洗，自动排污，自动软启动。设备累计工作17小时，自动清洗净化芯体，实现弱电对强电的自动化控制。并且根据油烟的污染程度，在后台电脑上修改自动清洗周期，保障净化效果（油烟发生量大，净化周期短，油烟发生量小，净化周期长），以及节约用水的效果。风机为高效率、低功率、低噪声外转子专用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设备运行中可将油烟颗粒物、蒸气、气味和臭氧氧化反应，氧化在排气室以及管道内发生，油烟净化系统处理效率可达到90%以上，采用产品专用净化剂符合国家GB/14930.1-2015《食品安全国家标准洗涤剂》的检测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3.油烟净化一体机出口烟气含水率≤8%、额定风量下净化率≥90%，需符合国家GB1616157-1996、GB/T14675-1993、HJ57-2017检测依据标准；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4.功率≥1.1kw；电压：220V；处理风量≥4500m3/H；</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D、面食间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蒸笼架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1.规格：540*470*760mm；采用304不锈钢；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2.厚度1.2mm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电饼铛</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锅盘直径：≥500mm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额定功率：≥4.5KW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柜门采用平开式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储物柜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规格：1100*500*1800mm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3.单面活动趟门，不锈钢导轨吊轮、整体折边成形趟门：外层304不锈钢1.0mm；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冷藏操作台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规格：1800*760*800mm；内外箱不锈钢，电子式温控数显器，折边门；制冷方式：直冷；温度范围：-10℃～0℃/0℃～+10℃。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不锈钢单门发酵箱</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1.箱体内外采用优质不锈钢材料制造，经久耐用。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2.功率：≥2.0KW；电压：220V，全自动微电脑触摸式数控系统。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3.内置式风机循环装置，使箱内温度均匀一致。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4.宽敞玻璃视窗和内置照明系统，发酵过程一目了然。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5.规格：13(盘)/门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6.设自动进水装置和任意调节层架。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三层六盘烤箱</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功率：≥19KW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规格：三层六盘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直插式，配烤盘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支持标准商用的600×400烤盘，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烤箱工作时声响为70-90分贝。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▲推荐品牌：应符合或相当于旭众、裕飞永强、华菱、银鹰品牌品质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面粉车</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规格：500*600*530mm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2.厚度：面板≥1.0mm；配桶盖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3.下配加重静音两个4"定向活动轮，两个4"带刹车万向活动轮。</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木案工作台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2.松木台面厚50mm。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3.通脚38X38X1.0mm方管，横梁38X38X1.0mm方管。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4.子弹脚：全不锈钢可调节子弹脚，调节范围3cm~5cm。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揉压压面机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压面厚度：1~5mm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电机功率：1.1KW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压面宽度：≥288mm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生产能力：125kg/h。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▲推荐品牌：应符合或相当于旭众、恒联、华菱、银鹰品牌品质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双动和面机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料桶容积：35L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电机功率：1.1KW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最大和面量：12Kg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料桶转速：15r/Min。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▲推荐品牌：应符合或相当于旭众、恒联、华菱、银鹰品牌品质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搅拌机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料桶容积：≥30L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电机功率：1.5KW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最大和面量：10Kg。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▲推荐品牌：应符合或相当于旭众、恒联、华菱、银鹰品牌品质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新风式油网烟罩</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规格：3600*1300*500mm、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1.采用1.0mm厚304磨砂不锈钢板。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2.不锈钢接驳口焊连接，烟罩深度≥1300mm，高度≥500mm。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3.烟罩内部的前方及两侧设有油脂、泠凝水收集槽。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5.配可调节风口，配合使用工位及天花整体设计。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6.配封钢板（配套安装高度1000mm），1.0mm厚304磨砂不锈钢板。</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饼盘车</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规格：420*720*1670mm、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1.整体采用304不锈钢制作；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2.L片厚度为1.5mm；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3.脚管采用38*38*1.0mm不锈钢方通；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4.配静音万向轮，带刹车。</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E、检测室/熟食间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双门留样柜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1.有效容积≥500L,透视窗式，配锁功能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2.制冷剂R134A或同类环保冷媒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3.冷藏温度：0℃～10℃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农药残留快速测试仪</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主要用于农药残毒含量的检测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配套功能：数据电子化管理，软件管理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波长配置：410nm；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通道：≥8通道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抑制率显示范围：0%～100%；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抑制率测量范围：0%～100%；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透射比准确度：±1.5%；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透射比重复性：≤0.5%；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漂移：≤0.005Abs/3min；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抑制率示值误差：≤10%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四层货架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干手器</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额定功率：2KW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机身材质：ABS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出风速度：≥12m/s</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工作柜带靠背</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规格：1200*800*800+150mm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单门留样柜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1.有效容积≥200L,透视窗式，配锁功能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2.制冷剂R134A或同类环保冷媒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3.冷藏温度：0℃～10℃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单星工作台柜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规格：1200*800*800+150mm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规格：700*700*800mm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洗手星</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规格：500*450*600mm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烧腊挂架连油盆</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规格：1000*350*1300mm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2.油盆不锈钢板厚1.0mm；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3.吊杆采用Ф48*1.0mm厚不锈钢圆管制作。</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微波炉</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 1300W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面板类型: 透明 镜面 平板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烹饪方式: 微波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底盘类型: 平板式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内胆材质: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液晶显示: 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能效等级: 一级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控制方式: 电脑式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微波炉分类: 微波炉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是否变频: 变频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开门方式: 侧拉式</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冷藏操作台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规格：1500*760*800mm；内外箱不锈钢，电子式温控数显器，折边门；制冷方式：直冷；温度范围：-10℃～0℃/0℃～+10℃。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紫外线消毒灯</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功率:≥55W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管径：15mm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F、洗消间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不锈钢勺快回收柜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规格：3500*400*950mm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3.柜身、底板厚1.0mm。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4.上斜拉门，外门厚1.0mm，门胆厚0.8mm。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5.通脚38*38*1.0mm，横梁38*25*1.0mm方管。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6.承重脚：全不锈钢可调节承重脚，调节范围3cm~5cm。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1#智能餐盘传送带(直线型)</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参考尺寸：8000*480*940mm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1、设备传送速度15-20米/分钟；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3、传送采用链板式结构。机架采用304不锈钢方管制作1.2mm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4、配置静音驱动马达，柔性启动等功能，保障餐具传送的稳定及传送带的静音运行；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5、工作区传送带配置可拆卸PP护边，进行清洁工作时，可将护边拆卸，方便清洁，不留卫生死角；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6.功率≤1KW；电压：220V；链板式（样式深化设计确认）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7.无极变频调速控制，内外配应急停止控制；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L转角输送传送带</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2.传送采用链板式结构，机架采用304不锈钢制作≥1.2mm。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3.转角90度，无缝对接传送带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4.输送带宽度≥480mm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5.与直线输送带配套安装。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不锈钢餐具除渣处理机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处理能力≥0.5T/小时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4.自动清洗过滤，配套除渣装置；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5.功率≥2kw，智能控制。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2#智能餐盘传送带(直线型)</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参考尺寸：7500*480*940mm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1.设备传送速度15-20米/分钟；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3.传送采用链板式结构。机架采用304不锈钢方管制作1.2mm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4.配置静音驱动马达，柔性启动等功能，保障餐具传送的稳定及传送带的静音运行；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5.工作区传送带配置可拆卸PP护边，进行清洁工作时，可将护边拆卸，方便清洁，不留卫生死角；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6.功率≤1KW；电压：220V；链板式（样式深化设计确认）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7.无极变频调速控制，内外配应急停止控制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3#智能餐盘传送带(直线型)</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参考尺寸：11000*480*940mm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1.设备传送速度15-20米/分钟；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3.传送采用链板式结构。机架采用304不锈钢方管制作1.2mm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4.配置静音驱动马达，柔性启动等功能，保障餐具传送的稳定及传送带的静音运行；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5.工作区传送带配置可拆卸PP护边，进行清洁工作时，可将护边拆卸，方便清洁，不留卫生死角；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6.功率≤2KW；电压：220V；链板式（样式深化设计确认）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7.无极变频调速控制，内外配应急停止控制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不锈钢预洗机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规格：1200*1000*950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5.功率≥2kw，智能控制。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不锈钢碗碟保洁柜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规格：1200*600*1800mm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3.单面活动趟门，不锈钢导轨吊轮、整体折边成形趟门：外层304不锈钢厚度1.0mm；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紫外线消毒灯</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功率:≥55W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管径：15mm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节能长龙式洗碗机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规格：6700*950*2015mm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1.双缸双喷带烘干，配电总功率≤56KW；电压：380V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2.设备主体板材为SUS304不锈钢1.5mm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3.洗涤速度：2.2米/分钟（速度可调），洗涤量≥3000碟/小时；耗水量≤380L/H。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4.消毒烘干机采用远红外线石英发热管，高温强力风机进行高温循环烘干。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5.设备每个模块，两侧上下两块挡板均可徒手拆卸，方便清洗和维护。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6.水箱采用阶梯式设计，保证水箱的清洗度，使餐具更加清洁，有效的节约用水，环保节能。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7.自动化操作程序，加热、洗涤全自动，只需轻轻一按即可，无需频繁操作，机器出口设有障碍停机。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8.餐具清洗后，餐具干净，烘干效果好，餐具无明显积水，水渍。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7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F11</w:t>
            </w:r>
          </w:p>
        </w:tc>
        <w:tc>
          <w:tcPr>
            <w:tcW w:w="12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洗地龙头</w:t>
            </w:r>
          </w:p>
        </w:tc>
        <w:tc>
          <w:tcPr>
            <w:tcW w:w="63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1、规格：蓝色液压管/配10米；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2、采用不锈钢开放式卷盘厚度1.2MM，液压管出口采用304不锈钢板加固，系统控制软管的长度和拖拉力度，可自动撤回；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3、标配一把喷枪或花洒喷头。</w:t>
            </w:r>
          </w:p>
        </w:tc>
        <w:tc>
          <w:tcPr>
            <w:tcW w:w="6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F12</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蒸汽集排烟罩</w:t>
            </w:r>
          </w:p>
        </w:tc>
        <w:tc>
          <w:tcPr>
            <w:tcW w:w="63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规格：1200*1100*500mm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1.采用1.0mm厚304磨砂不锈钢板。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2.不锈钢接驳口焊连接，烟罩深度≥1100mm，高度≥500mm。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3.烟罩内部的前方及两侧设有油脂、泠凝水收集槽。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5.配可调节风口，配合使用工位或天花整体设计。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6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F13</w:t>
            </w:r>
          </w:p>
        </w:tc>
        <w:tc>
          <w:tcPr>
            <w:tcW w:w="12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推车式餐具消毒碗柜</w:t>
            </w:r>
          </w:p>
        </w:tc>
        <w:tc>
          <w:tcPr>
            <w:tcW w:w="634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容积≥900L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1.不锈钢材质，双门结构，大容量设计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2.柜面板厚1.0mm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3.推车式结构(含推车)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5.功率：≥4000W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6.不锈钢箱体，定时控制开关。</w:t>
            </w:r>
          </w:p>
        </w:tc>
        <w:tc>
          <w:tcPr>
            <w:tcW w:w="6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4#智能餐盘传送带(直线型)</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参考尺寸：2000*480*940mm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1.设备传送速度15-20米/分钟；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3.传送采用链板式结构。机架采用304不锈钢方管制作1.2mm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4.配置静音驱动马达，柔性启动等功能，保障餐具传送的稳定及传送带的静音运行；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5.工作区传送带配置可拆卸PP护边，进行清洁工作时，可将护边拆卸，方便清洁，不留卫生死角；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6.功率≤2KW；电压：220V；链板式（样式深化设计确认）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7.无极变频调速控制，内外配应急停止控制。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垃圾回收处理设备</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处理能力≥0.5T/小时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1.整体架构采用优质304不锈钢板1.2mm；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2.自动控制，具有加热，厨余处理及过滤装置等功能。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3.配套输送回收，无缝对接。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4.功率≥3kW</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四层栅格货架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四层栅格货架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规格：1180*600*1550mm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四层栅格货架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规格：1000*500*1550mm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大单星盆水池</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规格：1000*700*800+150mm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步入式高温热风循环消毒房</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规格：2800*2750*2100mm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1.消毒房库体：库体内外壁均采用304/0.8MM优质不锈钢板，中间100MM厚容重120G/m³憎水岩棉搭建而成，手工压制而成，防火等级A级。库体内配置防水、防潮灯。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2.消毒房顶板：体内外壁均采用304/0.8MM优质不锈钢板，中间100MM厚容重120G/m³憎水岩棉搭建而成，手工压制而成，防火等级A级。四周不锈钢方管加固，使库体更加牢固耐用。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3.耐高温专用门：门内外壁均采用304优质不锈钢板材，中间为双层钢化玻璃，可耐温300度，门口四周E型耐高温硅胶密封处理，防火等级A级。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4.专用防撞护栏：不锈钢材质，库内一周防撞防潮保护。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5.底板：采用3MM防滑铝板，底部方管骨架，防止湿滑，更加人性化；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6.加温加热系统：1)热风系统结构：为强对流热风循环结构模式。2)运行风机采用耐高温离心风机，耐高温为300℃，并加装风机罩壳。3)出风口：采用304不锈钢板定制而成。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7.控制系统：控制箱面板上装有温度显示设定，消毒保温时间设定美控控制系统。风机加热启动停止等操作按钮，库体上方装有液晶显示屏。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8.电源：380V/50HZ，功率≥24KW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9.消毒方式：高温热风循环，RT30℃-150℃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G、明档区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餐厅员工洗手池</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规格：2400*500*800+150mm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餐具保温柜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2.柜面板厚1.0mm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3.参考容积≥500L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5.功率：≥4000W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6.温度可调，不锈钢箱体，定时旋钮开关，带推车。</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保温盆工作台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规格：2100*400*800mm；功率：2KW；电压：380V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2.台面1.2mm。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保温盆工作台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规格：1800*400*800mm；功率：2KW；电压：380V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2.台面1.2mm。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豪华保温车</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容积≥560L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功率：≥2000W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容量：≥560L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热风循环，六面整体发泡层工艺，专业菜品存放不锈钢层架，专业拉扣门把手、硅胶防撞圈设计、移动重力轮设计。独立风道、加湿。保温、保湿，有效保持菜品新鲜。</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电热保温台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规格：1800*800*800mm；制热功率：≥2KW；电压：380V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3.炉围及炉身、背板、前板厚1.0mm。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4.炉脚采用不锈钢6寸重力脚。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5.多种保护设计，有效防水、防虫、防油；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6.操控方式：采用多档火力开关，火力更精确控制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电磁4头煲仔炉</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规格：800*800*800mm；功率：4*3.5kW；电压：380V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3.炉围及炉身、背板、前板厚1.0mm；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4.炉脚采用不锈钢6寸重力脚；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5.柔性固定微晶板固定装置；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6.多种保护设计，有效防水、防虫、防油；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7.操控方式：采用多档火力开关，火力更精确控制；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8.线盘高温保护，过压过流保护等多重保护，有独立散热风道；</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电扒炉</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2.功率：≥2KW；电压：220V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规格：600*800*800+150mm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电磁双头煮面炉</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规格：1200*800*830mm、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1.额定功率2*12KW；电压：380V；尺寸：1500*800*800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2.材质：全不锈钢加厚机身制作，坚固耐用。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3.电磁感应加热，热效率更高，出品速度更快。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4.全封闭机芯，独立式散热风道设计，做到真正防水，防油烟，防虫。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5.一体成型台面设计，水箱采用双面焊接技术，使用寿命长，不易漏水，自动故障检测，安全可靠。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6.采用霍尔传感器技术，电流检测更稳定，控温更精准；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7.显示屏能够显示电磁灶实时功率、线盘（IGBT模块）的实时温度。                                                                                                  8.采用十档磁控开关，精细化火力分布，经久耐用。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规格：1100*800*800mm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冷藏玻璃门操作台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规格：1500*760*800mm；内外箱不锈钢，电子式温控数显器，折边门；制冷方式：直冷；温度范围：-10℃～0℃/0℃～+10℃。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四层平板货架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暖汁保温箱</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规格：550*315*345mm；功率：1.2KW；电压：220V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2.台面、汤池厚1.2mm。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3.柜身、前板、底板、侧板厚1.0mm。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规格：1600*1000*500mm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规格：3400*1000*500mm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电热保温台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规格：1400*700*850mm；制热功率：≥2KW；电压：380V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3.炉围及炉身、背板、前板厚1.0mm。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4.炉脚采用不锈钢6寸重力脚。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5.多种保护设计，有效防水、防虫、防油。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6.操控方式：采用多档火力开关，火力更精确控制。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规格：1100*800*850mm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单通移门挂墙柜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规格：1500*400*600mm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铁板烧</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1.铁板台面材料采用合金钢，厚度为20mm，其材质不变形、不变色。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2.总功率（kw）：≥6kw；电压：380V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3.内置排气及烟气处置接口装置。</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单星工作台</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规格：1300*1000*500mm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异形台（定制）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规格：800-R90mm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3.Φ51mm不锈钢通脚，下加可调式子弹脚。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规格：3500*1100*500mm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规格：900*25*600mm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规格：2000*1000*500mm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弧形玻璃烟罩</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90度弧形，外弧形半径≥1100mm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1.采用1.2mm厚304磨砂不锈钢板,配套玻璃安装。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包间消毒柜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1.参考容积≥800L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3.功率：≥1200W</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包间餐具消毒保温柜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2.柜面板厚1.0mm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3.参考容积≥500L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5.功率：≥4000W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6.温度：20~+125℃不锈钢箱体，定时旋钮开关，带推车。</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电池容量≥100Ah；续航时间≥180分钟；额定功率1000W以下；功能：拖扫吸式；清洁效率≥3000平方米/小时；清水箱容量≥55L；污水箱容量≥60L。</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H、阳光厨房管理系统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阳光厨房监控设备</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成套、400万像素1/3"海螺半球网络摄像机；4.0定焦；10M/100M自适应网口；内置Mic;0.003lux(F1.6，AGCON，彩色)，0lux(开启红外)；宽动态范围：120dB；红外补光；30FPS（2688×1520）；支持运动检测、越界检测、虚焦检测、场景变更等；供电方式：DC12V(±25%)、POE；工作温湿度：-30℃~60℃，≤95%RH；防护等级：IP67。</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▲推荐品牌：应符合或相当于海康威视、大华、360、小米品牌品质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服务电脑主机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成套、成套设备，台式电脑（CPU：i5-7400 ；内存≥16G ；显卡：集显；硬盘≥1T； WiFi蓝牙，显示器： 27寸），含鼠标、键盘、箱体等成套设备。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▲推荐品牌：应符合或相当于联想、小米、华为、宏基品牌品质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电子视频显示器</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面板类型:LED背光；面板尺寸：≥50寸，显示器在餐岛土建效果图上更新效果。配支架。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▲推荐品牌：应符合或相当于TCL、小米、康佳、创维品牌品质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路由器</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8口。支持企业VPNLAN；千兆网口机身材质：外置天线无线协议；Wi-Fi 6LAN口类型；其他WAN口类型：151-200终端；无线速率3000M。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▲推荐品牌：应符合或相当于TP-LINK、华为、磊科、小米品牌品质。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监控级硬盘</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8TB容量，3.5英寸SATA3.0接口，7200RPM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高达256MB缓冲区，流畅存储视频有效防止丢帧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24×7全天候高效稳定运行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年度工作负载等级为300TB/年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MTBF可达1,000,000小时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高级格式（AF）512e扇区技术；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▲推荐品牌：应符合或相当于西部数据、海康威视、希捷、华为品牌品质。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网络视频录像机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1.可接驳符合开放型网络视频接口协议、RTSP协议、GB28181协议的网络摄像机；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2.支持最高1200W像素高清网络视频的预览、存储、回放；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3.存储接口：8个SATA接口，可满配12TB硬盘；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4.具有2个HDMI接口，2个VGA接口，可支持4K+1080P输出；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5.支持网络检测（网络流量监控、网络抓包、网络通畅）功能；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6.具有2个USB2.0接口、1个USB3.0接口；16路报警输入，4路报警输出；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7.支持同步回放及多路同步倒放；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8.支持本地预览权限的配置，设置权限后的通道只有登录后才会出现预览画面；支持远程预览加密，只有输入密钥才能解开视频；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9.支持密码复杂度等级显示；设备密码不允许明文显示和拷贝操作；并支持通过安全问题恢复密码，密码重置功能可开启或关闭；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设备密码口令复杂度显示且密码需满足复杂度要求才可以设置成功，密码口令中不能包含用户名、123、admin（不区分大小写）、连续四位及以上递增或递减数字（如1234、12345、4321等）、连续四位及以上相同字符简单口令（如1111、8888、aaaa等）；</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AI智能分析盒/系统</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智能管理、支持人脸抓拍对比、黑白名单布控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支持是否戴口罩，是否戴厨师帽，是否戴手套，抽烟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智能AI识别管理系统，高端版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1.可接驳符合ONVIF、RTSP标准及众多主流厂商的网络摄像机；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2.输入带宽：128Mbps；输出带宽：256Mbps；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3.接入能力：16路H.264、H.265格式高清码流接入；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4.两个千兆网卡，支持网络容错和多址设定应用；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5.支持IPC集中管理，包括IPC参数配置、信息的导入/导出、语音对讲和升级等功能；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6.具有2个USB2.0接口、1个USB3.0接口；16路报警输入，4路报警输出；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接入普通IPC，支持在预览画面中展示智能信息，支持实时展示目标对象，目标属性，目标置信度，目标ID，目标位置框信息，并且智能信息能够紧跟目标移动；预览画面中展示智能信息颜色可配置（常规时绿色，报警时变成红色），字体大小可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8.支持导入视觉大模型进行分析，支持视频分析、图片分析、图片二次分析过滤；</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交换机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智能管理、支持人脸抓拍对比、黑白名单布控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支持是否戴口罩，是否戴厨师帽，是否戴手套，抽烟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智能AI识别管理系统，高端版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1.可接驳符合ONVIF、RTSP标准及众多主流厂商的网络摄像机；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2.输入带宽：128Mbps；输出带宽：256Mbps；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3.接入能力：16路H.264、H.265格式高清码流接入；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4.两个千兆网卡，支持网络容错和多址设定应用；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5.支持IPC集中管理，包括IPC参数配置、信息的导入/导出、语音对讲和升级等功能；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6.具有2个USB2.0接口、1个USB3.0接口；16路报警输入，4路报警输出；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接入普通IPC，支持在预览画面中展示智能信息，支持实时展示目标对象，目标属性，目标置信度，目标ID，目标位置框信息，并且智能信息能够紧跟目标移动；预览画面中展示智能信息颜色可配置（常规时绿色，报警时变成红色），字体大小可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8.支持导入视觉大模型进行分析，支持视频分析、图片分析、图片二次分析过滤；</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提供及安装六类网线及线管</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1.六类网线DS-1LN6-UE、国标；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2.配套安装铁线管（包工包料），现场安装；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3.配套安装辅材；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4.网线长度：4箱（1200米），配套现场设备供应安装；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二、室内/后厨制冷空调降温系统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I、功能区1制冷空调系统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I01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功能区室外机及配套设施安装</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厨房专用；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1.空调室外主机（制冷量：≥50KW；电源：380V）、室外安装，风冷式，厨房区专项功能区使用：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2.配套机架安装：槽钢12#；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3.配套冷媒管道安装及辅材（管道长度60米）；全紫铜管加保温，现场施工定制；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4.配套机架安装，不锈钢机架；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5.排水管道安装（管道长度8米）：PVC排水管材，dn32、现场安装，辅材胶水等；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6.排水管道发泡保温，内管dn32（外包PVC dn63）；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▲空调推荐品牌:应符合或相当于格力、海尔、瑞科、美的品牌品质；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▲管材推荐品牌:应符合或相当于联塑、金牛、日丰、公元品牌品质；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I02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功能区室内机及配套设施安装</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厨房专用；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1.空调室内主机（制冷量：≥8KW）、室内安装，风冷式，功能区使用：厨房；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2.配线控器/遥控器：含配电及安装，成套安装，配套设备；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3.冷媒管道安装及辅材；空调机配套管道/全紫铜管道加保温，现场施工定制；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4.配套机架安装：不锈钢支架；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5.排水管道安装（管道长度20米）：PVC排水管材，dn25、现场安装，辅材胶水等；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6.排水管道发泡保温，内管dn25（外包PVCdn63）；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▲空调推荐品牌:应符合或相当于格力、海尔、瑞科、美的品牌品质；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▲管材推荐品牌:应符合或相当于联塑、金牛、日丰、公元品牌品质；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J、功能区2制冷空调系统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J01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功能区室外机及配套设施安装</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厨房专用；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1.空调室外主机（制冷量：≥28KW；电源：380V）、室外安装，风冷式，厨房区专项功能区使用：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2.配套机架安装：槽钢12#；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3.配套冷媒管道安装及辅材（管道长度60米）；全紫铜管加保温，现场施工定制；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4.配套机架安装，不锈钢机架；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5.排水管道安装（管道长度8米）：PVC排水管材，dn32、现场安装，辅材胶水等；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6.排水管道发泡保温，内管dn32（外包PVC dn63）；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▲空调推荐品牌:应符合或相当于格力、海尔、瑞科、美的品牌品质；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▲管材推荐品牌:应符合或相当于联塑、金牛、日丰、公元品牌品质；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J02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功能区室内机及配套设施安装</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厨房专用；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1.空调室内主机（制冷量：≥2.8KW）、室内安装，风冷式，功能区使用：厨房；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2.配线控器/遥控器：含配电及安装，成套安装，配套设备；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3.冷媒管道安装及辅材；空调机配套管道/全紫铜管道加保温，现场施工定制；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4.配套机架安装：不锈钢支架；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5.排水管道安装（管道长度20米）：PVC排水管材，dn25、现场安装，辅材胶水等；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6.排水管道发泡保温，内管dn25（外包PVCdn63）；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▲空调推荐品牌:应符合或相当于格力、海尔、瑞科、美的品牌品质；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▲管材推荐品牌:应符合或相当于联塑、金牛、日丰、公元品牌品质；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K、厨房系统安全措施及灭火系统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K01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双瓶组灭火系统</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双瓶组、1.火灾自动探测，自动实施灭火；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2.自动发出声光报警，并可向消防控制中心输送火灾信号；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3.自动输出切断燃气供应的信号，也可根据需要，输出关闭风机，关闭非消防电源的信号；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4.喷射灭火剂后，自动切换喷射冷却水，防止复燃；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5.设有手动紧急启动机构；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6.采用机械启动，在火灾现场无电源的情况下，能可靠地实施装置启动，关闭机械式燃气阀；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7.采用食用油专用灭火剂；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8.设有DC24V备用电源，一旦断电，备用电源自动接入。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9.为了保证灭火效果，灭火时间需≤1.0s,提供相应检测报告；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10、设备具备耐腐蚀可靠性，检验时长超120小时以上,提供相应检测报告；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12.自动或手动启动装置进行喷洒灭火剂，灭火速度快，灭火全过程仅需1～3秒。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13.离火预警系统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L、反渗透净水系统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反渗透净水系统</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RO/2吨/H；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1.产水能力：2T/H，TDS≤20us/cm；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2.配304不锈钢原水箱及净水箱：2吨（304不锈钢板0.8mm）；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3.配产水配套设施：原水/清洗/加压泵，补水系统，清洗系统，仪器仪表，多路阀，砂碳过滤，华膜反渗透膜(不锈钢膜3级过滤)；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4.变频供水：供水泵，供水至各用水点，供水龙头15个，配DN20不锈钢阀门3个；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5.供水管道：不锈钢管道，全部为304食品级材料；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6.直饮水管线长度200米，现场安装定制，配件管道件全部为304食品级材料；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7.机架采用304不锈钢管定制；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8.配PLC控制，系统管理，实时监控管理；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9.紫外线杀菌处理，过滤后净水水质达到直饮水标准；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10.成套系统配套机架、配电箱、配电线路及辅材等；</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三、通排新风系统系统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M、1#排烟系统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1#抽风柜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规格：25寸；功率：15KW；电压：380V；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1.采用猪笼扇胆,镀锌板外壳；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2.柜式低噪音风机；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4.配置马达九线制保护控制系统：采用优质电子元件制作，含箱体及控制组件。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▲风柜推荐品牌：应符合或相当于九洲普惠、恒利通、德通品牌品质；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1#排烟配套安装件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5.风柜防震支架1个；配套抽风柜；采用8#槽钢制作；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6.管道防火阀：规格1000*800mm、800*700mm、800*500mm各1个。依现场管道定制，采用A3钢板制作，外涂防腐防锈漆；防火阀与风管配套安装，口径与所在管道相同。安装位置按国标规范要求执行。材质：碳钢板。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7.止回阀：规格1000*800mm、800*700mm、800*500mm各1个。依现场管道定制，采用A3钢板制作，外涂防腐防锈漆。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8.其他安装辅材。</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1#油烟环保净化处理设备</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处理能力≥35000m³/h；功率≥800W；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1.外壳材质采用不锈钢，板面拉丝。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2.前置金属均风过滤冲孔网+双组高压静电多重除油、高效除烟，实现油烟净化率达90%及以上。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智能数字高频高压电源，产品依据JCC/201011.1-2017《餐饮油烟净化器高压电源检测方法》，CCAEPI-RG-Q-041-2018《餐饮油烟净化器用高压电源》并通过CMA、CCEP检测认证，具有过压过流保护功能、负载短路保护功能、负载闪络打火保护功能、放电极油垢清洗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4.产品具有电磁兼容浪涌（冲击）测试报告。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5.相关产品经中科检测效率测试≥1.0~3.0um效率达92.4%，≥3.0~5.0um效率达95.8%。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6.产品通过“高低温（高温65℃恒温下，低温-15℃恒温下）”整机运行24小时测试符合电工电子产品环境试验。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7.产品的配电箱符合GB/T4208-2017《外壳防护等级（IP代码）》，检测产品配电箱外壳防护等级（IP55）项目合格。</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N、2#排烟系统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N01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2#抽风柜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规格：18寸；功率：3KW；电压：380V；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1.采用猪笼扇胆,镀锌板外壳；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2.柜式低噪音风机；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4.配置马达九线制保护控制系统：采用优质电子元件制作，含箱体及控制组件。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▲风柜推荐品牌：应符合或相当于九洲普惠、恒利通、德通品牌品质；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N02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2#排烟配套安装件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排烟配套定制；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5.风柜防震支架2个；配套抽风柜、采用8#槽钢制作；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6.管道防火阀1个：规格500*600mm；依现场管道定制，采用A3钢板制作，外涂防腐防锈漆；防火阀与风管配套安装，口径与所在管道相同。安装位置按国标规范要求执行。材质：碳钢板；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7.止回阀1个：规格500*600mm；依现场管道定制，采用A3钢板制作，外涂防腐防锈漆；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8.其他安装辅材；</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N03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2#油烟环保净化处理设备</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处理能力≥12000m³/h；功率≥300W；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1.外壳材质采用不锈钢，板面拉丝；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2.前置金属均风过滤冲孔网+双组高压静电多重除油、高效除烟，实现油烟净化率达90%及以上；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智能数字高频高压电源，产品依据JCC/201011.1-2017《餐饮油烟净化器高压电源检测方法》，CCAEPI-RG-Q-041-2018《餐饮油烟净化器用高压电源》并通过CMA、CCEP检测认证，具有过压过流保护功能、负载短路保护功能、负载闪络打火保护功能、放电极油垢清洗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4.产品具有电磁兼容浪涌（冲击）测试报告；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5.相关产品经中科检测效率测试≥1.0~3.0um效率达92.4%，≥3.0~5.0um效率达95.8%；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6.产品通过“高低温（高温65℃恒温下，低温-15℃恒温下）”整机运行24小时测试符合电工电子产品环境试验；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7.产品的配电箱符合GB/T4208-2017《外壳防护等级（IP代码）》，检测产品配电箱外壳防护等级（IP55）项目合格；</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O、3#排烟系统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O01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3#抽风柜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尺寸：18寸；功率：3KW；电压：380V；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1.采用猪笼扇胆,镀锌板外壳；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2.柜式低噪音风机；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4.配置马达九线制保护控制系统；采用优质电子元件制作，含箱体及控制组件。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▲风柜推荐品牌：应符合或相当于九洲普惠、恒利通、德通品牌品质；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O02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3#排烟配套安装件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排烟配套定制；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5.风柜防震支架1个；配套抽风柜、采用8#槽钢制作；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6.管道防火阀1个：规格500*600mm；依现场管道定制，采用A3钢板制作，外涂防腐防锈漆；防火阀与风管配套安装，口径与所在管道相同。安装位置按国标规范要求执行。材质：碳钢板；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7.止回阀1个：规格500*600mm；依现场管道定制，采用A3钢板制作，外涂防腐防锈漆；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8.其他安装辅材；</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P、4#排烟系统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4#抽风柜</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规格：18寸；功率：5.5KW；电压：380V；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1.采用猪笼扇胆,镀锌板外壳；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2.柜式低噪音风机；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4.配置马达九线制保护控制系统：采用优质电子元件制作，含箱体及控制组件。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▲风柜推荐品牌：应符合或相当于九洲普惠、恒利通、德通品牌品质；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4#油烟环保净化处理设备</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1.处理能力≥16000m³/h；功率≥300W；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1.外壳材质采用不锈钢，板面拉丝；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2.前置金属均风过滤冲孔网+双组高压静电多重除油、高效除烟，实现油烟净化率达90%及以上；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智能数字高频高压电源，产品依据JCC/201011.1-2017《餐饮油烟净化器高压电源检测方法》，CCAEPI-RG-Q-041-2018《餐饮油烟净化器用高压电源》并通过CMA、CCEP检测认证，具有过压过流保护功能、负载短路保护功能、负载闪络打火保护功能、放电极油垢清洗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4.产品具有电磁兼容浪涌（冲击）测试报告；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5.相关产品经中科检测效率测试≥1.0~3.0um效率达92.4%，≥3.0~5.0um效率达95.8%；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6.产品通过“高低温（高温65℃恒温下，低温-15℃恒温下）”整机运行24小时测试符合电工电子产品环境试验；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7.产品的配电箱符合GB/T4208-2017《外壳防护等级（IP代码）》，检测产品配电箱外壳防护等级（IP55）项目合格；</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4#排烟配套安装件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排烟配套定制：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5.通排风柜减震机架1个；风机定制配套、采用8#槽钢制作；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6.风柜防震支架1个；配套抽风柜、采用8#槽钢制作；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7.管道防火阀1个：规格600*600mm；依现场管道定制，采用A3钢板制作，外涂防腐防锈漆；防火阀与风管配套安装，口径与所在管道相同。安装位置按国标规范要求执行。材质：碳钢板；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8.止回阀1个：规格600*600mm；依现场管道定制，采用A3钢板制作，外涂防腐防锈漆；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9.其他安装辅材；</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Q、5#排烟系统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Q01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5#低噪音排气风机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功率：≥1.5KW；电压：380V；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1.低噪音静音风机；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3.配置保护控制系统；采用优质电子元件制作，含箱体及控制组件。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Q02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5#排烟配套安装件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风机配套定制；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5.其他安装辅材；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6.风机减震机架1个；风机定制配套、采用5#角铁制作；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7.管道防火阀：规格400*400mm1个；依现场管道定制，采用A3钢板制作，外涂防腐防锈漆；防火阀与风管配套安装，口径与所在管道相同。安装位置按国标规范要求执行。材质：碳钢板；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8.止回阀：规格400*400mm1个；依现场/管道定制，采用A3钢板制作，外涂防腐防锈漆；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9.净化器支架1个；配套净化器、采用5#角铁制作；</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Q03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5#油烟环保净化处理设备</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处理能力≥4000m³/h；功率≥100W；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1.外壳材质采用不锈钢，板面拉丝；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2.前置金属均风过滤冲孔网+双组高压静电多重除油、高效除烟，实现油烟净化率达90%及以上；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智能数字高频高压电源，产品依据JCC/201011.1-2017《餐饮油烟净化器高压电源检测方法》，CCAEPI-RG-Q-041-2018《餐饮油烟净化器用高压电源》并通过CMA、CCEP检测认证，具有过压过流保护功能、负载短路保护功能、负载闪络打火保护功能、放电极油垢清洗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4.产品具有电磁兼容浪涌（冲击）测试报告；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5.相关产品经中科检测效率测试≥1.0~3.0um效率达92.4%，≥3.0~5.0um效率达95.8%；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6.产品通过“高低温（高温65℃恒温下，低温-15℃恒温下）”整机运行24小时测试符合电工电子产品环境试验；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7.产品的配电箱符合GB/T4208-2017《外壳防护等级（IP代码）》，检测产品配电箱外壳防护等级（IP55）项目合格；</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R、1#新风系统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R01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1#新风机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最大风量≥22000m³/H；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1.水帘式环保新风机组；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2.角铁制作，配轴承和轴；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3.自动清洗功能；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4.自动控制，配水帘净化降温功能；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5.配置运行保护控制系统：组件/控制件、采用优质电子元件制作,智能多档控制。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R02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1#新风配套安装件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新风系统配套定制；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5.管道防火阀：规格700*500mm；依现场管道定制，采用A3钢板制作，外涂防腐防锈漆；防火阀与风管配套安装，口径与所在管道相同。安装位置按国标规范要求执行。材质：碳钢板；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6.新风柜减震机架1个；风机定制配套、采用8#槽钢制作；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7.单向阀2套；规格700*500mm；依现场管道定制，采用A3钢板制作，外涂防腐防锈漆；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8.风百叶1套；配管定制；规格1000*800mm；依现场定制，铝合金1.2mm；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9.新风咀/可调节20套；定制G180、采用优质铝合金制作；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10.调节阀6个；规格800*600mm、600*600mm各1个，500*300mm4个；依现场管道定制，采用A3钢板制作，外涂防腐防锈漆；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11.其他安装辅材；</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S、2#新风系统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2#新风机</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风量18000m³/H；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1.水帘式环保新风机组；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2.角铁制作，配轴承和轴；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3.自动清洗功能；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4.自动控制，配水帘净化降温功能；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5.配置运行保护控制系统：组件/控制件、采用优质电子元件制作,智能多档控制。</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2#新风配套安装件</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新风系统配套定制；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5.管道防火阀2套，规格700*500mm、依现场管道定制，采用A3钢板制作，外涂防腐防锈漆；防火阀与风管配套安装，口径与所在管道相同。安装位置按国标规范要求执行；材质：碳钢板；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6.鲜风柜减震机架1个：风机定制配套、采用8#槽钢制作；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7.单向阀2个；规格500*500mm，配管定制、依现场管道定制，采用A3钢板制作，外涂防腐防锈漆；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8.调节阀6个：规格500*300mm2个，规格400*300mm4个；依现场/管道定制，采用A3钢板制作，外涂防腐防锈漆；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9.风百叶1套；配管定制；规格1000*800mm；依现场定制，铝合金1.2mm；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10.鲜风咀/可调节15套；定制G180、采用优质铝合金制作；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11.其他安装辅材；</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(三)新风管道系统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通风管道</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采用0.8mm厚镀锌板制作。成套现场安装、依现场安装定制，法兰安装。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通风管道</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采用1.0mm厚镀锌板制作。成套现场安装、依现场安装定制，法兰安装。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通风管道</w:t>
            </w:r>
          </w:p>
        </w:tc>
        <w:tc>
          <w:tcPr>
            <w:tcW w:w="6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采用0.65mm厚镀锌板制作。成套现场安装、依现场安装定制，法兰安装。</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以上为本项目暂定购买</w:t>
      </w:r>
      <w:r>
        <w:rPr>
          <w:rFonts w:hint="eastAsia" w:ascii="宋体" w:hAnsi="宋体" w:eastAsia="宋体" w:cs="宋体"/>
          <w:b/>
          <w:color w:val="auto"/>
          <w:sz w:val="21"/>
          <w:szCs w:val="21"/>
          <w:highlight w:val="none"/>
          <w:lang w:val="en-US" w:eastAsia="zh-CN"/>
        </w:rPr>
        <w:t>设备</w:t>
      </w:r>
      <w:r>
        <w:rPr>
          <w:rFonts w:hint="eastAsia" w:ascii="宋体" w:hAnsi="宋体" w:eastAsia="宋体" w:cs="宋体"/>
          <w:b/>
          <w:color w:val="auto"/>
          <w:sz w:val="21"/>
          <w:szCs w:val="21"/>
          <w:highlight w:val="none"/>
          <w:lang w:val="zh-CN"/>
        </w:rPr>
        <w:t>数量，合同履约过程中，因招标人业务变化、机构调整等，招标人有权</w:t>
      </w:r>
      <w:r>
        <w:rPr>
          <w:rFonts w:hint="eastAsia" w:ascii="宋体" w:hAnsi="宋体" w:eastAsia="宋体" w:cs="宋体"/>
          <w:b/>
          <w:color w:val="auto"/>
          <w:sz w:val="21"/>
          <w:szCs w:val="21"/>
          <w:highlight w:val="none"/>
          <w:lang w:val="en-US" w:eastAsia="zh-CN"/>
        </w:rPr>
        <w:t>按照合同单价报价</w:t>
      </w:r>
      <w:r>
        <w:rPr>
          <w:rFonts w:hint="eastAsia" w:ascii="宋体" w:hAnsi="宋体" w:eastAsia="宋体" w:cs="宋体"/>
          <w:b/>
          <w:color w:val="auto"/>
          <w:sz w:val="21"/>
          <w:szCs w:val="21"/>
          <w:highlight w:val="none"/>
          <w:lang w:val="zh-CN"/>
        </w:rPr>
        <w:t>费用按实结算。</w:t>
      </w:r>
      <w:r>
        <w:rPr>
          <w:rFonts w:hint="eastAsia" w:ascii="宋体" w:hAnsi="宋体" w:eastAsia="宋体" w:cs="宋体"/>
          <w:b/>
          <w:color w:val="auto"/>
          <w:sz w:val="21"/>
          <w:szCs w:val="21"/>
          <w:highlight w:val="none"/>
          <w:lang w:val="en-US" w:eastAsia="zh-CN"/>
        </w:rPr>
        <w:t>中标人应无条件配合招标人采购需求调整及作出相应服务。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sz w:val="21"/>
          <w:szCs w:val="21"/>
          <w:highlight w:val="none"/>
          <w:lang w:val="en-US" w:eastAsia="zh-CN"/>
        </w:rPr>
        <w:t>2.本用户需求书虽未列出，但根据设计图纸或为满足设计功能，确保功能的实现所必需的设备材料，投标人应在投标文件中列出。如未列出，中标人在项目实施时必须无条件及时提供，且不得以此为由要求增加费用。</w:t>
      </w:r>
    </w:p>
    <w:p>
      <w:pPr>
        <w:keepNext w:val="0"/>
        <w:keepLines w:val="0"/>
        <w:pageBreakBefore w:val="0"/>
        <w:kinsoku/>
        <w:overflowPunct/>
        <w:topLinePunct w:val="0"/>
        <w:autoSpaceDE/>
        <w:autoSpaceDN/>
        <w:bidi w:val="0"/>
        <w:adjustRightInd/>
        <w:spacing w:line="360" w:lineRule="auto"/>
        <w:ind w:firstLine="422" w:firstLineChars="200"/>
        <w:jc w:val="both"/>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四、主要技术参数及要求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本用户需求书中所有列出的相关设备技术要求、品牌均不是唯一指定，仅作参考，即中标人可就设备提出替代标准，只要中标人提供的设备满足招标人的功能要求、相当于(或优于)规定的设备品质和性能等技术参数要求，并提供满足本用户需求书要求的证明材料，则视为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（一）食堂厨房及中西明档设备主要技术参数及要求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1、中标人所提供的产品及安装必须符合以下规范及标准（如下述内容中不为最新版本，请按最新版本采用）:</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（1）中餐燃气炒菜灶(CJ/T28-2013)</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（2）工业产品使用说明书 总则（GB 9969-2008）</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（3）不锈钢冷轧钢板和带（GB/T 3280-2015）</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（4）包装储运图示标志（GB/T 191-2008）</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（5）机械安全 机械电气设备 第1部分：通用技术条件（GB 5226.1-2016）</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（6）固定污染源排气中颗粒物测定与气态污染物采样方法（GB/T 16157-1996）</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（7）《不锈钢厨具》行业标准（QB/T2174-2006）</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（8）饮食业油烟排放标准（GB 18483-2001）</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（9）通风与空调工程施工质量验收规范（GB 50243-2016）</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（10）饮食建筑设计标准（JGJ 64-2017）</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2、中标人对厨房设备及配套设施的设计以及用于制作的材料原则上不低于清单的等级要求，如需另行推荐，但须招标人同意。其设计、制造、喷涂、检验、试验和包装应符合双方认可的制造规范及国家标准。</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3、中标人应采用最新的规范和标准，交付时间应满足要求。</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4、定义</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（1）厨房指进行烹调制作，食品处理储存的房间，其概念为除餐厅外所有发生烹煮煎炒制作的空间，具体包括上文提到的食堂厨房、洗碗间、洁碟间及中西式明档。</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（2）厨房设备主要由“炉灶设备，不锈钢制品设备，冷冻/冷藏设备，洗碗设备、油烟净化设备、其他设备辅助设备”部分组成。</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（3）“设计条件”是指满足现有建筑结构条件，满足招标人规定时间，满足各专业预留接口条件，满足使用实验的条件。</w:t>
      </w:r>
    </w:p>
    <w:p>
      <w:pPr>
        <w:keepNext w:val="0"/>
        <w:keepLines w:val="0"/>
        <w:pageBreakBefore w:val="0"/>
        <w:kinsoku/>
        <w:overflowPunct/>
        <w:topLinePunct w:val="0"/>
        <w:autoSpaceDE/>
        <w:autoSpaceDN/>
        <w:bidi w:val="0"/>
        <w:adjustRightInd/>
        <w:spacing w:line="360" w:lineRule="auto"/>
        <w:ind w:firstLine="422" w:firstLineChars="200"/>
        <w:jc w:val="both"/>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五、投标报价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本项目报价包括运至交货地的货物、运费、安装调试费、设计费、相关部门验收、税费、质保期保障、搬迁费、项目管理及其他完成本项目所需的各项费用，项目实施后不得另行收取其他任何费用，但必须保证满足项目的使用要求，不足部分由中标人负责免费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项目用户需求书内容中所出现的产品工艺、材料等仅为方便描述而没有限制性，可以在其提供的文件资料中选用替代标准，但这些替代标准必须优于或相当于本用户需求书的标准。用户需求书所描述的货物参数及相关要求为最基本的要求，投标人可选用优于或等于用户需求书要求的货物进行投标报价。</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（三）中标人须将所有货物须按采购人的要求搬运至指定位置，货物及安装设备的运输、装卸、现场保管的费用全部由中标人负责。</w:t>
      </w:r>
    </w:p>
    <w:p>
      <w:pPr>
        <w:keepNext w:val="0"/>
        <w:keepLines w:val="0"/>
        <w:pageBreakBefore w:val="0"/>
        <w:kinsoku/>
        <w:overflowPunct/>
        <w:topLinePunct w:val="0"/>
        <w:autoSpaceDE/>
        <w:autoSpaceDN/>
        <w:bidi w:val="0"/>
        <w:adjustRightInd/>
        <w:spacing w:line="360" w:lineRule="auto"/>
        <w:ind w:firstLine="422" w:firstLineChars="200"/>
        <w:jc w:val="both"/>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六、供货及服务期要求</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（一）本项目交货地点为：</w:t>
      </w:r>
      <w:r>
        <w:rPr>
          <w:rFonts w:hint="eastAsia" w:ascii="宋体" w:hAnsi="宋体" w:eastAsia="宋体" w:cs="宋体"/>
          <w:color w:val="auto"/>
          <w:sz w:val="21"/>
          <w:szCs w:val="21"/>
          <w:highlight w:val="none"/>
          <w:lang w:val="en-US" w:eastAsia="zh-CN"/>
        </w:rPr>
        <w:t>广东省东莞市南城街道宏北路16号水业大厦三楼</w:t>
      </w:r>
    </w:p>
    <w:p>
      <w:pPr>
        <w:keepNext w:val="0"/>
        <w:keepLines w:val="0"/>
        <w:pageBreakBefore w:val="0"/>
        <w:kinsoku/>
        <w:overflowPunct/>
        <w:topLinePunct w:val="0"/>
        <w:autoSpaceDE/>
        <w:autoSpaceDN/>
        <w:bidi w:val="0"/>
        <w:adjustRightInd/>
        <w:spacing w:line="360" w:lineRule="auto"/>
        <w:ind w:firstLine="420" w:firstLineChars="2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（二）中标人收到招标人通知之日起5个日历日，根据现场实际情况及厨房设备设施采购清单提交厨房区的安装深化设计。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三）中标人在收到招标人书面供货通知之日起45天内完成招标人供货通知要求的设备设施的供货，在设备完成交货并通过初步验收后，接到招标人书面通知安装之日起15天内完成设备的安装及调试等工作。在具体实施过程中中标人按中标价格进行供货，并按实际使用量进行结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七、安装、调试及验收要求</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（一）中标人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应派专业技术人员（含制造商委派人员）到现场</w:t>
      </w:r>
      <w:r>
        <w:rPr>
          <w:rFonts w:hint="eastAsia" w:ascii="宋体" w:hAnsi="宋体" w:eastAsia="宋体" w:cs="宋体"/>
          <w:b w:val="0"/>
          <w:bCs/>
          <w:color w:val="auto"/>
          <w:kern w:val="2"/>
          <w:sz w:val="21"/>
          <w:szCs w:val="21"/>
          <w:highlight w:val="none"/>
          <w:lang w:val="en-US" w:eastAsia="zh-CN"/>
        </w:rPr>
        <w:t>，人员要求如下：</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1、安装负责人1名，负责安装工程的计划、协调、人力调配及工程质量、安全管理等工作；</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2、安装现场技术负责人1名，负责技术，质量监督，安装现场测量，安装质量检查认可等。</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二）验收时，中标人负责在项目验收时将全部货物有关的产品说明书、原厂家安装手册、技术文件、资料、及安装、验收报告等文档汇集成册交付招标人。中标人应在投标文件中提供出厂检验的项目、标准和方法。</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（三）出厂前测试</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1、应按国家或行业的相关验收标准，根据基本技术要求中的规定，在合同设备装运前对设备进行测试。</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中标人应在投标文件中提供工厂具有的测试手段和出厂检验的项目、标准和方法。在设计联络中，招标人将对出厂检验的项目、标准和方法进行确认。出厂前测试包括但不限于以下内容：a.启动；b.外观；c.设备运行状态；d.噪声dB（A）；e.其他。</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所有测试结果必须符合基本技术要求的规定和标准，否则合同设备将被认为不合格。工厂测试中的设备，如测试结果不符合基本技术要求的规格及性能参数，由中标人厂家重新修整后再测试，直至设备符合基本技术要求的规格及性能参数为止。</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4、测试完成后，中标人应提供完整的测试报告一式四份供招标人备案。若招标人认为某项试验的条件、内容、程序、测量、记录和报告格式等任意一项不符合要求，招标人有权拒绝接受试验报告并要求重做该项试验。</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5、出厂检验</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（1）出厂检验包括但不限于以下内容：a.外观检验；b.机械运行状态检验；c.振动检验；</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（3）未通过出厂测试的设备将被认为不合格，招标人将不予接收，同时中标人应在不影响项目要求的里程碑时间内及时更换，并通过测试。</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6、运输到货、开箱检验</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（1）运输到货：出厂前测试和出厂检验完成后中标人应按合同要求进行包装，并应考虑现场仓储的条件。中标人应按设备材料、设备类别进行装箱。</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（2）开箱检验 ：由招标人、中标人在场，根据中标人提供的装箱清单进行开箱清点，如发现错装、短装及破损，由中标人负责处理。</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7、测试、调试</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（1）中标人有责任主持、并完成对每台合同设备的现场测试和调试。各项测试结果应符合基本技术要求的标准。</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现场调试和测试完成后，招标人和中标人将在测试报告上签字认可。如在测试过程中，发现任何不符合基本技术要求中的技术规格和性能，中标人应免费维修或更换合同设备相应不合格部分，以确保合同设备的性能满足基本技术要求。如测试结果不符合基本技术要求的技术规格，中标人有责任更换该设备并承担由此引起的一切费用。</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（3）如果合同设备运输和安装调试过程中因事故造成货物短缺、损坏，中标人应及时安排换货，以保证合同设备安装调试的成功完成。换货的相关费用由中标人承担。</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8、验收</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（1）初步验收（即到货验收），经双方验收合格后，招标人和中标人双方在5个工作日内确认初步验收报告并签字认可。</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（2）中标人在初步验收试验工作完成后，应对招标人的人员进行理论、实操培训。</w:t>
      </w:r>
    </w:p>
    <w:p>
      <w:pPr>
        <w:pStyle w:val="1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（3）最终验收（即安装调试完成后验收），验收合格后食堂设备投入正式运行，质保期内中标人提供售后服务，质保期结束后退还质保金。</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（4）最终验收由招标人主持，中标人参加，确认设备能否最终通过验收。具体时间由招标人确定并提前通知中标人。</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（5）最终验收的内容包括合同设备的性能检查和零部件实际质量检查。</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（6）验收应在招标人和中标人双方共同参加下进行。</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7）验收按国家有关的规定、规范进行，按照国家或行业的相关验收标准，根据基本技术要求中的规定，中标人应在合同设备装运前对设备进行测试。初步验收时如发现所交付的设备有短装、次品、损坏或其它不符合本合同规定之情形者，招标人应做出详尽的现场记录，或由招标人和中标人双方签署备忘录。此现场记录或备忘录可用作补充、缺失和更换损坏部件的有效证据。由此产生的有关费用由中标人承担。</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（8）设备最终验收完成后，由招标人和中标人在验收报告上签字盖章确认。</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9）采购的货物在中标人交付使用后，如招标人与中标人对所交付的货物质量问题有分歧，或应行政管理部门要求，招标人有权邀请具备资质的第三方检测机构对中标人所提供的货物进行检测，由此所需的一切费用由中标人负责。如出现采购的货物经第三方检测机构出具不合格函或与投标文件中的货物不符，招标人有权拒绝验收。</w:t>
      </w:r>
    </w:p>
    <w:p>
      <w:pPr>
        <w:spacing w:line="360" w:lineRule="auto"/>
        <w:ind w:firstLine="420" w:firstLineChars="200"/>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（10）上述所说验收招标人可能会根据需求批次供货安装分批次验收。</w:t>
      </w:r>
    </w:p>
    <w:p>
      <w:pPr>
        <w:spacing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rPr>
        <w:t>八</w:t>
      </w:r>
      <w:r>
        <w:rPr>
          <w:rFonts w:hint="eastAsia" w:ascii="宋体" w:hAnsi="宋体" w:eastAsia="宋体" w:cs="宋体"/>
          <w:b/>
          <w:color w:val="auto"/>
          <w:kern w:val="2"/>
          <w:sz w:val="21"/>
          <w:szCs w:val="21"/>
          <w:highlight w:val="none"/>
        </w:rPr>
        <w:t>、质保期要求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（一）质保期为自最终验收合格之日起1年，质保期内免费提供上门服务。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（二）质保期内，招标人如发现货物的质量、材质、规格、性能、数量等不符合要求的，或发现货物无论由于任何原因存在隐藏缺陷、工艺问题或使用不良的材料的，或出现其他质量问题的，</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人应在接到招标人通知后无条件在三个工作日内进行更换或退货。更换后的货物的质量保证期从更换完成且获得招标人最终验收合格之日重新计算。</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（三）质保期内出现货物质量问题，</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人在收到质量问题通知后三天内完成免费维修。未能在上述期限内完成维修，或维修后仍然出现同类问题的，招标人有权要求更换或退货。</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（四）上述货物更换或退货产出的全部费用由</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人承担。</w:t>
      </w:r>
    </w:p>
    <w:p>
      <w:pPr>
        <w:spacing w:line="360" w:lineRule="auto"/>
        <w:ind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rPr>
        <w:t>九</w:t>
      </w:r>
      <w:r>
        <w:rPr>
          <w:rFonts w:hint="eastAsia" w:ascii="宋体" w:hAnsi="宋体" w:eastAsia="宋体" w:cs="宋体"/>
          <w:b/>
          <w:color w:val="auto"/>
          <w:kern w:val="2"/>
          <w:sz w:val="21"/>
          <w:szCs w:val="21"/>
          <w:highlight w:val="none"/>
        </w:rPr>
        <w:t>、其他要求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人在安装设备前应配合招标人完成厨房水电线路的设计，并</w:t>
      </w:r>
      <w:r>
        <w:rPr>
          <w:rFonts w:hint="eastAsia" w:ascii="宋体" w:hAnsi="宋体" w:eastAsia="宋体" w:cs="宋体"/>
          <w:color w:val="auto"/>
          <w:sz w:val="21"/>
          <w:szCs w:val="21"/>
          <w:lang w:val="en-US" w:eastAsia="zh-CN"/>
        </w:rPr>
        <w:t>配合优化</w:t>
      </w:r>
      <w:r>
        <w:rPr>
          <w:rFonts w:hint="eastAsia" w:ascii="宋体" w:hAnsi="宋体" w:eastAsia="宋体" w:cs="宋体"/>
          <w:color w:val="auto"/>
          <w:sz w:val="21"/>
          <w:szCs w:val="21"/>
        </w:rPr>
        <w:t>相应设备布置图、电气安装图及厨房给排水施工图。</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（二）所供货物须符合国家现行有效的法律法规、行业规范及相关的质量标准并达到使用要求。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人应按</w:t>
      </w:r>
      <w:r>
        <w:rPr>
          <w:rFonts w:hint="eastAsia" w:ascii="宋体" w:hAnsi="宋体" w:eastAsia="宋体" w:cs="宋体"/>
          <w:color w:val="auto"/>
          <w:sz w:val="21"/>
          <w:szCs w:val="21"/>
          <w:lang w:val="en-US" w:eastAsia="zh-CN"/>
        </w:rPr>
        <w:t>供货</w:t>
      </w:r>
      <w:r>
        <w:rPr>
          <w:rFonts w:hint="eastAsia" w:ascii="宋体" w:hAnsi="宋体" w:eastAsia="宋体" w:cs="宋体"/>
          <w:color w:val="auto"/>
          <w:sz w:val="21"/>
          <w:szCs w:val="21"/>
        </w:rPr>
        <w:t>清单提供增值税专用发票、请款报告等请款资料。</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人逾期提供请款资料及发票或提交资料不符合招标人要求的，招标人付款时间顺延，并不承担逾期付款违约责任。由于</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人提供的发票不符合税法规定，给招标人造成的损失由</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人承担赔偿责任。</w:t>
      </w:r>
    </w:p>
    <w:p>
      <w:pPr>
        <w:spacing w:line="360" w:lineRule="auto"/>
        <w:ind w:firstLine="422" w:firstLineChars="200"/>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十</w:t>
      </w:r>
      <w:r>
        <w:rPr>
          <w:rFonts w:hint="eastAsia" w:ascii="宋体" w:hAnsi="宋体" w:eastAsia="宋体" w:cs="宋体"/>
          <w:b/>
          <w:color w:val="auto"/>
          <w:kern w:val="2"/>
          <w:sz w:val="21"/>
          <w:szCs w:val="21"/>
          <w:highlight w:val="none"/>
        </w:rPr>
        <w:t>、</w:t>
      </w:r>
      <w:r>
        <w:rPr>
          <w:rFonts w:hint="eastAsia" w:ascii="宋体" w:hAnsi="宋体" w:eastAsia="宋体" w:cs="宋体"/>
          <w:b/>
          <w:color w:val="auto"/>
          <w:kern w:val="2"/>
          <w:sz w:val="21"/>
          <w:szCs w:val="21"/>
          <w:highlight w:val="none"/>
          <w:lang w:val="en-US" w:eastAsia="zh-CN"/>
        </w:rPr>
        <w:t>图纸</w:t>
      </w:r>
    </w:p>
    <w:p>
      <w:pPr>
        <w:spacing w:line="360" w:lineRule="auto"/>
        <w:ind w:firstLine="420" w:firstLineChars="200"/>
        <w:rPr>
          <w:rFonts w:ascii="宋体" w:hAnsi="宋体" w:eastAsia="宋体" w:cs="Times New Roman"/>
          <w:b/>
          <w:color w:val="auto"/>
          <w:szCs w:val="21"/>
          <w:highlight w:val="none"/>
        </w:rPr>
      </w:pPr>
      <w:r>
        <w:rPr>
          <w:rFonts w:hint="eastAsia" w:ascii="宋体" w:hAnsi="宋体" w:eastAsia="宋体" w:cs="宋体"/>
          <w:color w:val="auto"/>
          <w:sz w:val="21"/>
          <w:szCs w:val="21"/>
          <w:lang w:val="en-US" w:eastAsia="zh-CN"/>
        </w:rPr>
        <w:t>水业大厦食堂平面布置图纸为电子文档，随招标文件一同发出，由投标人自行下载。</w:t>
      </w:r>
      <w:r>
        <w:rPr>
          <w:rFonts w:hint="eastAsia" w:ascii="宋体" w:hAnsi="宋体" w:cs="宋体"/>
          <w:b/>
          <w:bCs/>
          <w:color w:val="auto"/>
          <w:kern w:val="0"/>
          <w:sz w:val="21"/>
          <w:szCs w:val="21"/>
          <w:highlight w:val="none"/>
          <w:lang w:val="en-US" w:eastAsia="zh-CN"/>
        </w:rPr>
        <w:br w:type="page"/>
      </w: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70" w:name="_Toc450662892"/>
      <w:bookmarkStart w:id="371" w:name="_Toc19477"/>
      <w:bookmarkStart w:id="372" w:name="_Toc3166"/>
      <w:bookmarkStart w:id="373" w:name="_Toc486167707"/>
      <w:bookmarkStart w:id="374" w:name="_Toc7731"/>
      <w:bookmarkStart w:id="375" w:name="_Toc11281_WPSOffice_Level1"/>
      <w:bookmarkStart w:id="376" w:name="_Toc142508359"/>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70"/>
      <w:bookmarkEnd w:id="371"/>
      <w:bookmarkEnd w:id="372"/>
      <w:bookmarkEnd w:id="373"/>
      <w:bookmarkEnd w:id="374"/>
      <w:bookmarkEnd w:id="375"/>
      <w:bookmarkEnd w:id="376"/>
    </w:p>
    <w:p>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pPr>
        <w:spacing w:line="360" w:lineRule="auto"/>
        <w:jc w:val="center"/>
        <w:rPr>
          <w:rFonts w:hint="eastAsia" w:ascii="宋体" w:hAnsi="宋体" w:eastAsia="宋体" w:cs="宋体"/>
          <w:b/>
          <w:color w:val="auto"/>
          <w:sz w:val="52"/>
          <w:szCs w:val="52"/>
          <w:highlight w:val="none"/>
          <w:u w:val="none"/>
          <w:lang w:val="en-US" w:eastAsia="zh-CN"/>
        </w:rPr>
      </w:pPr>
      <w:r>
        <w:rPr>
          <w:rFonts w:hint="eastAsia" w:ascii="宋体" w:hAnsi="宋体" w:eastAsia="宋体" w:cs="宋体"/>
          <w:b/>
          <w:color w:val="auto"/>
          <w:sz w:val="52"/>
          <w:szCs w:val="52"/>
          <w:highlight w:val="none"/>
          <w:u w:val="none"/>
          <w:lang w:eastAsia="zh-CN"/>
        </w:rPr>
        <w:t>东莞市</w:t>
      </w:r>
      <w:r>
        <w:rPr>
          <w:rFonts w:hint="eastAsia" w:ascii="宋体" w:hAnsi="宋体" w:eastAsia="宋体" w:cs="宋体"/>
          <w:b/>
          <w:color w:val="auto"/>
          <w:sz w:val="52"/>
          <w:szCs w:val="52"/>
          <w:highlight w:val="none"/>
          <w:u w:val="none"/>
          <w:lang w:val="en-US" w:eastAsia="zh-CN"/>
        </w:rPr>
        <w:t>置拓投资有限公司水业大厦食堂设备设施采购项目</w:t>
      </w:r>
    </w:p>
    <w:p>
      <w:pPr>
        <w:spacing w:line="360" w:lineRule="auto"/>
        <w:jc w:val="center"/>
        <w:rPr>
          <w:rFonts w:hint="eastAsia" w:ascii="宋体" w:hAnsi="宋体" w:eastAsia="宋体" w:cs="宋体"/>
          <w:b/>
          <w:color w:val="auto"/>
          <w:sz w:val="52"/>
          <w:szCs w:val="52"/>
          <w:highlight w:val="none"/>
        </w:rPr>
      </w:pPr>
    </w:p>
    <w:p>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采购合同</w:t>
      </w:r>
    </w:p>
    <w:p>
      <w:pPr>
        <w:spacing w:line="360" w:lineRule="auto"/>
        <w:jc w:val="center"/>
        <w:rPr>
          <w:rFonts w:hint="eastAsia" w:ascii="宋体" w:hAnsi="宋体" w:eastAsia="宋体" w:cs="宋体"/>
          <w:b/>
          <w:bCs/>
          <w:kern w:val="0"/>
          <w:sz w:val="24"/>
          <w:szCs w:val="21"/>
          <w:highlight w:val="none"/>
        </w:rPr>
      </w:pPr>
    </w:p>
    <w:p>
      <w:pPr>
        <w:spacing w:line="360" w:lineRule="auto"/>
        <w:jc w:val="center"/>
        <w:rPr>
          <w:rFonts w:ascii="宋体" w:hAnsi="宋体"/>
          <w:b/>
          <w:color w:val="auto"/>
          <w:sz w:val="52"/>
          <w:szCs w:val="52"/>
          <w:highlight w:val="none"/>
        </w:rPr>
      </w:pPr>
      <w:r>
        <w:rPr>
          <w:rFonts w:hint="eastAsia" w:ascii="宋体" w:hAnsi="宋体" w:eastAsia="宋体" w:cs="宋体"/>
          <w:b/>
          <w:bCs/>
          <w:kern w:val="0"/>
          <w:sz w:val="24"/>
          <w:szCs w:val="21"/>
          <w:highlight w:val="none"/>
        </w:rPr>
        <w:t>（合同编号：       ）</w:t>
      </w:r>
    </w:p>
    <w:p>
      <w:pPr>
        <w:spacing w:line="360" w:lineRule="auto"/>
        <w:rPr>
          <w:rFonts w:hint="eastAsia" w:ascii="宋体" w:hAnsi="宋体" w:eastAsia="宋体" w:cs="宋体"/>
          <w:color w:val="auto"/>
          <w:sz w:val="48"/>
          <w:szCs w:val="48"/>
          <w:highlight w:val="none"/>
        </w:rPr>
      </w:pPr>
    </w:p>
    <w:p>
      <w:pPr>
        <w:spacing w:line="360" w:lineRule="auto"/>
        <w:rPr>
          <w:rFonts w:hint="eastAsia" w:ascii="宋体" w:hAnsi="宋体" w:eastAsia="宋体" w:cs="宋体"/>
          <w:color w:val="auto"/>
          <w:sz w:val="48"/>
          <w:szCs w:val="48"/>
          <w:highlight w:val="none"/>
        </w:rPr>
      </w:pPr>
    </w:p>
    <w:p>
      <w:pPr>
        <w:spacing w:line="360" w:lineRule="auto"/>
        <w:rPr>
          <w:rFonts w:hint="eastAsia" w:ascii="宋体" w:hAnsi="宋体" w:eastAsia="宋体" w:cs="宋体"/>
          <w:color w:val="auto"/>
          <w:sz w:val="48"/>
          <w:szCs w:val="48"/>
          <w:highlight w:val="none"/>
        </w:rPr>
      </w:pPr>
    </w:p>
    <w:p>
      <w:pPr>
        <w:spacing w:line="360" w:lineRule="auto"/>
        <w:rPr>
          <w:rFonts w:hint="eastAsia" w:ascii="宋体" w:hAnsi="宋体" w:eastAsia="宋体" w:cs="宋体"/>
          <w:color w:val="auto"/>
          <w:sz w:val="48"/>
          <w:szCs w:val="48"/>
          <w:highlight w:val="none"/>
        </w:rPr>
      </w:pPr>
    </w:p>
    <w:p>
      <w:pPr>
        <w:spacing w:line="360" w:lineRule="auto"/>
        <w:ind w:firstLine="1280" w:firstLineChars="400"/>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lang w:eastAsia="zh-Hans"/>
        </w:rPr>
        <w:t>合同编号：</w:t>
      </w:r>
      <w:r>
        <w:rPr>
          <w:rFonts w:hint="eastAsia" w:ascii="宋体" w:hAnsi="宋体" w:eastAsia="宋体" w:cs="宋体"/>
          <w:color w:val="auto"/>
          <w:sz w:val="32"/>
          <w:szCs w:val="32"/>
          <w:highlight w:val="none"/>
          <w:u w:val="single"/>
        </w:rPr>
        <w:t xml:space="preserve">                      </w:t>
      </w:r>
    </w:p>
    <w:p>
      <w:pPr>
        <w:spacing w:line="360" w:lineRule="auto"/>
        <w:ind w:firstLine="1280" w:firstLineChars="4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Hans"/>
        </w:rPr>
        <w:t>甲</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eastAsia="zh-Hans"/>
        </w:rPr>
        <w:t>方</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pPr>
        <w:spacing w:line="360" w:lineRule="auto"/>
        <w:ind w:firstLine="1280" w:firstLineChars="400"/>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lang w:eastAsia="zh-Hans"/>
        </w:rPr>
        <w:t>乙</w:t>
      </w: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eastAsia="zh-Hans"/>
        </w:rPr>
        <w:t>方</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pPr>
        <w:pStyle w:val="19"/>
        <w:rPr>
          <w:rFonts w:hint="eastAsia" w:ascii="宋体" w:hAnsi="宋体" w:eastAsia="宋体" w:cs="宋体"/>
          <w:b w:val="0"/>
          <w:bCs w:val="0"/>
          <w:color w:val="auto"/>
          <w:kern w:val="2"/>
          <w:sz w:val="32"/>
          <w:szCs w:val="32"/>
          <w:highlight w:val="none"/>
          <w:lang w:val="en-US" w:eastAsia="zh-CN" w:bidi="ar-SA"/>
        </w:rPr>
      </w:pPr>
    </w:p>
    <w:p>
      <w:pPr>
        <w:pStyle w:val="19"/>
        <w:jc w:val="both"/>
        <w:rPr>
          <w:rFonts w:hint="eastAsia" w:ascii="宋体" w:hAnsi="宋体" w:eastAsia="宋体" w:cs="宋体"/>
          <w:b w:val="0"/>
          <w:bCs w:val="0"/>
          <w:color w:val="auto"/>
          <w:kern w:val="2"/>
          <w:sz w:val="32"/>
          <w:szCs w:val="32"/>
          <w:highlight w:val="none"/>
          <w:lang w:val="en-US" w:eastAsia="zh-CN" w:bidi="ar-SA"/>
        </w:rPr>
      </w:pPr>
    </w:p>
    <w:p>
      <w:pPr>
        <w:pStyle w:val="19"/>
        <w:ind w:firstLine="1280" w:firstLineChars="400"/>
        <w:jc w:val="both"/>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t>签订日期：   年    月   日</w:t>
      </w:r>
    </w:p>
    <w:p>
      <w:pPr>
        <w:rPr>
          <w:rFonts w:hint="eastAsia" w:ascii="宋体" w:hAnsi="宋体" w:eastAsia="宋体" w:cs="宋体"/>
          <w:b w:val="0"/>
          <w:bCs w:val="0"/>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br w:type="page"/>
      </w:r>
    </w:p>
    <w:p>
      <w:pPr>
        <w:snapToGrid w:val="0"/>
        <w:spacing w:line="360" w:lineRule="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甲方：东莞市</w:t>
      </w:r>
      <w:r>
        <w:rPr>
          <w:rFonts w:hint="eastAsia" w:ascii="宋体" w:hAnsi="宋体" w:eastAsia="宋体" w:cs="宋体"/>
          <w:b/>
          <w:bCs/>
          <w:sz w:val="21"/>
          <w:szCs w:val="21"/>
          <w:highlight w:val="none"/>
          <w:lang w:val="en-US" w:eastAsia="zh-CN"/>
        </w:rPr>
        <w:t>置拓</w:t>
      </w:r>
      <w:r>
        <w:rPr>
          <w:rFonts w:hint="eastAsia" w:ascii="宋体" w:hAnsi="宋体" w:eastAsia="宋体" w:cs="宋体"/>
          <w:b/>
          <w:bCs/>
          <w:sz w:val="21"/>
          <w:szCs w:val="21"/>
          <w:highlight w:val="none"/>
        </w:rPr>
        <w:t xml:space="preserve">投资有限公司 </w:t>
      </w:r>
    </w:p>
    <w:p>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统一社会信用代码： </w:t>
      </w:r>
    </w:p>
    <w:p>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住所：</w:t>
      </w:r>
    </w:p>
    <w:p>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p>
      <w:pPr>
        <w:widowControl/>
        <w:snapToGrid w:val="0"/>
        <w:spacing w:line="360" w:lineRule="auto"/>
        <w:outlineLvl w:val="9"/>
        <w:rPr>
          <w:rFonts w:hint="eastAsia" w:ascii="宋体" w:hAnsi="宋体" w:eastAsia="宋体" w:cs="宋体"/>
          <w:b/>
          <w:bCs/>
          <w:sz w:val="21"/>
          <w:szCs w:val="21"/>
          <w:highlight w:val="none"/>
        </w:rPr>
      </w:pPr>
    </w:p>
    <w:p>
      <w:pPr>
        <w:widowControl/>
        <w:snapToGrid w:val="0"/>
        <w:spacing w:line="360" w:lineRule="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 xml:space="preserve">乙方： </w:t>
      </w:r>
    </w:p>
    <w:p>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统一社会信用代码： </w:t>
      </w:r>
    </w:p>
    <w:p>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住所： </w:t>
      </w:r>
    </w:p>
    <w:p>
      <w:pPr>
        <w:widowControl/>
        <w:snapToGrid w:val="0"/>
        <w:spacing w:line="360" w:lineRule="auto"/>
        <w:ind w:firstLine="420" w:firstLineChars="20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 </w:t>
      </w:r>
    </w:p>
    <w:p>
      <w:pPr>
        <w:keepNext w:val="0"/>
        <w:keepLines w:val="0"/>
        <w:kinsoku/>
        <w:wordWrap/>
        <w:overflowPunct/>
        <w:topLinePunct w:val="0"/>
        <w:bidi w:val="0"/>
        <w:adjustRightInd w:val="0"/>
        <w:snapToGrid w:val="0"/>
        <w:spacing w:line="360" w:lineRule="auto"/>
        <w:ind w:left="0" w:leftChars="0" w:right="0" w:rightChars="0" w:firstLine="371" w:firstLineChars="177"/>
        <w:rPr>
          <w:rFonts w:hint="eastAsia" w:ascii="宋体" w:hAnsi="宋体" w:eastAsia="宋体" w:cs="宋体"/>
          <w:color w:val="auto"/>
          <w:sz w:val="21"/>
          <w:szCs w:val="21"/>
          <w:highlight w:val="none"/>
        </w:rPr>
      </w:pPr>
    </w:p>
    <w:p>
      <w:pPr>
        <w:keepNext w:val="0"/>
        <w:keepLines w:val="0"/>
        <w:kinsoku/>
        <w:wordWrap/>
        <w:overflowPunct/>
        <w:topLinePunct w:val="0"/>
        <w:bidi w:val="0"/>
        <w:adjustRightInd w:val="0"/>
        <w:snapToGrid w:val="0"/>
        <w:spacing w:line="360" w:lineRule="auto"/>
        <w:ind w:left="0" w:leftChars="0" w:right="0" w:rightChars="0" w:firstLine="371" w:firstLineChars="177"/>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通知</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项目中标结果（招标编号：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）和招标文件的要求，经双方协商一致，签订本合同。</w:t>
      </w:r>
    </w:p>
    <w:p>
      <w:pPr>
        <w:keepNext w:val="0"/>
        <w:keepLines w:val="0"/>
        <w:kinsoku/>
        <w:wordWrap/>
        <w:overflowPunct/>
        <w:topLinePunct w:val="0"/>
        <w:bidi w:val="0"/>
        <w:adjustRightInd w:val="0"/>
        <w:snapToGrid w:val="0"/>
        <w:spacing w:line="360" w:lineRule="auto"/>
        <w:ind w:left="0" w:leftChars="0" w:right="0" w:rightChars="0" w:firstLine="373" w:firstLineChars="177"/>
        <w:outlineLvl w:val="0"/>
        <w:rPr>
          <w:rFonts w:hint="eastAsia" w:ascii="宋体" w:hAnsi="宋体" w:eastAsia="宋体" w:cs="宋体"/>
          <w:b/>
          <w:color w:val="auto"/>
          <w:sz w:val="21"/>
          <w:szCs w:val="21"/>
          <w:highlight w:val="none"/>
          <w:lang w:val="en-US" w:eastAsia="zh-CN"/>
        </w:rPr>
      </w:pPr>
      <w:bookmarkStart w:id="377" w:name="_Toc4338"/>
      <w:bookmarkStart w:id="378" w:name="_Toc152276125"/>
      <w:bookmarkStart w:id="379" w:name="_Toc19893"/>
      <w:bookmarkStart w:id="380" w:name="_Toc7806"/>
      <w:r>
        <w:rPr>
          <w:rFonts w:hint="eastAsia" w:ascii="宋体" w:hAnsi="宋体" w:eastAsia="宋体" w:cs="宋体"/>
          <w:b/>
          <w:color w:val="auto"/>
          <w:sz w:val="21"/>
          <w:szCs w:val="21"/>
          <w:highlight w:val="none"/>
        </w:rPr>
        <w:t>第一条 合同范围</w:t>
      </w:r>
      <w:bookmarkEnd w:id="377"/>
      <w:bookmarkEnd w:id="378"/>
      <w:bookmarkEnd w:id="379"/>
      <w:bookmarkEnd w:id="38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 </w:t>
      </w:r>
      <w:r>
        <w:rPr>
          <w:rFonts w:hint="eastAsia" w:ascii="宋体" w:hAnsi="宋体" w:eastAsia="宋体" w:cs="宋体"/>
          <w:color w:val="auto"/>
          <w:sz w:val="21"/>
          <w:szCs w:val="21"/>
          <w:highlight w:val="none"/>
          <w:lang w:val="en-US" w:eastAsia="zh-CN"/>
        </w:rPr>
        <w:t>乙方按本项目设计图纸范围内并满足厨房设计功能要求向甲方提供食堂相关设备的供货及安装，并配合甲方完成厨房及</w:t>
      </w:r>
      <w:r>
        <w:rPr>
          <w:rFonts w:hint="eastAsia" w:ascii="宋体" w:hAnsi="宋体" w:eastAsia="宋体" w:cs="宋体"/>
          <w:color w:val="auto"/>
          <w:szCs w:val="21"/>
          <w:highlight w:val="none"/>
        </w:rPr>
        <w:t>中西明档区的深化设计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跟踪</w:t>
      </w:r>
      <w:r>
        <w:rPr>
          <w:rFonts w:hint="eastAsia" w:ascii="宋体" w:hAnsi="宋体" w:eastAsia="宋体" w:cs="宋体"/>
          <w:color w:val="auto"/>
          <w:sz w:val="21"/>
          <w:szCs w:val="21"/>
          <w:highlight w:val="none"/>
          <w:lang w:val="en-US" w:eastAsia="zh-CN"/>
        </w:rPr>
        <w:t>厨房及</w:t>
      </w:r>
      <w:r>
        <w:rPr>
          <w:rFonts w:hint="eastAsia" w:ascii="宋体" w:hAnsi="宋体" w:eastAsia="宋体" w:cs="宋体"/>
          <w:color w:val="auto"/>
          <w:szCs w:val="21"/>
          <w:highlight w:val="none"/>
        </w:rPr>
        <w:t>中西明档区的</w:t>
      </w:r>
      <w:r>
        <w:rPr>
          <w:rFonts w:hint="eastAsia" w:ascii="宋体" w:hAnsi="宋体" w:eastAsia="宋体" w:cs="宋体"/>
          <w:color w:val="auto"/>
          <w:szCs w:val="21"/>
          <w:highlight w:val="none"/>
          <w:lang w:val="en-US" w:eastAsia="zh-CN"/>
        </w:rPr>
        <w:t>土建装修、</w:t>
      </w:r>
      <w:r>
        <w:rPr>
          <w:rFonts w:hint="eastAsia" w:ascii="宋体" w:hAnsi="宋体" w:eastAsia="宋体" w:cs="宋体"/>
          <w:color w:val="auto"/>
          <w:szCs w:val="21"/>
          <w:highlight w:val="none"/>
        </w:rPr>
        <w:t>水电装修过程</w:t>
      </w:r>
      <w:r>
        <w:rPr>
          <w:rFonts w:hint="eastAsia" w:ascii="宋体" w:hAnsi="宋体" w:eastAsia="宋体" w:cs="宋体"/>
          <w:color w:val="auto"/>
          <w:szCs w:val="21"/>
          <w:highlight w:val="none"/>
          <w:lang w:val="en-US" w:eastAsia="zh-CN"/>
        </w:rPr>
        <w:t>并参与相关验收</w:t>
      </w:r>
      <w:bookmarkStart w:id="381" w:name="_Toc17552"/>
      <w:r>
        <w:rPr>
          <w:rFonts w:hint="eastAsia" w:ascii="宋体" w:hAnsi="宋体" w:eastAsia="宋体" w:cs="宋体"/>
          <w:color w:val="auto"/>
          <w:szCs w:val="21"/>
          <w:highlight w:val="none"/>
          <w:lang w:val="en-US" w:eastAsia="zh-CN"/>
        </w:rPr>
        <w:t>，合同范围包括但不限于以下内容：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（1）本项目设计图纸范围内并满足厨房设计功能要求的设备设施供货及安装；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（2）厨房及中西明档区的深化设计配合，对于本次招标设备安装等技术参数配合装修单位优化施工图纸；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（3）配合厨房及中西明档区土建装修及水电装修过程的跟踪及参与验收。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宋体" w:hAnsi="宋体" w:eastAsia="宋体" w:cs="宋体"/>
          <w:sz w:val="22"/>
          <w:szCs w:val="22"/>
          <w:lang w:val="en-US" w:eastAsia="zh-CN"/>
        </w:rPr>
      </w:pPr>
      <w:r>
        <w:rPr>
          <w:rFonts w:hint="eastAsia" w:ascii="宋体" w:hAnsi="宋体" w:eastAsia="宋体" w:cs="宋体"/>
          <w:sz w:val="21"/>
          <w:szCs w:val="21"/>
          <w:lang w:val="en-US" w:eastAsia="zh-CN"/>
        </w:rPr>
        <w:t>1.2 新建食堂须满足国家和所在地政府关于食品安全管理、消防安全管理和食堂卫生管理等各项规定要求，乙方须配合相关验收工作，确保验收合格</w:t>
      </w:r>
      <w:r>
        <w:rPr>
          <w:rFonts w:hint="eastAsia" w:ascii="宋体" w:hAnsi="宋体" w:eastAsia="宋体" w:cs="宋体"/>
          <w:sz w:val="22"/>
          <w:szCs w:val="22"/>
          <w:lang w:val="en-US" w:eastAsia="zh-CN"/>
        </w:rPr>
        <w:t>。</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 施工段界面划分</w:t>
      </w:r>
    </w:p>
    <w:p>
      <w:pPr>
        <w:numPr>
          <w:ilvl w:val="0"/>
          <w:numId w:val="0"/>
        </w:numPr>
        <w:autoSpaceDE/>
        <w:autoSpaceDN/>
        <w:adjustRightInd/>
        <w:spacing w:line="360" w:lineRule="auto"/>
        <w:ind w:firstLine="420" w:firstLineChars="200"/>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（1）厨房设备：厨房区土建部分装修施工由甲方负责设计、施工，甲方做好厨房设备区各项设备的给排水及用电接入点位，乙方负责设备设施的安装调试。</w:t>
      </w:r>
    </w:p>
    <w:p>
      <w:pPr>
        <w:numPr>
          <w:ilvl w:val="0"/>
          <w:numId w:val="0"/>
        </w:numPr>
        <w:autoSpaceDE/>
        <w:autoSpaceDN/>
        <w:adjustRightInd/>
        <w:spacing w:line="360" w:lineRule="auto"/>
        <w:ind w:firstLine="420" w:firstLineChars="200"/>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（2）阳光厨房管理系统的安装：甲方提供用电位置接入点，乙方负责完成整个系统的弱电综合布线，并完成整个系统安装调试。</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（3）室内/后厨制冷空调降温系统：甲方提供用电接入点，乙方负责整个空调系统的安装，并提供安装过程中的相关耗材。</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（4）厨房系统安全措施及灭火系统：甲方提供用电接入点，乙方负责完成厨房灭火系统的安装调试。</w:t>
      </w:r>
    </w:p>
    <w:p>
      <w:pPr>
        <w:numPr>
          <w:ilvl w:val="0"/>
          <w:numId w:val="0"/>
        </w:numPr>
        <w:autoSpaceDE/>
        <w:autoSpaceDN/>
        <w:adjustRightInd/>
        <w:spacing w:line="360" w:lineRule="auto"/>
        <w:ind w:firstLine="420" w:firstLineChars="200"/>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（5）净水设备：甲方提供设备用给水及用电接入点位，乙方负责净水设备管道布排及设备设施安装调试。</w:t>
      </w:r>
    </w:p>
    <w:p>
      <w:pPr>
        <w:numPr>
          <w:ilvl w:val="0"/>
          <w:numId w:val="0"/>
        </w:numPr>
        <w:autoSpaceDE/>
        <w:autoSpaceDN/>
        <w:adjustRightInd/>
        <w:spacing w:line="360" w:lineRule="auto"/>
        <w:ind w:firstLine="420" w:firstLineChars="200"/>
        <w:outlineLvl w:val="0"/>
        <w:rPr>
          <w:rFonts w:hint="default" w:ascii="宋体" w:hAnsi="宋体" w:eastAsia="宋体" w:cs="宋体"/>
          <w:szCs w:val="21"/>
          <w:lang w:val="en-US" w:eastAsia="zh-CN"/>
        </w:rPr>
      </w:pPr>
      <w:r>
        <w:rPr>
          <w:rFonts w:hint="eastAsia" w:ascii="宋体" w:hAnsi="宋体" w:eastAsia="宋体" w:cs="宋体"/>
          <w:sz w:val="21"/>
          <w:szCs w:val="21"/>
          <w:lang w:val="en-US" w:eastAsia="zh-CN"/>
        </w:rPr>
        <w:t>（6）通排新风系统：甲方提供设备设施用电接入点位，乙方负责整个系统安装，管道布排，并提供安装过程中的相关耗材。</w:t>
      </w:r>
    </w:p>
    <w:p>
      <w:pPr>
        <w:numPr>
          <w:ilvl w:val="0"/>
          <w:numId w:val="0"/>
        </w:numPr>
        <w:autoSpaceDE/>
        <w:autoSpaceDN/>
        <w:adjustRightInd/>
        <w:spacing w:line="360" w:lineRule="auto"/>
        <w:ind w:firstLine="420" w:firstLineChars="200"/>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7）甲方统筹考虑安装项目的线缆、管线(含桥架)的设计，优先考虑统一布置，当需要土建装修预留相应的线缆槽盒空间、管线空间或布置空间时，由甲方在设计、工程实施中预留，保证厨房内综合布线的规范、美观性，乙方自行考虑因综合布线的方案变动而产生相关费用，后续不因此发生费用调整。</w:t>
      </w:r>
    </w:p>
    <w:p>
      <w:pPr>
        <w:numPr>
          <w:ilvl w:val="0"/>
          <w:numId w:val="0"/>
        </w:numPr>
        <w:autoSpaceDE/>
        <w:autoSpaceDN/>
        <w:adjustRightInd/>
        <w:spacing w:line="360" w:lineRule="auto"/>
        <w:ind w:firstLine="420" w:firstLineChars="200"/>
        <w:outlineLvl w:val="0"/>
        <w:rPr>
          <w:rFonts w:hint="default" w:ascii="宋体" w:hAnsi="宋体" w:eastAsia="宋体" w:cs="宋体"/>
          <w:color w:val="auto"/>
          <w:sz w:val="21"/>
          <w:szCs w:val="21"/>
          <w:highlight w:val="none"/>
          <w:lang w:val="en-US" w:eastAsia="zh-CN"/>
        </w:rPr>
      </w:pPr>
      <w:r>
        <w:rPr>
          <w:rFonts w:hint="eastAsia" w:ascii="宋体" w:hAnsi="宋体" w:eastAsia="宋体" w:cs="宋体"/>
          <w:szCs w:val="21"/>
          <w:lang w:val="en-US" w:eastAsia="zh-CN"/>
        </w:rPr>
        <w:t>（8）甲方负责厨房区域的给水、排水、照明及消防系统施工。</w:t>
      </w:r>
    </w:p>
    <w:p>
      <w:pPr>
        <w:keepNext w:val="0"/>
        <w:keepLines w:val="0"/>
        <w:kinsoku/>
        <w:wordWrap/>
        <w:overflowPunct/>
        <w:topLinePunct w:val="0"/>
        <w:bidi w:val="0"/>
        <w:adjustRightInd w:val="0"/>
        <w:snapToGrid w:val="0"/>
        <w:spacing w:line="360" w:lineRule="auto"/>
        <w:ind w:left="0" w:leftChars="0" w:right="0" w:rightChars="0" w:firstLine="373" w:firstLineChars="177"/>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lang w:val="en-US" w:eastAsia="zh-CN"/>
        </w:rPr>
        <w:t>第二条 本合同的供货及安装要求</w:t>
      </w:r>
    </w:p>
    <w:p>
      <w:pPr>
        <w:keepNext w:val="0"/>
        <w:keepLines w:val="0"/>
        <w:kinsoku/>
        <w:wordWrap/>
        <w:overflowPunct/>
        <w:topLinePunct w:val="0"/>
        <w:bidi w:val="0"/>
        <w:adjustRightInd w:val="0"/>
        <w:snapToGrid w:val="0"/>
        <w:spacing w:line="360" w:lineRule="auto"/>
        <w:ind w:left="0" w:leftChars="0" w:right="0" w:rightChars="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 交货时间：乙方收到甲方书面供货通知之日45天内完成甲方供货通知内容要求的设备设施的供货。</w:t>
      </w:r>
    </w:p>
    <w:p>
      <w:pPr>
        <w:keepNext w:val="0"/>
        <w:keepLines w:val="0"/>
        <w:kinsoku/>
        <w:wordWrap/>
        <w:overflowPunct/>
        <w:topLinePunct w:val="0"/>
        <w:bidi w:val="0"/>
        <w:adjustRightInd w:val="0"/>
        <w:snapToGrid w:val="0"/>
        <w:spacing w:line="360" w:lineRule="auto"/>
        <w:ind w:left="0" w:leftChars="0" w:right="0" w:rightChars="0" w:firstLine="371" w:firstLineChars="177"/>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lang w:val="en-US" w:eastAsia="zh-CN"/>
        </w:rPr>
        <w:t>设备安装调试完成时间：在甲方书面供货通知内容要求的设备设施完成交货并通过初步验收后，乙方在接到甲方书面通知安装之日起</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天内完成设备设施的安装及调试等工作。</w:t>
      </w:r>
    </w:p>
    <w:p>
      <w:pPr>
        <w:keepNext w:val="0"/>
        <w:keepLines w:val="0"/>
        <w:kinsoku/>
        <w:wordWrap/>
        <w:overflowPunct/>
        <w:topLinePunct w:val="0"/>
        <w:bidi w:val="0"/>
        <w:adjustRightInd w:val="0"/>
        <w:snapToGrid w:val="0"/>
        <w:spacing w:line="360" w:lineRule="auto"/>
        <w:ind w:left="0" w:leftChars="0" w:right="0" w:rightChars="0" w:firstLine="371" w:firstLineChars="177"/>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2.3 </w:t>
      </w:r>
      <w:r>
        <w:rPr>
          <w:rFonts w:hint="eastAsia" w:ascii="宋体" w:hAnsi="宋体" w:eastAsia="宋体" w:cs="宋体"/>
          <w:color w:val="auto"/>
          <w:sz w:val="21"/>
          <w:szCs w:val="21"/>
          <w:highlight w:val="none"/>
          <w:lang w:val="en-US" w:eastAsia="zh-CN"/>
        </w:rPr>
        <w:t>交货地点、方式：交货地点为广东省东莞市南城街道宏北路16号水业大厦三楼。乙方负责供货设备运输及承担运输费用。</w:t>
      </w:r>
    </w:p>
    <w:p>
      <w:pPr>
        <w:keepNext w:val="0"/>
        <w:keepLines w:val="0"/>
        <w:kinsoku/>
        <w:wordWrap/>
        <w:overflowPunct/>
        <w:topLinePunct w:val="0"/>
        <w:bidi w:val="0"/>
        <w:adjustRightInd w:val="0"/>
        <w:snapToGrid w:val="0"/>
        <w:spacing w:line="360" w:lineRule="auto"/>
        <w:ind w:left="0" w:leftChars="0" w:right="0" w:rightChars="0" w:firstLine="371" w:firstLineChars="177"/>
        <w:rPr>
          <w:rFonts w:hint="default" w:ascii="宋体" w:hAnsi="宋体" w:eastAsia="宋体" w:cs="宋体"/>
          <w:color w:val="auto"/>
          <w:highlight w:val="none"/>
          <w:lang w:val="en-US" w:eastAsia="zh-CN"/>
        </w:rPr>
      </w:pPr>
      <w:r>
        <w:rPr>
          <w:rFonts w:hint="eastAsia" w:ascii="宋体" w:hAnsi="宋体" w:cs="宋体"/>
          <w:color w:val="auto"/>
          <w:sz w:val="21"/>
          <w:szCs w:val="21"/>
          <w:highlight w:val="none"/>
          <w:lang w:val="en-US" w:eastAsia="zh-CN"/>
        </w:rPr>
        <w:t xml:space="preserve">2.4 </w:t>
      </w:r>
      <w:r>
        <w:rPr>
          <w:rFonts w:hint="eastAsia" w:ascii="宋体" w:hAnsi="宋体" w:eastAsia="宋体" w:cs="宋体"/>
          <w:color w:val="auto"/>
          <w:sz w:val="21"/>
          <w:szCs w:val="21"/>
          <w:highlight w:val="none"/>
          <w:lang w:val="en-US" w:eastAsia="zh-CN"/>
        </w:rPr>
        <w:t>交货方式与风险承担：在货物经甲方最终验收合格前，货物的毁损、灭失的风险和责任均由乙方承担。</w:t>
      </w:r>
    </w:p>
    <w:p>
      <w:pPr>
        <w:keepNext w:val="0"/>
        <w:keepLines w:val="0"/>
        <w:kinsoku/>
        <w:wordWrap/>
        <w:overflowPunct/>
        <w:topLinePunct w:val="0"/>
        <w:bidi w:val="0"/>
        <w:adjustRightInd w:val="0"/>
        <w:snapToGrid w:val="0"/>
        <w:spacing w:line="360" w:lineRule="auto"/>
        <w:ind w:left="0" w:leftChars="0" w:right="0" w:rightChars="0" w:firstLine="371" w:firstLineChars="177"/>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lang w:val="en-US" w:eastAsia="zh-CN"/>
        </w:rPr>
        <w:t>甲方发出供货通知后，乙方未能按时完成或拒不向甲方提供水业大厦食堂设备设施供货、安装及调试等服务的（经甲方同意适当延长服务时间的除外），甲方将追究乙方的违约责任</w:t>
      </w:r>
      <w:r>
        <w:rPr>
          <w:rFonts w:hint="eastAsia" w:ascii="宋体" w:hAnsi="宋体" w:eastAsia="宋体" w:cs="宋体"/>
          <w:color w:val="auto"/>
          <w:sz w:val="21"/>
          <w:szCs w:val="21"/>
          <w:highlight w:val="none"/>
        </w:rPr>
        <w:t>。</w:t>
      </w:r>
    </w:p>
    <w:p>
      <w:pPr>
        <w:keepNext w:val="0"/>
        <w:keepLines w:val="0"/>
        <w:kinsoku/>
        <w:wordWrap/>
        <w:overflowPunct/>
        <w:topLinePunct w:val="0"/>
        <w:bidi w:val="0"/>
        <w:adjustRightInd w:val="0"/>
        <w:snapToGrid w:val="0"/>
        <w:spacing w:line="360" w:lineRule="auto"/>
        <w:ind w:left="0" w:leftChars="0" w:right="0" w:rightChars="0" w:firstLine="373" w:firstLineChars="177"/>
        <w:outlineLvl w:val="9"/>
        <w:rPr>
          <w:rFonts w:hint="eastAsia" w:ascii="宋体" w:hAnsi="宋体" w:eastAsia="宋体" w:cs="宋体"/>
          <w:b/>
          <w:color w:val="auto"/>
          <w:sz w:val="21"/>
          <w:szCs w:val="21"/>
          <w:highlight w:val="none"/>
          <w:lang w:val="en-US" w:eastAsia="zh-CN"/>
        </w:rPr>
      </w:pPr>
      <w:bookmarkStart w:id="382" w:name="_Toc152276126"/>
      <w:bookmarkStart w:id="383" w:name="_Toc15256"/>
      <w:bookmarkStart w:id="384" w:name="_Toc6901"/>
      <w:bookmarkStart w:id="385" w:name="_Hlk152510374"/>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条 合同价</w:t>
      </w:r>
      <w:bookmarkEnd w:id="381"/>
      <w:bookmarkEnd w:id="382"/>
      <w:bookmarkEnd w:id="383"/>
      <w:bookmarkEnd w:id="384"/>
      <w:r>
        <w:rPr>
          <w:rFonts w:hint="eastAsia" w:ascii="宋体" w:hAnsi="宋体" w:eastAsia="宋体" w:cs="宋体"/>
          <w:b/>
          <w:color w:val="auto"/>
          <w:sz w:val="21"/>
          <w:szCs w:val="21"/>
          <w:highlight w:val="none"/>
          <w:lang w:val="en-US" w:eastAsia="zh-CN"/>
        </w:rPr>
        <w:t>款</w:t>
      </w:r>
    </w:p>
    <w:p>
      <w:pPr>
        <w:pStyle w:val="22"/>
        <w:keepNext w:val="0"/>
        <w:keepLines w:val="0"/>
        <w:tabs>
          <w:tab w:val="left" w:pos="0"/>
        </w:tabs>
        <w:kinsoku/>
        <w:wordWrap/>
        <w:overflowPunct/>
        <w:topLinePunct w:val="0"/>
        <w:bidi w:val="0"/>
        <w:adjustRightInd w:val="0"/>
        <w:snapToGrid w:val="0"/>
        <w:spacing w:line="360" w:lineRule="auto"/>
        <w:ind w:left="0" w:leftChars="0" w:right="0" w:rightChars="0" w:firstLine="420"/>
        <w:textAlignment w:val="baseline"/>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.1 </w:t>
      </w:r>
      <w:r>
        <w:rPr>
          <w:rFonts w:hint="eastAsia" w:hAnsi="宋体" w:cs="宋体"/>
          <w:color w:val="auto"/>
          <w:szCs w:val="21"/>
          <w:highlight w:val="none"/>
        </w:rPr>
        <w:t>本合同价</w:t>
      </w:r>
      <w:r>
        <w:rPr>
          <w:rFonts w:hint="eastAsia" w:ascii="宋体" w:hAnsi="宋体" w:eastAsia="宋体" w:cs="宋体"/>
          <w:color w:val="auto"/>
          <w:sz w:val="21"/>
          <w:szCs w:val="21"/>
          <w:highlight w:val="none"/>
        </w:rPr>
        <w:t>（即销售额，不含销项税额）</w:t>
      </w:r>
      <w:r>
        <w:rPr>
          <w:rFonts w:hint="eastAsia" w:hAnsi="宋体" w:cs="宋体"/>
          <w:color w:val="auto"/>
          <w:sz w:val="21"/>
          <w:szCs w:val="21"/>
          <w:highlight w:val="none"/>
          <w:lang w:val="en-US" w:eastAsia="zh-CN"/>
        </w:rPr>
        <w:t>暂定</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元</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bookmarkEnd w:id="385"/>
      <w:r>
        <w:rPr>
          <w:rFonts w:hint="eastAsia" w:ascii="宋体" w:hAnsi="宋体" w:eastAsia="宋体" w:cs="宋体"/>
          <w:color w:val="auto"/>
          <w:sz w:val="21"/>
          <w:szCs w:val="21"/>
          <w:highlight w:val="none"/>
        </w:rPr>
        <w:t>依法计得并根据本合同约定确定的销项税额由甲方承担。根据《中华人民共和国增值税暂行条例》（国务院令第691号修订版）及当前税务部门的相关规定，本合同项目的增值税税率暂定为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，对应的暂定销项税额为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）。在本合同履行过程中，</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的增值税销项税额按实结算</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但</w:t>
      </w:r>
      <w:r>
        <w:rPr>
          <w:rFonts w:hint="eastAsia" w:ascii="宋体" w:hAnsi="宋体" w:eastAsia="宋体" w:cs="宋体"/>
          <w:color w:val="auto"/>
          <w:sz w:val="21"/>
          <w:szCs w:val="21"/>
          <w:highlight w:val="none"/>
        </w:rPr>
        <w:t>因乙方未</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合同约定</w:t>
      </w:r>
      <w:r>
        <w:rPr>
          <w:rFonts w:hint="eastAsia" w:ascii="宋体" w:hAnsi="宋体" w:eastAsia="宋体" w:cs="宋体"/>
          <w:color w:val="auto"/>
          <w:sz w:val="21"/>
          <w:szCs w:val="21"/>
          <w:highlight w:val="none"/>
          <w:lang w:val="en-US" w:eastAsia="zh-CN"/>
        </w:rPr>
        <w:t>时间完成供货、</w:t>
      </w:r>
      <w:r>
        <w:rPr>
          <w:rFonts w:hint="eastAsia" w:hAnsi="宋体" w:cs="宋体"/>
          <w:color w:val="auto"/>
          <w:sz w:val="21"/>
          <w:szCs w:val="21"/>
          <w:highlight w:val="none"/>
          <w:lang w:val="en-US" w:eastAsia="zh-CN"/>
        </w:rPr>
        <w:t>提供设备设施安装及调试服务、</w:t>
      </w:r>
      <w:r>
        <w:rPr>
          <w:rFonts w:hint="eastAsia" w:ascii="宋体" w:hAnsi="宋体" w:eastAsia="宋体" w:cs="宋体"/>
          <w:color w:val="auto"/>
          <w:sz w:val="21"/>
          <w:szCs w:val="21"/>
          <w:highlight w:val="none"/>
          <w:lang w:val="en-US" w:eastAsia="zh-CN"/>
        </w:rPr>
        <w:t>未根据合同约定提供合法、完整的请款资料、验收不合格导致的返工或退货、验收合格前的非正常损耗等原因导致销项税额增加的，相应损失由乙方承担。</w:t>
      </w:r>
    </w:p>
    <w:p>
      <w:pPr>
        <w:pStyle w:val="22"/>
        <w:keepNext w:val="0"/>
        <w:keepLines w:val="0"/>
        <w:tabs>
          <w:tab w:val="left" w:pos="0"/>
        </w:tabs>
        <w:kinsoku/>
        <w:wordWrap/>
        <w:overflowPunct/>
        <w:topLinePunct w:val="0"/>
        <w:bidi w:val="0"/>
        <w:adjustRightInd w:val="0"/>
        <w:snapToGrid w:val="0"/>
        <w:spacing w:line="360" w:lineRule="auto"/>
        <w:ind w:left="0" w:leftChars="0" w:right="0" w:rightChars="0" w:firstLine="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因乙方未按法定税率计算税额或未根据本合同约定出具对应税额的增值税专用发票等乙方原因导致</w:t>
      </w:r>
      <w:r>
        <w:rPr>
          <w:rFonts w:hint="eastAsia" w:ascii="宋体" w:hAnsi="宋体" w:eastAsia="宋体" w:cs="宋体"/>
          <w:color w:val="auto"/>
          <w:sz w:val="21"/>
          <w:szCs w:val="21"/>
          <w:highlight w:val="none"/>
        </w:rPr>
        <w:t>甲方多支付税额的，乙方必须退还甲方，给甲方造成损失的，乙方须向甲方赔偿相应损失。</w:t>
      </w:r>
    </w:p>
    <w:p>
      <w:pPr>
        <w:pStyle w:val="22"/>
        <w:keepNext w:val="0"/>
        <w:keepLines w:val="0"/>
        <w:tabs>
          <w:tab w:val="left" w:pos="0"/>
        </w:tabs>
        <w:kinsoku/>
        <w:wordWrap/>
        <w:overflowPunct/>
        <w:topLinePunct w:val="0"/>
        <w:bidi w:val="0"/>
        <w:adjustRightInd w:val="0"/>
        <w:snapToGrid w:val="0"/>
        <w:spacing w:line="360" w:lineRule="auto"/>
        <w:ind w:left="0" w:leftChars="0" w:right="0" w:rightChars="0" w:firstLine="420"/>
        <w:textAlignment w:val="baseline"/>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暂定合同价税合计为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）。合同履行期间根据本条第</w:t>
      </w:r>
      <w:r>
        <w:rPr>
          <w:rFonts w:hint="eastAsia" w:hAnsi="宋体" w:cs="宋体"/>
          <w:color w:val="auto"/>
          <w:sz w:val="21"/>
          <w:szCs w:val="21"/>
          <w:highlight w:val="none"/>
          <w:lang w:val="en-US" w:eastAsia="zh-CN"/>
        </w:rPr>
        <w:t>3.1</w:t>
      </w:r>
      <w:r>
        <w:rPr>
          <w:rFonts w:hint="eastAsia" w:ascii="宋体" w:hAnsi="宋体" w:eastAsia="宋体" w:cs="宋体"/>
          <w:color w:val="auto"/>
          <w:sz w:val="21"/>
          <w:szCs w:val="21"/>
          <w:highlight w:val="none"/>
        </w:rPr>
        <w:t>款规定调整销项税额的，结算合同价税合计对应调整。</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 合同范围内的设备设施不含税综合单价包括了乙方为完成招标文件和合同规定的全部工作所需支付的一切费用（乙方安装设备、设施期间的水、电费用由甲方承担），包括了甲方需就购买本合同项下货物及其服务所支付的全部价款，包括但不限于：</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合同项下所供货物及其配备的附件的设计（含配合甲方完成深化设计、土建装修及水电装修过程的跟踪及参与验收）、采购、制造、检测、检验、试验、包装、储存（含现场仓储）、运输（退换货运输）、送货、装卸（含二次搬运至甲方指定交货或仓储地点）、人工费、材料费、安装费、调试费、运费、乙方销项税额以外的税费、保险、质保期免费上门提供售后服务、培训、专用工具及备品备件、验收、技术服务的全部费用。未经甲方书面确认，乙方无权另行收取其它任何费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（2）货物及其工艺所有制造方、使用方应支付的对专有技术、专利权和版权、设计或其他知识产权而需要向其他方支付的版税；</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（3）验收时为达到相关标准而可能增加的、不合格货物更换、零配件更换等费用；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（4）甲方所在地及项目现场培训全过程（含会务、资料、培训方及非中文培训师的翻译、乙方和甲方可能涉及的所有费用）；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（5）设备备品备件（含零配件）、设备拆装维修所需特殊专用工具购置；</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（6）日常技术指导，免费的质保期保修服务，包括但不限于对设备的运行指导，免费维修、保修或更换配件，在设备出现严重故障、影响正常运行、修复有困难的情况下，对设备进行免费更换的费用；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（7）《分项报价明细表》及附表虽未列出，但根据设计图纸或为满足设计功能所必需的设备材料购置费；</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（8）合理利润、乙方销项税额以外的税费等；</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乙方需按照本项目图纸、满足厨房设计功能要求、本合同中以及甲方的要求完成设备设施供货及安装。若甲方未在招标文件、合同等文件中列出，但根据设计图纸或为满足设计功能，确保功能的实现所必需的设备材料，乙方应根据其已在投标文件中列出的内容提供设备设施及安装。如乙方未在投标文件中列出，乙方同意在项目实施过程中无条件及时提供，由此产生的费用包含在合同价中，乙方不得以此为由要求甲方增加费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在合同履行期间，若发现乙方投标文件更改、删除或遗漏了招标文件用户需求书设备设施采购清单内的项目或数量等情况时，并不能免除乙方按照图纸、标准与规范实施合同的任何责任，并将视为该项费用已包括在合同价内，甲方不另行向乙方支付费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（12）法律法规、商业公认、招标文件规定由乙方承担的其他费用。</w:t>
      </w:r>
      <w:bookmarkStart w:id="386" w:name="_Toc21225"/>
      <w:bookmarkStart w:id="387" w:name="_Toc13961"/>
      <w:bookmarkStart w:id="388" w:name="_Toc15024"/>
      <w:bookmarkStart w:id="389" w:name="_Toc152276127"/>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付款方式</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 合同履约过程中，乙方根据本合同约定需向甲方支付违约金、赔偿金、或其他应付费用等款项的，甲方有权要求乙方必须向甲方支付完前述款项后，甲方才根据本合同向乙方支付合同价和对应的税额，由此造成逾期付款的，甲方不构成违约；同时甲方有权启用履约担保或直接从未付合同款项、质量保证金中扣除前述款项，且乙方必须按照扣除前述款项前的合同价（销售额）开具增值税专用发票，保证增值税税额符合法律规定。</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 在达到以下付款条件时，甲方通过以下方式支付合同款项给乙方：</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全部货物到达交货地点并经甲方初步验收合格后，乙方按甲方要求向甲方提交请款报告及与合同价的50%等额、合法、有效的增值税专用发票，甲方在收到前述材料并确认无误后30个工作日内，支付合同价的50%及对应的税额给乙方，最终验收合格后，乙方按甲方要求向甲方提交请款报告及与结算合同价未支付价款（扣除已支付的50%合同价款）等额、合法、有效的增值税专用发票（支付本次合同款时，乙方需提供结算合同价未支付价款全额及其税额的增值税专用发票），甲方在收到前述材料并确认无误后30个工作日内，支付至结算合同价的95%及对应的税额给乙方，剩余结算合同价的5%及对应的税额作为质保金。</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保期满后，采购货物无任何质量问题且乙方按照本合同约定提供质保服务的，由乙方向甲方提交请款报告及原已出具的增值税专用发票复印件，经甲方确认无误后30个工作日内，无息支付质保金给乙方。如质保期内乙方未能按合同约定提供质保服务的，甲方有权从应付货款、质保金中扣减乙方依合同规定应付的违约金、赔偿金以及其他费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（3）乙方逾期提交请款资料及发票或提交资料、发票不符合甲方要求的，甲方付款时间顺延，并不承担逾期付款违约责任。由于乙方提供的发票不符合税法规定，给甲方造成的损失由乙方承担赔偿责任。</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（4）支付方式为银行转账或银行承兑汇票，汇票期限不超过三个月，每期款项支付方式由甲方决定。</w:t>
      </w:r>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第五条 合同组成</w:t>
      </w:r>
      <w:bookmarkEnd w:id="386"/>
      <w:bookmarkEnd w:id="387"/>
      <w:bookmarkEnd w:id="388"/>
      <w:bookmarkEnd w:id="389"/>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5.1 详细价格组成、技术说明及其它有关合同货物的特定信息可由合同附件说明。所有附件及本项目的招标文件、答疑文件、投标文件及相关承诺、协议等均为本合同不可分割之部分，与本合同同具法律效力，该等文件与本合同正文约定不一致的，以有利于甲方的约定为准。</w:t>
      </w:r>
      <w:bookmarkStart w:id="390" w:name="_Toc29217"/>
      <w:bookmarkStart w:id="391" w:name="_Toc152276128"/>
      <w:bookmarkStart w:id="392" w:name="_Toc10490"/>
      <w:bookmarkStart w:id="393" w:name="_Toc9148"/>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技术要求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 乙方在安装设备前应配合甲方完成厨房水电线路的设计，并配合优化相应设备布置图、电气安装图及厨房给排水施工图。</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 乙方应保证所提供货物均为采用合格材料和工艺制成的全新一手的未使用过的制造商原装产品（含零部件、配件、随机工具等），随机配备的所有配件必须为原厂原配，表面无划伤、无碰撞的痕迹，并完全符合甲方招标文件、用户需求书要求及乙方投标文件承诺的质量、规格标准；同时乙方所提供的货物，必须符合国家有关法律法规和环保、主管部门要求及甲方的技术要求，不存在侵犯第三人知识产权及其他合法权益的情况，否则甲方有权单方面解除本合同，并追究乙方的违约责任。</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6.3 乙方应配合项目验收工作，确保项目满足国家和所在地政府关于食品安全管理、消费安全管理和食堂卫生管理等各项规定要求，确保项目验收合格。</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6.4 乙方可以另行推荐设备设施的设计以及用于制作的材料，但须经甲方书面同意。乙方推荐的设计、制造、喷涂、检验、试验和包装应符合双方认可的制造规范及国家标准。</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6.5 乙方提供的货物及服务应满足附件4《用户需求书》中的技术要求。</w:t>
      </w:r>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质量保证和出厂试验</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 质量保证计划</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乙方应在设备开始制造之前对本合同提供的设备制造、运输、安装、调试制定质量保证计划，并在本合同签订之日起7日内提供书面的质量保证计划给甲方，质量保证计划为合同的组成部分，乙方必须遵守，并严格按照本合同及招标文件和ISO、ICE、GB标准</w:t>
      </w:r>
      <w:r>
        <w:rPr>
          <w:rFonts w:hint="default" w:ascii="宋体" w:hAnsi="宋体" w:eastAsia="宋体" w:cs="宋体"/>
          <w:color w:val="auto"/>
          <w:szCs w:val="21"/>
          <w:highlight w:val="none"/>
          <w:lang w:val="en-US" w:eastAsia="zh-CN"/>
        </w:rPr>
        <w:t>进行</w:t>
      </w:r>
      <w:r>
        <w:rPr>
          <w:rFonts w:hint="eastAsia" w:ascii="宋体" w:hAnsi="宋体" w:eastAsia="宋体" w:cs="宋体"/>
          <w:color w:val="auto"/>
          <w:szCs w:val="21"/>
          <w:highlight w:val="none"/>
          <w:lang w:val="en-US" w:eastAsia="zh-CN"/>
        </w:rPr>
        <w:t>。</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 由乙方供应的所有合同设备部件（包括外购），在生产过程中都须进行严格的测试和试验。所有测试、试验和总装（装配）必须有正式的记录文件。</w:t>
      </w:r>
    </w:p>
    <w:p>
      <w:pPr>
        <w:spacing w:line="360" w:lineRule="auto"/>
        <w:ind w:firstLine="420" w:firstLineChars="200"/>
        <w:rPr>
          <w:rFonts w:hint="eastAsia" w:ascii="宋体" w:hAnsi="宋体" w:eastAsia="宋体" w:cs="宋体"/>
          <w:bCs/>
          <w:szCs w:val="21"/>
        </w:rPr>
      </w:pPr>
      <w:r>
        <w:rPr>
          <w:rFonts w:hint="eastAsia" w:ascii="宋体" w:hAnsi="宋体" w:eastAsia="宋体" w:cs="宋体"/>
          <w:color w:val="auto"/>
          <w:szCs w:val="21"/>
          <w:highlight w:val="none"/>
          <w:lang w:val="en-US" w:eastAsia="zh-CN"/>
        </w:rPr>
        <w:t xml:space="preserve">7.3 </w:t>
      </w:r>
      <w:r>
        <w:rPr>
          <w:rFonts w:hint="eastAsia" w:ascii="宋体" w:hAnsi="宋体" w:eastAsia="宋体" w:cs="宋体"/>
          <w:bCs/>
          <w:szCs w:val="21"/>
        </w:rPr>
        <w:t>出厂前测试包括但不限于以下内容：a.启动；b.外观；c.设备运行状态；d.噪声dB（A）；e.其他。所有测试结果必须符合基本技术要求的规定和标准，否则合同设备设施将被认为不合格。工厂测试中的设备设施，如测试结果不符合基本技术要求的规格及性能参数，由乙方重新修整后再测试，直至设备设施符合基本技术要求的规格及性能参数为止。测试完成后，乙方应提供完整的测试报告一式四份供甲方备案。若甲方认为某项试验的条件、内容、程序、测量、记录和报告格式等任意一项不符合要求，甲方有权拒绝接受试验报告并要求重做该项试验。</w:t>
      </w:r>
    </w:p>
    <w:p>
      <w:pPr>
        <w:spacing w:line="360" w:lineRule="auto"/>
        <w:ind w:firstLine="420" w:firstLineChars="200"/>
        <w:rPr>
          <w:rFonts w:hint="eastAsia" w:ascii="宋体" w:hAnsi="宋体" w:eastAsia="宋体" w:cs="宋体"/>
          <w:szCs w:val="21"/>
        </w:rPr>
      </w:pPr>
      <w:r>
        <w:rPr>
          <w:rFonts w:hint="eastAsia" w:ascii="宋体" w:hAnsi="宋体" w:eastAsia="宋体" w:cs="宋体"/>
          <w:bCs/>
          <w:szCs w:val="21"/>
          <w:lang w:val="en-US" w:eastAsia="zh-CN"/>
        </w:rPr>
        <w:t xml:space="preserve">7.4 </w:t>
      </w:r>
      <w:r>
        <w:rPr>
          <w:rFonts w:hint="eastAsia" w:ascii="宋体" w:hAnsi="宋体" w:eastAsia="宋体" w:cs="宋体"/>
          <w:szCs w:val="21"/>
        </w:rPr>
        <w:t>出厂检验包括但不限于以下内容：a.外观检验；b.机械运行状态检验；c.振动检验；未通过出厂测试的设备将被认为不合格，甲方将不予接收，同时乙方应在不影响工程要求的里程碑时间内及时更换，并通过测试。</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7.5 乙方应当提供货物的质量检验单位出具的检验报告原件（检验报告合格）、产品合格证书、产品质量说明书。</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7.6 乙方应在本合同签订之日起10天内，整理《</w:t>
      </w:r>
      <w:r>
        <w:rPr>
          <w:rFonts w:hint="eastAsia" w:ascii="宋体" w:hAnsi="宋体" w:eastAsia="宋体" w:cs="宋体"/>
          <w:color w:val="auto"/>
          <w:szCs w:val="21"/>
          <w:highlight w:val="none"/>
          <w:lang w:val="zh-CN" w:eastAsia="zh-CN"/>
        </w:rPr>
        <w:t>分项报价明细表</w:t>
      </w:r>
      <w:r>
        <w:rPr>
          <w:rFonts w:hint="eastAsia" w:ascii="宋体" w:hAnsi="宋体" w:eastAsia="宋体" w:cs="宋体"/>
          <w:color w:val="auto"/>
          <w:szCs w:val="21"/>
          <w:highlight w:val="none"/>
          <w:lang w:val="en-US" w:eastAsia="zh-CN"/>
        </w:rPr>
        <w:t>》及附表中未选用招标文件参数和推荐品牌的货物情况，并将证明前述货物品质（性能）符合或相当于招标文件推荐品牌产品质量或招标文件要求的书面材料报甲方审核，经甲方及甲方委派的第三方审核后，认定前述货物的品质（性能）不满足招标文件要求的，甲方有权要求乙方对前述货物进行更换，更换货物后的价格调整，按如下原则处理：</w:t>
      </w:r>
    </w:p>
    <w:p>
      <w:pPr>
        <w:spacing w:line="360" w:lineRule="auto"/>
        <w:ind w:firstLine="420" w:firstLineChars="200"/>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①</w:t>
      </w:r>
      <w:r>
        <w:rPr>
          <w:rFonts w:hint="eastAsia" w:ascii="宋体" w:hAnsi="宋体" w:eastAsia="宋体" w:cs="宋体"/>
          <w:color w:val="auto"/>
          <w:szCs w:val="21"/>
          <w:highlight w:val="none"/>
          <w:lang w:val="en-US" w:eastAsia="zh-CN"/>
        </w:rPr>
        <w:t>经甲方及甲方委派的第三方审定、乙方确认后，更换后单个货物不含税价格高于《分项报价明细表》及附表中对应子目货物不含税价格的，甲方不予补偿，变更后单个货物不含税价格采用《分项报价明细表》及附表中对应子目货物不含税价格。</w:t>
      </w:r>
      <w:bookmarkStart w:id="394" w:name="_Toc152276154"/>
      <w:bookmarkStart w:id="395" w:name="_Toc21525"/>
      <w:bookmarkStart w:id="396" w:name="_Toc10866"/>
      <w:bookmarkStart w:id="397" w:name="_Toc7905"/>
    </w:p>
    <w:p>
      <w:pPr>
        <w:spacing w:line="360" w:lineRule="auto"/>
        <w:ind w:firstLine="420" w:firstLineChars="2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②</w:t>
      </w:r>
      <w:r>
        <w:rPr>
          <w:rFonts w:hint="eastAsia" w:ascii="宋体" w:hAnsi="宋体" w:eastAsia="宋体" w:cs="宋体"/>
          <w:color w:val="auto"/>
          <w:szCs w:val="21"/>
          <w:highlight w:val="none"/>
          <w:lang w:val="en-US" w:eastAsia="zh-CN"/>
        </w:rPr>
        <w:t>经甲方及甲方委派的第三方审定、乙方确认后，更换后单个货物不含税价格低于《分项报价明细表》及附表中对应子目货物不含税价格的，更换后单个货物不含税价格采用审定后不含税价格。</w:t>
      </w:r>
    </w:p>
    <w:bookmarkEnd w:id="394"/>
    <w:bookmarkEnd w:id="395"/>
    <w:bookmarkEnd w:id="396"/>
    <w:bookmarkEnd w:id="397"/>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7.7 货物出厂后，甲方有权对任何材料（或设备）在任何时间和地点进行检验和测试，由此产生的费用由乙方先行垫付。如果所检验和测试的材料（或设备）符合本合同（含附件）约定的质量规定，则检验和测试费用最终由甲方承担，反之则此费用由乙方承担。</w:t>
      </w:r>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施工安全及其他要求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 安全要求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（1）乙方在安装前需对安装人员做好施工安全培训、教育，施工期间严格执行有限空间作业、特种设备操作、用电安全等相关规范，并无条件接受甲方监督。</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（2）乙方应当采取有效的职业卫生防护措施，为安装人员配备必要的防护用品（安全帽、安全带、口罩等）。</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（3）安装人员需服从甲方管理，未经允许不能进入不相关的生产作业区。</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（4）安装作业期间，安装人员严禁打闹嬉戏、抽烟，严禁酒后工作。</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（5）安装作业期间，安装人员需穿戴好安全防护用品，如安全帽等。</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（6）甲方有权要求乙方对不称职安装人员进行更换，更换时间不超过2个工作日。</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（7）乙方必须为每位安装人员购买保险。</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（8）安装过程中出现的安全事故的责任由乙方自行承担。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 其他要求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（1）安装设备、工器具：由乙方自行解决。</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（2）安装用水、用电：甲方在本项目内提供水、电接入点，由乙方自行接入，乙方需做好用水、用电安全防护措施并无条件接受甲方监督。</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（3）乙方安装设备、设施期间产生的水、电费用由甲方承担。</w:t>
      </w:r>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包装、运输</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9.1 出厂前测试和出厂检验完成后乙方应按合同要求进行包装，并应考虑现场仓储的条件。乙方应按设备设施材料、设备类别进行装箱。本合同项下货物的包装均应有良好的防湿、防锈、防潮、防雨、防腐及防碰撞的措施，且货物的包装、运输方式均应符合国家及行业相关标准及规定。</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9.2 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9.3 每件包装箱内，应附有装箱单、产品合格证书、产品质量说明书以及甲方要求的其他合格证明文件或资料。所有包装箱上应正确地标上下列内容：a.合同号；b.设备及备件的名称、代号、型号、数量；c.设备安装地名称；d.通用的商务标志。内有危险品或易碎物品的包装箱应按当地或国际惯例对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9.4 各种设备的松散零星部件应采用可靠安全的包装方式，装入尺寸适当的</w:t>
      </w:r>
      <w:r>
        <w:rPr>
          <w:rStyle w:val="40"/>
          <w:rFonts w:hint="eastAsia" w:ascii="宋体" w:hAnsi="宋体" w:eastAsia="宋体" w:cs="宋体"/>
          <w:b w:val="0"/>
          <w:bCs w:val="0"/>
          <w:i w:val="0"/>
          <w:iCs w:val="0"/>
          <w:caps w:val="0"/>
          <w:color w:val="0D0D0D"/>
          <w:spacing w:val="0"/>
          <w:sz w:val="21"/>
          <w:szCs w:val="21"/>
          <w:shd w:val="clear" w:fill="FFFFFF"/>
          <w:lang w:val="en-US" w:eastAsia="zh-CN"/>
        </w:rPr>
        <w:t>包装物中</w:t>
      </w:r>
      <w:r>
        <w:rPr>
          <w:rFonts w:hint="eastAsia" w:ascii="宋体" w:hAnsi="宋体" w:eastAsia="宋体" w:cs="宋体"/>
          <w:color w:val="auto"/>
          <w:szCs w:val="21"/>
          <w:highlight w:val="none"/>
          <w:lang w:val="en-US" w:eastAsia="zh-CN"/>
        </w:rPr>
        <w:t>，并尽可能整车发运。栅格式箱子或类似的包装，只能用于盛装不至于被偷窃或被其他物品或雨水造成损坏的设备及零部件。</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9.5 凡设备上需涂油漆部分均需按规定进行处理，会腐蚀的未涂油漆的部分须用高熔点油脂或无酸牛脂或用其它保护剂涂抹，上述这些保护剂在设备安装期间或在安装后是易于抹去的。</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9.6 对所有设备应采取令甲方满意的恰当的防腐防损措施。所有设备的包装须经得起陆上或海上的运输、搬运和露天存放。乙方应对包装设备负责，使其到达目的地后完整无缺。在到达目的地后一年的适当存储期间不锈不蚀。</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9.7 按照甲方的要求，乙方应按时告知设备的运输情况。乙方应负责将合同所供设备运至甲方指定位置，包括到场设备搬卸和采取安全措施。设备相关运输、装卸、保险、关税（进口设备）等费用已包含在不含税合同综合单价中。</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9.8 乙方对任何甲方不予接收的存在缺损或不符合技术文件规定的设备或有关机件、附件，应立即运走，予以更换。</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9.9 本合同项下货物由于包装不良、运输方式不当或非法运输造成的事故、损失、行政处罚和由此产生的其他全部费用均由乙方全部承担。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9.10 运输过程中发生的货物毁损、灭失等所有相关风险由乙方自行承担。</w:t>
      </w:r>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保险</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10.1 乙方应负责为本合同项下所有货物购买足额的商业保险（包括但不限于财产险），投保的保险金额应不低于相应设备发票金额的110%，保险费已包含在不含税合同综合单价中。如因乙方未能投保或保险人不予承担相应责任而货物在经甲方验收合格前的运输、装卸等过程中发生毁损、灭失的风险由乙方自行承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10.2 一旦上述货物发生保险事故，乙方除依法向保险人请求赔偿保险金外，应继续依约按时向甲方提供满足本合同要求的货物，否则甲方有权按本合同第二十一条第一款的约定要求乙方承担违约责任。</w:t>
      </w:r>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货物的交付</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11.1 乙方将货物运输至甲方指定的交货地点、完好卸货后向甲方提供产品合格证书、产品质量说明书、出厂检验报告及送货单，乙方完成所有货物的安装及调试并经甲方书面确认最终验收合格后视为交付货物。货物交付给甲方正常使用前，若发生货物的毁损、灭失等情况的，全部责任由乙方予以承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 乙方应自行将货物运至交货地点交货。甲方根据整体项目进度的情况，有权提出对部分或全部货物提前或延迟交货，但应不迟于交货期限届满前7个自然日告知乙方，甲方无需另行支付任何费用。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11.3 乙方有义务配合甲方项目整体进度，对项目提供协助及配合。</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11.4 乙方所供货物应具备该类产品的功能要求，无瑕疵和缺陷，质量为合格产品，同时有明确的生产厂商或制造厂商。</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11.5 乙方所供货物必须是全新的，所有设备和材料运输到达项目场地时的包装必须是原厂完整的，由甲方签收后方可拆包安装。拆包时需由甲方、乙方在场，根据乙方提供的装箱清单进行开箱清点，如发现错装、短装及破损，由乙方负责处理。</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11.6 所有货物须满足国家及行业环保和质量标准。</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11.7 货物的规格、型号参数必须和清单要求一致。确因货物升级、停产、参数调整的情况，需经双方书面协商确定。</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11.8 乙方的货物应当按照甲方要求送到指定的地点，由于使用第三方送货服务导致货物未能经过双方共同验收、未送到指定地点仓库的，甲方有权拒绝收货。</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11.9 未经甲方同意，乙方或乙方委托的第三方送货服务仅将货物放置在门口/门卫室，而没有送货至甲方指定的地点的，视为乙方未履行送货义务，甲方有权拒绝接收货物且不予支付货款。上述情况下甲方不负保管责任，货物未按照甲方要求放置而造成的损毁、灭失风险概由乙方承担。</w:t>
      </w:r>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十二</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安装、调试</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12.1 安装、调试时，乙方应派专业技术人员（含制造商委派人员）到现场，人员要求如下：1、安装负责人1名，负责安装工程的计划、协调、人力调配及工程质量、安全管理等工作；2、安装现场技术负责人1名，负责技术，质量监督，安装现场测量，安装质量检查认可等。</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12.2 乙方有责任主持、并完成对每台合同设备的现场测试和调试。各项测试结果应符合基本技术要求的标准。</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 在货物安装、调试过程中，乙方应遵守甲方现场的管理规定，并遵守工程施工、安全生产、消防安全的有关管理规定，采取必要的安全防范措施，消除事故隐患，并随时接受甲方安全检查人员的监督检查。在乙方搬运、拆卸、安装、调试、验收过程中所产生的安全责任（包括但不限于对协助人员、安装人员、第三方所造成的财物毁损、人员损伤，以及防火、防电、防盗责任等），乙方应承担全部责任及费用，与甲方无关；如因此造成甲方损失的，乙方应承担赔偿责任。</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12.4 乙方负责安装、调试，并及时解决安装、调试中出现的乙方供货设备设施存在的任何问题，相关问题的解决时长不影响工期为原则，否则将视为乙方逾期交货，且甲方有权依据第二十一条第一款规定追究乙方逾期交货的责任。</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12.5 由于乙方（含制造商）技术服务人员对安装的疏忽和错误以及乙方未按要求派人指导而造成的直接损失应由乙方负责。造成甲方损失的，乙方需足额赔偿。</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12.6 现场调试和测试完成后，甲方和乙方将在测试报告上签字。如测试结果不符合基本技术要求的技术规格，乙方有责任更换该设备设施并承担由此引起的一切费用。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12.7 如果合同设备设施运输和安装调试过程中因事故造成货物短缺、损坏，乙方应及时安排换货，以保证合同设备设施安装调试的成功完成。换货的相关费用由乙方承担。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12.8 乙方应严格按照国家有关安全文明施工的标准与规范制定安全文明施工操作规程，配备必要的安全生产和劳动保护设施，加强对安装人员的安全教育培训，对他们的安全负责。</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12.9 乙方应对安装、调试的安全文明施工负责，采取有效的安全措施消除安全事故隐患，并接受和配合有关单位依法实施的监督检查。</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12.10 乙方应遵守国家有关环境保护、卫生监督的法律法规，采取有效措施，保证安装现场达到环境保护、卫生部门的管理要求，为现场乙方自有人员（含制造商委派人员）提供并维护卫生的生活设施，保持安装场地的清洁整齐。</w:t>
      </w:r>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十三</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验收</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13.1 验收分为货到交货地点的初步验收和最终验收。全部货物应符合甲方招标文件、用户需求书要求、乙方投标文件承诺的质量、规格标准及工程质量验收规范的规定，如果没有提及适用标准，则应符合国家标准或行业标准；如果没有相关标准的，则采用货物来源适用的官方标准。这些标准必须是有关机构发布的最新版本的标准。</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13.2 乙方负责在最终验收时将全部货物有关的产品说明书、原厂家安装手册、技术文件、资料，安装、验收报告等文档汇集成册交付甲方。</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13.3 初步验收：</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货物运抵交货地点后5个工作日内，甲方（含甲方委托的第三方）、乙方代表共同开箱验货。甲方按照本合同及招标文件、国家相关法律法规以及规范的要求等相关的规定，对货物的品种、品牌、产地、型号规格、数量、外观质量、资料等进行清点和全面的检验，并作详细的记录。</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初步验收如发现货物不符，或货物短缺、质次、损坏等问题，应作详细记录，且甲方有权拒绝收货，乙方应在收到甲方通知后3日内、无条件为甲方调换或补齐，调换或补齐后的货物，甲方有权按照本条有关验收的规定进行验收，由此产生的制造、修理和运费及保险费等费用均应由乙方承担，与甲方无关。</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（3）由于非甲方原因而引起的设备或部件的修理或更换的时间，如乙方按合同约定时间交货的，则不视为逾期交货，否则将视为乙方逾期交货，且甲方有权依据第二十一条第1款规定追究乙方逾期交货的责任。</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（4）乙方在初步验收试验工作完成后，应对甲方的人员进行理论、实操培训。</w:t>
      </w:r>
    </w:p>
    <w:p>
      <w:pPr>
        <w:spacing w:line="360" w:lineRule="auto"/>
        <w:ind w:firstLine="420" w:firstLineChars="200"/>
      </w:pPr>
      <w:r>
        <w:rPr>
          <w:rFonts w:hint="eastAsia" w:ascii="宋体" w:hAnsi="宋体" w:eastAsia="宋体" w:cs="宋体"/>
        </w:rPr>
        <w:t>（5）验收按国家有关的规定、规范进行，按照国家或行业的相关验收标准，根据基本技术要求中的规定，乙方应在合同设备装运前对设备进行测试。初步验收时如发现所交付的设备有短装、次品、损坏或其它不符合本合同规定之情形者，甲方应做出详尽的现场记录，或由甲方和乙方双方签署备忘录。此现场记录或备忘录可用作补充、缺失和更换损坏部件的有效证据。由此产生的有关费用由乙方承担。</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13.4 最终验收</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货物在完成安装、调试合格后，甲方、乙方对调试结果进行检验。乙方在货物安装、调试过程中，应做好详细的检验、测试记录和试验结果，检验结果应符合本合同及招标文件、国家相关法律法规以及规范的规定标准（当多个标准不一致时，以最高标准作为验收标准）。</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（2）最终验收由甲方主持，乙方参加。具体时间由甲方确定并提前通知乙方。</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（3）最终验收的内容包括合同设备的性能检查和零部件实际质量检查。</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（4）货物经甲方按上述约定验收符合全部要求，乙方移交完所有资料文档后，甲方向乙方出具书面的最终验收合格报告并由甲乙双方共同签字确认。</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13.5 由于非甲方原因而引起货物的修理或更换的时间，如乙方在甲方规定的时间内完成修理或更换的，则不视为逾期交货，否则将视为逾期交货。</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13.6 甲方根据本条规定对货物所做出的验收，仅作为起算付款及质保期之用，不为双方对于货物质量的最终认定。货物经最终验收合格后，乙方仍应在质保期内对产品质量承担保证责任。根据项目实际情况及甲方需求，甲方有权对所供应货物进行分批次安装与验收，乙方对此不提出任何异议，并无权要求甲方支付任何补偿或赔偿。</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13.7 货物在最终验收合格前，其损耗、毁损、灭失等风险及责任由乙方承担，如因发生前述情形，导致乙方所供应的货物不能通过甲方验收的，乙方应按甲方要求予以更换或退货。</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13.8 合同设备及设施由乙方交付使用后，如甲方与乙方对所交付的货物质量问题有分歧，或应甲方主管部门要求，甲方可委托具备资质的第三方检测机构对乙方所提供的货物进行检测，由此所需的一切费用由乙方承担。如出现货物经第三方检测机构出具不合格函或与投标文件中的货物不符，甲方有权拒绝验收。</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 w:val="21"/>
          <w:szCs w:val="21"/>
          <w:highlight w:val="none"/>
          <w:lang w:val="en-US" w:eastAsia="zh-CN"/>
        </w:rPr>
        <w:t>十四</w:t>
      </w:r>
      <w:r>
        <w:rPr>
          <w:rFonts w:hint="eastAsia" w:ascii="宋体" w:hAnsi="宋体" w:eastAsia="宋体" w:cs="宋体"/>
          <w:b/>
          <w:color w:val="auto"/>
          <w:szCs w:val="21"/>
          <w:highlight w:val="none"/>
        </w:rPr>
        <w:t xml:space="preserve">条 </w:t>
      </w:r>
      <w:r>
        <w:rPr>
          <w:rFonts w:hint="eastAsia" w:ascii="宋体" w:hAnsi="宋体" w:eastAsia="宋体" w:cs="宋体"/>
          <w:b/>
          <w:color w:val="auto"/>
          <w:szCs w:val="21"/>
          <w:highlight w:val="none"/>
          <w:lang w:val="en-US" w:eastAsia="zh-CN"/>
        </w:rPr>
        <w:t>设备</w:t>
      </w:r>
      <w:r>
        <w:rPr>
          <w:rFonts w:hint="eastAsia" w:ascii="宋体" w:hAnsi="宋体" w:eastAsia="宋体" w:cs="宋体"/>
          <w:b/>
          <w:color w:val="auto"/>
          <w:szCs w:val="21"/>
          <w:highlight w:val="none"/>
        </w:rPr>
        <w:t>变更</w:t>
      </w:r>
    </w:p>
    <w:p>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14.1 </w:t>
      </w:r>
      <w:r>
        <w:rPr>
          <w:rFonts w:hint="eastAsia" w:ascii="宋体" w:hAnsi="宋体" w:eastAsia="宋体" w:cs="宋体"/>
          <w:b w:val="0"/>
          <w:bCs/>
          <w:color w:val="auto"/>
          <w:sz w:val="21"/>
          <w:szCs w:val="21"/>
          <w:highlight w:val="none"/>
        </w:rPr>
        <w:t>本合同项下设备、材料、备品备件</w:t>
      </w:r>
      <w:r>
        <w:rPr>
          <w:rFonts w:hint="eastAsia" w:ascii="宋体" w:hAnsi="宋体" w:eastAsia="宋体" w:cs="宋体"/>
          <w:b w:val="0"/>
          <w:bCs/>
          <w:color w:val="auto"/>
          <w:sz w:val="21"/>
          <w:szCs w:val="21"/>
          <w:highlight w:val="none"/>
          <w:lang w:val="en-US" w:eastAsia="zh-CN"/>
        </w:rPr>
        <w:t>以及</w:t>
      </w:r>
      <w:r>
        <w:rPr>
          <w:rFonts w:hint="eastAsia" w:ascii="宋体" w:hAnsi="宋体" w:eastAsia="宋体" w:cs="宋体"/>
          <w:b w:val="0"/>
          <w:bCs/>
          <w:color w:val="auto"/>
          <w:sz w:val="21"/>
          <w:szCs w:val="21"/>
          <w:highlight w:val="none"/>
        </w:rPr>
        <w:t>安装等工作应</w:t>
      </w:r>
      <w:r>
        <w:rPr>
          <w:rFonts w:hint="eastAsia" w:ascii="宋体" w:hAnsi="宋体" w:eastAsia="宋体" w:cs="宋体"/>
          <w:b w:val="0"/>
          <w:bCs/>
          <w:color w:val="auto"/>
          <w:sz w:val="21"/>
          <w:szCs w:val="21"/>
          <w:highlight w:val="none"/>
          <w:lang w:val="en-US" w:eastAsia="zh-CN"/>
        </w:rPr>
        <w:t>符合</w:t>
      </w:r>
      <w:r>
        <w:rPr>
          <w:rFonts w:hint="eastAsia" w:ascii="宋体" w:hAnsi="宋体" w:eastAsia="宋体" w:cs="宋体"/>
          <w:b w:val="0"/>
          <w:bCs/>
          <w:color w:val="auto"/>
          <w:sz w:val="21"/>
          <w:szCs w:val="21"/>
          <w:highlight w:val="none"/>
        </w:rPr>
        <w:t>设计图纸或为满足设计功能所必需的所有内容，合同履行期间，如设备、材料、备品备件、安装等因设计图纸发生变化或因甲方要求</w:t>
      </w:r>
      <w:r>
        <w:rPr>
          <w:rFonts w:hint="eastAsia" w:ascii="宋体" w:hAnsi="宋体" w:eastAsia="宋体" w:cs="宋体"/>
          <w:b w:val="0"/>
          <w:bCs/>
          <w:color w:val="auto"/>
          <w:sz w:val="21"/>
          <w:szCs w:val="21"/>
          <w:highlight w:val="none"/>
          <w:lang w:val="en-US" w:eastAsia="zh-CN"/>
        </w:rPr>
        <w:t>增减而</w:t>
      </w:r>
      <w:r>
        <w:rPr>
          <w:rFonts w:hint="eastAsia" w:ascii="宋体" w:hAnsi="宋体" w:eastAsia="宋体" w:cs="宋体"/>
          <w:b w:val="0"/>
          <w:bCs/>
          <w:color w:val="auto"/>
          <w:sz w:val="21"/>
          <w:szCs w:val="21"/>
          <w:highlight w:val="none"/>
        </w:rPr>
        <w:t>需要</w:t>
      </w:r>
      <w:r>
        <w:rPr>
          <w:rFonts w:hint="eastAsia" w:ascii="宋体" w:hAnsi="宋体" w:eastAsia="宋体" w:cs="宋体"/>
          <w:b w:val="0"/>
          <w:bCs/>
          <w:color w:val="auto"/>
          <w:sz w:val="21"/>
          <w:szCs w:val="21"/>
          <w:highlight w:val="none"/>
          <w:lang w:val="en-US" w:eastAsia="zh-CN"/>
        </w:rPr>
        <w:t>变更的，或材质、型号、规格、参数、产地等特征发生变化的，</w:t>
      </w:r>
      <w:r>
        <w:rPr>
          <w:rFonts w:hint="eastAsia" w:ascii="宋体" w:hAnsi="宋体" w:eastAsia="宋体" w:cs="宋体"/>
          <w:b w:val="0"/>
          <w:bCs/>
          <w:color w:val="auto"/>
          <w:sz w:val="21"/>
          <w:szCs w:val="21"/>
          <w:highlight w:val="none"/>
        </w:rPr>
        <w:t>经甲方确认同意，应按规定进行变更。</w:t>
      </w:r>
    </w:p>
    <w:p>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14.2 设备变更价款的调整原则：</w:t>
      </w:r>
    </w:p>
    <w:p>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（1）《分项报价明细表》及附表中有适用于变更工作的子目货物时，变更后货物的单价采用该子目货物的价格。</w:t>
      </w:r>
    </w:p>
    <w:p>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（2）《分项报价明细表》及附表中无类似子目货物单价，则由甲方委托具有造价资质的第三方公司编制预算确定该类设备</w:t>
      </w:r>
      <w:r>
        <w:rPr>
          <w:rFonts w:hint="eastAsia" w:ascii="宋体" w:hAnsi="宋体" w:cs="宋体"/>
          <w:color w:val="000000" w:themeColor="text1"/>
          <w:szCs w:val="21"/>
          <w:highlight w:val="none"/>
          <w:lang w:val="en-US" w:eastAsia="zh-CN"/>
          <w14:textFill>
            <w14:solidFill>
              <w14:schemeClr w14:val="tx1"/>
            </w14:solidFill>
          </w14:textFill>
        </w:rPr>
        <w:t>设施</w:t>
      </w:r>
      <w:r>
        <w:rPr>
          <w:rFonts w:hint="eastAsia" w:ascii="宋体" w:hAnsi="宋体" w:eastAsia="宋体" w:cs="宋体"/>
          <w:color w:val="000000" w:themeColor="text1"/>
          <w:szCs w:val="21"/>
          <w:highlight w:val="none"/>
          <w:lang w:val="en-US" w:eastAsia="zh-CN"/>
          <w14:textFill>
            <w14:solidFill>
              <w14:schemeClr w14:val="tx1"/>
            </w14:solidFill>
          </w14:textFill>
        </w:rPr>
        <w:t>不含税综合单价，不含税预算综合单价经甲方确认并与乙方协商确定后，该类设备设施不含税综合单价以前述不含税预算综合单价乘以（乙方不含税投标总价÷不含税最高投标限价）计算。若乙方不同意按前述价格提供供货及安装服务的，甲方有权另行委托第三方供应设备，乙方不得以此为由要求甲方支付任何补偿或赔偿。</w:t>
      </w:r>
    </w:p>
    <w:p>
      <w:pPr>
        <w:spacing w:line="360" w:lineRule="auto"/>
        <w:ind w:firstLine="420" w:firstLineChars="200"/>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14.3 因设备变更引起乙方设备的附属费用（备品备件、安装、为满足功能所需的配套设备、材料等）已包含在变更设备的不含税综合单价中，甲方</w:t>
      </w:r>
      <w:r>
        <w:rPr>
          <w:rFonts w:hint="eastAsia" w:ascii="宋体" w:hAnsi="宋体" w:eastAsia="宋体" w:cs="宋体"/>
          <w:color w:val="auto"/>
          <w:szCs w:val="21"/>
          <w:highlight w:val="none"/>
          <w:lang w:val="en-US" w:eastAsia="zh-CN"/>
        </w:rPr>
        <w:t>不另行向乙方支付费用。</w:t>
      </w:r>
    </w:p>
    <w:p>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14.4 未经甲方确认并同意，乙方擅自对设备进行变更的，甲方有权要求乙方更换，并要求乙方承担违约责任</w:t>
      </w:r>
      <w:r>
        <w:rPr>
          <w:rFonts w:hint="eastAsia" w:ascii="宋体" w:hAnsi="宋体" w:eastAsia="宋体" w:cs="宋体"/>
          <w:b w:val="0"/>
          <w:bCs/>
          <w:color w:val="auto"/>
          <w:sz w:val="21"/>
          <w:szCs w:val="21"/>
          <w:highlight w:val="none"/>
        </w:rPr>
        <w:t>。</w:t>
      </w:r>
    </w:p>
    <w:p>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14.5 单一设备的变更不影响其他未变更设备的供货、验收，乙方不得以此为由怠慢或拒绝开展其他设备的供货或验收工作。</w:t>
      </w:r>
    </w:p>
    <w:p>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Cs/>
          <w:szCs w:val="21"/>
        </w:rPr>
        <w:t>1</w:t>
      </w:r>
      <w:r>
        <w:rPr>
          <w:rFonts w:ascii="宋体" w:hAnsi="宋体" w:eastAsia="宋体" w:cs="宋体"/>
          <w:bCs/>
          <w:szCs w:val="21"/>
        </w:rPr>
        <w:t xml:space="preserve">4.6 </w:t>
      </w:r>
      <w:r>
        <w:rPr>
          <w:rFonts w:hint="eastAsia" w:ascii="宋体" w:hAnsi="宋体" w:eastAsia="宋体" w:cs="宋体"/>
          <w:bCs/>
          <w:szCs w:val="21"/>
        </w:rPr>
        <w:t>《分项报价明细表》及附表虽未列出，但根据原设计图纸或为满足原设计功能所必需的设备材料购置不属于本条约定的设备变更。</w:t>
      </w:r>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十五</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权利保证</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15.1 乙方应保证合同项下提供的货物不侵犯任何第三方的专利、商标、版权以及其他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包括但不限于本合同所约定的总价款、甲方为维护自身权益所支付的律师费、诉讼费、鉴定费、差旅费、财产保全费等全部费用。</w:t>
      </w:r>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十六</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质量保证及售后服务</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16.1 乙方应以书面形式提供货物的质量保障承诺，该等承诺不应低于本合同约定的标准。乙方供货的质保期为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个月，质保期自本项目全部货物最终验收合格之日起算（以最终验收报告日期为准）。质保期内，乙方对本项目供货、安装质量进行免费保修，免费保修包括但不限于由乙方承担完成质保期的工作而产生的运费、购置费、测试费、人工费等各项费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16.2 在合同约定的质保期内，乙方承诺将在接到甲方的故障通知后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小时内响应，</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小时内到达项目现场进行维修等服务，且不得另行收取任何费用。质保期内出现货物质量问题，乙方在收到质量问题通知后三天内完成免费维修。乙方未能在上述期限内完成维修，或维修后仍然出现同类问题的，甲方有权要求更换或退货。</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16.3 甲方在使用货物时所遇技术问题，乙方应按甲方要求及时向甲方无偿提供技术指导服务。</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16.4 质保期内，甲方如发现货物的质量、材质、规格、性能、数量等不符合要求的，或发现货物无论于任何原因存在隐藏缺陷、工艺问题或使用不良的材料的，或出现其他质量问题的，乙方应在接到甲方通知后无条件进行更换或退货。</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16.5 甲方根据本合同的约定要求乙方更换货物的，乙方在收到甲方更换通知后3个工作日内无条件更换全新并符合本合同约定的货物或退货，同时应承担因此产生的全部费用并赔偿甲方因此遭受的损失，更换的货物的质保期应按本合同的相关约定重新计算。</w:t>
      </w:r>
    </w:p>
    <w:p>
      <w:pPr>
        <w:spacing w:line="360" w:lineRule="auto"/>
        <w:ind w:firstLine="420" w:firstLineChars="200"/>
        <w:rPr>
          <w:rFonts w:hint="eastAsia" w:ascii="宋体" w:hAnsi="宋体" w:eastAsia="宋体" w:cs="宋体"/>
          <w:szCs w:val="21"/>
        </w:rPr>
      </w:pPr>
      <w:r>
        <w:rPr>
          <w:rFonts w:hint="eastAsia" w:ascii="宋体" w:hAnsi="宋体" w:eastAsia="宋体" w:cs="宋体"/>
          <w:color w:val="auto"/>
          <w:szCs w:val="21"/>
          <w:highlight w:val="none"/>
          <w:lang w:val="en-US" w:eastAsia="zh-CN"/>
        </w:rPr>
        <w:t>16.6 乙方未按上述要求提供售后服务的，甲方有权要求其他第三方提供相关服务，因此产生的费用全部由乙方承担。</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szCs w:val="21"/>
        </w:rPr>
        <w:t>16.7 因本条款约定导致更换或退货的，所产生的全部费用由乙方承担。</w:t>
      </w:r>
    </w:p>
    <w:p>
      <w:pPr>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十七</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履约担保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17.1 </w:t>
      </w:r>
      <w:r>
        <w:rPr>
          <w:rFonts w:hint="eastAsia" w:ascii="宋体" w:hAnsi="宋体" w:eastAsia="宋体" w:cs="宋体"/>
          <w:color w:val="auto"/>
          <w:szCs w:val="21"/>
          <w:highlight w:val="none"/>
        </w:rPr>
        <w:t>乙方应当根据招标文件的规定在签订本合同前向甲方提供履约担保，履约担保形式及金额由乙方从以下方式中任选一种：</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履约保证金（银行转账形式）金额为¥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不可撤销银行履约保函金额为¥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履约保证保险凭证金额为¥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担保公司履约担保书金额为¥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17.2 </w:t>
      </w:r>
      <w:r>
        <w:rPr>
          <w:rFonts w:hint="eastAsia" w:ascii="宋体" w:hAnsi="宋体" w:eastAsia="宋体" w:cs="宋体"/>
          <w:color w:val="auto"/>
          <w:szCs w:val="21"/>
          <w:highlight w:val="none"/>
        </w:rPr>
        <w:t>履约担保用于补偿甲方因乙方不能完全履行其合同义务而蒙受的损失</w:t>
      </w:r>
      <w:r>
        <w:rPr>
          <w:rFonts w:hint="eastAsia" w:ascii="宋体" w:hAnsi="宋体" w:eastAsia="宋体" w:cs="宋体"/>
          <w:color w:val="auto"/>
          <w:kern w:val="0"/>
          <w:szCs w:val="21"/>
          <w:highlight w:val="none"/>
        </w:rPr>
        <w:t>或其他合同约定的事项</w:t>
      </w:r>
      <w:r>
        <w:rPr>
          <w:rFonts w:hint="eastAsia" w:ascii="宋体" w:hAnsi="宋体" w:eastAsia="宋体" w:cs="宋体"/>
          <w:color w:val="auto"/>
          <w:szCs w:val="21"/>
          <w:highlight w:val="none"/>
        </w:rPr>
        <w:t>。如发生下列任一情况时，甲方除有权依合同追究乙方违约责任外，</w:t>
      </w:r>
      <w:r>
        <w:rPr>
          <w:rFonts w:hint="eastAsia" w:ascii="宋体" w:hAnsi="宋体" w:eastAsia="宋体" w:cs="宋体"/>
          <w:color w:val="auto"/>
          <w:kern w:val="0"/>
          <w:szCs w:val="21"/>
          <w:highlight w:val="none"/>
        </w:rPr>
        <w:t>同时</w:t>
      </w:r>
      <w:r>
        <w:rPr>
          <w:rFonts w:hint="eastAsia" w:ascii="宋体" w:hAnsi="宋体" w:eastAsia="宋体" w:cs="宋体"/>
          <w:color w:val="auto"/>
          <w:szCs w:val="21"/>
          <w:highlight w:val="none"/>
        </w:rPr>
        <w:t>有权提取履约担保并进行相应处理：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（1）乙方将合同项下乙方的权利义务全部转让给第三方，或未经甲方书面同意将部分权利义务转让给第三方的，甲方有权没收其履约担保。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（2）在合同履行期间，乙方怠于履行合同义务，经甲方通知或要求承担违约金后仍拒不改正的，甲方可依法没收其履约担保。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（3）在合同履行期间，因乙方货物、服务质量问题造成损害、侵权损失（包括但不限于甲方经济损失、第三人人身财产损失等）、拖欠</w:t>
      </w:r>
      <w:r>
        <w:rPr>
          <w:rFonts w:hint="eastAsia" w:ascii="宋体" w:hAnsi="宋体" w:eastAsia="宋体" w:cs="宋体"/>
          <w:color w:val="auto"/>
          <w:szCs w:val="21"/>
          <w:highlight w:val="none"/>
          <w:lang w:val="en-US" w:eastAsia="zh-CN"/>
        </w:rPr>
        <w:t>第三方</w:t>
      </w:r>
      <w:r>
        <w:rPr>
          <w:rFonts w:hint="eastAsia" w:ascii="宋体" w:hAnsi="宋体" w:eastAsia="宋体" w:cs="宋体"/>
          <w:color w:val="auto"/>
          <w:szCs w:val="21"/>
          <w:highlight w:val="none"/>
        </w:rPr>
        <w:t>货款或与其所雇用员工发生劳资纠纷、上访、闹事或其他影响甲方生产经营等情况而其未及时妥善处理的，甲方有权使用履约担保予以支付或作出相应处理，由此产生的一切法律后果由乙方承担。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（4）在合同履行期间，乙方违约产生的违约金、赔偿、罚款或其他应付费用等款项，甲方有权直接从未付货物款项中扣除或使用履约担保予以支付。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（5）合同期内，乙方不能及时完成合同某项义务的，甲方有权使用履约担保用于处理该项工作。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（6）其他根据本合同约定或法律规定，甲方可使用履约担保的情形。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17.3 </w:t>
      </w:r>
      <w:r>
        <w:rPr>
          <w:rFonts w:hint="eastAsia" w:ascii="宋体" w:hAnsi="宋体" w:eastAsia="宋体" w:cs="宋体"/>
          <w:color w:val="auto"/>
          <w:kern w:val="0"/>
          <w:szCs w:val="21"/>
          <w:highlight w:val="none"/>
        </w:rPr>
        <w:t>乙方以履约保证金（银行转账形式）提供履约担保的，在合同期限届满并全部货物经最终验收合格二十八（28）日后经甲方确认，乙方可向甲方提交退回履约担保的</w:t>
      </w:r>
      <w:r>
        <w:rPr>
          <w:rFonts w:hint="eastAsia" w:ascii="宋体" w:hAnsi="宋体" w:eastAsia="宋体" w:cs="宋体"/>
          <w:color w:val="auto"/>
          <w:kern w:val="0"/>
          <w:szCs w:val="21"/>
          <w:highlight w:val="none"/>
          <w:lang w:val="en-US" w:eastAsia="zh-CN"/>
        </w:rPr>
        <w:t>书面</w:t>
      </w:r>
      <w:r>
        <w:rPr>
          <w:rFonts w:hint="eastAsia" w:ascii="宋体" w:hAnsi="宋体" w:eastAsia="宋体" w:cs="宋体"/>
          <w:color w:val="auto"/>
          <w:kern w:val="0"/>
          <w:szCs w:val="21"/>
          <w:highlight w:val="none"/>
        </w:rPr>
        <w:t>申请。甲方审核无异议后，办理履约担保退还手续，履约保证金形式提交的履约担保退回时一律以银行转账的形式无息退回到乙方的账户。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17.4 </w:t>
      </w:r>
      <w:r>
        <w:rPr>
          <w:rFonts w:hint="eastAsia" w:ascii="宋体" w:hAnsi="宋体" w:eastAsia="宋体" w:cs="宋体"/>
          <w:color w:val="auto"/>
          <w:szCs w:val="21"/>
          <w:highlight w:val="none"/>
        </w:rPr>
        <w:t>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后二十八（28）日内保持有效。如不可撤销银行履约保函或履约保证保险或担保公司履约担保书在规定有效期届满而货物尚未全部最终验收合格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17.5 </w:t>
      </w:r>
      <w:r>
        <w:rPr>
          <w:rFonts w:hint="eastAsia" w:ascii="宋体" w:hAnsi="宋体" w:eastAsia="宋体" w:cs="宋体"/>
          <w:color w:val="auto"/>
          <w:szCs w:val="21"/>
          <w:highlight w:val="none"/>
        </w:rPr>
        <w:t>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八</w:t>
      </w:r>
      <w:r>
        <w:rPr>
          <w:rFonts w:hint="eastAsia" w:ascii="宋体" w:hAnsi="宋体" w:eastAsia="宋体" w:cs="宋体"/>
          <w:b/>
          <w:color w:val="auto"/>
          <w:szCs w:val="21"/>
          <w:highlight w:val="none"/>
        </w:rPr>
        <w:t>条 技术资料</w:t>
      </w:r>
    </w:p>
    <w:p>
      <w:pPr>
        <w:spacing w:line="360" w:lineRule="auto"/>
        <w:ind w:firstLine="420" w:firstLineChars="200"/>
        <w:rPr>
          <w:rFonts w:hint="eastAsia" w:ascii="宋体" w:hAnsi="宋体" w:eastAsia="宋体" w:cs="宋体"/>
          <w:color w:val="auto"/>
          <w:szCs w:val="21"/>
          <w:highlight w:val="none"/>
          <w:lang w:val="en-US" w:eastAsia="zh-CN"/>
        </w:rPr>
      </w:pPr>
      <w:bookmarkStart w:id="398" w:name="_Toc12735"/>
      <w:r>
        <w:rPr>
          <w:rFonts w:hint="eastAsia" w:ascii="宋体" w:hAnsi="宋体" w:eastAsia="宋体" w:cs="宋体"/>
          <w:color w:val="auto"/>
          <w:szCs w:val="21"/>
          <w:highlight w:val="none"/>
          <w:lang w:val="en-US" w:eastAsia="zh-CN"/>
        </w:rPr>
        <w:t>18.1 乙方在本合同签订后5天内，根据现场实际情况及厨房设备设施采购清单提交厨房区的设备设施安装深化设计图纸及说明，提供的图纸须同时提供可编辑的电子文本。</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18.2 </w:t>
      </w:r>
      <w:r>
        <w:rPr>
          <w:rFonts w:hint="eastAsia" w:ascii="宋体" w:hAnsi="宋体" w:eastAsia="宋体" w:cs="宋体"/>
          <w:color w:val="auto"/>
          <w:szCs w:val="21"/>
          <w:highlight w:val="none"/>
        </w:rPr>
        <w:t>乙方需向甲方提供但不限于下述技术资料：</w:t>
      </w:r>
      <w:bookmarkEnd w:id="398"/>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（1）完整的装箱单、产品出厂检验合格证书（含主要元器件的出厂合格证）、出厂试验报告、检验报告（或测试性能、测试报告）；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（2）产品说明书；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（3）质量保证书、保修保证书；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）安装调试、维修、保养手册或招标文件用户需求书要求的技术资料；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）与货物使用、维护或检验等所需的相关其他文件；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）符合国家规定的验收标准、厂方标准及验收手册；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）甲方要求提供的其他检验检测报告等。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18.3 </w:t>
      </w:r>
      <w:r>
        <w:rPr>
          <w:rFonts w:hint="eastAsia" w:ascii="宋体" w:hAnsi="宋体" w:eastAsia="宋体" w:cs="宋体"/>
          <w:color w:val="auto"/>
          <w:szCs w:val="21"/>
          <w:highlight w:val="none"/>
        </w:rPr>
        <w:t>乙方需将上述资料以及其他甲方在使用货物过程中所需的技术资料（若上述资料为复印件的，则须加盖乙方公章）在</w:t>
      </w:r>
      <w:r>
        <w:rPr>
          <w:rFonts w:hint="eastAsia" w:ascii="宋体" w:hAnsi="宋体" w:eastAsia="宋体" w:cs="宋体"/>
          <w:color w:val="auto"/>
          <w:szCs w:val="21"/>
          <w:highlight w:val="none"/>
          <w:lang w:val="en-US" w:eastAsia="zh-CN"/>
        </w:rPr>
        <w:t>最终验收</w:t>
      </w:r>
      <w:r>
        <w:rPr>
          <w:rFonts w:hint="eastAsia" w:ascii="宋体" w:hAnsi="宋体" w:eastAsia="宋体" w:cs="宋体"/>
          <w:color w:val="auto"/>
          <w:szCs w:val="21"/>
          <w:highlight w:val="none"/>
        </w:rPr>
        <w:t>时交给甲方，有关资料的收集和整理由乙方负责，甲方予以配合。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18.4 </w:t>
      </w:r>
      <w:r>
        <w:rPr>
          <w:rFonts w:hint="eastAsia" w:ascii="宋体" w:hAnsi="宋体" w:eastAsia="宋体" w:cs="宋体"/>
          <w:color w:val="auto"/>
          <w:szCs w:val="21"/>
          <w:highlight w:val="none"/>
        </w:rPr>
        <w:t xml:space="preserve">乙方提供的货物必须达到招标文件用户需求书要求和投标文件承诺的质量标准。 </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十九</w:t>
      </w:r>
      <w:r>
        <w:rPr>
          <w:rFonts w:hint="eastAsia" w:ascii="宋体" w:hAnsi="宋体" w:eastAsia="宋体" w:cs="宋体"/>
          <w:b/>
          <w:color w:val="auto"/>
          <w:szCs w:val="21"/>
          <w:highlight w:val="none"/>
        </w:rPr>
        <w:t>条 不可抗力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19.1 </w:t>
      </w:r>
      <w:r>
        <w:rPr>
          <w:rFonts w:hint="eastAsia" w:ascii="宋体" w:hAnsi="宋体" w:eastAsia="宋体" w:cs="宋体"/>
          <w:color w:val="auto"/>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w:t>
      </w:r>
      <w:r>
        <w:rPr>
          <w:rFonts w:hint="eastAsia" w:ascii="宋体" w:hAnsi="宋体" w:eastAsia="宋体" w:cs="宋体"/>
          <w:color w:val="auto"/>
          <w:szCs w:val="21"/>
          <w:highlight w:val="none"/>
          <w:lang w:val="en-US" w:eastAsia="zh-CN"/>
        </w:rPr>
        <w:t>有效的书面</w:t>
      </w:r>
      <w:r>
        <w:rPr>
          <w:rFonts w:hint="eastAsia" w:ascii="宋体" w:hAnsi="宋体" w:eastAsia="宋体" w:cs="宋体"/>
          <w:color w:val="auto"/>
          <w:szCs w:val="21"/>
          <w:highlight w:val="none"/>
        </w:rPr>
        <w:t>证明文件。如果不可抗力事件发生后，乙方不能按甲方要求最迟交货期交货的，则甲方有权单方解除本合同并不承担任何责任。</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二十</w:t>
      </w:r>
      <w:r>
        <w:rPr>
          <w:rFonts w:hint="eastAsia" w:ascii="宋体" w:hAnsi="宋体" w:eastAsia="宋体" w:cs="宋体"/>
          <w:b/>
          <w:color w:val="auto"/>
          <w:szCs w:val="21"/>
          <w:highlight w:val="none"/>
        </w:rPr>
        <w:t>条 索赔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color w:val="auto"/>
          <w:szCs w:val="21"/>
          <w:highlight w:val="none"/>
        </w:rPr>
        <w:t>在货物验收、使用过程中，甲方如对货物（包括但不限于其规格、数量、质量等）有异议的，有权向乙方提出索赔，乙方应在甲方发出索赔通知后7日内作出答复，并与甲方现场确认货物的质量问题后进行理赔；</w:t>
      </w:r>
      <w:r>
        <w:rPr>
          <w:rFonts w:hint="eastAsia" w:ascii="宋体" w:hAnsi="宋体" w:eastAsia="宋体" w:cs="宋体"/>
          <w:color w:val="auto"/>
          <w:szCs w:val="21"/>
          <w:highlight w:val="none"/>
          <w:lang w:eastAsia="zh-Hans"/>
        </w:rPr>
        <w:t>乙方逾期在上述期限作出答复的，视为其同意甲方的索赔方案。</w:t>
      </w:r>
      <w:r>
        <w:rPr>
          <w:rFonts w:hint="eastAsia" w:ascii="宋体" w:hAnsi="宋体" w:eastAsia="宋体" w:cs="宋体"/>
          <w:color w:val="auto"/>
          <w:szCs w:val="21"/>
          <w:highlight w:val="none"/>
        </w:rPr>
        <w:t>乙方根据合同约定应承担更换或退货责任的，乙方应立即根据本合同的约定承担免费更换或退货责任。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20.2 </w:t>
      </w:r>
      <w:r>
        <w:rPr>
          <w:rFonts w:hint="eastAsia" w:ascii="宋体" w:hAnsi="宋体" w:eastAsia="宋体" w:cs="宋体"/>
          <w:color w:val="auto"/>
          <w:szCs w:val="21"/>
          <w:highlight w:val="none"/>
        </w:rPr>
        <w:t>如果乙方对甲方提出的异议及索赔负有责任，乙方应按照甲方同意的下列一种或多种方式解决索赔事宜：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（1）根据甲方要求予以退货，在甲方发出退货通知后</w:t>
      </w:r>
      <w:r>
        <w:rPr>
          <w:rFonts w:hint="eastAsia" w:ascii="宋体" w:hAnsi="宋体" w:eastAsia="宋体" w:cs="宋体"/>
          <w:color w:val="auto"/>
          <w:szCs w:val="21"/>
          <w:highlight w:val="none"/>
          <w:lang w:val="en-US" w:eastAsia="zh-CN"/>
        </w:rPr>
        <w:t>3个工作</w:t>
      </w:r>
      <w:r>
        <w:rPr>
          <w:rFonts w:hint="eastAsia" w:ascii="宋体" w:hAnsi="宋体" w:eastAsia="宋体" w:cs="宋体"/>
          <w:color w:val="auto"/>
          <w:szCs w:val="21"/>
          <w:highlight w:val="none"/>
        </w:rPr>
        <w:t>日内将退货货物运回，返还甲方已支付的全部货款（含合同价及税费），并承担因此产生的全部费用，以及赔偿因此给甲方造成的损失。</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（2）根据甲方要求承担货物的更换责任，乙方应于甲方发出更换通知后</w:t>
      </w:r>
      <w:r>
        <w:rPr>
          <w:rFonts w:hint="eastAsia" w:ascii="宋体" w:hAnsi="宋体" w:eastAsia="宋体" w:cs="宋体"/>
          <w:color w:val="auto"/>
          <w:szCs w:val="21"/>
          <w:highlight w:val="none"/>
          <w:lang w:val="en-US" w:eastAsia="zh-CN"/>
        </w:rPr>
        <w:t>3个工作</w:t>
      </w:r>
      <w:r>
        <w:rPr>
          <w:rFonts w:hint="eastAsia" w:ascii="宋体" w:hAnsi="宋体" w:eastAsia="宋体" w:cs="宋体"/>
          <w:color w:val="auto"/>
          <w:szCs w:val="21"/>
          <w:highlight w:val="none"/>
        </w:rPr>
        <w:t>日内更换全新并符合本合同的规定的货物，乙方应承担因此产生的全部费用并赔偿甲方因此遭受的损失，更换货物的质保期应按本合同的相关规定重新计算。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（3）当甲方损失无法计算时，乙方同意按</w:t>
      </w:r>
      <w:r>
        <w:rPr>
          <w:rFonts w:hint="eastAsia" w:ascii="宋体" w:hAnsi="宋体" w:eastAsia="宋体" w:cs="宋体"/>
          <w:color w:val="auto"/>
          <w:szCs w:val="21"/>
          <w:highlight w:val="none"/>
          <w:lang w:val="en-US" w:eastAsia="zh-CN"/>
        </w:rPr>
        <w:t>暂定</w:t>
      </w:r>
      <w:r>
        <w:rPr>
          <w:rFonts w:hint="eastAsia" w:ascii="宋体" w:hAnsi="宋体" w:eastAsia="宋体" w:cs="宋体"/>
          <w:color w:val="auto"/>
          <w:szCs w:val="21"/>
          <w:highlight w:val="none"/>
        </w:rPr>
        <w:t>合同价的20%计算赔偿金。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（4）如果在甲方发出索赔通知后30日内，乙方未作书面答复，上述索赔应视为已被乙方接受。甲方将启动履约担保支付或从</w:t>
      </w:r>
      <w:r>
        <w:rPr>
          <w:rFonts w:hint="eastAsia" w:ascii="宋体" w:hAnsi="宋体" w:eastAsia="宋体" w:cs="宋体"/>
          <w:color w:val="auto"/>
          <w:szCs w:val="21"/>
          <w:highlight w:val="none"/>
          <w:lang w:val="en-US" w:eastAsia="zh-CN"/>
        </w:rPr>
        <w:t>应付</w:t>
      </w:r>
      <w:r>
        <w:rPr>
          <w:rFonts w:hint="eastAsia" w:ascii="宋体" w:hAnsi="宋体" w:eastAsia="宋体" w:cs="宋体"/>
          <w:color w:val="auto"/>
          <w:szCs w:val="21"/>
          <w:highlight w:val="none"/>
        </w:rPr>
        <w:t>未付货款中扣除索赔金额。如果该等款项不足以补偿索赔金额，甲方有权向乙方提出不足部分的补偿。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（5）索赔金额、甲方损失以及因索赔所发生的费用，甲方有权启动履约担保支付或从</w:t>
      </w:r>
      <w:r>
        <w:rPr>
          <w:rFonts w:hint="eastAsia" w:ascii="宋体" w:hAnsi="宋体" w:eastAsia="宋体" w:cs="宋体"/>
          <w:color w:val="auto"/>
          <w:szCs w:val="21"/>
          <w:highlight w:val="none"/>
          <w:lang w:val="en-US" w:eastAsia="zh-CN"/>
        </w:rPr>
        <w:t>应付</w:t>
      </w:r>
      <w:r>
        <w:rPr>
          <w:rFonts w:hint="eastAsia" w:ascii="宋体" w:hAnsi="宋体" w:eastAsia="宋体" w:cs="宋体"/>
          <w:color w:val="auto"/>
          <w:szCs w:val="21"/>
          <w:highlight w:val="none"/>
        </w:rPr>
        <w:t>未付货款或质保金中直接扣除。</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二十一</w:t>
      </w:r>
      <w:r>
        <w:rPr>
          <w:rFonts w:hint="eastAsia" w:ascii="宋体" w:hAnsi="宋体" w:eastAsia="宋体" w:cs="宋体"/>
          <w:b/>
          <w:color w:val="auto"/>
          <w:szCs w:val="21"/>
          <w:highlight w:val="none"/>
        </w:rPr>
        <w:t>条 违约责任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21.1 </w:t>
      </w:r>
      <w:r>
        <w:rPr>
          <w:rFonts w:hint="eastAsia" w:ascii="宋体" w:hAnsi="宋体" w:eastAsia="宋体" w:cs="宋体"/>
          <w:color w:val="auto"/>
          <w:szCs w:val="21"/>
          <w:highlight w:val="none"/>
        </w:rPr>
        <w:t>乙方未在约定的时间内完成交货并经甲方</w:t>
      </w:r>
      <w:r>
        <w:rPr>
          <w:rFonts w:hint="eastAsia" w:ascii="宋体" w:hAnsi="宋体" w:eastAsia="宋体" w:cs="宋体"/>
          <w:color w:val="auto"/>
          <w:szCs w:val="21"/>
          <w:highlight w:val="none"/>
          <w:lang w:val="en-US" w:eastAsia="zh-CN"/>
        </w:rPr>
        <w:t>最终</w:t>
      </w:r>
      <w:r>
        <w:rPr>
          <w:rFonts w:hint="eastAsia" w:ascii="宋体" w:hAnsi="宋体" w:eastAsia="宋体" w:cs="宋体"/>
          <w:color w:val="auto"/>
          <w:szCs w:val="21"/>
          <w:highlight w:val="none"/>
        </w:rPr>
        <w:t>验收合格的，每逾期一日，应按人民币5000元/</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为标准向甲方支付违约金。乙方逾期超过</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日的，甲方有权单方解除本合同，除支付前述逾期违约金外，乙方还应按</w:t>
      </w:r>
      <w:r>
        <w:rPr>
          <w:rFonts w:hint="eastAsia" w:ascii="宋体" w:hAnsi="宋体" w:eastAsia="宋体" w:cs="宋体"/>
          <w:color w:val="auto"/>
          <w:szCs w:val="21"/>
          <w:highlight w:val="none"/>
          <w:lang w:val="en-US" w:eastAsia="zh-CN"/>
        </w:rPr>
        <w:t>暂定</w:t>
      </w:r>
      <w:r>
        <w:rPr>
          <w:rFonts w:hint="eastAsia" w:ascii="宋体" w:hAnsi="宋体" w:eastAsia="宋体" w:cs="宋体"/>
          <w:color w:val="auto"/>
          <w:szCs w:val="21"/>
          <w:highlight w:val="none"/>
        </w:rPr>
        <w:t>合同价的5%向甲方支付赔偿金。</w:t>
      </w:r>
      <w:r>
        <w:rPr>
          <w:rFonts w:hint="eastAsia" w:ascii="宋体" w:hAnsi="宋体" w:eastAsia="宋体" w:cs="宋体"/>
          <w:color w:val="auto"/>
          <w:szCs w:val="21"/>
          <w:highlight w:val="none"/>
          <w:lang w:val="en-US" w:eastAsia="zh-CN"/>
        </w:rPr>
        <w:t>因乙方原因导致甲方水业大厦食堂无法正常运营的，乙方应赔偿甲方因此造成的全部损失，</w:t>
      </w:r>
      <w:r>
        <w:rPr>
          <w:rFonts w:hint="eastAsia" w:ascii="宋体" w:hAnsi="宋体" w:eastAsia="宋体" w:cs="宋体"/>
          <w:color w:val="auto"/>
          <w:szCs w:val="21"/>
          <w:highlight w:val="none"/>
        </w:rPr>
        <w:t>该部分金额不足以弥补甲方损失的，甲方还有权另行追偿。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21.2 </w:t>
      </w:r>
      <w:r>
        <w:rPr>
          <w:rFonts w:hint="eastAsia" w:ascii="宋体" w:hAnsi="宋体" w:eastAsia="宋体" w:cs="宋体"/>
          <w:color w:val="auto"/>
          <w:szCs w:val="21"/>
          <w:highlight w:val="none"/>
        </w:rPr>
        <w:t>乙方所交货物（包括但不限于品种、型号、规格、质量、性能）不符合合同规定的，甲方有权拒收，并要求乙方免费予以更换或退货，同时乙方应向甲方支付该批货款金额的5%的违约金。乙方根据甲方的要求进行更换或退货后，向甲方移交的货物</w:t>
      </w:r>
      <w:r>
        <w:rPr>
          <w:rFonts w:hint="eastAsia" w:ascii="宋体" w:hAnsi="宋体" w:eastAsia="宋体" w:cs="宋体"/>
          <w:color w:val="auto"/>
          <w:szCs w:val="21"/>
          <w:highlight w:val="none"/>
          <w:lang w:val="en-US" w:eastAsia="zh-CN"/>
        </w:rPr>
        <w:t>仍</w:t>
      </w:r>
      <w:r>
        <w:rPr>
          <w:rFonts w:hint="eastAsia" w:ascii="宋体" w:hAnsi="宋体" w:eastAsia="宋体" w:cs="宋体"/>
          <w:color w:val="auto"/>
          <w:szCs w:val="21"/>
          <w:highlight w:val="none"/>
        </w:rPr>
        <w:t>不符合合同规定的，甲方有权拒收，并要求乙方免费予以更换或退货，乙方向甲方支付履约担保等额的违约金，甲方有权单方解除合同</w:t>
      </w:r>
      <w:r>
        <w:rPr>
          <w:rFonts w:hint="eastAsia" w:ascii="宋体" w:hAnsi="宋体" w:eastAsia="宋体" w:cs="宋体"/>
          <w:color w:val="auto"/>
          <w:szCs w:val="21"/>
          <w:highlight w:val="none"/>
          <w:lang w:eastAsia="zh-Hans"/>
        </w:rPr>
        <w:t>并按本</w:t>
      </w:r>
      <w:r>
        <w:rPr>
          <w:rFonts w:hint="eastAsia" w:ascii="宋体" w:hAnsi="宋体" w:eastAsia="宋体" w:cs="宋体"/>
          <w:color w:val="auto"/>
          <w:szCs w:val="21"/>
          <w:highlight w:val="none"/>
          <w:lang w:val="en-US" w:eastAsia="zh-CN"/>
        </w:rPr>
        <w:t>条</w:t>
      </w:r>
      <w:r>
        <w:rPr>
          <w:rFonts w:hint="eastAsia" w:ascii="宋体" w:hAnsi="宋体" w:eastAsia="宋体" w:cs="宋体"/>
          <w:color w:val="auto"/>
          <w:szCs w:val="21"/>
          <w:highlight w:val="none"/>
          <w:lang w:eastAsia="zh-Hans"/>
        </w:rPr>
        <w:t>第</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Hans"/>
        </w:rPr>
        <w:t>款的约定追究乙方逾期交货的</w:t>
      </w:r>
      <w:r>
        <w:rPr>
          <w:rFonts w:hint="eastAsia" w:ascii="宋体" w:hAnsi="宋体" w:eastAsia="宋体" w:cs="宋体"/>
          <w:color w:val="auto"/>
          <w:szCs w:val="21"/>
          <w:highlight w:val="none"/>
          <w:lang w:val="en-US" w:eastAsia="zh-CN"/>
        </w:rPr>
        <w:t>违约</w:t>
      </w:r>
      <w:r>
        <w:rPr>
          <w:rFonts w:hint="eastAsia" w:ascii="宋体" w:hAnsi="宋体" w:eastAsia="宋体" w:cs="宋体"/>
          <w:color w:val="auto"/>
          <w:szCs w:val="21"/>
          <w:highlight w:val="none"/>
          <w:lang w:eastAsia="zh-Hans"/>
        </w:rPr>
        <w:t>责任</w:t>
      </w:r>
      <w:r>
        <w:rPr>
          <w:rFonts w:hint="eastAsia" w:ascii="宋体" w:hAnsi="宋体" w:eastAsia="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21.3 乙方未按合同约定履行货物的更换、退货责任，或所提供的货物经甲方检验累计出现2次以上（含本数）不合格的情况，视为乙方未在约定的时间内完成交货并经甲方最终验收合格，将按照本条第</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款追究乙方违约责任。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21.4 乙方未在约定的时间内完成设备安装的，</w:t>
      </w:r>
      <w:r>
        <w:rPr>
          <w:rFonts w:hint="eastAsia" w:ascii="宋体" w:hAnsi="宋体" w:eastAsia="宋体" w:cs="宋体"/>
          <w:color w:val="auto"/>
          <w:szCs w:val="21"/>
          <w:highlight w:val="none"/>
        </w:rPr>
        <w:t>每逾期一日，应按人民币5000元/</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为标准向甲方支付违约金。乙方逾期超过</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日的，甲方有权单方解除本合同，除支付前述逾期违约金外，乙方还应按</w:t>
      </w:r>
      <w:r>
        <w:rPr>
          <w:rFonts w:hint="eastAsia" w:ascii="宋体" w:hAnsi="宋体" w:eastAsia="宋体" w:cs="宋体"/>
          <w:color w:val="auto"/>
          <w:szCs w:val="21"/>
          <w:highlight w:val="none"/>
          <w:lang w:val="en-US" w:eastAsia="zh-CN"/>
        </w:rPr>
        <w:t>暂定</w:t>
      </w:r>
      <w:r>
        <w:rPr>
          <w:rFonts w:hint="eastAsia" w:ascii="宋体" w:hAnsi="宋体" w:eastAsia="宋体" w:cs="宋体"/>
          <w:color w:val="auto"/>
          <w:szCs w:val="21"/>
          <w:highlight w:val="none"/>
        </w:rPr>
        <w:t>合同价的5%向甲方支付赔偿金。</w:t>
      </w:r>
      <w:r>
        <w:rPr>
          <w:rFonts w:hint="eastAsia" w:ascii="宋体" w:hAnsi="宋体" w:eastAsia="宋体" w:cs="宋体"/>
          <w:color w:val="auto"/>
          <w:szCs w:val="21"/>
          <w:highlight w:val="none"/>
          <w:lang w:val="en-US" w:eastAsia="zh-CN"/>
        </w:rPr>
        <w:t>因乙方原因导致甲方水业大厦食堂无法正常运营的，乙方应赔偿甲方因此造成的全部损失，</w:t>
      </w:r>
      <w:r>
        <w:rPr>
          <w:rFonts w:hint="eastAsia" w:ascii="宋体" w:hAnsi="宋体" w:eastAsia="宋体" w:cs="宋体"/>
          <w:color w:val="auto"/>
          <w:szCs w:val="21"/>
          <w:highlight w:val="none"/>
        </w:rPr>
        <w:t>该部分金额不足以弥补甲方损失的，甲方还有权另行追偿。</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21.5 乙方安装质量不符合要求的，甲方有权要求乙方返工，乙方未按要求返工或返工后质量仍不符合要求的，视为乙方未在约定的时间内完成设备安装，将按照本条第</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款追究乙方违约责任。</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21.6 乙方未在约定的时间内提交厨房区的设备设施安装深化设计</w:t>
      </w:r>
      <w:r>
        <w:rPr>
          <w:rFonts w:hint="eastAsia" w:ascii="宋体" w:hAnsi="宋体" w:eastAsia="宋体" w:cs="宋体"/>
          <w:color w:val="auto"/>
          <w:sz w:val="21"/>
          <w:szCs w:val="21"/>
          <w:highlight w:val="none"/>
          <w:lang w:val="en-US" w:eastAsia="zh-CN"/>
        </w:rPr>
        <w:t>资料的，</w:t>
      </w:r>
      <w:r>
        <w:rPr>
          <w:rFonts w:hint="eastAsia" w:ascii="宋体" w:hAnsi="宋体" w:eastAsia="宋体" w:cs="宋体"/>
          <w:color w:val="auto"/>
          <w:szCs w:val="21"/>
          <w:highlight w:val="none"/>
        </w:rPr>
        <w:t>每逾期一日，应按人民币</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000元/</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为标准向甲方支付违约金。乙方逾期超过</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val="en-US" w:eastAsia="zh-CN"/>
        </w:rPr>
        <w:t xml:space="preserve">5 </w:t>
      </w:r>
      <w:r>
        <w:rPr>
          <w:rFonts w:hint="eastAsia" w:ascii="宋体" w:hAnsi="宋体" w:eastAsia="宋体" w:cs="宋体"/>
          <w:color w:val="auto"/>
          <w:szCs w:val="21"/>
          <w:highlight w:val="none"/>
        </w:rPr>
        <w:t>日的，甲方有权单方解除本合同，除支付前述逾期违约金外，乙方还应按</w:t>
      </w:r>
      <w:r>
        <w:rPr>
          <w:rFonts w:hint="eastAsia" w:ascii="宋体" w:hAnsi="宋体" w:eastAsia="宋体" w:cs="宋体"/>
          <w:color w:val="auto"/>
          <w:szCs w:val="21"/>
          <w:highlight w:val="none"/>
          <w:lang w:val="en-US" w:eastAsia="zh-CN"/>
        </w:rPr>
        <w:t>暂定</w:t>
      </w:r>
      <w:r>
        <w:rPr>
          <w:rFonts w:hint="eastAsia" w:ascii="宋体" w:hAnsi="宋体" w:eastAsia="宋体" w:cs="宋体"/>
          <w:color w:val="auto"/>
          <w:szCs w:val="21"/>
          <w:highlight w:val="none"/>
        </w:rPr>
        <w:t>合同价的5%向甲方支付赔偿金。</w:t>
      </w:r>
      <w:r>
        <w:rPr>
          <w:rFonts w:hint="eastAsia" w:ascii="宋体" w:hAnsi="宋体" w:eastAsia="宋体" w:cs="宋体"/>
          <w:color w:val="auto"/>
          <w:szCs w:val="21"/>
          <w:highlight w:val="none"/>
          <w:lang w:val="en-US" w:eastAsia="zh-CN"/>
        </w:rPr>
        <w:t>因乙方原因导致甲方水业大厦食堂无法正常运营的，乙方应赔偿甲方因此造成的全部损失，</w:t>
      </w:r>
      <w:r>
        <w:rPr>
          <w:rFonts w:hint="eastAsia" w:ascii="宋体" w:hAnsi="宋体" w:eastAsia="宋体" w:cs="宋体"/>
          <w:color w:val="auto"/>
          <w:szCs w:val="21"/>
          <w:highlight w:val="none"/>
        </w:rPr>
        <w:t>该部分金额不足以弥补甲方损失的，甲方还有权另行追偿。</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21.7 乙方提交的厨房区的设备设施安装深化设计</w:t>
      </w:r>
      <w:r>
        <w:rPr>
          <w:rFonts w:hint="eastAsia" w:ascii="宋体" w:hAnsi="宋体" w:eastAsia="宋体" w:cs="宋体"/>
          <w:color w:val="auto"/>
          <w:sz w:val="21"/>
          <w:szCs w:val="21"/>
          <w:highlight w:val="none"/>
          <w:lang w:val="en-US" w:eastAsia="zh-CN"/>
        </w:rPr>
        <w:t>不符合甲方需求或技术规范，甲方有权要求乙方重新设计，乙方未按要求重新设计或重新设计后仍不符合要求的，</w:t>
      </w:r>
      <w:r>
        <w:rPr>
          <w:rFonts w:hint="eastAsia" w:ascii="宋体" w:hAnsi="宋体" w:eastAsia="宋体" w:cs="宋体"/>
          <w:color w:val="auto"/>
          <w:szCs w:val="21"/>
          <w:highlight w:val="none"/>
          <w:lang w:val="en-US" w:eastAsia="zh-CN"/>
        </w:rPr>
        <w:t>视为乙方未在约定的时间内提交厨房区的设备设施安装深化设计</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Cs w:val="21"/>
          <w:highlight w:val="none"/>
          <w:lang w:val="en-US" w:eastAsia="zh-CN"/>
        </w:rPr>
        <w:t>，将按照本条第</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款追究乙方违约责任。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21.8 </w:t>
      </w:r>
      <w:r>
        <w:rPr>
          <w:rFonts w:hint="eastAsia" w:ascii="宋体" w:hAnsi="宋体" w:eastAsia="宋体" w:cs="宋体"/>
          <w:color w:val="auto"/>
          <w:szCs w:val="21"/>
          <w:highlight w:val="none"/>
        </w:rPr>
        <w:t>乙方未按约定履行培训或售后服务义务的，甲方有权要求限期改正，如逾期仍未改正的，甲方有权单方解除合同，且剩余款项（含税额）无需再支付，同时甲方有权没收履约担保或质保金。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21.9 未经甲方书面同意，乙方擅自变更设备（包括但不限于材料、备件）的，甲方有权要求乙方按</w:t>
      </w:r>
      <w:r>
        <w:rPr>
          <w:rFonts w:hint="eastAsia" w:ascii="宋体" w:hAnsi="宋体" w:eastAsia="宋体" w:cs="宋体"/>
          <w:color w:val="auto"/>
          <w:szCs w:val="21"/>
          <w:highlight w:val="none"/>
        </w:rPr>
        <w:t>人民币5000元/</w:t>
      </w:r>
      <w:r>
        <w:rPr>
          <w:rFonts w:hint="eastAsia" w:ascii="宋体" w:hAnsi="宋体" w:eastAsia="宋体" w:cs="宋体"/>
          <w:color w:val="auto"/>
          <w:szCs w:val="21"/>
          <w:highlight w:val="none"/>
          <w:lang w:val="en-US" w:eastAsia="zh-CN"/>
        </w:rPr>
        <w:t>次为</w:t>
      </w:r>
      <w:r>
        <w:rPr>
          <w:rFonts w:hint="eastAsia" w:ascii="宋体" w:hAnsi="宋体" w:eastAsia="宋体" w:cs="宋体"/>
          <w:color w:val="auto"/>
          <w:szCs w:val="21"/>
          <w:highlight w:val="none"/>
        </w:rPr>
        <w:t>标准向甲方支付违约金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如因乙方擅自变更设备造成甲方损失的，甲方有权另行追偿</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21.10 </w:t>
      </w:r>
      <w:r>
        <w:rPr>
          <w:rFonts w:hint="eastAsia" w:ascii="宋体" w:hAnsi="宋体" w:eastAsia="宋体" w:cs="宋体"/>
          <w:color w:val="auto"/>
          <w:szCs w:val="21"/>
          <w:highlight w:val="none"/>
        </w:rPr>
        <w:t>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的，甲方有权单方解除合同，要求乙方按</w:t>
      </w:r>
      <w:r>
        <w:rPr>
          <w:rFonts w:hint="eastAsia" w:ascii="宋体" w:hAnsi="宋体" w:eastAsia="宋体" w:cs="宋体"/>
          <w:color w:val="auto"/>
          <w:szCs w:val="21"/>
          <w:highlight w:val="none"/>
          <w:lang w:val="en-US" w:eastAsia="zh-CN"/>
        </w:rPr>
        <w:t>暂定</w:t>
      </w:r>
      <w:r>
        <w:rPr>
          <w:rFonts w:hint="eastAsia" w:ascii="宋体" w:hAnsi="宋体" w:eastAsia="宋体" w:cs="宋体"/>
          <w:color w:val="auto"/>
          <w:szCs w:val="21"/>
          <w:highlight w:val="none"/>
        </w:rPr>
        <w:t>合同价的5%支付违约金或没收履约担保，并有权依法委托有资质的第三方继续履行本合同义务，由此造成的一切损失（包括但不限于再行采购的费用、委托第三人继续履行时超出本合同费用部分等）由乙方全部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21.11 </w:t>
      </w:r>
      <w:r>
        <w:rPr>
          <w:rFonts w:hint="eastAsia" w:ascii="宋体" w:hAnsi="宋体" w:eastAsia="宋体" w:cs="宋体"/>
          <w:color w:val="auto"/>
          <w:szCs w:val="21"/>
          <w:highlight w:val="none"/>
        </w:rPr>
        <w:t>甲方按本合同约定单方解除合同的，乙方应在收到单方解除合同书面通知之日起30日内与甲方共同确认已完成的供货量及金额，未经甲乙双方共同确认的供货量不得再要求结算。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21.12 </w:t>
      </w:r>
      <w:r>
        <w:rPr>
          <w:rFonts w:hint="eastAsia" w:ascii="宋体" w:hAnsi="宋体" w:eastAsia="宋体" w:cs="宋体"/>
          <w:color w:val="auto"/>
          <w:szCs w:val="21"/>
          <w:highlight w:val="none"/>
        </w:rPr>
        <w:t>乙方车辆在甲方项目</w:t>
      </w:r>
      <w:r>
        <w:rPr>
          <w:rFonts w:hint="eastAsia" w:ascii="宋体" w:hAnsi="宋体" w:eastAsia="宋体" w:cs="宋体"/>
          <w:color w:val="auto"/>
          <w:szCs w:val="21"/>
          <w:highlight w:val="none"/>
          <w:lang w:val="en-US" w:eastAsia="zh-CN"/>
        </w:rPr>
        <w:t>内</w:t>
      </w:r>
      <w:r>
        <w:rPr>
          <w:rFonts w:hint="eastAsia" w:ascii="宋体" w:hAnsi="宋体" w:eastAsia="宋体" w:cs="宋体"/>
          <w:color w:val="auto"/>
          <w:szCs w:val="21"/>
          <w:highlight w:val="none"/>
        </w:rPr>
        <w:t>行驶时，必须严格遵守</w:t>
      </w:r>
      <w:r>
        <w:rPr>
          <w:rFonts w:hint="eastAsia" w:ascii="宋体" w:hAnsi="宋体" w:eastAsia="宋体" w:cs="宋体"/>
          <w:color w:val="auto"/>
          <w:szCs w:val="21"/>
          <w:highlight w:val="none"/>
          <w:lang w:val="en-US" w:eastAsia="zh-CN"/>
        </w:rPr>
        <w:t>甲方项目</w:t>
      </w:r>
      <w:r>
        <w:rPr>
          <w:rFonts w:hint="eastAsia" w:ascii="宋体" w:hAnsi="宋体" w:eastAsia="宋体" w:cs="宋体"/>
          <w:color w:val="auto"/>
          <w:szCs w:val="21"/>
          <w:highlight w:val="none"/>
        </w:rPr>
        <w:t>道路限行，限速和限重要求，如因乙方未遵守前述要求，对</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/甲方（含其人员）、乙方人员、第三方造成损失的，</w:t>
      </w:r>
      <w:r>
        <w:rPr>
          <w:rFonts w:hint="eastAsia" w:ascii="宋体" w:hAnsi="宋体" w:eastAsia="宋体" w:cs="宋体"/>
          <w:color w:val="auto"/>
          <w:szCs w:val="21"/>
          <w:highlight w:val="none"/>
          <w:lang w:eastAsia="zh-Hans"/>
        </w:rPr>
        <w:t>因此产生</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Hans"/>
        </w:rPr>
        <w:t>相关法律责任均由乙方自行承担</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lang w:eastAsia="zh-Hans"/>
        </w:rPr>
      </w:pPr>
      <w:r>
        <w:rPr>
          <w:rFonts w:hint="eastAsia" w:ascii="宋体" w:hAnsi="宋体" w:eastAsia="宋体" w:cs="宋体"/>
          <w:color w:val="auto"/>
          <w:szCs w:val="21"/>
          <w:highlight w:val="none"/>
          <w:lang w:val="en-US" w:eastAsia="zh-CN"/>
        </w:rPr>
        <w:t xml:space="preserve">21.13 </w:t>
      </w:r>
      <w:r>
        <w:rPr>
          <w:rFonts w:hint="eastAsia" w:ascii="宋体" w:hAnsi="宋体" w:eastAsia="宋体" w:cs="宋体"/>
          <w:color w:val="auto"/>
          <w:szCs w:val="21"/>
          <w:highlight w:val="none"/>
          <w:lang w:eastAsia="zh-Hans"/>
        </w:rPr>
        <w:t>在本合同履行期限内，乙方未经甲方书面同意即将本合同约定项下的全部项目或部分项目转包给第三方的，甲方有权单方解除本合同且要求乙方按</w:t>
      </w:r>
      <w:r>
        <w:rPr>
          <w:rFonts w:hint="eastAsia" w:ascii="宋体" w:hAnsi="宋体" w:eastAsia="宋体" w:cs="宋体"/>
          <w:color w:val="auto"/>
          <w:szCs w:val="21"/>
          <w:highlight w:val="none"/>
          <w:lang w:val="en-US" w:eastAsia="zh-CN"/>
        </w:rPr>
        <w:t>暂定</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eastAsia="zh-Hans"/>
        </w:rPr>
        <w:t>的【20】%承担违约责任。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21.14 </w:t>
      </w:r>
      <w:r>
        <w:rPr>
          <w:rFonts w:hint="eastAsia" w:ascii="宋体" w:hAnsi="宋体" w:eastAsia="宋体" w:cs="宋体"/>
          <w:color w:val="auto"/>
          <w:szCs w:val="21"/>
          <w:highlight w:val="none"/>
        </w:rPr>
        <w:t>无论是否在质保期内，因货物质量问题发生安全事故或引起其他损失、造成不良后果的，乙方应承担全部责任及损失赔偿。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21.15 </w:t>
      </w:r>
      <w:r>
        <w:rPr>
          <w:rFonts w:hint="eastAsia" w:ascii="宋体" w:hAnsi="宋体" w:eastAsia="宋体" w:cs="宋体"/>
          <w:color w:val="auto"/>
          <w:szCs w:val="21"/>
          <w:highlight w:val="none"/>
          <w:lang w:eastAsia="zh-Hans"/>
        </w:rPr>
        <w:t>因乙方违反本合同约定产生的违约金、赔偿金或其他应付费用等款项的，甲方有权在未付合同款中直接扣除，如造成甲方损失，且实际损失高于违约金的，甲方有权另行追偿。</w:t>
      </w:r>
    </w:p>
    <w:p>
      <w:pPr>
        <w:keepNext w:val="0"/>
        <w:keepLines w:val="0"/>
        <w:kinsoku/>
        <w:wordWrap/>
        <w:overflowPunct/>
        <w:topLinePunct w:val="0"/>
        <w:bidi w:val="0"/>
        <w:adjustRightInd w:val="0"/>
        <w:snapToGrid w:val="0"/>
        <w:spacing w:line="360" w:lineRule="auto"/>
        <w:ind w:left="0" w:leftChars="0" w:right="0" w:rightChars="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21.16 </w:t>
      </w:r>
      <w:r>
        <w:rPr>
          <w:rFonts w:hint="eastAsia" w:ascii="宋体" w:hAnsi="宋体" w:eastAsia="宋体" w:cs="宋体"/>
          <w:color w:val="auto"/>
          <w:sz w:val="21"/>
          <w:szCs w:val="21"/>
          <w:highlight w:val="none"/>
        </w:rPr>
        <w:t>乙方不得拖欠第三方任何款项，否则，甲方有权从合同应付款中或启动履约担保直接支付给第三方。若造成甲方参加诉讼，相关费用（包括但不限于诉讼费、律师费、鉴定费、公证费、交通住宿费等全部费用）及损失全部由乙方承担，甲方有权在合同价款中直接扣除或启用履约担保予以支付。</w:t>
      </w:r>
    </w:p>
    <w:p>
      <w:pPr>
        <w:keepNext w:val="0"/>
        <w:keepLines w:val="0"/>
        <w:kinsoku/>
        <w:wordWrap/>
        <w:overflowPunct/>
        <w:topLinePunct w:val="0"/>
        <w:bidi w:val="0"/>
        <w:adjustRightInd w:val="0"/>
        <w:snapToGrid w:val="0"/>
        <w:spacing w:line="360" w:lineRule="auto"/>
        <w:ind w:left="0" w:leftChars="0" w:right="0" w:rightChars="0" w:firstLine="371" w:firstLineChars="177"/>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 xml:space="preserve">21.17 </w:t>
      </w:r>
      <w:r>
        <w:rPr>
          <w:rFonts w:hint="eastAsia" w:ascii="宋体" w:hAnsi="宋体" w:eastAsia="宋体" w:cs="宋体"/>
          <w:color w:val="auto"/>
          <w:sz w:val="21"/>
          <w:szCs w:val="21"/>
          <w:highlight w:val="none"/>
          <w:lang w:eastAsia="zh-Hans"/>
        </w:rPr>
        <w:t>因乙方违反本合同约定导致甲方权益受损的，甲方为维护自身权益所支付的所有费用（包括但不限于甲方为此支付的</w:t>
      </w:r>
      <w:r>
        <w:rPr>
          <w:rFonts w:hint="eastAsia" w:ascii="宋体" w:hAnsi="宋体" w:eastAsia="宋体" w:cs="宋体"/>
          <w:color w:val="auto"/>
          <w:sz w:val="21"/>
          <w:szCs w:val="21"/>
          <w:highlight w:val="none"/>
        </w:rPr>
        <w:t>诉讼费、律师费、鉴定费、公证费、交通住宿费等全部</w:t>
      </w:r>
      <w:r>
        <w:rPr>
          <w:rFonts w:hint="eastAsia" w:ascii="宋体" w:hAnsi="宋体" w:eastAsia="宋体" w:cs="宋体"/>
          <w:color w:val="auto"/>
          <w:sz w:val="21"/>
          <w:szCs w:val="21"/>
          <w:highlight w:val="none"/>
          <w:lang w:eastAsia="zh-Hans"/>
        </w:rPr>
        <w:t>费用）均由乙方承担。</w:t>
      </w:r>
    </w:p>
    <w:p>
      <w:pPr>
        <w:keepNext w:val="0"/>
        <w:keepLines w:val="0"/>
        <w:kinsoku/>
        <w:wordWrap/>
        <w:overflowPunct/>
        <w:topLinePunct w:val="0"/>
        <w:bidi w:val="0"/>
        <w:adjustRightInd w:val="0"/>
        <w:snapToGrid w:val="0"/>
        <w:spacing w:line="360" w:lineRule="auto"/>
        <w:ind w:left="0" w:leftChars="0" w:right="0" w:rightChars="0" w:firstLine="371" w:firstLineChars="177"/>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 xml:space="preserve">21.18 </w:t>
      </w:r>
      <w:r>
        <w:rPr>
          <w:rFonts w:hint="eastAsia" w:ascii="宋体" w:hAnsi="宋体" w:eastAsia="宋体" w:cs="宋体"/>
          <w:color w:val="auto"/>
          <w:sz w:val="21"/>
          <w:szCs w:val="21"/>
          <w:highlight w:val="none"/>
          <w:lang w:val="en-US" w:eastAsia="zh-Hans"/>
        </w:rPr>
        <w:t>乙方确认，</w:t>
      </w:r>
      <w:r>
        <w:rPr>
          <w:rFonts w:hint="eastAsia" w:ascii="宋体" w:hAnsi="宋体" w:eastAsia="宋体" w:cs="宋体"/>
          <w:color w:val="auto"/>
          <w:sz w:val="21"/>
          <w:szCs w:val="21"/>
          <w:highlight w:val="none"/>
          <w:lang w:val="en-US" w:eastAsia="zh-CN"/>
        </w:rPr>
        <w:t>设备设施</w:t>
      </w:r>
      <w:r>
        <w:rPr>
          <w:rFonts w:hint="eastAsia" w:ascii="宋体" w:hAnsi="宋体" w:eastAsia="宋体" w:cs="宋体"/>
          <w:color w:val="auto"/>
          <w:sz w:val="21"/>
          <w:szCs w:val="21"/>
          <w:highlight w:val="none"/>
          <w:lang w:val="en-US" w:eastAsia="zh-Hans"/>
        </w:rPr>
        <w:t>供应、乙方员工或劳务、安全事故、卫生安全事件等引致的付款请求或其他权利主张，由乙方负责承担和处理。如因乙方原因导致甲方被列为承担连带责任方或被上访单位，且相关生效判决/裁决判定甲方需向相关人员承担责任或基于维稳等原因导致甲方必须支付相关费用的，甲方在支付相关费用后有权从合同款中直接抵扣，且甲方因此发生的诉讼费、鉴定评估费、律师费、出具银行保函产生的费用、垫付款项利息损失（按中国人民银行同期贷款利率LPR的4倍计算）等全部损失，以及乙方应承担的违约金等，乙方亦同意由甲方在合同款中直接抵扣，如合同款不足以抵扣的，乙方还应另行向甲方支付。</w:t>
      </w:r>
    </w:p>
    <w:p>
      <w:pPr>
        <w:snapToGrid w:val="0"/>
        <w:spacing w:line="360" w:lineRule="auto"/>
        <w:ind w:firstLine="411" w:firstLineChars="19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二十二</w:t>
      </w:r>
      <w:r>
        <w:rPr>
          <w:rFonts w:hint="eastAsia" w:ascii="宋体" w:hAnsi="宋体" w:eastAsia="宋体" w:cs="宋体"/>
          <w:b/>
          <w:color w:val="auto"/>
          <w:sz w:val="21"/>
          <w:szCs w:val="21"/>
          <w:highlight w:val="none"/>
        </w:rPr>
        <w:t>条 廉政保证</w:t>
      </w:r>
    </w:p>
    <w:p>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22.1 </w:t>
      </w:r>
      <w:r>
        <w:rPr>
          <w:rFonts w:hint="eastAsia" w:ascii="宋体" w:hAnsi="宋体" w:eastAsia="宋体" w:cs="宋体"/>
          <w:color w:val="auto"/>
          <w:szCs w:val="21"/>
          <w:highlight w:val="none"/>
        </w:rPr>
        <w:t>乙方应确保其以及其指定的第三方、其自身所有雇员等</w:t>
      </w:r>
      <w:r>
        <w:rPr>
          <w:rFonts w:hint="eastAsia" w:ascii="宋体" w:hAnsi="宋体" w:eastAsia="宋体" w:cs="宋体"/>
          <w:color w:val="auto"/>
          <w:sz w:val="21"/>
          <w:szCs w:val="21"/>
          <w:highlight w:val="none"/>
        </w:rPr>
        <w:t>在本合同履行期间，应遵守甲方的各项政策和制度。甲方应当</w:t>
      </w:r>
      <w:r>
        <w:rPr>
          <w:rFonts w:hint="eastAsia" w:ascii="宋体" w:hAnsi="宋体" w:eastAsia="宋体" w:cs="宋体"/>
          <w:color w:val="auto"/>
          <w:sz w:val="21"/>
          <w:szCs w:val="21"/>
          <w:highlight w:val="none"/>
          <w:lang w:val="en-US" w:eastAsia="zh-CN"/>
        </w:rPr>
        <w:t>限</w:t>
      </w:r>
      <w:r>
        <w:rPr>
          <w:rFonts w:hint="eastAsia" w:ascii="宋体" w:hAnsi="宋体" w:eastAsia="宋体" w:cs="宋体"/>
          <w:color w:val="auto"/>
          <w:sz w:val="21"/>
          <w:szCs w:val="21"/>
          <w:highlight w:val="none"/>
        </w:rPr>
        <w:t>制乙方代表和雇员在甲方办公区域进出，</w:t>
      </w:r>
      <w:r>
        <w:rPr>
          <w:rFonts w:hint="eastAsia" w:ascii="宋体" w:hAnsi="宋体" w:eastAsia="宋体" w:cs="宋体"/>
          <w:color w:val="auto"/>
          <w:sz w:val="21"/>
          <w:szCs w:val="21"/>
          <w:highlight w:val="none"/>
          <w:lang w:val="en-US" w:eastAsia="zh-CN"/>
        </w:rPr>
        <w:t>乙方应始终遵守</w:t>
      </w:r>
      <w:r>
        <w:rPr>
          <w:rFonts w:hint="eastAsia" w:ascii="宋体" w:hAnsi="宋体" w:eastAsia="宋体" w:cs="宋体"/>
          <w:color w:val="auto"/>
          <w:sz w:val="21"/>
          <w:szCs w:val="21"/>
          <w:highlight w:val="none"/>
        </w:rPr>
        <w:t xml:space="preserve">甲方对于现场的人员进出及员工管理方面的要求。 </w:t>
      </w:r>
    </w:p>
    <w:p>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22.2 </w:t>
      </w:r>
      <w:r>
        <w:rPr>
          <w:rFonts w:hint="eastAsia" w:ascii="宋体" w:hAnsi="宋体" w:eastAsia="宋体" w:cs="宋体"/>
          <w:color w:val="auto"/>
          <w:sz w:val="21"/>
          <w:szCs w:val="21"/>
          <w:highlight w:val="none"/>
        </w:rPr>
        <w:t>乙方同意在本协议履行期间，遵守各项法律，特别是任何及所有反贿赂反腐败方面的法律。未经甲方事先</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授权，</w:t>
      </w:r>
      <w:r>
        <w:rPr>
          <w:rFonts w:hint="eastAsia" w:ascii="宋体" w:hAnsi="宋体" w:eastAsia="宋体" w:cs="宋体"/>
          <w:color w:val="auto"/>
          <w:szCs w:val="21"/>
          <w:highlight w:val="none"/>
        </w:rPr>
        <w:t>乙方应确保其以及其指定的第三方、其自身所有雇员等</w:t>
      </w:r>
      <w:r>
        <w:rPr>
          <w:rFonts w:hint="eastAsia" w:ascii="宋体" w:hAnsi="宋体" w:eastAsia="宋体" w:cs="宋体"/>
          <w:color w:val="auto"/>
          <w:sz w:val="21"/>
          <w:szCs w:val="21"/>
          <w:highlight w:val="none"/>
        </w:rPr>
        <w:t>均不得向与本项目相关的任何个人、政府或单位支付任何款项，也不得提供任何形式的便利、利益。</w:t>
      </w:r>
    </w:p>
    <w:p>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22.3 </w:t>
      </w: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甲乙双方自愿按附件</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 xml:space="preserve">格式签订《廉洁协议书》。 </w:t>
      </w:r>
    </w:p>
    <w:p>
      <w:pPr>
        <w:widowControl/>
        <w:snapToGrid w:val="0"/>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第二十</w:t>
      </w: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条 争议解决</w:t>
      </w:r>
    </w:p>
    <w:p>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23.1 </w:t>
      </w:r>
      <w:r>
        <w:rPr>
          <w:rFonts w:hint="eastAsia" w:ascii="宋体" w:hAnsi="宋体" w:eastAsia="宋体" w:cs="宋体"/>
          <w:color w:val="auto"/>
          <w:sz w:val="21"/>
          <w:szCs w:val="21"/>
          <w:highlight w:val="none"/>
        </w:rPr>
        <w:t xml:space="preserve">本合同在履行过程中若发生争议，甲、乙双方应首先通过友好协商的方式解决，协商不成的，双方同意将争议提交到甲方所在地有管辖权的人民法院通过诉讼的方式解决。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23.2 </w:t>
      </w:r>
      <w:r>
        <w:rPr>
          <w:rFonts w:hint="eastAsia" w:ascii="宋体" w:hAnsi="宋体" w:eastAsia="宋体" w:cs="宋体"/>
          <w:color w:val="auto"/>
          <w:szCs w:val="21"/>
          <w:highlight w:val="none"/>
        </w:rPr>
        <w:t>本合同中的甲方因追究乙方违约责任所产生的所有费用由乙方承担（包括但不限于诉讼费、财产保全费、担保费、公证费、评估费、鉴定费、律师费、差旅费、向第三人支付的赔偿款/违约金/费用、向政府部门支付的罚款等）。</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第二十</w:t>
      </w: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条 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24.1 </w:t>
      </w:r>
      <w:r>
        <w:rPr>
          <w:rFonts w:hint="eastAsia" w:ascii="宋体" w:hAnsi="宋体" w:eastAsia="宋体" w:cs="宋体"/>
          <w:color w:val="auto"/>
          <w:szCs w:val="21"/>
          <w:highlight w:val="none"/>
        </w:rPr>
        <w:t>基于乙方的专业特长，甲方代表对关于</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质量指标的确认、变更等，仅是程序性行为，并非就是对乙方</w:t>
      </w:r>
      <w:r>
        <w:rPr>
          <w:rFonts w:hint="eastAsia" w:ascii="宋体" w:hAnsi="宋体" w:eastAsia="宋体" w:cs="宋体"/>
          <w:color w:val="auto"/>
          <w:szCs w:val="21"/>
          <w:highlight w:val="none"/>
          <w:lang w:val="en-US" w:eastAsia="zh-CN"/>
        </w:rPr>
        <w:t>保证货物</w:t>
      </w:r>
      <w:r>
        <w:rPr>
          <w:rFonts w:hint="eastAsia" w:ascii="宋体" w:hAnsi="宋体" w:eastAsia="宋体" w:cs="宋体"/>
          <w:color w:val="auto"/>
          <w:szCs w:val="21"/>
          <w:highlight w:val="none"/>
        </w:rPr>
        <w:t>质量责任的免除，乙方仍要对所供的</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承担全部责任。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24.2 合同履约过程中，若发现同一种货物或服务存在有选择性的报价或不是固定的报价的，或存在多种理解方式的情况发生时，按最有利于甲方的方式解释。合同条款与附件、招标文件、用户需求书、投标文件等其他文件不一致的，以有利于甲方的条款为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24.3 乙方在签订本合同时，须与甲方签订附件三《安全生产管理协议》。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24.4 </w:t>
      </w:r>
      <w:r>
        <w:rPr>
          <w:rFonts w:hint="eastAsia" w:ascii="宋体" w:hAnsi="宋体" w:eastAsia="宋体" w:cs="宋体"/>
          <w:color w:val="auto"/>
          <w:sz w:val="21"/>
          <w:szCs w:val="21"/>
          <w:highlight w:val="none"/>
        </w:rPr>
        <w:t>本合同原件一式【  】份，甲方执【伍】份、乙方执【   】份，</w:t>
      </w:r>
      <w:r>
        <w:rPr>
          <w:rFonts w:hint="eastAsia" w:ascii="宋体" w:hAnsi="宋体" w:eastAsia="宋体" w:cs="宋体"/>
          <w:kern w:val="0"/>
          <w:szCs w:val="21"/>
        </w:rPr>
        <w:t>招标代理机构执</w:t>
      </w:r>
      <w:r>
        <w:rPr>
          <w:rFonts w:hint="eastAsia" w:ascii="宋体" w:hAnsi="宋体" w:eastAsia="宋体" w:cs="宋体"/>
          <w:kern w:val="0"/>
          <w:szCs w:val="21"/>
          <w:u w:val="single"/>
          <w:lang w:eastAsia="zh-CN"/>
        </w:rPr>
        <w:t>【</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lang w:eastAsia="zh-CN"/>
        </w:rPr>
        <w:t>】</w:t>
      </w:r>
      <w:r>
        <w:rPr>
          <w:rFonts w:hint="eastAsia" w:ascii="宋体" w:hAnsi="宋体" w:eastAsia="宋体" w:cs="宋体"/>
          <w:kern w:val="0"/>
          <w:szCs w:val="21"/>
        </w:rPr>
        <w:t>份</w:t>
      </w:r>
      <w:r>
        <w:rPr>
          <w:rFonts w:hint="eastAsia" w:ascii="宋体" w:hAnsi="宋体" w:eastAsia="宋体" w:cs="宋体"/>
          <w:kern w:val="0"/>
          <w:szCs w:val="21"/>
          <w:lang w:eastAsia="zh-CN"/>
        </w:rPr>
        <w:t>，</w:t>
      </w:r>
      <w:r>
        <w:rPr>
          <w:rFonts w:hint="eastAsia" w:ascii="宋体" w:hAnsi="宋体" w:eastAsia="宋体" w:cs="宋体"/>
          <w:color w:val="auto"/>
          <w:sz w:val="21"/>
          <w:szCs w:val="21"/>
          <w:highlight w:val="none"/>
        </w:rPr>
        <w:t>各份具有同等的法律效力。合同自甲乙双方法定代表人</w:t>
      </w:r>
      <w:r>
        <w:rPr>
          <w:rFonts w:hint="eastAsia" w:ascii="宋体" w:hAnsi="宋体" w:eastAsia="宋体" w:cs="宋体"/>
          <w:color w:val="auto"/>
          <w:sz w:val="21"/>
          <w:szCs w:val="21"/>
          <w:highlight w:val="none"/>
          <w:lang w:val="en-US" w:eastAsia="zh-CN"/>
        </w:rPr>
        <w:t>或负责人</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en-US" w:eastAsia="zh-CN"/>
        </w:rPr>
        <w:t>委托代理人</w:t>
      </w:r>
      <w:r>
        <w:rPr>
          <w:rFonts w:hint="eastAsia" w:ascii="宋体" w:hAnsi="宋体" w:eastAsia="宋体" w:cs="宋体"/>
          <w:color w:val="auto"/>
          <w:sz w:val="21"/>
          <w:szCs w:val="21"/>
          <w:highlight w:val="none"/>
        </w:rPr>
        <w:t>签字并盖章之日起生效。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：《分项报价明细表》及附表；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附件</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廉洁协议书；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附件</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安全生产管理协议；</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附件</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设备到货验收表</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附件5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用户需求书</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附件6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供货、安装时间承诺表；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附件</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：质保期、维修响应时间承诺表；</w:t>
      </w:r>
    </w:p>
    <w:bookmarkEnd w:id="390"/>
    <w:bookmarkEnd w:id="391"/>
    <w:bookmarkEnd w:id="392"/>
    <w:bookmarkEnd w:id="393"/>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widowControl/>
        <w:snapToGrid w:val="0"/>
        <w:spacing w:line="360" w:lineRule="auto"/>
        <w:outlineLvl w:val="9"/>
        <w:rPr>
          <w:rFonts w:hint="eastAsia" w:ascii="宋体" w:hAnsi="宋体" w:eastAsia="宋体" w:cs="宋体"/>
          <w:sz w:val="21"/>
          <w:szCs w:val="21"/>
          <w:highlight w:val="none"/>
        </w:rPr>
      </w:pPr>
      <w:bookmarkStart w:id="399" w:name="_Toc240960218"/>
      <w:bookmarkStart w:id="400" w:name="_Toc106871647"/>
      <w:bookmarkStart w:id="401" w:name="_Toc259654975"/>
      <w:bookmarkStart w:id="402" w:name="_Toc12236"/>
      <w:bookmarkStart w:id="403" w:name="_Toc152276165"/>
      <w:bookmarkStart w:id="404" w:name="_Toc11658"/>
      <w:bookmarkStart w:id="405" w:name="_Toc6505"/>
      <w:bookmarkStart w:id="406" w:name="_Toc528674890"/>
      <w:bookmarkStart w:id="407" w:name="_Toc89552412"/>
      <w:r>
        <w:rPr>
          <w:rFonts w:hint="eastAsia" w:ascii="宋体" w:hAnsi="宋体" w:eastAsia="宋体" w:cs="宋体"/>
          <w:b/>
          <w:bCs/>
          <w:sz w:val="21"/>
          <w:szCs w:val="21"/>
          <w:highlight w:val="none"/>
        </w:rPr>
        <w:t>（以下无正文</w:t>
      </w:r>
      <w:r>
        <w:rPr>
          <w:rFonts w:hint="eastAsia" w:ascii="宋体" w:hAnsi="宋体" w:eastAsia="宋体" w:cs="宋体"/>
          <w:b/>
          <w:bCs/>
          <w:sz w:val="21"/>
          <w:szCs w:val="21"/>
          <w:highlight w:val="none"/>
          <w:lang w:val="en-US" w:eastAsia="zh-CN"/>
        </w:rPr>
        <w:t>内容</w:t>
      </w:r>
      <w:r>
        <w:rPr>
          <w:rFonts w:hint="eastAsia" w:ascii="宋体" w:hAnsi="宋体" w:eastAsia="宋体" w:cs="宋体"/>
          <w:b/>
          <w:bCs/>
          <w:sz w:val="21"/>
          <w:szCs w:val="21"/>
          <w:highlight w:val="none"/>
        </w:rPr>
        <w:t>为签字</w:t>
      </w:r>
      <w:r>
        <w:rPr>
          <w:rFonts w:hint="eastAsia" w:ascii="宋体" w:hAnsi="宋体" w:eastAsia="宋体" w:cs="宋体"/>
          <w:b/>
          <w:bCs/>
          <w:sz w:val="21"/>
          <w:szCs w:val="21"/>
          <w:highlight w:val="none"/>
          <w:lang w:val="en-US" w:eastAsia="zh-CN"/>
        </w:rPr>
        <w:t>盖章页</w:t>
      </w:r>
      <w:r>
        <w:rPr>
          <w:rFonts w:hint="eastAsia" w:ascii="宋体" w:hAnsi="宋体" w:eastAsia="宋体" w:cs="宋体"/>
          <w:b/>
          <w:bCs/>
          <w:sz w:val="21"/>
          <w:szCs w:val="21"/>
          <w:highlight w:val="none"/>
        </w:rPr>
        <w:t>）</w:t>
      </w:r>
    </w:p>
    <w:tbl>
      <w:tblPr>
        <w:tblStyle w:val="37"/>
        <w:tblW w:w="0" w:type="auto"/>
        <w:jc w:val="center"/>
        <w:tblLayout w:type="fixed"/>
        <w:tblCellMar>
          <w:top w:w="0" w:type="dxa"/>
          <w:left w:w="108" w:type="dxa"/>
          <w:bottom w:w="0" w:type="dxa"/>
          <w:right w:w="108" w:type="dxa"/>
        </w:tblCellMar>
      </w:tblPr>
      <w:tblGrid>
        <w:gridCol w:w="4670"/>
        <w:gridCol w:w="454"/>
        <w:gridCol w:w="4253"/>
      </w:tblGrid>
      <w:tr>
        <w:tblPrEx>
          <w:tblCellMar>
            <w:top w:w="0" w:type="dxa"/>
            <w:left w:w="108" w:type="dxa"/>
            <w:bottom w:w="0" w:type="dxa"/>
            <w:right w:w="108" w:type="dxa"/>
          </w:tblCellMar>
        </w:tblPrEx>
        <w:trPr>
          <w:jc w:val="center"/>
        </w:trPr>
        <w:tc>
          <w:tcPr>
            <w:tcW w:w="4670"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甲方（盖章）：</w:t>
            </w:r>
            <w:r>
              <w:rPr>
                <w:rFonts w:hint="eastAsia" w:ascii="宋体" w:hAnsi="宋体" w:eastAsia="宋体" w:cs="宋体"/>
                <w:sz w:val="21"/>
                <w:szCs w:val="21"/>
                <w:highlight w:val="none"/>
                <w:lang w:val="en-US" w:eastAsia="zh-CN"/>
              </w:rPr>
              <w:t>东莞市置拓投资有限公司</w:t>
            </w:r>
          </w:p>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负责人</w:t>
            </w:r>
            <w:r>
              <w:rPr>
                <w:rFonts w:hint="eastAsia" w:ascii="宋体" w:hAnsi="宋体" w:eastAsia="宋体" w:cs="宋体"/>
                <w:sz w:val="21"/>
                <w:szCs w:val="21"/>
                <w:highlight w:val="none"/>
                <w:lang w:val="en-US" w:eastAsia="zh-CN"/>
              </w:rPr>
              <w:t>(或委托代理人)</w:t>
            </w:r>
            <w:r>
              <w:rPr>
                <w:rFonts w:hint="eastAsia" w:ascii="宋体" w:hAnsi="宋体" w:eastAsia="宋体" w:cs="宋体"/>
                <w:sz w:val="21"/>
                <w:szCs w:val="21"/>
                <w:highlight w:val="none"/>
              </w:rPr>
              <w:t>：</w:t>
            </w:r>
          </w:p>
        </w:tc>
        <w:tc>
          <w:tcPr>
            <w:tcW w:w="454"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p>
        </w:tc>
        <w:tc>
          <w:tcPr>
            <w:tcW w:w="4253"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乙方（盖章）：</w:t>
            </w:r>
            <w:r>
              <w:rPr>
                <w:rFonts w:hint="eastAsia" w:ascii="宋体" w:hAnsi="宋体" w:eastAsia="宋体" w:cs="宋体"/>
                <w:sz w:val="21"/>
                <w:szCs w:val="21"/>
                <w:highlight w:val="none"/>
                <w:lang w:val="en-US" w:eastAsia="zh-CN"/>
              </w:rPr>
              <w:t xml:space="preserve"> </w:t>
            </w:r>
          </w:p>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负责人</w:t>
            </w:r>
            <w:r>
              <w:rPr>
                <w:rFonts w:hint="eastAsia" w:ascii="宋体" w:hAnsi="宋体" w:eastAsia="宋体" w:cs="宋体"/>
                <w:sz w:val="21"/>
                <w:szCs w:val="21"/>
                <w:highlight w:val="none"/>
                <w:lang w:val="en-US" w:eastAsia="zh-CN"/>
              </w:rPr>
              <w:t>(或委托代理人)</w:t>
            </w:r>
            <w:r>
              <w:rPr>
                <w:rFonts w:hint="eastAsia" w:ascii="宋体" w:hAnsi="宋体" w:eastAsia="宋体" w:cs="宋体"/>
                <w:sz w:val="21"/>
                <w:szCs w:val="21"/>
                <w:highlight w:val="none"/>
              </w:rPr>
              <w:t>：</w:t>
            </w:r>
          </w:p>
        </w:tc>
      </w:tr>
      <w:tr>
        <w:tblPrEx>
          <w:tblCellMar>
            <w:top w:w="0" w:type="dxa"/>
            <w:left w:w="108" w:type="dxa"/>
            <w:bottom w:w="0" w:type="dxa"/>
            <w:right w:w="108" w:type="dxa"/>
          </w:tblCellMar>
        </w:tblPrEx>
        <w:trPr>
          <w:jc w:val="center"/>
        </w:trPr>
        <w:tc>
          <w:tcPr>
            <w:tcW w:w="4670"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454"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p>
        </w:tc>
        <w:tc>
          <w:tcPr>
            <w:tcW w:w="4253"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r>
      <w:tr>
        <w:tblPrEx>
          <w:tblCellMar>
            <w:top w:w="0" w:type="dxa"/>
            <w:left w:w="108" w:type="dxa"/>
            <w:bottom w:w="0" w:type="dxa"/>
            <w:right w:w="108" w:type="dxa"/>
          </w:tblCellMar>
        </w:tblPrEx>
        <w:trPr>
          <w:jc w:val="center"/>
        </w:trPr>
        <w:tc>
          <w:tcPr>
            <w:tcW w:w="4670"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开户名称：</w:t>
            </w:r>
            <w:r>
              <w:rPr>
                <w:rFonts w:hint="eastAsia" w:ascii="宋体" w:hAnsi="宋体" w:eastAsia="宋体" w:cs="宋体"/>
                <w:sz w:val="21"/>
                <w:szCs w:val="21"/>
                <w:highlight w:val="none"/>
                <w:lang w:val="en-US" w:eastAsia="zh-CN"/>
              </w:rPr>
              <w:t>东莞市置拓投资有限公司</w:t>
            </w:r>
          </w:p>
        </w:tc>
        <w:tc>
          <w:tcPr>
            <w:tcW w:w="454"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p>
        </w:tc>
        <w:tc>
          <w:tcPr>
            <w:tcW w:w="4253"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highlight w:val="none"/>
              </w:rPr>
            </w:pPr>
            <w:r>
              <w:rPr>
                <w:rFonts w:hint="eastAsia" w:ascii="宋体" w:hAnsi="宋体" w:eastAsia="宋体" w:cs="宋体"/>
                <w:sz w:val="21"/>
                <w:szCs w:val="21"/>
                <w:highlight w:val="none"/>
              </w:rPr>
              <w:t>地址：</w:t>
            </w:r>
          </w:p>
          <w:p>
            <w:pPr>
              <w:keepNext w:val="0"/>
              <w:keepLines w:val="0"/>
              <w:suppressLineNumbers w:val="0"/>
              <w:spacing w:before="0" w:beforeAutospacing="0" w:after="0" w:afterAutospacing="0" w:line="360" w:lineRule="auto"/>
              <w:ind w:left="0" w:right="0"/>
              <w:jc w:val="both"/>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开户名称：</w:t>
            </w:r>
          </w:p>
        </w:tc>
      </w:tr>
      <w:tr>
        <w:tblPrEx>
          <w:tblCellMar>
            <w:top w:w="0" w:type="dxa"/>
            <w:left w:w="108" w:type="dxa"/>
            <w:bottom w:w="0" w:type="dxa"/>
            <w:right w:w="108" w:type="dxa"/>
          </w:tblCellMar>
        </w:tblPrEx>
        <w:trPr>
          <w:jc w:val="center"/>
        </w:trPr>
        <w:tc>
          <w:tcPr>
            <w:tcW w:w="4670"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454"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p>
        </w:tc>
        <w:tc>
          <w:tcPr>
            <w:tcW w:w="4253"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r>
      <w:tr>
        <w:tblPrEx>
          <w:tblCellMar>
            <w:top w:w="0" w:type="dxa"/>
            <w:left w:w="108" w:type="dxa"/>
            <w:bottom w:w="0" w:type="dxa"/>
            <w:right w:w="108" w:type="dxa"/>
          </w:tblCellMar>
        </w:tblPrEx>
        <w:trPr>
          <w:jc w:val="center"/>
        </w:trPr>
        <w:tc>
          <w:tcPr>
            <w:tcW w:w="4670"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454"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p>
        </w:tc>
        <w:tc>
          <w:tcPr>
            <w:tcW w:w="4253" w:type="dxa"/>
            <w:vAlign w:val="top"/>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r>
    </w:tbl>
    <w:p>
      <w:pPr>
        <w:widowControl/>
        <w:snapToGrid w:val="0"/>
        <w:spacing w:line="360" w:lineRule="auto"/>
        <w:outlineLvl w:val="9"/>
        <w:rPr>
          <w:rFonts w:hint="eastAsia" w:ascii="宋体" w:hAnsi="宋体" w:eastAsia="宋体" w:cs="宋体"/>
          <w:szCs w:val="21"/>
          <w:highlight w:val="none"/>
        </w:rPr>
      </w:pPr>
    </w:p>
    <w:p>
      <w:pPr>
        <w:keepNext w:val="0"/>
        <w:keepLines w:val="0"/>
        <w:pageBreakBefore/>
        <w:widowControl/>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color w:val="auto"/>
          <w:szCs w:val="21"/>
          <w:highlight w:val="none"/>
        </w:rPr>
      </w:pPr>
      <w:bookmarkStart w:id="408" w:name="_Toc3445"/>
      <w:bookmarkStart w:id="409" w:name="_Toc32738"/>
      <w:bookmarkStart w:id="410" w:name="_Toc31767"/>
      <w:bookmarkStart w:id="411" w:name="_Toc152276166"/>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：廉洁协议书</w:t>
      </w:r>
    </w:p>
    <w:p>
      <w:pPr>
        <w:spacing w:line="360"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廉洁协议书</w:t>
      </w:r>
    </w:p>
    <w:p>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东莞市</w:t>
      </w:r>
      <w:r>
        <w:rPr>
          <w:rFonts w:hint="eastAsia" w:ascii="宋体" w:hAnsi="宋体" w:eastAsia="宋体" w:cs="宋体"/>
          <w:color w:val="auto"/>
          <w:kern w:val="0"/>
          <w:szCs w:val="21"/>
          <w:highlight w:val="none"/>
          <w:lang w:val="en-US" w:eastAsia="zh-CN"/>
        </w:rPr>
        <w:t>置拓</w:t>
      </w:r>
      <w:r>
        <w:rPr>
          <w:rFonts w:hint="eastAsia" w:ascii="宋体" w:hAnsi="宋体" w:eastAsia="宋体" w:cs="宋体"/>
          <w:color w:val="auto"/>
          <w:kern w:val="0"/>
          <w:szCs w:val="21"/>
          <w:highlight w:val="none"/>
          <w:lang w:eastAsia="zh-CN"/>
        </w:rPr>
        <w:t>投资有限公司</w:t>
      </w:r>
      <w:r>
        <w:rPr>
          <w:rFonts w:hint="eastAsia" w:ascii="宋体" w:hAnsi="宋体" w:eastAsia="宋体" w:cs="宋体"/>
          <w:color w:val="auto"/>
          <w:kern w:val="0"/>
          <w:szCs w:val="21"/>
          <w:highlight w:val="none"/>
          <w:lang w:val="en-US" w:eastAsia="zh-CN"/>
        </w:rPr>
        <w:t>水业大厦食堂设备设施</w:t>
      </w:r>
      <w:r>
        <w:rPr>
          <w:rFonts w:hint="eastAsia" w:ascii="宋体" w:hAnsi="宋体" w:eastAsia="宋体" w:cs="宋体"/>
          <w:color w:val="auto"/>
          <w:kern w:val="0"/>
          <w:szCs w:val="21"/>
          <w:highlight w:val="none"/>
          <w:lang w:eastAsia="zh-CN"/>
        </w:rPr>
        <w:t>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lang w:val="zh-CN"/>
        </w:rPr>
        <w:t>0832-SFCX25DG030A</w:t>
      </w:r>
      <w:r>
        <w:rPr>
          <w:rFonts w:hint="eastAsia" w:ascii="宋体" w:hAnsi="宋体" w:eastAsia="宋体" w:cs="宋体"/>
          <w:color w:val="auto"/>
          <w:szCs w:val="21"/>
          <w:highlight w:val="none"/>
        </w:rPr>
        <w:t>）</w:t>
      </w:r>
    </w:p>
    <w:p>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甲方（业主单位）：</w:t>
      </w:r>
    </w:p>
    <w:p>
      <w:pPr>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第一条  甲乙双方的权利和义务</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（一）严格遵守党和国家有关法律法规等有关廉洁从业规定。</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（二）严格执行本项目的合同文件，自觉按合同办事。</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（三）双方的业务活动坚持公开、公正、诚信、透明的原则（除法律认定的商业秘密和合同文件另有规定之外）不得损害国家和集体利益，违反工程建设管理及其他法律法规规章制度。</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（四）建立健全廉洁制度，开展廉洁教育，设立廉洁监督公示牌，公布举报电话，监督并认真查处违法违纪行为。</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（五）发现对方在业务活动中有违反廉洁规定的行为，有及时提醒对方纠正的权利和义务。</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（六）发现对方严重违反本协议义务条款的行为，有向其上级有关部门举报、建议给予处理并要求告知处理结果的权利。</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  甲方的义务</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（一）甲方及其工作人员不得索要或接受乙方的礼金、有价证券和贵重物品，不得在乙方报销任何应由甲方或个人支付的费用。</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（二）甲方工作人员不得参加乙方安排的高消费宴请和娱乐活动；不得接受乙方提供的通讯工具、交通工具和高档办公用品。</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（三）甲方及其工作人员不得要求或者接受乙方为其住房装修、婚丧嫁娶活动、家属或亲友的工作安排以及出国出境、旅游等提供方便。</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（四）甲方工作人员不得向乙方介绍其家属或者亲友（包括家属或亲友开办的公司企业）从事于本项目涉及的经济业务活动。</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（五）甲方及其工作人员不得以任何理由向乙方推荐分包单位，不得要求乙方购买合同规定外的材料和设备。</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（六）甲方及其工作人员不得进行违反廉洁规定的其他活动。</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  乙方义务</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（一）乙方不得以任何理由向甲方及其工作人员馈赠礼金、有价证券、贵重礼品，或报销应由甲方单位或个人支付的任何费用。</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（二）乙方及其工作人员不得以考察、参观、洽谈业务、签订合同等的借口邀请甲方及其工作人员参加高消费的宴请、娱乐和健身等活动。</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（三）乙方不得为甲方单位和个人购置或提供通讯工具、交通工具和高档办公用品等。</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（四）乙方及其工作人员不得为甲方工作人员购买、装修、维修私人住房、汽车等。</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（五）乙方及其工作人员不得为甲方工作人员的婚丧嫁娶、家属或亲友的工作安排，及出国出境提供方便以及报销任何私人消费的费用。</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（六）乙方及其工作人员不得进行影响甲方及其工作人员公正执行合同和履行职务的其他活动。</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第四条  违约责任</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（一）甲方违反本协议第一、第二条给乙方单位造成经济损失的，应予以赔偿。</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（二）乙方违反本协议第一、第三条给甲方单位造成经济损失的，应予以赔偿。</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  监督检查</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甲乙双方的廉洁从业行为由双方或双方上级单位的纪检、监察部门负责监督，对本协议履行情况进行检查。</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 举报信访受理</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（一）举报受理部门：东莞市水务集团有限公司纪检监察部。</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（二）举报电话：（0769）23076092。</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1"/>
          <w:highlight w:val="none"/>
        </w:rPr>
        <w:t>jcsj@dgswjt.cn。</w:t>
      </w:r>
      <w:r>
        <w:rPr>
          <w:rFonts w:hint="eastAsia" w:ascii="宋体" w:hAnsi="宋体" w:eastAsia="宋体" w:cs="宋体"/>
          <w:color w:val="auto"/>
          <w:kern w:val="0"/>
          <w:szCs w:val="21"/>
          <w:highlight w:val="none"/>
        </w:rPr>
        <w:fldChar w:fldCharType="end"/>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（四）信访地址：广东省东莞市东城街道育华路1号。</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 其他</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本协议有效期为甲乙</w:t>
      </w:r>
      <w:r>
        <w:rPr>
          <w:rFonts w:hint="eastAsia" w:ascii="宋体" w:hAnsi="宋体" w:eastAsia="宋体" w:cs="宋体"/>
          <w:color w:val="auto"/>
          <w:kern w:val="0"/>
          <w:szCs w:val="21"/>
          <w:highlight w:val="none"/>
          <w:lang w:val="en-US" w:eastAsia="zh-CN"/>
        </w:rPr>
        <w:t>双方</w:t>
      </w: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lang w:val="en-US" w:eastAsia="zh-CN"/>
        </w:rPr>
        <w:t>或负责人</w:t>
      </w:r>
      <w:r>
        <w:rPr>
          <w:rFonts w:hint="eastAsia" w:ascii="宋体" w:hAnsi="宋体" w:eastAsia="宋体" w:cs="宋体"/>
          <w:sz w:val="21"/>
          <w:szCs w:val="21"/>
          <w:highlight w:val="none"/>
        </w:rPr>
        <w:t>或</w:t>
      </w:r>
      <w:r>
        <w:rPr>
          <w:rFonts w:hint="eastAsia" w:ascii="宋体" w:hAnsi="宋体" w:eastAsia="宋体" w:cs="宋体"/>
          <w:sz w:val="21"/>
          <w:szCs w:val="21"/>
          <w:highlight w:val="none"/>
          <w:lang w:val="en-US" w:eastAsia="zh-CN"/>
        </w:rPr>
        <w:t>委托代理人</w:t>
      </w:r>
      <w:r>
        <w:rPr>
          <w:rFonts w:hint="eastAsia" w:ascii="宋体" w:hAnsi="宋体" w:eastAsia="宋体" w:cs="宋体"/>
          <w:sz w:val="21"/>
          <w:szCs w:val="21"/>
          <w:highlight w:val="none"/>
        </w:rPr>
        <w:t>签字并盖章之日</w:t>
      </w:r>
      <w:r>
        <w:rPr>
          <w:rFonts w:hint="eastAsia" w:ascii="宋体" w:hAnsi="宋体" w:eastAsia="宋体" w:cs="宋体"/>
          <w:color w:val="auto"/>
          <w:kern w:val="0"/>
          <w:szCs w:val="21"/>
          <w:highlight w:val="none"/>
        </w:rPr>
        <w:t>起至</w:t>
      </w:r>
      <w:r>
        <w:rPr>
          <w:rFonts w:hint="eastAsia" w:ascii="宋体" w:hAnsi="宋体" w:eastAsia="宋体" w:cs="宋体"/>
          <w:color w:val="auto"/>
          <w:sz w:val="21"/>
          <w:szCs w:val="21"/>
          <w:highlight w:val="none"/>
        </w:rPr>
        <w:t>至采购项目质保期满后止</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本协议一式   份，</w:t>
      </w:r>
      <w:r>
        <w:rPr>
          <w:rFonts w:hint="eastAsia" w:ascii="宋体" w:hAnsi="宋体" w:eastAsia="宋体" w:cs="宋体"/>
          <w:color w:val="auto"/>
          <w:szCs w:val="21"/>
          <w:highlight w:val="none"/>
        </w:rPr>
        <w:t>甲方执叁份，乙方执【】份，招标代理机构执  份</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pPr>
        <w:spacing w:before="48" w:beforeLines="20" w:after="48" w:afterLines="20"/>
        <w:ind w:firstLine="420" w:firstLineChars="200"/>
        <w:outlineLvl w:val="9"/>
        <w:rPr>
          <w:rFonts w:hint="eastAsia" w:ascii="宋体" w:hAnsi="宋体" w:eastAsia="宋体" w:cs="宋体"/>
          <w:color w:val="auto"/>
          <w:szCs w:val="21"/>
          <w:highlight w:val="none"/>
        </w:rPr>
      </w:pPr>
    </w:p>
    <w:p>
      <w:pPr>
        <w:spacing w:before="48" w:beforeLines="20" w:after="48" w:afterLines="20"/>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pPr>
        <w:spacing w:before="48" w:beforeLines="20" w:after="48" w:afterLines="20"/>
        <w:ind w:firstLine="420" w:firstLineChars="200"/>
        <w:outlineLvl w:val="9"/>
        <w:rPr>
          <w:rFonts w:hint="eastAsia" w:ascii="宋体" w:hAnsi="宋体" w:eastAsia="宋体" w:cs="宋体"/>
          <w:color w:val="auto"/>
          <w:szCs w:val="21"/>
          <w:highlight w:val="none"/>
        </w:rPr>
      </w:pPr>
    </w:p>
    <w:p>
      <w:pPr>
        <w:spacing w:before="48" w:beforeLines="20" w:after="48" w:afterLines="20"/>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(或委托代理人)</w:t>
      </w:r>
      <w:r>
        <w:rPr>
          <w:rFonts w:hint="eastAsia" w:ascii="宋体" w:hAnsi="宋体" w:eastAsia="宋体" w:cs="宋体"/>
          <w:color w:val="auto"/>
          <w:szCs w:val="21"/>
          <w:highlight w:val="none"/>
        </w:rPr>
        <w:t>：      法定代表人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(或委托代理人)</w:t>
      </w:r>
      <w:r>
        <w:rPr>
          <w:rFonts w:hint="eastAsia" w:ascii="宋体" w:hAnsi="宋体" w:eastAsia="宋体" w:cs="宋体"/>
          <w:color w:val="auto"/>
          <w:szCs w:val="21"/>
          <w:highlight w:val="none"/>
        </w:rPr>
        <w:t>：</w:t>
      </w:r>
    </w:p>
    <w:p>
      <w:pPr>
        <w:spacing w:before="48" w:beforeLines="20" w:after="48" w:afterLines="20"/>
        <w:ind w:firstLine="420" w:firstLineChars="200"/>
        <w:outlineLvl w:val="9"/>
        <w:rPr>
          <w:rFonts w:hint="eastAsia" w:ascii="宋体" w:hAnsi="宋体" w:eastAsia="宋体" w:cs="宋体"/>
          <w:color w:val="auto"/>
          <w:szCs w:val="21"/>
          <w:highlight w:val="none"/>
        </w:rPr>
      </w:pPr>
    </w:p>
    <w:p>
      <w:pPr>
        <w:spacing w:before="48" w:beforeLines="20" w:after="48" w:afterLines="20"/>
        <w:outlineLvl w:val="9"/>
        <w:rPr>
          <w:rFonts w:hint="eastAsia" w:ascii="宋体" w:hAnsi="宋体" w:eastAsia="宋体" w:cs="宋体"/>
          <w:color w:val="auto"/>
          <w:szCs w:val="21"/>
          <w:highlight w:val="none"/>
        </w:rPr>
      </w:pPr>
    </w:p>
    <w:p>
      <w:pPr>
        <w:spacing w:line="360" w:lineRule="auto"/>
        <w:ind w:firstLine="371" w:firstLineChars="177"/>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签订日期：    年  月  日                  年  月  日</w:t>
      </w:r>
      <w:r>
        <w:rPr>
          <w:rFonts w:hint="eastAsia" w:ascii="宋体" w:hAnsi="宋体" w:eastAsia="宋体" w:cs="宋体"/>
          <w:color w:val="auto"/>
          <w:szCs w:val="21"/>
          <w:highlight w:val="none"/>
          <w:lang w:val="en-US" w:eastAsia="zh-CN"/>
        </w:rPr>
        <w:t xml:space="preserve">   </w:t>
      </w:r>
    </w:p>
    <w:p>
      <w:pPr>
        <w:pageBreakBefore/>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附件3：安全</w:t>
      </w:r>
      <w:r>
        <w:rPr>
          <w:rFonts w:hint="eastAsia" w:ascii="宋体" w:hAnsi="宋体" w:eastAsia="宋体" w:cs="宋体"/>
          <w:b/>
          <w:color w:val="auto"/>
          <w:szCs w:val="21"/>
          <w:highlight w:val="none"/>
          <w:lang w:val="en-US" w:eastAsia="zh-CN"/>
        </w:rPr>
        <w:t>生产</w:t>
      </w:r>
      <w:r>
        <w:rPr>
          <w:rFonts w:hint="eastAsia" w:ascii="宋体" w:hAnsi="宋体" w:eastAsia="宋体" w:cs="宋体"/>
          <w:b/>
          <w:color w:val="auto"/>
          <w:szCs w:val="21"/>
          <w:highlight w:val="none"/>
        </w:rPr>
        <w:t>管理协议</w:t>
      </w:r>
    </w:p>
    <w:p>
      <w:pPr>
        <w:spacing w:line="360" w:lineRule="auto"/>
        <w:ind w:right="31" w:rightChars="1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安全</w:t>
      </w:r>
      <w:r>
        <w:rPr>
          <w:rFonts w:hint="eastAsia" w:ascii="宋体" w:hAnsi="宋体" w:eastAsia="宋体" w:cs="宋体"/>
          <w:b/>
          <w:color w:val="auto"/>
          <w:sz w:val="32"/>
          <w:szCs w:val="32"/>
          <w:highlight w:val="none"/>
          <w:lang w:val="en-US" w:eastAsia="zh-CN"/>
        </w:rPr>
        <w:t>生产</w:t>
      </w:r>
      <w:r>
        <w:rPr>
          <w:rFonts w:hint="eastAsia" w:ascii="宋体" w:hAnsi="宋体" w:eastAsia="宋体" w:cs="宋体"/>
          <w:b/>
          <w:color w:val="auto"/>
          <w:sz w:val="32"/>
          <w:szCs w:val="32"/>
          <w:highlight w:val="none"/>
        </w:rPr>
        <w:t>管理协议</w:t>
      </w:r>
    </w:p>
    <w:p>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项目名称：东莞市</w:t>
      </w:r>
      <w:r>
        <w:rPr>
          <w:rFonts w:hint="eastAsia" w:ascii="宋体" w:hAnsi="宋体" w:eastAsia="宋体" w:cs="宋体"/>
          <w:color w:val="auto"/>
          <w:kern w:val="0"/>
          <w:szCs w:val="21"/>
          <w:highlight w:val="none"/>
          <w:lang w:val="en-US" w:eastAsia="zh-CN"/>
        </w:rPr>
        <w:t>置拓投资</w:t>
      </w:r>
      <w:r>
        <w:rPr>
          <w:rFonts w:hint="eastAsia" w:ascii="宋体" w:hAnsi="宋体" w:eastAsia="宋体" w:cs="宋体"/>
          <w:color w:val="auto"/>
          <w:kern w:val="0"/>
          <w:szCs w:val="21"/>
          <w:highlight w:val="none"/>
        </w:rPr>
        <w:t>有限公司</w:t>
      </w:r>
      <w:r>
        <w:rPr>
          <w:rFonts w:hint="eastAsia" w:ascii="宋体" w:hAnsi="宋体" w:eastAsia="宋体" w:cs="宋体"/>
          <w:color w:val="auto"/>
          <w:kern w:val="0"/>
          <w:szCs w:val="21"/>
          <w:highlight w:val="none"/>
          <w:lang w:val="en-US" w:eastAsia="zh-CN"/>
        </w:rPr>
        <w:t>水业大厦食堂设备设施</w:t>
      </w:r>
      <w:r>
        <w:rPr>
          <w:rFonts w:hint="eastAsia" w:ascii="宋体" w:hAnsi="宋体" w:eastAsia="宋体" w:cs="宋体"/>
          <w:color w:val="auto"/>
          <w:kern w:val="0"/>
          <w:szCs w:val="21"/>
          <w:highlight w:val="none"/>
        </w:rPr>
        <w:t>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lang w:val="zh-CN"/>
        </w:rPr>
        <w:t>0832-SFCX25DG030A</w:t>
      </w:r>
      <w:r>
        <w:rPr>
          <w:rFonts w:hint="eastAsia" w:ascii="宋体" w:hAnsi="宋体" w:eastAsia="宋体" w:cs="宋体"/>
          <w:color w:val="auto"/>
          <w:szCs w:val="21"/>
          <w:highlight w:val="none"/>
        </w:rPr>
        <w:t>）</w:t>
      </w:r>
    </w:p>
    <w:p>
      <w:pPr>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甲方：</w:t>
      </w:r>
    </w:p>
    <w:p>
      <w:pPr>
        <w:pStyle w:val="19"/>
        <w:spacing w:line="360" w:lineRule="auto"/>
        <w:jc w:val="both"/>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地址：</w:t>
      </w:r>
    </w:p>
    <w:p>
      <w:pPr>
        <w:pStyle w:val="19"/>
        <w:jc w:val="both"/>
        <w:outlineLvl w:val="9"/>
        <w:rPr>
          <w:rFonts w:hint="eastAsia" w:ascii="宋体" w:hAnsi="宋体" w:eastAsia="宋体" w:cs="宋体"/>
          <w:color w:val="auto"/>
          <w:sz w:val="21"/>
          <w:szCs w:val="21"/>
          <w:highlight w:val="none"/>
          <w:lang w:val="en-US"/>
        </w:rPr>
      </w:pPr>
    </w:p>
    <w:p>
      <w:pPr>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乙方：</w:t>
      </w:r>
    </w:p>
    <w:p>
      <w:pPr>
        <w:pStyle w:val="19"/>
        <w:jc w:val="both"/>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地址：</w:t>
      </w:r>
    </w:p>
    <w:p>
      <w:pPr>
        <w:pStyle w:val="210"/>
        <w:jc w:val="both"/>
        <w:outlineLvl w:val="9"/>
        <w:rPr>
          <w:rFonts w:hint="eastAsia" w:ascii="宋体" w:hAnsi="宋体" w:eastAsia="宋体" w:cs="宋体"/>
          <w:highlight w:val="none"/>
          <w:lang w:val="en-US" w:eastAsia="zh-CN"/>
        </w:rPr>
      </w:pP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安全生产法》和《建设工程安全生产管理条例》等法律法规要求，为加强作业现场的安全管理，落实甲乙双方的安全生产职责，进一步加强作业的安全管理，杜绝作业人员因安全管理不善而引发的各类安全事故，保证甲、乙双方的财产和员工的人身安全不受侵害，经甲乙双方协商一致，签订协议如下：</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场前乙方应将本企业的营业执照、企业资质等级证书、安全生产许可证、进场人员花名册、携带进场的机具一览表、特种作业人员及特种作业操作证的复印件报甲方。进场职工必须办好作业所在地所需办理的各种证件，不得雇用未成年工、童工、超龄工和安排女工从事禁忌劳动，进场前，乙方必须严格遵守甲方及项目所在地的相关防疫要求。</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设置专职或兼职安全员，对作业进行安全管理，并在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3、乙方使用被派遣劳动者的，应当将被派遣劳动者纳入本单位从业人员统一管理，对被派遣劳动者进行岗位安全操作规程和安全操作技能的教育和培训。</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当在有较大危险因素的场所和有关设施、设备上，设置明显的安全警示标志。乙方应当对安全设备进行经常性维护、保养，并定期检测，保证正常运转。维护、保养、检测应当做好记录，并由乙方安全员或代表签字。</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5、乙方应当教育和督促从业人员严格执行本单位的安全生产规章制度和安全操作规程；并向从业人员如实告知作业场所和工作岗位存在的危险因素、防范措施以及事故应急措施。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6、乙方应严格遵守国家、地方政府有关安全生产及劳动保护的法律法规、标准、规定，贯彻执行甲方的各项安全管理规章制度。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应当服从甲方的安全管理，保证作业区域的现场文明安全管理达标，现场临时用电、机器设备、安全防护齐全、完好。接受和配合甲方的安全监督检查，乙方现场的所有安全装置、防护设施必须依据经甲方审批通过后的安全技术方案进行搭设、安装，乙方必须无条件保证安全防护设施使用的搭设材料的质量，在用于安全防护的物资进场前将有关物资的材质证明报甲方，经甲方确认后方可使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甲方有权对整个作业现场的安全管理工作进行协调和监督管理。指导、监督、检查乙方的执业健康安全管理工作，对乙方作业中的违章指挥、违章作业和安全隐患提出整改意见，督促、检查乙方的隐患整改落实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乙方在作业过程中违反有关安全管理规定、有违章现象发生、安全问题整改不到位或拒不接受甲方的正常安全管理的，甲方有权依据有关法律法规规定进行处理。乙方作业中存在重大隐患或险情时，甲方有权要求乙方立即整改直至隐患消除，若乙方整改后仍达不到甲方要求的，甲方有权要求与乙方解除合同，并要求乙方清退出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乙方作业人员未经许可不得随意到作业区域以外的其它工作场所活动，乙方作业人员擅自到作业区域以外的其它工作场所活动，出现人身损伤或伤亡的，由乙方自行承担一切责任。乙方作业人员需动用或作业涉及到甲方所属设备、电器、管线及其他设施等，必须事先征得甲方代表的同意，并采取安全防护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在作业过程中，需要进行动土、动火、登高、吊装、断路、进入限制性空间等危险性较高的作业时，乙方的作业负责人、专职或兼职安全员必须现场确认，并在开始作业前报送甲方且甲方同意方可作业。乙方应严格按照甲方的关于危险作业安全要求执行。</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13、因乙方原因，造成乙方损失，由乙方自负，给甲方造成财产损失和人员伤害，乙方要负全部责任，并全额赔偿甲方。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14、非因甲方原因，造成乙方损失的，甲方不承担任何责任，由乙方自行承担全部责任。</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15、乙方应严格遵守法律法规以及甲方的安全管理要求，并接受甲方的安全生产工作协调和监督，积极消除安全隐患。安全管理的基本要求包括但不限于以下条款：</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①禁火区内严禁吸烟、动火。有火灾危险的作业区域，乙方必须配置足够的灭火设施。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②焊接、气割作业时两瓶距离必须达到5M及以上，气瓶距可能产生火花的电器、设备和其它火源的间距必须达到10M及以上。</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③严禁在厂内道路、消防通道内搭建临时建筑或堆放物资。</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④作业场所的电动工具、电焊机等须有漏电保护器和相应的安全防护装置。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⑤作业现场及居住室、办公室内的用电设施必须符合要求，严禁电线乱接、乱拉，刀闸和开关无盖，在电器设施上堆放物品。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⑥防雷、防静电设施及用电设施要有良好接地。</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⑦作业现场的危险区域，如临边、深坑、土方堆填区等，必须设置围栏和危险标志，夜间要设信号灯。</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时，应及时组织抢救、保护好现场，并立即报告甲方主管领导。</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登高架子、安全防护设施、脚手架搭设完毕后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或作业审批表），先通风，检测氧气、有毒有害气体，确保符合作业条件，做好个人防护和专人监护后，方可进入。</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16、乙方必须接受甲方的检查与监督，并应主动配合，做好安全工作，凡有违反上述协议的即视为乙方违约，甲方有权视情况从工程结算款/服务价款中扣除（1000-2000）元/次作为违约金。</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17、乙方对作业过程中潜在的安全风险不明确的，不可盲目作业，否则，造成的后果由乙方独自承担。</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18、本协议一式 贰 份，甲、乙双方各执 壹 份，本协议有效期为自甲乙双方法定代表人</w:t>
      </w:r>
      <w:r>
        <w:rPr>
          <w:rFonts w:hint="eastAsia" w:ascii="宋体" w:hAnsi="宋体" w:eastAsia="宋体" w:cs="宋体"/>
          <w:color w:val="auto"/>
          <w:szCs w:val="21"/>
          <w:highlight w:val="none"/>
          <w:lang w:val="en-US" w:eastAsia="zh-CN"/>
        </w:rPr>
        <w:t>或负责人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val="en-US" w:eastAsia="zh-CN"/>
        </w:rPr>
        <w:t>委托代理人</w:t>
      </w:r>
      <w:r>
        <w:rPr>
          <w:rFonts w:hint="eastAsia" w:ascii="宋体" w:hAnsi="宋体" w:eastAsia="宋体" w:cs="宋体"/>
          <w:color w:val="auto"/>
          <w:szCs w:val="21"/>
          <w:highlight w:val="none"/>
        </w:rPr>
        <w:t>签字并盖章之日起至该项目合同义务履行完毕止。</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乙方声明：</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乙方已认真阅读协议内容，对协议条款、现场的安全管理要求、安全风险充分理解，并自愿承担因违约造成的一切后果。</w:t>
      </w:r>
    </w:p>
    <w:p>
      <w:pPr>
        <w:spacing w:line="360" w:lineRule="auto"/>
        <w:ind w:firstLine="420" w:firstLineChars="200"/>
        <w:outlineLvl w:val="9"/>
        <w:rPr>
          <w:rFonts w:hint="eastAsia" w:ascii="宋体" w:hAnsi="宋体" w:eastAsia="宋体" w:cs="宋体"/>
          <w:color w:val="auto"/>
          <w:szCs w:val="21"/>
          <w:highlight w:val="none"/>
        </w:rPr>
      </w:pPr>
    </w:p>
    <w:p>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    （盖章）                             乙方：      （盖章）</w:t>
      </w:r>
    </w:p>
    <w:p>
      <w:pPr>
        <w:spacing w:line="360" w:lineRule="auto"/>
        <w:ind w:firstLine="420" w:firstLineChars="200"/>
        <w:outlineLvl w:val="9"/>
        <w:rPr>
          <w:rFonts w:hint="eastAsia" w:ascii="宋体" w:hAnsi="宋体" w:eastAsia="宋体" w:cs="宋体"/>
          <w:color w:val="auto"/>
          <w:szCs w:val="21"/>
          <w:highlight w:val="none"/>
        </w:rPr>
      </w:pPr>
    </w:p>
    <w:p>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(或委托代理人)</w:t>
      </w:r>
      <w:r>
        <w:rPr>
          <w:rFonts w:hint="eastAsia" w:ascii="宋体" w:hAnsi="宋体" w:eastAsia="宋体" w:cs="宋体"/>
          <w:color w:val="auto"/>
          <w:szCs w:val="21"/>
          <w:highlight w:val="none"/>
        </w:rPr>
        <w:t>：              法定代表人</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负责人</w:t>
      </w:r>
      <w:r>
        <w:rPr>
          <w:rFonts w:hint="eastAsia" w:ascii="宋体" w:hAnsi="宋体" w:eastAsia="宋体" w:cs="宋体"/>
          <w:color w:val="auto"/>
          <w:szCs w:val="21"/>
          <w:highlight w:val="none"/>
          <w:lang w:val="en-US" w:eastAsia="zh-CN"/>
        </w:rPr>
        <w:t>(或委托代理人)</w:t>
      </w:r>
      <w:r>
        <w:rPr>
          <w:rFonts w:hint="eastAsia" w:ascii="宋体" w:hAnsi="宋体" w:eastAsia="宋体" w:cs="宋体"/>
          <w:color w:val="auto"/>
          <w:szCs w:val="21"/>
          <w:highlight w:val="none"/>
        </w:rPr>
        <w:t>：</w:t>
      </w:r>
    </w:p>
    <w:p>
      <w:pPr>
        <w:spacing w:line="360" w:lineRule="auto"/>
        <w:ind w:firstLine="420" w:firstLineChars="200"/>
        <w:outlineLvl w:val="9"/>
        <w:rPr>
          <w:rFonts w:hint="eastAsia" w:ascii="宋体" w:hAnsi="宋体" w:eastAsia="宋体" w:cs="宋体"/>
          <w:color w:val="auto"/>
          <w:szCs w:val="21"/>
          <w:highlight w:val="none"/>
        </w:rPr>
      </w:pPr>
    </w:p>
    <w:p>
      <w:pPr>
        <w:spacing w:line="360" w:lineRule="auto"/>
        <w:outlineLvl w:val="9"/>
        <w:rPr>
          <w:rFonts w:hint="eastAsia" w:ascii="宋体" w:hAnsi="宋体" w:eastAsia="宋体" w:cs="宋体"/>
          <w:color w:val="auto"/>
          <w:szCs w:val="21"/>
          <w:highlight w:val="none"/>
        </w:rPr>
      </w:pPr>
    </w:p>
    <w:p>
      <w:pPr>
        <w:widowControl/>
        <w:kinsoku/>
        <w:autoSpaceDE/>
        <w:autoSpaceDN/>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签订日期：    年  月  日   </w:t>
      </w:r>
      <w:bookmarkEnd w:id="399"/>
      <w:bookmarkEnd w:id="400"/>
      <w:bookmarkEnd w:id="401"/>
      <w:bookmarkEnd w:id="402"/>
      <w:bookmarkEnd w:id="403"/>
      <w:bookmarkEnd w:id="404"/>
      <w:bookmarkEnd w:id="405"/>
      <w:bookmarkEnd w:id="406"/>
      <w:bookmarkEnd w:id="407"/>
      <w:bookmarkEnd w:id="408"/>
      <w:bookmarkEnd w:id="409"/>
      <w:bookmarkEnd w:id="410"/>
      <w:bookmarkEnd w:id="411"/>
    </w:p>
    <w:p>
      <w:pPr>
        <w:keepNext w:val="0"/>
        <w:keepLines w:val="0"/>
        <w:pageBreakBefore/>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
          <w:bCs w:val="0"/>
          <w:snapToGrid/>
          <w:color w:val="auto"/>
          <w:kern w:val="2"/>
          <w:sz w:val="21"/>
          <w:szCs w:val="21"/>
          <w:highlight w:val="none"/>
          <w:lang w:val="en-US" w:eastAsia="zh-CN" w:bidi="ar-SA"/>
        </w:rPr>
      </w:pPr>
      <w:r>
        <w:rPr>
          <w:rFonts w:hint="eastAsia" w:ascii="宋体" w:hAnsi="宋体" w:eastAsia="宋体" w:cs="宋体"/>
          <w:b/>
          <w:bCs w:val="0"/>
          <w:snapToGrid/>
          <w:color w:val="auto"/>
          <w:kern w:val="2"/>
          <w:sz w:val="21"/>
          <w:szCs w:val="21"/>
          <w:highlight w:val="none"/>
          <w:lang w:val="en-US" w:eastAsia="zh-CN" w:bidi="ar-SA"/>
        </w:rPr>
        <w:t>附件4：设备到货验收表</w:t>
      </w:r>
    </w:p>
    <w:tbl>
      <w:tblPr>
        <w:tblStyle w:val="3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5"/>
        <w:gridCol w:w="959"/>
        <w:gridCol w:w="1536"/>
        <w:gridCol w:w="849"/>
        <w:gridCol w:w="849"/>
        <w:gridCol w:w="1097"/>
        <w:gridCol w:w="1099"/>
        <w:gridCol w:w="1099"/>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kern w:val="0"/>
                <w:sz w:val="30"/>
                <w:szCs w:val="30"/>
                <w:u w:val="none"/>
              </w:rPr>
            </w:pPr>
            <w:r>
              <w:rPr>
                <w:rFonts w:hint="eastAsia" w:ascii="宋体" w:hAnsi="宋体" w:eastAsia="宋体" w:cs="宋体"/>
                <w:b/>
                <w:bCs/>
                <w:i w:val="0"/>
                <w:iCs w:val="0"/>
                <w:color w:val="auto"/>
                <w:kern w:val="0"/>
                <w:sz w:val="30"/>
                <w:szCs w:val="30"/>
                <w:u w:val="none"/>
                <w:lang w:val="en-US" w:eastAsia="zh-CN" w:bidi="ar"/>
              </w:rPr>
              <w:t>设备到货验收表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62" w:type="pct"/>
            <w:tcBorders>
              <w:top w:val="nil"/>
              <w:left w:val="nil"/>
              <w:bottom w:val="nil"/>
              <w:right w:val="nil"/>
            </w:tcBorders>
            <w:shd w:val="clear" w:color="auto" w:fill="auto"/>
            <w:noWrap/>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color w:val="auto"/>
                <w:kern w:val="0"/>
                <w:sz w:val="21"/>
                <w:szCs w:val="21"/>
                <w:u w:val="none"/>
                <w:lang w:val="en-US" w:eastAsia="zh-CN" w:bidi="ar"/>
              </w:rPr>
              <w:t xml:space="preserve">编号：                                      </w:t>
            </w:r>
          </w:p>
        </w:tc>
        <w:tc>
          <w:tcPr>
            <w:tcW w:w="1206" w:type="pct"/>
            <w:gridSpan w:val="2"/>
            <w:tcBorders>
              <w:top w:val="nil"/>
              <w:left w:val="nil"/>
              <w:bottom w:val="nil"/>
              <w:right w:val="nil"/>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404" w:type="pct"/>
            <w:tcBorders>
              <w:top w:val="nil"/>
              <w:left w:val="nil"/>
              <w:bottom w:val="nil"/>
              <w:right w:val="nil"/>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403" w:type="pct"/>
            <w:tcBorders>
              <w:top w:val="nil"/>
              <w:left w:val="nil"/>
              <w:bottom w:val="nil"/>
              <w:right w:val="nil"/>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8" w:type="pct"/>
            <w:tcBorders>
              <w:top w:val="nil"/>
              <w:left w:val="nil"/>
              <w:bottom w:val="nil"/>
              <w:right w:val="nil"/>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9" w:type="pct"/>
            <w:tcBorders>
              <w:top w:val="nil"/>
              <w:left w:val="nil"/>
              <w:bottom w:val="nil"/>
              <w:right w:val="nil"/>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9" w:type="pct"/>
            <w:tcBorders>
              <w:top w:val="nil"/>
              <w:left w:val="nil"/>
              <w:bottom w:val="nil"/>
              <w:right w:val="nil"/>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634" w:type="pct"/>
            <w:tcBorders>
              <w:top w:val="nil"/>
              <w:left w:val="nil"/>
              <w:bottom w:val="nil"/>
              <w:right w:val="nil"/>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6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合同名称</w:t>
            </w:r>
          </w:p>
        </w:tc>
        <w:tc>
          <w:tcPr>
            <w:tcW w:w="4237" w:type="pct"/>
            <w:gridSpan w:val="8"/>
            <w:tcBorders>
              <w:top w:val="single" w:color="000000" w:sz="8" w:space="0"/>
              <w:left w:val="nil"/>
              <w:bottom w:val="single" w:color="000000" w:sz="8" w:space="0"/>
              <w:right w:val="single" w:color="000000" w:sz="8" w:space="0"/>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62"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供货单位</w:t>
            </w:r>
          </w:p>
        </w:tc>
        <w:tc>
          <w:tcPr>
            <w:tcW w:w="1206" w:type="pct"/>
            <w:gridSpan w:val="2"/>
            <w:tcBorders>
              <w:top w:val="nil"/>
              <w:left w:val="nil"/>
              <w:bottom w:val="single" w:color="000000" w:sz="8" w:space="0"/>
              <w:right w:val="single" w:color="000000" w:sz="8" w:space="0"/>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808" w:type="pct"/>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到货时间</w:t>
            </w:r>
          </w:p>
        </w:tc>
        <w:tc>
          <w:tcPr>
            <w:tcW w:w="2222" w:type="pct"/>
            <w:gridSpan w:val="4"/>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color w:val="auto"/>
                <w:kern w:val="0"/>
                <w:sz w:val="21"/>
                <w:szCs w:val="21"/>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62"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收货单位</w:t>
            </w:r>
          </w:p>
        </w:tc>
        <w:tc>
          <w:tcPr>
            <w:tcW w:w="1206" w:type="pct"/>
            <w:gridSpan w:val="2"/>
            <w:tcBorders>
              <w:top w:val="nil"/>
              <w:left w:val="nil"/>
              <w:bottom w:val="single" w:color="000000" w:sz="8" w:space="0"/>
              <w:right w:val="single" w:color="000000" w:sz="8" w:space="0"/>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808" w:type="pct"/>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验收时间</w:t>
            </w:r>
          </w:p>
        </w:tc>
        <w:tc>
          <w:tcPr>
            <w:tcW w:w="2222" w:type="pct"/>
            <w:gridSpan w:val="4"/>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color w:val="auto"/>
                <w:kern w:val="0"/>
                <w:sz w:val="21"/>
                <w:szCs w:val="21"/>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62" w:type="pct"/>
            <w:vMerge w:val="restart"/>
            <w:tcBorders>
              <w:top w:val="nil"/>
              <w:left w:val="single" w:color="000000" w:sz="8" w:space="0"/>
              <w:bottom w:val="nil"/>
              <w:right w:val="single" w:color="000000" w:sz="8" w:space="0"/>
            </w:tcBorders>
            <w:shd w:val="clear" w:color="auto" w:fill="auto"/>
            <w:noWrap/>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到货清单</w:t>
            </w:r>
          </w:p>
        </w:tc>
        <w:tc>
          <w:tcPr>
            <w:tcW w:w="459"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74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货物名称</w:t>
            </w:r>
          </w:p>
        </w:tc>
        <w:tc>
          <w:tcPr>
            <w:tcW w:w="808" w:type="pct"/>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52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品牌</w:t>
            </w:r>
          </w:p>
        </w:tc>
        <w:tc>
          <w:tcPr>
            <w:tcW w:w="52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2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6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762" w:type="pct"/>
            <w:vMerge w:val="continue"/>
            <w:tcBorders>
              <w:top w:val="nil"/>
              <w:left w:val="single" w:color="000000" w:sz="8" w:space="0"/>
              <w:bottom w:val="nil"/>
              <w:right w:val="single" w:color="000000" w:sz="8" w:space="0"/>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45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746"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808" w:type="pct"/>
            <w:gridSpan w:val="2"/>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8"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634"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62" w:type="pct"/>
            <w:vMerge w:val="continue"/>
            <w:tcBorders>
              <w:top w:val="nil"/>
              <w:left w:val="single" w:color="000000" w:sz="8" w:space="0"/>
              <w:bottom w:val="nil"/>
              <w:right w:val="single" w:color="000000" w:sz="8" w:space="0"/>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45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746"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808" w:type="pct"/>
            <w:gridSpan w:val="2"/>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8"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634"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pct"/>
            <w:vMerge w:val="continue"/>
            <w:tcBorders>
              <w:top w:val="nil"/>
              <w:left w:val="single" w:color="000000" w:sz="8" w:space="0"/>
              <w:bottom w:val="nil"/>
              <w:right w:val="single" w:color="000000" w:sz="8" w:space="0"/>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45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746"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808" w:type="pct"/>
            <w:gridSpan w:val="2"/>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8"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634"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762" w:type="pct"/>
            <w:vMerge w:val="continue"/>
            <w:tcBorders>
              <w:top w:val="nil"/>
              <w:left w:val="single" w:color="000000" w:sz="8" w:space="0"/>
              <w:bottom w:val="nil"/>
              <w:right w:val="single" w:color="000000" w:sz="8" w:space="0"/>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45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746"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808" w:type="pct"/>
            <w:gridSpan w:val="2"/>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8"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634"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2" w:type="pct"/>
            <w:vMerge w:val="continue"/>
            <w:tcBorders>
              <w:top w:val="nil"/>
              <w:left w:val="single" w:color="000000" w:sz="8" w:space="0"/>
              <w:bottom w:val="nil"/>
              <w:right w:val="single" w:color="000000" w:sz="8" w:space="0"/>
            </w:tcBorders>
            <w:shd w:val="clear" w:color="auto" w:fill="auto"/>
            <w:noWrap/>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45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746"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808" w:type="pct"/>
            <w:gridSpan w:val="2"/>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8"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529"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i w:val="0"/>
                <w:iCs w:val="0"/>
                <w:color w:val="auto"/>
                <w:kern w:val="0"/>
                <w:sz w:val="21"/>
                <w:szCs w:val="21"/>
                <w:u w:val="none"/>
              </w:rPr>
            </w:pPr>
          </w:p>
        </w:tc>
        <w:tc>
          <w:tcPr>
            <w:tcW w:w="634" w:type="pct"/>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76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进场检查情况</w:t>
            </w:r>
          </w:p>
        </w:tc>
        <w:tc>
          <w:tcPr>
            <w:tcW w:w="1206" w:type="pct"/>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货物数量是否齐全，如否请备注缺货或错货情况</w:t>
            </w:r>
          </w:p>
        </w:tc>
        <w:tc>
          <w:tcPr>
            <w:tcW w:w="3030" w:type="pct"/>
            <w:gridSpan w:val="6"/>
            <w:tcBorders>
              <w:top w:val="nil"/>
              <w:left w:val="nil"/>
              <w:bottom w:val="nil"/>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 xml:space="preserve">是   </w:t>
            </w: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1206" w:type="pct"/>
            <w:gridSpan w:val="2"/>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both"/>
              <w:rPr>
                <w:rFonts w:hint="eastAsia" w:ascii="宋体" w:hAnsi="宋体" w:eastAsia="宋体" w:cs="宋体"/>
                <w:i w:val="0"/>
                <w:iCs w:val="0"/>
                <w:color w:val="auto"/>
                <w:kern w:val="0"/>
                <w:sz w:val="21"/>
                <w:szCs w:val="21"/>
                <w:u w:val="none"/>
              </w:rPr>
            </w:pPr>
          </w:p>
        </w:tc>
        <w:tc>
          <w:tcPr>
            <w:tcW w:w="3030"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1206" w:type="pct"/>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货物是否完好无损，如否请备注货损情况</w:t>
            </w:r>
          </w:p>
        </w:tc>
        <w:tc>
          <w:tcPr>
            <w:tcW w:w="3030" w:type="pct"/>
            <w:gridSpan w:val="6"/>
            <w:tcBorders>
              <w:top w:val="nil"/>
              <w:left w:val="nil"/>
              <w:bottom w:val="nil"/>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 xml:space="preserve">是   </w:t>
            </w: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7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1206" w:type="pct"/>
            <w:gridSpan w:val="2"/>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both"/>
              <w:rPr>
                <w:rFonts w:hint="eastAsia" w:ascii="宋体" w:hAnsi="宋体" w:eastAsia="宋体" w:cs="宋体"/>
                <w:i w:val="0"/>
                <w:iCs w:val="0"/>
                <w:color w:val="auto"/>
                <w:kern w:val="0"/>
                <w:sz w:val="21"/>
                <w:szCs w:val="21"/>
                <w:u w:val="none"/>
              </w:rPr>
            </w:pPr>
          </w:p>
        </w:tc>
        <w:tc>
          <w:tcPr>
            <w:tcW w:w="3030"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1206" w:type="pct"/>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随货物备品备件和专用工具情况，如有缺请备注</w:t>
            </w:r>
          </w:p>
        </w:tc>
        <w:tc>
          <w:tcPr>
            <w:tcW w:w="3030" w:type="pct"/>
            <w:gridSpan w:val="6"/>
            <w:tcBorders>
              <w:top w:val="nil"/>
              <w:left w:val="nil"/>
              <w:bottom w:val="nil"/>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 xml:space="preserve">是   </w:t>
            </w: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1206" w:type="pct"/>
            <w:gridSpan w:val="2"/>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both"/>
              <w:rPr>
                <w:rFonts w:hint="eastAsia" w:ascii="宋体" w:hAnsi="宋体" w:eastAsia="宋体" w:cs="宋体"/>
                <w:i w:val="0"/>
                <w:iCs w:val="0"/>
                <w:color w:val="auto"/>
                <w:kern w:val="0"/>
                <w:sz w:val="21"/>
                <w:szCs w:val="21"/>
                <w:u w:val="none"/>
              </w:rPr>
            </w:pPr>
          </w:p>
        </w:tc>
        <w:tc>
          <w:tcPr>
            <w:tcW w:w="3030"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1206" w:type="pct"/>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货物和配件材质是否相符，如否请备注情况</w:t>
            </w:r>
          </w:p>
        </w:tc>
        <w:tc>
          <w:tcPr>
            <w:tcW w:w="3030" w:type="pct"/>
            <w:gridSpan w:val="6"/>
            <w:tcBorders>
              <w:top w:val="nil"/>
              <w:left w:val="nil"/>
              <w:bottom w:val="nil"/>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 xml:space="preserve">是   </w:t>
            </w: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7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1206" w:type="pct"/>
            <w:gridSpan w:val="2"/>
            <w:vMerge w:val="continue"/>
            <w:tcBorders>
              <w:top w:val="nil"/>
              <w:left w:val="nil"/>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both"/>
              <w:rPr>
                <w:rFonts w:hint="eastAsia" w:ascii="宋体" w:hAnsi="宋体" w:eastAsia="宋体" w:cs="宋体"/>
                <w:i w:val="0"/>
                <w:iCs w:val="0"/>
                <w:color w:val="auto"/>
                <w:kern w:val="0"/>
                <w:sz w:val="21"/>
                <w:szCs w:val="21"/>
                <w:u w:val="none"/>
              </w:rPr>
            </w:pPr>
          </w:p>
        </w:tc>
        <w:tc>
          <w:tcPr>
            <w:tcW w:w="3030"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1206" w:type="pct"/>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货物和配件性能参数是否相符，如否请备注情况</w:t>
            </w:r>
          </w:p>
        </w:tc>
        <w:tc>
          <w:tcPr>
            <w:tcW w:w="3030" w:type="pct"/>
            <w:gridSpan w:val="6"/>
            <w:tcBorders>
              <w:top w:val="nil"/>
              <w:left w:val="nil"/>
              <w:bottom w:val="nil"/>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 xml:space="preserve">是   </w:t>
            </w: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76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1206" w:type="pct"/>
            <w:gridSpan w:val="2"/>
            <w:vMerge w:val="continue"/>
            <w:tcBorders>
              <w:top w:val="nil"/>
              <w:left w:val="nil"/>
              <w:bottom w:val="single" w:color="auto"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both"/>
              <w:rPr>
                <w:rFonts w:hint="eastAsia" w:ascii="宋体" w:hAnsi="宋体" w:eastAsia="宋体" w:cs="宋体"/>
                <w:i w:val="0"/>
                <w:iCs w:val="0"/>
                <w:color w:val="auto"/>
                <w:kern w:val="0"/>
                <w:sz w:val="21"/>
                <w:szCs w:val="21"/>
                <w:u w:val="none"/>
              </w:rPr>
            </w:pPr>
          </w:p>
        </w:tc>
        <w:tc>
          <w:tcPr>
            <w:tcW w:w="3030" w:type="pct"/>
            <w:gridSpan w:val="6"/>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62" w:type="pct"/>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120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到货资料检查</w:t>
            </w:r>
          </w:p>
        </w:tc>
        <w:tc>
          <w:tcPr>
            <w:tcW w:w="3030" w:type="pct"/>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产品说明书、</w:t>
            </w: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产品合格证、</w:t>
            </w: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保修单、</w:t>
            </w: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出厂检测报告、</w:t>
            </w: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 xml:space="preserve">技术图纸、其它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62" w:type="pct"/>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120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是否需要送检</w:t>
            </w:r>
          </w:p>
        </w:tc>
        <w:tc>
          <w:tcPr>
            <w:tcW w:w="3030" w:type="pct"/>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firstLineChars="40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 xml:space="preserve">是            </w:t>
            </w:r>
            <w:r>
              <w:rPr>
                <w:rFonts w:hint="eastAsia" w:ascii="宋体" w:hAnsi="宋体" w:eastAsia="宋体" w:cs="宋体"/>
                <w:color w:val="auto"/>
                <w:kern w:val="0"/>
                <w:sz w:val="21"/>
                <w:szCs w:val="21"/>
                <w:u w:val="none"/>
                <w:lang w:val="en-US" w:eastAsia="zh-CN" w:bidi="ar"/>
              </w:rPr>
              <w:sym w:font="Wingdings 2" w:char="00A3"/>
            </w:r>
            <w:r>
              <w:rPr>
                <w:rFonts w:hint="eastAsia" w:ascii="宋体" w:hAnsi="宋体" w:eastAsia="宋体" w:cs="宋体"/>
                <w:color w:val="auto"/>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2" w:type="pct"/>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1206" w:type="pct"/>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其他问题</w:t>
            </w:r>
          </w:p>
        </w:tc>
        <w:tc>
          <w:tcPr>
            <w:tcW w:w="3030" w:type="pct"/>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both"/>
              <w:rPr>
                <w:rFonts w:hint="eastAsia" w:ascii="宋体" w:hAnsi="宋体" w:eastAsia="宋体" w:cs="宋体"/>
                <w:i w:val="0"/>
                <w:iCs w:val="0"/>
                <w:color w:val="auto"/>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969" w:type="pct"/>
            <w:gridSpan w:val="3"/>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现场到货验收意见</w:t>
            </w:r>
          </w:p>
        </w:tc>
        <w:tc>
          <w:tcPr>
            <w:tcW w:w="3030" w:type="pct"/>
            <w:gridSpan w:val="6"/>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例如：货物数量、规格与采购相符，无损坏，经安装调试可正常使用，符合合同规定质量要求。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969"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c>
          <w:tcPr>
            <w:tcW w:w="3030" w:type="pct"/>
            <w:gridSpan w:val="6"/>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i w:val="0"/>
                <w:iCs w:val="0"/>
                <w:color w:val="auto"/>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9"/>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rPr>
            </w:pPr>
            <w:r>
              <w:rPr>
                <w:rFonts w:hint="eastAsia" w:ascii="宋体" w:hAnsi="宋体" w:eastAsia="宋体" w:cs="宋体"/>
                <w:color w:val="auto"/>
                <w:kern w:val="0"/>
                <w:sz w:val="21"/>
                <w:szCs w:val="21"/>
                <w:u w:val="none"/>
                <w:lang w:val="en-US" w:eastAsia="zh-CN" w:bidi="ar"/>
              </w:rPr>
              <w:t>参 加  验 收 的 单 位 和 代 表 （签 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373" w:type="pct"/>
            <w:gridSpan w:val="4"/>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autoSpaceDE w:val="0"/>
              <w:autoSpaceDN w:val="0"/>
              <w:adjustRightInd w:val="0"/>
              <w:spacing w:before="0" w:beforeAutospacing="0" w:after="0" w:afterAutospacing="0"/>
              <w:ind w:left="0" w:right="0"/>
              <w:jc w:val="both"/>
              <w:textAlignment w:val="top"/>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供货单位：</w:t>
            </w:r>
          </w:p>
        </w:tc>
        <w:tc>
          <w:tcPr>
            <w:tcW w:w="2626" w:type="pct"/>
            <w:gridSpan w:val="5"/>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autoSpaceDE w:val="0"/>
              <w:autoSpaceDN w:val="0"/>
              <w:adjustRightInd w:val="0"/>
              <w:spacing w:before="0" w:beforeAutospacing="0" w:after="0" w:afterAutospacing="0"/>
              <w:ind w:left="0" w:right="0"/>
              <w:jc w:val="both"/>
              <w:textAlignment w:val="top"/>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采购单位：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000" w:type="pct"/>
            <w:gridSpan w:val="9"/>
            <w:tcBorders>
              <w:top w:val="nil"/>
              <w:left w:val="single" w:color="000000" w:sz="8" w:space="0"/>
              <w:bottom w:val="single" w:color="000000" w:sz="8" w:space="0"/>
              <w:right w:val="single" w:color="000000" w:sz="8" w:space="0"/>
            </w:tcBorders>
            <w:shd w:val="clear" w:color="auto" w:fill="auto"/>
            <w:noWrap/>
            <w:vAlign w:val="top"/>
          </w:tcPr>
          <w:p>
            <w:pPr>
              <w:keepNext w:val="0"/>
              <w:keepLines w:val="0"/>
              <w:widowControl/>
              <w:suppressLineNumbers w:val="0"/>
              <w:autoSpaceDE w:val="0"/>
              <w:autoSpaceDN w:val="0"/>
              <w:adjustRightInd w:val="0"/>
              <w:spacing w:before="0" w:beforeAutospacing="0" w:after="0" w:afterAutospacing="0"/>
              <w:ind w:left="0" w:right="0"/>
              <w:jc w:val="both"/>
              <w:textAlignment w:val="top"/>
              <w:rPr>
                <w:rFonts w:hint="eastAsia" w:ascii="宋体" w:hAnsi="宋体" w:eastAsia="宋体" w:cs="宋体"/>
                <w:i w:val="0"/>
                <w:iCs w:val="0"/>
                <w:color w:val="auto"/>
                <w:kern w:val="0"/>
                <w:sz w:val="21"/>
                <w:szCs w:val="21"/>
                <w:u w:val="none"/>
              </w:rPr>
            </w:pPr>
            <w:r>
              <w:rPr>
                <w:rFonts w:hint="eastAsia" w:ascii="宋体" w:hAnsi="宋体" w:eastAsia="宋体" w:cs="宋体"/>
                <w:i w:val="0"/>
                <w:iCs w:val="0"/>
                <w:color w:val="auto"/>
                <w:kern w:val="0"/>
                <w:sz w:val="21"/>
                <w:szCs w:val="21"/>
                <w:u w:val="none"/>
                <w:lang w:val="en-US" w:eastAsia="zh-CN" w:bidi="ar"/>
              </w:rPr>
              <w:t>注：对于需要安装、调试并最终验收的货物，本验收表签署仅代表货物到场，不代表完全认可货物的质量，不代表货物所有权转移。</w:t>
            </w:r>
          </w:p>
        </w:tc>
      </w:tr>
    </w:tbl>
    <w:p>
      <w:pPr>
        <w:rPr>
          <w:rFonts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br w:type="page"/>
      </w:r>
    </w:p>
    <w:p>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12" w:name="_Toc447044603"/>
      <w:bookmarkStart w:id="413" w:name="_Toc22246"/>
      <w:bookmarkStart w:id="414" w:name="_Toc142508360"/>
      <w:bookmarkStart w:id="415" w:name="_Toc24427_WPSOffice_Level1"/>
      <w:bookmarkStart w:id="416" w:name="_Toc447045090"/>
      <w:bookmarkStart w:id="417" w:name="_Toc512353083"/>
      <w:bookmarkStart w:id="418" w:name="_Toc447044479"/>
      <w:bookmarkStart w:id="419" w:name="_Toc20895"/>
      <w:bookmarkStart w:id="420" w:name="_Toc4388"/>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12"/>
      <w:bookmarkEnd w:id="413"/>
      <w:bookmarkEnd w:id="414"/>
      <w:bookmarkEnd w:id="415"/>
      <w:bookmarkEnd w:id="416"/>
      <w:bookmarkEnd w:id="417"/>
      <w:bookmarkEnd w:id="418"/>
      <w:bookmarkEnd w:id="419"/>
      <w:bookmarkEnd w:id="420"/>
      <w:bookmarkStart w:id="421" w:name="_Toc447045091"/>
      <w:bookmarkStart w:id="422" w:name="_Toc447044480"/>
      <w:bookmarkStart w:id="423" w:name="_Toc447044604"/>
    </w:p>
    <w:p>
      <w:pPr>
        <w:autoSpaceDE w:val="0"/>
        <w:autoSpaceDN w:val="0"/>
        <w:adjustRightInd w:val="0"/>
        <w:spacing w:after="120" w:afterLines="50" w:line="360" w:lineRule="auto"/>
        <w:jc w:val="left"/>
        <w:outlineLvl w:val="2"/>
        <w:rPr>
          <w:rFonts w:ascii="宋体" w:hAnsi="宋体" w:eastAsia="宋体" w:cs="Times New Roman"/>
          <w:b/>
          <w:color w:val="auto"/>
          <w:kern w:val="0"/>
          <w:sz w:val="28"/>
          <w:szCs w:val="28"/>
          <w:highlight w:val="none"/>
        </w:rPr>
      </w:pPr>
      <w:bookmarkStart w:id="424" w:name="_Toc22351"/>
      <w:bookmarkStart w:id="425" w:name="_Toc26521_WPSOffice_Level2"/>
      <w:r>
        <w:rPr>
          <w:rFonts w:hint="eastAsia" w:ascii="宋体" w:hAnsi="宋体" w:eastAsia="宋体" w:cs="Times New Roman"/>
          <w:b/>
          <w:color w:val="auto"/>
          <w:kern w:val="0"/>
          <w:sz w:val="28"/>
          <w:szCs w:val="28"/>
          <w:highlight w:val="none"/>
        </w:rPr>
        <w:t>一、不可撤销银行履约保函格式</w:t>
      </w:r>
      <w:bookmarkEnd w:id="421"/>
      <w:bookmarkEnd w:id="422"/>
      <w:bookmarkEnd w:id="423"/>
      <w:bookmarkEnd w:id="424"/>
      <w:bookmarkEnd w:id="425"/>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lang w:eastAsia="zh-CN"/>
        </w:rPr>
        <w:t>东莞市置拓投资有限公司水业大厦食堂设备设施采购项目</w:t>
      </w:r>
      <w:r>
        <w:rPr>
          <w:rFonts w:ascii="宋体" w:hAnsi="宋体" w:eastAsia="宋体" w:cs="宋体"/>
          <w:color w:val="auto"/>
          <w:kern w:val="0"/>
          <w:szCs w:val="21"/>
          <w:highlight w:val="none"/>
          <w:u w:val="single"/>
        </w:rPr>
        <w:t>（招标编号：</w:t>
      </w:r>
      <w:r>
        <w:rPr>
          <w:rFonts w:hint="eastAsia" w:ascii="宋体" w:hAnsi="宋体" w:eastAsia="宋体" w:cs="宋体"/>
          <w:color w:val="auto"/>
          <w:kern w:val="0"/>
          <w:szCs w:val="21"/>
          <w:highlight w:val="none"/>
          <w:u w:val="single"/>
          <w:lang w:eastAsia="zh-CN"/>
        </w:rPr>
        <w:t>0832-SFCX25DG030A</w:t>
      </w:r>
      <w:r>
        <w:rPr>
          <w:rFonts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eastAsia" w:ascii="宋体" w:hAnsi="宋体" w:eastAsia="宋体" w:cs="Times New Roman"/>
          <w:color w:val="auto"/>
          <w:kern w:val="0"/>
          <w:szCs w:val="21"/>
        </w:rPr>
        <w:t>自合同签订之日起至</w:t>
      </w:r>
      <w:r>
        <w:rPr>
          <w:rFonts w:hint="eastAsia" w:ascii="宋体" w:hAnsi="宋体" w:eastAsia="宋体" w:cs="Times New Roman"/>
          <w:color w:val="auto"/>
          <w:kern w:val="0"/>
          <w:szCs w:val="21"/>
          <w:lang w:val="en-US" w:eastAsia="zh-CN"/>
        </w:rPr>
        <w:t>合同期限届满并全部货物经最终验收合格</w:t>
      </w:r>
      <w:r>
        <w:rPr>
          <w:rFonts w:hint="eastAsia" w:ascii="宋体" w:hAnsi="宋体" w:eastAsia="宋体" w:cs="Times New Roman"/>
          <w:color w:val="auto"/>
          <w:kern w:val="0"/>
          <w:szCs w:val="21"/>
        </w:rPr>
        <w:t>后二十八（28）日内保持有效</w:t>
      </w:r>
      <w:r>
        <w:rPr>
          <w:rFonts w:hint="eastAsia" w:ascii="宋体" w:hAnsi="宋体" w:eastAsia="宋体" w:cs="Times New Roman"/>
          <w:color w:val="auto"/>
          <w:kern w:val="0"/>
          <w:szCs w:val="21"/>
          <w:highlight w:val="none"/>
        </w:rPr>
        <w:t>。</w:t>
      </w:r>
    </w:p>
    <w:p>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pPr>
        <w:widowControl/>
        <w:autoSpaceDE w:val="0"/>
        <w:autoSpaceDN w:val="0"/>
        <w:adjustRightInd w:val="0"/>
        <w:spacing w:beforeLines="0" w:afterLines="0" w:line="360" w:lineRule="auto"/>
        <w:ind w:firstLine="4410" w:firstLineChars="21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担 保 银 行：</w:t>
      </w:r>
      <w:r>
        <w:rPr>
          <w:rFonts w:hint="eastAsia" w:ascii="宋体" w:hAnsi="宋体" w:eastAsia="宋体" w:cs="宋体"/>
          <w:kern w:val="0"/>
          <w:sz w:val="21"/>
          <w:szCs w:val="21"/>
          <w:u w:val="single"/>
        </w:rPr>
        <w:t xml:space="preserve">          银行全称          (盖章)   </w:t>
      </w:r>
    </w:p>
    <w:p>
      <w:pPr>
        <w:widowControl/>
        <w:autoSpaceDE w:val="0"/>
        <w:autoSpaceDN w:val="0"/>
        <w:adjustRightInd w:val="0"/>
        <w:spacing w:beforeLines="0" w:afterLines="0" w:line="360" w:lineRule="auto"/>
        <w:ind w:firstLine="4410" w:firstLineChars="2100"/>
        <w:jc w:val="left"/>
        <w:rPr>
          <w:rFonts w:hint="eastAsia" w:ascii="宋体" w:hAnsi="宋体" w:eastAsia="宋体"/>
          <w:sz w:val="21"/>
          <w:szCs w:val="21"/>
          <w:u w:val="single"/>
        </w:rPr>
      </w:pPr>
      <w:r>
        <w:rPr>
          <w:rFonts w:hint="eastAsia" w:ascii="宋体" w:hAnsi="宋体" w:eastAsia="宋体"/>
          <w:sz w:val="21"/>
          <w:szCs w:val="21"/>
        </w:rPr>
        <w:t>联系电话：</w:t>
      </w:r>
      <w:r>
        <w:rPr>
          <w:rFonts w:hint="eastAsia" w:ascii="宋体" w:hAnsi="宋体" w:eastAsia="宋体"/>
          <w:sz w:val="21"/>
          <w:szCs w:val="21"/>
          <w:u w:val="single"/>
        </w:rPr>
        <w:t xml:space="preserve">                                        </w:t>
      </w:r>
    </w:p>
    <w:p>
      <w:pPr>
        <w:widowControl/>
        <w:autoSpaceDE w:val="0"/>
        <w:autoSpaceDN w:val="0"/>
        <w:adjustRightInd w:val="0"/>
        <w:spacing w:beforeLines="0" w:afterLines="0" w:line="360" w:lineRule="auto"/>
        <w:ind w:firstLine="4410" w:firstLineChars="21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联系人：</w:t>
      </w:r>
      <w:r>
        <w:rPr>
          <w:rFonts w:hint="eastAsia" w:ascii="宋体" w:hAnsi="宋体" w:eastAsia="宋体" w:cs="宋体"/>
          <w:kern w:val="0"/>
          <w:sz w:val="21"/>
          <w:szCs w:val="21"/>
          <w:u w:val="single"/>
        </w:rPr>
        <w:t xml:space="preserve">                                          </w:t>
      </w:r>
    </w:p>
    <w:p>
      <w:pPr>
        <w:widowControl/>
        <w:autoSpaceDE w:val="0"/>
        <w:autoSpaceDN w:val="0"/>
        <w:adjustRightInd w:val="0"/>
        <w:spacing w:beforeLines="0" w:afterLines="0" w:line="360" w:lineRule="auto"/>
        <w:ind w:firstLine="4410" w:firstLineChars="21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法定代表人或其授权的代表人：</w:t>
      </w:r>
      <w:r>
        <w:rPr>
          <w:rFonts w:hint="eastAsia" w:ascii="宋体" w:hAnsi="宋体" w:eastAsia="宋体" w:cs="宋体"/>
          <w:kern w:val="0"/>
          <w:sz w:val="21"/>
          <w:szCs w:val="21"/>
          <w:u w:val="single"/>
        </w:rPr>
        <w:t xml:space="preserve">       (职务)         </w:t>
      </w:r>
    </w:p>
    <w:p>
      <w:pPr>
        <w:widowControl/>
        <w:autoSpaceDE w:val="0"/>
        <w:autoSpaceDN w:val="0"/>
        <w:adjustRightInd w:val="0"/>
        <w:spacing w:beforeLines="0" w:afterLines="0" w:line="360" w:lineRule="auto"/>
        <w:ind w:firstLine="7350" w:firstLineChars="3500"/>
        <w:jc w:val="left"/>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(姓名)         </w:t>
      </w:r>
    </w:p>
    <w:p>
      <w:pPr>
        <w:widowControl/>
        <w:autoSpaceDE w:val="0"/>
        <w:autoSpaceDN w:val="0"/>
        <w:adjustRightInd w:val="0"/>
        <w:spacing w:beforeLines="0" w:afterLines="0" w:line="360" w:lineRule="auto"/>
        <w:ind w:left="0" w:firstLine="7350" w:firstLineChars="3500"/>
        <w:jc w:val="left"/>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(签章)         </w:t>
      </w:r>
    </w:p>
    <w:p>
      <w:pPr>
        <w:widowControl/>
        <w:autoSpaceDE w:val="0"/>
        <w:autoSpaceDN w:val="0"/>
        <w:adjustRightInd w:val="0"/>
        <w:spacing w:beforeLines="0" w:afterLines="0" w:line="360" w:lineRule="auto"/>
        <w:ind w:left="0" w:firstLine="7350" w:firstLineChars="3500"/>
        <w:jc w:val="left"/>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widowControl/>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p>
    <w:p>
      <w:pPr>
        <w:numPr>
          <w:ilvl w:val="0"/>
          <w:numId w:val="0"/>
        </w:numPr>
        <w:outlineLvl w:val="2"/>
        <w:rPr>
          <w:rFonts w:hint="eastAsia" w:ascii="宋体" w:hAnsi="宋体" w:eastAsia="宋体" w:cs="Times New Roman"/>
          <w:b/>
          <w:color w:val="auto"/>
          <w:kern w:val="0"/>
          <w:sz w:val="28"/>
          <w:szCs w:val="28"/>
          <w:highlight w:val="none"/>
          <w:lang w:val="en-US" w:eastAsia="zh-CN"/>
        </w:rPr>
      </w:pPr>
      <w:bookmarkStart w:id="426" w:name="_Toc10962"/>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bookmarkEnd w:id="426"/>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lang w:eastAsia="zh-CN"/>
        </w:rPr>
        <w:t>东莞市置拓投资有限公司水业大厦食堂设备设施采购项目</w:t>
      </w:r>
      <w:r>
        <w:rPr>
          <w:rFonts w:ascii="宋体" w:hAnsi="宋体" w:eastAsia="宋体" w:cs="Times New Roman"/>
          <w:color w:val="auto"/>
          <w:kern w:val="0"/>
          <w:szCs w:val="21"/>
          <w:highlight w:val="none"/>
          <w:u w:val="single"/>
        </w:rPr>
        <w:t>（招标编号：</w:t>
      </w:r>
      <w:r>
        <w:rPr>
          <w:rFonts w:hint="eastAsia" w:ascii="宋体" w:hAnsi="宋体" w:eastAsia="宋体" w:cs="Times New Roman"/>
          <w:color w:val="auto"/>
          <w:kern w:val="0"/>
          <w:szCs w:val="21"/>
          <w:highlight w:val="none"/>
          <w:u w:val="single"/>
          <w:lang w:eastAsia="zh-CN"/>
        </w:rPr>
        <w:t>0832-SFCX25DG030A</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lang w:eastAsia="zh-CN"/>
        </w:rPr>
        <w:t>东莞市置拓投资有限公司水业大厦食堂设备设施采购项目</w:t>
      </w:r>
      <w:r>
        <w:rPr>
          <w:rFonts w:ascii="宋体" w:hAnsi="宋体" w:eastAsia="宋体" w:cs="Times New Roman"/>
          <w:color w:val="auto"/>
          <w:kern w:val="0"/>
          <w:szCs w:val="21"/>
          <w:highlight w:val="none"/>
          <w:u w:val="single"/>
        </w:rPr>
        <w:t>（招标编号：</w:t>
      </w:r>
      <w:r>
        <w:rPr>
          <w:rFonts w:hint="eastAsia" w:ascii="宋体" w:hAnsi="宋体" w:eastAsia="宋体" w:cs="Times New Roman"/>
          <w:color w:val="auto"/>
          <w:kern w:val="0"/>
          <w:szCs w:val="21"/>
          <w:highlight w:val="none"/>
          <w:u w:val="single"/>
          <w:lang w:eastAsia="zh-CN"/>
        </w:rPr>
        <w:t>0832-SFCX25DG030A</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w:t>
      </w:r>
      <w:r>
        <w:rPr>
          <w:rFonts w:hint="eastAsia" w:ascii="宋体" w:hAnsi="宋体" w:eastAsia="宋体" w:cs="Times New Roman"/>
          <w:color w:val="auto"/>
          <w:kern w:val="0"/>
          <w:szCs w:val="21"/>
        </w:rPr>
        <w:t>自合同签订之日起至</w:t>
      </w:r>
      <w:r>
        <w:rPr>
          <w:rFonts w:hint="eastAsia" w:ascii="宋体" w:hAnsi="宋体" w:eastAsia="宋体" w:cs="Times New Roman"/>
          <w:color w:val="auto"/>
          <w:kern w:val="0"/>
          <w:szCs w:val="21"/>
          <w:lang w:val="en-US" w:eastAsia="zh-CN"/>
        </w:rPr>
        <w:t>合同期限届满并全部货物经最终验收合格</w:t>
      </w:r>
      <w:r>
        <w:rPr>
          <w:rFonts w:hint="eastAsia" w:ascii="宋体" w:hAnsi="宋体" w:eastAsia="宋体" w:cs="Times New Roman"/>
          <w:color w:val="auto"/>
          <w:kern w:val="0"/>
          <w:szCs w:val="21"/>
        </w:rPr>
        <w:t>后二十八（28）日内保持有效</w:t>
      </w:r>
      <w:r>
        <w:rPr>
          <w:rFonts w:hint="eastAsia"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pPr>
        <w:autoSpaceDE w:val="0"/>
        <w:autoSpaceDN w:val="0"/>
        <w:adjustRightInd w:val="0"/>
        <w:spacing w:beforeLines="0" w:afterLines="0" w:line="360" w:lineRule="auto"/>
        <w:ind w:firstLine="437"/>
        <w:jc w:val="center"/>
        <w:rPr>
          <w:rFonts w:hint="eastAsia" w:ascii="宋体" w:hAnsi="宋体" w:eastAsia="宋体" w:cs="宋体"/>
          <w:kern w:val="0"/>
          <w:sz w:val="21"/>
          <w:szCs w:val="21"/>
          <w:u w:val="singl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kern w:val="0"/>
          <w:sz w:val="21"/>
          <w:szCs w:val="21"/>
        </w:rPr>
        <w:t xml:space="preserve"> 保险人：</w:t>
      </w:r>
      <w:r>
        <w:rPr>
          <w:rFonts w:hint="eastAsia" w:ascii="宋体" w:hAnsi="宋体" w:eastAsia="宋体" w:cs="宋体"/>
          <w:kern w:val="0"/>
          <w:sz w:val="21"/>
          <w:szCs w:val="21"/>
          <w:u w:val="single"/>
        </w:rPr>
        <w:t xml:space="preserve">         （盖章）        </w:t>
      </w:r>
    </w:p>
    <w:p>
      <w:pPr>
        <w:wordWrap/>
        <w:autoSpaceDE w:val="0"/>
        <w:autoSpaceDN w:val="0"/>
        <w:adjustRightInd w:val="0"/>
        <w:spacing w:beforeLines="0" w:afterLines="0" w:line="360" w:lineRule="auto"/>
        <w:ind w:firstLine="437"/>
        <w:jc w:val="center"/>
        <w:rPr>
          <w:rFonts w:hint="eastAsia" w:ascii="宋体" w:hAnsi="宋体" w:eastAsia="宋体"/>
          <w:sz w:val="21"/>
          <w:szCs w:val="21"/>
          <w:u w:val="single"/>
        </w:rPr>
      </w:pPr>
      <w:r>
        <w:rPr>
          <w:rFonts w:hint="eastAsia" w:ascii="宋体" w:hAnsi="宋体" w:eastAsia="宋体"/>
          <w:sz w:val="21"/>
          <w:szCs w:val="21"/>
        </w:rPr>
        <w:t xml:space="preserve">                               联系电话：</w:t>
      </w:r>
      <w:r>
        <w:rPr>
          <w:rFonts w:hint="eastAsia" w:ascii="宋体" w:hAnsi="宋体" w:eastAsia="宋体"/>
          <w:sz w:val="21"/>
          <w:szCs w:val="21"/>
          <w:u w:val="single"/>
        </w:rPr>
        <w:t xml:space="preserve">                       </w:t>
      </w:r>
    </w:p>
    <w:p>
      <w:pPr>
        <w:wordWrap/>
        <w:autoSpaceDE w:val="0"/>
        <w:autoSpaceDN w:val="0"/>
        <w:adjustRightInd w:val="0"/>
        <w:spacing w:beforeLines="0" w:afterLines="0" w:line="360" w:lineRule="auto"/>
        <w:ind w:firstLine="437"/>
        <w:jc w:val="center"/>
        <w:rPr>
          <w:rFonts w:hint="eastAsia" w:ascii="宋体" w:hAnsi="宋体" w:eastAsia="宋体" w:cs="宋体"/>
          <w:kern w:val="0"/>
          <w:sz w:val="21"/>
          <w:szCs w:val="21"/>
        </w:rPr>
      </w:pPr>
      <w:r>
        <w:rPr>
          <w:rFonts w:hint="eastAsia" w:ascii="宋体" w:hAnsi="宋体" w:eastAsia="宋体"/>
          <w:sz w:val="21"/>
          <w:szCs w:val="21"/>
          <w:u w:val="none"/>
          <w:lang w:val="en-US" w:eastAsia="zh-CN"/>
        </w:rPr>
        <w:t xml:space="preserve">                             </w:t>
      </w:r>
      <w:r>
        <w:rPr>
          <w:rFonts w:hint="eastAsia" w:ascii="宋体" w:hAnsi="宋体" w:eastAsia="宋体" w:cs="宋体"/>
          <w:kern w:val="0"/>
          <w:sz w:val="21"/>
          <w:szCs w:val="21"/>
        </w:rPr>
        <w:t>联系人：</w:t>
      </w:r>
      <w:r>
        <w:rPr>
          <w:rFonts w:hint="eastAsia" w:ascii="宋体" w:hAnsi="宋体" w:eastAsia="宋体" w:cs="宋体"/>
          <w:kern w:val="0"/>
          <w:sz w:val="21"/>
          <w:szCs w:val="21"/>
          <w:u w:val="single"/>
        </w:rPr>
        <w:t xml:space="preserve">                        </w:t>
      </w:r>
    </w:p>
    <w:p>
      <w:pPr>
        <w:autoSpaceDE w:val="0"/>
        <w:autoSpaceDN w:val="0"/>
        <w:adjustRightInd w:val="0"/>
        <w:spacing w:beforeLines="0" w:afterLines="0" w:line="360" w:lineRule="auto"/>
        <w:ind w:firstLine="437"/>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法定代表人或授权代理人：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w:t>
      </w:r>
    </w:p>
    <w:p>
      <w:pPr>
        <w:autoSpaceDE w:val="0"/>
        <w:autoSpaceDN w:val="0"/>
        <w:adjustRightInd w:val="0"/>
        <w:spacing w:beforeLines="0" w:afterLines="0"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kern w:val="0"/>
          <w:sz w:val="21"/>
          <w:szCs w:val="21"/>
        </w:rPr>
        <w:t xml:space="preserve">                                                      年 月 日 </w:t>
      </w:r>
    </w:p>
    <w:p>
      <w:pPr>
        <w:jc w:val="both"/>
        <w:rPr>
          <w:rFonts w:hint="eastAsia"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br w:type="page"/>
      </w:r>
    </w:p>
    <w:p>
      <w:pPr>
        <w:autoSpaceDE w:val="0"/>
        <w:autoSpaceDN w:val="0"/>
        <w:adjustRightInd w:val="0"/>
        <w:spacing w:after="120" w:afterLines="50" w:line="360" w:lineRule="auto"/>
        <w:jc w:val="left"/>
        <w:outlineLvl w:val="2"/>
        <w:rPr>
          <w:rFonts w:ascii="宋体" w:hAnsi="宋体" w:eastAsia="宋体" w:cs="Times New Roman"/>
          <w:b/>
          <w:color w:val="auto"/>
          <w:kern w:val="0"/>
          <w:sz w:val="28"/>
          <w:szCs w:val="28"/>
          <w:highlight w:val="none"/>
        </w:rPr>
      </w:pPr>
      <w:bookmarkStart w:id="427" w:name="_Toc5059"/>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bookmarkEnd w:id="427"/>
    </w:p>
    <w:p>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hint="eastAsia" w:ascii="宋体" w:hAnsi="宋体" w:eastAsia="宋体" w:cs="宋体"/>
          <w:color w:val="auto"/>
          <w:kern w:val="0"/>
          <w:szCs w:val="21"/>
          <w:highlight w:val="none"/>
          <w:u w:val="single"/>
          <w:lang w:eastAsia="zh-CN"/>
        </w:rPr>
        <w:t>东莞市置拓投资有限公司水业大厦食堂设备设施采购项目</w:t>
      </w:r>
      <w:r>
        <w:rPr>
          <w:rFonts w:ascii="宋体" w:hAnsi="宋体" w:eastAsia="宋体" w:cs="Times New Roman"/>
          <w:color w:val="auto"/>
          <w:kern w:val="0"/>
          <w:szCs w:val="21"/>
          <w:highlight w:val="none"/>
          <w:u w:val="single"/>
        </w:rPr>
        <w:t>（招标编号：</w:t>
      </w:r>
      <w:r>
        <w:rPr>
          <w:rFonts w:hint="eastAsia" w:ascii="宋体" w:hAnsi="宋体" w:eastAsia="宋体" w:cs="Times New Roman"/>
          <w:color w:val="auto"/>
          <w:kern w:val="0"/>
          <w:szCs w:val="21"/>
          <w:highlight w:val="none"/>
          <w:u w:val="single"/>
          <w:lang w:eastAsia="zh-CN"/>
        </w:rPr>
        <w:t>0832-SFCX25DG030A</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eastAsia" w:ascii="宋体" w:hAnsi="宋体" w:eastAsia="宋体" w:cs="Times New Roman"/>
          <w:color w:val="auto"/>
          <w:kern w:val="0"/>
          <w:szCs w:val="21"/>
        </w:rPr>
        <w:t>自合同签订之日起至</w:t>
      </w:r>
      <w:r>
        <w:rPr>
          <w:rFonts w:hint="eastAsia" w:ascii="宋体" w:hAnsi="宋体" w:eastAsia="宋体" w:cs="Times New Roman"/>
          <w:color w:val="auto"/>
          <w:kern w:val="0"/>
          <w:szCs w:val="21"/>
          <w:lang w:val="en-US" w:eastAsia="zh-CN"/>
        </w:rPr>
        <w:t>合同期限届满并全部货物经最终验收合格</w:t>
      </w:r>
      <w:r>
        <w:rPr>
          <w:rFonts w:hint="eastAsia" w:ascii="宋体" w:hAnsi="宋体" w:eastAsia="宋体" w:cs="Times New Roman"/>
          <w:color w:val="auto"/>
          <w:kern w:val="0"/>
          <w:szCs w:val="21"/>
        </w:rPr>
        <w:t>后二十八（28）日内保持有效</w:t>
      </w:r>
      <w:r>
        <w:rPr>
          <w:rFonts w:hint="eastAsia" w:ascii="宋体" w:hAnsi="宋体" w:eastAsia="宋体" w:cs="Times New Roman"/>
          <w:color w:val="auto"/>
          <w:kern w:val="0"/>
          <w:szCs w:val="21"/>
          <w:highlight w:val="none"/>
        </w:rPr>
        <w:t>。</w:t>
      </w: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beforeLines="0" w:afterLines="0" w:line="360" w:lineRule="auto"/>
        <w:ind w:firstLine="3990" w:firstLineChars="1900"/>
        <w:jc w:val="left"/>
        <w:rPr>
          <w:rFonts w:hint="eastAsia" w:ascii="宋体" w:hAnsi="宋体" w:eastAsia="宋体"/>
          <w:kern w:val="0"/>
          <w:sz w:val="21"/>
          <w:szCs w:val="21"/>
        </w:rPr>
      </w:pPr>
      <w:r>
        <w:rPr>
          <w:rFonts w:hint="eastAsia" w:ascii="宋体" w:hAnsi="宋体" w:eastAsia="宋体"/>
          <w:kern w:val="0"/>
          <w:sz w:val="21"/>
          <w:szCs w:val="21"/>
        </w:rPr>
        <w:t>法定代表人或其授权的代理人：（签字或盖私章）</w:t>
      </w:r>
    </w:p>
    <w:p>
      <w:pPr>
        <w:autoSpaceDE w:val="0"/>
        <w:autoSpaceDN w:val="0"/>
        <w:adjustRightInd w:val="0"/>
        <w:spacing w:beforeLines="0" w:afterLines="0" w:line="360" w:lineRule="auto"/>
        <w:ind w:firstLine="3990" w:firstLineChars="1900"/>
        <w:jc w:val="left"/>
        <w:rPr>
          <w:rFonts w:hint="eastAsia" w:ascii="宋体" w:hAnsi="宋体" w:eastAsia="宋体"/>
          <w:kern w:val="0"/>
          <w:sz w:val="21"/>
          <w:szCs w:val="21"/>
        </w:rPr>
      </w:pPr>
      <w:r>
        <w:rPr>
          <w:rFonts w:hint="eastAsia" w:ascii="宋体" w:hAnsi="宋体" w:eastAsia="宋体"/>
          <w:kern w:val="0"/>
          <w:sz w:val="21"/>
          <w:szCs w:val="21"/>
        </w:rPr>
        <w:t>担保公司盖章：</w:t>
      </w:r>
    </w:p>
    <w:p>
      <w:pPr>
        <w:autoSpaceDE w:val="0"/>
        <w:autoSpaceDN w:val="0"/>
        <w:adjustRightInd w:val="0"/>
        <w:spacing w:beforeLines="0" w:afterLines="0" w:line="360" w:lineRule="auto"/>
        <w:ind w:firstLine="3990" w:firstLineChars="19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 xml:space="preserve">联系人：                        </w:t>
      </w:r>
    </w:p>
    <w:p>
      <w:pPr>
        <w:autoSpaceDE w:val="0"/>
        <w:autoSpaceDN w:val="0"/>
        <w:adjustRightInd w:val="0"/>
        <w:spacing w:beforeLines="0" w:afterLines="0" w:line="360" w:lineRule="auto"/>
        <w:ind w:firstLine="3990" w:firstLineChars="1900"/>
        <w:jc w:val="left"/>
        <w:rPr>
          <w:rFonts w:hint="eastAsia" w:ascii="宋体" w:hAnsi="宋体" w:eastAsia="宋体"/>
          <w:kern w:val="0"/>
          <w:sz w:val="21"/>
          <w:szCs w:val="21"/>
        </w:rPr>
      </w:pPr>
      <w:r>
        <w:rPr>
          <w:rFonts w:hint="eastAsia" w:ascii="宋体" w:hAnsi="宋体" w:eastAsia="宋体"/>
          <w:kern w:val="0"/>
          <w:sz w:val="21"/>
          <w:szCs w:val="21"/>
        </w:rPr>
        <w:t>联系电话：</w:t>
      </w:r>
    </w:p>
    <w:p>
      <w:pPr>
        <w:autoSpaceDE w:val="0"/>
        <w:autoSpaceDN w:val="0"/>
        <w:adjustRightInd w:val="0"/>
        <w:spacing w:beforeLines="0" w:afterLines="0" w:line="360" w:lineRule="auto"/>
        <w:ind w:firstLine="3990" w:firstLineChars="1900"/>
        <w:jc w:val="left"/>
        <w:rPr>
          <w:rFonts w:hint="eastAsia" w:ascii="宋体" w:hAnsi="宋体" w:eastAsia="宋体"/>
          <w:kern w:val="0"/>
          <w:sz w:val="21"/>
          <w:szCs w:val="21"/>
        </w:rPr>
      </w:pPr>
      <w:r>
        <w:rPr>
          <w:rFonts w:hint="eastAsia" w:ascii="宋体" w:hAnsi="宋体" w:eastAsia="宋体"/>
          <w:kern w:val="0"/>
          <w:sz w:val="21"/>
          <w:szCs w:val="21"/>
        </w:rPr>
        <w:t>地址：</w:t>
      </w:r>
    </w:p>
    <w:p>
      <w:pPr>
        <w:autoSpaceDE w:val="0"/>
        <w:autoSpaceDN w:val="0"/>
        <w:adjustRightInd w:val="0"/>
        <w:spacing w:beforeLines="0" w:afterLines="0" w:line="360" w:lineRule="auto"/>
        <w:ind w:firstLine="3990" w:firstLineChars="1900"/>
        <w:jc w:val="left"/>
        <w:rPr>
          <w:rFonts w:hint="eastAsia" w:ascii="宋体" w:hAnsi="宋体" w:eastAsia="宋体"/>
          <w:kern w:val="0"/>
          <w:sz w:val="21"/>
          <w:szCs w:val="21"/>
        </w:rPr>
      </w:pPr>
      <w:r>
        <w:rPr>
          <w:rFonts w:hint="eastAsia" w:ascii="宋体" w:hAnsi="宋体" w:eastAsia="宋体"/>
          <w:kern w:val="0"/>
          <w:sz w:val="21"/>
          <w:szCs w:val="21"/>
        </w:rPr>
        <w:t>日期：    年   月   日</w:t>
      </w:r>
    </w:p>
    <w:p>
      <w:pPr>
        <w:autoSpaceDE/>
        <w:autoSpaceDN/>
        <w:adjustRightInd/>
        <w:spacing w:line="240" w:lineRule="auto"/>
        <w:ind w:firstLine="0" w:firstLineChars="0"/>
        <w:jc w:val="left"/>
        <w:rPr>
          <w:rFonts w:hint="eastAsia" w:ascii="宋体" w:hAnsi="宋体" w:eastAsia="宋体" w:cs="宋体"/>
          <w:b/>
          <w:color w:val="auto"/>
          <w:sz w:val="30"/>
          <w:szCs w:val="30"/>
        </w:rPr>
      </w:pPr>
    </w:p>
    <w:p>
      <w:pPr>
        <w:pStyle w:val="16"/>
        <w:rPr>
          <w:color w:val="auto"/>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Cs w:val="21"/>
          <w:highlight w:val="none"/>
        </w:rPr>
      </w:pPr>
    </w:p>
    <w:p>
      <w:pPr>
        <w:autoSpaceDE w:val="0"/>
        <w:autoSpaceDN w:val="0"/>
        <w:adjustRightInd w:val="0"/>
        <w:spacing w:line="360" w:lineRule="auto"/>
        <w:ind w:firstLine="0" w:firstLineChars="0"/>
        <w:jc w:val="left"/>
        <w:rPr>
          <w:rFonts w:ascii="宋体" w:hAnsi="宋体" w:eastAsia="宋体" w:cs="Times New Roman"/>
          <w:color w:val="auto"/>
          <w:kern w:val="0"/>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28" w:name="_Toc486167708"/>
      <w:bookmarkStart w:id="429" w:name="_Toc12794"/>
      <w:bookmarkStart w:id="430" w:name="_Toc8165"/>
      <w:bookmarkStart w:id="431" w:name="_Toc32761_WPSOffice_Level1"/>
      <w:bookmarkStart w:id="432" w:name="_Toc14839"/>
      <w:bookmarkStart w:id="433" w:name="_Toc450662895"/>
      <w:bookmarkStart w:id="434" w:name="_Toc142508361"/>
      <w:r>
        <w:rPr>
          <w:rFonts w:hint="eastAsia" w:ascii="宋体" w:hAnsi="宋体" w:eastAsia="宋体" w:cs="宋体"/>
          <w:b/>
          <w:bCs/>
          <w:color w:val="auto"/>
          <w:kern w:val="44"/>
          <w:sz w:val="32"/>
          <w:szCs w:val="32"/>
          <w:highlight w:val="none"/>
          <w:lang w:val="zh-CN"/>
        </w:rPr>
        <w:t>第六篇 投标文件格式</w:t>
      </w:r>
      <w:bookmarkEnd w:id="428"/>
      <w:bookmarkEnd w:id="429"/>
      <w:bookmarkEnd w:id="430"/>
      <w:bookmarkEnd w:id="431"/>
      <w:bookmarkEnd w:id="432"/>
      <w:bookmarkEnd w:id="433"/>
      <w:bookmarkEnd w:id="434"/>
    </w:p>
    <w:p>
      <w:pPr>
        <w:pStyle w:val="20"/>
        <w:spacing w:line="360" w:lineRule="auto"/>
        <w:jc w:val="center"/>
        <w:rPr>
          <w:rFonts w:hint="eastAsia" w:ascii="宋体" w:hAnsi="宋体" w:eastAsia="宋体" w:cs="宋体"/>
          <w:b/>
          <w:color w:val="auto"/>
          <w:kern w:val="0"/>
          <w:sz w:val="32"/>
          <w:szCs w:val="32"/>
          <w:highlight w:val="none"/>
        </w:rPr>
      </w:pPr>
      <w:bookmarkStart w:id="435" w:name="_Toc486167709"/>
      <w:bookmarkStart w:id="436" w:name="_Toc104991868"/>
      <w:bookmarkStart w:id="437" w:name="_Toc142508362"/>
      <w:bookmarkStart w:id="438" w:name="_Toc94107202"/>
      <w:bookmarkStart w:id="439" w:name="_Toc21133_WPSOffice_Level2"/>
      <w:bookmarkStart w:id="440" w:name="_Toc102860067"/>
      <w:bookmarkStart w:id="441" w:name="_Toc1977721"/>
      <w:bookmarkStart w:id="442" w:name="_Toc533708121"/>
      <w:bookmarkStart w:id="443" w:name="_Toc140596921"/>
      <w:bookmarkStart w:id="444" w:name="_Toc102860411"/>
      <w:r>
        <w:rPr>
          <w:rFonts w:hint="eastAsia" w:ascii="宋体" w:hAnsi="宋体" w:eastAsia="宋体" w:cs="宋体"/>
          <w:b/>
          <w:color w:val="auto"/>
          <w:kern w:val="0"/>
          <w:sz w:val="32"/>
          <w:szCs w:val="32"/>
          <w:highlight w:val="none"/>
        </w:rPr>
        <w:br w:type="page"/>
      </w: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b/>
          <w:color w:val="auto"/>
          <w:kern w:val="0"/>
          <w:sz w:val="32"/>
          <w:szCs w:val="32"/>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jc w:val="center"/>
              <w:rPr>
                <w:rFonts w:hint="eastAsia" w:ascii="宋体" w:hAnsi="宋体" w:eastAsia="宋体" w:cs="宋体"/>
                <w:bCs/>
                <w:color w:val="auto"/>
                <w:szCs w:val="21"/>
                <w:highlight w:val="none"/>
              </w:rPr>
            </w:pPr>
          </w:p>
        </w:tc>
        <w:tc>
          <w:tcPr>
            <w:tcW w:w="1337" w:type="pct"/>
            <w:vAlign w:val="center"/>
          </w:tcPr>
          <w:p>
            <w:pPr>
              <w:jc w:val="center"/>
              <w:rPr>
                <w:rFonts w:hint="eastAsia" w:ascii="宋体" w:hAnsi="宋体" w:eastAsia="宋体" w:cs="宋体"/>
                <w:bCs/>
                <w:color w:val="auto"/>
                <w:szCs w:val="21"/>
                <w:highlight w:val="none"/>
              </w:rPr>
            </w:pPr>
          </w:p>
        </w:tc>
        <w:tc>
          <w:tcPr>
            <w:tcW w:w="861" w:type="pct"/>
            <w:vAlign w:val="center"/>
          </w:tcPr>
          <w:p>
            <w:pPr>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ind w:firstLine="105" w:firstLineChars="50"/>
              <w:jc w:val="center"/>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spacing w:line="360" w:lineRule="auto"/>
              <w:ind w:firstLine="8" w:firstLineChars="4"/>
              <w:jc w:val="center"/>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445" w:name="_Toc20244"/>
      <w:bookmarkStart w:id="446" w:name="_Toc18706"/>
      <w:bookmarkStart w:id="447" w:name="_Toc13331"/>
      <w:r>
        <w:rPr>
          <w:rFonts w:hint="eastAsia" w:ascii="宋体" w:hAnsi="宋体" w:eastAsia="宋体" w:cs="宋体"/>
          <w:b/>
          <w:color w:val="auto"/>
          <w:kern w:val="0"/>
          <w:sz w:val="32"/>
          <w:szCs w:val="32"/>
          <w:highlight w:val="none"/>
        </w:rPr>
        <w:t>一、投标函格式</w:t>
      </w:r>
      <w:bookmarkEnd w:id="435"/>
      <w:bookmarkEnd w:id="436"/>
      <w:bookmarkEnd w:id="437"/>
      <w:bookmarkEnd w:id="438"/>
      <w:bookmarkEnd w:id="439"/>
      <w:bookmarkEnd w:id="440"/>
      <w:bookmarkEnd w:id="441"/>
      <w:bookmarkEnd w:id="442"/>
      <w:bookmarkEnd w:id="443"/>
      <w:bookmarkEnd w:id="444"/>
      <w:bookmarkEnd w:id="445"/>
      <w:bookmarkEnd w:id="446"/>
      <w:bookmarkEnd w:id="447"/>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448" w:name="_Toc16695_WPSOffice_Level3"/>
      <w:r>
        <w:rPr>
          <w:rFonts w:hint="eastAsia" w:ascii="宋体" w:hAnsi="宋体" w:eastAsia="宋体" w:cs="宋体"/>
          <w:b/>
          <w:bCs/>
          <w:color w:val="auto"/>
          <w:sz w:val="30"/>
          <w:szCs w:val="30"/>
          <w:highlight w:val="none"/>
          <w:lang w:val="zh-CN"/>
        </w:rPr>
        <w:t>投 标 函</w:t>
      </w:r>
      <w:bookmarkEnd w:id="448"/>
    </w:p>
    <w:p>
      <w:pPr>
        <w:autoSpaceDE w:val="0"/>
        <w:autoSpaceDN w:val="0"/>
        <w:adjustRightInd w:val="0"/>
        <w:spacing w:line="360" w:lineRule="auto"/>
        <w:rPr>
          <w:rFonts w:ascii="宋体" w:hAnsi="宋体" w:eastAsia="宋体" w:cs="宋体"/>
          <w:color w:val="auto"/>
          <w:szCs w:val="21"/>
          <w:highlight w:val="none"/>
          <w:lang w:val="zh-CN"/>
        </w:rPr>
      </w:pPr>
    </w:p>
    <w:p>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东莞市置拓投资有限公司</w:t>
      </w:r>
    </w:p>
    <w:p>
      <w:pPr>
        <w:autoSpaceDE w:val="0"/>
        <w:autoSpaceDN w:val="0"/>
        <w:adjustRightInd w:val="0"/>
        <w:spacing w:line="360" w:lineRule="auto"/>
        <w:rPr>
          <w:rFonts w:ascii="宋体" w:hAnsi="宋体" w:eastAsia="宋体" w:cs="宋体"/>
          <w:color w:val="auto"/>
          <w:szCs w:val="21"/>
          <w:highlight w:val="none"/>
        </w:rPr>
      </w:pPr>
    </w:p>
    <w:p>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东莞市置拓投资有限公司水业大厦食堂设备设施采购项目</w:t>
      </w:r>
      <w:r>
        <w:rPr>
          <w:rFonts w:hint="eastAsia" w:ascii="宋体" w:hAnsi="宋体" w:eastAsia="宋体" w:cs="宋体"/>
          <w:color w:val="auto"/>
          <w:szCs w:val="21"/>
          <w:highlight w:val="none"/>
          <w:u w:val="single"/>
          <w:lang w:val="zh-CN"/>
        </w:rPr>
        <w:t>(招标编号：0832-SFCX25DG030A)</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0832-SFCX25DG030A</w:t>
      </w:r>
      <w:r>
        <w:rPr>
          <w:rFonts w:hint="eastAsia" w:ascii="宋体" w:hAnsi="宋体" w:eastAsia="宋体" w:cs="宋体"/>
          <w:color w:val="auto"/>
          <w:szCs w:val="21"/>
          <w:highlight w:val="none"/>
          <w:lang w:val="zh-CN"/>
        </w:rPr>
        <w:t>的投标；</w:t>
      </w:r>
    </w:p>
    <w:p>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49" w:name="_Toc1977722"/>
      <w:bookmarkStart w:id="450" w:name="_Toc140596922"/>
      <w:bookmarkStart w:id="451" w:name="_Toc102860412"/>
      <w:bookmarkStart w:id="452" w:name="_Toc28613_WPSOffice_Level2"/>
      <w:bookmarkStart w:id="453" w:name="_Toc18834"/>
      <w:bookmarkStart w:id="454" w:name="_Toc533708122"/>
      <w:bookmarkStart w:id="455" w:name="_Toc8696"/>
      <w:bookmarkStart w:id="456" w:name="_Toc142508363"/>
      <w:bookmarkStart w:id="457" w:name="_Toc102860068"/>
      <w:bookmarkStart w:id="458" w:name="_Toc26795"/>
      <w:bookmarkStart w:id="459" w:name="_Toc104991869"/>
      <w:bookmarkStart w:id="460" w:name="_Toc94107203"/>
      <w:bookmarkStart w:id="461" w:name="_Toc486167710"/>
      <w:r>
        <w:rPr>
          <w:rFonts w:hint="eastAsia" w:ascii="宋体" w:hAnsi="宋体" w:eastAsia="宋体" w:cs="宋体"/>
          <w:b/>
          <w:color w:val="auto"/>
          <w:kern w:val="0"/>
          <w:sz w:val="32"/>
          <w:szCs w:val="32"/>
          <w:highlight w:val="none"/>
        </w:rPr>
        <w:t>二、投标承诺书格式</w:t>
      </w:r>
      <w:bookmarkEnd w:id="449"/>
      <w:bookmarkEnd w:id="450"/>
      <w:bookmarkEnd w:id="451"/>
      <w:bookmarkEnd w:id="452"/>
      <w:bookmarkEnd w:id="453"/>
      <w:bookmarkEnd w:id="454"/>
      <w:bookmarkEnd w:id="455"/>
      <w:bookmarkEnd w:id="456"/>
      <w:bookmarkEnd w:id="457"/>
      <w:bookmarkEnd w:id="458"/>
      <w:bookmarkEnd w:id="459"/>
      <w:bookmarkEnd w:id="460"/>
      <w:bookmarkEnd w:id="461"/>
    </w:p>
    <w:p>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东莞市置拓投资有限公司水业大厦食堂设备设施采购项目</w:t>
      </w:r>
      <w:r>
        <w:rPr>
          <w:rFonts w:hint="eastAsia" w:ascii="宋体" w:hAnsi="宋体" w:eastAsia="宋体" w:cs="Times New Roman"/>
          <w:color w:val="auto"/>
          <w:kern w:val="0"/>
          <w:szCs w:val="21"/>
          <w:highlight w:val="none"/>
          <w:u w:val="single"/>
        </w:rPr>
        <w:t>（招标编号：</w:t>
      </w:r>
      <w:r>
        <w:rPr>
          <w:rFonts w:hint="eastAsia" w:ascii="宋体" w:hAnsi="宋体" w:eastAsia="宋体" w:cs="Times New Roman"/>
          <w:color w:val="auto"/>
          <w:kern w:val="0"/>
          <w:szCs w:val="21"/>
          <w:highlight w:val="none"/>
          <w:u w:val="single"/>
          <w:lang w:eastAsia="zh-CN"/>
        </w:rPr>
        <w:t>0832-SFCX25DG030A</w:t>
      </w:r>
      <w:r>
        <w:rPr>
          <w:rFonts w:hint="eastAsia"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jc w:val="left"/>
        <w:rPr>
          <w:rFonts w:ascii="宋体" w:hAnsi="宋体" w:eastAsia="宋体" w:cs="Times New Roman"/>
          <w:color w:val="auto"/>
          <w:kern w:val="0"/>
          <w:sz w:val="24"/>
          <w:szCs w:val="24"/>
          <w:highlight w:val="none"/>
        </w:rPr>
      </w:pPr>
    </w:p>
    <w:p>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p>
    <w:p>
      <w:pPr>
        <w:autoSpaceDE w:val="0"/>
        <w:autoSpaceDN w:val="0"/>
        <w:adjustRightInd w:val="0"/>
        <w:spacing w:line="360" w:lineRule="auto"/>
        <w:jc w:val="left"/>
        <w:rPr>
          <w:rFonts w:ascii="宋体" w:hAnsi="宋体" w:eastAsia="宋体" w:cs="宋体"/>
          <w:color w:val="auto"/>
          <w:kern w:val="0"/>
          <w:sz w:val="24"/>
          <w:szCs w:val="24"/>
          <w:highlight w:val="none"/>
        </w:rPr>
      </w:pPr>
      <w:bookmarkStart w:id="462" w:name="_Toc316896755"/>
      <w:bookmarkStart w:id="463" w:name="_Toc311032584"/>
      <w:bookmarkStart w:id="464" w:name="_Toc326768876"/>
    </w:p>
    <w:p>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465" w:name="_Toc140596923"/>
      <w:bookmarkStart w:id="466" w:name="_Toc104991870"/>
      <w:bookmarkStart w:id="467" w:name="_Toc142508364"/>
      <w:bookmarkStart w:id="468" w:name="_Toc12590"/>
      <w:bookmarkStart w:id="469" w:name="_Toc102860413"/>
      <w:bookmarkStart w:id="470" w:name="_Toc102860069"/>
      <w:bookmarkStart w:id="471" w:name="_Toc94107204"/>
      <w:bookmarkStart w:id="472" w:name="_Toc86764083"/>
      <w:bookmarkStart w:id="473" w:name="_Toc7175"/>
      <w:bookmarkStart w:id="474" w:name="_Toc9778"/>
      <w:bookmarkStart w:id="475" w:name="_Toc82182546"/>
      <w:bookmarkStart w:id="476" w:name="_Toc533708123"/>
      <w:bookmarkStart w:id="477" w:name="_Toc7024_WPSOffice_Level2"/>
      <w:bookmarkStart w:id="478" w:name="_Toc1977723"/>
      <w:bookmarkStart w:id="479" w:name="_Toc486167711"/>
      <w:r>
        <w:rPr>
          <w:rFonts w:hint="eastAsia" w:ascii="宋体" w:hAnsi="宋体" w:eastAsia="宋体" w:cs="宋体"/>
          <w:b/>
          <w:color w:val="auto"/>
          <w:kern w:val="44"/>
          <w:sz w:val="32"/>
          <w:szCs w:val="32"/>
          <w:highlight w:val="none"/>
        </w:rPr>
        <w:t>三、供货及/或提供服务过程承诺函格式</w:t>
      </w:r>
      <w:bookmarkEnd w:id="465"/>
      <w:bookmarkEnd w:id="466"/>
      <w:bookmarkEnd w:id="467"/>
      <w:bookmarkEnd w:id="468"/>
      <w:bookmarkEnd w:id="469"/>
      <w:bookmarkEnd w:id="470"/>
      <w:bookmarkEnd w:id="471"/>
      <w:bookmarkEnd w:id="472"/>
      <w:bookmarkEnd w:id="473"/>
      <w:bookmarkEnd w:id="474"/>
      <w:bookmarkEnd w:id="475"/>
    </w:p>
    <w:p>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东莞市置拓投资有限公司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u w:val="single"/>
          <w:lang w:eastAsia="zh-CN"/>
        </w:rPr>
        <w:t>东莞市置拓投资有限公司水业大厦食堂设备设施采购项目</w:t>
      </w:r>
      <w:r>
        <w:rPr>
          <w:rFonts w:hint="eastAsia" w:ascii="宋体" w:hAnsi="宋体" w:eastAsia="宋体" w:cs="宋体"/>
          <w:color w:val="auto"/>
          <w:kern w:val="0"/>
          <w:szCs w:val="21"/>
          <w:highlight w:val="none"/>
          <w:u w:val="single"/>
        </w:rPr>
        <w:t>(招标编号：</w:t>
      </w:r>
      <w:r>
        <w:rPr>
          <w:rFonts w:hint="eastAsia" w:ascii="宋体" w:hAnsi="宋体" w:eastAsia="宋体" w:cs="Times New Roman"/>
          <w:color w:val="auto"/>
          <w:szCs w:val="21"/>
          <w:highlight w:val="none"/>
          <w:u w:val="single"/>
          <w:lang w:val="zh-CN"/>
        </w:rPr>
        <w:t>0832-SFCX25DG030A</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480" w:name="_Toc102860414"/>
      <w:bookmarkStart w:id="481" w:name="_Toc102860070"/>
      <w:bookmarkStart w:id="482" w:name="_Toc86764084"/>
      <w:bookmarkStart w:id="483" w:name="_Toc140596924"/>
      <w:bookmarkStart w:id="484" w:name="_Toc142508365"/>
      <w:bookmarkStart w:id="485" w:name="_Toc94107205"/>
      <w:bookmarkStart w:id="486" w:name="_Toc82182547"/>
      <w:bookmarkStart w:id="487" w:name="_Toc104991871"/>
      <w:bookmarkStart w:id="488" w:name="_Toc3993"/>
      <w:bookmarkStart w:id="489" w:name="_Toc20614"/>
      <w:bookmarkStart w:id="490" w:name="_Toc6287"/>
      <w:r>
        <w:rPr>
          <w:rFonts w:hint="eastAsia" w:ascii="宋体" w:hAnsi="宋体" w:eastAsia="宋体" w:cs="宋体"/>
          <w:b/>
          <w:color w:val="auto"/>
          <w:kern w:val="44"/>
          <w:sz w:val="32"/>
          <w:szCs w:val="32"/>
          <w:highlight w:val="none"/>
        </w:rPr>
        <w:t>四</w:t>
      </w:r>
      <w:bookmarkEnd w:id="480"/>
      <w:bookmarkEnd w:id="481"/>
      <w:bookmarkEnd w:id="482"/>
      <w:bookmarkEnd w:id="483"/>
      <w:bookmarkEnd w:id="484"/>
      <w:bookmarkEnd w:id="485"/>
      <w:bookmarkEnd w:id="486"/>
      <w:bookmarkEnd w:id="487"/>
      <w:bookmarkStart w:id="491" w:name="_Toc102860415"/>
      <w:bookmarkStart w:id="492" w:name="_Toc94107206"/>
      <w:bookmarkStart w:id="493" w:name="_Toc104991872"/>
      <w:bookmarkStart w:id="494" w:name="_Toc140596925"/>
      <w:bookmarkStart w:id="495" w:name="_Toc142508366"/>
      <w:bookmarkStart w:id="496" w:name="_Toc102860071"/>
      <w:r>
        <w:rPr>
          <w:rFonts w:hint="eastAsia" w:ascii="宋体" w:hAnsi="宋体" w:eastAsia="宋体" w:cs="宋体"/>
          <w:b/>
          <w:color w:val="auto"/>
          <w:kern w:val="0"/>
          <w:sz w:val="32"/>
          <w:szCs w:val="32"/>
          <w:highlight w:val="none"/>
        </w:rPr>
        <w:t>、投标报价表格式</w:t>
      </w:r>
      <w:bookmarkEnd w:id="476"/>
      <w:bookmarkEnd w:id="477"/>
      <w:bookmarkEnd w:id="478"/>
      <w:bookmarkEnd w:id="479"/>
      <w:bookmarkEnd w:id="488"/>
      <w:bookmarkEnd w:id="489"/>
      <w:bookmarkEnd w:id="490"/>
      <w:bookmarkEnd w:id="491"/>
      <w:bookmarkEnd w:id="492"/>
      <w:bookmarkEnd w:id="493"/>
      <w:bookmarkEnd w:id="494"/>
      <w:bookmarkEnd w:id="495"/>
      <w:bookmarkEnd w:id="496"/>
    </w:p>
    <w:p>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497" w:name="_Toc102860072"/>
      <w:bookmarkStart w:id="498" w:name="_Toc94107207"/>
      <w:bookmarkStart w:id="499" w:name="_Toc18589"/>
      <w:bookmarkStart w:id="500" w:name="_Toc102860416"/>
      <w:bookmarkStart w:id="501" w:name="_Toc104991873"/>
      <w:bookmarkStart w:id="502" w:name="_Toc142508367"/>
      <w:bookmarkStart w:id="503" w:name="_Toc140596926"/>
      <w:bookmarkStart w:id="504" w:name="_Toc6752"/>
      <w:bookmarkStart w:id="505" w:name="_Toc1105"/>
      <w:bookmarkStart w:id="506" w:name="_Toc2395_WPSOffice_Level3"/>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497"/>
      <w:bookmarkEnd w:id="498"/>
      <w:bookmarkEnd w:id="499"/>
      <w:bookmarkEnd w:id="500"/>
      <w:bookmarkEnd w:id="501"/>
      <w:bookmarkEnd w:id="502"/>
      <w:bookmarkEnd w:id="503"/>
      <w:bookmarkEnd w:id="504"/>
      <w:bookmarkEnd w:id="505"/>
      <w:bookmarkEnd w:id="506"/>
    </w:p>
    <w:p>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东莞市置拓投资有限公司水业大厦食堂设备设施采购项目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0832-SFCX25DG030A</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lang w:val="en-US" w:eastAsia="zh-CN"/>
              </w:rPr>
              <w:t>项目</w:t>
            </w:r>
            <w:r>
              <w:rPr>
                <w:rFonts w:hint="eastAsia" w:ascii="宋体" w:hAnsi="宋体" w:eastAsia="宋体" w:cs="Times New Roman"/>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投标报价（不含销项税，元）</w:t>
            </w:r>
          </w:p>
        </w:tc>
        <w:tc>
          <w:tcPr>
            <w:tcW w:w="64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东莞市置拓投资有限公司水业大厦食堂设备设施采购项目</w:t>
            </w:r>
          </w:p>
        </w:tc>
        <w:tc>
          <w:tcPr>
            <w:tcW w:w="1578" w:type="pct"/>
            <w:tcBorders>
              <w:top w:val="single" w:color="auto" w:sz="4" w:space="0"/>
              <w:left w:val="single" w:color="auto" w:sz="4" w:space="0"/>
              <w:right w:val="single" w:color="auto" w:sz="4" w:space="0"/>
            </w:tcBorders>
            <w:vAlign w:val="center"/>
          </w:tcPr>
          <w:p>
            <w:pPr>
              <w:tabs>
                <w:tab w:val="left" w:pos="8610"/>
              </w:tabs>
              <w:spacing w:line="360" w:lineRule="auto"/>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小写（人民币）：</w:t>
            </w:r>
          </w:p>
        </w:tc>
        <w:tc>
          <w:tcPr>
            <w:tcW w:w="642"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color w:val="auto"/>
                <w:kern w:val="0"/>
                <w:szCs w:val="21"/>
                <w:highlight w:val="none"/>
              </w:rPr>
            </w:pPr>
          </w:p>
        </w:tc>
      </w:tr>
    </w:tbl>
    <w:p>
      <w:pPr>
        <w:rPr>
          <w:rFonts w:ascii="宋体" w:hAnsi="宋体" w:eastAsia="宋体" w:cs="宋体"/>
          <w:color w:val="auto"/>
          <w:kern w:val="0"/>
          <w:sz w:val="20"/>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）投标人的投标报价高于最高投标限价的，该投标人的投标文件将被视为无效投标。</w:t>
      </w:r>
    </w:p>
    <w:p>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）本投标报价表报价与分项报价明细表报价不一致的，以本投标报价表为准。对不同文字文本投标文件的解释发生异议的，以中文文本为准。</w:t>
      </w:r>
    </w:p>
    <w:p>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ascii="宋体" w:hAnsi="宋体" w:eastAsia="宋体" w:cs="Times New Roman"/>
          <w:bCs/>
          <w:color w:val="auto"/>
          <w:kern w:val="0"/>
          <w:szCs w:val="21"/>
          <w:highlight w:val="none"/>
          <w:lang w:val="zh-CN"/>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pPr>
        <w:spacing w:line="360" w:lineRule="auto"/>
        <w:jc w:val="center"/>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br w:type="page"/>
      </w:r>
      <w:bookmarkStart w:id="507" w:name="_Toc104991874"/>
      <w:bookmarkStart w:id="508" w:name="_Toc94107208"/>
      <w:bookmarkStart w:id="509" w:name="_Toc102860073"/>
      <w:bookmarkStart w:id="510" w:name="_Toc27734"/>
      <w:bookmarkStart w:id="511" w:name="_Toc30859"/>
      <w:bookmarkStart w:id="512" w:name="_Toc102860417"/>
      <w:bookmarkStart w:id="513" w:name="_Toc142508368"/>
      <w:bookmarkStart w:id="514" w:name="_Toc140596927"/>
    </w:p>
    <w:bookmarkEnd w:id="507"/>
    <w:bookmarkEnd w:id="508"/>
    <w:bookmarkEnd w:id="509"/>
    <w:bookmarkEnd w:id="510"/>
    <w:bookmarkEnd w:id="511"/>
    <w:bookmarkEnd w:id="512"/>
    <w:bookmarkEnd w:id="513"/>
    <w:bookmarkEnd w:id="514"/>
    <w:p>
      <w:pPr>
        <w:tabs>
          <w:tab w:val="left" w:pos="567"/>
        </w:tabs>
        <w:autoSpaceDE w:val="0"/>
        <w:autoSpaceDN w:val="0"/>
        <w:adjustRightInd w:val="0"/>
        <w:spacing w:line="360" w:lineRule="auto"/>
        <w:ind w:left="496" w:hanging="711" w:hangingChars="236"/>
        <w:jc w:val="left"/>
        <w:outlineLvl w:val="2"/>
        <w:rPr>
          <w:rFonts w:ascii="宋体" w:hAnsi="宋体" w:eastAsia="宋体" w:cs="宋体"/>
          <w:b/>
          <w:sz w:val="30"/>
          <w:szCs w:val="30"/>
          <w:highlight w:val="none"/>
          <w:lang w:val="zh-CN"/>
        </w:rPr>
      </w:pPr>
      <w:r>
        <w:rPr>
          <w:rFonts w:hint="eastAsia" w:ascii="宋体" w:hAnsi="宋体" w:eastAsia="宋体" w:cs="宋体"/>
          <w:b/>
          <w:kern w:val="0"/>
          <w:sz w:val="30"/>
          <w:szCs w:val="30"/>
          <w:highlight w:val="none"/>
          <w:lang w:val="en-US" w:eastAsia="zh-CN"/>
        </w:rPr>
        <w:t>4</w:t>
      </w:r>
      <w:r>
        <w:rPr>
          <w:rFonts w:ascii="宋体" w:hAnsi="宋体" w:eastAsia="宋体" w:cs="宋体"/>
          <w:b/>
          <w:kern w:val="0"/>
          <w:sz w:val="30"/>
          <w:szCs w:val="30"/>
          <w:highlight w:val="none"/>
        </w:rPr>
        <w:t xml:space="preserve">.2 </w:t>
      </w:r>
      <w:r>
        <w:rPr>
          <w:rFonts w:hint="eastAsia" w:ascii="宋体" w:hAnsi="宋体" w:eastAsia="宋体" w:cs="宋体"/>
          <w:b/>
          <w:kern w:val="0"/>
          <w:sz w:val="30"/>
          <w:szCs w:val="30"/>
          <w:highlight w:val="none"/>
        </w:rPr>
        <w:t>分项</w:t>
      </w:r>
      <w:r>
        <w:rPr>
          <w:rFonts w:ascii="宋体" w:hAnsi="宋体" w:eastAsia="宋体" w:cs="宋体"/>
          <w:b/>
          <w:kern w:val="0"/>
          <w:sz w:val="30"/>
          <w:szCs w:val="30"/>
          <w:highlight w:val="none"/>
        </w:rPr>
        <w:t>报价</w:t>
      </w:r>
      <w:r>
        <w:rPr>
          <w:rFonts w:hint="eastAsia" w:ascii="宋体" w:hAnsi="宋体" w:eastAsia="宋体" w:cs="宋体"/>
          <w:b/>
          <w:kern w:val="0"/>
          <w:sz w:val="30"/>
          <w:szCs w:val="30"/>
          <w:highlight w:val="none"/>
          <w:lang w:eastAsia="zh-CN"/>
        </w:rPr>
        <w:t>明细</w:t>
      </w:r>
      <w:r>
        <w:rPr>
          <w:rFonts w:ascii="宋体" w:hAnsi="宋体" w:eastAsia="宋体" w:cs="宋体"/>
          <w:b/>
          <w:kern w:val="0"/>
          <w:sz w:val="30"/>
          <w:szCs w:val="30"/>
          <w:highlight w:val="none"/>
        </w:rPr>
        <w:t>表</w:t>
      </w:r>
    </w:p>
    <w:p>
      <w:pPr>
        <w:autoSpaceDE w:val="0"/>
        <w:autoSpaceDN w:val="0"/>
        <w:adjustRightInd w:val="0"/>
        <w:spacing w:line="360" w:lineRule="auto"/>
        <w:jc w:val="center"/>
        <w:rPr>
          <w:rFonts w:ascii="宋体" w:hAnsi="宋体" w:eastAsia="宋体" w:cs="宋体"/>
          <w:b/>
          <w:bCs/>
          <w:sz w:val="30"/>
          <w:szCs w:val="30"/>
          <w:highlight w:val="none"/>
          <w:lang w:val="zh-CN"/>
        </w:rPr>
      </w:pPr>
      <w:r>
        <w:rPr>
          <w:rFonts w:hint="eastAsia" w:ascii="宋体" w:hAnsi="宋体" w:eastAsia="宋体" w:cs="宋体"/>
          <w:b/>
          <w:bCs/>
          <w:sz w:val="30"/>
          <w:szCs w:val="30"/>
          <w:highlight w:val="none"/>
          <w:lang w:val="zh-CN"/>
        </w:rPr>
        <w:t>分项</w:t>
      </w:r>
      <w:r>
        <w:rPr>
          <w:rFonts w:ascii="宋体" w:hAnsi="宋体" w:eastAsia="宋体" w:cs="宋体"/>
          <w:b/>
          <w:bCs/>
          <w:sz w:val="30"/>
          <w:szCs w:val="30"/>
          <w:highlight w:val="none"/>
          <w:lang w:val="zh-CN"/>
        </w:rPr>
        <w:t>报价</w:t>
      </w:r>
      <w:r>
        <w:rPr>
          <w:rFonts w:hint="eastAsia" w:ascii="宋体" w:hAnsi="宋体" w:eastAsia="宋体" w:cs="宋体"/>
          <w:b/>
          <w:bCs/>
          <w:sz w:val="30"/>
          <w:szCs w:val="30"/>
          <w:highlight w:val="none"/>
          <w:lang w:val="zh-CN"/>
        </w:rPr>
        <w:t>明细</w:t>
      </w:r>
      <w:r>
        <w:rPr>
          <w:rFonts w:ascii="宋体" w:hAnsi="宋体" w:eastAsia="宋体" w:cs="宋体"/>
          <w:b/>
          <w:bCs/>
          <w:sz w:val="30"/>
          <w:szCs w:val="30"/>
          <w:highlight w:val="none"/>
          <w:lang w:val="zh-CN"/>
        </w:rPr>
        <w:t>表</w:t>
      </w:r>
    </w:p>
    <w:p>
      <w:pPr>
        <w:spacing w:line="360" w:lineRule="auto"/>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rPr>
        <w:t>项目名称：</w:t>
      </w:r>
      <w:r>
        <w:rPr>
          <w:rFonts w:hint="eastAsia" w:ascii="宋体" w:hAnsi="宋体" w:eastAsia="宋体" w:cs="宋体"/>
          <w:kern w:val="0"/>
          <w:szCs w:val="21"/>
          <w:highlight w:val="none"/>
          <w:u w:val="single"/>
          <w:lang w:eastAsia="zh-CN"/>
        </w:rPr>
        <w:t>东莞市置拓投资有限公司水业大厦食堂设备设施采购项目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kern w:val="0"/>
          <w:szCs w:val="21"/>
          <w:highlight w:val="none"/>
        </w:rPr>
        <w:t>招标编号：</w:t>
      </w:r>
      <w:r>
        <w:rPr>
          <w:rFonts w:hint="eastAsia" w:ascii="宋体" w:hAnsi="宋体" w:eastAsia="宋体" w:cs="宋体"/>
          <w:color w:val="auto"/>
          <w:kern w:val="0"/>
          <w:szCs w:val="21"/>
          <w:highlight w:val="none"/>
          <w:u w:val="single"/>
          <w:lang w:eastAsia="zh-CN"/>
        </w:rPr>
        <w:t>0832-SFCX25DG030A</w:t>
      </w:r>
    </w:p>
    <w:p>
      <w:pPr>
        <w:spacing w:line="360" w:lineRule="auto"/>
        <w:jc w:val="right"/>
        <w:rPr>
          <w:rFonts w:hint="eastAsia" w:ascii="宋体" w:hAnsi="宋体" w:eastAsia="宋体" w:cs="宋体"/>
          <w:color w:val="auto"/>
          <w:kern w:val="0"/>
          <w:szCs w:val="21"/>
          <w:highlight w:val="none"/>
          <w:u w:val="none"/>
          <w:lang w:eastAsia="zh-CN"/>
        </w:rPr>
      </w:pP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单位：人民币元</w:t>
      </w:r>
    </w:p>
    <w:tbl>
      <w:tblPr>
        <w:tblStyle w:val="37"/>
        <w:tblW w:w="5000" w:type="pct"/>
        <w:jc w:val="center"/>
        <w:tblLayout w:type="fixed"/>
        <w:tblCellMar>
          <w:top w:w="0" w:type="dxa"/>
          <w:left w:w="108" w:type="dxa"/>
          <w:bottom w:w="0" w:type="dxa"/>
          <w:right w:w="108" w:type="dxa"/>
        </w:tblCellMar>
      </w:tblPr>
      <w:tblGrid>
        <w:gridCol w:w="733"/>
        <w:gridCol w:w="4872"/>
        <w:gridCol w:w="1614"/>
        <w:gridCol w:w="1423"/>
        <w:gridCol w:w="1728"/>
      </w:tblGrid>
      <w:tr>
        <w:tblPrEx>
          <w:tblCellMar>
            <w:top w:w="0" w:type="dxa"/>
            <w:left w:w="108" w:type="dxa"/>
            <w:bottom w:w="0" w:type="dxa"/>
            <w:right w:w="108" w:type="dxa"/>
          </w:tblCellMar>
        </w:tblPrEx>
        <w:trPr>
          <w:trHeight w:val="697" w:hRule="atLeast"/>
          <w:jc w:val="center"/>
        </w:trPr>
        <w:tc>
          <w:tcPr>
            <w:tcW w:w="353" w:type="pc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349" w:type="pct"/>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   目</w:t>
            </w:r>
          </w:p>
        </w:tc>
        <w:tc>
          <w:tcPr>
            <w:tcW w:w="778" w:type="pct"/>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内容和标准</w:t>
            </w:r>
          </w:p>
        </w:tc>
        <w:tc>
          <w:tcPr>
            <w:tcW w:w="686" w:type="pct"/>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报价</w:t>
            </w:r>
          </w:p>
          <w:p>
            <w:pPr>
              <w:widowControl/>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w:t>
            </w:r>
          </w:p>
        </w:tc>
        <w:tc>
          <w:tcPr>
            <w:tcW w:w="833" w:type="pct"/>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2349"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货物报价费</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详见附表</w:t>
            </w: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2349"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设备安装费</w:t>
            </w:r>
            <w:r>
              <w:rPr>
                <w:rFonts w:hint="eastAsia" w:ascii="宋体" w:hAnsi="宋体" w:eastAsia="宋体" w:cs="宋体"/>
                <w:color w:val="auto"/>
                <w:szCs w:val="21"/>
                <w:highlight w:val="none"/>
                <w:lang w:val="zh-CN"/>
              </w:rPr>
              <w:t>（含绿色施工安全防护措施</w:t>
            </w:r>
            <w:r>
              <w:rPr>
                <w:rFonts w:hint="eastAsia" w:ascii="宋体" w:hAnsi="宋体" w:eastAsia="宋体" w:cs="宋体"/>
                <w:color w:val="auto"/>
                <w:szCs w:val="21"/>
                <w:highlight w:val="none"/>
              </w:rPr>
              <w:t>费</w:t>
            </w:r>
            <w:r>
              <w:rPr>
                <w:rFonts w:hint="eastAsia" w:ascii="宋体" w:hAnsi="宋体" w:eastAsia="宋体" w:cs="宋体"/>
                <w:color w:val="auto"/>
                <w:szCs w:val="21"/>
                <w:highlight w:val="none"/>
                <w:lang w:val="zh-CN"/>
              </w:rPr>
              <w:t>）</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详见附表</w:t>
            </w: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2349"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其他分项报价费</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349"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运输、装卸</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保险</w:t>
            </w:r>
            <w:r>
              <w:rPr>
                <w:rFonts w:hint="eastAsia" w:ascii="宋体" w:hAnsi="宋体" w:eastAsia="宋体" w:cs="宋体"/>
                <w:color w:val="auto"/>
                <w:szCs w:val="21"/>
                <w:highlight w:val="none"/>
                <w:lang w:val="zh-CN"/>
              </w:rPr>
              <w:t>、验收</w:t>
            </w:r>
            <w:r>
              <w:rPr>
                <w:rFonts w:hint="eastAsia" w:ascii="宋体" w:hAnsi="宋体" w:eastAsia="宋体" w:cs="宋体"/>
                <w:color w:val="auto"/>
                <w:szCs w:val="21"/>
                <w:highlight w:val="none"/>
              </w:rPr>
              <w:t>费</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详见附表</w:t>
            </w: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349"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食堂配备的附件的设计</w:t>
            </w:r>
            <w:r>
              <w:rPr>
                <w:rFonts w:hint="eastAsia" w:ascii="宋体" w:hAnsi="宋体" w:eastAsia="宋体" w:cs="宋体"/>
                <w:color w:val="auto"/>
                <w:szCs w:val="21"/>
                <w:highlight w:val="none"/>
              </w:rPr>
              <w:t>费</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详见附表</w:t>
            </w: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349"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涉及专有技术、商标权、专利权和版权、设计或其他知识产权而需要支付的版税及其他相关费用</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详见附表</w:t>
            </w: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349"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right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val="zh-CN"/>
              </w:rPr>
              <w:t>设备备品备件（含零配件）、设备拆装维修所需特殊专用工具购置费</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详见附表</w:t>
            </w: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349"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right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val="zh-CN"/>
              </w:rPr>
              <w:t>日常技术指导，质保期保修服务费</w:t>
            </w:r>
            <w:r>
              <w:rPr>
                <w:rFonts w:hint="eastAsia" w:ascii="宋体" w:hAnsi="宋体" w:eastAsia="宋体" w:cs="宋体"/>
                <w:color w:val="auto"/>
                <w:szCs w:val="21"/>
                <w:highlight w:val="none"/>
              </w:rPr>
              <w:t>用</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详见附表</w:t>
            </w: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349"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right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rPr>
              <w:t>其他费用</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详见附表</w:t>
            </w: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p>
        </w:tc>
        <w:tc>
          <w:tcPr>
            <w:tcW w:w="2349"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ind w:right="17"/>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833" w:type="pct"/>
            <w:tcBorders>
              <w:top w:val="nil"/>
              <w:left w:val="nil"/>
              <w:bottom w:val="single" w:color="auto" w:sz="4" w:space="0"/>
              <w:right w:val="single" w:color="auto" w:sz="4" w:space="0"/>
            </w:tcBorders>
            <w:shd w:val="clear" w:color="000000" w:fill="FFFFFF"/>
            <w:noWrap w:val="0"/>
            <w:vAlign w:val="center"/>
          </w:tcPr>
          <w:p>
            <w:pPr>
              <w:snapToGrid w:val="0"/>
              <w:spacing w:line="360" w:lineRule="auto"/>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p>
        </w:tc>
        <w:tc>
          <w:tcPr>
            <w:tcW w:w="2349"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第三项小计</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color w:val="auto"/>
                <w:kern w:val="0"/>
                <w:szCs w:val="21"/>
                <w:highlight w:val="none"/>
              </w:rPr>
            </w:pPr>
          </w:p>
        </w:tc>
        <w:tc>
          <w:tcPr>
            <w:tcW w:w="833" w:type="pct"/>
            <w:tcBorders>
              <w:top w:val="nil"/>
              <w:left w:val="nil"/>
              <w:bottom w:val="single" w:color="auto" w:sz="4" w:space="0"/>
              <w:right w:val="single" w:color="auto" w:sz="4" w:space="0"/>
            </w:tcBorders>
            <w:noWrap w:val="0"/>
            <w:vAlign w:val="center"/>
          </w:tcPr>
          <w:p>
            <w:pPr>
              <w:widowControl/>
              <w:snapToGrid w:val="0"/>
              <w:spacing w:line="360" w:lineRule="auto"/>
              <w:jc w:val="left"/>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jc w:val="center"/>
        </w:trPr>
        <w:tc>
          <w:tcPr>
            <w:tcW w:w="353" w:type="pc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四</w:t>
            </w:r>
          </w:p>
        </w:tc>
        <w:tc>
          <w:tcPr>
            <w:tcW w:w="2349"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合计（一+二+三）</w:t>
            </w:r>
          </w:p>
        </w:tc>
        <w:tc>
          <w:tcPr>
            <w:tcW w:w="778"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jc w:val="center"/>
              <w:rPr>
                <w:rFonts w:hint="eastAsia" w:ascii="宋体" w:hAnsi="宋体" w:eastAsia="宋体" w:cs="宋体"/>
                <w:b/>
                <w:bCs/>
                <w:color w:val="auto"/>
                <w:kern w:val="0"/>
                <w:szCs w:val="21"/>
                <w:highlight w:val="none"/>
              </w:rPr>
            </w:pPr>
          </w:p>
        </w:tc>
        <w:tc>
          <w:tcPr>
            <w:tcW w:w="686" w:type="pct"/>
            <w:tcBorders>
              <w:top w:val="nil"/>
              <w:left w:val="nil"/>
              <w:bottom w:val="single" w:color="auto" w:sz="4" w:space="0"/>
              <w:right w:val="single" w:color="auto" w:sz="4" w:space="0"/>
            </w:tcBorders>
            <w:shd w:val="clear" w:color="000000" w:fill="FFFFFF"/>
            <w:noWrap w:val="0"/>
            <w:vAlign w:val="center"/>
          </w:tcPr>
          <w:p>
            <w:pPr>
              <w:widowControl/>
              <w:snapToGrid w:val="0"/>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szCs w:val="20"/>
                <w:highlight w:val="none"/>
              </w:rPr>
              <w:t>¥</w:t>
            </w:r>
            <w:r>
              <w:rPr>
                <w:rFonts w:hint="eastAsia" w:ascii="宋体" w:hAnsi="宋体" w:eastAsia="宋体" w:cs="宋体"/>
                <w:color w:val="auto"/>
                <w:szCs w:val="20"/>
                <w:highlight w:val="none"/>
                <w:u w:val="single"/>
              </w:rPr>
              <w:t xml:space="preserve">      </w:t>
            </w:r>
          </w:p>
        </w:tc>
        <w:tc>
          <w:tcPr>
            <w:tcW w:w="833" w:type="pct"/>
            <w:tcBorders>
              <w:top w:val="nil"/>
              <w:left w:val="nil"/>
              <w:bottom w:val="single" w:color="auto" w:sz="4" w:space="0"/>
              <w:right w:val="single" w:color="auto" w:sz="4" w:space="0"/>
            </w:tcBorders>
            <w:noWrap w:val="0"/>
            <w:vAlign w:val="center"/>
          </w:tcPr>
          <w:p>
            <w:pPr>
              <w:widowControl/>
              <w:snapToGrid w:val="0"/>
              <w:spacing w:line="360" w:lineRule="auto"/>
              <w:jc w:val="left"/>
              <w:rPr>
                <w:rFonts w:hint="eastAsia"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b/>
          <w:kern w:val="0"/>
          <w:szCs w:val="21"/>
          <w:highlight w:val="none"/>
        </w:rPr>
      </w:pPr>
    </w:p>
    <w:p>
      <w:pPr>
        <w:tabs>
          <w:tab w:val="left" w:pos="567"/>
        </w:tabs>
        <w:snapToGrid w:val="0"/>
        <w:spacing w:line="36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napToGrid w:val="0"/>
        <w:spacing w:line="360" w:lineRule="auto"/>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1.此表及附表乃投标报价的明细表，投标人应根据招标范围内分项内容的数量扩展报价表；如内容较多，投标人可将每一分项内容单独列表，未提供附表的部分格式不限。</w:t>
      </w:r>
    </w:p>
    <w:p>
      <w:pPr>
        <w:snapToGrid w:val="0"/>
        <w:spacing w:line="360" w:lineRule="auto"/>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2.投标人应列明按“用户需求书”所要求的招标范围内全部货物（含软件）及其服务的价格明细。投标人未填单价或合价或漏量或漏项的项目，视为该项费用已包括在其他有价款的单价或合价内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招标人不再不另行支付费用</w:t>
      </w:r>
      <w:r>
        <w:rPr>
          <w:rFonts w:hint="eastAsia" w:ascii="宋体" w:hAnsi="宋体" w:eastAsia="宋体" w:cs="宋体"/>
          <w:color w:val="auto"/>
          <w:highlight w:val="none"/>
        </w:rPr>
        <w:t>。</w:t>
      </w:r>
    </w:p>
    <w:p>
      <w:pPr>
        <w:snapToGrid w:val="0"/>
        <w:spacing w:line="360" w:lineRule="auto"/>
        <w:ind w:left="210" w:hanging="210" w:hangingChars="100"/>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eastAsia="宋体" w:cs="宋体"/>
          <w:b/>
          <w:color w:val="auto"/>
          <w:szCs w:val="21"/>
          <w:highlight w:val="none"/>
          <w:u w:val="single"/>
          <w:lang w:val="zh-CN"/>
        </w:rPr>
        <w:t>本</w:t>
      </w:r>
      <w:r>
        <w:rPr>
          <w:rFonts w:hint="eastAsia" w:ascii="宋体" w:hAnsi="宋体" w:eastAsia="宋体" w:cs="宋体"/>
          <w:b/>
          <w:color w:val="auto"/>
          <w:szCs w:val="21"/>
          <w:highlight w:val="none"/>
          <w:u w:val="single"/>
        </w:rPr>
        <w:t>分项报价明细表内的“</w:t>
      </w:r>
      <w:r>
        <w:rPr>
          <w:rFonts w:hint="eastAsia" w:ascii="宋体" w:hAnsi="宋体" w:eastAsia="宋体" w:cs="宋体"/>
          <w:b/>
          <w:color w:val="auto"/>
          <w:szCs w:val="21"/>
          <w:highlight w:val="none"/>
          <w:u w:val="single"/>
          <w:lang w:val="zh-CN"/>
        </w:rPr>
        <w:t>合计”金额应与投标报价表内的投标报价金额一致，若两者不一致时，以投标报价表内的投标报价为准，并参照第一章投标须知第</w:t>
      </w:r>
      <w:r>
        <w:rPr>
          <w:rFonts w:hint="eastAsia" w:ascii="宋体" w:hAnsi="宋体" w:eastAsia="宋体" w:cs="宋体"/>
          <w:b/>
          <w:color w:val="auto"/>
          <w:szCs w:val="21"/>
          <w:highlight w:val="none"/>
          <w:u w:val="single"/>
        </w:rPr>
        <w:t>3</w:t>
      </w:r>
      <w:r>
        <w:rPr>
          <w:rFonts w:hint="eastAsia" w:ascii="宋体" w:hAnsi="宋体" w:eastAsia="宋体" w:cs="宋体"/>
          <w:b/>
          <w:color w:val="auto"/>
          <w:szCs w:val="21"/>
          <w:highlight w:val="none"/>
          <w:u w:val="single"/>
          <w:lang w:val="en-US" w:eastAsia="zh-CN"/>
        </w:rPr>
        <w:t>4</w:t>
      </w:r>
      <w:r>
        <w:rPr>
          <w:rFonts w:hint="eastAsia" w:ascii="宋体" w:hAnsi="宋体" w:eastAsia="宋体" w:cs="宋体"/>
          <w:b/>
          <w:color w:val="auto"/>
          <w:szCs w:val="21"/>
          <w:highlight w:val="none"/>
          <w:u w:val="single"/>
          <w:lang w:val="zh-CN"/>
        </w:rPr>
        <w:t>.2款修正详细报价</w:t>
      </w:r>
      <w:r>
        <w:rPr>
          <w:rFonts w:hint="eastAsia" w:ascii="宋体" w:hAnsi="宋体" w:eastAsia="宋体" w:cs="宋体"/>
          <w:b/>
          <w:color w:val="auto"/>
          <w:szCs w:val="21"/>
          <w:highlight w:val="none"/>
          <w:lang w:val="zh-CN"/>
        </w:rPr>
        <w:t>。</w:t>
      </w:r>
    </w:p>
    <w:p>
      <w:pPr>
        <w:autoSpaceDE w:val="0"/>
        <w:autoSpaceDN w:val="0"/>
        <w:adjustRightInd w:val="0"/>
        <w:spacing w:line="360" w:lineRule="auto"/>
        <w:ind w:firstLine="315" w:firstLineChars="150"/>
        <w:jc w:val="right"/>
        <w:rPr>
          <w:rFonts w:hint="eastAsia" w:ascii="宋体" w:hAnsi="宋体" w:eastAsia="宋体" w:cs="宋体"/>
          <w:kern w:val="0"/>
          <w:szCs w:val="21"/>
          <w:highlight w:val="none"/>
        </w:rPr>
      </w:pPr>
    </w:p>
    <w:p>
      <w:pPr>
        <w:autoSpaceDE w:val="0"/>
        <w:autoSpaceDN w:val="0"/>
        <w:adjustRightInd w:val="0"/>
        <w:spacing w:line="360" w:lineRule="auto"/>
        <w:ind w:firstLine="315" w:firstLineChars="150"/>
        <w:jc w:val="right"/>
        <w:rPr>
          <w:rFonts w:ascii="宋体" w:hAnsi="宋体" w:eastAsia="宋体" w:cs="宋体"/>
          <w:kern w:val="0"/>
          <w:szCs w:val="21"/>
          <w:highlight w:val="none"/>
        </w:rPr>
      </w:pPr>
      <w:r>
        <w:rPr>
          <w:rFonts w:hint="eastAsia" w:ascii="宋体" w:hAnsi="宋体" w:eastAsia="宋体" w:cs="宋体"/>
          <w:kern w:val="0"/>
          <w:szCs w:val="21"/>
          <w:highlight w:val="none"/>
        </w:rPr>
        <w:t>投标人：（加盖投标人法人公章）</w:t>
      </w:r>
    </w:p>
    <w:p>
      <w:pPr>
        <w:autoSpaceDE w:val="0"/>
        <w:autoSpaceDN w:val="0"/>
        <w:adjustRightInd w:val="0"/>
        <w:spacing w:line="360" w:lineRule="auto"/>
        <w:ind w:right="275" w:rightChars="131"/>
        <w:jc w:val="right"/>
        <w:rPr>
          <w:rFonts w:ascii="宋体" w:hAnsi="宋体" w:eastAsia="宋体" w:cs="宋体"/>
          <w:kern w:val="0"/>
          <w:szCs w:val="21"/>
          <w:highlight w:val="none"/>
        </w:rPr>
      </w:pPr>
      <w:r>
        <w:rPr>
          <w:rFonts w:hint="eastAsia" w:ascii="宋体" w:hAnsi="宋体" w:eastAsia="宋体" w:cs="宋体"/>
          <w:kern w:val="0"/>
          <w:szCs w:val="21"/>
          <w:highlight w:val="none"/>
        </w:rPr>
        <w:t>日期：   年   月   日</w:t>
      </w:r>
    </w:p>
    <w:p>
      <w:pPr>
        <w:autoSpaceDE/>
        <w:autoSpaceDN/>
        <w:adjustRightInd/>
        <w:spacing w:line="240" w:lineRule="auto"/>
        <w:ind w:firstLine="0" w:firstLineChars="0"/>
        <w:rPr>
          <w:rFonts w:ascii="宋体" w:hAnsi="宋体" w:eastAsia="宋体" w:cs="Times New Roman"/>
          <w:color w:val="auto"/>
          <w:sz w:val="24"/>
          <w:szCs w:val="24"/>
          <w:highlight w:val="none"/>
          <w:lang w:val="zh-CN"/>
        </w:rPr>
        <w:sectPr>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p>
    <w:p>
      <w:pPr>
        <w:autoSpaceDE/>
        <w:autoSpaceDN/>
        <w:adjustRightInd/>
        <w:spacing w:line="240" w:lineRule="auto"/>
        <w:ind w:firstLine="0" w:firstLineChars="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4.2.1 货物报价费</w:t>
      </w:r>
    </w:p>
    <w:p>
      <w:pPr>
        <w:autoSpaceDE/>
        <w:autoSpaceDN/>
        <w:adjustRightInd/>
        <w:spacing w:line="240" w:lineRule="auto"/>
        <w:ind w:firstLine="0" w:firstLineChars="0"/>
        <w:jc w:val="center"/>
        <w:rPr>
          <w:rFonts w:hint="eastAsia"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货物详细报价表</w:t>
      </w:r>
    </w:p>
    <w:p>
      <w:pPr>
        <w:autoSpaceDE/>
        <w:autoSpaceDN/>
        <w:adjustRightInd/>
        <w:spacing w:line="240" w:lineRule="auto"/>
        <w:ind w:firstLine="0" w:firstLineChars="0"/>
        <w:jc w:val="center"/>
        <w:rPr>
          <w:rFonts w:hint="eastAsia" w:ascii="宋体" w:hAnsi="宋体" w:eastAsia="宋体" w:cs="Times New Roman"/>
          <w:color w:val="auto"/>
          <w:sz w:val="24"/>
          <w:szCs w:val="24"/>
          <w:highlight w:val="none"/>
          <w:lang w:val="zh-CN"/>
        </w:rPr>
      </w:pPr>
    </w:p>
    <w:p>
      <w:pPr>
        <w:spacing w:line="360" w:lineRule="auto"/>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rPr>
        <w:t>项目名称：</w:t>
      </w:r>
      <w:r>
        <w:rPr>
          <w:rFonts w:hint="eastAsia" w:ascii="宋体" w:hAnsi="宋体" w:eastAsia="宋体" w:cs="宋体"/>
          <w:kern w:val="0"/>
          <w:szCs w:val="21"/>
          <w:highlight w:val="none"/>
          <w:u w:val="single"/>
          <w:lang w:eastAsia="zh-CN"/>
        </w:rPr>
        <w:t>东莞市置拓投资有限公司水业大厦食堂设备设施采购项目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kern w:val="0"/>
          <w:szCs w:val="21"/>
          <w:highlight w:val="none"/>
        </w:rPr>
        <w:t>招标编号：</w:t>
      </w:r>
      <w:r>
        <w:rPr>
          <w:rFonts w:hint="eastAsia" w:ascii="宋体" w:hAnsi="宋体" w:eastAsia="宋体" w:cs="宋体"/>
          <w:color w:val="auto"/>
          <w:kern w:val="0"/>
          <w:szCs w:val="21"/>
          <w:highlight w:val="none"/>
          <w:u w:val="single"/>
          <w:lang w:eastAsia="zh-CN"/>
        </w:rPr>
        <w:t>0832-SFCX25DG030A</w:t>
      </w:r>
    </w:p>
    <w:p>
      <w:pPr>
        <w:spacing w:line="360" w:lineRule="auto"/>
        <w:jc w:val="right"/>
        <w:rPr>
          <w:rFonts w:hint="eastAsia" w:ascii="宋体" w:hAnsi="宋体" w:eastAsia="宋体" w:cs="宋体"/>
          <w:color w:val="auto"/>
          <w:kern w:val="0"/>
          <w:szCs w:val="21"/>
          <w:highlight w:val="none"/>
          <w:u w:val="none"/>
          <w:lang w:eastAsia="zh-CN"/>
        </w:rPr>
      </w:pP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单位：人民币元</w:t>
      </w:r>
    </w:p>
    <w:tbl>
      <w:tblPr>
        <w:tblStyle w:val="37"/>
        <w:tblW w:w="14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1280"/>
        <w:gridCol w:w="5369"/>
        <w:gridCol w:w="640"/>
        <w:gridCol w:w="640"/>
        <w:gridCol w:w="1260"/>
        <w:gridCol w:w="652"/>
        <w:gridCol w:w="660"/>
        <w:gridCol w:w="1280"/>
        <w:gridCol w:w="1150"/>
        <w:gridCol w:w="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设备名称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招标文件配置说明</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品牌</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投标产品规格、型号</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不含税综合单价（元）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不含税小计（元）</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一、厨房设备部分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A、仓储区/更衣室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不锈钢存放地架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规格：1200*600*200mm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除湿机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除湿率：60L/D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水箱大小：10L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功率：800W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电源：220V</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四层栅格货架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四层平板货架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回收柜（开孔）</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规格：700*650*800+150mm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3.柜身、底板厚1.0mm。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4.上斜拉门，外门厚1.0mm，门胆厚0.8mm。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5.通脚38*38*1.0mm，横梁38*25*1.0mm方管。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6.承重脚：全不锈钢可调节承重脚，调节范围3cm~5cm。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规格：600*650*800+150mm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不锈钢存放地架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规格：1200*600*200mm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干手器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额定功率：2KW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机身材质：ABS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出风速度：≥12m/s</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洗手星（脚踏式）</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规格：500*450*600mm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1.整体采用304不锈钢制作，台面厚1.2mm；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2.星盆斗厚1.0mm，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3.立柱采用38*38*1.2mm厚不锈钢方管，配不锈钢可调子弹脚；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4.工作形式：脚踏式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5.配水龙头。</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四层平板货架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6门更衣柜（下置鞋柜）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规格：900*390*1800mm；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1.304不锈钢材质制造；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2.柜身厚1.0mm；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3.层板、外门板采用活动式结构；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5.2层衣柜+1层鞋柜</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组合冷库/保鲜库</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规格：2400*3400*2600mm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1.冷库内壁板为304不锈钢1.0mm，内注B1级环保阻燃聚氨酯，聚胺脂厚100mm，其密度高保温性能好。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2.地面预留排水管道，边角整体弧形定制。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3.设备支架使用碳素钢矩形支架角钢，承重量大，刷油漆二遍，防锈。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4.配门规格≥800*1800，304材质1.0mm，门带除霜功能；自动化霜，食品级密封胶条，配安全逃生锁具。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5.冷库温度：最低温度≤0℃，温度可调，电子显示温度工况。。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6.蒸发器管式过滤器使用低噪音风机，外壳采用优质不锈钢合金工艺，耐腐蚀。换热管采用光亮性铜管，机械胀管工艺，贴合密切换热效果好。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7.不锈钢电加热管均与分布于蒸发器芯体与接水盘，除霜效果好，冷库内匹配。膨胀阀、干燥过滤器、液境、雪种及电阀磁吸、继电器、高低压力制。丹佛斯吸附法干燥过滤与机组相匹配。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含油）高低压表，表壳采用SUS-304不锈钢材质配不锈钢法兰.表盖PC镜面强化玻璃,不锈钢表框.高压-0.1～3.8MPa.连接螺纹铜合金7/16″-20UNF铜管牙.弹簧管材质磷青铜.精度等级1.6，使用环境条件温度-20～60℃相对湿度小于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9.系统智能化管理，缺压安全预警，能源管理。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10.需配备自动控制系统，具有交流控制器，综合保护器。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11、含安装辅材及室外铜管延长50米，铜管保温（根据现场定制安装），保证设备完整性。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12.压缩机功率≥5HP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▲压缩机推荐品牌：应符合或相当于谷轮、松下、日立品牌品质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组合冷库/冷冻库</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规格：2100*3400*2600mm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1.冷库内壁板为304不锈钢1.0mm，内注B1级环保阻燃聚氨酯，聚胺脂厚100mm，其密度高保温性能好。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2.地面预留排水管道，边角整体弧形定制。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3.设备支架使用碳素钢矩形支架角钢，承重量大，刷油漆二遍，防锈。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4.配门规格≥800*1800，304材质1.0mm，门带除霜功能；自动化霜，食品级密封胶条，配安全逃生锁具。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5.冷库温度：最低温度≤-18℃，温度可调，电子显示温度工况。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6.蒸发器管式过滤器使用低噪音风机，外壳采用优质不锈钢合金工艺，耐腐蚀。换热管采用光亮性铜管，机械胀管工艺，贴合密切换热效果好。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7.不锈钢电加热管均与分布于蒸发器芯体与接水盘，除霜效果好，冷库内匹配。膨胀阀、干燥过滤器、液境、雪种及电阀磁吸、继电器、高低压力制。丹佛斯吸附法干燥过滤与机组相匹配。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含油）高低压表，表壳采用SUS-304不锈钢材质配不锈钢法兰.表盖PC镜面强化玻璃,不锈钢表框.高压-0.1～3.8MPa.连接螺纹铜合金7/16″-20UNF铜管牙.弹簧管材质磷青铜.精度等级1.6，使用环境条件温度-20～60℃相对湿度小于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9.系统智能化管理，缺压安全预警，能源管理。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10.需配备自动控制系统，具有交流控制器，综合保护器。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11、含安装辅材及室外铜管延长50米，铜管保温（根据现场定制安装），保证设备完整性。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12.压缩机功率≥5HP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▲压缩机推荐品牌：应符合或相当于谷轮、松下、日立品牌品质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B、加工间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柜式餐具车</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规格：500*800*950mm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2.推车面板厚1.2mm。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3.设置不锈钢推拉手，下配两定两动静音轮。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4.配重力型脚轮。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平板推车</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规格：500*900*857mm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2.推车面板厚1.5mm。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3.设置不锈钢推拉手，下配两定两动静音轮。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4.配重力型脚轮。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三层餐车</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规格：850*500*900mm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2.推车面板厚1.2mm。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3.设置不锈钢推拉手，下配两定两动静音轮。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4.配重力型脚轮。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洗地龙头</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1.规格：蓝色液压管/配10米；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2.采用不锈钢开放式卷盘厚度1.2MM，液压管出口采用304不锈钢板加固，系统控制软管的长度和拖拉力度，可自动撤回；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3.标配一把喷枪或花洒喷头。</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单星杀鱼台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1.整体采用304不锈钢制作，台面厚1.2mm；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2.星盆斗厚1.0mm，星盆斗尺寸：500*500*280mm，配置提篮式不锈钢下水器；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3.立柱采用Φ48*1.0mm圆通，配不锈钢可调子弹脚；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4.横撑采用Φ32*1.0mm圆通。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刀具砧板及毛巾消毒柜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规格：1200*600*1800mm、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材质：不锈钢材质1.0mm，配刀具、毛巾及砧板三种功能消毒；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功率/电压：0.35kw/220V；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柜上部紫外线，柜下部红外线。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不锈钢存放地架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规格：1500*500*200mm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电热水器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电压：220V；功率：2KW，储水容积≥80L；一级能效；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水电分离瓷热舱+加长防电墙+漏电提醒；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内胆材质搪瓷或珐琅或金圭。</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干手器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额定功率：2KW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机身材质：ABS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出风速度：≥12m/s</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洗手星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规格：500*450*600mm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四层货架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规格：1200*500*1500mm、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规格：1600*760*950mm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规格：900*760*950mm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绞切肉机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规格：630*430*800mm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1.绞肉产量：≥180kg/h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2.切肉产量：≥400kg/h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3.使用电压：220V/50Hz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4.电机功率：1500W。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▲推荐品牌：应符合或相当于旭众、恒联、华菱、银鹰品牌品质；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切片机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规格：420*265*390mm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刀片直径：10"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功率：≥0.23kw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转速282 R/min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切片厚度：1-12mm；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▲推荐品牌：应符合或相当于恒联、裕飞永强、华菱、银鹰品牌品质；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规格：1100*700*800mm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规格;1000*700*800mm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多功能切菜机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规格：1300*700*1140mm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功率：≥1.3KW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生产能力：≥300kg/H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配置：叶菜部标配2支叶菜805大刀，球根茎标配1个3片、1个3丝、1套12丁（其中根茎片盘2-10mm可选，丝盘2-10mm可选）</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砧板工作台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1.优质不锈钢304制造，台面1.2mm。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2.砧板面板垫实木板≥15mm，台面厚50mm。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大单星盆水池</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规格：1000*760*800+150mm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三星盆水池</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规格;2000*760**800+150mm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三星盆水池</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摇头壁扇</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650壁扇；钛铝镁合金扇叶；上下左右摇头；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扇叶片数：3叶；额定功率≥230W；风力档位：3档</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C、烹饪间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吊天花双层架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规格：1800*400*1500mm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摇摆汤锅</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容积≥150L；燃气种类：天燃气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1.热负荷≥40kw；额定压力：2000Pa；热效率≥55%；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2.炉头需要熄火保护控制。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四层平板货架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规格：1200*760*950mm、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规格：800*900*950mm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燃气六头煲仔炉</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规格：1500*900*800+150mm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1.不锈钢SUS304制造，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2.炉面板厚1.2mm，150mm高后挡水。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3.下层板厚1.0mm。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4.炉围及炉身、前板、接油盘厚1.0mm*通脚38*38*1.0mm方管。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5.热电偶式熄火保护安全稳定。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6.子弹脚：全不锈钢可调节子弹脚，调节范围3cm~5cm。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7.热负荷：≥30kw；额定压力：2000Pa。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8.炉头需要熄火保护控制。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双头大锅灶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规格：2200*1100*800+450mm；燃气种类：天燃气；配锅800mm*2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1.炉面板采用1.5mm厚304食品级不锈钢板材，台面一体成型，IPX4标准防水设计。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2.水围、炉围及炉身、背板、前板采用1.2mm厚304食品级不锈钢板制作。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3.底架采用50mm×50mm不锈钢方管，2.0mm厚钢板与面板隔热处理。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6.炉头火位：内砌耐火砖结火位,环保节能炉头﹐静音设计。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8.热负荷：单头≥40kw；额定压力：2000Pa；热效率≥55%。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10.设备配套风机组件、0.125KW/220V~0.550KW/220V</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单星工作台（右星）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规格：1800*760*800mm、1.材质:304不锈钢板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双通工作台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规格：1800*800*800mm、1.材质:不锈钢板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2.面板用304不锈钢板制作δ=1.2mm,柜门及层板δ=1.0mm,内层马仔用不锈钢板制作加固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炉拼台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规格：400*1100*800+450mm、1.优质304不锈钢磨砂板，面板1.2mm、侧板1.0mm；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2.立柱采用38×38×1.0mm厚不锈钢方管，配不锈钢可调子弹脚；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3.横撑采用38*25*1.0mm方管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4.配不锈钢可调子弹脚。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大单星盆水池</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规格：1200*760*800+150mm、1.采用304不锈钢磨砂板材；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双门蒸饭柜（含饭盆）</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24盆，配饭盆；燃气种类：天燃气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1.采用304食品级不锈钢板材1.0mm，整体发泡。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2.配节能蒸汽发生器。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6.双门可独立控制。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8.热负荷：≥36kw；额定压力：2000Pa；热效率≥55%。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10.设备配套风机组件、0.075KW/220V~0.550KW/220V</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海鲜蒸柜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规格：1000*900*1800mm；燃气种类：天燃气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1.炉面板采用1.2mm厚304食品级不锈钢板材，台面一体成型，IPX4标准防水设计。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2.配节能蒸汽发生器。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6.三门独立控制。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8.热负荷≥40kw；额定压力：2000Pa；热效率≥55%。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10.设备配套风机组件、0.075KW/220V~0.550KW/220V</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洗米机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容积≥100kg；材质:不锈钢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规格:100kg洗米机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水压:4kg</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双头单尾小炒灶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规格：1800*1100*915mm；燃气种类：天燃气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1.炉面板采用1.5mm厚304食品级不锈钢板材，台面一体成型，IPX4标准防水设计。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2.水围、炉围及炉身、背板、前板采用1.2mm厚304食品级不锈钢板制作。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3.底架采用50mm×50mm不锈钢方管，2.0mm厚钢板与面板隔热处理。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6.炉头火位：内砌耐火砖结火位,环保节能炉头﹐静音设计。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8.热负荷：单头≥40kw；额定压力：2000Pa；热效率≥45%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10.设备配套风机组件、0.125KW/220V~0.550KW/220V</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单头矮汤炉</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规格：700*850*600+650mm、燃气种类：天燃气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1.炉面板采用1.5mm厚304食品级不锈钢板材，台面一体成型，IPX4标准防水设计。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2.水围、炉围及炉身、背板、前板采用1.2mm厚304食品级不锈钢板制作。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3.底架采用50mm×50mm不锈钢方管，2.0mm厚钢板与面板隔热处理。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6.炉头火位：内砌耐火砖结火位，环保节能炉头，静音设计。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8.热负荷：单头≥32kw；额定压力：2000Pa；热效率≥55%。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10.设备配套风机组件、0.125KW/220V~0.550KW/220V</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普通式油网烟罩</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规格：4200*1200*500mm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1.采用1.0mm厚304磨砂不锈钢板。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2.不锈钢接驳口焊连接，烟罩深度≥1200mm，高度≥500mm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3.烟罩内部的前方及两侧设有油脂、泠凝水收集槽，油槽底面设有≥15mm的高度差，每节烟罩配有活动双折迭把手接油盆隔热、散热、防潮、防尘电器检修舱设计。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5.配可调节风口，配合使用工位及天花整体设计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6.配封钢板（配套安装高度1000mm），1.0mm厚304磨砂不锈钢板。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普通式油网烟罩</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规格：4200*1200*500mm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1.采用1.0mm厚304磨砂不锈钢板。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2.不锈钢接驳口焊连接，烟罩深度≥1200mm，高度≥500mm。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3.烟罩内部的前方及两侧设有油脂、泠凝水收集槽，油槽底面设有≥15mm的高度差，每节烟罩配有活动双折迭把手接油盆隔热、散热、防潮、防尘电器检修舱设计。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5.配可调节风口，配合使用工位及天花整体设计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6.配封钢板（配套安装高度1000mm），1.0mm厚304磨砂不锈钢板。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不锈钢存放地架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洗地龙头</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1.规格：蓝色液压管/配15米；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2.采用不锈钢开放式卷盘厚度1.2MM，液压管出口采用304不锈钢板加固，系统控制软管的长度和拖拉力度，可自动撤回；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3.标配一把喷枪或花洒喷头。</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油烟净化一体机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规格：2000*1300*1000mm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不锈钢板材制作，内置净化单元（集抽、排、净化于一体），采用单台操作及控制系统（独立风机、噪音低、流量大。效率高），实现低空达标排放标准，采用防火灾设计理念，风机整体内嵌隐藏在烟罩之内，避免二次吊装，自带动力，自动清洗，自动排污，自动软启动。设备累计工作17小时，自动清洗净化芯体，实现弱电对强电的自动化控制。并且根据油烟的污染程度，在后台电脑上修改自动清洗周期，保障净化效果（油烟发生量大，净化周期短，油烟发生量小，净化周期长），以及节约用水的效果。风机为高效率、低功率、低噪声外转子专用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设备运行中可将油烟颗粒物、蒸气、气味和臭氧氧化反应，氧化在排气室以及管道内发生，油烟净化系统处理效率可达到90%以上，采用产品专用净化剂符合国家GB/14930.1-2015《食品安全国家标准洗涤剂》的检测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3.油烟净化一体机出口烟气含水率≤8%、额定风量下净化率≥90%，需符合国家GB1616157-1996、GB/T14675-1993、HJ57-2017检测依据标准；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4.功率≥1.1kw；电压：220V；处理风量≥4500m3/H；</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D、面食间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蒸笼架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1.规格：540*470*760mm；采用304不锈钢；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2.厚度1.2mm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电饼铛</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锅盘直径：≥500mm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额定功率：≥4.5KW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柜门采用平开式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4"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储物柜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规格：1100*500*1800mm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3.单面活动趟门，不锈钢导轨吊轮、整体折边成形趟门：外层304不锈钢1.0mm；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冷藏操作台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规格：1800*760*800mm；内外箱不锈钢，电子式温控数显器，折边门；制冷方式：直冷；温度范围：-10℃～0℃/0℃～+10℃。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不锈钢单门发酵箱</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1.箱体内外采用优质不锈钢材料制造，经久耐用。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2.功率：≥2.0KW；电压：220V，全自动微电脑触摸式数控系统。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3.内置式风机循环装置，使箱内温度均匀一致。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4.宽敞玻璃视窗和内置照明系统，发酵过程一目了然。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5.规格：13(盘)/门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6.设自动进水装置和任意调节层架。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三层六盘烤箱</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功率：≥19KW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规格：三层六盘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直插式，配烤盘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支持标准商用的600×400烤盘，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烤箱工作时声响为70-90分贝。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▲推荐品牌：应符合或相当于旭众、裕飞永强、华菱、银鹰品牌品质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面粉车</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规格：500*600*530mm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2.厚度：面板≥1.0mm；配桶盖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3.下配加重静音两个4"定向活动轮，两个4"带刹车万向活动轮。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木案工作台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2.松木台面厚50mm。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3.通脚38X38X1.0mm方管，横梁38X38X1.0mm方管。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4.子弹脚：全不锈钢可调节子弹脚，调节范围3cm~5cm。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揉压压面机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压面厚度：1~5mm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电机功率：1.1KW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压面宽度：≥288mm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生产能力：125kg/h。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▲推荐品牌：应符合或相当于旭众、恒联、华菱、银鹰品牌品质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双动和面机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料桶容积：35L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电机功率：1.1KW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最大和面量：12Kg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料桶转速：15r/Min。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▲推荐品牌：应符合或相当于旭众、恒联、华菱、银鹰品牌品质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搅拌机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料桶容积：≥30L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电机功率：1.5KW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最大和面量：10Kg。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▲推荐品牌：应符合或相当于旭众、恒联、华菱、银鹰品牌品质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新风式油网烟罩</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规格：3600*1300*500mm、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1.采用1.0mm厚304磨砂不锈钢板。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2.不锈钢接驳口焊连接，烟罩深度≥1300mm，高度≥500mm。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3.烟罩内部的前方及两侧设有油脂、泠凝水收集槽。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5.配可调节风口，配合使用工位及天花整体设计。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6.配封钢板（配套安装高度1000mm），1.0mm厚304磨砂不锈钢板。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饼盘车</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规格：420*720*1670mm、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1.整体采用304不锈钢制作；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2.L片厚度为1.5mm；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3.脚管采用38*38*1.0mm不锈钢方通；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4.配静音万向轮，带刹车。</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E、检测室/熟食间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双门留样柜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1.有效容积≥500L,透视窗式，配锁功能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2.制冷剂R134A或同类环保冷媒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3.冷藏温度：0℃～10℃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农药残留快速测试仪</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主要用于农药残毒含量的检测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配套功能：数据电子化管理，软件管理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波长配置：410nm；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通道：≥8通道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抑制率显示范围：0%～100%；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抑制率测量范围：0%～100%；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透射比准确度：±1.5%；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透射比重复性：≤0.5%；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漂移：≤0.005Abs/3min；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抑制率示值误差：≤10%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四层货架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干手器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额定功率：2KW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机身材质：ABS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出风速度：≥12m/s</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工作柜带靠背</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规格：1200*800*800+150mm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单门留样柜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1.有效容积≥200L,透视窗式，配锁功能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2.制冷剂R134A或同类环保冷媒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3.冷藏温度：0℃～10℃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单星工作台柜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规格：1200*800*800+150mm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规格：700*700*800mm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洗手星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规格：500*450*600mm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烧腊挂架连油盆</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规格：1000*350*1300mm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2.油盆不锈钢板厚1.0mm；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3.吊杆采用Ф48*1.0mm厚不锈钢圆管制作。</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微波炉</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 1300W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面板类型: 透明 镜面 平板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烹饪方式: 微波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底盘类型: 平板式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内胆材质: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液晶显示: 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能效等级: 一级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控制方式: 电脑式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微波炉分类: 微波炉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是否变频: 变频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开门方式: 侧拉式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冷藏操作台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规格：1500*760*800mm；内外箱不锈钢，电子式温控数显器，折边门；制冷方式：直冷；温度范围：-10℃～0℃/0℃～+10℃。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紫外线消毒灯</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功率:≥55W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管径：15mm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F、洗消间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不锈钢勺快回收柜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规格：3500*400*950mm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3.柜身、底板厚1.0mm。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4.上斜拉门，外门厚1.0mm，门胆厚0.8mm。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5.通脚38*38*1.0mm，横梁38*25*1.0mm方管。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6.承重脚：全不锈钢可调节承重脚，调节范围3cm~5cm。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1#智能餐盘传送带(直线型)</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参考尺寸：8000*480*940mm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1、设备传送速度15-20米/分钟；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3、传送采用链板式结构。机架采用304不锈钢方管制作1.2mm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4、配置静音驱动马达，柔性启动等功能，保障餐具传送的稳定及传送带的静音运行；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5、工作区传送带配置可拆卸PP护边，进行清洁工作时，可将护边拆卸，方便清洁，不留卫生死角；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6.功率≤1KW；电压：220V；链板式（样式深化设计确认）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7.无极变频调速控制，内外配应急停止控制；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L转角输送传送带</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2.传送采用链板式结构，机架采用304不锈钢制作≥1.2mm。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3.转角90度，无缝对接传送带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4.输送带宽度≥480mm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5.与直线输送带配套安装。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不锈钢餐具除渣处理机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处理能力≥0.5T/小时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4.自动清洗过滤，配套除渣装置；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5.功率≥2kw，智能控制。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2#智能餐盘传送带(直线型)</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参考尺寸：7500*480*940mm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1.设备传送速度15-20米/分钟；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3.传送采用链板式结构。机架采用304不锈钢方管制作1.2mm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4.配置静音驱动马达，柔性启动等功能，保障餐具传送的稳定及传送带的静音运行；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5.工作区传送带配置可拆卸PP护边，进行清洁工作时，可将护边拆卸，方便清洁，不留卫生死角；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6.功率≤1KW；电压：220V；链板式（样式深化设计确认）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7.无极变频调速控制，内外配应急停止控制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3#智能餐盘传送带(直线型)</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参考尺寸：11000*480*940mm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1.设备传送速度15-20米/分钟；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3.传送采用链板式结构。机架采用304不锈钢方管制作1.2mm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4.配置静音驱动马达，柔性启动等功能，保障餐具传送的稳定及传送带的静音运行；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5.工作区传送带配置可拆卸PP护边，进行清洁工作时，可将护边拆卸，方便清洁，不留卫生死角；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6.功率≤2KW；电压：220V；链板式（样式深化设计确认）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7.无极变频调速控制，内外配应急停止控制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不锈钢预洗机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规格：1200*1000*950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5.功率≥2kw，智能控制。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不锈钢碗碟保洁柜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规格：1200*600*1800mm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3.单面活动趟门，不锈钢导轨吊轮、整体折边成形趟门：外层304不锈钢厚度1.0mm；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紫外线消毒灯</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功率:≥55W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管径：15mm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节能长龙式洗碗机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规格：6700*950*2015mm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1.双缸双喷带烘干，配电总功率≤56KW；电压：380V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2.设备主体板材为SUS304不锈钢1.5mm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3.洗涤速度：2.2米/分钟（速度可调），洗涤量≥3000碟/小时；耗水量≤380L/H。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4.消毒烘干机采用远红外线石英发热管，高温强力风机进行高温循环烘干。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5.设备每个模块，两侧上下两块挡板均可徒手拆卸，方便清洗和维护。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6.水箱采用阶梯式设计，保证水箱的清洗度，使餐具更加清洁，有效的节约用水，环保节能。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7.自动化操作程序，加热、洗涤全自动，只需轻轻一按即可，无需频繁操作，机器出口设有障碍停机。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8.餐具清洗后，餐具干净，烘干效果好，餐具无明显积水，水渍。</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洗地龙头</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1、规格：蓝色液压管/配10米；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2、采用不锈钢开放式卷盘厚度1.2MM，液压管出口采用304不锈钢板加固，系统控制软管的长度和拖拉力度，可自动撤回；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3、标配一把喷枪或花洒喷头。</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蒸汽集排烟罩</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规格：1200*1100*500mm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1.采用1.0mm厚304磨砂不锈钢板。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2.不锈钢接驳口焊连接，烟罩深度≥1100mm，高度≥500mm。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3.烟罩内部的前方及两侧设有油脂、泠凝水收集槽。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5.配可调节风口，配合使用工位或天花整体设计。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推车式餐具消毒碗柜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容积≥900L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1.不锈钢材质，双门结构，大容量设计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2.柜面板厚1.0mm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3.推车式结构(含推车)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5.功率：≥4000W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6.不锈钢箱体，定时控制开关。</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4#智能餐盘传送带(直线型)</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参考尺寸：2000*480*940mm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1.设备传送速度15-20米/分钟；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3.传送采用链板式结构。机架采用304不锈钢方管制作1.2mm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4.配置静音驱动马达，柔性启动等功能，保障餐具传送的稳定及传送带的静音运行；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5.工作区传送带配置可拆卸PP护边，进行清洁工作时，可将护边拆卸，方便清洁，不留卫生死角；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6.功率≤2KW；电压：220V；链板式（样式深化设计确认）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7.无极变频调速控制，内外配应急停止控制。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jc w:val="center"/>
        </w:trPr>
        <w:tc>
          <w:tcPr>
            <w:tcW w:w="67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F15</w:t>
            </w:r>
          </w:p>
        </w:tc>
        <w:tc>
          <w:tcPr>
            <w:tcW w:w="12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垃圾回收处理设备</w:t>
            </w:r>
          </w:p>
        </w:tc>
        <w:tc>
          <w:tcPr>
            <w:tcW w:w="53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处理能力≥0.5T/小时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1.整体架构采用优质304不锈钢板1.2mm；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2.自动控制，具有加热，厨余处理及过滤装置等功能。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3.配套输送回收，无缝对接。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4.功率≥3kW</w:t>
            </w:r>
          </w:p>
        </w:tc>
        <w:tc>
          <w:tcPr>
            <w:tcW w:w="6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F16</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53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6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F17</w:t>
            </w:r>
          </w:p>
        </w:tc>
        <w:tc>
          <w:tcPr>
            <w:tcW w:w="12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四层栅格货架</w:t>
            </w:r>
          </w:p>
        </w:tc>
        <w:tc>
          <w:tcPr>
            <w:tcW w:w="53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四层栅格货架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规格：1180*600*1550mm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四层栅格货架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规格：1000*500*1550mm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大单星盆水池</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规格：1000*700*800+150mm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步入式高温热风循环消毒房</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规格：2800*2750*2100mm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1.消毒房库体：库体内外壁均采用304/0.8MM优质不锈钢板，中间100MM厚容重120G/m³憎水岩棉搭建而成，手工压制而成，防火等级A级。库体内配置防水、防潮灯。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2.消毒房顶板：体内外壁均采用304/0.8MM优质不锈钢板，中间100MM厚容重120G/m³憎水岩棉搭建而成，手工压制而成，防火等级A级。四周不锈钢方管加固，使库体更加牢固耐用。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3.耐高温专用门：门内外壁均采用304优质不锈钢板材，中间为双层钢化玻璃，可耐温300度，门口四周E型耐高温硅胶密封处理，防火等级A级。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4.专用防撞护栏：不锈钢材质，库内一周防撞防潮保护。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5.底板：采用3MM防滑铝板，底部方管骨架，防止湿滑，更加人性化；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6.加温加热系统：1)热风系统结构：为强对流热风循环结构模式。2)运行风机采用耐高温离心风机，耐高温为300℃，并加装风机罩壳。3)出风口：采用304不锈钢板定制而成。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7.控制系统：控制箱面板上装有温度显示设定，消毒保温时间设定美控控制系统。风机加热启动停止等操作按钮，库体上方装有液晶显示屏。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8.电源：380V/50HZ，功率≥24KW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9.消毒方式：高温热风循环，RT30℃-150℃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G、明档区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餐厅员工洗手池</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规格：2400*500*800+150mm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餐具保温柜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2.柜面板厚1.0mm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3.参考容积≥500L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5.功率：≥4000W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6.温度可调，不锈钢箱体，定时旋钮开关，带推车。</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保温盆工作台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规格：2100*400*800mm；功率：2KW；电压：380V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2.台面1.2mm。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保温盆工作台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规格：1800*400*800mm；功率：2KW；电压：380V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2.台面1.2mm。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豪华保温车</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容积≥560L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功率：≥2000W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容量：≥560L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热风循环，六面整体发泡层工艺，专业菜品存放不锈钢层架，专业拉扣门把手、硅胶防撞圈设计、移动重力轮设计。独立风道、加湿。保温、保湿，有效保持菜品新鲜。</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电热保温台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规格：1800*800*800mm；制热功率：≥2KW；电压：380V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3.炉围及炉身、背板、前板厚1.0mm。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4.炉脚采用不锈钢6寸重力脚。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5.多种保护设计，有效防水、防虫、防油；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6.操控方式：采用多档火力开关，火力更精确控制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电磁4头煲仔炉</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规格：800*800*800mm；功率：4*3.5kW；电压：380V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3.炉围及炉身、背板、前板厚1.0mm；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4.炉脚采用不锈钢6寸重力脚；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5.柔性固定微晶板固定装置；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6.多种保护设计，有效防水、防虫、防油；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7.操控方式：采用多档火力开关，火力更精确控制；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8.线盘高温保护，过压过流保护等多重保护，有独立散热风道；</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电扒炉</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2.功率：≥2KW；电压：220V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规格：600*800*800+150mm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电磁双头煮面炉</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规格：1200*800*830mm、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1.额定功率2*12KW；电压：380V；尺寸：1500*800*800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2.材质：全不锈钢加厚机身制作，坚固耐用。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3.电磁感应加热，热效率更高，出品速度更快。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4.全封闭机芯，独立式散热风道设计，做到真正防水，防油烟，防虫。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5.一体成型台面设计，水箱采用双面焊接技术，使用寿命长，不易漏水，自动故障检测，安全可靠。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6.采用霍尔传感器技术，电流检测更稳定，控温更精准；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7.显示屏能够显示电磁灶实时功率、线盘（IGBT模块）的实时温度。                                                                                                  8.采用十档磁控开关，精细化火力分布，经久耐用。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规格：1100*800*800mm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冷藏玻璃门操作台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规格：1500*760*800mm；内外箱不锈钢，电子式温控数显器，折边门；制冷方式：直冷；温度范围：-10℃～0℃/0℃～+10℃。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四层平板货架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暖汁保温箱</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规格：550*315*345mm；功率：1.2KW；电压：220V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2.台面、汤池厚1.2mm。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3.柜身、前板、底板、侧板厚1.0mm。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规格：1600*1000*500mm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规格：3400*1000*500mm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电热保温台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规格：1400*700*850mm；制热功率：≥2KW；电压：380V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3.炉围及炉身、背板、前板厚1.0mm。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4.炉脚采用不锈钢6寸重力脚。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5.多种保护设计，有效防水、防虫、防油。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6.操控方式：采用多档火力开关，火力更精确控制。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规格：1100*800*850mm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单通移门挂墙柜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规格：1500*400*600mm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铁板烧</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1.铁板台面材料采用合金钢，厚度为20mm，其材质不变形、不变色。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2.总功率（kw）：≥6kw；电压：380V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3.内置排气及烟气处置接口装置。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单星工作台</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规格：1300*1000*500mm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异形台（定制）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规格：800-R90mm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3.Φ51mm不锈钢通脚，下加可调式子弹脚。</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规格：3500*1100*500mm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规格：900*25*600mm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规格：2000*1000*500mm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弧形玻璃烟罩</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90度弧形，外弧形半径≥1100mm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1.采用1.2mm厚304磨砂不锈钢板,配套玻璃安装。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包间消毒柜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1.参考容积≥800L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3.功率：≥1200W</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包间餐具消毒保温柜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2.柜面板厚1.0mm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3.参考容积≥500L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5.功率：≥4000W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6.温度：20~+125℃不锈钢箱体，定时旋钮开关，带推车。</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电池容量≥100Ah；续航时间≥180分钟；额定功率1000W以下；功能：拖扫吸式；清洁效率≥3000平方米/小时；清水箱容量≥55L；污水箱容量≥60L。</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H、阳光厨房管理系统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阳光厨房监控设备</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成套、400万像素1/3"海螺半球网络摄像机；4.0定焦；10M/100M自适应网口；内置Mic;0.003lux(F1.6，AGCON，彩色)，0lux(开启红外)；宽动态范围：120dB；红外补光；30FPS（2688×1520）；支持运动检测、越界检测、虚焦检测、场景变更等；供电方式：DC12V(±25%)、POE；工作温湿度：-30℃~60℃，≤95%RH；防护等级：IP67。</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▲推荐品牌：应符合或相当于海康威视、大华、360、小米品牌品质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服务电脑主机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成套、成套设备，台式电脑（CPU：i5-7400 ；内存≥16G ；显卡：集显；硬盘≥1T； WiFi蓝牙，显示器： 27寸），含鼠标、键盘、箱体等成套设备。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▲推荐品牌：应符合或相当于联想、小米、华为、宏基品牌品质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电子视频显示器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面板类型:LED背光；面板尺寸：≥50寸，显示器在餐岛土建效果图上更新效果。配支架。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▲推荐品牌：应符合或相当于TCL、小米、康佳、创维品牌品质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路由器</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8口。支持企业VPNLAN；千兆网口机身材质：外置天线无线协议；Wi-Fi 6LAN口类型；其他WAN口类型：151-200终端；无线速率3000M。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▲推荐品牌：应符合或相当于TP-LINK、华为、磊科、小米品牌品质。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监控级硬盘</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8TB容量，3.5英寸SATA3.0接口，7200RPM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高达256MB缓冲区，流畅存储视频有效防止丢帧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24×7全天候高效稳定运行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年度工作负载等级为300TB/年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MTBF可达1,000,000小时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高级格式（AF）512e扇区技术；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▲推荐品牌：应符合或相当于西部数据、海康威视、希捷、华为品牌品质。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网络视频录像机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1.可接驳符合开放型网络视频接口协议、RTSP协议、GB28181协议的网络摄像机；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2.支持最高1200W像素高清网络视频的预览、存储、回放；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3.存储接口：8个SATA接口，可满配12TB硬盘；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4.具有2个HDMI接口，2个VGA接口，可支持4K+1080P输出；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5.支持网络检测（网络流量监控、网络抓包、网络通畅）功能；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6.具有2个USB2.0接口、1个USB3.0接口；16路报警输入，4路报警输出；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7.支持同步回放及多路同步倒放；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8.支持本地预览权限的配置，设置权限后的通道只有登录后才会出现预览画面；支持远程预览加密，只有输入密钥才能解开视频；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9.支持密码复杂度等级显示；设备密码不允许明文显示和拷贝操作；并支持通过安全问题恢复密码，密码重置功能可开启或关闭；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设备密码口令复杂度显示且密码需满足复杂度要求才可以设置成功，密码口令中不能包含用户名、123、admin（不区分大小写）、连续四位及以上递增或递减数字（如1234、12345、4321等）、连续四位及以上相同字符简单口令（如1111、8888、aaaa等）；</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AI智能分析盒/系统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智能管理、支持人脸抓拍对比、黑白名单布控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支持是否戴口罩，是否戴厨师帽，是否戴手套，抽烟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智能AI识别管理系统，高端版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1.可接驳符合ONVIF、RTSP标准及众多主流厂商的网络摄像机；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2.输入带宽：128Mbps；输出带宽：256Mbps；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3.接入能力：16路H.264、H.265格式高清码流接入；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4.两个千兆网卡，支持网络容错和多址设定应用；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5.支持IPC集中管理，包括IPC参数配置、信息的导入/导出、语音对讲和升级等功能；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6.具有2个USB2.0接口、1个USB3.0接口；16路报警输入，4路报警输出；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接入普通IPC，支持在预览画面中展示智能信息，支持实时展示目标对象，目标属性，目标置信度，目标ID，目标位置框信息，并且智能信息能够紧跟目标移动；预览画面中展示智能信息颜色可配置（常规时绿色，报警时变成红色），字体大小可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8.支持导入视觉大模型进行分析，支持视频分析、图片分析、图片二次分析过滤；</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交换机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智能管理、支持人脸抓拍对比、黑白名单布控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支持是否戴口罩，是否戴厨师帽，是否戴手套，抽烟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智能AI识别管理系统，高端版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1.可接驳符合ONVIF、RTSP标准及众多主流厂商的网络摄像机；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2.输入带宽：128Mbps；输出带宽：256Mbps；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3.接入能力：16路H.264、H.265格式高清码流接入；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4.两个千兆网卡，支持网络容错和多址设定应用；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5.支持IPC集中管理，包括IPC参数配置、信息的导入/导出、语音对讲和升级等功能；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6.具有2个USB2.0接口、1个USB3.0接口；16路报警输入，4路报警输出；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接入普通IPC，支持在预览画面中展示智能信息，支持实时展示目标对象，目标属性，目标置信度，目标ID，目标位置框信息，并且智能信息能够紧跟目标移动；预览画面中展示智能信息颜色可配置（常规时绿色，报警时变成红色），字体大小可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8.支持导入视觉大模型进行分析，支持视频分析、图片分析、图片二次分析过滤；</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提供及安装六类网线及线管</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1.六类网线DS-1LN6-UE、国标；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2.配套安装铁线管（包工包料），现场安装；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3.配套安装辅材；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4.网线长度：4箱（1200米），配套现场设备供应安装；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二、室内/后厨制冷空调降温系统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I、功能区1制冷空调系统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9"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I01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功能区室外机及配套设施安装</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厨房专用；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1.空调室外主机（制冷量：≥50KW；电源：380V）、室外安装，风冷式，厨房区专项功能区使用：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2.配套机架安装：槽钢12#；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3.配套冷媒管道安装及辅材（管道长度60米）；全紫铜管加保温，现场施工定制；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4.配套机架安装，不锈钢机架；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5.排水管道安装（管道长度8米）：PVC排水管材，dn32、现场安装，辅材胶水等；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6.排水管道发泡保温，内管dn32（外包PVC dn63）；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▲空调推荐品牌:应符合或相当于格力、海尔、瑞科、美的品牌品质；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▲管材推荐品牌:应符合或相当于联塑、金牛、日丰、公元品牌品质；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I02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功能区室内机及配套设施安装</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厨房专用；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1.空调室内主机（制冷量：≥8KW）、室内安装，风冷式，功能区使用：厨房；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2.配线控器/遥控器：含配电及安装，成套安装，配套设备；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3.冷媒管道安装及辅材；空调机配套管道/全紫铜管道加保温，现场施工定制；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4.配套机架安装：不锈钢支架；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5.排水管道安装（管道长度20米）：PVC排水管材，dn25、现场安装，辅材胶水等；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6.排水管道发泡保温，内管dn25（外包PVCdn63）；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▲空调推荐品牌:应符合或相当于格力、海尔、瑞科、美的品牌品质；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▲管材推荐品牌:应符合或相当于联塑、金牛、日丰、公元品牌品质；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J、功能区2制冷空调系统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J01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功能区室外机及配套设施安装</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厨房专用；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1.空调室外主机（制冷量：≥28KW；电源：380V）、室外安装，风冷式，厨房区专项功能区使用：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2.配套机架安装：槽钢12#；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3.配套冷媒管道安装及辅材（管道长度60米）；全紫铜管加保温，现场施工定制；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4.配套机架安装，不锈钢机架；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5.排水管道安装（管道长度8米）：PVC排水管材，dn32、现场安装，辅材胶水等；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6.排水管道发泡保温，内管dn32（外包PVC dn63）；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▲空调推荐品牌:应符合或相当于格力、海尔、瑞科、美的品牌品质；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▲管材推荐品牌:应符合或相当于联塑、金牛、日丰、公元品牌品质；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J02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功能区室内机及配套设施安装</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厨房专用；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1.空调室内主机（制冷量：≥2.8KW）、室内安装，风冷式，功能区使用：厨房；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2.配线控器/遥控器：含配电及安装，成套安装，配套设备；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3.冷媒管道安装及辅材；空调机配套管道/全紫铜管道加保温，现场施工定制；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4.配套机架安装：不锈钢支架；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5.排水管道安装（管道长度20米）：PVC排水管材，dn25、现场安装，辅材胶水等；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6.排水管道发泡保温，内管dn25（外包PVCdn63）；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▲空调推荐品牌:应符合或相当于格力、海尔、瑞科、美的品牌品质；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▲管材推荐品牌:应符合或相当于联塑、金牛、日丰、公元品牌品质；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K、厨房系统安全措施及灭火系统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K01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双瓶组灭火系统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双瓶组、1.火灾自动探测，自动实施灭火；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2.自动发出声光报警，并可向消防控制中心输送火灾信号；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3.自动输出切断燃气供应的信号，也可根据需要，输出关闭风机，关闭非消防电源的信号；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4.喷射灭火剂后，自动切换喷射冷却水，防止复燃；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5.设有手动紧急启动机构；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6.采用机械启动，在火灾现场无电源的情况下，能可靠地实施装置启动，关闭机械式燃气阀；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7.采用食用油专用灭火剂；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8.设有DC24V备用电源，一旦断电，备用电源自动接入。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9.为了保证灭火效果，灭火时间需≤1.0s,提供相应检测报告；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10、设备具备耐腐蚀可靠性，检验时长超120小时以上,提供相应检测报告；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12.自动或手动启动装置进行喷洒灭火剂，灭火速度快，灭火全过程仅需1～3秒。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13.离火预警系统</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L、反渗透净水系统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1"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反渗透净水系统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RO/2吨/H；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1.产水能力：2T/H，TDS≤20us/cm；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2.配304不锈钢原水箱及净水箱：2吨（304不锈钢板0.8mm）；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3.配产水配套设施：原水/清洗/加压泵，补水系统，清洗系统，仪器仪表，多路阀，砂碳过滤，华膜反渗透膜(不锈钢膜3级过滤)；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4.变频供水：供水泵，供水至各用水点，供水龙头15个，配DN20不锈钢阀门3个；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5.供水管道：不锈钢管道，全部为304食品级材料；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6.直饮水管线长度200米，现场安装定制，配件管道件全部为304食品级材料；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7.机架采用304不锈钢管定制；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8.配PLC控制，系统管理，实时监控管理；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9.紫外线杀菌处理，过滤后净水水质达到直饮水标准；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10.成套系统配套机架、配电箱、配电线路及辅材等；</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三、通排新风系统系统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412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M、1#排烟系统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1#抽风柜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规格：25寸；功率：15KW；电压：380V；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1.采用猪笼扇胆,镀锌板外壳；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2.柜式低噪音风机；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4.配置马达九线制保护控制系统：采用优质电子元件制作，含箱体及控制组件。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▲风柜推荐品牌：应符合或相当于九洲普惠、恒利通、德通品牌品质；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1#排烟配套安装件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5.风柜防震支架1个；配套抽风柜；采用8#槽钢制作；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6.管道防火阀：规格1000*800mm、800*700mm、800*500mm各1个。依现场管道定制，采用A3钢板制作，外涂防腐防锈漆；防火阀与风管配套安装，口径与所在管道相同。安装位置按国标规范要求执行。材质：碳钢板。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7.止回阀：规格1000*800mm、800*700mm、800*500mm各1个。依现场管道定制，采用A3钢板制作，外涂防腐防锈漆。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8.其他安装辅材。</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1#油烟环保净化处理设备</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处理能力≥35000m³/h；功率≥800W；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1.外壳材质采用不锈钢，板面拉丝。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2.前置金属均风过滤冲孔网+双组高压静电多重除油、高效除烟，实现油烟净化率达90%及以上。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智能数字高频高压电源，产品依据JCC/201011.1-2017《餐饮油烟净化器高压电源检测方法》，CCAEPI-RG-Q-041-2018《餐饮油烟净化器用高压电源》并通过CMA、CCEP检测认证，具有过压过流保护功能、负载短路保护功能、负载闪络打火保护功能、放电极油垢清洗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4.产品具有电磁兼容浪涌（冲击）测试报告。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5.相关产品经中科检测效率测试≥1.0~3.0um效率达92.4%，≥3.0~5.0um效率达95.8%。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6.产品通过“高低温（高温65℃恒温下，低温-15℃恒温下）”整机运行24小时测试符合电工电子产品环境试验。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7.产品的配电箱符合GB/T4208-2017《外壳防护等级（IP代码）》，检测产品配电箱外壳防护等级（IP55）项目合格。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N</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2#排烟系统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N01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2#抽风柜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规格：18寸；功率：3KW；电压：380V；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1.采用猪笼扇胆,镀锌板外壳；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2.柜式低噪音风机；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4.配置马达九线制保护控制系统：采用优质电子元件制作，含箱体及控制组件。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▲风柜推荐品牌：应符合或相当于九洲普惠、恒利通、德通品牌品质；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N02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2#排烟配套安装件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排烟配套定制；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5.风柜防震支架2个；配套抽风柜、采用8#槽钢制作；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6.管道防火阀1个：规格500*600mm；依现场管道定制，采用A3钢板制作，外涂防腐防锈漆；防火阀与风管配套安装，口径与所在管道相同。安装位置按国标规范要求执行。材质：碳钢板；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7.止回阀1个：规格500*600mm；依现场管道定制，采用A3钢板制作，外涂防腐防锈漆；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8.其他安装辅材；</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N03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2#油烟环保净化处理设备</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处理能力≥12000m³/h；功率≥300W；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1.外壳材质采用不锈钢，板面拉丝；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2.前置金属均风过滤冲孔网+双组高压静电多重除油、高效除烟，实现油烟净化率达90%及以上；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智能数字高频高压电源，产品依据JCC/201011.1-2017《餐饮油烟净化器高压电源检测方法》，CCAEPI-RG-Q-041-2018《餐饮油烟净化器用高压电源》并通过CMA、CCEP检测认证，具有过压过流保护功能、负载短路保护功能、负载闪络打火保护功能、放电极油垢清洗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4.产品具有电磁兼容浪涌（冲击）测试报告；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5.相关产品经中科检测效率测试≥1.0~3.0um效率达92.4%，≥3.0~5.0um效率达95.8%；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6.产品通过“高低温（高温65℃恒温下，低温-15℃恒温下）”整机运行24小时测试符合电工电子产品环境试验；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7.产品的配电箱符合GB/T4208-2017《外壳防护等级（IP代码）》，检测产品配电箱外壳防护等级（IP55）项目合格；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3#排烟系统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O01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3#抽风柜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尺寸：18寸；功率：3KW；电压：380V；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1.采用猪笼扇胆,镀锌板外壳；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2.柜式低噪音风机；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4.配置马达九线制保护控制系统；采用优质电子元件制作，含箱体及控制组件。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▲风柜推荐品牌：应符合或相当于九洲普惠、恒利通、德通品牌品质；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O02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3#排烟配套安装件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排烟配套定制；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5.风柜防震支架1个；配套抽风柜、采用8#槽钢制作；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6.管道防火阀1个：规格500*600mm；依现场管道定制，采用A3钢板制作，外涂防腐防锈漆；防火阀与风管配套安装，口径与所在管道相同。安装位置按国标规范要求执行。材质：碳钢板；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7.止回阀1个：规格500*600mm；依现场管道定制，采用A3钢板制作，外涂防腐防锈漆；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8.其他安装辅材；</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P</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4#排烟系统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4#抽风柜</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规格：18寸；功率：5.5KW；电压：380V；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1.采用猪笼扇胆,镀锌板外壳；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2.柜式低噪音风机；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4.配置马达九线制保护控制系统：采用优质电子元件制作，含箱体及控制组件。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▲风柜推荐品牌：应符合或相当于九洲普惠、恒利通、德通品牌品质；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4#油烟环保净化处理设备</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1.处理能力≥16000m³/h；功率≥300W；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1.外壳材质采用不锈钢，板面拉丝；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2.前置金属均风过滤冲孔网+双组高压静电多重除油、高效除烟，实现油烟净化率达90%及以上；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智能数字高频高压电源，产品依据JCC/201011.1-2017《餐饮油烟净化器高压电源检测方法》，CCAEPI-RG-Q-041-2018《餐饮油烟净化器用高压电源》并通过CMA、CCEP检测认证，具有过压过流保护功能、负载短路保护功能、负载闪络打火保护功能、放电极油垢清洗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4.产品具有电磁兼容浪涌（冲击）测试报告；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5.相关产品经中科检测效率测试≥1.0~3.0um效率达92.4%，≥3.0~5.0um效率达95.8%；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6.产品通过“高低温（高温65℃恒温下，低温-15℃恒温下）”整机运行24小时测试符合电工电子产品环境试验；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7.产品的配电箱符合GB/T4208-2017《外壳防护等级（IP代码）》，检测产品配电箱外壳防护等级（IP55）项目合格；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4#排烟配套安装件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排烟配套定制：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5.通排风柜减震机架1个；风机定制配套、采用8#槽钢制作；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6.风柜防震支架1个；配套抽风柜、采用8#槽钢制作；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7.管道防火阀1个：规格600*600mm；依现场管道定制，采用A3钢板制作，外涂防腐防锈漆；防火阀与风管配套安装，口径与所在管道相同。安装位置按国标规范要求执行。材质：碳钢板；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8.止回阀1个：规格600*600mm；依现场管道定制，采用A3钢板制作，外涂防腐防锈漆；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9.其他安装辅材；</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Q</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5#排烟系统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Q01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5#低噪音排气风机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功率：≥1.5KW；电压：380V；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1.低噪音静音风机；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3.配置保护控制系统；采用优质电子元件制作，含箱体及控制组件。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Q02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5#排烟配套安装件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风机配套定制；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5.其他安装辅材；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6.风机减震机架1个；风机定制配套、采用5#角铁制作；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7.管道防火阀：规格400*400mm1个；依现场管道定制，采用A3钢板制作，外涂防腐防锈漆；防火阀与风管配套安装，口径与所在管道相同。安装位置按国标规范要求执行。材质：碳钢板；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8.止回阀：规格400*400mm1个；依现场/管道定制，采用A3钢板制作，外涂防腐防锈漆；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9.净化器支架1个；配套净化器、采用5#角铁制作；</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Q03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5#油烟环保净化处理设备</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处理能力≥4000m³/h；功率≥100W；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1.外壳材质采用不锈钢，板面拉丝；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2.前置金属均风过滤冲孔网+双组高压静电多重除油、高效除烟，实现油烟净化率达90%及以上；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智能数字高频高压电源，产品依据JCC/201011.1-2017《餐饮油烟净化器高压电源检测方法》，CCAEPI-RG-Q-041-2018《餐饮油烟净化器用高压电源》并通过CMA、CCEP检测认证，具有过压过流保护功能、负载短路保护功能、负载闪络打火保护功能、放电极油垢清洗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4.产品具有电磁兼容浪涌（冲击）测试报告；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5.相关产品经中科检测效率测试≥1.0~3.0um效率达92.4%，≥3.0~5.0um效率达95.8%；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6.产品通过“高低温（高温65℃恒温下，低温-15℃恒温下）”整机运行24小时测试符合电工电子产品环境试验；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7.产品的配电箱符合GB/T4208-2017《外壳防护等级（IP代码）》，检测产品配电箱外壳防护等级（IP55）项目合格；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新风系统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1#新风系统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R01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1#新风机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最大风量≥22000m³/H；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1.水帘式环保新风机组；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2.角铁制作，配轴承和轴；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3.自动清洗功能；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4.自动控制，配水帘净化降温功能；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5.配置运行保护控制系统：组件/控制件、采用优质电子元件制作,智能多档控制。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R02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1#新风配套安装件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新风系统配套定制；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5.管道防火阀：规格700*500mm；依现场管道定制，采用A3钢板制作，外涂防腐防锈漆；防火阀与风管配套安装，口径与所在管道相同。安装位置按国标规范要求执行。材质：碳钢板；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6.新风柜减震机架1个；风机定制配套、采用8#槽钢制作；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7.单向阀2套；规格700*500mm；依现场管道定制，采用A3钢板制作，外涂防腐防锈漆；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8.风百叶1套；配管定制；规格1000*800mm；依现场定制，铝合金1.2mm；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9.新风咀/可调节20套；定制G180、采用优质铝合金制作；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10.调节阀6个；规格800*600mm、600*600mm各1个，500*300mm4个；依现场管道定制，采用A3钢板制作，外涂防腐防锈漆；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11.其他安装辅材；</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2#新风系统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2#新风机</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风量18000m³/H；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1.水帘式环保新风机组；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2.角铁制作，配轴承和轴；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3.自动清洗功能；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4.自动控制，配水帘净化降温功能；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5.配置运行保护控制系统：组件/控制件、采用优质电子元件制作,智能多档控制。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2#新风配套安装件</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新风系统配套定制；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5.管道防火阀2套，规格700*500mm、依现场管道定制，采用A3钢板制作，外涂防腐防锈漆；防火阀与风管配套安装，口径与所在管道相同。安装位置按国标规范要求执行；材质：碳钢板；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6.鲜风柜减震机架1个：风机定制配套、采用8#槽钢制作；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7.单向阀2个；规格500*500mm，配管定制、依现场管道定制，采用A3钢板制作，外涂防腐防锈漆；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8.调节阀6个：规格500*300mm2个，规格400*300mm4个；依现场/管道定制，采用A3钢板制作，外涂防腐防锈漆；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9.风百叶1套；配管定制；规格1000*800mm；依现场定制，铝合金1.2mm；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10.鲜风咀/可调节15套；定制G180、采用优质铝合金制作；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11.其他安装辅材；</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项</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新风管道系统</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T01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通风管道</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采用0.8mm厚镀锌板制作。成套现场安装、依现场安装定制，法兰安装。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T02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通风管道</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采用1.0mm厚镀锌板制作。成套现场安装、依现场安装定制，法兰安装。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T03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通风管道</w:t>
            </w:r>
          </w:p>
        </w:tc>
        <w:tc>
          <w:tcPr>
            <w:tcW w:w="5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采用0.65mm厚镀锌板制作。成套现场安装、依现场安装定制，法兰安装。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73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合计</w:t>
            </w:r>
          </w:p>
        </w:tc>
        <w:tc>
          <w:tcPr>
            <w:tcW w:w="67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single"/>
                <w:lang w:val="en-US" w:eastAsia="zh-CN" w:bidi="ar"/>
              </w:rPr>
            </w:pP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元</w:t>
            </w:r>
          </w:p>
        </w:tc>
      </w:tr>
    </w:tbl>
    <w:p>
      <w:pPr>
        <w:adjustRightInd w:val="0"/>
        <w:snapToGrid w:val="0"/>
        <w:spacing w:line="360" w:lineRule="auto"/>
        <w:rPr>
          <w:rFonts w:hint="eastAsia" w:ascii="宋体" w:hAnsi="宋体" w:eastAsia="宋体" w:cs="宋体"/>
          <w:color w:val="auto"/>
          <w:kern w:val="3"/>
          <w:highlight w:val="none"/>
        </w:rPr>
      </w:pPr>
    </w:p>
    <w:p>
      <w:pPr>
        <w:adjustRightInd w:val="0"/>
        <w:snapToGrid w:val="0"/>
        <w:spacing w:line="360" w:lineRule="auto"/>
        <w:rPr>
          <w:rFonts w:hint="eastAsia" w:ascii="宋体" w:hAnsi="宋体" w:eastAsia="宋体" w:cs="宋体"/>
          <w:color w:val="auto"/>
          <w:kern w:val="3"/>
          <w:highlight w:val="none"/>
        </w:rPr>
      </w:pPr>
      <w:r>
        <w:rPr>
          <w:rFonts w:hint="eastAsia" w:ascii="宋体" w:hAnsi="宋体" w:eastAsia="宋体" w:cs="宋体"/>
          <w:color w:val="auto"/>
          <w:kern w:val="3"/>
          <w:highlight w:val="none"/>
        </w:rPr>
        <w:t>注：</w:t>
      </w:r>
    </w:p>
    <w:p>
      <w:pPr>
        <w:adjustRightInd w:val="0"/>
        <w:snapToGrid w:val="0"/>
        <w:spacing w:line="360" w:lineRule="auto"/>
        <w:rPr>
          <w:rFonts w:hint="eastAsia" w:ascii="宋体" w:hAnsi="宋体" w:eastAsia="宋体" w:cs="宋体"/>
          <w:color w:val="auto"/>
          <w:kern w:val="3"/>
          <w:highlight w:val="none"/>
        </w:rPr>
      </w:pPr>
      <w:r>
        <w:rPr>
          <w:rFonts w:hint="eastAsia" w:ascii="宋体" w:hAnsi="宋体" w:eastAsia="宋体" w:cs="宋体"/>
          <w:color w:val="auto"/>
          <w:szCs w:val="21"/>
          <w:highlight w:val="none"/>
        </w:rPr>
        <w:t>（1）本表所列清单供投标人在编制详细报价表时</w:t>
      </w:r>
      <w:r>
        <w:rPr>
          <w:rFonts w:hint="eastAsia" w:ascii="宋体" w:hAnsi="宋体" w:eastAsia="宋体" w:cs="宋体"/>
          <w:color w:val="auto"/>
          <w:szCs w:val="21"/>
          <w:highlight w:val="none"/>
          <w:lang w:val="en-US" w:eastAsia="zh-CN"/>
        </w:rPr>
        <w:t>使用</w:t>
      </w:r>
      <w:r>
        <w:rPr>
          <w:rFonts w:hint="eastAsia" w:ascii="宋体" w:hAnsi="宋体" w:eastAsia="宋体" w:cs="宋体"/>
          <w:color w:val="auto"/>
          <w:szCs w:val="21"/>
          <w:highlight w:val="none"/>
        </w:rPr>
        <w:t>，投标人应根据投标设备实际内容填写或调整本表，但投标人设备清单与本表所列内容存在差异的，投标人应备注说明原因。</w:t>
      </w:r>
    </w:p>
    <w:p>
      <w:pPr>
        <w:snapToGrid w:val="0"/>
        <w:spacing w:line="360" w:lineRule="auto"/>
        <w:ind w:left="210" w:hanging="210" w:hangingChars="100"/>
        <w:rPr>
          <w:rFonts w:hint="eastAsia" w:ascii="宋体" w:hAnsi="宋体" w:eastAsia="宋体" w:cs="宋体"/>
          <w:b/>
          <w:bCs/>
          <w:color w:val="auto"/>
          <w:kern w:val="3"/>
          <w:highlight w:val="none"/>
        </w:rPr>
      </w:pPr>
      <w:r>
        <w:rPr>
          <w:rFonts w:hint="eastAsia" w:ascii="宋体" w:hAnsi="宋体" w:eastAsia="宋体" w:cs="宋体"/>
          <w:color w:val="auto"/>
          <w:kern w:val="3"/>
          <w:highlight w:val="none"/>
        </w:rPr>
        <w:t>（2）</w:t>
      </w:r>
      <w:r>
        <w:rPr>
          <w:rFonts w:hint="eastAsia" w:ascii="宋体" w:hAnsi="宋体" w:eastAsia="宋体" w:cs="宋体"/>
          <w:b/>
          <w:bCs/>
          <w:color w:val="auto"/>
          <w:kern w:val="3"/>
          <w:highlight w:val="none"/>
        </w:rPr>
        <w:t>招标文件及用户需求书虽未列出，但根据本项目设计图纸或为满足设计功能，确保功能的实现所必需的设备材料，投标人应在本分项报价</w:t>
      </w:r>
      <w:r>
        <w:rPr>
          <w:rFonts w:hint="eastAsia" w:ascii="宋体" w:hAnsi="宋体" w:eastAsia="宋体" w:cs="宋体"/>
          <w:b/>
          <w:bCs/>
          <w:color w:val="auto"/>
          <w:kern w:val="3"/>
          <w:highlight w:val="none"/>
          <w:lang w:val="en-US" w:eastAsia="zh-CN"/>
        </w:rPr>
        <w:t>表</w:t>
      </w:r>
      <w:r>
        <w:rPr>
          <w:rFonts w:hint="eastAsia" w:ascii="宋体" w:hAnsi="宋体" w:eastAsia="宋体" w:cs="宋体"/>
          <w:b/>
          <w:bCs/>
          <w:color w:val="auto"/>
          <w:kern w:val="3"/>
          <w:highlight w:val="none"/>
        </w:rPr>
        <w:t xml:space="preserve">中列出。如未列出，项目实施时必须无条件及时提供，并视为该部分报价已列入其他单项中，招标人不再另行支付费用。 </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）投标人在</w:t>
      </w:r>
      <w:r>
        <w:rPr>
          <w:rFonts w:hint="eastAsia" w:ascii="宋体" w:hAnsi="宋体" w:eastAsia="宋体" w:cs="宋体"/>
          <w:color w:val="auto"/>
          <w:szCs w:val="21"/>
          <w:highlight w:val="none"/>
          <w:lang w:val="en-US" w:eastAsia="zh-CN"/>
        </w:rPr>
        <w:t>本表</w:t>
      </w:r>
      <w:r>
        <w:rPr>
          <w:rFonts w:hint="eastAsia" w:ascii="宋体" w:hAnsi="宋体" w:eastAsia="宋体" w:cs="宋体"/>
          <w:color w:val="auto"/>
          <w:szCs w:val="21"/>
          <w:highlight w:val="none"/>
        </w:rPr>
        <w:t>中列明每一项设备的性能、规格及型号等</w:t>
      </w:r>
      <w:r>
        <w:rPr>
          <w:rFonts w:hint="eastAsia" w:ascii="宋体" w:hAnsi="宋体" w:eastAsia="宋体" w:cs="宋体"/>
          <w:color w:val="auto"/>
          <w:szCs w:val="21"/>
          <w:highlight w:val="none"/>
          <w:lang w:val="en-US" w:eastAsia="zh-CN"/>
        </w:rPr>
        <w:t>内容</w:t>
      </w:r>
      <w:r>
        <w:rPr>
          <w:rFonts w:hint="eastAsia" w:ascii="宋体" w:hAnsi="宋体" w:eastAsia="宋体" w:cs="宋体"/>
          <w:color w:val="auto"/>
          <w:szCs w:val="21"/>
          <w:highlight w:val="none"/>
        </w:rPr>
        <w:t>。</w:t>
      </w:r>
    </w:p>
    <w:p>
      <w:pPr>
        <w:adjustRightInd w:val="0"/>
        <w:snapToGrid w:val="0"/>
        <w:spacing w:line="360" w:lineRule="auto"/>
        <w:ind w:firstLine="3465" w:firstLineChars="1650"/>
        <w:rPr>
          <w:rFonts w:hint="eastAsia" w:ascii="宋体" w:hAnsi="宋体" w:eastAsia="宋体" w:cs="宋体"/>
          <w:color w:val="auto"/>
          <w:kern w:val="3"/>
          <w:highlight w:val="none"/>
          <w:lang w:val="en-US" w:eastAsia="zh-CN"/>
        </w:rPr>
      </w:pPr>
    </w:p>
    <w:p>
      <w:pPr>
        <w:autoSpaceDE w:val="0"/>
        <w:autoSpaceDN w:val="0"/>
        <w:adjustRightInd w:val="0"/>
        <w:spacing w:line="360" w:lineRule="auto"/>
        <w:ind w:firstLine="315" w:firstLineChars="150"/>
        <w:jc w:val="right"/>
        <w:rPr>
          <w:rFonts w:ascii="宋体" w:hAnsi="宋体" w:eastAsia="宋体" w:cs="宋体"/>
          <w:kern w:val="0"/>
          <w:szCs w:val="21"/>
          <w:highlight w:val="none"/>
        </w:rPr>
      </w:pPr>
      <w:r>
        <w:rPr>
          <w:rFonts w:hint="eastAsia" w:ascii="宋体" w:hAnsi="宋体" w:eastAsia="宋体" w:cs="宋体"/>
          <w:kern w:val="0"/>
          <w:szCs w:val="21"/>
          <w:highlight w:val="none"/>
        </w:rPr>
        <w:t>投标人：（加盖投标人法人公章）</w:t>
      </w:r>
    </w:p>
    <w:p>
      <w:pPr>
        <w:pStyle w:val="16"/>
        <w:jc w:val="right"/>
        <w:rPr>
          <w:rFonts w:hint="eastAsia"/>
          <w:lang w:val="zh-CN"/>
        </w:rPr>
      </w:pPr>
      <w:r>
        <w:rPr>
          <w:rFonts w:hint="eastAsia" w:ascii="宋体" w:hAnsi="宋体" w:eastAsia="宋体" w:cs="宋体"/>
          <w:kern w:val="0"/>
          <w:szCs w:val="21"/>
          <w:highlight w:val="none"/>
        </w:rPr>
        <w:t>日期：   年   月   日</w:t>
      </w:r>
    </w:p>
    <w:p>
      <w:pPr>
        <w:autoSpaceDE/>
        <w:autoSpaceDN/>
        <w:adjustRightInd/>
        <w:spacing w:line="240" w:lineRule="auto"/>
        <w:ind w:firstLine="0" w:firstLineChars="0"/>
        <w:jc w:val="center"/>
        <w:rPr>
          <w:rFonts w:ascii="宋体" w:hAnsi="宋体" w:eastAsia="宋体" w:cs="Times New Roman"/>
          <w:color w:val="auto"/>
          <w:sz w:val="24"/>
          <w:szCs w:val="24"/>
          <w:highlight w:val="none"/>
          <w:lang w:val="zh-CN"/>
        </w:rPr>
      </w:pPr>
      <w:r>
        <w:rPr>
          <w:rFonts w:ascii="宋体" w:hAnsi="宋体" w:eastAsia="宋体" w:cs="Times New Roman"/>
          <w:color w:val="auto"/>
          <w:sz w:val="24"/>
          <w:szCs w:val="24"/>
          <w:highlight w:val="none"/>
          <w:lang w:val="zh-CN"/>
        </w:rPr>
        <w:br w:type="page"/>
      </w:r>
    </w:p>
    <w:p>
      <w:pPr>
        <w:rPr>
          <w:rFonts w:hint="eastAsia" w:ascii="宋体" w:hAnsi="宋体" w:eastAsia="宋体" w:cs="宋体"/>
          <w:b/>
          <w:bCs/>
          <w:color w:val="auto"/>
          <w:sz w:val="30"/>
          <w:szCs w:val="30"/>
          <w:highlight w:val="none"/>
          <w:lang w:val="en-US" w:eastAsia="zh-CN"/>
        </w:rPr>
        <w:sectPr>
          <w:pgSz w:w="15840" w:h="12240" w:orient="landscape"/>
          <w:pgMar w:top="1043" w:right="1191" w:bottom="1043" w:left="1191" w:header="720" w:footer="720" w:gutter="0"/>
          <w:pgBorders>
            <w:top w:val="none" w:sz="0" w:space="0"/>
            <w:left w:val="none" w:sz="0" w:space="0"/>
            <w:bottom w:val="none" w:sz="0" w:space="0"/>
            <w:right w:val="none" w:sz="0" w:space="0"/>
          </w:pgBorders>
          <w:cols w:space="720" w:num="1"/>
          <w:titlePg/>
          <w:docGrid w:linePitch="326" w:charSpace="0"/>
        </w:sectPr>
      </w:pPr>
      <w:bookmarkStart w:id="515" w:name="_Toc24015"/>
      <w:bookmarkStart w:id="516" w:name="_Toc104991875"/>
      <w:bookmarkStart w:id="517" w:name="_Toc102860074"/>
      <w:bookmarkStart w:id="518" w:name="_Toc10754"/>
      <w:bookmarkStart w:id="519" w:name="_Toc18828"/>
      <w:bookmarkStart w:id="520" w:name="_Toc102860418"/>
      <w:bookmarkStart w:id="521" w:name="_Toc1977725"/>
      <w:bookmarkStart w:id="522" w:name="_Toc94107209"/>
      <w:bookmarkStart w:id="523" w:name="_Toc140596928"/>
      <w:bookmarkStart w:id="524" w:name="_Toc142508369"/>
      <w:bookmarkStart w:id="525" w:name="_Toc20759_WPSOffice_Level2"/>
      <w:bookmarkStart w:id="526" w:name="_Toc486167712"/>
      <w:bookmarkStart w:id="527" w:name="_Toc533708124"/>
    </w:p>
    <w:p>
      <w:pPr>
        <w:pageBreakBefore/>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附表4</w:t>
      </w:r>
      <w:r>
        <w:rPr>
          <w:rFonts w:hint="eastAsia" w:ascii="宋体" w:hAnsi="宋体" w:eastAsia="宋体" w:cs="宋体"/>
          <w:b/>
          <w:color w:val="auto"/>
          <w:sz w:val="24"/>
          <w:highlight w:val="none"/>
          <w:lang w:val="en-US" w:eastAsia="zh-CN"/>
        </w:rPr>
        <w:t>.2.2</w:t>
      </w:r>
      <w:r>
        <w:rPr>
          <w:rFonts w:hint="eastAsia" w:ascii="宋体" w:hAnsi="宋体" w:eastAsia="宋体" w:cs="宋体"/>
          <w:b/>
          <w:color w:val="auto"/>
          <w:sz w:val="24"/>
          <w:highlight w:val="none"/>
        </w:rPr>
        <w:t xml:space="preserve"> 设备安装费</w:t>
      </w:r>
    </w:p>
    <w:p>
      <w:pPr>
        <w:rPr>
          <w:rFonts w:hint="eastAsia" w:ascii="宋体" w:hAnsi="宋体" w:eastAsia="宋体" w:cs="宋体"/>
          <w:b/>
          <w:bCs/>
          <w:color w:val="auto"/>
          <w:sz w:val="30"/>
          <w:szCs w:val="30"/>
          <w:highlight w:val="none"/>
          <w:lang w:val="en-US" w:eastAsia="zh-CN"/>
        </w:rPr>
      </w:pPr>
    </w:p>
    <w:p>
      <w:pPr>
        <w:spacing w:line="360" w:lineRule="auto"/>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设备安装费详细报价表</w:t>
      </w:r>
    </w:p>
    <w:p>
      <w:pPr>
        <w:pStyle w:val="36"/>
        <w:rPr>
          <w:rFonts w:hint="eastAsia"/>
          <w:lang w:val="en-US" w:eastAsia="zh-CN"/>
        </w:rPr>
      </w:pPr>
    </w:p>
    <w:p>
      <w:pPr>
        <w:spacing w:line="360" w:lineRule="auto"/>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rPr>
        <w:t>项目名称：</w:t>
      </w:r>
      <w:r>
        <w:rPr>
          <w:rFonts w:hint="eastAsia" w:ascii="宋体" w:hAnsi="宋体" w:eastAsia="宋体" w:cs="宋体"/>
          <w:kern w:val="0"/>
          <w:szCs w:val="21"/>
          <w:highlight w:val="none"/>
          <w:u w:val="single"/>
          <w:lang w:eastAsia="zh-CN"/>
        </w:rPr>
        <w:t>东莞市置拓投资有限公司水业大厦食堂设备设施采购项目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kern w:val="0"/>
          <w:szCs w:val="21"/>
          <w:highlight w:val="none"/>
        </w:rPr>
        <w:t>招标编号：</w:t>
      </w:r>
      <w:r>
        <w:rPr>
          <w:rFonts w:hint="eastAsia" w:ascii="宋体" w:hAnsi="宋体" w:eastAsia="宋体" w:cs="宋体"/>
          <w:color w:val="auto"/>
          <w:kern w:val="0"/>
          <w:szCs w:val="21"/>
          <w:highlight w:val="none"/>
          <w:u w:val="single"/>
          <w:lang w:eastAsia="zh-CN"/>
        </w:rPr>
        <w:t>0832-SFCX25DG030A</w:t>
      </w:r>
    </w:p>
    <w:p>
      <w:pPr>
        <w:pStyle w:val="36"/>
        <w:rPr>
          <w:rFonts w:hint="eastAsia"/>
          <w:lang w:val="en-US" w:eastAsia="zh-CN"/>
        </w:rPr>
      </w:pPr>
    </w:p>
    <w:p>
      <w:pPr>
        <w:pStyle w:val="22"/>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单位：人民币元</w:t>
      </w:r>
    </w:p>
    <w:tbl>
      <w:tblPr>
        <w:tblStyle w:val="37"/>
        <w:tblW w:w="99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158"/>
        <w:gridCol w:w="1236"/>
        <w:gridCol w:w="791"/>
        <w:gridCol w:w="1787"/>
        <w:gridCol w:w="204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58" w:type="dxa"/>
            <w:noWrap w:val="0"/>
            <w:vAlign w:val="center"/>
          </w:tcPr>
          <w:p>
            <w:pPr>
              <w:pStyle w:val="16"/>
              <w:autoSpaceDE w:val="0"/>
              <w:autoSpaceDN w:val="0"/>
              <w:spacing w:before="0"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236"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791"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787"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单价</w:t>
            </w:r>
          </w:p>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w:t>
            </w:r>
          </w:p>
        </w:tc>
        <w:tc>
          <w:tcPr>
            <w:tcW w:w="2044"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合价</w:t>
            </w:r>
          </w:p>
        </w:tc>
        <w:tc>
          <w:tcPr>
            <w:tcW w:w="1137"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58" w:type="dxa"/>
            <w:noWrap w:val="0"/>
            <w:vAlign w:val="center"/>
          </w:tcPr>
          <w:p>
            <w:pPr>
              <w:pStyle w:val="16"/>
              <w:autoSpaceDE w:val="0"/>
              <w:autoSpaceDN w:val="0"/>
              <w:spacing w:before="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安装工作（含绿色施工安全防护措施）</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58" w:type="dxa"/>
            <w:noWrap w:val="0"/>
            <w:vAlign w:val="center"/>
          </w:tcPr>
          <w:p>
            <w:pPr>
              <w:pStyle w:val="16"/>
              <w:autoSpaceDE w:val="0"/>
              <w:autoSpaceDN w:val="0"/>
              <w:spacing w:before="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158"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小  计</w:t>
            </w:r>
          </w:p>
        </w:tc>
        <w:tc>
          <w:tcPr>
            <w:tcW w:w="6995" w:type="dxa"/>
            <w:gridSpan w:val="5"/>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pPr>
        <w:spacing w:line="360" w:lineRule="auto"/>
        <w:ind w:left="0" w:leftChars="0"/>
        <w:rPr>
          <w:rFonts w:hint="eastAsia" w:ascii="宋体" w:hAnsi="宋体" w:eastAsia="宋体" w:cs="宋体"/>
          <w:color w:val="auto"/>
          <w:kern w:val="3"/>
          <w:highlight w:val="none"/>
          <w:lang w:eastAsia="zh-CN"/>
        </w:rPr>
      </w:pPr>
      <w:r>
        <w:rPr>
          <w:rFonts w:hint="eastAsia" w:ascii="宋体" w:hAnsi="宋体" w:eastAsia="宋体" w:cs="宋体"/>
          <w:color w:val="auto"/>
          <w:kern w:val="3"/>
          <w:highlight w:val="none"/>
        </w:rPr>
        <w:t>注：</w:t>
      </w:r>
      <w:r>
        <w:rPr>
          <w:rFonts w:hint="eastAsia" w:ascii="宋体" w:hAnsi="宋体" w:eastAsia="宋体" w:cs="宋体"/>
          <w:color w:val="auto"/>
          <w:szCs w:val="21"/>
          <w:highlight w:val="none"/>
        </w:rPr>
        <w:t>投标人应根据分项实际内容的数量填写和扩展本报价表</w:t>
      </w:r>
      <w:r>
        <w:rPr>
          <w:rFonts w:hint="eastAsia" w:ascii="宋体" w:hAnsi="宋体" w:eastAsia="宋体" w:cs="宋体"/>
          <w:color w:val="auto"/>
          <w:szCs w:val="21"/>
          <w:highlight w:val="none"/>
          <w:lang w:eastAsia="zh-CN"/>
        </w:rPr>
        <w:t>。</w:t>
      </w:r>
    </w:p>
    <w:tbl>
      <w:tblPr>
        <w:tblStyle w:val="38"/>
        <w:tblW w:w="983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tcBorders>
              <w:top w:val="nil"/>
              <w:left w:val="nil"/>
              <w:bottom w:val="nil"/>
              <w:right w:val="nil"/>
            </w:tcBorders>
            <w:vAlign w:val="top"/>
          </w:tcPr>
          <w:p>
            <w:pPr>
              <w:autoSpaceDE w:val="0"/>
              <w:autoSpaceDN w:val="0"/>
              <w:adjustRightInd w:val="0"/>
              <w:spacing w:line="360" w:lineRule="auto"/>
              <w:ind w:firstLine="315" w:firstLineChars="150"/>
              <w:jc w:val="right"/>
              <w:rPr>
                <w:rFonts w:hint="eastAsia" w:ascii="宋体" w:hAnsi="宋体" w:eastAsia="宋体" w:cs="宋体"/>
                <w:vertAlign w:val="baseline"/>
                <w:lang w:val="zh-CN"/>
              </w:rPr>
            </w:pPr>
            <w:r>
              <w:rPr>
                <w:rFonts w:hint="eastAsia" w:ascii="宋体" w:hAnsi="宋体" w:eastAsia="宋体" w:cs="宋体"/>
                <w:kern w:val="0"/>
                <w:szCs w:val="21"/>
                <w:highlight w:val="none"/>
              </w:rPr>
              <w:t>投标人：（加盖投标人法人公章）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tcBorders>
              <w:top w:val="nil"/>
              <w:left w:val="nil"/>
              <w:bottom w:val="nil"/>
              <w:right w:val="nil"/>
            </w:tcBorders>
            <w:vAlign w:val="top"/>
          </w:tcPr>
          <w:p>
            <w:pPr>
              <w:spacing w:line="360" w:lineRule="auto"/>
              <w:jc w:val="right"/>
              <w:rPr>
                <w:rFonts w:hint="eastAsia" w:ascii="宋体" w:hAnsi="宋体" w:eastAsia="宋体" w:cs="宋体"/>
                <w:vertAlign w:val="baseline"/>
                <w:lang w:val="zh-CN"/>
              </w:rPr>
            </w:pPr>
            <w:r>
              <w:rPr>
                <w:rFonts w:hint="eastAsia" w:ascii="宋体" w:hAnsi="宋体" w:eastAsia="宋体" w:cs="宋体"/>
                <w:kern w:val="0"/>
                <w:szCs w:val="21"/>
                <w:highlight w:val="none"/>
              </w:rPr>
              <w:t>日期：   年   月   日</w:t>
            </w:r>
          </w:p>
        </w:tc>
      </w:tr>
    </w:tbl>
    <w:p>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pPr>
        <w:pageBreakBefore/>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附表4</w:t>
      </w:r>
      <w:r>
        <w:rPr>
          <w:rFonts w:hint="eastAsia" w:ascii="宋体" w:hAnsi="宋体" w:eastAsia="宋体" w:cs="宋体"/>
          <w:b/>
          <w:color w:val="auto"/>
          <w:sz w:val="24"/>
          <w:highlight w:val="none"/>
          <w:lang w:val="en-US" w:eastAsia="zh-CN"/>
        </w:rPr>
        <w:t>.2.3</w:t>
      </w:r>
      <w:r>
        <w:rPr>
          <w:rFonts w:hint="eastAsia" w:ascii="宋体" w:hAnsi="宋体" w:eastAsia="宋体" w:cs="宋体"/>
          <w:b/>
          <w:color w:val="auto"/>
          <w:sz w:val="24"/>
          <w:highlight w:val="none"/>
        </w:rPr>
        <w:t xml:space="preserve"> 运输、装卸、保险、验收费</w:t>
      </w:r>
    </w:p>
    <w:p>
      <w:pPr>
        <w:spacing w:line="360" w:lineRule="auto"/>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运输、装卸、保险、验收费详细报价表</w:t>
      </w:r>
    </w:p>
    <w:p>
      <w:pPr>
        <w:pStyle w:val="36"/>
        <w:rPr>
          <w:rFonts w:hint="eastAsia"/>
          <w:lang w:val="en-US" w:eastAsia="zh-CN"/>
        </w:rPr>
      </w:pPr>
    </w:p>
    <w:p>
      <w:pPr>
        <w:spacing w:line="360" w:lineRule="auto"/>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rPr>
        <w:t>项目名称：</w:t>
      </w:r>
      <w:r>
        <w:rPr>
          <w:rFonts w:hint="eastAsia" w:ascii="宋体" w:hAnsi="宋体" w:eastAsia="宋体" w:cs="宋体"/>
          <w:kern w:val="0"/>
          <w:szCs w:val="21"/>
          <w:highlight w:val="none"/>
          <w:u w:val="single"/>
          <w:lang w:eastAsia="zh-CN"/>
        </w:rPr>
        <w:t>东莞市置拓投资有限公司水业大厦食堂设备设施采购项目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kern w:val="0"/>
          <w:szCs w:val="21"/>
          <w:highlight w:val="none"/>
        </w:rPr>
        <w:t>招标编号：</w:t>
      </w:r>
      <w:r>
        <w:rPr>
          <w:rFonts w:hint="eastAsia" w:ascii="宋体" w:hAnsi="宋体" w:eastAsia="宋体" w:cs="宋体"/>
          <w:color w:val="auto"/>
          <w:kern w:val="0"/>
          <w:szCs w:val="21"/>
          <w:highlight w:val="none"/>
          <w:u w:val="single"/>
          <w:lang w:eastAsia="zh-CN"/>
        </w:rPr>
        <w:t>0832-SFCX25DG030A</w:t>
      </w:r>
    </w:p>
    <w:p>
      <w:pPr>
        <w:rPr>
          <w:rFonts w:hint="eastAsia" w:ascii="宋体" w:hAnsi="宋体" w:eastAsia="宋体" w:cs="宋体"/>
          <w:b/>
          <w:bCs/>
          <w:color w:val="auto"/>
          <w:sz w:val="30"/>
          <w:szCs w:val="30"/>
          <w:highlight w:val="none"/>
          <w:lang w:val="en-US" w:eastAsia="zh-CN"/>
        </w:rPr>
      </w:pPr>
    </w:p>
    <w:p>
      <w:pPr>
        <w:pStyle w:val="22"/>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单位：人民币元</w:t>
      </w:r>
    </w:p>
    <w:tbl>
      <w:tblPr>
        <w:tblStyle w:val="37"/>
        <w:tblW w:w="99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158"/>
        <w:gridCol w:w="1236"/>
        <w:gridCol w:w="791"/>
        <w:gridCol w:w="1787"/>
        <w:gridCol w:w="204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58" w:type="dxa"/>
            <w:noWrap w:val="0"/>
            <w:vAlign w:val="center"/>
          </w:tcPr>
          <w:p>
            <w:pPr>
              <w:pStyle w:val="16"/>
              <w:autoSpaceDE w:val="0"/>
              <w:autoSpaceDN w:val="0"/>
              <w:spacing w:before="0"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236"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791"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787"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单价</w:t>
            </w:r>
          </w:p>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w:t>
            </w:r>
          </w:p>
        </w:tc>
        <w:tc>
          <w:tcPr>
            <w:tcW w:w="2044"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合价</w:t>
            </w:r>
          </w:p>
        </w:tc>
        <w:tc>
          <w:tcPr>
            <w:tcW w:w="1137"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58" w:type="dxa"/>
            <w:noWrap w:val="0"/>
            <w:vAlign w:val="center"/>
          </w:tcPr>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运输</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2158" w:type="dxa"/>
            <w:noWrap w:val="0"/>
            <w:vAlign w:val="center"/>
          </w:tcPr>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装卸</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158" w:type="dxa"/>
            <w:noWrap w:val="0"/>
            <w:vAlign w:val="center"/>
          </w:tcPr>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2158" w:type="dxa"/>
            <w:noWrap w:val="0"/>
            <w:vAlign w:val="center"/>
          </w:tcPr>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验收费</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58" w:type="dxa"/>
            <w:noWrap w:val="0"/>
            <w:vAlign w:val="center"/>
          </w:tcPr>
          <w:p>
            <w:pPr>
              <w:pStyle w:val="16"/>
              <w:autoSpaceDE w:val="0"/>
              <w:autoSpaceDN w:val="0"/>
              <w:spacing w:before="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158"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小  计</w:t>
            </w:r>
          </w:p>
        </w:tc>
        <w:tc>
          <w:tcPr>
            <w:tcW w:w="6995" w:type="dxa"/>
            <w:gridSpan w:val="5"/>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pPr>
        <w:spacing w:line="360" w:lineRule="auto"/>
        <w:ind w:left="0" w:leftChars="0"/>
        <w:rPr>
          <w:rFonts w:hint="eastAsia" w:ascii="宋体" w:hAnsi="宋体" w:eastAsia="宋体" w:cs="宋体"/>
          <w:color w:val="auto"/>
          <w:kern w:val="3"/>
          <w:highlight w:val="none"/>
          <w:lang w:eastAsia="zh-CN"/>
        </w:rPr>
      </w:pPr>
      <w:r>
        <w:rPr>
          <w:rFonts w:hint="eastAsia" w:ascii="宋体" w:hAnsi="宋体" w:eastAsia="宋体" w:cs="宋体"/>
          <w:color w:val="auto"/>
          <w:kern w:val="3"/>
          <w:highlight w:val="none"/>
        </w:rPr>
        <w:t>注：</w:t>
      </w:r>
      <w:r>
        <w:rPr>
          <w:rFonts w:hint="eastAsia" w:ascii="宋体" w:hAnsi="宋体" w:eastAsia="宋体" w:cs="宋体"/>
          <w:color w:val="auto"/>
          <w:szCs w:val="21"/>
          <w:highlight w:val="none"/>
        </w:rPr>
        <w:t>投标人应根据分项实际内容的数量填写和扩展本报价表</w:t>
      </w:r>
      <w:r>
        <w:rPr>
          <w:rFonts w:hint="eastAsia" w:ascii="宋体" w:hAnsi="宋体" w:eastAsia="宋体" w:cs="宋体"/>
          <w:color w:val="auto"/>
          <w:szCs w:val="21"/>
          <w:highlight w:val="none"/>
          <w:lang w:eastAsia="zh-CN"/>
        </w:rPr>
        <w:t>。</w:t>
      </w:r>
    </w:p>
    <w:tbl>
      <w:tblPr>
        <w:tblStyle w:val="38"/>
        <w:tblW w:w="983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tcBorders>
              <w:top w:val="nil"/>
              <w:left w:val="nil"/>
              <w:bottom w:val="nil"/>
              <w:right w:val="nil"/>
            </w:tcBorders>
            <w:vAlign w:val="top"/>
          </w:tcPr>
          <w:p>
            <w:pPr>
              <w:autoSpaceDE w:val="0"/>
              <w:autoSpaceDN w:val="0"/>
              <w:adjustRightInd w:val="0"/>
              <w:spacing w:line="360" w:lineRule="auto"/>
              <w:ind w:firstLine="315" w:firstLineChars="150"/>
              <w:jc w:val="right"/>
              <w:rPr>
                <w:rFonts w:hint="eastAsia" w:ascii="宋体" w:hAnsi="宋体" w:eastAsia="宋体" w:cs="宋体"/>
                <w:vertAlign w:val="baseline"/>
                <w:lang w:val="zh-CN"/>
              </w:rPr>
            </w:pPr>
            <w:r>
              <w:rPr>
                <w:rFonts w:hint="eastAsia" w:ascii="宋体" w:hAnsi="宋体" w:eastAsia="宋体" w:cs="宋体"/>
                <w:kern w:val="0"/>
                <w:szCs w:val="21"/>
                <w:highlight w:val="none"/>
              </w:rPr>
              <w:t>投标人：（加盖投标人法人公章）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tcBorders>
              <w:top w:val="nil"/>
              <w:left w:val="nil"/>
              <w:bottom w:val="nil"/>
              <w:right w:val="nil"/>
            </w:tcBorders>
            <w:vAlign w:val="top"/>
          </w:tcPr>
          <w:p>
            <w:pPr>
              <w:spacing w:line="360" w:lineRule="auto"/>
              <w:jc w:val="right"/>
              <w:rPr>
                <w:rFonts w:hint="eastAsia" w:ascii="宋体" w:hAnsi="宋体" w:eastAsia="宋体" w:cs="宋体"/>
                <w:vertAlign w:val="baseline"/>
                <w:lang w:val="zh-CN"/>
              </w:rPr>
            </w:pPr>
            <w:r>
              <w:rPr>
                <w:rFonts w:hint="eastAsia" w:ascii="宋体" w:hAnsi="宋体" w:eastAsia="宋体" w:cs="宋体"/>
                <w:kern w:val="0"/>
                <w:szCs w:val="21"/>
                <w:highlight w:val="none"/>
              </w:rPr>
              <w:t>日期：   年   月   日</w:t>
            </w:r>
          </w:p>
        </w:tc>
      </w:tr>
    </w:tbl>
    <w:p>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pPr>
        <w:pageBreakBefore/>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附表4</w:t>
      </w:r>
      <w:r>
        <w:rPr>
          <w:rFonts w:hint="eastAsia" w:ascii="宋体" w:hAnsi="宋体" w:eastAsia="宋体" w:cs="宋体"/>
          <w:b/>
          <w:color w:val="auto"/>
          <w:sz w:val="24"/>
          <w:highlight w:val="none"/>
          <w:lang w:val="en-US" w:eastAsia="zh-CN"/>
        </w:rPr>
        <w:t>.2.4</w:t>
      </w:r>
      <w:r>
        <w:rPr>
          <w:rFonts w:hint="eastAsia" w:ascii="宋体" w:hAnsi="宋体" w:eastAsia="宋体" w:cs="宋体"/>
          <w:b/>
          <w:color w:val="auto"/>
          <w:sz w:val="24"/>
          <w:highlight w:val="none"/>
        </w:rPr>
        <w:t xml:space="preserve"> 食堂配备的附件设计</w:t>
      </w:r>
      <w:r>
        <w:rPr>
          <w:rFonts w:hint="eastAsia" w:ascii="宋体" w:hAnsi="宋体" w:eastAsia="宋体" w:cs="宋体"/>
          <w:b/>
          <w:color w:val="auto"/>
          <w:sz w:val="24"/>
          <w:highlight w:val="none"/>
          <w:lang w:eastAsia="zh-CN"/>
        </w:rPr>
        <w:t>及配合</w:t>
      </w:r>
      <w:r>
        <w:rPr>
          <w:rFonts w:hint="eastAsia" w:ascii="宋体" w:hAnsi="宋体" w:eastAsia="宋体" w:cs="宋体"/>
          <w:b/>
          <w:color w:val="auto"/>
          <w:sz w:val="24"/>
          <w:highlight w:val="none"/>
        </w:rPr>
        <w:t>费</w:t>
      </w:r>
    </w:p>
    <w:p>
      <w:pPr>
        <w:spacing w:line="360" w:lineRule="auto"/>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食堂配备的附件设计</w:t>
      </w:r>
      <w:r>
        <w:rPr>
          <w:rFonts w:hint="eastAsia" w:ascii="宋体" w:hAnsi="宋体" w:eastAsia="宋体"/>
          <w:color w:val="auto"/>
          <w:sz w:val="24"/>
          <w:highlight w:val="none"/>
          <w:lang w:eastAsia="zh-CN"/>
        </w:rPr>
        <w:t>及配合</w:t>
      </w:r>
      <w:r>
        <w:rPr>
          <w:rFonts w:hint="eastAsia" w:ascii="宋体" w:hAnsi="宋体" w:eastAsia="宋体"/>
          <w:color w:val="auto"/>
          <w:sz w:val="24"/>
          <w:highlight w:val="none"/>
        </w:rPr>
        <w:t>费详细报价表</w:t>
      </w:r>
    </w:p>
    <w:p>
      <w:pPr>
        <w:pStyle w:val="36"/>
        <w:rPr>
          <w:rFonts w:hint="eastAsia"/>
          <w:lang w:val="en-US" w:eastAsia="zh-CN"/>
        </w:rPr>
      </w:pPr>
    </w:p>
    <w:p>
      <w:pPr>
        <w:spacing w:line="360" w:lineRule="auto"/>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rPr>
        <w:t>项目名称：</w:t>
      </w:r>
      <w:r>
        <w:rPr>
          <w:rFonts w:hint="eastAsia" w:ascii="宋体" w:hAnsi="宋体" w:eastAsia="宋体" w:cs="宋体"/>
          <w:kern w:val="0"/>
          <w:szCs w:val="21"/>
          <w:highlight w:val="none"/>
          <w:u w:val="single"/>
          <w:lang w:eastAsia="zh-CN"/>
        </w:rPr>
        <w:t>东莞市置拓投资有限公司水业大厦食堂设备设施采购项目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kern w:val="0"/>
          <w:szCs w:val="21"/>
          <w:highlight w:val="none"/>
        </w:rPr>
        <w:t>招标编号：</w:t>
      </w:r>
      <w:r>
        <w:rPr>
          <w:rFonts w:hint="eastAsia" w:ascii="宋体" w:hAnsi="宋体" w:eastAsia="宋体" w:cs="宋体"/>
          <w:color w:val="auto"/>
          <w:kern w:val="0"/>
          <w:szCs w:val="21"/>
          <w:highlight w:val="none"/>
          <w:u w:val="single"/>
          <w:lang w:eastAsia="zh-CN"/>
        </w:rPr>
        <w:t>0832-SFCX25DG030A</w:t>
      </w:r>
    </w:p>
    <w:p>
      <w:pPr>
        <w:rPr>
          <w:rFonts w:hint="eastAsia" w:ascii="宋体" w:hAnsi="宋体" w:eastAsia="宋体" w:cs="宋体"/>
          <w:b/>
          <w:bCs/>
          <w:color w:val="auto"/>
          <w:sz w:val="30"/>
          <w:szCs w:val="30"/>
          <w:highlight w:val="none"/>
          <w:lang w:val="en-US" w:eastAsia="zh-CN"/>
        </w:rPr>
      </w:pPr>
    </w:p>
    <w:p>
      <w:pPr>
        <w:pStyle w:val="22"/>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单位：人民币元</w:t>
      </w:r>
    </w:p>
    <w:tbl>
      <w:tblPr>
        <w:tblStyle w:val="37"/>
        <w:tblW w:w="99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158"/>
        <w:gridCol w:w="1236"/>
        <w:gridCol w:w="791"/>
        <w:gridCol w:w="1787"/>
        <w:gridCol w:w="204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58" w:type="dxa"/>
            <w:noWrap w:val="0"/>
            <w:vAlign w:val="center"/>
          </w:tcPr>
          <w:p>
            <w:pPr>
              <w:pStyle w:val="16"/>
              <w:autoSpaceDE w:val="0"/>
              <w:autoSpaceDN w:val="0"/>
              <w:spacing w:before="0"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236"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791"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787"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单价</w:t>
            </w:r>
          </w:p>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w:t>
            </w:r>
          </w:p>
        </w:tc>
        <w:tc>
          <w:tcPr>
            <w:tcW w:w="2044"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合价</w:t>
            </w:r>
          </w:p>
        </w:tc>
        <w:tc>
          <w:tcPr>
            <w:tcW w:w="1137"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58" w:type="dxa"/>
            <w:noWrap w:val="0"/>
            <w:vAlign w:val="center"/>
          </w:tcPr>
          <w:p>
            <w:pPr>
              <w:autoSpaceDE w:val="0"/>
              <w:autoSpaceDN w:val="0"/>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sz w:val="22"/>
                <w:szCs w:val="22"/>
                <w:lang w:val="en-US" w:eastAsia="zh-CN"/>
              </w:rPr>
              <w:t>厨房及中西明档区的深化设计配合</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2158" w:type="dxa"/>
            <w:noWrap w:val="0"/>
            <w:vAlign w:val="center"/>
          </w:tcPr>
          <w:p>
            <w:pPr>
              <w:autoSpaceDE w:val="0"/>
              <w:autoSpaceDN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sz w:val="22"/>
                <w:szCs w:val="22"/>
                <w:lang w:val="en-US" w:eastAsia="zh-CN"/>
              </w:rPr>
              <w:t>厨房及中西明档区土建装修及水电装修过程的跟踪及参与验收</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58" w:type="dxa"/>
            <w:noWrap w:val="0"/>
            <w:vAlign w:val="center"/>
          </w:tcPr>
          <w:p>
            <w:pPr>
              <w:pStyle w:val="16"/>
              <w:autoSpaceDE w:val="0"/>
              <w:autoSpaceDN w:val="0"/>
              <w:spacing w:before="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158"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小  计</w:t>
            </w:r>
          </w:p>
        </w:tc>
        <w:tc>
          <w:tcPr>
            <w:tcW w:w="6995" w:type="dxa"/>
            <w:gridSpan w:val="5"/>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pPr>
        <w:spacing w:line="360" w:lineRule="auto"/>
        <w:ind w:left="0" w:leftChars="0"/>
        <w:rPr>
          <w:rFonts w:hint="eastAsia" w:ascii="宋体" w:hAnsi="宋体" w:eastAsia="宋体" w:cs="宋体"/>
          <w:color w:val="auto"/>
          <w:kern w:val="3"/>
          <w:highlight w:val="none"/>
          <w:lang w:eastAsia="zh-CN"/>
        </w:rPr>
      </w:pPr>
      <w:r>
        <w:rPr>
          <w:rFonts w:hint="eastAsia" w:ascii="宋体" w:hAnsi="宋体" w:eastAsia="宋体" w:cs="宋体"/>
          <w:color w:val="auto"/>
          <w:kern w:val="3"/>
          <w:highlight w:val="none"/>
        </w:rPr>
        <w:t>注：</w:t>
      </w:r>
      <w:r>
        <w:rPr>
          <w:rFonts w:hint="eastAsia" w:ascii="宋体" w:hAnsi="宋体" w:eastAsia="宋体" w:cs="宋体"/>
          <w:color w:val="auto"/>
          <w:szCs w:val="21"/>
          <w:highlight w:val="none"/>
        </w:rPr>
        <w:t>投标人应根据分项实际内容的数量填写和扩展本报价表</w:t>
      </w:r>
      <w:r>
        <w:rPr>
          <w:rFonts w:hint="eastAsia" w:ascii="宋体" w:hAnsi="宋体" w:eastAsia="宋体" w:cs="宋体"/>
          <w:color w:val="auto"/>
          <w:szCs w:val="21"/>
          <w:highlight w:val="none"/>
          <w:lang w:eastAsia="zh-CN"/>
        </w:rPr>
        <w:t>。</w:t>
      </w:r>
    </w:p>
    <w:tbl>
      <w:tblPr>
        <w:tblStyle w:val="38"/>
        <w:tblW w:w="983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tcBorders>
              <w:top w:val="nil"/>
              <w:left w:val="nil"/>
              <w:bottom w:val="nil"/>
              <w:right w:val="nil"/>
            </w:tcBorders>
            <w:vAlign w:val="top"/>
          </w:tcPr>
          <w:p>
            <w:pPr>
              <w:autoSpaceDE w:val="0"/>
              <w:autoSpaceDN w:val="0"/>
              <w:adjustRightInd w:val="0"/>
              <w:spacing w:line="360" w:lineRule="auto"/>
              <w:ind w:firstLine="315" w:firstLineChars="150"/>
              <w:jc w:val="right"/>
              <w:rPr>
                <w:rFonts w:hint="eastAsia" w:ascii="宋体" w:hAnsi="宋体" w:eastAsia="宋体" w:cs="宋体"/>
                <w:vertAlign w:val="baseline"/>
                <w:lang w:val="zh-CN"/>
              </w:rPr>
            </w:pPr>
            <w:r>
              <w:rPr>
                <w:rFonts w:hint="eastAsia" w:ascii="宋体" w:hAnsi="宋体" w:eastAsia="宋体" w:cs="宋体"/>
                <w:kern w:val="0"/>
                <w:szCs w:val="21"/>
                <w:highlight w:val="none"/>
              </w:rPr>
              <w:t>投标人：（加盖投标人法人公章）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tcBorders>
              <w:top w:val="nil"/>
              <w:left w:val="nil"/>
              <w:bottom w:val="nil"/>
              <w:right w:val="nil"/>
            </w:tcBorders>
            <w:vAlign w:val="top"/>
          </w:tcPr>
          <w:p>
            <w:pPr>
              <w:spacing w:line="360" w:lineRule="auto"/>
              <w:jc w:val="right"/>
              <w:rPr>
                <w:rFonts w:hint="eastAsia" w:ascii="宋体" w:hAnsi="宋体" w:eastAsia="宋体" w:cs="宋体"/>
                <w:vertAlign w:val="baseline"/>
                <w:lang w:val="zh-CN"/>
              </w:rPr>
            </w:pPr>
            <w:r>
              <w:rPr>
                <w:rFonts w:hint="eastAsia" w:ascii="宋体" w:hAnsi="宋体" w:eastAsia="宋体" w:cs="宋体"/>
                <w:kern w:val="0"/>
                <w:szCs w:val="21"/>
                <w:highlight w:val="none"/>
              </w:rPr>
              <w:t>日期：   年   月   日</w:t>
            </w:r>
          </w:p>
        </w:tc>
      </w:tr>
    </w:tbl>
    <w:p>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pPr>
        <w:pageBreakBefore/>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附表4</w:t>
      </w: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 xml:space="preserve"> 涉及专有技术、商标权、专利权和版权、设计或其他知识产权而需要支付的版税及其他相关费用</w:t>
      </w:r>
    </w:p>
    <w:p>
      <w:pPr>
        <w:spacing w:line="360" w:lineRule="auto"/>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涉及专有技术、商标权、专利权和版权、设计或其他知识产权而需要支付的版税及其他相关费用详细报价表</w:t>
      </w:r>
    </w:p>
    <w:p>
      <w:pPr>
        <w:pStyle w:val="36"/>
        <w:rPr>
          <w:rFonts w:hint="eastAsia"/>
          <w:lang w:val="en-US" w:eastAsia="zh-CN"/>
        </w:rPr>
      </w:pPr>
    </w:p>
    <w:p>
      <w:pPr>
        <w:spacing w:line="360" w:lineRule="auto"/>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rPr>
        <w:t>项目名称：</w:t>
      </w:r>
      <w:r>
        <w:rPr>
          <w:rFonts w:hint="eastAsia" w:ascii="宋体" w:hAnsi="宋体" w:eastAsia="宋体" w:cs="宋体"/>
          <w:kern w:val="0"/>
          <w:szCs w:val="21"/>
          <w:highlight w:val="none"/>
          <w:u w:val="single"/>
          <w:lang w:eastAsia="zh-CN"/>
        </w:rPr>
        <w:t>东莞市置拓投资有限公司水业大厦食堂设备设施采购项目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kern w:val="0"/>
          <w:szCs w:val="21"/>
          <w:highlight w:val="none"/>
        </w:rPr>
        <w:t>招标编号：</w:t>
      </w:r>
      <w:r>
        <w:rPr>
          <w:rFonts w:hint="eastAsia" w:ascii="宋体" w:hAnsi="宋体" w:eastAsia="宋体" w:cs="宋体"/>
          <w:color w:val="auto"/>
          <w:kern w:val="0"/>
          <w:szCs w:val="21"/>
          <w:highlight w:val="none"/>
          <w:u w:val="single"/>
          <w:lang w:eastAsia="zh-CN"/>
        </w:rPr>
        <w:t>0832-SFCX25DG030A</w:t>
      </w:r>
    </w:p>
    <w:p>
      <w:pPr>
        <w:rPr>
          <w:rFonts w:hint="eastAsia" w:ascii="宋体" w:hAnsi="宋体" w:eastAsia="宋体" w:cs="宋体"/>
          <w:b/>
          <w:bCs/>
          <w:color w:val="auto"/>
          <w:sz w:val="30"/>
          <w:szCs w:val="30"/>
          <w:highlight w:val="none"/>
          <w:lang w:val="en-US" w:eastAsia="zh-CN"/>
        </w:rPr>
      </w:pPr>
    </w:p>
    <w:p>
      <w:pPr>
        <w:rPr>
          <w:rFonts w:hint="eastAsia" w:ascii="宋体" w:hAnsi="宋体" w:eastAsia="宋体" w:cs="宋体"/>
          <w:b/>
          <w:bCs/>
          <w:color w:val="auto"/>
          <w:sz w:val="30"/>
          <w:szCs w:val="30"/>
          <w:highlight w:val="none"/>
          <w:lang w:val="en-US" w:eastAsia="zh-CN"/>
        </w:rPr>
      </w:pPr>
    </w:p>
    <w:p>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Cs w:val="21"/>
          <w:highlight w:val="none"/>
        </w:rPr>
        <w:t>单位：人民币元</w:t>
      </w:r>
    </w:p>
    <w:tbl>
      <w:tblPr>
        <w:tblStyle w:val="37"/>
        <w:tblW w:w="99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158"/>
        <w:gridCol w:w="1236"/>
        <w:gridCol w:w="791"/>
        <w:gridCol w:w="1787"/>
        <w:gridCol w:w="204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58" w:type="dxa"/>
            <w:noWrap w:val="0"/>
            <w:vAlign w:val="center"/>
          </w:tcPr>
          <w:p>
            <w:pPr>
              <w:pStyle w:val="16"/>
              <w:autoSpaceDE w:val="0"/>
              <w:autoSpaceDN w:val="0"/>
              <w:spacing w:before="0"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236"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791"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787"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单价</w:t>
            </w:r>
          </w:p>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w:t>
            </w:r>
          </w:p>
        </w:tc>
        <w:tc>
          <w:tcPr>
            <w:tcW w:w="2044"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合价</w:t>
            </w:r>
          </w:p>
        </w:tc>
        <w:tc>
          <w:tcPr>
            <w:tcW w:w="1137"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58" w:type="dxa"/>
            <w:noWrap w:val="0"/>
            <w:vAlign w:val="center"/>
          </w:tcPr>
          <w:p>
            <w:pPr>
              <w:pStyle w:val="16"/>
              <w:autoSpaceDE w:val="0"/>
              <w:autoSpaceDN w:val="0"/>
              <w:spacing w:before="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专利权费</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58" w:type="dxa"/>
            <w:noWrap w:val="0"/>
            <w:vAlign w:val="center"/>
          </w:tcPr>
          <w:p>
            <w:pPr>
              <w:pStyle w:val="16"/>
              <w:autoSpaceDE w:val="0"/>
              <w:autoSpaceDN w:val="0"/>
              <w:spacing w:before="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158"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小  计</w:t>
            </w:r>
          </w:p>
        </w:tc>
        <w:tc>
          <w:tcPr>
            <w:tcW w:w="6995" w:type="dxa"/>
            <w:gridSpan w:val="5"/>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pPr>
        <w:spacing w:line="360" w:lineRule="auto"/>
        <w:ind w:left="0" w:leftChars="0"/>
        <w:rPr>
          <w:rFonts w:hint="eastAsia" w:ascii="宋体" w:hAnsi="宋体" w:eastAsia="宋体" w:cs="宋体"/>
          <w:color w:val="auto"/>
          <w:kern w:val="3"/>
          <w:highlight w:val="none"/>
          <w:lang w:eastAsia="zh-CN"/>
        </w:rPr>
      </w:pPr>
      <w:r>
        <w:rPr>
          <w:rFonts w:hint="eastAsia" w:ascii="宋体" w:hAnsi="宋体" w:eastAsia="宋体" w:cs="宋体"/>
          <w:color w:val="auto"/>
          <w:kern w:val="3"/>
          <w:highlight w:val="none"/>
        </w:rPr>
        <w:t>注：</w:t>
      </w:r>
      <w:r>
        <w:rPr>
          <w:rFonts w:hint="eastAsia" w:ascii="宋体" w:hAnsi="宋体" w:eastAsia="宋体" w:cs="宋体"/>
          <w:color w:val="auto"/>
          <w:szCs w:val="21"/>
          <w:highlight w:val="none"/>
        </w:rPr>
        <w:t>投标人应根据分项实际内容的数量填写和扩展本报价表</w:t>
      </w:r>
      <w:r>
        <w:rPr>
          <w:rFonts w:hint="eastAsia" w:ascii="宋体" w:hAnsi="宋体" w:eastAsia="宋体" w:cs="宋体"/>
          <w:color w:val="auto"/>
          <w:szCs w:val="21"/>
          <w:highlight w:val="none"/>
          <w:lang w:eastAsia="zh-CN"/>
        </w:rPr>
        <w:t>。</w:t>
      </w:r>
    </w:p>
    <w:tbl>
      <w:tblPr>
        <w:tblStyle w:val="38"/>
        <w:tblW w:w="983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9" w:type="dxa"/>
            <w:tcBorders>
              <w:top w:val="nil"/>
              <w:left w:val="nil"/>
              <w:bottom w:val="nil"/>
              <w:right w:val="nil"/>
            </w:tcBorders>
            <w:vAlign w:val="top"/>
          </w:tcPr>
          <w:p>
            <w:pPr>
              <w:autoSpaceDE w:val="0"/>
              <w:autoSpaceDN w:val="0"/>
              <w:adjustRightInd w:val="0"/>
              <w:spacing w:line="360" w:lineRule="auto"/>
              <w:ind w:firstLine="315" w:firstLineChars="150"/>
              <w:jc w:val="right"/>
              <w:rPr>
                <w:rFonts w:hint="eastAsia" w:ascii="宋体" w:hAnsi="宋体" w:eastAsia="宋体" w:cs="宋体"/>
                <w:vertAlign w:val="baseline"/>
                <w:lang w:val="zh-CN"/>
              </w:rPr>
            </w:pPr>
            <w:r>
              <w:rPr>
                <w:rFonts w:hint="eastAsia" w:ascii="宋体" w:hAnsi="宋体" w:eastAsia="宋体" w:cs="宋体"/>
                <w:kern w:val="0"/>
                <w:szCs w:val="21"/>
                <w:highlight w:val="none"/>
              </w:rPr>
              <w:t>投标人：（加盖投标人法人公章）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tcBorders>
              <w:top w:val="nil"/>
              <w:left w:val="nil"/>
              <w:bottom w:val="nil"/>
              <w:right w:val="nil"/>
            </w:tcBorders>
            <w:vAlign w:val="top"/>
          </w:tcPr>
          <w:p>
            <w:pPr>
              <w:spacing w:line="360" w:lineRule="auto"/>
              <w:jc w:val="right"/>
              <w:rPr>
                <w:rFonts w:hint="eastAsia" w:ascii="宋体" w:hAnsi="宋体" w:eastAsia="宋体" w:cs="宋体"/>
                <w:vertAlign w:val="baseline"/>
                <w:lang w:val="zh-CN"/>
              </w:rPr>
            </w:pPr>
            <w:r>
              <w:rPr>
                <w:rFonts w:hint="eastAsia" w:ascii="宋体" w:hAnsi="宋体" w:eastAsia="宋体" w:cs="宋体"/>
                <w:kern w:val="0"/>
                <w:szCs w:val="21"/>
                <w:highlight w:val="none"/>
              </w:rPr>
              <w:t>日期：   年   月   日</w:t>
            </w:r>
          </w:p>
        </w:tc>
      </w:tr>
    </w:tbl>
    <w:p>
      <w:pPr>
        <w:rPr>
          <w:rFonts w:hint="eastAsia" w:ascii="宋体" w:hAnsi="宋体" w:eastAsia="宋体" w:cs="宋体"/>
          <w:b/>
          <w:bCs/>
          <w:color w:val="auto"/>
          <w:sz w:val="30"/>
          <w:szCs w:val="30"/>
          <w:highlight w:val="none"/>
          <w:lang w:val="en-US" w:eastAsia="zh-CN"/>
        </w:rPr>
      </w:pPr>
    </w:p>
    <w:p>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pPr>
        <w:pageBreakBefore/>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附表4</w:t>
      </w: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 xml:space="preserve"> 设备备品备件（含零配件）、设备拆装维修所需特殊专用工具购置费</w:t>
      </w:r>
    </w:p>
    <w:p>
      <w:pPr>
        <w:spacing w:line="360" w:lineRule="auto"/>
        <w:jc w:val="center"/>
        <w:rPr>
          <w:rFonts w:hint="eastAsia" w:ascii="宋体" w:hAnsi="宋体" w:eastAsia="宋体"/>
          <w:color w:val="auto"/>
          <w:sz w:val="24"/>
          <w:highlight w:val="none"/>
        </w:rPr>
      </w:pPr>
    </w:p>
    <w:p>
      <w:pPr>
        <w:spacing w:line="360" w:lineRule="auto"/>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设备备品备件（含零配件）、设备拆装维修所需特殊专用工具购置费详细报价表</w:t>
      </w:r>
    </w:p>
    <w:p>
      <w:pPr>
        <w:pStyle w:val="36"/>
        <w:rPr>
          <w:rFonts w:hint="eastAsia"/>
          <w:lang w:val="en-US" w:eastAsia="zh-CN"/>
        </w:rPr>
      </w:pPr>
    </w:p>
    <w:p>
      <w:pPr>
        <w:spacing w:line="360" w:lineRule="auto"/>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rPr>
        <w:t>项目名称：</w:t>
      </w:r>
      <w:r>
        <w:rPr>
          <w:rFonts w:hint="eastAsia" w:ascii="宋体" w:hAnsi="宋体" w:eastAsia="宋体" w:cs="宋体"/>
          <w:kern w:val="0"/>
          <w:szCs w:val="21"/>
          <w:highlight w:val="none"/>
          <w:u w:val="single"/>
          <w:lang w:eastAsia="zh-CN"/>
        </w:rPr>
        <w:t>东莞市置拓投资有限公司水业大厦食堂设备设施采购项目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kern w:val="0"/>
          <w:szCs w:val="21"/>
          <w:highlight w:val="none"/>
        </w:rPr>
        <w:t>招标编号：</w:t>
      </w:r>
      <w:r>
        <w:rPr>
          <w:rFonts w:hint="eastAsia" w:ascii="宋体" w:hAnsi="宋体" w:eastAsia="宋体" w:cs="宋体"/>
          <w:color w:val="auto"/>
          <w:kern w:val="0"/>
          <w:szCs w:val="21"/>
          <w:highlight w:val="none"/>
          <w:u w:val="single"/>
          <w:lang w:eastAsia="zh-CN"/>
        </w:rPr>
        <w:t>0832-SFCX25DG030A</w:t>
      </w:r>
    </w:p>
    <w:p>
      <w:pPr>
        <w:rPr>
          <w:rFonts w:hint="eastAsia" w:ascii="宋体" w:hAnsi="宋体" w:eastAsia="宋体" w:cs="宋体"/>
          <w:b/>
          <w:bCs/>
          <w:color w:val="auto"/>
          <w:sz w:val="30"/>
          <w:szCs w:val="30"/>
          <w:highlight w:val="none"/>
          <w:lang w:val="en-US" w:eastAsia="zh-CN"/>
        </w:rPr>
      </w:pPr>
    </w:p>
    <w:p>
      <w:pPr>
        <w:rPr>
          <w:rFonts w:hint="eastAsia" w:ascii="宋体" w:hAnsi="宋体" w:eastAsia="宋体" w:cs="宋体"/>
          <w:b/>
          <w:bCs/>
          <w:color w:val="auto"/>
          <w:sz w:val="30"/>
          <w:szCs w:val="30"/>
          <w:highlight w:val="none"/>
          <w:lang w:val="en-US" w:eastAsia="zh-CN"/>
        </w:rPr>
      </w:pPr>
    </w:p>
    <w:p>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Cs w:val="21"/>
          <w:highlight w:val="none"/>
        </w:rPr>
        <w:t>单位：人民币元</w:t>
      </w:r>
    </w:p>
    <w:tbl>
      <w:tblPr>
        <w:tblStyle w:val="37"/>
        <w:tblW w:w="99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158"/>
        <w:gridCol w:w="1236"/>
        <w:gridCol w:w="791"/>
        <w:gridCol w:w="1787"/>
        <w:gridCol w:w="204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58" w:type="dxa"/>
            <w:noWrap w:val="0"/>
            <w:vAlign w:val="center"/>
          </w:tcPr>
          <w:p>
            <w:pPr>
              <w:pStyle w:val="16"/>
              <w:autoSpaceDE w:val="0"/>
              <w:autoSpaceDN w:val="0"/>
              <w:spacing w:before="0"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236"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791"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787"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单价</w:t>
            </w:r>
          </w:p>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w:t>
            </w:r>
          </w:p>
        </w:tc>
        <w:tc>
          <w:tcPr>
            <w:tcW w:w="2044"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合价</w:t>
            </w:r>
          </w:p>
        </w:tc>
        <w:tc>
          <w:tcPr>
            <w:tcW w:w="1137"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58" w:type="dxa"/>
            <w:noWrap w:val="0"/>
            <w:vAlign w:val="center"/>
          </w:tcPr>
          <w:p>
            <w:pPr>
              <w:pStyle w:val="16"/>
              <w:autoSpaceDE w:val="0"/>
              <w:autoSpaceDN w:val="0"/>
              <w:spacing w:before="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备品备件</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158" w:type="dxa"/>
            <w:noWrap w:val="0"/>
            <w:vAlign w:val="center"/>
          </w:tcPr>
          <w:p>
            <w:pPr>
              <w:pStyle w:val="16"/>
              <w:autoSpaceDE w:val="0"/>
              <w:autoSpaceDN w:val="0"/>
              <w:spacing w:before="0" w:line="360" w:lineRule="auto"/>
              <w:rPr>
                <w:rFonts w:hint="eastAsia" w:ascii="宋体" w:hAnsi="宋体" w:eastAsia="宋体" w:cs="宋体"/>
                <w:color w:val="auto"/>
                <w:kern w:val="0"/>
                <w:sz w:val="21"/>
                <w:szCs w:val="21"/>
                <w:highlight w:val="none"/>
              </w:rPr>
            </w:pP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158" w:type="dxa"/>
            <w:noWrap w:val="0"/>
            <w:vAlign w:val="center"/>
          </w:tcPr>
          <w:p>
            <w:pPr>
              <w:pStyle w:val="16"/>
              <w:autoSpaceDE w:val="0"/>
              <w:autoSpaceDN w:val="0"/>
              <w:spacing w:before="0" w:line="360" w:lineRule="auto"/>
              <w:rPr>
                <w:rFonts w:hint="eastAsia" w:ascii="宋体" w:hAnsi="宋体" w:eastAsia="宋体" w:cs="宋体"/>
                <w:color w:val="auto"/>
                <w:kern w:val="0"/>
                <w:sz w:val="21"/>
                <w:szCs w:val="21"/>
                <w:highlight w:val="none"/>
              </w:rPr>
            </w:pP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2158" w:type="dxa"/>
            <w:noWrap w:val="0"/>
            <w:vAlign w:val="center"/>
          </w:tcPr>
          <w:p>
            <w:pPr>
              <w:pStyle w:val="16"/>
              <w:autoSpaceDE w:val="0"/>
              <w:autoSpaceDN w:val="0"/>
              <w:spacing w:before="0"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专用工具</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lang w:val="en-US" w:eastAsia="zh-CN"/>
              </w:rPr>
            </w:pPr>
          </w:p>
        </w:tc>
        <w:tc>
          <w:tcPr>
            <w:tcW w:w="2158" w:type="dxa"/>
            <w:noWrap w:val="0"/>
            <w:vAlign w:val="center"/>
          </w:tcPr>
          <w:p>
            <w:pPr>
              <w:pStyle w:val="16"/>
              <w:autoSpaceDE w:val="0"/>
              <w:autoSpaceDN w:val="0"/>
              <w:spacing w:before="0" w:line="360" w:lineRule="auto"/>
              <w:rPr>
                <w:rFonts w:hint="eastAsia" w:ascii="宋体" w:hAnsi="宋体" w:eastAsia="宋体" w:cs="宋体"/>
                <w:color w:val="auto"/>
                <w:kern w:val="0"/>
                <w:sz w:val="21"/>
                <w:szCs w:val="21"/>
                <w:highlight w:val="none"/>
              </w:rPr>
            </w:pP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lang w:val="en-US" w:eastAsia="zh-CN"/>
              </w:rPr>
            </w:pPr>
          </w:p>
        </w:tc>
        <w:tc>
          <w:tcPr>
            <w:tcW w:w="2158" w:type="dxa"/>
            <w:noWrap w:val="0"/>
            <w:vAlign w:val="center"/>
          </w:tcPr>
          <w:p>
            <w:pPr>
              <w:pStyle w:val="16"/>
              <w:autoSpaceDE w:val="0"/>
              <w:autoSpaceDN w:val="0"/>
              <w:spacing w:before="0" w:line="360" w:lineRule="auto"/>
              <w:rPr>
                <w:rFonts w:hint="eastAsia" w:ascii="宋体" w:hAnsi="宋体" w:eastAsia="宋体" w:cs="宋体"/>
                <w:color w:val="auto"/>
                <w:kern w:val="0"/>
                <w:sz w:val="21"/>
                <w:szCs w:val="21"/>
                <w:highlight w:val="none"/>
              </w:rPr>
            </w:pP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58" w:type="dxa"/>
            <w:noWrap w:val="0"/>
            <w:vAlign w:val="center"/>
          </w:tcPr>
          <w:p>
            <w:pPr>
              <w:pStyle w:val="16"/>
              <w:autoSpaceDE w:val="0"/>
              <w:autoSpaceDN w:val="0"/>
              <w:spacing w:before="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158"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小  计</w:t>
            </w:r>
          </w:p>
        </w:tc>
        <w:tc>
          <w:tcPr>
            <w:tcW w:w="6995" w:type="dxa"/>
            <w:gridSpan w:val="5"/>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pPr>
        <w:spacing w:line="360" w:lineRule="auto"/>
        <w:ind w:left="0" w:leftChars="0"/>
        <w:rPr>
          <w:rFonts w:hint="eastAsia" w:ascii="宋体" w:hAnsi="宋体" w:eastAsia="宋体" w:cs="宋体"/>
          <w:color w:val="auto"/>
          <w:kern w:val="3"/>
          <w:highlight w:val="none"/>
          <w:lang w:eastAsia="zh-CN"/>
        </w:rPr>
      </w:pPr>
      <w:r>
        <w:rPr>
          <w:rFonts w:hint="eastAsia" w:ascii="宋体" w:hAnsi="宋体" w:eastAsia="宋体" w:cs="宋体"/>
          <w:color w:val="auto"/>
          <w:kern w:val="3"/>
          <w:highlight w:val="none"/>
        </w:rPr>
        <w:t>注：</w:t>
      </w:r>
      <w:r>
        <w:rPr>
          <w:rFonts w:hint="eastAsia" w:ascii="宋体" w:hAnsi="宋体" w:eastAsia="宋体" w:cs="宋体"/>
          <w:color w:val="auto"/>
          <w:szCs w:val="21"/>
          <w:highlight w:val="none"/>
        </w:rPr>
        <w:t>投标人应根据分项实际内容的数量填写和扩展本报价表</w:t>
      </w:r>
      <w:r>
        <w:rPr>
          <w:rFonts w:hint="eastAsia" w:ascii="宋体" w:hAnsi="宋体" w:eastAsia="宋体" w:cs="宋体"/>
          <w:color w:val="auto"/>
          <w:szCs w:val="21"/>
          <w:highlight w:val="none"/>
          <w:lang w:eastAsia="zh-CN"/>
        </w:rPr>
        <w:t>。</w:t>
      </w:r>
    </w:p>
    <w:tbl>
      <w:tblPr>
        <w:tblStyle w:val="38"/>
        <w:tblW w:w="983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tcBorders>
              <w:top w:val="nil"/>
              <w:left w:val="nil"/>
              <w:bottom w:val="nil"/>
              <w:right w:val="nil"/>
            </w:tcBorders>
            <w:vAlign w:val="top"/>
          </w:tcPr>
          <w:p>
            <w:pPr>
              <w:autoSpaceDE w:val="0"/>
              <w:autoSpaceDN w:val="0"/>
              <w:adjustRightInd w:val="0"/>
              <w:spacing w:line="360" w:lineRule="auto"/>
              <w:ind w:firstLine="315" w:firstLineChars="150"/>
              <w:jc w:val="right"/>
              <w:rPr>
                <w:rFonts w:hint="eastAsia" w:ascii="宋体" w:hAnsi="宋体" w:eastAsia="宋体" w:cs="宋体"/>
                <w:vertAlign w:val="baseline"/>
                <w:lang w:val="zh-CN"/>
              </w:rPr>
            </w:pPr>
            <w:r>
              <w:rPr>
                <w:rFonts w:hint="eastAsia" w:ascii="宋体" w:hAnsi="宋体" w:eastAsia="宋体" w:cs="宋体"/>
                <w:kern w:val="0"/>
                <w:szCs w:val="21"/>
                <w:highlight w:val="none"/>
              </w:rPr>
              <w:t>投标人：（加盖投标人法人公章）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tcBorders>
              <w:top w:val="nil"/>
              <w:left w:val="nil"/>
              <w:bottom w:val="nil"/>
              <w:right w:val="nil"/>
            </w:tcBorders>
            <w:vAlign w:val="top"/>
          </w:tcPr>
          <w:p>
            <w:pPr>
              <w:spacing w:line="360" w:lineRule="auto"/>
              <w:jc w:val="right"/>
              <w:rPr>
                <w:rFonts w:hint="eastAsia" w:ascii="宋体" w:hAnsi="宋体" w:eastAsia="宋体" w:cs="宋体"/>
                <w:vertAlign w:val="baseline"/>
                <w:lang w:val="zh-CN"/>
              </w:rPr>
            </w:pPr>
            <w:r>
              <w:rPr>
                <w:rFonts w:hint="eastAsia" w:ascii="宋体" w:hAnsi="宋体" w:eastAsia="宋体" w:cs="宋体"/>
                <w:kern w:val="0"/>
                <w:szCs w:val="21"/>
                <w:highlight w:val="none"/>
              </w:rPr>
              <w:t>日期：   年   月   日</w:t>
            </w:r>
          </w:p>
        </w:tc>
      </w:tr>
    </w:tbl>
    <w:p>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pPr>
        <w:pageBreakBefore/>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附表4</w:t>
      </w: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 xml:space="preserve"> 日常技术指导，质保期保修服务费用</w:t>
      </w:r>
    </w:p>
    <w:p>
      <w:pPr>
        <w:spacing w:line="360" w:lineRule="auto"/>
        <w:jc w:val="center"/>
        <w:rPr>
          <w:rFonts w:hint="eastAsia" w:ascii="宋体" w:hAnsi="宋体" w:eastAsia="宋体"/>
          <w:color w:val="auto"/>
          <w:sz w:val="24"/>
          <w:highlight w:val="none"/>
        </w:rPr>
      </w:pPr>
    </w:p>
    <w:p>
      <w:pPr>
        <w:spacing w:line="360" w:lineRule="auto"/>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日常技术指导，质保期保修服务费用详细报价表</w:t>
      </w:r>
    </w:p>
    <w:p>
      <w:pPr>
        <w:pStyle w:val="36"/>
        <w:rPr>
          <w:rFonts w:hint="eastAsia"/>
          <w:lang w:val="en-US" w:eastAsia="zh-CN"/>
        </w:rPr>
      </w:pPr>
    </w:p>
    <w:p>
      <w:pPr>
        <w:spacing w:line="360" w:lineRule="auto"/>
        <w:rPr>
          <w:rFonts w:hint="eastAsia" w:ascii="宋体" w:hAnsi="宋体" w:eastAsia="宋体" w:cs="宋体"/>
          <w:b/>
          <w:bCs/>
          <w:kern w:val="0"/>
          <w:szCs w:val="21"/>
          <w:highlight w:val="none"/>
          <w:lang w:eastAsia="zh-CN"/>
        </w:rPr>
      </w:pPr>
      <w:r>
        <w:rPr>
          <w:rFonts w:hint="eastAsia" w:ascii="宋体" w:hAnsi="宋体" w:eastAsia="宋体" w:cs="宋体"/>
          <w:b/>
          <w:bCs/>
          <w:kern w:val="0"/>
          <w:szCs w:val="21"/>
          <w:highlight w:val="none"/>
        </w:rPr>
        <w:t>项目名称：</w:t>
      </w:r>
      <w:r>
        <w:rPr>
          <w:rFonts w:hint="eastAsia" w:ascii="宋体" w:hAnsi="宋体" w:eastAsia="宋体" w:cs="宋体"/>
          <w:kern w:val="0"/>
          <w:szCs w:val="21"/>
          <w:highlight w:val="none"/>
          <w:u w:val="single"/>
          <w:lang w:eastAsia="zh-CN"/>
        </w:rPr>
        <w:t>东莞市置拓投资有限公司水业大厦食堂设备设施采购项目</w:t>
      </w:r>
    </w:p>
    <w:p>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kern w:val="0"/>
          <w:szCs w:val="21"/>
          <w:highlight w:val="none"/>
        </w:rPr>
        <w:t>招标编号：</w:t>
      </w:r>
      <w:r>
        <w:rPr>
          <w:rFonts w:hint="eastAsia" w:ascii="宋体" w:hAnsi="宋体" w:eastAsia="宋体" w:cs="宋体"/>
          <w:color w:val="auto"/>
          <w:kern w:val="0"/>
          <w:szCs w:val="21"/>
          <w:highlight w:val="none"/>
          <w:u w:val="single"/>
          <w:lang w:eastAsia="zh-CN"/>
        </w:rPr>
        <w:t>0832-SFCX25DG030A</w:t>
      </w:r>
    </w:p>
    <w:p>
      <w:pPr>
        <w:rPr>
          <w:rFonts w:hint="eastAsia" w:ascii="宋体" w:hAnsi="宋体" w:eastAsia="宋体" w:cs="宋体"/>
          <w:b/>
          <w:bCs/>
          <w:color w:val="auto"/>
          <w:sz w:val="30"/>
          <w:szCs w:val="30"/>
          <w:highlight w:val="none"/>
          <w:lang w:val="en-US" w:eastAsia="zh-CN"/>
        </w:rPr>
      </w:pPr>
    </w:p>
    <w:p>
      <w:pPr>
        <w:rPr>
          <w:rFonts w:hint="eastAsia" w:ascii="宋体" w:hAnsi="宋体" w:eastAsia="宋体" w:cs="宋体"/>
          <w:b/>
          <w:bCs/>
          <w:color w:val="auto"/>
          <w:sz w:val="30"/>
          <w:szCs w:val="30"/>
          <w:highlight w:val="none"/>
          <w:lang w:val="en-US" w:eastAsia="zh-CN"/>
        </w:rPr>
      </w:pPr>
    </w:p>
    <w:p>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Cs w:val="21"/>
          <w:highlight w:val="none"/>
        </w:rPr>
        <w:t>单位：人民币元</w:t>
      </w:r>
    </w:p>
    <w:tbl>
      <w:tblPr>
        <w:tblStyle w:val="37"/>
        <w:tblW w:w="996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158"/>
        <w:gridCol w:w="1236"/>
        <w:gridCol w:w="791"/>
        <w:gridCol w:w="1787"/>
        <w:gridCol w:w="2044"/>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15"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58" w:type="dxa"/>
            <w:noWrap w:val="0"/>
            <w:vAlign w:val="center"/>
          </w:tcPr>
          <w:p>
            <w:pPr>
              <w:pStyle w:val="16"/>
              <w:autoSpaceDE w:val="0"/>
              <w:autoSpaceDN w:val="0"/>
              <w:spacing w:before="0"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1236"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791"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c>
          <w:tcPr>
            <w:tcW w:w="1787"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单价</w:t>
            </w:r>
          </w:p>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（不含税）</w:t>
            </w:r>
          </w:p>
        </w:tc>
        <w:tc>
          <w:tcPr>
            <w:tcW w:w="2044"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合价</w:t>
            </w:r>
          </w:p>
        </w:tc>
        <w:tc>
          <w:tcPr>
            <w:tcW w:w="1137" w:type="dxa"/>
            <w:noWrap w:val="0"/>
            <w:vAlign w:val="center"/>
          </w:tcPr>
          <w:p>
            <w:pPr>
              <w:autoSpaceDE w:val="0"/>
              <w:autoSpaceDN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58"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日常技术指导</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2158"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质保期保修服务</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w:t>
            </w: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58" w:type="dxa"/>
            <w:noWrap w:val="0"/>
            <w:vAlign w:val="center"/>
          </w:tcPr>
          <w:p>
            <w:pPr>
              <w:pStyle w:val="16"/>
              <w:autoSpaceDE w:val="0"/>
              <w:autoSpaceDN w:val="0"/>
              <w:spacing w:before="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p>
        </w:tc>
        <w:tc>
          <w:tcPr>
            <w:tcW w:w="1236"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791"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78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044"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1137"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5"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p>
        </w:tc>
        <w:tc>
          <w:tcPr>
            <w:tcW w:w="2158" w:type="dxa"/>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小  计</w:t>
            </w:r>
          </w:p>
        </w:tc>
        <w:tc>
          <w:tcPr>
            <w:tcW w:w="6995" w:type="dxa"/>
            <w:gridSpan w:val="5"/>
            <w:noWrap w:val="0"/>
            <w:vAlign w:val="center"/>
          </w:tcPr>
          <w:p>
            <w:pPr>
              <w:autoSpaceDE w:val="0"/>
              <w:autoSpaceDN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
                <w:color w:val="auto"/>
                <w:szCs w:val="21"/>
                <w:highlight w:val="none"/>
              </w:rPr>
              <w:t xml:space="preserve"> </w:t>
            </w:r>
          </w:p>
        </w:tc>
      </w:tr>
    </w:tbl>
    <w:p>
      <w:pPr>
        <w:spacing w:line="360" w:lineRule="auto"/>
        <w:ind w:left="0" w:leftChars="0"/>
        <w:rPr>
          <w:rFonts w:hint="eastAsia" w:ascii="宋体" w:hAnsi="宋体" w:eastAsia="宋体" w:cs="宋体"/>
          <w:color w:val="auto"/>
          <w:kern w:val="3"/>
          <w:highlight w:val="none"/>
          <w:lang w:eastAsia="zh-CN"/>
        </w:rPr>
      </w:pPr>
      <w:r>
        <w:rPr>
          <w:rFonts w:hint="eastAsia" w:ascii="宋体" w:hAnsi="宋体" w:eastAsia="宋体" w:cs="宋体"/>
          <w:color w:val="auto"/>
          <w:kern w:val="3"/>
          <w:highlight w:val="none"/>
        </w:rPr>
        <w:t>注：</w:t>
      </w:r>
      <w:r>
        <w:rPr>
          <w:rFonts w:hint="eastAsia" w:ascii="宋体" w:hAnsi="宋体" w:eastAsia="宋体" w:cs="宋体"/>
          <w:color w:val="auto"/>
          <w:szCs w:val="21"/>
          <w:highlight w:val="none"/>
        </w:rPr>
        <w:t>投标人应根据分项实际内容的数量填写和扩展本报价表</w:t>
      </w:r>
      <w:r>
        <w:rPr>
          <w:rFonts w:hint="eastAsia" w:ascii="宋体" w:hAnsi="宋体" w:eastAsia="宋体" w:cs="宋体"/>
          <w:color w:val="auto"/>
          <w:szCs w:val="21"/>
          <w:highlight w:val="none"/>
          <w:lang w:eastAsia="zh-CN"/>
        </w:rPr>
        <w:t>。</w:t>
      </w:r>
    </w:p>
    <w:tbl>
      <w:tblPr>
        <w:tblStyle w:val="38"/>
        <w:tblW w:w="9839"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tcBorders>
              <w:top w:val="nil"/>
              <w:left w:val="nil"/>
              <w:bottom w:val="nil"/>
              <w:right w:val="nil"/>
            </w:tcBorders>
            <w:vAlign w:val="top"/>
          </w:tcPr>
          <w:p>
            <w:pPr>
              <w:autoSpaceDE w:val="0"/>
              <w:autoSpaceDN w:val="0"/>
              <w:adjustRightInd w:val="0"/>
              <w:spacing w:line="360" w:lineRule="auto"/>
              <w:ind w:firstLine="315" w:firstLineChars="150"/>
              <w:jc w:val="right"/>
              <w:rPr>
                <w:rFonts w:hint="eastAsia" w:ascii="宋体" w:hAnsi="宋体" w:eastAsia="宋体" w:cs="宋体"/>
                <w:vertAlign w:val="baseline"/>
                <w:lang w:val="zh-CN"/>
              </w:rPr>
            </w:pPr>
            <w:r>
              <w:rPr>
                <w:rFonts w:hint="eastAsia" w:ascii="宋体" w:hAnsi="宋体" w:eastAsia="宋体" w:cs="宋体"/>
                <w:kern w:val="0"/>
                <w:szCs w:val="21"/>
                <w:highlight w:val="none"/>
              </w:rPr>
              <w:t>投标人：（加盖投标人法人公章）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tcBorders>
              <w:top w:val="nil"/>
              <w:left w:val="nil"/>
              <w:bottom w:val="nil"/>
              <w:right w:val="nil"/>
            </w:tcBorders>
            <w:vAlign w:val="top"/>
          </w:tcPr>
          <w:p>
            <w:pPr>
              <w:spacing w:line="360" w:lineRule="auto"/>
              <w:jc w:val="right"/>
              <w:rPr>
                <w:rFonts w:hint="eastAsia" w:ascii="宋体" w:hAnsi="宋体" w:eastAsia="宋体" w:cs="宋体"/>
                <w:vertAlign w:val="baseline"/>
                <w:lang w:val="zh-CN"/>
              </w:rPr>
            </w:pPr>
            <w:r>
              <w:rPr>
                <w:rFonts w:hint="eastAsia" w:ascii="宋体" w:hAnsi="宋体" w:eastAsia="宋体" w:cs="宋体"/>
                <w:kern w:val="0"/>
                <w:szCs w:val="21"/>
                <w:highlight w:val="none"/>
              </w:rPr>
              <w:t>日期：   年   月   日</w:t>
            </w:r>
          </w:p>
        </w:tc>
      </w:tr>
    </w:tbl>
    <w:p>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15"/>
      <w:bookmarkEnd w:id="516"/>
      <w:bookmarkEnd w:id="517"/>
      <w:bookmarkEnd w:id="518"/>
      <w:bookmarkEnd w:id="519"/>
      <w:bookmarkEnd w:id="520"/>
      <w:bookmarkEnd w:id="521"/>
      <w:bookmarkEnd w:id="522"/>
      <w:bookmarkEnd w:id="523"/>
      <w:bookmarkEnd w:id="524"/>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28" w:name="_Toc102860075"/>
      <w:bookmarkStart w:id="529" w:name="_Toc142508370"/>
      <w:bookmarkStart w:id="530" w:name="_Toc31420"/>
      <w:bookmarkStart w:id="531" w:name="_Toc104991876"/>
      <w:bookmarkStart w:id="532" w:name="_Toc102860419"/>
      <w:bookmarkStart w:id="533" w:name="_Toc508"/>
      <w:bookmarkStart w:id="534" w:name="_Toc140596929"/>
      <w:bookmarkStart w:id="535" w:name="_Toc94107210"/>
      <w:bookmarkStart w:id="536" w:name="_Toc28382"/>
      <w:bookmarkStart w:id="537"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28"/>
      <w:bookmarkEnd w:id="529"/>
      <w:bookmarkEnd w:id="530"/>
      <w:bookmarkEnd w:id="531"/>
      <w:bookmarkEnd w:id="532"/>
      <w:bookmarkEnd w:id="533"/>
      <w:bookmarkEnd w:id="534"/>
      <w:bookmarkEnd w:id="535"/>
      <w:bookmarkEnd w:id="536"/>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38" w:name="_Toc140596930"/>
      <w:bookmarkStart w:id="539" w:name="_Toc26345"/>
      <w:bookmarkStart w:id="540" w:name="_Toc102860420"/>
      <w:bookmarkStart w:id="541" w:name="_Toc142508371"/>
      <w:bookmarkStart w:id="542" w:name="_Toc102860076"/>
      <w:bookmarkStart w:id="543" w:name="_Toc9489"/>
      <w:bookmarkStart w:id="544" w:name="_Toc1033"/>
      <w:bookmarkStart w:id="545" w:name="_Toc104991877"/>
      <w:bookmarkStart w:id="546" w:name="_Toc9410721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38"/>
      <w:bookmarkEnd w:id="539"/>
      <w:bookmarkEnd w:id="540"/>
      <w:bookmarkEnd w:id="541"/>
      <w:bookmarkEnd w:id="542"/>
      <w:bookmarkEnd w:id="543"/>
      <w:bookmarkEnd w:id="544"/>
      <w:bookmarkEnd w:id="545"/>
      <w:bookmarkEnd w:id="546"/>
    </w:p>
    <w:p>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47" w:name="_Toc102860421"/>
      <w:bookmarkStart w:id="548" w:name="_Toc94107212"/>
      <w:bookmarkStart w:id="549" w:name="_Toc104991878"/>
      <w:bookmarkStart w:id="550" w:name="_Toc142508372"/>
      <w:bookmarkStart w:id="551" w:name="_Toc7718"/>
      <w:bookmarkStart w:id="552" w:name="_Toc21657"/>
      <w:bookmarkStart w:id="553" w:name="_Toc644"/>
      <w:bookmarkStart w:id="554" w:name="_Toc102860077"/>
      <w:bookmarkStart w:id="555" w:name="_Toc14059693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47"/>
      <w:bookmarkEnd w:id="548"/>
      <w:bookmarkEnd w:id="549"/>
      <w:bookmarkEnd w:id="550"/>
      <w:bookmarkEnd w:id="551"/>
      <w:bookmarkEnd w:id="552"/>
      <w:bookmarkEnd w:id="553"/>
      <w:bookmarkEnd w:id="554"/>
      <w:bookmarkEnd w:id="555"/>
    </w:p>
    <w:p>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25"/>
      <w:bookmarkEnd w:id="526"/>
      <w:bookmarkEnd w:id="527"/>
      <w:bookmarkEnd w:id="537"/>
    </w:p>
    <w:p>
      <w:pPr>
        <w:spacing w:before="120" w:after="120" w:line="360" w:lineRule="auto"/>
        <w:ind w:firstLine="608" w:firstLineChars="202"/>
        <w:jc w:val="center"/>
        <w:rPr>
          <w:rFonts w:ascii="宋体" w:hAnsi="宋体" w:eastAsia="宋体" w:cs="宋体"/>
          <w:b/>
          <w:bCs/>
          <w:color w:val="auto"/>
          <w:sz w:val="30"/>
          <w:szCs w:val="30"/>
          <w:highlight w:val="none"/>
        </w:rPr>
      </w:pPr>
      <w:bookmarkStart w:id="556" w:name="_Toc11033_WPSOffice_Level3"/>
      <w:r>
        <w:rPr>
          <w:rFonts w:hint="eastAsia" w:ascii="宋体" w:hAnsi="宋体" w:eastAsia="宋体" w:cs="宋体"/>
          <w:b/>
          <w:color w:val="auto"/>
          <w:sz w:val="30"/>
          <w:szCs w:val="30"/>
          <w:highlight w:val="none"/>
        </w:rPr>
        <w:t>法定代</w:t>
      </w:r>
      <w:bookmarkStart w:id="557" w:name="_Toc36971359"/>
      <w:bookmarkStart w:id="558" w:name="_Toc45995270"/>
      <w:r>
        <w:rPr>
          <w:rFonts w:hint="eastAsia" w:ascii="宋体" w:hAnsi="宋体" w:eastAsia="宋体" w:cs="宋体"/>
          <w:b/>
          <w:color w:val="auto"/>
          <w:sz w:val="30"/>
          <w:szCs w:val="30"/>
          <w:highlight w:val="none"/>
        </w:rPr>
        <w:t>表人身份证明书</w:t>
      </w:r>
      <w:bookmarkEnd w:id="556"/>
    </w:p>
    <w:bookmarkEnd w:id="557"/>
    <w:bookmarkEnd w:id="558"/>
    <w:p>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color w:val="auto"/>
          <w:kern w:val="0"/>
          <w:sz w:val="24"/>
          <w:szCs w:val="24"/>
          <w:highlight w:val="none"/>
        </w:rPr>
      </w:pPr>
    </w:p>
    <w:p>
      <w:pPr>
        <w:autoSpaceDE w:val="0"/>
        <w:autoSpaceDN w:val="0"/>
        <w:adjustRightInd w:val="0"/>
        <w:jc w:val="left"/>
        <w:rPr>
          <w:rFonts w:ascii="宋体" w:hAnsi="宋体" w:eastAsia="宋体" w:cs="宋体"/>
          <w:b/>
          <w:color w:val="auto"/>
          <w:kern w:val="0"/>
          <w:szCs w:val="21"/>
          <w:highlight w:val="none"/>
        </w:rPr>
      </w:pPr>
    </w:p>
    <w:p>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rPr>
          <w:rFonts w:ascii="宋体" w:hAnsi="宋体" w:eastAsia="宋体" w:cs="宋体"/>
          <w:color w:val="auto"/>
          <w:kern w:val="0"/>
          <w:szCs w:val="21"/>
          <w:highlight w:val="none"/>
        </w:rPr>
      </w:pPr>
    </w:p>
    <w:p>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62"/>
      <w:bookmarkEnd w:id="463"/>
      <w:bookmarkEnd w:id="464"/>
      <w:bookmarkStart w:id="559" w:name="_Toc6240_WPSOffice_Level2"/>
      <w:bookmarkStart w:id="560" w:name="_Toc1977727"/>
      <w:bookmarkStart w:id="561" w:name="_Toc486167713"/>
      <w:bookmarkStart w:id="562" w:name="_Toc533708125"/>
      <w:r>
        <w:rPr>
          <w:rFonts w:hint="eastAsia" w:ascii="宋体" w:hAnsi="宋体" w:eastAsia="宋体" w:cs="宋体"/>
          <w:b/>
          <w:color w:val="auto"/>
          <w:szCs w:val="24"/>
          <w:highlight w:val="none"/>
        </w:rPr>
        <w:t>（2）法定代表人授权书格式</w:t>
      </w:r>
      <w:bookmarkEnd w:id="559"/>
      <w:bookmarkEnd w:id="560"/>
      <w:bookmarkEnd w:id="561"/>
      <w:bookmarkEnd w:id="562"/>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63" w:name="_Toc29146_WPSOffice_Level3"/>
      <w:r>
        <w:rPr>
          <w:rFonts w:hint="eastAsia" w:ascii="宋体" w:hAnsi="宋体" w:eastAsia="宋体" w:cs="宋体"/>
          <w:b/>
          <w:bCs/>
          <w:color w:val="auto"/>
          <w:sz w:val="30"/>
          <w:szCs w:val="30"/>
          <w:highlight w:val="none"/>
          <w:lang w:val="zh-CN"/>
        </w:rPr>
        <w:t>法定代表人授权书</w:t>
      </w:r>
      <w:bookmarkEnd w:id="563"/>
    </w:p>
    <w:p>
      <w:pPr>
        <w:autoSpaceDE w:val="0"/>
        <w:autoSpaceDN w:val="0"/>
        <w:adjustRightInd w:val="0"/>
        <w:spacing w:line="360" w:lineRule="auto"/>
        <w:jc w:val="center"/>
        <w:rPr>
          <w:rFonts w:ascii="宋体" w:hAnsi="宋体" w:eastAsia="宋体" w:cs="宋体"/>
          <w:color w:val="auto"/>
          <w:szCs w:val="28"/>
          <w:highlight w:val="none"/>
          <w:lang w:val="zh-CN"/>
        </w:rPr>
      </w:pPr>
    </w:p>
    <w:p>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致：东莞市置拓投资有限公司</w:t>
      </w:r>
    </w:p>
    <w:p>
      <w:pPr>
        <w:spacing w:before="0" w:after="0" w:line="360" w:lineRule="auto"/>
        <w:ind w:firstLine="630" w:firstLineChars="30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p>
    <w:p>
      <w:pPr>
        <w:spacing w:before="0" w:after="0" w:line="360" w:lineRule="auto"/>
        <w:ind w:firstLine="0" w:firstLineChars="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p>
    <w:p>
      <w:pPr>
        <w:spacing w:before="0" w:after="0" w:line="360" w:lineRule="auto"/>
        <w:ind w:firstLine="0" w:firstLineChars="0"/>
        <w:rPr>
          <w:rFonts w:ascii="宋体" w:hAnsi="宋体" w:eastAsia="宋体" w:cs="宋体"/>
          <w:color w:val="auto"/>
          <w:szCs w:val="21"/>
          <w:highlight w:val="none"/>
        </w:rPr>
      </w:pP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东莞市置拓投资有限公司水业大厦食堂设备设施采购项目</w:t>
      </w:r>
      <w:r>
        <w:rPr>
          <w:rFonts w:hint="eastAsia" w:ascii="宋体" w:hAnsi="宋体" w:eastAsia="宋体" w:cs="宋体"/>
          <w:color w:val="auto"/>
          <w:szCs w:val="21"/>
          <w:highlight w:val="none"/>
          <w:u w:val="single"/>
          <w:lang w:val="zh-CN"/>
        </w:rPr>
        <w:t>（招标编号：0832-SFCX25DG030A）</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rPr>
          <w:rFonts w:ascii="宋体" w:hAnsi="宋体" w:eastAsia="宋体" w:cs="宋体"/>
          <w:color w:val="auto"/>
          <w:szCs w:val="24"/>
          <w:highlight w:val="none"/>
        </w:rPr>
      </w:pP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Style w:val="6"/>
        <w:pageBreakBefore/>
        <w:spacing w:line="360" w:lineRule="auto"/>
        <w:jc w:val="center"/>
        <w:outlineLvl w:val="9"/>
        <w:rPr>
          <w:rFonts w:hint="eastAsia" w:ascii="宋体" w:hAnsi="宋体" w:eastAsia="宋体" w:cs="宋体"/>
          <w:b/>
          <w:color w:val="auto"/>
          <w:sz w:val="32"/>
          <w:szCs w:val="32"/>
          <w:highlight w:val="none"/>
          <w:lang w:val="zh-CN" w:eastAsia="zh-CN"/>
        </w:rPr>
      </w:pPr>
      <w:bookmarkStart w:id="564" w:name="_Toc13114"/>
      <w:bookmarkStart w:id="565" w:name="_Toc30070"/>
      <w:bookmarkStart w:id="566" w:name="_Toc8338"/>
      <w:bookmarkStart w:id="567" w:name="_Toc104991880"/>
      <w:bookmarkStart w:id="568" w:name="_Toc140596933"/>
      <w:bookmarkStart w:id="569" w:name="_Toc1977730"/>
      <w:bookmarkStart w:id="570" w:name="_Toc142508373"/>
      <w:bookmarkStart w:id="571" w:name="_Toc94107214"/>
      <w:r>
        <w:rPr>
          <w:rFonts w:hint="eastAsia" w:hAnsi="宋体"/>
          <w:b/>
          <w:bCs/>
          <w:color w:val="auto"/>
          <w:kern w:val="2"/>
          <w:sz w:val="32"/>
          <w:szCs w:val="32"/>
          <w:highlight w:val="none"/>
          <w:lang w:val="en-US" w:eastAsia="zh-CN"/>
        </w:rPr>
        <w:t xml:space="preserve">5.4 </w:t>
      </w:r>
      <w:r>
        <w:rPr>
          <w:rFonts w:hint="eastAsia" w:hAnsi="宋体"/>
          <w:b/>
          <w:bCs/>
          <w:color w:val="auto"/>
          <w:kern w:val="2"/>
          <w:sz w:val="32"/>
          <w:szCs w:val="32"/>
          <w:highlight w:val="none"/>
        </w:rPr>
        <w:t>资格业绩</w:t>
      </w:r>
      <w:bookmarkEnd w:id="564"/>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投标人202</w:t>
      </w:r>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rPr>
        <w:t>年1月1日以来</w:t>
      </w:r>
      <w:r>
        <w:rPr>
          <w:rFonts w:hint="eastAsia" w:ascii="宋体" w:hAnsi="宋体" w:eastAsia="宋体" w:cs="宋体"/>
          <w:b/>
          <w:bCs/>
          <w:color w:val="auto"/>
          <w:sz w:val="32"/>
          <w:szCs w:val="32"/>
          <w:lang w:val="en-US" w:eastAsia="zh-CN"/>
        </w:rPr>
        <w:t>具有一份</w:t>
      </w:r>
      <w:r>
        <w:rPr>
          <w:rFonts w:hint="eastAsia" w:ascii="宋体" w:hAnsi="宋体" w:eastAsia="宋体" w:cs="宋体"/>
          <w:b/>
          <w:bCs/>
          <w:color w:val="auto"/>
          <w:sz w:val="32"/>
          <w:szCs w:val="32"/>
        </w:rPr>
        <w:t>食堂</w:t>
      </w:r>
      <w:r>
        <w:rPr>
          <w:rFonts w:hint="eastAsia" w:ascii="宋体" w:hAnsi="宋体" w:eastAsia="宋体" w:cs="宋体"/>
          <w:b/>
          <w:bCs/>
          <w:color w:val="auto"/>
          <w:sz w:val="32"/>
          <w:szCs w:val="32"/>
          <w:lang w:val="en-US" w:eastAsia="zh-CN"/>
        </w:rPr>
        <w:t>厨房</w:t>
      </w:r>
      <w:r>
        <w:rPr>
          <w:rFonts w:hint="eastAsia" w:ascii="宋体" w:hAnsi="宋体" w:eastAsia="宋体" w:cs="宋体"/>
          <w:b/>
          <w:bCs/>
          <w:color w:val="auto"/>
          <w:sz w:val="32"/>
          <w:szCs w:val="32"/>
        </w:rPr>
        <w:t>设备</w:t>
      </w:r>
      <w:r>
        <w:rPr>
          <w:rFonts w:hint="eastAsia" w:ascii="宋体" w:hAnsi="宋体" w:eastAsia="宋体" w:cs="宋体"/>
          <w:b/>
          <w:bCs/>
          <w:color w:val="auto"/>
          <w:sz w:val="32"/>
          <w:szCs w:val="32"/>
          <w:lang w:val="en-US" w:eastAsia="zh-CN"/>
        </w:rPr>
        <w:t>供货</w:t>
      </w:r>
      <w:r>
        <w:rPr>
          <w:rFonts w:hint="eastAsia" w:ascii="宋体" w:hAnsi="宋体" w:eastAsia="宋体" w:cs="宋体"/>
          <w:b/>
          <w:bCs/>
          <w:color w:val="auto"/>
          <w:sz w:val="32"/>
          <w:szCs w:val="32"/>
        </w:rPr>
        <w:t>业绩（</w:t>
      </w:r>
      <w:r>
        <w:rPr>
          <w:rFonts w:hint="eastAsia" w:ascii="宋体" w:hAnsi="宋体" w:eastAsia="宋体" w:cs="宋体"/>
          <w:b/>
          <w:bCs/>
          <w:color w:val="auto"/>
          <w:sz w:val="32"/>
          <w:szCs w:val="32"/>
          <w:lang w:val="en-US" w:eastAsia="zh-CN"/>
        </w:rPr>
        <w:t>合同</w:t>
      </w:r>
      <w:r>
        <w:rPr>
          <w:rFonts w:hint="eastAsia" w:hAnsi="宋体" w:cs="宋体"/>
          <w:b/>
          <w:bCs/>
          <w:color w:val="auto"/>
          <w:sz w:val="32"/>
          <w:szCs w:val="32"/>
          <w:lang w:val="en-US" w:eastAsia="zh-CN"/>
        </w:rPr>
        <w:t>标的供货</w:t>
      </w:r>
      <w:r>
        <w:rPr>
          <w:rFonts w:hint="eastAsia" w:ascii="宋体" w:hAnsi="宋体" w:eastAsia="宋体" w:cs="宋体"/>
          <w:b/>
          <w:bCs/>
          <w:color w:val="auto"/>
          <w:sz w:val="32"/>
          <w:szCs w:val="32"/>
          <w:lang w:val="en-US" w:eastAsia="zh-CN"/>
        </w:rPr>
        <w:t>内容须同时包含厨房油烟净化设备、洗碗设备、冷藏/冷冻设备、炉灶设备，</w:t>
      </w:r>
      <w:r>
        <w:rPr>
          <w:rFonts w:hint="eastAsia" w:ascii="宋体" w:hAnsi="宋体" w:eastAsia="宋体" w:cs="宋体"/>
          <w:b/>
          <w:bCs/>
          <w:color w:val="auto"/>
          <w:sz w:val="32"/>
          <w:szCs w:val="32"/>
          <w:lang w:val="zh-CN"/>
        </w:rPr>
        <w:t>合同签订日期为202</w:t>
      </w:r>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lang w:val="zh-CN"/>
        </w:rPr>
        <w:t>年1月1日或以后</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lang w:eastAsia="zh-CN"/>
        </w:rPr>
        <w:t>】</w:t>
      </w:r>
      <w:bookmarkEnd w:id="565"/>
      <w:bookmarkEnd w:id="566"/>
    </w:p>
    <w:tbl>
      <w:tblPr>
        <w:tblStyle w:val="37"/>
        <w:tblW w:w="475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0"/>
        <w:gridCol w:w="1072"/>
        <w:gridCol w:w="1928"/>
        <w:gridCol w:w="1861"/>
        <w:gridCol w:w="2411"/>
        <w:gridCol w:w="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val="zh-CN"/>
              </w:rPr>
              <w:t>序号</w:t>
            </w:r>
          </w:p>
        </w:tc>
        <w:tc>
          <w:tcPr>
            <w:tcW w:w="6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val="zh-CN"/>
              </w:rPr>
              <w:t>项目名称</w:t>
            </w:r>
          </w:p>
        </w:tc>
        <w:tc>
          <w:tcPr>
            <w:tcW w:w="109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合同标的货物名称</w:t>
            </w:r>
          </w:p>
        </w:tc>
        <w:tc>
          <w:tcPr>
            <w:tcW w:w="10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val="zh-CN"/>
              </w:rPr>
              <w:t>合同签订日期</w:t>
            </w:r>
          </w:p>
        </w:tc>
        <w:tc>
          <w:tcPr>
            <w:tcW w:w="13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rPr>
            </w:pPr>
            <w:r>
              <w:rPr>
                <w:rFonts w:hint="eastAsia" w:ascii="宋体" w:hAnsi="宋体" w:eastAsia="宋体" w:cs="Times New Roman"/>
                <w:color w:val="auto"/>
                <w:kern w:val="0"/>
                <w:szCs w:val="21"/>
                <w:lang w:val="zh-CN"/>
              </w:rPr>
              <w:t>买方单位联系人及电话</w:t>
            </w:r>
          </w:p>
        </w:tc>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lang w:val="zh-CN"/>
              </w:rPr>
            </w:pPr>
            <w:r>
              <w:rPr>
                <w:rFonts w:ascii="宋体" w:hAnsi="宋体" w:eastAsia="宋体" w:cs="Times New Roman"/>
                <w:color w:val="auto"/>
                <w:kern w:val="0"/>
                <w:szCs w:val="21"/>
                <w:lang w:val="zh-CN"/>
              </w:rPr>
              <w:t>1</w:t>
            </w:r>
          </w:p>
        </w:tc>
        <w:tc>
          <w:tcPr>
            <w:tcW w:w="6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109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10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13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lang w:val="zh-CN"/>
              </w:rPr>
            </w:pPr>
            <w:r>
              <w:rPr>
                <w:rFonts w:ascii="宋体" w:hAnsi="宋体" w:eastAsia="宋体" w:cs="Times New Roman"/>
                <w:color w:val="auto"/>
                <w:kern w:val="0"/>
                <w:szCs w:val="21"/>
                <w:lang w:val="zh-CN"/>
              </w:rPr>
              <w:t>2</w:t>
            </w:r>
          </w:p>
        </w:tc>
        <w:tc>
          <w:tcPr>
            <w:tcW w:w="6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109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10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13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lang w:val="zh-CN"/>
              </w:rPr>
            </w:pPr>
            <w:r>
              <w:rPr>
                <w:rFonts w:ascii="宋体" w:hAnsi="宋体" w:eastAsia="宋体" w:cs="Times New Roman"/>
                <w:color w:val="auto"/>
                <w:kern w:val="0"/>
                <w:szCs w:val="21"/>
                <w:lang w:val="zh-CN"/>
              </w:rPr>
              <w:t>3</w:t>
            </w:r>
          </w:p>
        </w:tc>
        <w:tc>
          <w:tcPr>
            <w:tcW w:w="6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109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10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13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r>
              <w:rPr>
                <w:rFonts w:ascii="宋体" w:hAnsi="宋体" w:eastAsia="宋体" w:cs="Courier New"/>
                <w:color w:val="auto"/>
                <w:kern w:val="0"/>
                <w:szCs w:val="21"/>
              </w:rPr>
              <w:t>…</w:t>
            </w:r>
          </w:p>
        </w:tc>
        <w:tc>
          <w:tcPr>
            <w:tcW w:w="6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109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10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136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c>
          <w:tcPr>
            <w:tcW w:w="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rPr>
            </w:pPr>
          </w:p>
        </w:tc>
      </w:tr>
    </w:tbl>
    <w:p>
      <w:pPr>
        <w:spacing w:line="360" w:lineRule="auto"/>
        <w:ind w:left="424" w:hanging="424" w:hangingChars="201"/>
        <w:rPr>
          <w:rFonts w:hint="eastAsia" w:ascii="宋体" w:hAnsi="宋体" w:eastAsia="宋体" w:cs="宋体"/>
          <w:b/>
          <w:color w:val="auto"/>
          <w:szCs w:val="21"/>
          <w:highlight w:val="none"/>
          <w:lang w:val="zh-CN"/>
        </w:rPr>
      </w:pPr>
    </w:p>
    <w:p>
      <w:pPr>
        <w:tabs>
          <w:tab w:val="left" w:pos="567"/>
        </w:tabs>
        <w:autoSpaceDE w:val="0"/>
        <w:autoSpaceDN w:val="0"/>
        <w:adjustRightInd w:val="0"/>
        <w:spacing w:line="360" w:lineRule="auto"/>
        <w:ind w:left="422" w:hanging="422" w:hangingChars="200"/>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pPr>
        <w:spacing w:line="360" w:lineRule="auto"/>
        <w:ind w:left="422" w:hanging="422" w:hangingChars="201"/>
        <w:rPr>
          <w:rFonts w:ascii="宋体" w:hAnsi="宋体" w:eastAsia="宋体" w:cs="宋体"/>
          <w:color w:val="auto"/>
          <w:szCs w:val="21"/>
          <w:lang w:val="zh-CN"/>
        </w:rPr>
      </w:pPr>
      <w:r>
        <w:rPr>
          <w:rFonts w:hint="eastAsia" w:ascii="宋体" w:hAnsi="宋体" w:eastAsia="宋体" w:cs="宋体"/>
          <w:color w:val="auto"/>
          <w:szCs w:val="21"/>
          <w:lang w:val="zh-CN"/>
        </w:rPr>
        <w:t>（1）作为投标人资格条件证明的业绩放置在此处；</w:t>
      </w:r>
    </w:p>
    <w:p>
      <w:pPr>
        <w:spacing w:line="360" w:lineRule="auto"/>
        <w:ind w:left="525"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（2）业绩须附买方的合同复印件（</w:t>
      </w:r>
      <w:r>
        <w:rPr>
          <w:rFonts w:hint="eastAsia" w:ascii="宋体" w:hAnsi="宋体" w:eastAsia="宋体" w:cs="宋体"/>
          <w:color w:val="auto"/>
          <w:szCs w:val="21"/>
          <w:lang w:val="en-US" w:eastAsia="zh-CN"/>
        </w:rPr>
        <w:t>合同卖</w:t>
      </w:r>
      <w:r>
        <w:rPr>
          <w:rFonts w:hint="eastAsia" w:ascii="宋体" w:hAnsi="宋体" w:eastAsia="宋体" w:cs="宋体"/>
          <w:color w:val="auto"/>
          <w:szCs w:val="21"/>
          <w:lang w:val="zh-CN"/>
        </w:rPr>
        <w:t>方</w:t>
      </w:r>
      <w:r>
        <w:rPr>
          <w:rFonts w:hint="eastAsia" w:ascii="宋体" w:hAnsi="宋体" w:eastAsia="宋体" w:cs="宋体"/>
          <w:color w:val="auto"/>
          <w:szCs w:val="21"/>
          <w:lang w:val="en-US" w:eastAsia="zh-CN"/>
        </w:rPr>
        <w:t>必</w:t>
      </w:r>
      <w:r>
        <w:rPr>
          <w:rFonts w:hint="eastAsia" w:ascii="宋体" w:hAnsi="宋体" w:eastAsia="宋体" w:cs="宋体"/>
          <w:color w:val="auto"/>
          <w:szCs w:val="21"/>
          <w:lang w:val="zh-CN"/>
        </w:rPr>
        <w:t>须为投标人）。</w:t>
      </w:r>
      <w:r>
        <w:rPr>
          <w:rFonts w:hint="eastAsia" w:ascii="宋体" w:hAnsi="宋体" w:eastAsia="宋体" w:cs="宋体"/>
          <w:color w:val="auto"/>
          <w:szCs w:val="21"/>
          <w:lang w:val="en-US" w:eastAsia="zh-CN"/>
        </w:rPr>
        <w:t>若合同无法反映合同签订时间，合同标的货物名称，还需提供设备购买方出具的书面补充情况说明文件复印件作为辅助证明</w:t>
      </w:r>
      <w:r>
        <w:rPr>
          <w:rFonts w:hint="eastAsia" w:ascii="宋体" w:hAnsi="宋体" w:eastAsia="宋体" w:cs="宋体"/>
          <w:color w:val="auto"/>
          <w:szCs w:val="21"/>
          <w:lang w:val="zh-CN"/>
        </w:rPr>
        <w:t>；</w:t>
      </w:r>
    </w:p>
    <w:p>
      <w:pPr>
        <w:spacing w:line="360" w:lineRule="auto"/>
        <w:ind w:left="525"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3</w:t>
      </w:r>
      <w:r>
        <w:rPr>
          <w:rFonts w:hint="eastAsia" w:ascii="宋体" w:hAnsi="宋体" w:eastAsia="宋体" w:cs="宋体"/>
          <w:color w:val="auto"/>
          <w:szCs w:val="21"/>
          <w:lang w:val="zh-CN"/>
        </w:rPr>
        <w:t>）合同业绩证明材料必须</w:t>
      </w:r>
      <w:r>
        <w:rPr>
          <w:rFonts w:hint="eastAsia" w:ascii="宋体" w:hAnsi="宋体" w:eastAsia="宋体" w:cs="宋体"/>
          <w:color w:val="auto"/>
          <w:szCs w:val="21"/>
          <w:lang w:val="en-US" w:eastAsia="zh-CN"/>
        </w:rPr>
        <w:t>满足下列</w:t>
      </w:r>
      <w:r>
        <w:rPr>
          <w:rFonts w:hint="eastAsia" w:ascii="宋体" w:hAnsi="宋体" w:eastAsia="宋体" w:cs="宋体"/>
          <w:color w:val="auto"/>
          <w:szCs w:val="21"/>
          <w:lang w:val="zh-CN"/>
        </w:rPr>
        <w:t>条件：①合同签订日期为202</w:t>
      </w: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rPr>
        <w:t>年1月1日或以后；②</w:t>
      </w:r>
      <w:r>
        <w:rPr>
          <w:rFonts w:hint="eastAsia" w:ascii="宋体" w:hAnsi="宋体" w:eastAsia="宋体" w:cs="宋体"/>
          <w:color w:val="auto"/>
          <w:szCs w:val="21"/>
          <w:lang w:val="zh-CN" w:eastAsia="zh-CN"/>
        </w:rPr>
        <w:t>合同标的供货内容须同时包含厨房油烟净化设备、洗碗设备、冷藏/冷冻设备、炉灶设备</w:t>
      </w:r>
      <w:r>
        <w:rPr>
          <w:rFonts w:hint="eastAsia" w:ascii="宋体" w:hAnsi="宋体" w:eastAsia="宋体" w:cs="宋体"/>
          <w:color w:val="auto"/>
          <w:szCs w:val="21"/>
          <w:lang w:val="zh-CN"/>
        </w:rPr>
        <w:t>。</w:t>
      </w:r>
    </w:p>
    <w:p>
      <w:pPr>
        <w:tabs>
          <w:tab w:val="left" w:pos="567"/>
        </w:tabs>
        <w:autoSpaceDE w:val="0"/>
        <w:autoSpaceDN w:val="0"/>
        <w:adjustRightInd w:val="0"/>
        <w:spacing w:line="360" w:lineRule="auto"/>
        <w:ind w:left="422" w:hanging="422" w:hangingChars="200"/>
        <w:jc w:val="left"/>
        <w:outlineLvl w:val="9"/>
        <w:rPr>
          <w:rFonts w:hint="eastAsia" w:ascii="宋体" w:hAnsi="宋体" w:eastAsia="宋体" w:cs="宋体"/>
          <w:b/>
          <w:color w:val="auto"/>
          <w:szCs w:val="21"/>
          <w:highlight w:val="none"/>
          <w:lang w:val="zh-CN"/>
        </w:rPr>
      </w:pPr>
      <w:bookmarkStart w:id="572" w:name="_Toc6253"/>
      <w:bookmarkStart w:id="573" w:name="_Toc14967"/>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572"/>
      <w:bookmarkEnd w:id="573"/>
      <w:r>
        <w:rPr>
          <w:rFonts w:hint="eastAsia" w:ascii="宋体" w:hAnsi="宋体" w:eastAsia="宋体" w:cs="宋体"/>
          <w:b/>
          <w:color w:val="auto"/>
          <w:szCs w:val="21"/>
          <w:highlight w:val="none"/>
          <w:lang w:val="zh-CN"/>
        </w:rPr>
        <w:t>未按上述要求在此格式下提供证明材料的业绩，或在此格式下所附材料无法证明符合资格要求</w:t>
      </w:r>
    </w:p>
    <w:p>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leftChars="250"/>
        <w:jc w:val="left"/>
        <w:textAlignment w:val="auto"/>
        <w:outlineLvl w:val="9"/>
        <w:rPr>
          <w:rFonts w:ascii="宋体" w:hAnsi="宋体" w:eastAsia="宋体" w:cs="宋体"/>
          <w:b/>
          <w:color w:val="auto"/>
          <w:kern w:val="0"/>
          <w:sz w:val="30"/>
          <w:szCs w:val="30"/>
          <w:highlight w:val="none"/>
        </w:rPr>
      </w:pPr>
      <w:r>
        <w:rPr>
          <w:rFonts w:hint="eastAsia" w:ascii="宋体" w:hAnsi="宋体" w:eastAsia="宋体" w:cs="宋体"/>
          <w:b/>
          <w:color w:val="auto"/>
          <w:szCs w:val="21"/>
          <w:highlight w:val="none"/>
          <w:lang w:val="zh-CN"/>
        </w:rPr>
        <w:t>的业绩，按无效投标文件处理。</w:t>
      </w:r>
    </w:p>
    <w:p>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574" w:name="_Toc25276"/>
      <w:bookmarkStart w:id="575" w:name="_Toc8979"/>
      <w:bookmarkStart w:id="576" w:name="_Toc31879"/>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67"/>
      <w:bookmarkEnd w:id="568"/>
      <w:bookmarkEnd w:id="569"/>
      <w:bookmarkEnd w:id="570"/>
      <w:bookmarkEnd w:id="571"/>
      <w:bookmarkEnd w:id="574"/>
      <w:bookmarkEnd w:id="575"/>
      <w:bookmarkEnd w:id="576"/>
    </w:p>
    <w:p>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autoSpaceDE w:val="0"/>
        <w:autoSpaceDN w:val="0"/>
        <w:adjustRightInd w:val="0"/>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pPr>
        <w:autoSpaceDE w:val="0"/>
        <w:autoSpaceDN w:val="0"/>
        <w:adjustRightInd w:val="0"/>
        <w:spacing w:line="360" w:lineRule="auto"/>
        <w:jc w:val="center"/>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firstLine="494" w:firstLineChars="206"/>
        <w:rPr>
          <w:rFonts w:ascii="宋体" w:hAnsi="宋体" w:eastAsia="宋体" w:cs="宋体"/>
          <w:color w:val="auto"/>
          <w:kern w:val="0"/>
          <w:sz w:val="24"/>
          <w:szCs w:val="24"/>
          <w:highlight w:val="none"/>
        </w:rPr>
      </w:pPr>
    </w:p>
    <w:p>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577" w:name="_Toc486167714"/>
      <w:bookmarkStart w:id="578" w:name="_Toc2031_WPSOffice_Level2"/>
      <w:bookmarkStart w:id="579" w:name="_Toc13237"/>
      <w:bookmarkStart w:id="580" w:name="_Toc102860423"/>
      <w:bookmarkStart w:id="581" w:name="_Toc533708126"/>
      <w:bookmarkStart w:id="582" w:name="_Toc142508374"/>
      <w:bookmarkStart w:id="583" w:name="_Toc94107215"/>
      <w:bookmarkStart w:id="584" w:name="_Toc102860079"/>
      <w:bookmarkStart w:id="585" w:name="_Toc140596934"/>
      <w:bookmarkStart w:id="586" w:name="_Toc104991881"/>
      <w:bookmarkStart w:id="587" w:name="_Toc1977731"/>
    </w:p>
    <w:p>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88" w:name="_Toc11148"/>
      <w:bookmarkStart w:id="589" w:name="_Toc15880"/>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77"/>
      <w:bookmarkEnd w:id="578"/>
      <w:bookmarkEnd w:id="579"/>
      <w:bookmarkEnd w:id="580"/>
      <w:bookmarkEnd w:id="581"/>
      <w:bookmarkEnd w:id="582"/>
      <w:bookmarkEnd w:id="583"/>
      <w:bookmarkEnd w:id="584"/>
      <w:bookmarkEnd w:id="585"/>
      <w:bookmarkEnd w:id="586"/>
      <w:bookmarkEnd w:id="587"/>
      <w:bookmarkEnd w:id="588"/>
      <w:bookmarkEnd w:id="589"/>
    </w:p>
    <w:p>
      <w:pPr>
        <w:autoSpaceDE w:val="0"/>
        <w:autoSpaceDN w:val="0"/>
        <w:adjustRightInd w:val="0"/>
        <w:spacing w:line="360" w:lineRule="auto"/>
        <w:jc w:val="center"/>
        <w:rPr>
          <w:rFonts w:ascii="宋体" w:hAnsi="宋体" w:eastAsia="宋体" w:cs="宋体"/>
          <w:b/>
          <w:bCs/>
          <w:color w:val="auto"/>
          <w:sz w:val="30"/>
          <w:szCs w:val="30"/>
          <w:highlight w:val="none"/>
        </w:rPr>
      </w:pPr>
      <w:bookmarkStart w:id="590" w:name="_Toc2773_WPSOffice_Level3"/>
      <w:r>
        <w:rPr>
          <w:rFonts w:hint="eastAsia" w:ascii="宋体" w:hAnsi="宋体" w:eastAsia="宋体" w:cs="宋体"/>
          <w:b/>
          <w:bCs/>
          <w:color w:val="auto"/>
          <w:sz w:val="30"/>
          <w:szCs w:val="30"/>
          <w:highlight w:val="none"/>
          <w:lang w:val="zh-CN"/>
        </w:rPr>
        <w:t>投标人基本情况一览表</w:t>
      </w:r>
      <w:bookmarkEnd w:id="590"/>
    </w:p>
    <w:p>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color w:val="auto"/>
          <w:szCs w:val="24"/>
          <w:highlight w:val="none"/>
        </w:rPr>
      </w:pPr>
    </w:p>
    <w:p>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91" w:name="_Toc3711"/>
      <w:bookmarkStart w:id="592" w:name="_Toc94107216"/>
      <w:bookmarkStart w:id="593" w:name="_Toc4495"/>
      <w:bookmarkStart w:id="594" w:name="_Toc104991882"/>
      <w:bookmarkStart w:id="595" w:name="_Toc102860424"/>
      <w:bookmarkStart w:id="596" w:name="_Toc142508375"/>
      <w:bookmarkStart w:id="597" w:name="_Toc102860080"/>
      <w:bookmarkStart w:id="598" w:name="_Toc140596935"/>
      <w:bookmarkStart w:id="599" w:name="_Toc4534"/>
      <w:bookmarkStart w:id="600" w:name="_Toc9051_WPSOffice_Level2"/>
      <w:bookmarkStart w:id="601" w:name="_Toc486167715"/>
      <w:bookmarkStart w:id="602" w:name="_Toc1977733"/>
      <w:bookmarkStart w:id="603" w:name="_Toc533708128"/>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91"/>
      <w:bookmarkEnd w:id="592"/>
      <w:bookmarkEnd w:id="593"/>
      <w:bookmarkEnd w:id="594"/>
      <w:bookmarkEnd w:id="595"/>
      <w:bookmarkEnd w:id="596"/>
      <w:bookmarkEnd w:id="597"/>
      <w:bookmarkEnd w:id="598"/>
      <w:bookmarkEnd w:id="599"/>
    </w:p>
    <w:p>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p>
        </w:tc>
      </w:tr>
    </w:tbl>
    <w:p>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pgBorders>
            <w:top w:val="none" w:sz="0" w:space="0"/>
            <w:left w:val="none" w:sz="0" w:space="0"/>
            <w:bottom w:val="none" w:sz="0" w:space="0"/>
            <w:right w:val="none" w:sz="0" w:space="0"/>
          </w:pgBorders>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none"/>
        </w:rPr>
        <w:t>日</w:t>
      </w:r>
    </w:p>
    <w:bookmarkEnd w:id="600"/>
    <w:bookmarkEnd w:id="601"/>
    <w:bookmarkEnd w:id="602"/>
    <w:bookmarkEnd w:id="603"/>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bookmarkStart w:id="604" w:name="_Toc169169444"/>
      <w:bookmarkStart w:id="605" w:name="_Toc23651"/>
      <w:bookmarkStart w:id="606" w:name="_Toc94107217"/>
      <w:bookmarkStart w:id="607" w:name="_Toc142508376"/>
      <w:bookmarkStart w:id="608" w:name="_Toc20034"/>
      <w:bookmarkStart w:id="609" w:name="_Toc140596936"/>
      <w:bookmarkStart w:id="610" w:name="_Toc104991883"/>
      <w:bookmarkStart w:id="611" w:name="_Toc102860081"/>
      <w:bookmarkStart w:id="612" w:name="_Toc15551"/>
      <w:bookmarkStart w:id="613" w:name="_Toc1977736"/>
      <w:bookmarkStart w:id="614" w:name="_Toc533708130"/>
      <w:bookmarkStart w:id="615" w:name="_Toc739_WPSOffice_Level2"/>
      <w:bookmarkStart w:id="616" w:name="_Toc486167716"/>
      <w:bookmarkStart w:id="617" w:name="_Toc102860425"/>
      <w:r>
        <w:rPr>
          <w:rFonts w:hint="eastAsia" w:ascii="宋体" w:hAnsi="宋体" w:eastAsia="宋体" w:cs="宋体"/>
          <w:b/>
          <w:color w:val="auto"/>
          <w:kern w:val="0"/>
          <w:sz w:val="32"/>
          <w:szCs w:val="32"/>
        </w:rPr>
        <w:t>八、</w:t>
      </w:r>
      <w:r>
        <w:rPr>
          <w:rFonts w:hint="eastAsia" w:ascii="宋体" w:hAnsi="宋体" w:eastAsia="宋体" w:cs="宋体"/>
          <w:b/>
          <w:color w:val="auto"/>
          <w:sz w:val="32"/>
          <w:szCs w:val="32"/>
        </w:rPr>
        <w:t>标准化</w:t>
      </w:r>
      <w:r>
        <w:rPr>
          <w:rFonts w:hint="eastAsia" w:ascii="宋体" w:hAnsi="宋体" w:eastAsia="宋体" w:cs="宋体"/>
          <w:b/>
          <w:color w:val="auto"/>
          <w:kern w:val="0"/>
          <w:sz w:val="32"/>
          <w:szCs w:val="32"/>
        </w:rPr>
        <w:t>体系认证</w:t>
      </w:r>
      <w:bookmarkEnd w:id="604"/>
      <w:bookmarkEnd w:id="605"/>
    </w:p>
    <w:p>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lang w:bidi="ar"/>
        </w:rPr>
      </w:pPr>
      <w:r>
        <w:rPr>
          <w:rFonts w:hint="eastAsia" w:ascii="宋体" w:hAnsi="宋体" w:eastAsia="宋体" w:cs="宋体"/>
          <w:bCs/>
          <w:color w:val="auto"/>
          <w:kern w:val="0"/>
          <w:szCs w:val="21"/>
          <w:lang w:bidi="ar"/>
        </w:rPr>
        <w:t>备注：投标人应提供</w:t>
      </w:r>
      <w:r>
        <w:rPr>
          <w:rFonts w:hint="eastAsia" w:ascii="宋体" w:hAnsi="宋体" w:eastAsia="宋体" w:cs="宋体"/>
          <w:bCs/>
          <w:color w:val="auto"/>
          <w:kern w:val="0"/>
          <w:szCs w:val="21"/>
          <w:lang w:val="en-US" w:eastAsia="zh-CN" w:bidi="ar"/>
        </w:rPr>
        <w:t>评审内容中要求的有效</w:t>
      </w:r>
      <w:r>
        <w:rPr>
          <w:rFonts w:hint="eastAsia" w:ascii="宋体" w:hAnsi="宋体" w:eastAsia="宋体" w:cs="宋体"/>
          <w:bCs/>
          <w:color w:val="auto"/>
          <w:kern w:val="0"/>
          <w:szCs w:val="21"/>
          <w:lang w:bidi="ar"/>
        </w:rPr>
        <w:t>证书复印件及能显示证书有效状态的全国认证认可信息公共服务平台（http://cx.cnca.cn/)查询结果凭证{凭证界面需显示有“全国认证认可信息公共服务平台”或“认证证书（需显示网址cx.cnca.cn）”}。</w:t>
      </w:r>
    </w:p>
    <w:p>
      <w:pPr>
        <w:pageBreakBefore/>
        <w:tabs>
          <w:tab w:val="left" w:pos="567"/>
        </w:tabs>
        <w:autoSpaceDE/>
        <w:autoSpaceDN/>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lang w:val="zh-CN"/>
        </w:rPr>
      </w:pPr>
      <w:bookmarkStart w:id="618" w:name="_Toc10492"/>
      <w:r>
        <w:rPr>
          <w:rFonts w:hint="eastAsia" w:ascii="宋体" w:hAnsi="宋体" w:eastAsia="宋体" w:cs="宋体"/>
          <w:b/>
          <w:color w:val="auto"/>
          <w:kern w:val="0"/>
          <w:sz w:val="32"/>
          <w:szCs w:val="32"/>
          <w:lang w:val="en-US" w:eastAsia="zh-CN"/>
        </w:rPr>
        <w:t>九</w:t>
      </w:r>
      <w:r>
        <w:rPr>
          <w:rFonts w:hint="eastAsia" w:ascii="宋体" w:hAnsi="宋体" w:eastAsia="宋体" w:cs="宋体"/>
          <w:b/>
          <w:color w:val="auto"/>
          <w:kern w:val="0"/>
          <w:sz w:val="32"/>
          <w:szCs w:val="32"/>
          <w:highlight w:val="none"/>
          <w:lang w:val="zh-CN"/>
        </w:rPr>
        <w:t>、合同条款偏离表格式</w:t>
      </w:r>
      <w:bookmarkEnd w:id="606"/>
      <w:bookmarkEnd w:id="607"/>
      <w:bookmarkEnd w:id="608"/>
      <w:bookmarkEnd w:id="609"/>
      <w:bookmarkEnd w:id="610"/>
      <w:bookmarkEnd w:id="611"/>
      <w:bookmarkEnd w:id="612"/>
      <w:bookmarkEnd w:id="613"/>
      <w:bookmarkEnd w:id="614"/>
      <w:bookmarkEnd w:id="615"/>
      <w:bookmarkEnd w:id="616"/>
      <w:bookmarkEnd w:id="617"/>
      <w:bookmarkEnd w:id="618"/>
    </w:p>
    <w:p>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619" w:name="_Toc26412_WPSOffice_Level3"/>
      <w:r>
        <w:rPr>
          <w:rFonts w:hint="eastAsia" w:ascii="宋体" w:hAnsi="宋体" w:eastAsia="宋体" w:cs="宋体"/>
          <w:b/>
          <w:bCs/>
          <w:color w:val="auto"/>
          <w:kern w:val="0"/>
          <w:sz w:val="28"/>
          <w:szCs w:val="30"/>
          <w:highlight w:val="none"/>
          <w:lang w:val="zh-CN"/>
        </w:rPr>
        <w:t>东莞市置拓投资有限公司水业大厦食堂设备设施采购项目合同条款偏离表</w:t>
      </w:r>
      <w:bookmarkEnd w:id="619"/>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rPr>
              <w:t>一</w:t>
            </w:r>
          </w:p>
        </w:tc>
        <w:tc>
          <w:tcPr>
            <w:tcW w:w="3055"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范围</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Times New Roman"/>
                <w:color w:val="auto"/>
                <w:kern w:val="0"/>
                <w:szCs w:val="21"/>
              </w:rPr>
              <w:t>二</w:t>
            </w:r>
          </w:p>
        </w:tc>
        <w:tc>
          <w:tcPr>
            <w:tcW w:w="3055"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本合同的供货及安装要求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rPr>
              <w:t>三</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合同价款</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rPr>
              <w:t>四</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付款方式</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rPr>
              <w:t>五</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合同组成</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rPr>
              <w:t>六</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技术要求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rPr>
              <w:t>七</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质量保证和出厂试验</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rPr>
              <w:t>八</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施工安全及其他要求</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rPr>
              <w:t>九</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包装、运输</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rPr>
              <w:t>十</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保险</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rPr>
              <w:t>十一</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货物的交付</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rPr>
              <w:t>十二</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安装、调试</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rPr>
              <w:t>十三</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验收</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autoSpaceDE w:val="0"/>
              <w:autoSpaceDN w:val="0"/>
              <w:adjustRightInd w:val="0"/>
              <w:spacing w:line="400" w:lineRule="exact"/>
              <w:jc w:val="center"/>
              <w:rPr>
                <w:rFonts w:ascii="宋体" w:hAnsi="宋体" w:eastAsia="宋体" w:cs="Times New Roman"/>
                <w:color w:val="auto"/>
                <w:kern w:val="0"/>
                <w:szCs w:val="21"/>
              </w:rPr>
            </w:pPr>
            <w:r>
              <w:rPr>
                <w:rFonts w:ascii="宋体" w:hAnsi="宋体" w:eastAsia="宋体" w:cs="宋体"/>
                <w:color w:val="auto"/>
                <w:kern w:val="0"/>
                <w:szCs w:val="21"/>
              </w:rPr>
              <w:t>十四</w:t>
            </w:r>
          </w:p>
        </w:tc>
        <w:tc>
          <w:tcPr>
            <w:tcW w:w="3055"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设备变更</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十五</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权利保证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十六</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质量保证及售后服务</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17</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十七</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履约担保</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rPr>
              <w:t>18</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rPr>
              <w:t>十八</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技术资料</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rPr>
              <w:t>19</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十九</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lang w:val="en-US" w:eastAsia="zh-CN"/>
              </w:rPr>
              <w:t>20</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lang w:eastAsia="zh-CN"/>
              </w:rPr>
              <w:t>二十</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lang w:val="en-US" w:eastAsia="zh-CN"/>
              </w:rPr>
              <w:t>21</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lang w:eastAsia="zh-CN"/>
              </w:rPr>
              <w:t>二十一</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22</w:t>
            </w:r>
          </w:p>
        </w:tc>
        <w:tc>
          <w:tcPr>
            <w:tcW w:w="1425" w:type="dxa"/>
            <w:vAlign w:val="center"/>
          </w:tcPr>
          <w:p>
            <w:pPr>
              <w:autoSpaceDE w:val="0"/>
              <w:autoSpaceDN w:val="0"/>
              <w:adjustRightInd w:val="0"/>
              <w:spacing w:line="400" w:lineRule="exact"/>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二十二</w:t>
            </w:r>
          </w:p>
        </w:tc>
        <w:tc>
          <w:tcPr>
            <w:tcW w:w="3055"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廉政保证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23</w:t>
            </w:r>
          </w:p>
        </w:tc>
        <w:tc>
          <w:tcPr>
            <w:tcW w:w="1425" w:type="dxa"/>
            <w:vAlign w:val="center"/>
          </w:tcPr>
          <w:p>
            <w:pPr>
              <w:autoSpaceDE w:val="0"/>
              <w:autoSpaceDN w:val="0"/>
              <w:adjustRightInd w:val="0"/>
              <w:spacing w:line="400" w:lineRule="exact"/>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二十三</w:t>
            </w:r>
          </w:p>
        </w:tc>
        <w:tc>
          <w:tcPr>
            <w:tcW w:w="3055"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4</w:t>
            </w:r>
          </w:p>
        </w:tc>
        <w:tc>
          <w:tcPr>
            <w:tcW w:w="1425" w:type="dxa"/>
            <w:vAlign w:val="center"/>
          </w:tcPr>
          <w:p>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二十四</w:t>
            </w:r>
          </w:p>
        </w:tc>
        <w:tc>
          <w:tcPr>
            <w:tcW w:w="3055"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5</w:t>
            </w:r>
          </w:p>
        </w:tc>
        <w:tc>
          <w:tcPr>
            <w:tcW w:w="1425" w:type="dxa"/>
            <w:vAlign w:val="center"/>
          </w:tcPr>
          <w:p>
            <w:pPr>
              <w:autoSpaceDE w:val="0"/>
              <w:autoSpaceDN w:val="0"/>
              <w:adjustRightInd w:val="0"/>
              <w:spacing w:line="400" w:lineRule="exact"/>
              <w:jc w:val="center"/>
              <w:rPr>
                <w:rFonts w:hint="eastAsia" w:ascii="宋体" w:hAnsi="宋体" w:eastAsia="宋体" w:cs="宋体"/>
                <w:color w:val="auto"/>
                <w:kern w:val="0"/>
                <w:szCs w:val="21"/>
                <w:lang w:eastAsia="zh-CN"/>
              </w:rPr>
            </w:pPr>
            <w:r>
              <w:rPr>
                <w:rFonts w:ascii="宋体" w:hAnsi="宋体" w:eastAsia="宋体" w:cs="宋体"/>
                <w:color w:val="auto"/>
                <w:kern w:val="0"/>
                <w:szCs w:val="21"/>
              </w:rPr>
              <w:t>附件</w:t>
            </w:r>
            <w:r>
              <w:rPr>
                <w:rFonts w:hint="eastAsia" w:ascii="宋体" w:hAnsi="宋体" w:eastAsia="宋体" w:cs="宋体"/>
                <w:color w:val="auto"/>
                <w:kern w:val="0"/>
                <w:szCs w:val="21"/>
                <w:lang w:val="en-US" w:eastAsia="zh-CN"/>
              </w:rPr>
              <w:t>2</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廉洁协议书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6</w:t>
            </w:r>
          </w:p>
        </w:tc>
        <w:tc>
          <w:tcPr>
            <w:tcW w:w="1425" w:type="dxa"/>
            <w:vAlign w:val="center"/>
          </w:tcPr>
          <w:p>
            <w:pPr>
              <w:autoSpaceDE w:val="0"/>
              <w:autoSpaceDN w:val="0"/>
              <w:adjustRightInd w:val="0"/>
              <w:spacing w:line="400" w:lineRule="exact"/>
              <w:jc w:val="center"/>
              <w:rPr>
                <w:rFonts w:hint="eastAsia" w:ascii="宋体" w:hAnsi="宋体" w:eastAsia="宋体" w:cs="宋体"/>
                <w:color w:val="auto"/>
                <w:kern w:val="0"/>
                <w:szCs w:val="21"/>
                <w:lang w:eastAsia="zh-CN"/>
              </w:rPr>
            </w:pPr>
            <w:r>
              <w:rPr>
                <w:rFonts w:ascii="宋体" w:hAnsi="宋体" w:eastAsia="宋体" w:cs="宋体"/>
                <w:color w:val="auto"/>
                <w:kern w:val="0"/>
                <w:szCs w:val="21"/>
              </w:rPr>
              <w:t>附件</w:t>
            </w:r>
            <w:r>
              <w:rPr>
                <w:rFonts w:hint="eastAsia" w:ascii="宋体" w:hAnsi="宋体" w:eastAsia="宋体" w:cs="宋体"/>
                <w:color w:val="auto"/>
                <w:kern w:val="0"/>
                <w:szCs w:val="21"/>
                <w:lang w:val="en-US" w:eastAsia="zh-CN"/>
              </w:rPr>
              <w:t>3</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000000" w:themeColor="text1"/>
                <w:szCs w:val="21"/>
                <w:highlight w:val="none"/>
                <w14:textFill>
                  <w14:solidFill>
                    <w14:schemeClr w14:val="tx1"/>
                  </w14:solidFill>
                </w14:textFill>
              </w:rPr>
              <w:t>安全生产管理协议</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7</w:t>
            </w:r>
          </w:p>
        </w:tc>
        <w:tc>
          <w:tcPr>
            <w:tcW w:w="1425" w:type="dxa"/>
            <w:vAlign w:val="center"/>
          </w:tcPr>
          <w:p>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附件4</w:t>
            </w:r>
          </w:p>
        </w:tc>
        <w:tc>
          <w:tcPr>
            <w:tcW w:w="3055" w:type="dxa"/>
            <w:vAlign w:val="center"/>
          </w:tcPr>
          <w:p>
            <w:pPr>
              <w:autoSpaceDE w:val="0"/>
              <w:autoSpaceDN w:val="0"/>
              <w:adjustRightInd w:val="0"/>
              <w:spacing w:line="40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设备到货验收表</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lang w:val="en-US" w:eastAsia="zh-CN"/>
              </w:rPr>
              <w:t>28</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一</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不可撤销银行履约保函</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lang w:val="en-US" w:eastAsia="zh-CN"/>
              </w:rPr>
              <w:t>29</w:t>
            </w:r>
          </w:p>
        </w:tc>
        <w:tc>
          <w:tcPr>
            <w:tcW w:w="1425" w:type="dxa"/>
            <w:vAlign w:val="center"/>
          </w:tcPr>
          <w:p>
            <w:pPr>
              <w:autoSpaceDE w:val="0"/>
              <w:autoSpaceDN w:val="0"/>
              <w:adjustRightInd w:val="0"/>
              <w:spacing w:line="400" w:lineRule="exact"/>
              <w:jc w:val="center"/>
              <w:rPr>
                <w:rFonts w:ascii="宋体" w:hAnsi="宋体" w:eastAsia="宋体" w:cs="宋体"/>
                <w:color w:val="auto"/>
                <w:kern w:val="0"/>
                <w:szCs w:val="21"/>
              </w:rPr>
            </w:pPr>
            <w:r>
              <w:rPr>
                <w:rFonts w:hint="eastAsia" w:ascii="宋体" w:hAnsi="宋体" w:eastAsia="宋体" w:cs="宋体"/>
                <w:color w:val="auto"/>
                <w:kern w:val="0"/>
                <w:szCs w:val="21"/>
              </w:rPr>
              <w:t>二</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履约保证保险凭证</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30</w:t>
            </w:r>
          </w:p>
        </w:tc>
        <w:tc>
          <w:tcPr>
            <w:tcW w:w="1425" w:type="dxa"/>
            <w:vAlign w:val="center"/>
          </w:tcPr>
          <w:p>
            <w:pPr>
              <w:autoSpaceDE w:val="0"/>
              <w:autoSpaceDN w:val="0"/>
              <w:adjustRightIn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三</w:t>
            </w:r>
          </w:p>
        </w:tc>
        <w:tc>
          <w:tcPr>
            <w:tcW w:w="3055" w:type="dxa"/>
            <w:vAlign w:val="center"/>
          </w:tcPr>
          <w:p>
            <w:pPr>
              <w:autoSpaceDE w:val="0"/>
              <w:autoSpaceDN w:val="0"/>
              <w:adjustRightInd w:val="0"/>
              <w:spacing w:line="400" w:lineRule="exact"/>
              <w:jc w:val="center"/>
              <w:rPr>
                <w:rFonts w:ascii="宋体" w:hAnsi="宋体" w:eastAsia="宋体" w:cs="宋体"/>
                <w:color w:val="auto"/>
                <w:kern w:val="0"/>
                <w:szCs w:val="21"/>
              </w:rPr>
            </w:pPr>
            <w:r>
              <w:rPr>
                <w:rFonts w:ascii="宋体" w:hAnsi="宋体" w:eastAsia="宋体" w:cs="宋体"/>
                <w:color w:val="auto"/>
                <w:kern w:val="0"/>
                <w:szCs w:val="21"/>
              </w:rPr>
              <w:t>担保公司履约担保书</w:t>
            </w:r>
          </w:p>
        </w:tc>
        <w:tc>
          <w:tcPr>
            <w:tcW w:w="1346"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rPr>
                <w:rFonts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p>
    <w:p>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20" w:name="_Toc2075"/>
      <w:bookmarkStart w:id="621" w:name="_Toc140596937"/>
      <w:bookmarkStart w:id="622" w:name="_Toc102860082"/>
      <w:bookmarkStart w:id="623" w:name="_Toc6337"/>
      <w:bookmarkStart w:id="624" w:name="_Toc104991884"/>
      <w:bookmarkStart w:id="625" w:name="_Toc142508377"/>
      <w:bookmarkStart w:id="626" w:name="_Toc13348"/>
      <w:bookmarkStart w:id="627" w:name="_Toc102860426"/>
      <w:bookmarkStart w:id="628" w:name="_Toc94107218"/>
      <w:bookmarkStart w:id="629" w:name="_Toc486167717"/>
      <w:bookmarkStart w:id="630" w:name="_Toc27980_WPSOffice_Level2"/>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620"/>
      <w:bookmarkEnd w:id="621"/>
      <w:bookmarkEnd w:id="622"/>
      <w:bookmarkEnd w:id="623"/>
      <w:bookmarkEnd w:id="624"/>
      <w:bookmarkEnd w:id="625"/>
      <w:bookmarkEnd w:id="626"/>
      <w:bookmarkEnd w:id="627"/>
      <w:bookmarkEnd w:id="628"/>
    </w:p>
    <w:p>
      <w:pPr>
        <w:autoSpaceDE w:val="0"/>
        <w:autoSpaceDN w:val="0"/>
        <w:adjustRightInd w:val="0"/>
        <w:spacing w:line="360" w:lineRule="auto"/>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投标人2022年1月1日以来承接的食堂</w:t>
      </w:r>
      <w:r>
        <w:rPr>
          <w:rFonts w:hint="eastAsia" w:ascii="宋体" w:hAnsi="宋体" w:eastAsia="宋体" w:cs="宋体"/>
          <w:b/>
          <w:bCs/>
          <w:color w:val="auto"/>
          <w:kern w:val="0"/>
          <w:sz w:val="28"/>
          <w:szCs w:val="28"/>
          <w:highlight w:val="none"/>
          <w:lang w:val="en-US" w:eastAsia="zh-CN"/>
        </w:rPr>
        <w:t>厨房</w:t>
      </w:r>
      <w:r>
        <w:rPr>
          <w:rFonts w:hint="eastAsia" w:ascii="宋体" w:hAnsi="宋体" w:eastAsia="宋体" w:cs="宋体"/>
          <w:b/>
          <w:bCs/>
          <w:color w:val="auto"/>
          <w:kern w:val="0"/>
          <w:sz w:val="28"/>
          <w:szCs w:val="28"/>
          <w:highlight w:val="none"/>
          <w:lang w:val="zh-CN"/>
        </w:rPr>
        <w:t>设备的</w:t>
      </w:r>
      <w:r>
        <w:rPr>
          <w:rFonts w:hint="eastAsia" w:ascii="宋体" w:hAnsi="宋体" w:eastAsia="宋体" w:cs="宋体"/>
          <w:b/>
          <w:bCs/>
          <w:color w:val="auto"/>
          <w:kern w:val="0"/>
          <w:sz w:val="28"/>
          <w:szCs w:val="28"/>
          <w:highlight w:val="none"/>
          <w:lang w:val="en-US" w:eastAsia="zh-CN"/>
        </w:rPr>
        <w:t>供货</w:t>
      </w:r>
      <w:r>
        <w:rPr>
          <w:rFonts w:hint="eastAsia" w:ascii="宋体" w:hAnsi="宋体" w:eastAsia="宋体" w:cs="宋体"/>
          <w:b/>
          <w:bCs/>
          <w:color w:val="auto"/>
          <w:kern w:val="0"/>
          <w:sz w:val="28"/>
          <w:szCs w:val="28"/>
          <w:highlight w:val="none"/>
          <w:lang w:val="zh-CN"/>
        </w:rPr>
        <w:t>业绩表</w:t>
      </w:r>
    </w:p>
    <w:tbl>
      <w:tblPr>
        <w:tblStyle w:val="37"/>
        <w:tblW w:w="470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937"/>
        <w:gridCol w:w="1214"/>
        <w:gridCol w:w="1798"/>
        <w:gridCol w:w="1271"/>
        <w:gridCol w:w="1019"/>
        <w:gridCol w:w="1866"/>
        <w:gridCol w:w="8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48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2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9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6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合同期限</w:t>
            </w:r>
          </w:p>
        </w:tc>
        <w:tc>
          <w:tcPr>
            <w:tcW w:w="52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9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48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48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48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48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2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65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52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5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Times New Roman"/>
                <w:color w:val="auto"/>
                <w:kern w:val="0"/>
                <w:szCs w:val="21"/>
                <w:highlight w:val="none"/>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szCs w:val="24"/>
          <w:highlight w:val="none"/>
          <w:lang w:val="zh-CN"/>
        </w:rPr>
      </w:pP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（1）业绩按单项合同金额从高到低的方式排列；</w:t>
      </w:r>
      <w:r>
        <w:rPr>
          <w:rFonts w:hint="eastAsia" w:ascii="宋体" w:hAnsi="宋体" w:eastAsia="宋体" w:cs="Times New Roman"/>
          <w:color w:val="auto"/>
          <w:szCs w:val="24"/>
          <w:highlight w:val="none"/>
          <w:lang w:val="en-US" w:eastAsia="zh-CN"/>
        </w:rPr>
        <w:t>同一个单项合同的业绩可以同时在资格业绩和评分业绩重复放置。</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业绩必须附合同复印件（</w:t>
      </w:r>
      <w:r>
        <w:rPr>
          <w:rFonts w:hint="eastAsia" w:ascii="宋体" w:hAnsi="宋体" w:eastAsia="宋体" w:cs="宋体"/>
          <w:color w:val="auto"/>
          <w:szCs w:val="21"/>
          <w:lang w:val="en-US" w:eastAsia="zh-CN"/>
        </w:rPr>
        <w:t>合同卖</w:t>
      </w:r>
      <w:r>
        <w:rPr>
          <w:rFonts w:hint="eastAsia" w:ascii="宋体" w:hAnsi="宋体" w:eastAsia="宋体" w:cs="宋体"/>
          <w:color w:val="auto"/>
          <w:szCs w:val="21"/>
          <w:lang w:val="zh-CN"/>
        </w:rPr>
        <w:t>方</w:t>
      </w:r>
      <w:r>
        <w:rPr>
          <w:rFonts w:hint="eastAsia" w:ascii="宋体" w:hAnsi="宋体" w:eastAsia="宋体" w:cs="宋体"/>
          <w:color w:val="auto"/>
          <w:szCs w:val="21"/>
          <w:lang w:val="en-US" w:eastAsia="zh-CN"/>
        </w:rPr>
        <w:t>必</w:t>
      </w:r>
      <w:r>
        <w:rPr>
          <w:rFonts w:hint="eastAsia" w:ascii="宋体" w:hAnsi="宋体" w:eastAsia="宋体" w:cs="宋体"/>
          <w:color w:val="auto"/>
          <w:szCs w:val="21"/>
          <w:lang w:val="zh-CN"/>
        </w:rPr>
        <w:t>须为投标人</w:t>
      </w:r>
      <w:r>
        <w:rPr>
          <w:rFonts w:hint="eastAsia" w:ascii="宋体" w:hAnsi="宋体" w:eastAsia="宋体" w:cs="Times New Roman"/>
          <w:color w:val="auto"/>
          <w:szCs w:val="24"/>
          <w:highlight w:val="none"/>
          <w:lang w:val="en-US" w:eastAsia="zh-CN"/>
        </w:rPr>
        <w:t>）。合同必须能反映评分条件</w:t>
      </w:r>
      <w:r>
        <w:rPr>
          <w:rFonts w:hint="eastAsia" w:ascii="宋体" w:hAnsi="宋体" w:eastAsia="宋体" w:cs="Times New Roman"/>
          <w:color w:val="auto"/>
          <w:szCs w:val="24"/>
          <w:highlight w:val="none"/>
          <w:lang w:val="zh-CN"/>
        </w:rPr>
        <w:t>（合同签订日期、</w:t>
      </w:r>
      <w:r>
        <w:rPr>
          <w:rFonts w:hint="eastAsia" w:ascii="宋体" w:hAnsi="宋体" w:eastAsia="宋体" w:cs="Times New Roman"/>
          <w:color w:val="auto"/>
          <w:szCs w:val="24"/>
          <w:highlight w:val="none"/>
          <w:lang w:val="en-US" w:eastAsia="zh-CN"/>
        </w:rPr>
        <w:t>合同标的货物内容、合同</w:t>
      </w:r>
      <w:r>
        <w:rPr>
          <w:rFonts w:hint="eastAsia" w:ascii="宋体" w:hAnsi="宋体" w:eastAsia="宋体" w:cs="Times New Roman"/>
          <w:color w:val="auto"/>
          <w:szCs w:val="24"/>
          <w:highlight w:val="none"/>
          <w:lang w:val="zh-CN"/>
        </w:rPr>
        <w:t>金额），</w:t>
      </w:r>
      <w:r>
        <w:rPr>
          <w:rFonts w:hint="eastAsia" w:ascii="宋体" w:hAnsi="宋体" w:eastAsia="宋体" w:cs="Times New Roman"/>
          <w:color w:val="auto"/>
          <w:szCs w:val="24"/>
          <w:highlight w:val="none"/>
          <w:lang w:val="zh-CN" w:eastAsia="zh-CN"/>
        </w:rPr>
        <w:t>合同标的供货内容须同时包含厨房油烟净化设备、洗碗设备、冷藏/冷冻设备、炉灶设备，</w:t>
      </w:r>
      <w:r>
        <w:rPr>
          <w:rFonts w:hint="eastAsia" w:ascii="宋体" w:hAnsi="宋体" w:eastAsia="宋体" w:cs="Times New Roman"/>
          <w:color w:val="auto"/>
          <w:szCs w:val="24"/>
          <w:highlight w:val="none"/>
          <w:lang w:val="en-US" w:eastAsia="zh-CN"/>
        </w:rPr>
        <w:t>否则，需同时提供买方出具的书面文件复印件作为辅助证明（需加盖买方公章，即复印件能显示买方公章）或提供加盖买方公章反映条件的招标文件复印件，否则不得分，合同标的供货内容不符合要求的业绩，在评审时将不予考虑</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若业绩为框架式协议或资格入围无明确金额的合同，必须同时提供合同期限内已供货（厨房油烟净化设备、洗碗设备、冷藏/冷冻设备、炉灶设备）发票金额统计表和发票复印件</w:t>
      </w:r>
      <w:r>
        <w:rPr>
          <w:rFonts w:hint="eastAsia" w:ascii="宋体" w:hAnsi="宋体" w:eastAsia="宋体" w:cs="Times New Roman"/>
          <w:color w:val="auto"/>
          <w:szCs w:val="24"/>
          <w:highlight w:val="none"/>
          <w:lang w:val="zh-CN"/>
        </w:rPr>
        <w:t>。</w:t>
      </w:r>
    </w:p>
    <w:p>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（4）未按上述要求提供证明材料的业绩，或所附材料无法证明填报项目符合本项评分要求的业绩，在评标时将不予考虑。</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pPr>
        <w:autoSpaceDE w:val="0"/>
        <w:autoSpaceDN w:val="0"/>
        <w:adjustRightInd w:val="0"/>
        <w:spacing w:line="360" w:lineRule="auto"/>
        <w:rPr>
          <w:rFonts w:ascii="宋体" w:hAnsi="宋体" w:eastAsia="宋体" w:cs="Times New Roman"/>
          <w:b/>
          <w:bCs/>
          <w:color w:val="auto"/>
          <w:sz w:val="30"/>
          <w:szCs w:val="30"/>
          <w:highlight w:val="none"/>
          <w:lang w:val="zh-CN"/>
        </w:rPr>
      </w:pPr>
    </w:p>
    <w:bookmarkEnd w:id="629"/>
    <w:bookmarkEnd w:id="630"/>
    <w:p>
      <w:pPr>
        <w:pageBreakBefore/>
        <w:snapToGrid w:val="0"/>
        <w:spacing w:line="360" w:lineRule="auto"/>
        <w:ind w:left="671" w:leftChars="-58" w:hanging="793" w:hangingChars="247"/>
        <w:outlineLvl w:val="9"/>
        <w:rPr>
          <w:rFonts w:hint="eastAsia" w:ascii="宋体" w:hAnsi="宋体" w:eastAsia="宋体" w:cs="宋体"/>
          <w:b/>
          <w:color w:val="auto"/>
          <w:kern w:val="2"/>
          <w:sz w:val="32"/>
          <w:szCs w:val="32"/>
          <w:highlight w:val="none"/>
          <w:lang w:val="zh-CN"/>
        </w:rPr>
      </w:pPr>
      <w:bookmarkStart w:id="631" w:name="_Toc142508378"/>
      <w:bookmarkStart w:id="632" w:name="_Toc11745"/>
      <w:bookmarkStart w:id="633" w:name="_Toc104991885"/>
      <w:bookmarkStart w:id="634" w:name="_Toc94107220"/>
      <w:bookmarkStart w:id="635" w:name="_Toc102860427"/>
      <w:bookmarkStart w:id="636" w:name="_Toc140596938"/>
      <w:bookmarkStart w:id="637" w:name="_Toc486167719"/>
      <w:bookmarkStart w:id="638" w:name="_Toc102860083"/>
      <w:bookmarkStart w:id="639" w:name="_Toc13822"/>
      <w:bookmarkStart w:id="640" w:name="_Toc30323"/>
      <w:bookmarkStart w:id="641" w:name="_Toc1977737"/>
      <w:bookmarkStart w:id="642" w:name="_Toc18175_WPSOffice_Level2"/>
      <w:bookmarkStart w:id="643" w:name="_Toc533708132"/>
      <w:r>
        <w:rPr>
          <w:rFonts w:hint="eastAsia" w:ascii="宋体" w:hAnsi="宋体" w:eastAsia="宋体" w:cs="宋体"/>
          <w:b/>
          <w:color w:val="auto"/>
          <w:kern w:val="2"/>
          <w:sz w:val="32"/>
          <w:szCs w:val="32"/>
          <w:highlight w:val="none"/>
          <w:lang w:val="zh-CN"/>
        </w:rPr>
        <w:t>附表：供货发票金额表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9" w:type="dxa"/>
            <w:gridSpan w:val="2"/>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503" w:type="dxa"/>
            <w:gridSpan w:val="5"/>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合同约定的供货期</w:t>
            </w:r>
          </w:p>
        </w:tc>
        <w:tc>
          <w:tcPr>
            <w:tcW w:w="5503" w:type="dxa"/>
            <w:gridSpan w:val="5"/>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发票抬头（</w:t>
            </w:r>
            <w:r>
              <w:rPr>
                <w:rFonts w:hint="eastAsia" w:ascii="宋体" w:hAnsi="宋体" w:eastAsia="宋体" w:cs="宋体"/>
                <w:color w:val="auto"/>
                <w:sz w:val="21"/>
                <w:highlight w:val="none"/>
              </w:rPr>
              <w:t>合同购买方）</w:t>
            </w:r>
          </w:p>
        </w:tc>
        <w:tc>
          <w:tcPr>
            <w:tcW w:w="5503" w:type="dxa"/>
            <w:gridSpan w:val="5"/>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02"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发票名目</w:t>
            </w:r>
          </w:p>
        </w:tc>
        <w:tc>
          <w:tcPr>
            <w:tcW w:w="1416"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发票金额（单位：万元）</w:t>
            </w:r>
          </w:p>
        </w:tc>
        <w:tc>
          <w:tcPr>
            <w:tcW w:w="1274"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发票号码</w:t>
            </w:r>
          </w:p>
        </w:tc>
        <w:tc>
          <w:tcPr>
            <w:tcW w:w="1558"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发票所属时期</w:t>
            </w:r>
          </w:p>
        </w:tc>
        <w:tc>
          <w:tcPr>
            <w:tcW w:w="1241"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02"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416"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74"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558"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41"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02"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416"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74"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558"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41"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02"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416"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74"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558"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41"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202"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416"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74"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558"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c>
          <w:tcPr>
            <w:tcW w:w="1241" w:type="dxa"/>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发票金额合计（单位：万元）</w:t>
            </w:r>
          </w:p>
        </w:tc>
        <w:tc>
          <w:tcPr>
            <w:tcW w:w="5489" w:type="dxa"/>
            <w:gridSpan w:val="4"/>
            <w:noWrap w:val="0"/>
            <w:vAlign w:val="center"/>
          </w:tcPr>
          <w:p>
            <w:pPr>
              <w:pStyle w:val="20"/>
              <w:snapToGrid w:val="0"/>
              <w:spacing w:line="360" w:lineRule="auto"/>
              <w:ind w:left="0" w:leftChars="0"/>
              <w:jc w:val="center"/>
              <w:outlineLvl w:val="9"/>
              <w:rPr>
                <w:rFonts w:hint="eastAsia" w:ascii="宋体" w:hAnsi="宋体" w:eastAsia="宋体" w:cs="宋体"/>
                <w:color w:val="auto"/>
                <w:sz w:val="21"/>
                <w:szCs w:val="21"/>
                <w:highlight w:val="none"/>
              </w:rPr>
            </w:pPr>
          </w:p>
        </w:tc>
      </w:tr>
    </w:tbl>
    <w:p>
      <w:pPr>
        <w:snapToGrid w:val="0"/>
        <w:spacing w:line="360" w:lineRule="auto"/>
        <w:ind w:left="491" w:leftChars="-57" w:hanging="611" w:hangingChars="291"/>
        <w:outlineLvl w:val="9"/>
        <w:rPr>
          <w:rFonts w:hint="eastAsia" w:ascii="宋体" w:hAnsi="宋体" w:eastAsia="宋体" w:cs="宋体"/>
          <w:color w:val="auto"/>
          <w:kern w:val="2"/>
          <w:sz w:val="21"/>
          <w:highlight w:val="none"/>
        </w:rPr>
      </w:pPr>
    </w:p>
    <w:p>
      <w:pPr>
        <w:snapToGrid w:val="0"/>
        <w:spacing w:line="360" w:lineRule="auto"/>
        <w:ind w:left="611" w:hanging="611" w:hangingChars="291"/>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备注：</w:t>
      </w:r>
    </w:p>
    <w:p>
      <w:pPr>
        <w:snapToGrid w:val="0"/>
        <w:spacing w:line="360" w:lineRule="auto"/>
        <w:ind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（1）投标人提供框架式协议或资格入围无明确金额的合同时，须同时提供本统计表及供货</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lang w:val="zh-CN" w:eastAsia="zh-CN"/>
        </w:rPr>
        <w:t>厨房油烟净化设备、洗碗设备、冷藏/冷冻设备、炉灶设备</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发票复印件，本统计表及供货</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lang w:val="zh-CN" w:eastAsia="zh-CN"/>
        </w:rPr>
        <w:t>厨房油烟净化设备、洗碗设备、冷藏/冷冻设备、炉灶设备</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发票复印件应后附于合同复印件。</w:t>
      </w:r>
    </w:p>
    <w:p>
      <w:pPr>
        <w:snapToGrid w:val="0"/>
        <w:spacing w:line="360" w:lineRule="auto"/>
        <w:ind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（2）发票抬头应为合同购买方，销售方为投标人，且发票名目、所属时期应与合同约定内容一致，否则不计分。</w:t>
      </w:r>
    </w:p>
    <w:p>
      <w:pPr>
        <w:snapToGrid w:val="0"/>
        <w:spacing w:line="360" w:lineRule="auto"/>
        <w:ind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（3）发票合计金额视为投标人所提供该项供货</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lang w:val="zh-CN" w:eastAsia="zh-CN"/>
        </w:rPr>
        <w:t>厨房油烟净化设备、洗碗设备、冷藏/冷冻设备、炉灶设备</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rPr>
        <w:t>业绩的供货金额，并按此金额进行评审。</w:t>
      </w:r>
    </w:p>
    <w:p>
      <w:pPr>
        <w:pageBreakBefore/>
        <w:spacing w:before="120" w:after="120" w:line="360" w:lineRule="auto"/>
        <w:jc w:val="left"/>
        <w:outlineLvl w:val="2"/>
        <w:rPr>
          <w:rFonts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、投标保证金汇入情况说明</w:t>
      </w:r>
      <w:bookmarkEnd w:id="631"/>
      <w:bookmarkEnd w:id="632"/>
      <w:bookmarkEnd w:id="633"/>
      <w:bookmarkEnd w:id="634"/>
      <w:bookmarkEnd w:id="635"/>
      <w:bookmarkEnd w:id="636"/>
      <w:bookmarkEnd w:id="637"/>
      <w:bookmarkEnd w:id="638"/>
      <w:bookmarkEnd w:id="639"/>
      <w:bookmarkEnd w:id="640"/>
      <w:bookmarkEnd w:id="641"/>
      <w:bookmarkEnd w:id="642"/>
      <w:bookmarkEnd w:id="643"/>
    </w:p>
    <w:p>
      <w:pPr>
        <w:autoSpaceDE w:val="0"/>
        <w:autoSpaceDN w:val="0"/>
        <w:adjustRightInd w:val="0"/>
        <w:spacing w:line="360" w:lineRule="auto"/>
        <w:jc w:val="center"/>
        <w:rPr>
          <w:rFonts w:ascii="宋体" w:hAnsi="宋体" w:eastAsia="宋体" w:cs="宋体"/>
          <w:b/>
          <w:bCs/>
          <w:color w:val="auto"/>
          <w:kern w:val="0"/>
          <w:sz w:val="28"/>
          <w:szCs w:val="28"/>
          <w:highlight w:val="none"/>
        </w:rPr>
      </w:pPr>
      <w:bookmarkStart w:id="644" w:name="_Toc31832_WPSOffice_Level3"/>
      <w:r>
        <w:rPr>
          <w:rFonts w:hint="eastAsia" w:ascii="宋体" w:hAnsi="宋体" w:eastAsia="宋体" w:cs="宋体"/>
          <w:b/>
          <w:bCs/>
          <w:color w:val="auto"/>
          <w:kern w:val="0"/>
          <w:sz w:val="28"/>
          <w:szCs w:val="28"/>
          <w:highlight w:val="none"/>
        </w:rPr>
        <w:t>投标保证金汇入情况说明</w:t>
      </w:r>
      <w:bookmarkEnd w:id="644"/>
    </w:p>
    <w:p>
      <w:pPr>
        <w:autoSpaceDE w:val="0"/>
        <w:autoSpaceDN w:val="0"/>
        <w:adjustRightInd w:val="0"/>
        <w:spacing w:line="360" w:lineRule="auto"/>
        <w:jc w:val="center"/>
        <w:rPr>
          <w:rFonts w:ascii="宋体" w:hAnsi="宋体" w:eastAsia="宋体" w:cs="宋体"/>
          <w:b/>
          <w:bCs/>
          <w:color w:val="auto"/>
          <w:kern w:val="0"/>
          <w:szCs w:val="24"/>
          <w:highlight w:val="none"/>
        </w:rPr>
      </w:pP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东莞市置拓投资有限公司</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none"/>
          <w:lang w:eastAsia="zh-CN"/>
        </w:rPr>
        <w:t>东莞市置拓投资有限公司水业大厦食堂设备设施采购项目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none"/>
          <w:lang w:eastAsia="zh-CN"/>
        </w:rPr>
        <w:t>0832-SFCX25DG030A</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rPr>
          <w:rFonts w:ascii="宋体" w:hAnsi="宋体" w:eastAsia="宋体" w:cs="宋体"/>
          <w:b/>
          <w:bCs/>
          <w:color w:val="auto"/>
          <w:szCs w:val="21"/>
          <w:highlight w:val="none"/>
        </w:rPr>
      </w:pPr>
      <w:bookmarkStart w:id="645" w:name="_Toc26208_WPSOffice_Level3"/>
      <w:r>
        <w:rPr>
          <w:rFonts w:hint="eastAsia" w:ascii="宋体" w:hAnsi="宋体" w:eastAsia="宋体" w:cs="宋体"/>
          <w:b/>
          <w:bCs/>
          <w:color w:val="auto"/>
          <w:szCs w:val="21"/>
          <w:highlight w:val="none"/>
        </w:rPr>
        <w:t>附：1、我方投标保证金汇款凭证（复印件）</w:t>
      </w:r>
      <w:bookmarkEnd w:id="645"/>
    </w:p>
    <w:p>
      <w:pPr>
        <w:spacing w:line="360" w:lineRule="auto"/>
        <w:ind w:left="340" w:leftChars="162" w:firstLine="839" w:firstLineChars="398"/>
        <w:rPr>
          <w:rFonts w:ascii="宋体" w:hAnsi="宋体" w:eastAsia="宋体" w:cs="宋体"/>
          <w:b/>
          <w:bCs/>
          <w:color w:val="auto"/>
          <w:szCs w:val="21"/>
          <w:highlight w:val="none"/>
        </w:rPr>
      </w:pPr>
      <w:bookmarkStart w:id="646" w:name="_Toc12992_WPSOffice_Level3"/>
      <w:r>
        <w:rPr>
          <w:rFonts w:hint="eastAsia" w:ascii="宋体" w:hAnsi="宋体" w:eastAsia="宋体" w:cs="宋体"/>
          <w:b/>
          <w:bCs/>
          <w:color w:val="auto"/>
          <w:szCs w:val="21"/>
          <w:highlight w:val="none"/>
        </w:rPr>
        <w:t>2、我方基本账户开户许可证（复印件）</w:t>
      </w:r>
      <w:bookmarkEnd w:id="646"/>
    </w:p>
    <w:p>
      <w:pPr>
        <w:spacing w:line="360" w:lineRule="auto"/>
        <w:ind w:left="340" w:leftChars="162" w:firstLine="839" w:firstLineChars="398"/>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pPr>
        <w:spacing w:line="360" w:lineRule="auto"/>
        <w:ind w:firstLine="424" w:firstLineChars="202"/>
        <w:rPr>
          <w:rFonts w:ascii="宋体" w:hAnsi="宋体" w:eastAsia="宋体" w:cs="宋体"/>
          <w:color w:val="auto"/>
          <w:szCs w:val="24"/>
          <w:highlight w:val="none"/>
        </w:rPr>
      </w:pPr>
      <w:bookmarkStart w:id="647" w:name="_Toc486167721"/>
    </w:p>
    <w:p>
      <w:pPr>
        <w:spacing w:line="360" w:lineRule="auto"/>
        <w:ind w:firstLine="424" w:firstLineChars="202"/>
        <w:rPr>
          <w:rFonts w:ascii="宋体" w:hAnsi="宋体" w:eastAsia="宋体" w:cs="宋体"/>
          <w:color w:val="auto"/>
          <w:szCs w:val="24"/>
          <w:highlight w:val="none"/>
        </w:rPr>
      </w:pPr>
      <w:bookmarkStart w:id="648" w:name="_Toc533708134"/>
    </w:p>
    <w:p>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pPr>
      <w:bookmarkStart w:id="649" w:name="_Toc104991886"/>
      <w:bookmarkStart w:id="650" w:name="_Toc140596939"/>
      <w:bookmarkStart w:id="651" w:name="_Toc16292"/>
      <w:bookmarkStart w:id="652" w:name="_Toc94107221"/>
      <w:bookmarkStart w:id="653" w:name="_Toc1977738"/>
      <w:bookmarkStart w:id="654" w:name="_Toc3402"/>
      <w:bookmarkStart w:id="655" w:name="_Toc18032"/>
      <w:bookmarkStart w:id="656" w:name="_Toc102860428"/>
      <w:bookmarkStart w:id="657" w:name="_Toc102860084"/>
      <w:bookmarkStart w:id="658" w:name="_Toc142508379"/>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649"/>
      <w:bookmarkEnd w:id="650"/>
      <w:bookmarkEnd w:id="651"/>
      <w:bookmarkEnd w:id="652"/>
      <w:bookmarkEnd w:id="653"/>
      <w:bookmarkEnd w:id="654"/>
      <w:bookmarkEnd w:id="655"/>
      <w:bookmarkEnd w:id="656"/>
      <w:bookmarkEnd w:id="657"/>
      <w:bookmarkEnd w:id="658"/>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659" w:name="_Toc15051"/>
      <w:bookmarkStart w:id="660" w:name="_Toc104991887"/>
      <w:bookmarkStart w:id="661" w:name="_Toc21551"/>
      <w:bookmarkStart w:id="662" w:name="_Toc14341"/>
      <w:bookmarkStart w:id="663" w:name="_Toc94107222"/>
      <w:bookmarkStart w:id="664" w:name="_Toc142508380"/>
      <w:bookmarkStart w:id="665" w:name="_Toc102860429"/>
      <w:bookmarkStart w:id="666" w:name="_Toc102860085"/>
      <w:bookmarkStart w:id="667" w:name="_Toc140596940"/>
      <w:bookmarkStart w:id="668" w:name="_Toc1977739"/>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648"/>
      <w:bookmarkEnd w:id="659"/>
      <w:bookmarkEnd w:id="660"/>
      <w:bookmarkEnd w:id="661"/>
      <w:bookmarkEnd w:id="662"/>
      <w:bookmarkEnd w:id="663"/>
      <w:bookmarkEnd w:id="664"/>
      <w:bookmarkEnd w:id="665"/>
      <w:bookmarkEnd w:id="666"/>
      <w:bookmarkEnd w:id="667"/>
      <w:bookmarkEnd w:id="668"/>
    </w:p>
    <w:p>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1、用户需求响应程度（格式见附件13</w:t>
      </w:r>
      <w:r>
        <w:rPr>
          <w:rFonts w:hint="eastAsia" w:ascii="宋体" w:hAnsi="宋体" w:eastAsia="宋体" w:cs="宋体"/>
          <w:color w:val="auto"/>
          <w:kern w:val="0"/>
          <w:szCs w:val="21"/>
          <w:lang w:val="en-US" w:eastAsia="zh-CN"/>
        </w:rPr>
        <w:t>.</w:t>
      </w:r>
      <w:r>
        <w:rPr>
          <w:rFonts w:ascii="宋体" w:hAnsi="宋体" w:eastAsia="宋体" w:cs="宋体"/>
          <w:color w:val="auto"/>
          <w:kern w:val="0"/>
          <w:szCs w:val="21"/>
        </w:rPr>
        <w:t>1</w:t>
      </w:r>
      <w:r>
        <w:rPr>
          <w:rFonts w:hint="eastAsia" w:ascii="宋体" w:hAnsi="宋体" w:eastAsia="宋体" w:cs="宋体"/>
          <w:color w:val="auto"/>
          <w:kern w:val="0"/>
          <w:szCs w:val="21"/>
        </w:rPr>
        <w:t>用户需求偏离表格式）；</w:t>
      </w:r>
    </w:p>
    <w:p>
      <w:pPr>
        <w:spacing w:line="360" w:lineRule="auto"/>
        <w:ind w:left="443" w:leftChars="77" w:hanging="281" w:hangingChars="134"/>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2、项目总体实施方案；</w:t>
      </w:r>
    </w:p>
    <w:p>
      <w:pPr>
        <w:spacing w:line="360" w:lineRule="auto"/>
        <w:ind w:left="443" w:leftChars="77" w:hanging="281" w:hangingChars="134"/>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投标产品质量可靠性</w:t>
      </w:r>
      <w:r>
        <w:rPr>
          <w:rFonts w:hint="eastAsia" w:ascii="宋体" w:hAnsi="宋体" w:eastAsia="宋体" w:cs="宋体"/>
          <w:color w:val="auto"/>
          <w:kern w:val="0"/>
          <w:szCs w:val="21"/>
        </w:rPr>
        <w:t>；</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、投标产品技术性能说明（投标人自行提供书面说明和资料，其中应包含</w:t>
      </w:r>
      <w:r>
        <w:rPr>
          <w:rFonts w:hint="eastAsia" w:ascii="宋体" w:hAnsi="宋体" w:eastAsia="宋体" w:cs="宋体"/>
          <w:color w:val="auto"/>
          <w:szCs w:val="21"/>
          <w:highlight w:val="none"/>
          <w:lang w:val="en-US" w:eastAsia="zh-CN"/>
        </w:rPr>
        <w:t>所投厨房油烟净化设备、所投厨房洗碗设备、所投燃气双头炉灶设备的</w:t>
      </w:r>
      <w:r>
        <w:rPr>
          <w:rFonts w:hint="eastAsia" w:ascii="宋体" w:hAnsi="宋体" w:eastAsia="宋体" w:cs="宋体"/>
          <w:color w:val="auto"/>
          <w:kern w:val="0"/>
          <w:szCs w:val="21"/>
          <w:highlight w:val="none"/>
        </w:rPr>
        <w:t>性能说明书</w:t>
      </w:r>
      <w:r>
        <w:rPr>
          <w:rFonts w:hint="eastAsia" w:ascii="宋体" w:hAnsi="宋体" w:eastAsia="宋体" w:cs="宋体"/>
          <w:color w:val="auto"/>
          <w:kern w:val="0"/>
          <w:szCs w:val="21"/>
          <w:highlight w:val="none"/>
          <w:lang w:val="en-US" w:eastAsia="zh-CN"/>
        </w:rPr>
        <w:t>或检测报告或</w:t>
      </w:r>
      <w:r>
        <w:rPr>
          <w:rFonts w:hint="eastAsia" w:ascii="宋体" w:hAnsi="宋体" w:eastAsia="宋体" w:cs="宋体"/>
          <w:color w:val="auto"/>
          <w:kern w:val="0"/>
          <w:szCs w:val="21"/>
          <w:highlight w:val="none"/>
        </w:rPr>
        <w:t>其他能体现投标产品性能的证明材料）；</w:t>
      </w:r>
    </w:p>
    <w:p>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投标品牌</w:t>
      </w:r>
      <w:r>
        <w:rPr>
          <w:rFonts w:hint="eastAsia" w:ascii="宋体" w:hAnsi="宋体" w:eastAsia="宋体" w:cs="宋体"/>
          <w:color w:val="auto"/>
          <w:kern w:val="0"/>
          <w:szCs w:val="21"/>
          <w:highlight w:val="none"/>
        </w:rPr>
        <w:t>表（</w:t>
      </w:r>
      <w:r>
        <w:rPr>
          <w:rFonts w:hint="eastAsia" w:ascii="宋体" w:hAnsi="宋体" w:eastAsia="宋体" w:cs="Times New Roman"/>
          <w:color w:val="auto"/>
          <w:kern w:val="0"/>
          <w:szCs w:val="21"/>
          <w:highlight w:val="none"/>
          <w:lang w:val="en-US" w:eastAsia="zh-CN"/>
        </w:rPr>
        <w:t>投标品牌表中</w:t>
      </w:r>
      <w:r>
        <w:rPr>
          <w:rFonts w:hint="eastAsia"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lang w:val="en-US" w:eastAsia="zh-CN"/>
        </w:rPr>
        <w:t>设备</w:t>
      </w:r>
      <w:r>
        <w:rPr>
          <w:rFonts w:hint="eastAsia" w:ascii="宋体" w:hAnsi="宋体" w:eastAsia="宋体" w:cs="Times New Roman"/>
          <w:color w:val="auto"/>
          <w:kern w:val="0"/>
          <w:szCs w:val="21"/>
          <w:highlight w:val="none"/>
          <w:lang w:val="zh-CN"/>
        </w:rPr>
        <w:t>名称、</w:t>
      </w:r>
      <w:r>
        <w:rPr>
          <w:rFonts w:hint="eastAsia" w:ascii="宋体" w:hAnsi="宋体" w:eastAsia="宋体" w:cs="Times New Roman"/>
          <w:color w:val="auto"/>
          <w:kern w:val="0"/>
          <w:szCs w:val="21"/>
          <w:highlight w:val="none"/>
          <w:lang w:val="en-US" w:eastAsia="zh-CN"/>
        </w:rPr>
        <w:t>投标</w:t>
      </w:r>
      <w:r>
        <w:rPr>
          <w:rFonts w:hint="eastAsia" w:ascii="宋体" w:hAnsi="宋体" w:eastAsia="宋体" w:cs="Times New Roman"/>
          <w:color w:val="auto"/>
          <w:kern w:val="0"/>
          <w:szCs w:val="21"/>
          <w:highlight w:val="none"/>
          <w:lang w:val="zh-CN"/>
        </w:rPr>
        <w:t>品牌等必须与分项报价明细表的</w:t>
      </w:r>
      <w:r>
        <w:rPr>
          <w:rFonts w:hint="eastAsia" w:ascii="宋体" w:hAnsi="宋体" w:eastAsia="宋体" w:cs="Times New Roman"/>
          <w:color w:val="auto"/>
          <w:kern w:val="0"/>
          <w:szCs w:val="21"/>
          <w:highlight w:val="none"/>
          <w:lang w:val="en-US" w:eastAsia="zh-CN"/>
        </w:rPr>
        <w:t>设备</w:t>
      </w:r>
      <w:r>
        <w:rPr>
          <w:rFonts w:hint="eastAsia" w:ascii="宋体" w:hAnsi="宋体" w:eastAsia="宋体" w:cs="Times New Roman"/>
          <w:color w:val="auto"/>
          <w:kern w:val="0"/>
          <w:szCs w:val="21"/>
          <w:highlight w:val="none"/>
          <w:lang w:val="zh-CN"/>
        </w:rPr>
        <w:t>名称、品牌完全一致</w:t>
      </w:r>
      <w:r>
        <w:rPr>
          <w:rFonts w:hint="eastAsia" w:ascii="宋体" w:hAnsi="宋体" w:eastAsia="宋体" w:cs="宋体"/>
          <w:color w:val="auto"/>
          <w:kern w:val="0"/>
          <w:szCs w:val="21"/>
          <w:highlight w:val="none"/>
        </w:rPr>
        <w:t>）；</w:t>
      </w:r>
    </w:p>
    <w:p>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6、供货、安装时间承诺表</w:t>
      </w:r>
      <w:r>
        <w:rPr>
          <w:rFonts w:hint="eastAsia" w:ascii="宋体" w:hAnsi="宋体" w:eastAsia="宋体" w:cs="宋体"/>
          <w:color w:val="auto"/>
          <w:kern w:val="0"/>
          <w:szCs w:val="21"/>
          <w:highlight w:val="none"/>
          <w:lang w:eastAsia="zh-CN"/>
        </w:rPr>
        <w:t>；</w:t>
      </w:r>
    </w:p>
    <w:p>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7、质保期、维修响应时间承诺表</w:t>
      </w:r>
      <w:r>
        <w:rPr>
          <w:rFonts w:hint="eastAsia" w:ascii="宋体" w:hAnsi="宋体" w:eastAsia="宋体" w:cs="宋体"/>
          <w:color w:val="auto"/>
          <w:kern w:val="0"/>
          <w:szCs w:val="21"/>
          <w:highlight w:val="none"/>
        </w:rPr>
        <w:t>；</w:t>
      </w:r>
    </w:p>
    <w:p>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、投标人认为有必要提供的其它材料（不做强制要求）。</w:t>
      </w:r>
    </w:p>
    <w:p>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pPr>
        <w:pStyle w:val="16"/>
        <w:rPr>
          <w:rFonts w:hint="eastAsia"/>
          <w:color w:val="auto"/>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p>
    <w:p>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pPr>
        <w:pStyle w:val="20"/>
        <w:spacing w:line="360" w:lineRule="auto"/>
        <w:rPr>
          <w:rFonts w:hint="eastAsia" w:ascii="宋体" w:hAnsi="宋体" w:eastAsia="宋体" w:cs="宋体"/>
          <w:color w:val="auto"/>
          <w:highlight w:val="none"/>
        </w:rPr>
      </w:pPr>
    </w:p>
    <w:p>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0"/>
        <w:spacing w:line="360" w:lineRule="auto"/>
        <w:rPr>
          <w:rFonts w:hint="eastAsia" w:ascii="宋体" w:hAnsi="宋体" w:eastAsia="宋体" w:cs="宋体"/>
          <w:color w:val="auto"/>
          <w:highlight w:val="none"/>
        </w:rPr>
      </w:pPr>
    </w:p>
    <w:p>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hint="eastAsia" w:ascii="宋体" w:hAnsi="宋体" w:eastAsia="宋体" w:cs="宋体"/>
                <w:bCs/>
                <w:color w:val="auto"/>
                <w:szCs w:val="21"/>
                <w:highlight w:val="none"/>
              </w:rPr>
            </w:pPr>
          </w:p>
        </w:tc>
        <w:tc>
          <w:tcPr>
            <w:tcW w:w="1337" w:type="pct"/>
            <w:vAlign w:val="center"/>
          </w:tcPr>
          <w:p>
            <w:pPr>
              <w:rPr>
                <w:rFonts w:hint="eastAsia" w:ascii="宋体" w:hAnsi="宋体" w:eastAsia="宋体" w:cs="宋体"/>
                <w:bCs/>
                <w:color w:val="auto"/>
                <w:szCs w:val="21"/>
                <w:highlight w:val="none"/>
              </w:rPr>
            </w:pPr>
          </w:p>
        </w:tc>
        <w:tc>
          <w:tcPr>
            <w:tcW w:w="861" w:type="pct"/>
            <w:vAlign w:val="center"/>
          </w:tcPr>
          <w:p>
            <w:pP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adjustRightInd w:val="0"/>
              <w:snapToGrid w:val="0"/>
              <w:spacing w:line="360" w:lineRule="auto"/>
              <w:ind w:firstLine="105" w:firstLineChars="50"/>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pPr>
              <w:spacing w:line="360" w:lineRule="auto"/>
              <w:ind w:firstLine="8" w:firstLineChars="4"/>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hint="eastAsia"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pPr>
              <w:spacing w:line="360" w:lineRule="auto"/>
              <w:jc w:val="center"/>
              <w:rPr>
                <w:rFonts w:hint="eastAsia" w:ascii="宋体" w:hAnsi="宋体" w:eastAsia="宋体" w:cs="宋体"/>
                <w:bCs/>
                <w:color w:val="auto"/>
                <w:szCs w:val="21"/>
                <w:highlight w:val="none"/>
              </w:rPr>
            </w:pPr>
          </w:p>
        </w:tc>
      </w:tr>
    </w:tbl>
    <w:p>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647"/>
      <w:bookmarkStart w:id="669" w:name="_Toc140596941"/>
      <w:bookmarkStart w:id="670" w:name="_Toc1558"/>
      <w:bookmarkStart w:id="671" w:name="_Toc19382"/>
      <w:bookmarkStart w:id="672" w:name="_Toc102860086"/>
      <w:bookmarkStart w:id="673" w:name="_Toc20630"/>
      <w:bookmarkStart w:id="674" w:name="_Toc102860430"/>
      <w:bookmarkStart w:id="675" w:name="_Toc104991888"/>
      <w:bookmarkStart w:id="676" w:name="_Toc1977740"/>
      <w:bookmarkStart w:id="677" w:name="_Toc533708135"/>
      <w:bookmarkStart w:id="678" w:name="_Toc142508381"/>
      <w:bookmarkStart w:id="679" w:name="_Toc94107223"/>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669"/>
      <w:bookmarkEnd w:id="670"/>
      <w:bookmarkEnd w:id="671"/>
      <w:bookmarkEnd w:id="672"/>
      <w:bookmarkEnd w:id="673"/>
      <w:bookmarkEnd w:id="674"/>
      <w:bookmarkEnd w:id="675"/>
      <w:bookmarkEnd w:id="676"/>
      <w:bookmarkEnd w:id="677"/>
      <w:bookmarkEnd w:id="678"/>
      <w:bookmarkEnd w:id="679"/>
    </w:p>
    <w:p>
      <w:pPr>
        <w:spacing w:before="120" w:after="120" w:line="360" w:lineRule="auto"/>
        <w:jc w:val="center"/>
        <w:outlineLvl w:val="2"/>
        <w:rPr>
          <w:rFonts w:hint="eastAsia" w:ascii="宋体" w:hAnsi="宋体" w:eastAsia="宋体" w:cs="宋体"/>
          <w:b/>
          <w:color w:val="auto"/>
          <w:kern w:val="0"/>
          <w:sz w:val="30"/>
          <w:szCs w:val="30"/>
          <w:highlight w:val="none"/>
          <w:lang w:val="zh-CN"/>
        </w:rPr>
      </w:pPr>
      <w:bookmarkStart w:id="680" w:name="_Toc30001"/>
      <w:bookmarkStart w:id="681" w:name="_Toc17449_WPSOffice_Level3"/>
      <w:r>
        <w:rPr>
          <w:rFonts w:hint="eastAsia" w:ascii="宋体" w:hAnsi="宋体" w:eastAsia="宋体" w:cs="宋体"/>
          <w:b/>
          <w:color w:val="auto"/>
          <w:kern w:val="0"/>
          <w:sz w:val="30"/>
          <w:szCs w:val="30"/>
          <w:highlight w:val="none"/>
          <w:lang w:val="zh-CN"/>
        </w:rPr>
        <w:t>用户需求偏离表</w:t>
      </w:r>
      <w:bookmarkEnd w:id="680"/>
      <w:bookmarkEnd w:id="681"/>
    </w:p>
    <w:p>
      <w:pPr>
        <w:spacing w:line="4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用户需求</w:t>
      </w:r>
      <w:r>
        <w:rPr>
          <w:rFonts w:hint="eastAsia" w:ascii="宋体" w:hAnsi="宋体" w:eastAsia="宋体" w:cs="宋体"/>
          <w:color w:val="auto"/>
          <w:kern w:val="0"/>
          <w:sz w:val="21"/>
          <w:szCs w:val="21"/>
          <w:highlight w:val="none"/>
          <w:lang w:val="en-US" w:eastAsia="zh-CN"/>
        </w:rPr>
        <w:t>书第一、二、四、五、六、七、八、九按下表格式填写</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952"/>
        <w:gridCol w:w="6413"/>
        <w:gridCol w:w="722"/>
        <w:gridCol w:w="867"/>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82" w:type="pct"/>
            <w:vMerge w:val="restar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66" w:type="pct"/>
            <w:gridSpan w:val="3"/>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2" w:type="pct"/>
            <w:vMerge w:val="continue"/>
            <w:vAlign w:val="center"/>
          </w:tcPr>
          <w:p>
            <w:pPr>
              <w:keepNext/>
              <w:keepLines/>
              <w:spacing w:line="400" w:lineRule="exact"/>
              <w:jc w:val="center"/>
              <w:outlineLvl w:val="0"/>
              <w:rPr>
                <w:rFonts w:hint="eastAsia" w:ascii="宋体" w:hAnsi="宋体" w:eastAsia="宋体" w:cs="宋体"/>
                <w:color w:val="auto"/>
                <w:kern w:val="0"/>
                <w:sz w:val="21"/>
                <w:szCs w:val="21"/>
                <w:highlight w:val="none"/>
              </w:rPr>
            </w:pPr>
          </w:p>
        </w:tc>
        <w:tc>
          <w:tcPr>
            <w:tcW w:w="459"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400"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rPr>
              <w:t>一</w:t>
            </w:r>
          </w:p>
        </w:tc>
        <w:tc>
          <w:tcPr>
            <w:tcW w:w="3092" w:type="pct"/>
            <w:vAlign w:val="center"/>
          </w:tcPr>
          <w:p>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项目概况</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00"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459" w:type="pct"/>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二</w:t>
            </w:r>
          </w:p>
        </w:tc>
        <w:tc>
          <w:tcPr>
            <w:tcW w:w="3092" w:type="pct"/>
            <w:vAlign w:val="center"/>
          </w:tcPr>
          <w:p>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招标范围</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00"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459" w:type="pct"/>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四</w:t>
            </w:r>
          </w:p>
        </w:tc>
        <w:tc>
          <w:tcPr>
            <w:tcW w:w="3092" w:type="pct"/>
            <w:vAlign w:val="center"/>
          </w:tcPr>
          <w:p>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主要技术参数及要求</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00"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459" w:type="pct"/>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五</w:t>
            </w:r>
          </w:p>
        </w:tc>
        <w:tc>
          <w:tcPr>
            <w:tcW w:w="3092" w:type="pct"/>
            <w:vAlign w:val="center"/>
          </w:tcPr>
          <w:p>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投标报价</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00"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Align w:val="center"/>
          </w:tcPr>
          <w:p>
            <w:pPr>
              <w:pageBreakBefore w:val="0"/>
              <w:kinsoku/>
              <w:wordWrap/>
              <w:overflowPunct/>
              <w:topLinePunct w:val="0"/>
              <w:bidi w:val="0"/>
              <w:snapToGrid/>
              <w:spacing w:line="240" w:lineRule="auto"/>
              <w:jc w:val="center"/>
              <w:textAlignment w:val="auto"/>
              <w:rPr>
                <w:rFonts w:hint="default" w:ascii="宋体" w:hAnsi="宋体" w:eastAsia="宋体" w:cs="宋体"/>
                <w:color w:val="auto"/>
                <w:kern w:val="0"/>
                <w:sz w:val="21"/>
                <w:szCs w:val="21"/>
                <w:highlight w:val="none"/>
                <w:lang w:val="en-US" w:eastAsia="zh-CN"/>
              </w:rPr>
            </w:pPr>
            <w:bookmarkStart w:id="682" w:name="_Toc10880"/>
            <w:r>
              <w:rPr>
                <w:rFonts w:hint="eastAsia" w:ascii="宋体" w:hAnsi="宋体" w:eastAsia="宋体" w:cs="宋体"/>
                <w:color w:val="auto"/>
                <w:kern w:val="0"/>
                <w:sz w:val="21"/>
                <w:szCs w:val="21"/>
                <w:highlight w:val="none"/>
                <w:lang w:val="en-US" w:eastAsia="zh-CN"/>
              </w:rPr>
              <w:t>5</w:t>
            </w:r>
          </w:p>
        </w:tc>
        <w:tc>
          <w:tcPr>
            <w:tcW w:w="459" w:type="pct"/>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六</w:t>
            </w:r>
          </w:p>
        </w:tc>
        <w:tc>
          <w:tcPr>
            <w:tcW w:w="3092" w:type="pct"/>
            <w:vAlign w:val="center"/>
          </w:tcPr>
          <w:p>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供货及服务期要求</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00"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Align w:val="center"/>
          </w:tcPr>
          <w:p>
            <w:pPr>
              <w:pageBreakBefore w:val="0"/>
              <w:kinsoku/>
              <w:wordWrap/>
              <w:overflowPunct/>
              <w:topLinePunct w:val="0"/>
              <w:bidi w:val="0"/>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459" w:type="pct"/>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七</w:t>
            </w:r>
          </w:p>
        </w:tc>
        <w:tc>
          <w:tcPr>
            <w:tcW w:w="3092" w:type="pct"/>
            <w:vAlign w:val="center"/>
          </w:tcPr>
          <w:p>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安装、调试及验收要求</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00"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Align w:val="center"/>
          </w:tcPr>
          <w:p>
            <w:pPr>
              <w:pageBreakBefore w:val="0"/>
              <w:kinsoku/>
              <w:wordWrap/>
              <w:overflowPunct/>
              <w:topLinePunct w:val="0"/>
              <w:bidi w:val="0"/>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459" w:type="pct"/>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八</w:t>
            </w:r>
          </w:p>
        </w:tc>
        <w:tc>
          <w:tcPr>
            <w:tcW w:w="3092" w:type="pct"/>
            <w:vAlign w:val="center"/>
          </w:tcPr>
          <w:p>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质保期要求</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00"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Align w:val="center"/>
          </w:tcPr>
          <w:p>
            <w:pPr>
              <w:pageBreakBefore w:val="0"/>
              <w:kinsoku/>
              <w:wordWrap/>
              <w:overflowPunct/>
              <w:topLinePunct w:val="0"/>
              <w:bidi w:val="0"/>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459" w:type="pct"/>
            <w:vAlign w:val="center"/>
          </w:tcPr>
          <w:p>
            <w:pPr>
              <w:pageBreakBefore w:val="0"/>
              <w:kinsoku/>
              <w:wordWrap/>
              <w:overflowPunct/>
              <w:topLinePunct w:val="0"/>
              <w:bidi w:val="0"/>
              <w:snapToGrid/>
              <w:spacing w:line="24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九</w:t>
            </w:r>
          </w:p>
        </w:tc>
        <w:tc>
          <w:tcPr>
            <w:tcW w:w="3092" w:type="pct"/>
            <w:vAlign w:val="center"/>
          </w:tcPr>
          <w:p>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其他要求</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00"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pPr>
              <w:keepNext/>
              <w:keepLines/>
              <w:spacing w:line="400" w:lineRule="exact"/>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用户需求书“★”条款汇总</w:t>
            </w:r>
            <w:bookmarkEnd w:id="6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2" w:type="pct"/>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459" w:type="pct"/>
            <w:vAlign w:val="center"/>
          </w:tcPr>
          <w:p>
            <w:pPr>
              <w:spacing w:line="360" w:lineRule="auto"/>
              <w:jc w:val="center"/>
              <w:rPr>
                <w:rFonts w:hint="eastAsia" w:ascii="宋体" w:hAnsi="宋体" w:eastAsia="宋体" w:cs="宋体"/>
                <w:color w:val="auto"/>
                <w:kern w:val="0"/>
                <w:sz w:val="21"/>
                <w:szCs w:val="21"/>
                <w:lang w:val="en-US" w:eastAsia="zh-CN"/>
              </w:rPr>
            </w:pPr>
          </w:p>
        </w:tc>
        <w:tc>
          <w:tcPr>
            <w:tcW w:w="3092" w:type="pct"/>
            <w:vAlign w:val="center"/>
          </w:tcPr>
          <w:p>
            <w:pPr>
              <w:pageBreakBefore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bCs/>
                <w:color w:val="auto"/>
                <w:sz w:val="21"/>
                <w:szCs w:val="21"/>
                <w:highlight w:val="none"/>
              </w:rPr>
            </w:pPr>
          </w:p>
        </w:tc>
        <w:tc>
          <w:tcPr>
            <w:tcW w:w="348" w:type="pct"/>
            <w:vAlign w:val="center"/>
          </w:tcPr>
          <w:p>
            <w:pPr>
              <w:keepNext/>
              <w:keepLines/>
              <w:spacing w:line="360" w:lineRule="auto"/>
              <w:jc w:val="center"/>
              <w:outlineLvl w:val="2"/>
              <w:rPr>
                <w:rFonts w:hint="eastAsia" w:ascii="宋体" w:hAnsi="宋体" w:eastAsia="宋体" w:cs="宋体"/>
                <w:color w:val="auto"/>
                <w:kern w:val="0"/>
                <w:sz w:val="21"/>
                <w:szCs w:val="21"/>
                <w:highlight w:val="none"/>
              </w:rPr>
            </w:pPr>
          </w:p>
        </w:tc>
        <w:tc>
          <w:tcPr>
            <w:tcW w:w="418" w:type="pct"/>
            <w:vAlign w:val="center"/>
          </w:tcPr>
          <w:p>
            <w:pPr>
              <w:keepNext/>
              <w:keepLines/>
              <w:spacing w:line="360" w:lineRule="auto"/>
              <w:jc w:val="center"/>
              <w:outlineLvl w:val="2"/>
              <w:rPr>
                <w:rFonts w:hint="eastAsia" w:ascii="宋体" w:hAnsi="宋体" w:eastAsia="宋体" w:cs="宋体"/>
                <w:color w:val="auto"/>
                <w:kern w:val="0"/>
                <w:sz w:val="21"/>
                <w:szCs w:val="21"/>
                <w:highlight w:val="none"/>
              </w:rPr>
            </w:pPr>
          </w:p>
        </w:tc>
        <w:tc>
          <w:tcPr>
            <w:tcW w:w="400" w:type="pct"/>
            <w:vAlign w:val="center"/>
          </w:tcPr>
          <w:p>
            <w:pPr>
              <w:keepNext/>
              <w:keepLines/>
              <w:spacing w:line="360" w:lineRule="auto"/>
              <w:jc w:val="center"/>
              <w:outlineLvl w:val="2"/>
              <w:rPr>
                <w:rFonts w:hint="eastAsia" w:ascii="宋体" w:hAnsi="宋体" w:eastAsia="宋体" w:cs="宋体"/>
                <w:color w:val="auto"/>
                <w:kern w:val="0"/>
                <w:sz w:val="21"/>
                <w:szCs w:val="21"/>
                <w:highlight w:val="none"/>
              </w:rPr>
            </w:pPr>
          </w:p>
        </w:tc>
      </w:tr>
    </w:tbl>
    <w:p>
      <w:pPr>
        <w:spacing w:line="4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用户需求</w:t>
      </w:r>
      <w:r>
        <w:rPr>
          <w:rFonts w:hint="eastAsia" w:ascii="宋体" w:hAnsi="宋体" w:eastAsia="宋体" w:cs="宋体"/>
          <w:color w:val="auto"/>
          <w:kern w:val="0"/>
          <w:sz w:val="21"/>
          <w:szCs w:val="21"/>
          <w:highlight w:val="none"/>
          <w:lang w:val="en-US" w:eastAsia="zh-CN"/>
        </w:rPr>
        <w:t>书第三条按下表格式填写</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041"/>
        <w:gridCol w:w="6307"/>
        <w:gridCol w:w="722"/>
        <w:gridCol w:w="86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56" w:type="pct"/>
            <w:vMerge w:val="restar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43" w:type="pct"/>
            <w:gridSpan w:val="2"/>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200" w:type="pct"/>
            <w:gridSpan w:val="3"/>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56" w:type="pct"/>
            <w:vMerge w:val="continue"/>
            <w:vAlign w:val="center"/>
          </w:tcPr>
          <w:p>
            <w:pPr>
              <w:keepNext/>
              <w:keepLines/>
              <w:spacing w:line="400" w:lineRule="exact"/>
              <w:jc w:val="center"/>
              <w:outlineLvl w:val="0"/>
              <w:rPr>
                <w:rFonts w:hint="eastAsia" w:ascii="宋体" w:hAnsi="宋体" w:eastAsia="宋体" w:cs="宋体"/>
                <w:color w:val="auto"/>
                <w:kern w:val="0"/>
                <w:sz w:val="21"/>
                <w:szCs w:val="21"/>
                <w:highlight w:val="none"/>
              </w:rPr>
            </w:pPr>
          </w:p>
        </w:tc>
        <w:tc>
          <w:tcPr>
            <w:tcW w:w="502" w:type="pct"/>
            <w:vAlign w:val="center"/>
          </w:tcPr>
          <w:p>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设备名称</w:t>
            </w:r>
          </w:p>
        </w:tc>
        <w:tc>
          <w:tcPr>
            <w:tcW w:w="3040" w:type="pct"/>
            <w:vAlign w:val="center"/>
          </w:tcPr>
          <w:p>
            <w:pPr>
              <w:spacing w:line="4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配置说明</w:t>
            </w:r>
          </w:p>
        </w:tc>
        <w:tc>
          <w:tcPr>
            <w:tcW w:w="348"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433" w:type="pct"/>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pPr>
              <w:keepNext/>
              <w:keepLines/>
              <w:pageBreakBefore w:val="0"/>
              <w:kinsoku/>
              <w:wordWrap/>
              <w:overflowPunct/>
              <w:topLinePunct w:val="0"/>
              <w:bidi w:val="0"/>
              <w:snapToGrid/>
              <w:spacing w:line="240" w:lineRule="auto"/>
              <w:jc w:val="left"/>
              <w:textAlignment w:val="auto"/>
              <w:outlineLvl w:val="2"/>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一、厨房设备部分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pPr>
              <w:keepNext/>
              <w:keepLines/>
              <w:pageBreakBefore w:val="0"/>
              <w:kinsoku/>
              <w:wordWrap/>
              <w:overflowPunct/>
              <w:topLinePunct w:val="0"/>
              <w:bidi w:val="0"/>
              <w:snapToGrid/>
              <w:spacing w:line="240" w:lineRule="auto"/>
              <w:jc w:val="left"/>
              <w:textAlignment w:val="auto"/>
              <w:outlineLvl w:val="2"/>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A、仓储区/更衣室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不锈钢存放地架</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规格：1200*600*200mm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1.采用304不锈钢；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2.立柱采用38*38*1.2mm不锈钢方管；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3.横档采用304不锈钢材质，厚度1.2mm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4.配可调节不锈钢子弹脚；</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除湿机</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除湿率：60L/D</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水箱大小：10L</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功率：800W</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电源：220V</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A03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挡鼠板</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规格：1200*25*600mm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产品材质：不锈钢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主板厚度：2.5cm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卡槽尺寸：卡口2.5cm</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产品特性：易拆卸，防小动物。</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A04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挡鼠板</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规格：800*25*600mm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产品材质： 不锈钢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主板厚度：2.5cm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卡槽尺寸：卡口2.5cm</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产品特性：易拆卸，防小动物。</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A05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四层栅格货架</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规格：1500*500*1550mm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1.采用304不锈钢；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2.立柱采用38*38*1.2mm不锈钢方管；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3.横档采用304不锈钢材质，厚度1.2mm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4.配可调节不锈钢子弹脚；</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A06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四层平板货架</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规格：1200*500*1550mm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1.采用304不锈钢1.0mm；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2.立柱采用38*38*1.2mm不锈钢方管；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3.横档采用304不锈钢材质，厚度1.2mm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4.配可调节不锈钢子弹脚；</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A07</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回收柜（开孔）</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规格：700*650*800+150mm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材质说明：</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1.不锈钢304制造。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2.台面厚1.2mm。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3.柜身、底板厚1.0mm。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4.上斜拉门，外门厚1.0mm，门胆厚0.8mm。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5.通脚38*38*1.0mm，横梁38*25*1.0mm方管。</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6.承重脚：全不锈钢可调节承重脚，调节范围3cm~5cm。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A08</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单星盆水池</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规格：600*650*800+150mm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1.采用304不锈钢磨砂板材；</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A09</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灭蚊灯</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额定功率：≥0.016KW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额定电压：220V</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频率：50HZ</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有效范围：≥35平方米</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材料等级：ABS阻燃材料</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A10</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不锈钢存放地架</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规格：1200*600*200mm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1.采用304不锈钢；</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2.立柱采用38*38*1.2mm不锈钢方管；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3.横档采用304不锈钢材质，厚度1.2mm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4.配可调节不锈钢子弹脚；</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A11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干手器</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额定功率：2KW</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机身材质：ABS</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出风速度：≥12m/s</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A12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洗手星（脚踏式）</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规格：500*450*600mm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1.整体采用304不锈钢制作，台面厚1.2mm；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2.星盆斗厚1.0mm，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3.立柱采用38*38*1.2mm厚不锈钢方管，配不锈钢可调子弹脚；</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4.工作形式：脚踏式</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5.配水龙头。</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A13</w:t>
            </w:r>
          </w:p>
        </w:tc>
        <w:tc>
          <w:tcPr>
            <w:tcW w:w="502" w:type="pct"/>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四层平板货架</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规格：1500*500*1550mm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1.采用304不锈钢1.0mm；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2.立柱采用38*38*1.2mm不锈钢方管；</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3.横档采用304不锈钢材质，厚度1.2mm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4.配可调节不锈钢子弹脚；</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A14</w:t>
            </w:r>
          </w:p>
        </w:tc>
        <w:tc>
          <w:tcPr>
            <w:tcW w:w="502" w:type="pct"/>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6门更衣柜（下置鞋柜）</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规格：900*390*1800mm；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材质说明：</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1.304不锈钢材质制造；</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2.柜身厚1.0mm；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3.层板、外门板采用活动式结构；</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4.配可调节脚；</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5.2层衣柜+1层鞋柜</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A15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组合冷库/保鲜库</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规格：2400*3400*2600mm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1.冷库内壁板为304不锈钢1.0mm，内注B1级环保阻燃聚氨酯，聚胺脂厚100mm，其密度高保温性能好。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2.地面预留排水管道，边角整体弧形定制。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3.设备支架使用碳素钢矩形支架角钢，承重量大，刷油漆二遍，防锈。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4.配门规格≥800*1800，304材质1.0mm，门带除霜功能；自动化霜，食品级密封胶条，配安全逃生锁具。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5.冷库温度：最低温度≤0℃，温度可调，电子显示温度工况。。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6.蒸发器管式过滤器使用低噪音风机，外壳采用优质不锈钢合金工艺，耐腐蚀。换热管采用光亮性铜管，机械胀管工艺，贴合密切换热效果好。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7.不锈钢电加热管均与分布于蒸发器芯体与接水盘，除霜效果好，冷库内匹配。膨胀阀、干燥过滤器、液境、雪种及电阀磁吸、继电器、高低压力制。丹佛斯吸附法干燥过滤与机组相匹配。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含油）高低压表，表壳采用SUS-304不锈钢材质配不锈钢法兰.表盖PC镜面强化玻璃,不锈钢表框.高压-0.1～3.8MPa.连接螺纹铜合金7/16″-20UNF铜管牙.弹簧管材质磷青铜.精度等级1.6，使用环境条件温度-20～60℃相对湿度小于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9.系统智能化管理，缺压安全预警，能源管理。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10.需配备自动控制系统，具有交流控制器，综合保护器。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11、含安装辅材及室外铜管延长50米，铜管保温（根据现场定制安装），保证设备完整性。</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12.压缩机功率≥5HP</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A16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组合冷库/冷冻库</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规格：2100*3400*2600mm</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1.冷库内壁板为304不锈钢1.0mm，内注B1级环保阻燃聚氨酯，聚胺脂厚100mm，其密度高保温性能好。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2.地面预留排水管道，边角整体弧形定制。</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3.设备支架使用碳素钢矩形支架角钢，承重量大，刷油漆二遍，防锈。</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4.配门规格≥800*1800，304材质1.0mm，门带除霜功能；自动化霜，食品级密封胶条，配安全逃生锁具。</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5.冷库温度：最低温度≤-18℃，温度可调，电子显示温度工况。</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6.蒸发器管式过滤器使用低噪音风机，外壳采用优质不锈钢合金工艺，耐腐蚀。换热管采用光亮性铜管，机械胀管工艺，贴合密切换热效果好。</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7.不锈钢电加热管均与分布于蒸发器芯体与接水盘，除霜效果好，冷库内匹配。膨胀阀、干燥过滤器、液境、雪种及电阀磁吸、继电器、高低压力制。丹佛斯吸附法干燥过滤与机组相匹配。</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含油）高低压表，表壳采用SUS-304不锈钢材质配不锈钢法兰.表盖PC镜面强化玻璃,不锈钢表框.高压-0.1～3.8MPa.连接螺纹铜合金7/16″-20UNF铜管牙.弹簧管材质磷青铜.精度等级1.6，使用环境条件温度-20～60℃相对湿度小于80%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9.系统智能化管理，缺压安全预警，能源管理。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10.需配备自动控制系统，具有交流控制器，综合保护器。</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11、含安装辅材及室外铜管延长50米，铜管保温（根据现场定制安装），保证设备完整性。</w:t>
            </w:r>
          </w:p>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12.压缩机功率≥5HP</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B、加工间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柜式餐具车</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规格：500*800*950mm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2.推车面板厚1.2mm。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3.设置不锈钢推拉手，下配两定两动静音轮。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4.配重力型脚轮。</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平板推车</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规格：500*900*857mm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2.推车面板厚1.5mm。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3.设置不锈钢推拉手，下配两定两动静音轮。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4.配重力型脚轮。</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B03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三层餐车</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规格：850*500*900mm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2.推车面板厚1.2mm。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3.设置不锈钢推拉手，下配两定两动静音轮。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4.配重力型脚轮。</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B04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洗地龙头</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1.规格：蓝色液压管/配10米；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2.采用不锈钢开放式卷盘厚度1.2MM，液压管出口采用304不锈钢板加固，系统控制软管的长度和拖拉力度，可自动撤回；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3.标配一把喷枪或花洒喷头。</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B05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单星杀鱼台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规格：1500*700*800mm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1.整体采用304不锈钢制作，台面厚1.2mm；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2.星盆斗厚1.0mm，星盆斗尺寸：500*500*280mm，配置提篮式不锈钢下水器；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3.立柱采用Φ48*1.0mm圆通，配不锈钢可调子弹脚；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4.横撑采用Φ32*1.0mm圆通。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B06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刀具砧板及毛巾消毒柜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规格：1200*600*1800mm、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材质：不锈钢材质1.0mm，配刀具、毛巾及砧板三种功能消毒；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功率/电压：0.35kw/220V；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柜上部紫外线，柜下部红外线。</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B07</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不锈钢存放地架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规格：1500*500*200mm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B08</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电热水器</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电压：220V；功率：2KW，储水容积≥80L；一级能效；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水电分离瓷热舱+加长防电墙+漏电提醒；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内胆材质搪瓷或珐琅或金圭。</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B09</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挡鼠板</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B10</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干手器</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额定功率：2KW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机身材质：ABS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出风速度：≥12m/s</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B11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洗手星</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规格：500*450*600mm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B12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四层货架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规格：1200*500*1500mm、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B13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灭蚊灯</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B14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双层平板工作台</w:t>
            </w:r>
          </w:p>
        </w:tc>
        <w:tc>
          <w:tcPr>
            <w:tcW w:w="3040" w:type="pct"/>
            <w:vAlign w:val="center"/>
          </w:tcPr>
          <w:p>
            <w:pPr>
              <w:keepNext w:val="0"/>
              <w:keepLines w:val="0"/>
              <w:widowControl/>
              <w:suppressLineNumbers w:val="0"/>
              <w:jc w:val="left"/>
              <w:textAlignment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规格：1600*760*950mm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B15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双层平板工作台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规格：900*760*950mm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B16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绞切肉机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规格：630*430*800mm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1.绞肉产量：≥180kg/h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2.切肉产量：≥400kg/h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3.使用电压：220V/50Hz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4.电机功率：1500W。</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B17</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切片机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规格：420*265*390mm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刀片直径：10"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功率：≥0.23kw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转速282 R/min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切片厚度：1-12mm；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B18</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双层平板工作台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规格：1100*700*800mm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B19</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双层平板工作台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规格;1000*700*800mm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B20</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多功能切菜机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规格：1300*700*1140mm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功率：≥1.3KW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生产能力：≥300kg/H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配置：叶菜部标配2支叶菜805大刀，球根茎标配1个3片、1个3丝、1套12丁（其中根茎片盘2-10mm可选，丝盘2-10mm可选）</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B21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砧板工作台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1.优质不锈钢304制造，台面1.2mm。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2.砧板面板垫实木板≥15mm，台面厚50mm。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B22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大单星盆水池</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规格：1000*760*800+150mm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B23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三星盆水池</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规格;2000*760*800+150mm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B24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三星盆水池</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B25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摇头壁扇</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650壁扇；钛铝镁合金扇叶；上下左右摇头；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扇叶片数：3叶；额定功率≥230W；风力档位：3档</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C、烹饪间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吊天花双层架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规格：1800*400*1500mm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摇摆汤锅</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 xml:space="preserve">容积≥150L；燃气种类：天燃气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1.热负荷≥40kw；额定压力：2000Pa；热效率≥55%；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2.炉头需要熄火保护控制。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C03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四层平板货架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C04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双层平板工作台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规格：1200*760*950mm、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C05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双层平板工作台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规格：1600*800*800mm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C06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单星盆水池</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规格：800*900*950mm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C07</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燃气六头煲仔炉</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规格：1500*900*800+150mm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1.不锈钢SUS304制造，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2.炉面板厚1.2mm，150mm高后挡水。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3.下层板厚1.0mm。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4.炉围及炉身、前板、接油盘厚1.0mm*通脚38*38*1.0mm方管。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5.热电偶式熄火保护安全稳定。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6.子弹脚：全不锈钢可调节子弹脚，调节范围3cm~5cm。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7.热负荷：≥30kw；额定压力：2000Pa。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8.炉头需要熄火保护控制。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C08</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双层平板工作台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C09</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双层平板工作台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C10</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双头大锅灶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规格：2200*1100*800+450mm；燃气种类：天燃气；配锅800mm*2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1.炉面板采用1.5mm厚304食品级不锈钢板材，台面一体成型，IPX4标准防水设计。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2.水围、炉围及炉身、背板、前板采用1.2mm厚304食品级不锈钢板制作。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3.底架采用50mm×50mm不锈钢方管，2.0mm厚钢板与面板隔热处理。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6.炉头火位：内砌耐火砖结火位,环保节能炉头﹐静音设计。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8.热负荷：单头≥40kw；额定压力：2000Pa；热效率≥55%。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10.设备配套风机组件、0.125KW/220V~0.550KW/220V</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C11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单星工作台（右星）</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C12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双层平板工作台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规格：1800*760*800mm、1.材质:304不锈钢板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C13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双通工作台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规格：1800*800*800mm、1.材质:不锈钢板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2.面板用304不锈钢板制作δ=1.2mm,柜门及层板δ=1.0mm,内层马仔用不锈钢板制作加固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C14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炉拼台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规格：400*1100*800+450mm、1.优质304不锈钢磨砂板，面板1.2mm、侧板1.0mm；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2.立柱采用38×38×1.0mm厚不锈钢方管，配不锈钢可调子弹脚；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3.横撑采用38*25*1.0mm方管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4.配不锈钢可调子弹脚。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C15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大单星盆水池</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规格：1200*760*800+150mm、1.采用304不锈钢磨砂板材；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C16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双门蒸饭柜（含饭盆）</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 xml:space="preserve">24盆，配饭盆；燃气种类：天燃气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1.采用304食品级不锈钢板材1.0mm，整体发泡。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2.配节能蒸汽发生器。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6.双门可独立控制。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8.热负荷：≥36kw；额定压力：2000Pa；热效率≥55%。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10.设备配套风机组件、0.075KW/220V~0.550KW/220V</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C17</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海鲜蒸柜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 xml:space="preserve">规格：1000*900*1800mm；燃气种类：天燃气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1.炉面板采用1.2mm厚304食品级不锈钢板材，台面一体成型，IPX4标准防水设计。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2.配节能蒸汽发生器。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6.三门独立控制。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8.热负荷≥40kw；额定压力：2000Pa；热效率≥55%。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10.设备配套风机组件、0.075KW/220V~0.550KW/220V</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C18</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洗米机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容积≥100kg；材质:不锈钢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规格:100kg洗米机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水压:4kg</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C19</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双头单尾小炒灶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 xml:space="preserve">规格：1800*1100*915mm；燃气种类：天燃气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1.炉面板采用1.5mm厚304食品级不锈钢板材，台面一体成型，IPX4标准防水设计。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2.水围、炉围及炉身、背板、前板采用1.2mm厚304食品级不锈钢板制作。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3.底架采用50mm×50mm不锈钢方管，2.0mm厚钢板与面板隔热处理。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6.炉头火位：内砌耐火砖结火位,环保节能炉头﹐静音设计。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8.热负荷：单头≥40kw；额定压力：2000Pa；热效率≥45%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10.设备配套风机组件、0.125KW/220V~0.550KW/220V</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C20</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双层平板工作台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规格：1600*700*800mm、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C21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单头矮汤炉</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 xml:space="preserve">规格：700*850*600+650mm、燃气种类：天燃气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1.炉面板采用1.5mm厚304食品级不锈钢板材，台面一体成型，IPX4标准防水设计。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2.水围、炉围及炉身、背板、前板采用1.2mm厚304食品级不锈钢板制作。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3.底架采用50mm×50mm不锈钢方管，2.0mm厚钢板与面板隔热处理。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4.炉脚采用不锈钢Φ50组成。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5.全自动不锈钢进水系统。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6.炉头火位：内砌耐火砖结火位，环保节能炉头，静音设计。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7.带开机自检故障自检运行自检功能。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8.热负荷：单头≥32kw；额定压力：2000Pa；热效率≥55%。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9.炉头需要熄火保护控制。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10.设备配套风机组件、0.125KW/220V~0.550KW/220V</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C22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普通式油网烟罩</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规格：4200*1200*500mm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1.采用1.0mm厚304磨砂不锈钢板。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2.不锈钢接驳口焊连接，烟罩深度≥1200mm，高度≥500mm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3.烟罩内部的前方及两侧设有油脂、泠凝水收集槽，油槽底面设有≥15mm的高度差，每节烟罩配有活动双折迭把手接油盆隔热、散热、防潮、防尘电器检修舱设计。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5.配可调节风口，配合使用工位及天花整体设计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6.配封钢板（配套安装高度1000mm），1.0mm厚304磨砂不锈钢板。</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C23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普通式油网烟罩</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规格：4200*1200*500mm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1.采用1.0mm厚304磨砂不锈钢板。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2.不锈钢接驳口焊连接，烟罩深度≥1200mm，高度≥500mm。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3.烟罩内部的前方及两侧设有油脂、泠凝水收集槽，油槽底面设有≥15mm的高度差，每节烟罩配有活动双折迭把手接油盆隔热、散热、防潮、防尘电器检修舱设计。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5.配可调节风口，配合使用工位及天花整体设计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6.配封钢板（配套安装高度1000mm），1.0mm厚304磨砂不锈钢板。</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C24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不锈钢存放地架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规格：1200*500*200mm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C25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洗地龙头</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1.规格：蓝色液压管/配15米；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2.采用不锈钢开放式卷盘厚度1.2MM，液压管出口采用304不锈钢板加固，系统控制软管的长度和拖拉力度，可自动撤回；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3.标配一把喷枪或花洒喷头。</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C26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灭蚊灯</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C27</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油烟净化一体机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规格：2000*1300*1000mm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优质不锈钢板材制作，内置净化单元（集抽、排、净化于一体），采用单台操作及控制系统（独立风机、噪音低、流量大。效率高），实现低空达标排放标准，采用防火灾设计理念，风机整体内嵌隐藏在烟罩之内，避免二次吊装，自带动力，自动清洗，自动排污，自动软启动。设备累计工作17小时，自动清洗净化芯体，实现弱电对强电的自动化控制。并且根据油烟的污染程度，在后台电脑上修改自动清洗周期，保障净化效果（油烟发生量大，净化周期短，油烟发生量小，净化周期长），以及节约用水的效果。风机为高效率、低功率、低噪声外转子专用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设备运行中可将油烟颗粒物、蒸气、气味和臭氧氧化反应，氧化在排气室以及管道内发生，油烟净化系统处理效率可达到90%以上，采用产品专用净化剂符合国家GB/14930.1-2015《食品安全国家标准洗涤剂》的检测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3.油烟净化一体机出口烟气含水率≤8%、额定风量下净化率≥90%，需符合国家GB1616157-1996、GB/T14675-1993、HJ57-2017检测依据标准；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4.功率≥1.1kw；电压：220V；处理风量≥4500m3/H；</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C28</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挡鼠板</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D、面食间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蒸笼架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1.规格：540*470*760mm；采用304不锈钢；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2.厚度1.2mm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电饼铛</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锅盘直径：≥500mm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额定功率：≥4.5KW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柜门采用平开式</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D03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储物柜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规格：1100*500*1800mm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3.单面活动趟门，不锈钢导轨吊轮、整体折边成形趟门：外层304不锈钢1.0mm；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D04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冷藏操作台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规格：1800*760*800mm；内外箱不锈钢，电子式温控数显器，折边门；制冷方式：直冷；温度范围：-10℃～0℃/0℃～+10℃。</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D05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不锈钢单门发酵箱</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1.箱体内外采用优质不锈钢材料制造，经久耐用。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2.功率：≥2.0KW；电压：220V，全自动微电脑触摸式数控系统。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3.内置式风机循环装置，使箱内温度均匀一致。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4.宽敞玻璃视窗和内置照明系统，发酵过程一目了然。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5.规格：13(盘)/门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6.设自动进水装置和任意调节层架。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D06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三层六盘烤箱</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功率：≥19KW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规格：三层六盘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直插式，配烤盘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支持标准商用的600×400烤盘，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烤箱工作时声响为70-90分贝。</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D07</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面粉车</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规格：500*600*530mm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2.厚度：面板≥1.0mm；配桶盖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3.下配加重静音两个4"定向活动轮，两个4"带刹车万向活动轮。</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D08</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木案工作台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1.优质不锈钢304制造。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2.松木台面厚50mm。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3.通脚38X38X1.0mm方管，横梁38X38X1.0mm方管。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4.子弹脚：全不锈钢可调节子弹脚，调节范围3cm~5cm。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D09</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揉压压面机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压面厚度：1~5mm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电机功率：1.1KW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压面宽度：≥288mm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生产能力：125kg/h。</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D10</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双动和面机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料桶容积：35L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电机功率：1.1KW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最大和面量：12Kg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料桶转速：15r/Min。</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D11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搅拌机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料桶容积：≥30L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电机功率：1.5KW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最大和面量：10Kg</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D12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单星盆水池</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规格：600*760*800+150mm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D13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新风式油网烟罩</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规格：3600*1300*500mm、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1.采用1.0mm厚304磨砂不锈钢板。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2.不锈钢接驳口焊连接，烟罩深度≥1300mm，高度≥500mm。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3.烟罩内部的前方及两侧设有油脂、泠凝水收集槽。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5.配可调节风口，配合使用工位及天花整体设计。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6.配封钢板（配套安装高度1000mm），1.0mm厚304磨砂不锈钢板。</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D14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饼盘车</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规格：420*720*1670mm、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1.整体采用304不锈钢制作；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2.L片厚度为1.5mm；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3.脚管采用38*38*1.0mm不锈钢方通；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4.配静音万向轮，带刹车。</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D15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灭蚊灯</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D16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挡鼠板</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E、检测室/熟食间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双门留样柜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1.有效容积≥500L,透视窗式，配锁功能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2.制冷剂R134A或同类环保冷媒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3.冷藏温度：0℃～10℃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4.电压:220V。</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农药残留快速测试仪</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主要用于农药残毒含量的检测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配套功能：数据电子化管理，软件管理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波长配置：410nm；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通道：≥8通道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抑制率显示范围：0%～100%；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抑制率测量范围：0%～100%；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透射比准确度：±1.5%；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透射比重复性：≤0.5%；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漂移：≤0.005Abs/3min；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抑制率示值误差：≤10%</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E03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四层货架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E04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干手器</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额定功率：2KW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机身材质：ABS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出风速度：≥12m/s</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E05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工作柜带靠背</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规格：1200*800*800+150mm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E06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单门留样柜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1.有效容积≥200L,透视窗式，配锁功能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2.制冷剂R134A或同类环保冷媒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3.冷藏温度：0℃～10℃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4.电压:220V。</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E07</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单星工作台柜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规格：1200*800*800+150mm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E08</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灭蚊灯</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E09</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双层平板工作台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规格：700*700*800mm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E10</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洗手星</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规格：500*450*600mm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E11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烧腊挂架连油盆</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规格：1000*350*1300mm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2.油盆不锈钢板厚1.0mm；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3.吊杆采用Ф48*1.0mm厚不锈钢圆管制作。</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E12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单星盆水池</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规格：600*760*800+150mm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E13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微波炉</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功率: 1300W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面板类型: 透明 镜面 平板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烹饪方式: 微波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底盘类型: 平板式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内胆材质: 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液晶显示: 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能效等级: 一级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控制方式: 电脑式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微波炉分类: 微波炉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是否变频: 变频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开门方式: 侧拉式</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E14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冷藏操作台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规格：1500*760*800mm；内外箱不锈钢，电子式温控数显器，折边门；制冷方式：直冷；温度范围：-10℃～0℃/0℃～+10℃。</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E15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双层平板工作台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规格：1500*760*800mm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E16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紫外线消毒灯</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功率:≥55W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管径：15mm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F、洗消间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不锈钢勺快回收柜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规格：3500*400*950mm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3.柜身、底板厚1.0mm。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4.上斜拉门，外门厚1.0mm，门胆厚0.8mm。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5.通脚38*38*1.0mm，横梁38*25*1.0mm方管。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6.承重脚：全不锈钢可调节承重脚，调节范围3cm~5cm。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1#智能餐盘传送带(直线型)</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参考尺寸：8000*480*940mm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1、设备传送速度15-20米/分钟；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3、传送采用链板式结构。机架采用304不锈钢方管制作1.2mm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4、配置静音驱动马达，柔性启动等功能，保障餐具传送的稳定及传送带的静音运行；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5、工作区传送带配置可拆卸PP护边，进行清洁工作时，可将护边拆卸，方便清洁，不留卫生死角；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6.功率≤1KW；电压：220V；链板式（样式深化设计确认）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7.无极变频调速控制，内外配应急停止控制；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F03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L转角输送传送带</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2.传送采用链板式结构，机架采用304不锈钢制作≥1.2mm。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3.转角90度，无缝对接传送带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4.输送带宽度≥480mm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5.与直线输送带配套安装。</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F04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不锈钢餐具除渣处理机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处理能力≥0.5T/小时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4.自动清洗过滤，配套除渣装置；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5.功率≥2kw，智能控制。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F05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2#智能餐盘传送带(直线型)</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参考尺寸：7500*480*940mm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1.设备传送速度15-20米/分钟；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3.传送采用链板式结构。机架采用304不锈钢方管制作1.2mm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4.配置静音驱动马达，柔性启动等功能，保障餐具传送的稳定及传送带的静音运行；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5.工作区传送带配置可拆卸PP护边，进行清洁工作时，可将护边拆卸，方便清洁，不留卫生死角；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6.功率≤1KW；电压：220V；链板式（样式深化设计确认）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7.无极变频调速控制，内外配应急停止控制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F06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3#智能餐盘传送带(直线型)</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参考尺寸：11000*480*940mm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1.设备传送速度15-20米/分钟；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3.传送采用链板式结构。机架采用304不锈钢方管制作1.2mm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4.配置静音驱动马达，柔性启动等功能，保障餐具传送的稳定及传送带的静音运行；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5.工作区传送带配置可拆卸PP护边，进行清洁工作时，可将护边拆卸，方便清洁，不留卫生死角；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6.功率≤2KW；电压：220V；链板式（样式深化设计确认）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7.无极变频调速控制，内外配应急停止控制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F07</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不锈钢预洗机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规格：1200*1000*950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5.功率≥2kw，智能控制。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F08</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不锈钢碗碟保洁柜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规格：1200*600*1800mm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3.单面活动趟门，不锈钢导轨吊轮、整体折边成形趟门：外层304不锈钢厚度1.0mm；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F09</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紫外线消毒灯</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功率:≥55W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管径：15mm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F10</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节能长龙式洗碗机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规格：6700*950*2015mm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1.双缸双喷带烘干，配电总功率≤56KW；电压：380V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2.设备主体板材为SUS304不锈钢1.5mm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3.洗涤速度：2.2米/分钟（速度可调），洗涤量≥3000碟/小时；耗水量≤380L/H。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4.消毒烘干机采用远红外线石英发热管，高温强力风机进行高温循环烘干。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5.设备每个模块，两侧上下两块挡板均可徒手拆卸，方便清洗和维护。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6.水箱采用阶梯式设计，保证水箱的清洗度，使餐具更加清洁，有效的节约用水，环保节能。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7.自动化操作程序，加热、洗涤全自动，只需轻轻一按即可，无需频繁操作，机器出口设有障碍停机。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8.餐具清洗后，餐具干净，烘干效果好，餐具无明显积水，水渍。</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F11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洗地龙头</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1、规格：蓝色液压管/配10米；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2、采用不锈钢开放式卷盘厚度1.2MM，液压管出口采用304不锈钢板加固，系统控制软管的长度和拖拉力度，可自动撤回；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3、标配一把喷枪或花洒喷头。</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F12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蒸汽集排烟罩</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规格：1200*1100*500mm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1.采用1.0mm厚304磨砂不锈钢板。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2.不锈钢接驳口焊连接，烟罩深度≥1100mm，高度≥500mm。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3.烟罩内部的前方及两侧设有油脂、泠凝水收集槽。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5.配可调节风口，配合使用工位或天花整体设计。</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F13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推车式餐具消毒碗柜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容积≥900L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1.不锈钢材质，双门结构，大容量设计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2.柜面板厚1.0mm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3.推车式结构(含推车)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5.功率：≥4000W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6.不锈钢箱体，定时控制开关。</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F14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4#智能餐盘传送带(直线型)</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参考尺寸：2000*480*940mm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1.设备传送速度15-20米/分钟；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2.整体架构，采用1.8mm厚优质不锈钢面板,侧封板1.2mm；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3.传送采用链板式结构。机架采用304不锈钢方管制作1.2mm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4.配置静音驱动马达，柔性启动等功能，保障餐具传送的稳定及传送带的静音运行；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5.工作区传送带配置可拆卸PP护边，进行清洁工作时，可将护边拆卸，方便清洁，不留卫生死角；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6.功率≤2KW；电压：220V；链板式（样式深化设计确认）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7.无极变频调速控制，内外配应急停止控制。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F15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垃圾回收处理设备</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处理能力≥0.5T/小时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1.整体架构采用优质304不锈钢板1.2mm；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2.自动控制，具有加热，厨余处理及过滤装置等功能。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3.配套输送回收，无缝对接。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4.功率≥3kW</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F16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挡鼠板</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F17</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四层栅格货架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规格：1500*500*1550mm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F18</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四层栅格货架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规格：1180*600*1550mm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F19</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四层栅格货架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规格：1000*500*1550mm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F20</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大单星盆水池</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规格：1000*700*800+150mm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F21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灭蚊灯</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F22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步入式高温热风循环消毒房</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规格：2800*2750*2100mm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1.消毒房库体：库体内外壁均采用304/0.8MM优质不锈钢板，中间100MM厚容重120G/m³憎水岩棉搭建而成，手工压制而成，防火等级A级。库体内配置防水、防潮灯。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2.消毒房顶板：体内外壁均采用304/0.8MM优质不锈钢板，中间100MM厚容重120G/m³憎水岩棉搭建而成，手工压制而成，防火等级A级。四周不锈钢方管加固，使库体更加牢固耐用。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3.耐高温专用门：门内外壁均采用304优质不锈钢板材，中间为双层钢化玻璃，可耐温300度，门口四周E型耐高温硅胶密封处理，防火等级A级。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4.专用防撞护栏：不锈钢材质，库内一周防撞防潮保护。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5.底板：采用3MM防滑铝板，底部方管骨架，防止湿滑，更加人性化；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6.加温加热系统：1)热风系统结构：为强对流热风循环结构模式。2)运行风机采用耐高温离心风机，耐高温为300℃，并加装风机罩壳。3)出风口：采用304不锈钢板定制而成。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7.控制系统：控制箱面板上装有温度显示设定，消毒保温时间设定美控控制系统。风机加热启动停止等操作按钮，库体上方装有液晶显示屏。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8.电源：380V/50HZ，功率≥24KW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9.消毒方式：高温热风循环，RT30℃-150℃</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F23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挡鼠板</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F24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挡鼠板</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规格：800*25*600mm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G、明档区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G01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餐厅员工洗手池</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规格：2400*500*800+150mm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G02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餐具保温柜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2.柜面板厚1.0mm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3.参考容积≥500L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5.功率：≥4000W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6.温度可调，不锈钢箱体，定时旋钮开关，带推车。</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G03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保温盆工作台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规格：2100*400*800mm；功率：2KW；电压：380V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2.台面1.2mm。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G04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保温盆工作台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 xml:space="preserve">规格：1800*400*800mm；功率：2KW；电压：380V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2.台面1.2mm。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G05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豪华保温车</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容积≥560L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功率：≥2000W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容量：≥560L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热风循环，六面整体发泡层工艺，专业菜品存放不锈钢层架，专业拉扣门把手、硅胶防撞圈设计、移动重力轮设计。独立风道、加湿。保温、保湿，有效保持菜品新鲜。</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G06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规格：1800*800*800mm、1.材质:304不锈钢板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G07</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电热保温台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规格：1800*800*800mm；制热功率：≥2KW；电压：380V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3.炉围及炉身、背板、前板厚1.0mm。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4.炉脚采用不锈钢6寸重力脚。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5.多种保护设计，有效防水、防虫、防油；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6.操控方式：采用多档火力开关，火力更精确控制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G08</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双层工作台</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规格：1200*800*800mm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G09</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电磁4头煲仔炉</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规格：800*800*800mm；功率：4*3.5kW；电压：380V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3.炉围及炉身、背板、前板厚1.0mm；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4.炉脚采用不锈钢6寸重力脚；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5.柔性固定微晶板固定装置；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6.多种保护设计，有效防水、防虫、防油；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7.操控方式：采用多档火力开关，火力更精确控制；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8.线盘高温保护，过压过流保护等多重保护，有独立散热风道；</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G10</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电扒炉</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2.功率：≥2KW；电压：220V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G11</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规格：600*800*800+150mm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G12</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工作方式：粘捕式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额定功率：≥0.016KW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有效范围：≥35平方米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材料等级：ABS阻燃材料</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G13</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电磁双头煮面炉</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规格：1200*800*830mm、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1.额定功率2*12KW；电压：380V；尺寸：1500*800*800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2.材质：全不锈钢加厚机身制作，坚固耐用。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3.电磁感应加热，热效率更高，出品速度更快。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4.全封闭机芯，独立式散热风道设计，做到真正防水，防油烟，防虫。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5.一体成型台面设计，水箱采用双面焊接技术，使用寿命长，不易漏水，自动故障检测，安全可靠。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6.采用霍尔传感器技术，电流检测更稳定，控温更精准；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7.显示屏能够显示电磁灶实时功率、线盘（IGBT模块）的实时温度。                                                                                                  8.采用十档磁控开关，精细化火力分布，经久耐用。</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G14</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规格：1100*800*800mm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G15</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G16</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G17</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规格：600*760*800+150mm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G18</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冷藏玻璃门操作台</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规格：1500*760*800mm；内外箱不锈钢，电子式温控数显器，折边门；制冷方式：直冷；温度范围：-10℃～0℃/0℃～+10℃。</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G19</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四层平板货架</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规格：1200*500*1550mm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G20</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暖汁保温箱</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规格：550*315*345mm；功率：1.2KW；电压：220V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2.台面、汤池厚1.2mm。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3.柜身、前板、底板、侧板厚1.0mm。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G21</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规格：1600*1000*500mm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G22</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规格：3400*1000*500mm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G23</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电热保温台</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规格：1400*700*850mm；制热功率：≥2KW；电压：380V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2.炉面板厚1.2mm。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3.炉围及炉身、背板、前板厚1.0mm。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4.炉脚采用不锈钢6寸重力脚。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5.多种保护设计，有效防水、防虫、防油。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6.操控方式：采用多档火力开关，火力更精确控制。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G24</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规格：1100*800*850mm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1.材质:304不锈钢板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2.面板用304不锈钢板制作δ=1.2mm,层板δ=1.0mm,内层马仔用不锈钢板制作加固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3.脚用Φ51mm不锈钢圆通制作,配可调节子弹脚。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G25</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单通移门挂墙柜</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规格：1500*400*600mm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2.立柱采用38×38×1.2mm不锈钢方管；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3.横档采用304不锈钢材质，厚度1.2mm；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4.配可调节不锈钢子弹脚；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5.要求：人的肢体所能接触处全部回边，倒钝，无脱边，毛刺。</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G26</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铁板烧</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规格：1600*800*800mm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1.铁板台面材料采用合金钢，厚度为20mm，其材质不变形、不变色。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2.总功率（kw）：≥6kw；电压：380V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3.内置排气及烟气处置接口装置。</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G27</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单星工作台</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规格：1500*760*800mm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2.面板及层板厚度1.2mm，底衬304不锈钢加强梁；星盆厚1.0mm；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3.设2寸不锈钢去水咀及溢水口；防止水满溢出，防溅水斜角设计，排水口采用直径110mm304不锈钢提篮式下水器，下水速度快；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G28</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规格：1300*1000*500mm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G29</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异形台（定制）</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规格：800-R90mm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1.采用304不锈钢磨砂板材；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2.面板及层板厚度1.2mm，底衬304不锈钢加强梁；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3.Φ51mm不锈钢通脚，下加可调式子弹脚。</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G30</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规格：3500*1100*500mm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G31</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规格：900*25*600mm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产品材质：不锈钢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主板厚度：2.5cm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卡槽尺寸：卡口2.5cm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产品特性：易拆卸，防小动物。</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G32</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规格：2000*1000*500mm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G33</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弧形玻璃烟罩</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90度弧形，外弧形半径≥1100mm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1.采用1.2mm厚304磨砂不锈钢板,配套玻璃安装。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2.不锈钢接驳口焊连接，烟罩深度≥1000mm，高度≥500mm。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3.烟罩内部设有油脂、泠凝水收集槽。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4.油烟网采用304不锈钢板制作。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5.钢化玻璃6mm。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G34</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包间消毒柜</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1.参考容积≥800L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3.功率：≥1200W</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G35</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包间餐具消毒保温柜</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规格：1800*800*800mm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1.不锈钢304制造；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2.柜面板厚1.0mm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3.参考容积≥500L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4.额定电压：380V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5.功率：≥4000W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6.温度：20~+125℃不锈钢箱体，定时旋钮开关，带推车。</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G36</w:t>
            </w:r>
          </w:p>
        </w:tc>
        <w:tc>
          <w:tcPr>
            <w:tcW w:w="502"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洗地机</w:t>
            </w:r>
          </w:p>
        </w:tc>
        <w:tc>
          <w:tcPr>
            <w:tcW w:w="3040" w:type="pct"/>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电池容量≥100Ah；续航时间≥180分钟；额定功率1000W以下；功能：拖扫吸式；清洁效率≥3000平方米/小时；清水箱容量≥55L；污水箱容量≥60L。</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000" w:type="pct"/>
            <w:gridSpan w:val="6"/>
            <w:vAlign w:val="center"/>
          </w:tcPr>
          <w:p>
            <w:pPr>
              <w:keepNext/>
              <w:keepLines/>
              <w:pageBreakBefore w:val="0"/>
              <w:kinsoku/>
              <w:wordWrap/>
              <w:overflowPunct/>
              <w:topLinePunct w:val="0"/>
              <w:bidi w:val="0"/>
              <w:snapToGrid/>
              <w:spacing w:line="240" w:lineRule="auto"/>
              <w:jc w:val="left"/>
              <w:textAlignment w:val="auto"/>
              <w:outlineLvl w:val="2"/>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H、阳光厨房管理系统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H01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阳光厨房监控设备</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成套、400万像素1/3"海螺半球网络摄像机；4.0定焦；10M/100M自适应网口；内置Mic;0.003lux(F1.6，AGCON，彩色)，0lux(开启红外)；宽动态范围：120dB；红外补光；30FPS（2688×1520）；支持运动检测、越界检测、虚焦检测、场景变更等；供电方式：DC12V(±25%)、POE；工作温湿度：-30℃~60℃，≤95%RH；防护等级：IP67。</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H02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服务电脑主机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成套、成套设备，台式电脑（CPU：i5-7400 ；内存≥16G ；显卡：集显；硬盘≥1T； WiFi蓝牙，显示器： 27寸），含鼠标、键盘、箱体等成套设备。</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H03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电子视频显示器</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面板类型:LED背光；面板尺寸：≥50寸，显示器在餐岛土建效果图上更新效果。配支架。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H04</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路由器</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8口。支持企业VPNLAN；千兆网口机身材质：外置天线无线协议；Wi-Fi 6LAN口类型；其他WAN口类型：151-200终端；无线速率3000M。</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H05</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监控级硬盘</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8TB容量，3.5英寸SATA3.0接口，7200RPM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高达256MB缓冲区，流畅存储视频有效防止丢帧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24×7全天候高效稳定运行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年度工作负载等级为300TB/年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MTBF可达1,000,000小时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高级格式（AF）512e扇区技术；</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H06</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网络视频录像机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1.可接驳符合开放型网络视频接口协议、RTSP协议、GB28181协议的网络摄像机；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2.支持最高1200W像素高清网络视频的预览、存储、回放；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3.存储接口：8个SATA接口，可满配12TB硬盘；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4.具有2个HDMI接口，2个VGA接口，可支持4K+1080P输出；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5.支持网络检测（网络流量监控、网络抓包、网络通畅）功能；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6.具有2个USB2.0接口、1个USB3.0接口；16路报警输入，4路报警输出；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7.支持同步回放及多路同步倒放；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8.支持本地预览权限的配置，设置权限后的通道只有登录后才会出现预览画面；支持远程预览加密，只有输入密钥才能解开视频；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9.支持密码复杂度等级显示；设备密码不允许明文显示和拷贝操作；并支持通过安全问题恢复密码，密码重置功能可开启或关闭；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支持设备密码口令复杂度显示且密码需满足复杂度要求才可以设置成功，密码口令中不能包含用户名、123、admin（不区分大小写）、连续四位及以上递增或递减数字（如1234、12345、4321等）、连续四位及以上相同字符简单口令（如1111、8888、aaaa等）；</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H07</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AI智能分析盒/系统</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智能管理、支持人脸抓拍对比、黑白名单布控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支持是否戴口罩，是否戴厨师帽，是否戴手套，抽烟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智能AI识别管理系统，高端版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1.可接驳符合ONVIF、RTSP标准及众多主流厂商的网络摄像机；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2.输入带宽：128Mbps；输出带宽：256Mbps；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3.接入能力：16路H.264、H.265格式高清码流接入；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4.两个千兆网卡，支持网络容错和多址设定应用；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5.支持IPC集中管理，包括IPC参数配置、信息的导入/导出、语音对讲和升级等功能；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6.具有2个USB2.0接口、1个USB3.0接口；16路报警输入，4路报警输出；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接入普通IPC，支持在预览画面中展示智能信息，支持实时展示目标对象，目标属性，目标置信度，目标ID，目标位置框信息，并且智能信息能够紧跟目标移动；预览画面中展示智能信息颜色可配置（常规时绿色，报警时变成红色），字体大小可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8.支持导入视觉大模型进行分析，支持视频分析、图片分析、图片二次分析过滤；</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H08</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交换机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智能管理、支持人脸抓拍对比、黑白名单布控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支持是否戴口罩，是否戴厨师帽，是否戴手套，抽烟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智能AI识别管理系统，高端版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1.可接驳符合ONVIF、RTSP标准及众多主流厂商的网络摄像机；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2.输入带宽：128Mbps；输出带宽：256Mbps；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3.接入能力：16路H.264、H.265格式高清码流接入；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4.两个千兆网卡，支持网络容错和多址设定应用；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5.支持IPC集中管理，包括IPC参数配置、信息的导入/导出、语音对讲和升级等功能；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6.具有2个USB2.0接口、1个USB3.0接口；16路报警输入，4路报警输出；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支持接入普通IPC，支持在预览画面中展示智能信息，支持实时展示目标对象，目标属性，目标置信度，目标ID，目标位置框信息，并且智能信息能够紧跟目标移动；预览画面中展示智能信息颜色可配置（常规时绿色，报警时变成红色），字体大小可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8.支持导入视觉大模型进行分析，支持视频分析、图片分析、图片二次分析过滤；</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H09</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提供及安装六类网线及线管</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1.六类网线DS-1LN6-UE、国标；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2.配套安装铁线管（包工包料），现场安装；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3.配套安装辅材；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4.网线长度：4箱（1200米），配套现场设备供应安装；</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00" w:type="pct"/>
            <w:gridSpan w:val="6"/>
            <w:vAlign w:val="center"/>
          </w:tcPr>
          <w:p>
            <w:pPr>
              <w:keepNext/>
              <w:keepLines/>
              <w:pageBreakBefore w:val="0"/>
              <w:kinsoku/>
              <w:wordWrap/>
              <w:overflowPunct/>
              <w:topLinePunct w:val="0"/>
              <w:bidi w:val="0"/>
              <w:snapToGrid/>
              <w:spacing w:line="240" w:lineRule="auto"/>
              <w:jc w:val="left"/>
              <w:textAlignment w:val="auto"/>
              <w:outlineLvl w:val="2"/>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二、室内/后厨制冷空调降温系统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00" w:type="pct"/>
            <w:gridSpan w:val="6"/>
            <w:vAlign w:val="center"/>
          </w:tcPr>
          <w:p>
            <w:pPr>
              <w:keepNext/>
              <w:keepLines/>
              <w:pageBreakBefore w:val="0"/>
              <w:kinsoku/>
              <w:wordWrap/>
              <w:overflowPunct/>
              <w:topLinePunct w:val="0"/>
              <w:bidi w:val="0"/>
              <w:snapToGrid/>
              <w:spacing w:line="240" w:lineRule="auto"/>
              <w:jc w:val="left"/>
              <w:textAlignment w:val="auto"/>
              <w:outlineLvl w:val="2"/>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I、功能区1制冷空调系统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I01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功能区室外机及配套设施安装</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厨房专用；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1.空调室外主机（制冷量：≥50KW；电源：380V）、室外安装，风冷式，厨房区专项功能区使用：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2.配套机架安装：槽钢12#；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3.配套冷媒管道安装及辅材（管道长度60米）；全紫铜管加保温，现场施工定制；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4.配套机架安装，不锈钢机架；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5.排水管道安装（管道长度8米）：PVC排水管材，dn32、现场安装，辅材胶水等；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6.排水管道发泡保温，内管dn32（外包PVC dn63）；</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I02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功能区室内机及配套设施安装</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厨房专用；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1.空调室内主机（制冷量：≥8KW）、室内安装，风冷式，功能区使用：厨房；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2.配线控器/遥控器：含配电及安装，成套安装，配套设备；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3.冷媒管道安装及辅材；空调机配套管道/全紫铜管道加保温，现场施工定制；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4.配套机架安装：不锈钢支架；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5.排水管道安装（管道长度20米）：PVC排水管材，dn25、现场安装，辅材胶水等；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6.排水管道发泡保温，内管dn25（外包PVCdn63）；</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J、功能区2制冷空调系统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J01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功能区室外机及配套设施安装</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厨房专用；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1.空调室外主机（制冷量：≥28KW；电源：380V）、室外安装，风冷式，厨房区专项功能区使用：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2.配套机架安装：槽钢12#；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3.配套冷媒管道安装及辅材（管道长度60米）；全紫铜管加保温，现场施工定制；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4.配套机架安装，不锈钢机架；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5.排水管道安装（管道长度8米）：PVC排水管材，dn32、现场安装，辅材胶水等；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6.排水管道发泡保温，内管dn32（外包PVC dn63）；</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J02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功能区室内机及配套设施安装</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厨房专用；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1.空调室内主机（制冷量：≥2.8KW）、室内安装，风冷式，功能区使用：厨房；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2.配线控器/遥控器：含配电及安装，成套安装，配套设备；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3.冷媒管道安装及辅材；空调机配套管道/全紫铜管道加保温，现场施工定制；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4.配套机架安装：不锈钢支架；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5.排水管道安装（管道长度20米）：PVC排水管材，dn25、现场安装，辅材胶水等；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6.排水管道发泡保温，内管dn25（外包PVCdn63）；</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000" w:type="pct"/>
            <w:gridSpan w:val="6"/>
            <w:vAlign w:val="center"/>
          </w:tcPr>
          <w:p>
            <w:pPr>
              <w:keepNext/>
              <w:keepLines/>
              <w:pageBreakBefore w:val="0"/>
              <w:kinsoku/>
              <w:wordWrap/>
              <w:overflowPunct/>
              <w:topLinePunct w:val="0"/>
              <w:bidi w:val="0"/>
              <w:snapToGrid/>
              <w:spacing w:line="240" w:lineRule="auto"/>
              <w:jc w:val="left"/>
              <w:textAlignment w:val="auto"/>
              <w:outlineLvl w:val="2"/>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K、厨房系统安全措施及灭火系统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K01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双瓶组灭火系统</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双瓶组、1.火灾自动探测，自动实施灭火；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2.自动发出声光报警，并可向消防控制中心输送火灾信号；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3.自动输出切断燃气供应的信号，也可根据需要，输出关闭风机，关闭非消防电源的信号；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4.喷射灭火剂后，自动切换喷射冷却水，防止复燃；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5.设有手动紧急启动机构；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6.采用机械启动，在火灾现场无电源的情况下，能可靠地实施装置启动，关闭机械式燃气阀；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7.采用食用油专用灭火剂；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8.设有DC24V备用电源，一旦断电，备用电源自动接入。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9.为了保证灭火效果，灭火时间需≤1.0s,提供相应检测报告；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10、设备具备耐腐蚀可靠性，检验时长超120小时以上,提供相应检测报告；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12.自动或手动启动装置进行喷洒灭火剂，灭火速度快，灭火全过程仅需1～3秒。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13.离火预警系统</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00" w:type="pct"/>
            <w:gridSpan w:val="6"/>
            <w:vAlign w:val="center"/>
          </w:tcPr>
          <w:p>
            <w:pPr>
              <w:keepNext/>
              <w:keepLines/>
              <w:pageBreakBefore w:val="0"/>
              <w:kinsoku/>
              <w:wordWrap/>
              <w:overflowPunct/>
              <w:topLinePunct w:val="0"/>
              <w:bidi w:val="0"/>
              <w:snapToGrid/>
              <w:spacing w:line="240" w:lineRule="auto"/>
              <w:jc w:val="left"/>
              <w:textAlignment w:val="auto"/>
              <w:outlineLvl w:val="2"/>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L、反渗透净水系统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L01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反渗透净水系统</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RO/2吨/H；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1.产水能力：2T/H，TDS≤20us/cm；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2.配304不锈钢原水箱及净水箱：2吨（304不锈钢板0.8mm）；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3.配产水配套设施：原水/清洗/加压泵，补水系统，清洗系统，仪器仪表，多路阀，砂碳过滤，华膜反渗透膜(不锈钢膜3级过滤)；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4.变频供水：供水泵，供水至各用水点，供水龙头15个，配DN20不锈钢阀门3个；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5.供水管道：不锈钢管道，全部为304食品级材料；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6.直饮水管线长度200米，现场安装定制，配件管道件全部为304食品级材料；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7.机架采用304不锈钢管定制；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8.配PLC控制，系统管理，实时监控管理；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9.紫外线杀菌处理，过滤后净水水质达到直饮水标准；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10.成套系统配套机架、配电箱、配电线路及辅材等；</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vAlign w:val="center"/>
          </w:tcPr>
          <w:p>
            <w:pPr>
              <w:keepNext/>
              <w:keepLines/>
              <w:pageBreakBefore w:val="0"/>
              <w:kinsoku/>
              <w:wordWrap/>
              <w:overflowPunct/>
              <w:topLinePunct w:val="0"/>
              <w:bidi w:val="0"/>
              <w:snapToGrid/>
              <w:spacing w:line="240" w:lineRule="auto"/>
              <w:jc w:val="left"/>
              <w:textAlignment w:val="auto"/>
              <w:outlineLvl w:val="2"/>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三、通排新风系统系统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000" w:type="pct"/>
            <w:gridSpan w:val="6"/>
            <w:vAlign w:val="center"/>
          </w:tcPr>
          <w:p>
            <w:pPr>
              <w:keepNext/>
              <w:keepLines/>
              <w:pageBreakBefore w:val="0"/>
              <w:kinsoku/>
              <w:wordWrap/>
              <w:overflowPunct/>
              <w:topLinePunct w:val="0"/>
              <w:bidi w:val="0"/>
              <w:snapToGrid/>
              <w:spacing w:line="240" w:lineRule="auto"/>
              <w:jc w:val="left"/>
              <w:textAlignment w:val="auto"/>
              <w:outlineLvl w:val="2"/>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000" w:type="pct"/>
            <w:gridSpan w:val="6"/>
            <w:vAlign w:val="center"/>
          </w:tcPr>
          <w:p>
            <w:pPr>
              <w:keepNext/>
              <w:keepLines/>
              <w:pageBreakBefore w:val="0"/>
              <w:kinsoku/>
              <w:wordWrap/>
              <w:overflowPunct/>
              <w:topLinePunct w:val="0"/>
              <w:bidi w:val="0"/>
              <w:snapToGrid/>
              <w:spacing w:line="240" w:lineRule="auto"/>
              <w:jc w:val="left"/>
              <w:textAlignment w:val="auto"/>
              <w:outlineLvl w:val="2"/>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M、1#排烟系统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M01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1#抽风柜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规格：25寸；功率：15KW；电压：380V；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1.采用猪笼扇胆,镀锌板外壳；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2.柜式低噪音风机；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4.配置马达九线制保护控制系统：采用优质电子元件制作，含箱体及控制组件。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M02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1#排烟配套安装件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5.风柜防震支架1个；配套抽风柜；采用8#槽钢制作；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6.管道防火阀：规格1000*800mm、800*700mm、800*500mm各1个。依现场管道定制，采用A3钢板制作，外涂防腐防锈漆；防火阀与风管配套安装，口径与所在管道相同。安装位置按国标规范要求执行。材质：碳钢板。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7.止回阀：规格1000*800mm、800*700mm、800*500mm各1个。依现场管道定制，采用A3钢板制作，外涂防腐防锈漆。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8.其他安装辅材。</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M03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1#油烟环保净化处理设备</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处理能力≥35000m³/h；功率≥800W；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1.外壳材质采用不锈钢，板面拉丝。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2.前置金属均风过滤冲孔网+双组高压静电多重除油、高效除烟，实现油烟净化率达90%及以上。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智能数字高频高压电源，产品依据JCC/201011.1-2017《餐饮油烟净化器高压电源检测方法》，CCAEPI-RG-Q-041-2018《餐饮油烟净化器用高压电源》并通过CMA、CCEP检测认证，具有过压过流保护功能、负载短路保护功能、负载闪络打火保护功能、放电极油垢清洗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4.产品具有电磁兼容浪涌（冲击）测试报告。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5.相关产品经中科检测效率测试≥1.0~3.0um效率达92.4%，≥3.0~5.0um效率达95.8%。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6.产品通过“高低温（高温65℃恒温下，低温-15℃恒温下）”整机运行24小时测试符合电工电子产品环境试验。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7.产品的配电箱符合GB/T4208-2017《外壳防护等级（IP代码）》，检测产品配电箱外壳防护等级（IP55）项目合格。</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N、2#排烟系统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N01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2#抽风柜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规格：18寸；功率：3KW；电压：380V；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1.采用猪笼扇胆,镀锌板外壳；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2.柜式低噪音风机；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4.配置马达九线制保护控制系统：采用优质电子元件制作，含箱体及控制组件。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N02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2#排烟配套安装件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排烟配套定制；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5.风柜防震支架2个；配套抽风柜、采用8#槽钢制作；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6.管道防火阀1个：规格500*600mm；依现场管道定制，采用A3钢板制作，外涂防腐防锈漆；防火阀与风管配套安装，口径与所在管道相同。安装位置按国标规范要求执行。材质：碳钢板；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7.止回阀1个：规格500*600mm；依现场管道定制，采用A3钢板制作，外涂防腐防锈漆；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8.其他安装辅材；</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N03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2#油烟环保净化处理设备</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处理能力≥12000m³/h；功率≥300W；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1.外壳材质采用不锈钢，板面拉丝；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2.前置金属均风过滤冲孔网+双组高压静电多重除油、高效除烟，实现油烟净化率达90%及以上；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智能数字高频高压电源，产品依据JCC/201011.1-2017《餐饮油烟净化器高压电源检测方法》，CCAEPI-RG-Q-041-2018《餐饮油烟净化器用高压电源》并通过CMA、CCEP检测认证，具有过压过流保护功能、负载短路保护功能、负载闪络打火保护功能、放电极油垢清洗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4.产品具有电磁兼容浪涌（冲击）测试报告；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5.相关产品经中科检测效率测试≥1.0~3.0um效率达92.4%，≥3.0~5.0um效率达95.8%；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6.产品通过“高低温（高温65℃恒温下，低温-15℃恒温下）”整机运行24小时测试符合电工电子产品环境试验；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7.产品的配电箱符合GB/T4208-2017《外壳防护等级（IP代码）》，检测产品配电箱外壳防护等级（IP55）项目合格；</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O、3#排烟系统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O01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3#抽风柜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尺寸：18寸；功率：3KW；电压：380V；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1.采用猪笼扇胆,镀锌板外壳；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2.柜式低噪音风机；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4.配置马达九线制保护控制系统；采用优质电子元件制作，含箱体及控制组件。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O02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3#排烟配套安装件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排烟配套定制；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5.风柜防震支架1个；配套抽风柜、采用8#槽钢制作；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6.管道防火阀1个：规格500*600mm；依现场管道定制，采用A3钢板制作，外涂防腐防锈漆；防火阀与风管配套安装，口径与所在管道相同。安装位置按国标规范要求执行。材质：碳钢板；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7.止回阀1个：规格500*600mm；依现场管道定制，采用A3钢板制作，外涂防腐防锈漆；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8.其他安装辅材；</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P、4#排烟系统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P01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4#抽风柜</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规格：18寸；功率：5.5KW；电压：380V；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1.采用猪笼扇胆,镀锌板外壳；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2.柜式低噪音风机；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4.配置马达九线制保护控制系统：采用优质电子元件制作，含箱体及控制组件。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P02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4#油烟环保净化处理设备</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1.处理能力≥16000m³/h；功率≥300W；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1.外壳材质采用不锈钢，板面拉丝；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2.前置金属均风过滤冲孔网+双组高压静电多重除油、高效除烟，实现油烟净化率达90%及以上；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智能数字高频高压电源，产品依据JCC/201011.1-2017《餐饮油烟净化器高压电源检测方法》，CCAEPI-RG-Q-041-2018《餐饮油烟净化器用高压电源》并通过CMA、CCEP检测认证，具有过压过流保护功能、负载短路保护功能、负载闪络打火保护功能、放电极油垢清洗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4.产品具有电磁兼容浪涌（冲击）测试报告；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5.相关产品经中科检测效率测试≥1.0~3.0um效率达92.4%，≥3.0~5.0um效率达95.8%；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6.产品通过“高低温（高温65℃恒温下，低温-15℃恒温下）”整机运行24小时测试符合电工电子产品环境试验；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7.产品的配电箱符合GB/T4208-2017《外壳防护等级（IP代码）》，检测产品配电箱外壳防护等级（IP55）项目合格；</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P03</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4#排烟配套安装件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排烟配套定制：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5.通排风柜减震机架1个；风机定制配套、采用8#槽钢制作；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6.风柜防震支架1个；配套抽风柜、采用8#槽钢制作；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7.管道防火阀1个：规格600*600mm；依现场管道定制，采用A3钢板制作，外涂防腐防锈漆；防火阀与风管配套安装，口径与所在管道相同。安装位置按国标规范要求执行。材质：碳钢板；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8.止回阀1个：规格600*600mm；依现场管道定制，采用A3钢板制作，外涂防腐防锈漆；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9.其他安装辅材；</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Q、5#排烟系统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Q01</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5#低噪音排气风机</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功率：≥1.5KW；电压：380V；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1.低噪音静音风机；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2.依现场配置安装；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3.配置保护控制系统；采用优质电子元件制作，含箱体及控制组件。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Q02</w:t>
            </w:r>
          </w:p>
        </w:tc>
        <w:tc>
          <w:tcPr>
            <w:tcW w:w="502" w:type="pct"/>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5#排烟配套安装件</w:t>
            </w:r>
          </w:p>
        </w:tc>
        <w:tc>
          <w:tcPr>
            <w:tcW w:w="3040" w:type="pct"/>
            <w:vAlign w:val="center"/>
          </w:tcPr>
          <w:p>
            <w:pPr>
              <w:keepNext w:val="0"/>
              <w:keepLines w:val="0"/>
              <w:widowControl/>
              <w:suppressLineNumbers w:val="0"/>
              <w:jc w:val="left"/>
              <w:textAlignment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风机配套定制；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5.其他安装辅材；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6.风机减震机架1个；风机定制配套、采用5#角铁制作；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7.管道防火阀：规格400*400mm1个；依现场管道定制，采用A3钢板制作，外涂防腐防锈漆；防火阀与风管配套安装，口径与所在管道相同。安装位置按国标规范要求执行。材质：碳钢板；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8.止回阀：规格400*400mm1个；依现场/管道定制，采用A3钢板制作，外涂防腐防锈漆；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9.净化器支架1个；配套净化器、采用5#角铁制作；</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Q03</w:t>
            </w:r>
          </w:p>
        </w:tc>
        <w:tc>
          <w:tcPr>
            <w:tcW w:w="104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5#油烟环保净化处理设备</w:t>
            </w:r>
          </w:p>
        </w:tc>
        <w:tc>
          <w:tcPr>
            <w:tcW w:w="6307"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处理能力≥4000m³/h；功率≥100W；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1.外壳材质采用不锈钢，板面拉丝；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2.前置金属均风过滤冲孔网+双组高压静电多重除油、高效除烟，实现油烟净化率达90%及以上；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智能数字高频高压电源，产品依据JCC/201011.1-2017《餐饮油烟净化器高压电源检测方法》，CCAEPI-RG-Q-041-2018《餐饮油烟净化器用高压电源》并通过CMA、CCEP检测认证，具有过压过流保护功能、负载短路保护功能、负载闪络打火保护功能、放电极油垢清洗提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4.产品具有电磁兼容浪涌（冲击）测试报告；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5.相关产品经中科检测效率测试≥1.0~3.0um效率达92.4%，≥3.0~5.0um效率达95.8%；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6.产品通过“高低温（高温65℃恒温下，低温-15℃恒温下）”整机运行24小时测试符合电工电子产品环境试验；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7.产品的配电箱符合GB/T4208-2017《外壳防护等级（IP代码）》，检测产品配电箱外壳防护等级（IP55）项目合格；</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(二)新风系统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R、1#新风系统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R01</w:t>
            </w:r>
          </w:p>
        </w:tc>
        <w:tc>
          <w:tcPr>
            <w:tcW w:w="5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1#新风机</w:t>
            </w:r>
          </w:p>
        </w:tc>
        <w:tc>
          <w:tcPr>
            <w:tcW w:w="304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最大风量≥22000m³/H；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1.水帘式环保新风机组；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2.角铁制作，配轴承和轴；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3.自动清洗功能；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4.自动控制，配水帘净化降温功能；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5.配置运行保护控制系统：组件/控制件、采用优质电子元件制作,智能多档控制。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56" w:type="pct"/>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R02</w:t>
            </w:r>
          </w:p>
        </w:tc>
        <w:tc>
          <w:tcPr>
            <w:tcW w:w="5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1#新风配套安装件</w:t>
            </w:r>
          </w:p>
        </w:tc>
        <w:tc>
          <w:tcPr>
            <w:tcW w:w="304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新风系统配套定制；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5.管道防火阀：规格700*500mm；依现场管道定制，采用A3钢板制作，外涂防腐防锈漆；防火阀与风管配套安装，口径与所在管道相同。安装位置按国标规范要求执行。材质：碳钢板；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6.新风柜减震机架1个；风机定制配套、采用8#槽钢制作；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7.单向阀2套；规格700*500mm；依现场管道定制，采用A3钢板制作，外涂防腐防锈漆；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8.风百叶1套；配管定制；规格1000*800mm；依现场定制，铝合金1.2mm；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9.新风咀/可调节20套；定制G180、采用优质铝合金制作；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10.调节阀6个；规格800*600mm、600*600mm各1个，500*300mm4个；依现场管道定制，采用A3钢板制作，外涂防腐防锈漆；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11.其他安装辅材；</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S、2#新风系统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S01</w:t>
            </w:r>
          </w:p>
        </w:tc>
        <w:tc>
          <w:tcPr>
            <w:tcW w:w="5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2#新风机</w:t>
            </w:r>
          </w:p>
        </w:tc>
        <w:tc>
          <w:tcPr>
            <w:tcW w:w="304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风量18000m³/H；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1.水帘式环保新风机组；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2.角铁制作，配轴承和轴；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3.自动清洗功能；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4.自动控制，配水帘净化降温功能；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5.配置运行保护控制系统：组件/控制件、采用优质电子元件制作,智能多档控制。</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S02</w:t>
            </w:r>
          </w:p>
        </w:tc>
        <w:tc>
          <w:tcPr>
            <w:tcW w:w="50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2#新风配套安装件</w:t>
            </w:r>
          </w:p>
        </w:tc>
        <w:tc>
          <w:tcPr>
            <w:tcW w:w="3040"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新风系统配套定制；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1.风管吊码，现场安装；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2.管道法兰；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3.管道密封材料；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4.防火帆布软接1套；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5.管道防火阀2套，规格700*500mm、依现场管道定制，采用A3钢板制作，外涂防腐防锈漆；防火阀与风管配套安装，口径与所在管道相同。安装位置按国标规范要求执行；材质：碳钢板；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6.鲜风柜减震机架1个：风机定制配套、采用8#槽钢制作；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7.单向阀2个；规格500*500mm，配管定制、依现场管道定制，采用A3钢板制作，外涂防腐防锈漆；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8.调节阀6个：规格500*300mm2个，规格400*300mm4个；依现场/管道定制，采用A3钢板制作，外涂防腐防锈漆；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9.风百叶1套；配管定制；规格1000*800mm；依现场定制，铝合金1.2mm；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10.鲜风咀/可调节15套；定制G180、采用优质铝合金制作；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11.其他安装辅材；</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vAlign w:val="center"/>
          </w:tcPr>
          <w:p>
            <w:pPr>
              <w:keepNext/>
              <w:keepLines/>
              <w:pageBreakBefore w:val="0"/>
              <w:kinsoku/>
              <w:wordWrap/>
              <w:overflowPunct/>
              <w:topLinePunct w:val="0"/>
              <w:bidi w:val="0"/>
              <w:snapToGrid/>
              <w:spacing w:line="240" w:lineRule="auto"/>
              <w:jc w:val="both"/>
              <w:textAlignment w:val="auto"/>
              <w:outlineLvl w:val="2"/>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u w:val="none"/>
                <w:lang w:val="en-US" w:eastAsia="zh-CN" w:bidi="ar"/>
              </w:rPr>
              <w:t>(三)新风管道系统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T01</w:t>
            </w:r>
          </w:p>
        </w:tc>
        <w:tc>
          <w:tcPr>
            <w:tcW w:w="10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通风管道</w:t>
            </w:r>
          </w:p>
        </w:tc>
        <w:tc>
          <w:tcPr>
            <w:tcW w:w="63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采用0.8mm厚镀锌板制作。成套现场安装、依现场安装定制，法兰安装。</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T02</w:t>
            </w:r>
          </w:p>
        </w:tc>
        <w:tc>
          <w:tcPr>
            <w:tcW w:w="10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通风管道</w:t>
            </w:r>
          </w:p>
        </w:tc>
        <w:tc>
          <w:tcPr>
            <w:tcW w:w="63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采用1.0mm厚镀锌板制作。成套现场安装、依现场安装定制，法兰安装。</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1" w:type="dxa"/>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u w:val="none"/>
                <w:lang w:val="en-US" w:eastAsia="zh-CN" w:bidi="ar"/>
              </w:rPr>
              <w:t>T03</w:t>
            </w:r>
          </w:p>
        </w:tc>
        <w:tc>
          <w:tcPr>
            <w:tcW w:w="10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通风管道</w:t>
            </w:r>
          </w:p>
        </w:tc>
        <w:tc>
          <w:tcPr>
            <w:tcW w:w="630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采用0.65mm厚镀锌板制作。成套现场安装、依现场安装定制，法兰安装。</w:t>
            </w:r>
          </w:p>
        </w:tc>
        <w:tc>
          <w:tcPr>
            <w:tcW w:w="34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18"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c>
          <w:tcPr>
            <w:tcW w:w="433" w:type="pct"/>
            <w:vAlign w:val="center"/>
          </w:tcPr>
          <w:p>
            <w:pPr>
              <w:keepNext/>
              <w:keepLines/>
              <w:pageBreakBefore w:val="0"/>
              <w:kinsoku/>
              <w:wordWrap/>
              <w:overflowPunct/>
              <w:topLinePunct w:val="0"/>
              <w:bidi w:val="0"/>
              <w:snapToGrid/>
              <w:spacing w:line="240" w:lineRule="auto"/>
              <w:jc w:val="center"/>
              <w:textAlignment w:val="auto"/>
              <w:outlineLvl w:val="2"/>
              <w:rPr>
                <w:rFonts w:hint="eastAsia" w:ascii="宋体" w:hAnsi="宋体" w:eastAsia="宋体" w:cs="宋体"/>
                <w:color w:val="auto"/>
                <w:kern w:val="0"/>
                <w:sz w:val="21"/>
                <w:szCs w:val="21"/>
                <w:highlight w:val="none"/>
              </w:rPr>
            </w:pPr>
          </w:p>
        </w:tc>
      </w:tr>
    </w:tbl>
    <w:p>
      <w:pPr>
        <w:spacing w:line="360" w:lineRule="auto"/>
        <w:rPr>
          <w:rFonts w:ascii="宋体" w:hAnsi="宋体" w:eastAsia="宋体" w:cs="宋体"/>
          <w:color w:val="auto"/>
          <w:szCs w:val="21"/>
          <w:highlight w:val="none"/>
        </w:rPr>
      </w:pP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u w:val="single"/>
        </w:rPr>
        <w:t>投标人应对照招标文件用户需求书的响应，逐条逐项、如实地填写“偏离情况”。若发现未填写本表，或虚假填写</w:t>
      </w:r>
      <w:r>
        <w:rPr>
          <w:rFonts w:hint="eastAsia" w:ascii="宋体" w:hAnsi="宋体" w:eastAsia="宋体" w:cs="Times New Roman"/>
          <w:b/>
          <w:color w:val="auto"/>
          <w:kern w:val="0"/>
          <w:szCs w:val="21"/>
          <w:u w:val="single"/>
        </w:rPr>
        <w:t>本表，或伪造、变造证明材料的，按无效投标文件处理</w:t>
      </w:r>
      <w:r>
        <w:rPr>
          <w:rFonts w:hint="eastAsia" w:ascii="宋体" w:hAnsi="宋体" w:eastAsia="宋体" w:cs="宋体"/>
          <w:b/>
          <w:color w:val="auto"/>
          <w:szCs w:val="21"/>
          <w:u w:val="single"/>
        </w:rPr>
        <w:t>。若招标文件用户需求书中有“★”条款须逐条逐项、如实地填写“偏离情况”，未填写“★”条款以外的条款的，视为完全满足招标文件要求</w:t>
      </w:r>
      <w:r>
        <w:rPr>
          <w:rFonts w:hint="eastAsia" w:ascii="宋体" w:hAnsi="宋体" w:eastAsia="宋体" w:cs="宋体"/>
          <w:b/>
          <w:color w:val="auto"/>
          <w:szCs w:val="21"/>
          <w:highlight w:val="none"/>
          <w:u w:val="single"/>
        </w:rPr>
        <w:t>。</w:t>
      </w:r>
    </w:p>
    <w:p>
      <w:pPr>
        <w:spacing w:line="360" w:lineRule="auto"/>
        <w:ind w:left="605" w:leftChars="18" w:hanging="567" w:hangingChars="27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w:t>
      </w:r>
      <w:r>
        <w:rPr>
          <w:rFonts w:hint="eastAsia" w:ascii="宋体" w:hAnsi="宋体" w:eastAsia="宋体" w:cs="宋体"/>
          <w:b/>
          <w:bCs/>
          <w:color w:val="auto"/>
          <w:szCs w:val="21"/>
          <w:highlight w:val="none"/>
          <w:u w:val="single"/>
          <w:lang w:val="en-US" w:eastAsia="zh-CN"/>
        </w:rPr>
        <w:t>其中用户需求书“第三条设备设施采购清单”中推荐品牌响应情况不参与偏离情况的评审</w:t>
      </w:r>
      <w:r>
        <w:rPr>
          <w:rFonts w:hint="eastAsia" w:ascii="宋体" w:hAnsi="宋体" w:eastAsia="宋体" w:cs="宋体"/>
          <w:color w:val="auto"/>
          <w:szCs w:val="21"/>
          <w:highlight w:val="none"/>
          <w:lang w:val="en-US" w:eastAsia="zh-CN"/>
        </w:rPr>
        <w:t>。</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pPr>
        <w:spacing w:line="360" w:lineRule="auto"/>
        <w:rPr>
          <w:rFonts w:ascii="宋体" w:hAnsi="宋体" w:eastAsia="宋体" w:cs="宋体"/>
          <w:color w:val="auto"/>
          <w:szCs w:val="21"/>
          <w:highlight w:val="none"/>
        </w:rPr>
      </w:pPr>
    </w:p>
    <w:p>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9"/>
        <w:rPr>
          <w:rFonts w:hint="eastAsia" w:ascii="宋体" w:hAnsi="宋体" w:eastAsia="宋体" w:cs="宋体"/>
          <w:color w:val="auto"/>
          <w:szCs w:val="21"/>
          <w:lang w:bidi="ar"/>
        </w:rPr>
      </w:pPr>
      <w:bookmarkStart w:id="683" w:name="_Toc20665"/>
      <w:bookmarkStart w:id="684" w:name="_Toc28623"/>
      <w:bookmarkStart w:id="685" w:name="_Toc102860431"/>
      <w:bookmarkStart w:id="686" w:name="_Toc94107224"/>
      <w:bookmarkStart w:id="687" w:name="_Toc104991889"/>
      <w:bookmarkStart w:id="688" w:name="_Toc140596942"/>
      <w:bookmarkStart w:id="689" w:name="_Toc102860087"/>
      <w:bookmarkStart w:id="690" w:name="_Toc142508382"/>
      <w:r>
        <w:rPr>
          <w:rFonts w:hint="eastAsia" w:ascii="宋体" w:hAnsi="宋体" w:eastAsia="宋体" w:cs="宋体"/>
          <w:color w:val="auto"/>
          <w:szCs w:val="21"/>
          <w:lang w:bidi="ar"/>
        </w:rPr>
        <w:br w:type="page"/>
      </w:r>
    </w:p>
    <w:bookmarkEnd w:id="683"/>
    <w:bookmarkEnd w:id="684"/>
    <w:bookmarkEnd w:id="685"/>
    <w:bookmarkEnd w:id="686"/>
    <w:bookmarkEnd w:id="687"/>
    <w:bookmarkEnd w:id="688"/>
    <w:bookmarkEnd w:id="689"/>
    <w:bookmarkEnd w:id="690"/>
    <w:p>
      <w:pPr>
        <w:pStyle w:val="33"/>
        <w:keepNext w:val="0"/>
        <w:keepLines w:val="0"/>
        <w:pageBreakBefore w:val="0"/>
        <w:widowControl w:val="0"/>
        <w:kinsoku/>
        <w:wordWrap/>
        <w:overflowPunct/>
        <w:topLinePunct w:val="0"/>
        <w:autoSpaceDE w:val="0"/>
        <w:autoSpaceDN w:val="0"/>
        <w:bidi w:val="0"/>
        <w:adjustRightInd w:val="0"/>
        <w:snapToGrid/>
        <w:spacing w:before="0" w:beforeAutospacing="0" w:after="120" w:afterLines="50" w:afterAutospacing="0" w:line="360" w:lineRule="auto"/>
        <w:jc w:val="both"/>
        <w:textAlignment w:val="auto"/>
        <w:outlineLvl w:val="2"/>
        <w:rPr>
          <w:rFonts w:hint="default" w:eastAsia="宋体" w:cs="宋体"/>
          <w:b/>
          <w:bCs/>
          <w:color w:val="auto"/>
          <w:sz w:val="32"/>
          <w:szCs w:val="32"/>
          <w:lang w:val="en-US" w:eastAsia="zh-CN" w:bidi="ar"/>
        </w:rPr>
      </w:pPr>
      <w:bookmarkStart w:id="691" w:name="_Toc169169456"/>
      <w:bookmarkStart w:id="692" w:name="_Toc27219"/>
      <w:bookmarkStart w:id="693" w:name="_Toc102860094"/>
      <w:bookmarkStart w:id="694" w:name="_Toc102860438"/>
      <w:bookmarkStart w:id="695" w:name="_Toc140596949"/>
      <w:bookmarkStart w:id="696" w:name="_Toc104991896"/>
      <w:bookmarkStart w:id="697" w:name="_Toc142508389"/>
      <w:bookmarkStart w:id="698" w:name="_Toc533708139"/>
      <w:r>
        <w:rPr>
          <w:rFonts w:hint="eastAsia" w:eastAsia="宋体" w:cs="宋体"/>
          <w:b/>
          <w:bCs/>
          <w:color w:val="auto"/>
          <w:sz w:val="32"/>
          <w:szCs w:val="32"/>
          <w:lang w:val="en-US" w:eastAsia="zh-CN" w:bidi="ar"/>
        </w:rPr>
        <w:t>13.2 项目总体实施方案</w:t>
      </w:r>
    </w:p>
    <w:p>
      <w:pPr>
        <w:autoSpaceDE w:val="0"/>
        <w:autoSpaceDN w:val="0"/>
        <w:adjustRightInd w:val="0"/>
        <w:snapToGrid w:val="0"/>
        <w:spacing w:line="360" w:lineRule="auto"/>
        <w:ind w:firstLine="210" w:firstLineChars="100"/>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说明：投标人应根据本项目采购内容和评标工作大纲技术评审细则的要求，自行编制，项目总体实施方案主要包括但不限于以下内容：</w:t>
      </w:r>
      <w:r>
        <w:rPr>
          <w:rFonts w:hint="eastAsia" w:ascii="宋体" w:hAnsi="宋体" w:eastAsia="宋体" w:cs="宋体"/>
          <w:b w:val="0"/>
          <w:color w:val="auto"/>
          <w:szCs w:val="21"/>
          <w:highlight w:val="none"/>
          <w:lang w:val="en-US" w:eastAsia="zh-CN"/>
        </w:rPr>
        <w:t>厨房及中西明档区的深化设计方案（包括厨房设备平面布置优化、土建装修细化、抽油烟系统、给排水系统、设备用电系统及主要功能区域的深化设计等）、进度安排（包括供货及安装时间进度安排及进度保障措施）、供货方案、运输方案、安装调试验收方案</w:t>
      </w:r>
      <w:r>
        <w:rPr>
          <w:rFonts w:hint="eastAsia" w:ascii="宋体" w:hAnsi="宋体" w:eastAsia="宋体" w:cs="Times New Roman"/>
          <w:color w:val="auto"/>
          <w:kern w:val="0"/>
          <w:szCs w:val="21"/>
          <w:highlight w:val="none"/>
          <w:lang w:val="en-US" w:eastAsia="zh-CN"/>
        </w:rPr>
        <w:t>等内容。</w:t>
      </w:r>
    </w:p>
    <w:p>
      <w:pPr>
        <w:pStyle w:val="33"/>
        <w:keepNext w:val="0"/>
        <w:keepLines w:val="0"/>
        <w:pageBreakBefore/>
        <w:widowControl w:val="0"/>
        <w:kinsoku/>
        <w:wordWrap/>
        <w:overflowPunct/>
        <w:topLinePunct w:val="0"/>
        <w:autoSpaceDE w:val="0"/>
        <w:autoSpaceDN w:val="0"/>
        <w:bidi w:val="0"/>
        <w:adjustRightInd w:val="0"/>
        <w:snapToGrid/>
        <w:spacing w:before="0" w:beforeAutospacing="0" w:after="120" w:afterLines="50" w:afterAutospacing="0" w:line="360" w:lineRule="auto"/>
        <w:jc w:val="both"/>
        <w:textAlignment w:val="auto"/>
        <w:outlineLvl w:val="2"/>
        <w:rPr>
          <w:rFonts w:hint="eastAsia" w:eastAsia="宋体" w:cs="宋体"/>
          <w:b/>
          <w:bCs/>
          <w:color w:val="auto"/>
          <w:sz w:val="32"/>
          <w:szCs w:val="32"/>
          <w:lang w:val="en-US" w:eastAsia="zh-CN" w:bidi="ar"/>
        </w:rPr>
      </w:pPr>
      <w:r>
        <w:rPr>
          <w:rFonts w:hint="eastAsia" w:eastAsia="宋体" w:cs="宋体"/>
          <w:b/>
          <w:bCs/>
          <w:color w:val="auto"/>
          <w:sz w:val="32"/>
          <w:szCs w:val="32"/>
          <w:lang w:val="en-US" w:eastAsia="zh-CN" w:bidi="ar"/>
        </w:rPr>
        <w:t>13.3 投标产品质量可靠性</w:t>
      </w:r>
    </w:p>
    <w:p>
      <w:pPr>
        <w:autoSpaceDE w:val="0"/>
        <w:autoSpaceDN w:val="0"/>
        <w:adjustRightInd w:val="0"/>
        <w:snapToGrid w:val="0"/>
        <w:spacing w:line="360" w:lineRule="auto"/>
        <w:ind w:firstLine="210" w:firstLineChars="100"/>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备注：</w:t>
      </w:r>
    </w:p>
    <w:p>
      <w:pPr>
        <w:autoSpaceDE w:val="0"/>
        <w:autoSpaceDN w:val="0"/>
        <w:adjustRightInd w:val="0"/>
        <w:snapToGrid w:val="0"/>
        <w:spacing w:line="360" w:lineRule="auto"/>
        <w:ind w:firstLine="210" w:firstLineChars="100"/>
        <w:jc w:val="left"/>
        <w:rPr>
          <w:rFonts w:hint="eastAsia" w:ascii="宋体" w:hAnsi="宋体" w:eastAsia="宋体" w:cs="宋体"/>
          <w:b w:val="0"/>
          <w:color w:val="auto"/>
          <w:szCs w:val="21"/>
          <w:highlight w:val="none"/>
          <w:lang w:val="en-US" w:eastAsia="zh-CN"/>
        </w:rPr>
      </w:pPr>
      <w:r>
        <w:rPr>
          <w:rFonts w:hint="eastAsia" w:ascii="宋体" w:hAnsi="宋体" w:eastAsia="宋体" w:cs="Times New Roman"/>
          <w:color w:val="auto"/>
          <w:kern w:val="0"/>
          <w:szCs w:val="21"/>
          <w:highlight w:val="none"/>
          <w:lang w:val="en-US" w:eastAsia="zh-CN"/>
        </w:rPr>
        <w:t>（1）</w:t>
      </w:r>
      <w:r>
        <w:rPr>
          <w:rFonts w:hint="eastAsia" w:ascii="宋体" w:hAnsi="宋体" w:eastAsia="宋体" w:cs="宋体"/>
          <w:bCs/>
          <w:color w:val="auto"/>
          <w:kern w:val="0"/>
          <w:szCs w:val="21"/>
          <w:lang w:bidi="ar"/>
        </w:rPr>
        <w:t>投标人应</w:t>
      </w:r>
      <w:r>
        <w:rPr>
          <w:rFonts w:hint="eastAsia" w:ascii="宋体" w:hAnsi="宋体" w:eastAsia="宋体" w:cs="宋体"/>
          <w:bCs/>
          <w:color w:val="auto"/>
          <w:kern w:val="0"/>
          <w:szCs w:val="21"/>
          <w:lang w:val="en-US" w:eastAsia="zh-CN" w:bidi="ar"/>
        </w:rPr>
        <w:t>根据评审内容提供</w:t>
      </w:r>
      <w:r>
        <w:rPr>
          <w:rFonts w:hint="eastAsia" w:ascii="宋体" w:hAnsi="宋体" w:eastAsia="宋体" w:cs="宋体"/>
          <w:b w:val="0"/>
          <w:color w:val="auto"/>
          <w:szCs w:val="21"/>
          <w:highlight w:val="none"/>
          <w:lang w:val="en-US" w:eastAsia="zh-CN"/>
        </w:rPr>
        <w:t>所投“炉灶系列、洗碗机系列、蒸炉系列、消毒柜系列、净水器系列、油烟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735" w:leftChars="350"/>
        <w:jc w:val="left"/>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宋体"/>
          <w:b w:val="0"/>
          <w:color w:val="auto"/>
          <w:szCs w:val="21"/>
          <w:highlight w:val="none"/>
          <w:lang w:val="en-US" w:eastAsia="zh-CN"/>
        </w:rPr>
        <w:t>净化系列、切菜/肉系列、不锈钢台柜系列、不锈钢洗刷盆系列”产品</w:t>
      </w:r>
      <w:r>
        <w:rPr>
          <w:rFonts w:hint="eastAsia" w:ascii="宋体" w:hAnsi="宋体" w:eastAsia="宋体" w:cs="宋体"/>
          <w:color w:val="auto"/>
          <w:sz w:val="21"/>
          <w:szCs w:val="21"/>
        </w:rPr>
        <w:t>具有有效期内的</w:t>
      </w:r>
      <w:r>
        <w:rPr>
          <w:rFonts w:hint="eastAsia" w:ascii="宋体" w:hAnsi="宋体" w:eastAsia="宋体" w:cs="宋体"/>
          <w:b w:val="0"/>
          <w:color w:val="auto"/>
          <w:szCs w:val="21"/>
          <w:highlight w:val="none"/>
          <w:lang w:val="en-US" w:eastAsia="zh-CN"/>
        </w:rPr>
        <w:t>《食品接触产品卫生/安全认证证书》、《中国环境保护/环保产品认证证书》、《中国节能产品认证证书》</w:t>
      </w:r>
      <w:r>
        <w:rPr>
          <w:rFonts w:hint="eastAsia" w:ascii="宋体" w:hAnsi="宋体" w:eastAsia="宋体" w:cs="宋体"/>
          <w:bCs/>
          <w:color w:val="auto"/>
          <w:kern w:val="0"/>
          <w:szCs w:val="21"/>
          <w:lang w:bidi="ar"/>
        </w:rPr>
        <w:t>复印件</w:t>
      </w:r>
      <w:r>
        <w:rPr>
          <w:rFonts w:hint="eastAsia" w:ascii="宋体" w:hAnsi="宋体" w:eastAsia="宋体" w:cs="Times New Roman"/>
          <w:color w:val="auto"/>
          <w:kern w:val="0"/>
          <w:szCs w:val="21"/>
          <w:highlight w:val="none"/>
          <w:lang w:val="en-US" w:eastAsia="zh-CN"/>
        </w:rPr>
        <w:t>及能显示证书有效状态的全国认证认可信息公共服务平台（http://cx.cnca.cn/）查询结果凭证{凭证界面需显示有“全国认证认可信息公共服务平台”或“认证证书（需显示网址cx.cnca.cn）”}，证书上的产品名称、规格、型号需与投标产品一致，否则不得分。</w:t>
      </w:r>
    </w:p>
    <w:p>
      <w:pPr>
        <w:autoSpaceDE w:val="0"/>
        <w:autoSpaceDN w:val="0"/>
        <w:adjustRightInd w:val="0"/>
        <w:snapToGrid w:val="0"/>
        <w:spacing w:line="360" w:lineRule="auto"/>
        <w:ind w:firstLine="210" w:firstLineChars="100"/>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（2）同一设备系列具有多个相同证书，只计一次得分，不重复得分。例如：炉灶系列具有多个《食品接触产</w:t>
      </w:r>
    </w:p>
    <w:p>
      <w:pPr>
        <w:keepNext w:val="0"/>
        <w:keepLines w:val="0"/>
        <w:pageBreakBefore w:val="0"/>
        <w:widowControl w:val="0"/>
        <w:kinsoku/>
        <w:wordWrap/>
        <w:overflowPunct/>
        <w:topLinePunct w:val="0"/>
        <w:autoSpaceDE w:val="0"/>
        <w:autoSpaceDN w:val="0"/>
        <w:bidi w:val="0"/>
        <w:adjustRightInd w:val="0"/>
        <w:snapToGrid w:val="0"/>
        <w:spacing w:line="360" w:lineRule="auto"/>
        <w:ind w:left="735" w:leftChars="350"/>
        <w:jc w:val="left"/>
        <w:textAlignment w:val="auto"/>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品卫生/安全认证证书》，或炉灶系列具有《食品接触产品卫生认证证书》和《食品接触产品安全认证证书》，评审时均按具有1个证书计算得分，不重复计分。</w:t>
      </w:r>
    </w:p>
    <w:p>
      <w:pPr>
        <w:pStyle w:val="33"/>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color w:val="auto"/>
          <w:sz w:val="32"/>
          <w:szCs w:val="32"/>
        </w:rPr>
      </w:pPr>
      <w:r>
        <w:rPr>
          <w:rFonts w:hint="eastAsia" w:eastAsia="宋体" w:cs="宋体"/>
          <w:b/>
          <w:bCs/>
          <w:color w:val="auto"/>
          <w:sz w:val="32"/>
          <w:szCs w:val="32"/>
          <w:lang w:bidi="ar"/>
        </w:rPr>
        <w:t>13</w:t>
      </w:r>
      <w:r>
        <w:rPr>
          <w:rFonts w:hint="eastAsia" w:eastAsia="宋体" w:cs="宋体"/>
          <w:b/>
          <w:bCs/>
          <w:color w:val="auto"/>
          <w:sz w:val="32"/>
          <w:szCs w:val="32"/>
          <w:lang w:val="en-US" w:eastAsia="zh-CN" w:bidi="ar"/>
        </w:rPr>
        <w:t>.4</w:t>
      </w:r>
      <w:r>
        <w:rPr>
          <w:rFonts w:hint="eastAsia" w:eastAsia="宋体" w:cs="宋体"/>
          <w:b/>
          <w:bCs/>
          <w:color w:val="auto"/>
          <w:sz w:val="32"/>
          <w:szCs w:val="32"/>
          <w:lang w:bidi="ar"/>
        </w:rPr>
        <w:t xml:space="preserve"> 投标产品技术性能说明</w:t>
      </w:r>
    </w:p>
    <w:p>
      <w:pPr>
        <w:spacing w:line="360" w:lineRule="auto"/>
        <w:rPr>
          <w:rFonts w:hint="eastAsia" w:ascii="宋体" w:hAnsi="宋体" w:eastAsia="宋体" w:cs="宋体"/>
          <w:b/>
          <w:color w:val="auto"/>
          <w:kern w:val="0"/>
          <w:sz w:val="30"/>
          <w:szCs w:val="30"/>
          <w:lang w:bidi="ar"/>
        </w:rPr>
      </w:pPr>
      <w:r>
        <w:rPr>
          <w:rFonts w:hint="eastAsia" w:ascii="宋体" w:hAnsi="宋体" w:eastAsia="宋体" w:cs="宋体"/>
          <w:color w:val="auto"/>
          <w:kern w:val="0"/>
          <w:szCs w:val="21"/>
          <w:highlight w:val="none"/>
          <w:lang w:val="en-US" w:eastAsia="zh-CN"/>
        </w:rPr>
        <w:t>备注：</w:t>
      </w:r>
      <w:r>
        <w:rPr>
          <w:rFonts w:hint="eastAsia" w:ascii="宋体" w:hAnsi="宋体" w:eastAsia="宋体" w:cs="宋体"/>
          <w:color w:val="auto"/>
          <w:kern w:val="0"/>
          <w:szCs w:val="21"/>
          <w:highlight w:val="none"/>
        </w:rPr>
        <w:t>投标人自行提供书面说明和资料，其中应包含</w:t>
      </w:r>
      <w:r>
        <w:rPr>
          <w:rFonts w:hint="eastAsia" w:ascii="宋体" w:hAnsi="宋体" w:eastAsia="宋体" w:cs="宋体"/>
          <w:color w:val="auto"/>
          <w:szCs w:val="21"/>
          <w:highlight w:val="none"/>
          <w:lang w:val="en-US" w:eastAsia="zh-CN"/>
        </w:rPr>
        <w:t>所投厨房油烟净化设备、所投厨房洗碗设备、所投燃气双头炉灶设备的</w:t>
      </w:r>
      <w:r>
        <w:rPr>
          <w:rFonts w:hint="eastAsia" w:ascii="宋体" w:hAnsi="宋体" w:eastAsia="宋体" w:cs="宋体"/>
          <w:color w:val="auto"/>
          <w:kern w:val="0"/>
          <w:szCs w:val="21"/>
          <w:highlight w:val="none"/>
        </w:rPr>
        <w:t>性能说明书</w:t>
      </w:r>
      <w:r>
        <w:rPr>
          <w:rFonts w:hint="eastAsia" w:ascii="宋体" w:hAnsi="宋体" w:eastAsia="宋体" w:cs="宋体"/>
          <w:color w:val="auto"/>
          <w:kern w:val="0"/>
          <w:szCs w:val="21"/>
          <w:highlight w:val="none"/>
          <w:lang w:val="en-US" w:eastAsia="zh-CN"/>
        </w:rPr>
        <w:t>或检测报告或</w:t>
      </w:r>
      <w:r>
        <w:rPr>
          <w:rFonts w:hint="eastAsia" w:ascii="宋体" w:hAnsi="宋体" w:eastAsia="宋体" w:cs="宋体"/>
          <w:color w:val="auto"/>
          <w:kern w:val="0"/>
          <w:szCs w:val="21"/>
          <w:highlight w:val="none"/>
        </w:rPr>
        <w:t>其他能体现投标产品性能的证明材料</w:t>
      </w:r>
      <w:r>
        <w:rPr>
          <w:rFonts w:hint="eastAsia" w:ascii="宋体" w:hAnsi="宋体" w:eastAsia="宋体" w:cs="宋体"/>
          <w:color w:val="auto"/>
          <w:kern w:val="0"/>
          <w:szCs w:val="21"/>
          <w:highlight w:val="none"/>
          <w:lang w:eastAsia="zh-CN"/>
        </w:rPr>
        <w:t>。</w:t>
      </w:r>
      <w:r>
        <w:rPr>
          <w:rFonts w:hint="eastAsia" w:ascii="宋体" w:hAnsi="宋体" w:eastAsia="宋体" w:cs="宋体"/>
          <w:b/>
          <w:color w:val="auto"/>
          <w:kern w:val="0"/>
          <w:sz w:val="30"/>
          <w:szCs w:val="30"/>
          <w:lang w:bidi="ar"/>
        </w:rPr>
        <w:br w:type="page"/>
      </w:r>
    </w:p>
    <w:bookmarkEnd w:id="691"/>
    <w:bookmarkEnd w:id="692"/>
    <w:p>
      <w:pPr>
        <w:pStyle w:val="33"/>
        <w:pageBreakBefore/>
        <w:widowControl w:val="0"/>
        <w:autoSpaceDE w:val="0"/>
        <w:autoSpaceDN w:val="0"/>
        <w:adjustRightInd w:val="0"/>
        <w:spacing w:before="0" w:beforeAutospacing="0" w:after="120" w:afterLines="50" w:afterAutospacing="0" w:line="360" w:lineRule="auto"/>
        <w:jc w:val="both"/>
        <w:outlineLvl w:val="2"/>
        <w:rPr>
          <w:rFonts w:hint="default" w:eastAsia="宋体" w:cs="宋体"/>
          <w:b/>
          <w:bCs/>
          <w:color w:val="auto"/>
          <w:sz w:val="32"/>
          <w:szCs w:val="32"/>
          <w:lang w:val="en-US" w:eastAsia="zh-CN"/>
        </w:rPr>
      </w:pPr>
      <w:bookmarkStart w:id="699" w:name="_Toc31934"/>
      <w:bookmarkStart w:id="700" w:name="_Toc169169460"/>
      <w:bookmarkStart w:id="701" w:name="_Toc770"/>
      <w:bookmarkStart w:id="702" w:name="_Toc1222"/>
      <w:r>
        <w:rPr>
          <w:rFonts w:hint="eastAsia" w:eastAsia="宋体" w:cs="宋体"/>
          <w:b/>
          <w:bCs/>
          <w:color w:val="auto"/>
          <w:sz w:val="32"/>
          <w:szCs w:val="32"/>
          <w:lang w:bidi="ar"/>
        </w:rPr>
        <w:t>13</w:t>
      </w:r>
      <w:r>
        <w:rPr>
          <w:rFonts w:hint="eastAsia" w:eastAsia="宋体" w:cs="宋体"/>
          <w:b/>
          <w:bCs/>
          <w:color w:val="auto"/>
          <w:sz w:val="32"/>
          <w:szCs w:val="32"/>
          <w:lang w:val="en-US" w:eastAsia="zh-CN" w:bidi="ar"/>
        </w:rPr>
        <w:t>.5</w:t>
      </w:r>
      <w:r>
        <w:rPr>
          <w:rFonts w:hint="eastAsia" w:eastAsia="宋体" w:cs="宋体"/>
          <w:b/>
          <w:bCs/>
          <w:color w:val="auto"/>
          <w:sz w:val="32"/>
          <w:szCs w:val="32"/>
          <w:lang w:bidi="ar"/>
        </w:rPr>
        <w:t xml:space="preserve"> </w:t>
      </w:r>
      <w:r>
        <w:rPr>
          <w:rFonts w:hint="eastAsia" w:ascii="宋体" w:hAnsi="宋体" w:eastAsia="宋体" w:cs="Times New Roman"/>
          <w:b/>
          <w:color w:val="auto"/>
          <w:kern w:val="0"/>
          <w:sz w:val="30"/>
          <w:szCs w:val="30"/>
          <w:highlight w:val="none"/>
          <w:lang w:val="en-US" w:eastAsia="zh-CN"/>
        </w:rPr>
        <w:t>投标品牌</w:t>
      </w:r>
    </w:p>
    <w:p>
      <w:pPr>
        <w:autoSpaceDE w:val="0"/>
        <w:autoSpaceDN w:val="0"/>
        <w:adjustRightInd w:val="0"/>
        <w:spacing w:line="360" w:lineRule="auto"/>
        <w:jc w:val="center"/>
        <w:outlineLvl w:val="2"/>
        <w:rPr>
          <w:rFonts w:hint="eastAsia" w:ascii="宋体" w:hAnsi="宋体" w:eastAsia="宋体" w:cs="宋体"/>
          <w:b/>
          <w:color w:val="auto"/>
          <w:kern w:val="0"/>
          <w:sz w:val="30"/>
          <w:szCs w:val="30"/>
          <w:lang w:eastAsia="zh-CN" w:bidi="ar"/>
        </w:rPr>
      </w:pPr>
      <w:r>
        <w:rPr>
          <w:rFonts w:hint="eastAsia" w:ascii="宋体" w:hAnsi="宋体" w:eastAsia="宋体" w:cs="宋体"/>
          <w:b/>
          <w:color w:val="auto"/>
          <w:sz w:val="30"/>
          <w:szCs w:val="30"/>
          <w:highlight w:val="none"/>
          <w:lang w:val="en-US" w:eastAsia="zh-CN"/>
        </w:rPr>
        <w:t>投标品牌</w:t>
      </w:r>
      <w:r>
        <w:rPr>
          <w:rFonts w:hint="eastAsia" w:ascii="宋体" w:hAnsi="宋体" w:eastAsia="宋体" w:cs="宋体"/>
          <w:b/>
          <w:color w:val="auto"/>
          <w:sz w:val="30"/>
          <w:szCs w:val="30"/>
          <w:highlight w:val="none"/>
          <w:lang w:val="zh-CN"/>
        </w:rPr>
        <w:t>表</w:t>
      </w:r>
    </w:p>
    <w:p>
      <w:pPr>
        <w:pStyle w:val="22"/>
        <w:spacing w:line="360" w:lineRule="auto"/>
        <w:rPr>
          <w:rFonts w:hint="eastAsia" w:ascii="宋体" w:hAnsi="宋体" w:eastAsia="宋体" w:cs="宋体"/>
          <w:color w:val="auto"/>
          <w:szCs w:val="21"/>
          <w:highlight w:val="none"/>
          <w:u w:val="single"/>
          <w:lang w:eastAsia="zh-CN"/>
        </w:rPr>
      </w:pPr>
      <w:r>
        <w:rPr>
          <w:rFonts w:hint="eastAsia" w:hAnsi="宋体" w:cs="宋体"/>
          <w:b/>
          <w:bCs/>
          <w:color w:val="auto"/>
          <w:sz w:val="21"/>
          <w:szCs w:val="21"/>
          <w:highlight w:val="none"/>
        </w:rPr>
        <w:t>项目名称：</w:t>
      </w:r>
      <w:r>
        <w:rPr>
          <w:rFonts w:hint="eastAsia" w:ascii="宋体" w:hAnsi="宋体" w:eastAsia="宋体" w:cs="Times New Roman"/>
          <w:color w:val="auto"/>
          <w:kern w:val="0"/>
          <w:szCs w:val="21"/>
          <w:highlight w:val="none"/>
          <w:lang w:eastAsia="zh-CN"/>
        </w:rPr>
        <w:t>东莞市置拓投资有限公司水业大厦食堂设备设施采购项目</w:t>
      </w:r>
    </w:p>
    <w:p>
      <w:pPr>
        <w:pStyle w:val="22"/>
        <w:spacing w:line="360" w:lineRule="auto"/>
        <w:rPr>
          <w:rFonts w:hAnsi="宋体" w:cs="宋体"/>
          <w:b/>
          <w:color w:val="auto"/>
          <w:sz w:val="21"/>
          <w:szCs w:val="21"/>
          <w:highlight w:val="none"/>
        </w:rPr>
      </w:pPr>
      <w:r>
        <w:rPr>
          <w:rFonts w:hint="eastAsia" w:hAnsi="宋体" w:cs="宋体"/>
          <w:b/>
          <w:color w:val="auto"/>
          <w:sz w:val="21"/>
          <w:szCs w:val="21"/>
          <w:highlight w:val="none"/>
        </w:rPr>
        <w:t>招标编号：</w:t>
      </w:r>
      <w:r>
        <w:rPr>
          <w:rFonts w:hint="eastAsia" w:ascii="宋体" w:hAnsi="宋体" w:eastAsia="宋体" w:cs="Times New Roman"/>
          <w:color w:val="auto"/>
          <w:szCs w:val="21"/>
          <w:highlight w:val="none"/>
          <w:lang w:val="zh-CN"/>
        </w:rPr>
        <w:t>0832-SFCX25DG030A</w:t>
      </w:r>
    </w:p>
    <w:p>
      <w:pPr>
        <w:pStyle w:val="22"/>
        <w:spacing w:line="360" w:lineRule="auto"/>
        <w:rPr>
          <w:rFonts w:hAnsi="宋体" w:cs="宋体"/>
          <w:b/>
          <w:color w:val="auto"/>
          <w:sz w:val="21"/>
          <w:szCs w:val="21"/>
          <w:highlight w:val="none"/>
        </w:rPr>
      </w:pPr>
      <w:r>
        <w:rPr>
          <w:rFonts w:hint="eastAsia" w:hAnsi="宋体" w:cs="宋体"/>
          <w:b/>
          <w:color w:val="auto"/>
          <w:sz w:val="21"/>
          <w:szCs w:val="21"/>
          <w:highlight w:val="none"/>
        </w:rPr>
        <w:t>投标品牌填写说明：</w:t>
      </w:r>
    </w:p>
    <w:p>
      <w:pPr>
        <w:pStyle w:val="22"/>
        <w:spacing w:line="360" w:lineRule="auto"/>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投标人应根据表格要求在中标综合单价不变的前提下，填写每项货物投标人中标后能提供的品牌；中标后，招标人将根据实际需求，在</w:t>
      </w:r>
      <w:r>
        <w:rPr>
          <w:rFonts w:hint="eastAsia" w:hAnsi="宋体" w:cs="宋体"/>
          <w:b/>
          <w:color w:val="auto"/>
          <w:sz w:val="21"/>
          <w:szCs w:val="21"/>
          <w:highlight w:val="none"/>
          <w:lang w:val="en-US" w:eastAsia="zh-CN"/>
        </w:rPr>
        <w:t>供货通知中明确货物</w:t>
      </w:r>
      <w:r>
        <w:rPr>
          <w:rFonts w:hint="eastAsia" w:hAnsi="宋体" w:cs="宋体"/>
          <w:b/>
          <w:color w:val="auto"/>
          <w:sz w:val="21"/>
          <w:szCs w:val="21"/>
          <w:highlight w:val="none"/>
        </w:rPr>
        <w:t>需求的品牌。</w:t>
      </w:r>
    </w:p>
    <w:tbl>
      <w:tblPr>
        <w:tblStyle w:val="37"/>
        <w:tblW w:w="100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2"/>
        <w:gridCol w:w="2820"/>
        <w:gridCol w:w="4178"/>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招标文件推荐品牌</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投标品牌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一、厨房设备部分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A、仓储区/更衣室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A01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不锈钢存放地架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A02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除湿机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A03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挡鼠板</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A04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挡鼠板</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A05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四层栅格货架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A06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四层平板货架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A07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回收柜（开孔）</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A08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单星盆水池</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A09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灭蚊灯</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A10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不锈钢存放地架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A11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干手器</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洗手星（脚踏式）</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四层平板货架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A14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6门更衣柜（下置鞋柜）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组合冷库/保鲜库</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压缩机推荐品牌：应符合或相当于谷轮、松下、日立品牌品质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组合冷库/冷冻库</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压缩机推荐品牌：应符合或相当于谷轮、松下、日立品牌品质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B、加工间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柜式餐具车</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平板推车</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三层餐车</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洗地龙头</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单星杀鱼台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刀具砧板及毛巾消毒柜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不锈钢存放地架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电热水器</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auto"/>
                <w:kern w:val="0"/>
                <w:sz w:val="21"/>
                <w:szCs w:val="21"/>
                <w:u w:val="none"/>
                <w:lang w:val="en-US" w:eastAsia="zh-CN" w:bidi="ar"/>
              </w:rPr>
              <w:t>B09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干手器</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洗手星</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四层货架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绞切肉机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推荐品牌：应符合或相当于旭众、恒联、华菱、银鹰品牌品质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切片机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推荐品牌：应符合或相当于恒联、裕飞永强、华菱、银鹰品牌品质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B19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多功能切菜机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砧板工作台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大单星盆水池</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三星盆水池</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三星盆水池</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B25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摇头壁扇</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C、烹饪间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吊天花双层架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摇摆汤锅</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四层平板货架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C06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单星盆水池</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C07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燃气六头煲仔炉</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C08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双层平板工作台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C09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双层平板工作台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auto"/>
                <w:kern w:val="0"/>
                <w:sz w:val="21"/>
                <w:szCs w:val="21"/>
                <w:u w:val="none"/>
                <w:lang w:val="en-US" w:eastAsia="zh-CN" w:bidi="ar"/>
              </w:rPr>
              <w:t>C10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双头大锅灶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auto"/>
                <w:kern w:val="0"/>
                <w:sz w:val="21"/>
                <w:szCs w:val="21"/>
                <w:u w:val="none"/>
                <w:lang w:val="en-US" w:eastAsia="zh-CN" w:bidi="ar"/>
              </w:rPr>
              <w:t>C11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单星工作台（右星）</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auto"/>
                <w:kern w:val="0"/>
                <w:sz w:val="21"/>
                <w:szCs w:val="21"/>
                <w:u w:val="none"/>
                <w:lang w:val="en-US" w:eastAsia="zh-CN" w:bidi="ar"/>
              </w:rPr>
              <w:t>C12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auto"/>
                <w:kern w:val="0"/>
                <w:sz w:val="21"/>
                <w:szCs w:val="21"/>
                <w:u w:val="none"/>
                <w:lang w:val="en-US" w:eastAsia="zh-CN" w:bidi="ar"/>
              </w:rPr>
              <w:t>C13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双通工作台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auto"/>
                <w:kern w:val="0"/>
                <w:sz w:val="21"/>
                <w:szCs w:val="21"/>
                <w:u w:val="none"/>
                <w:lang w:val="en-US" w:eastAsia="zh-CN" w:bidi="ar"/>
              </w:rPr>
              <w:t>C14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炉拼台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auto"/>
                <w:kern w:val="0"/>
                <w:sz w:val="21"/>
                <w:szCs w:val="21"/>
                <w:u w:val="none"/>
                <w:lang w:val="en-US" w:eastAsia="zh-CN" w:bidi="ar"/>
              </w:rPr>
              <w:t>C15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大单星盆水池</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auto"/>
                <w:kern w:val="0"/>
                <w:sz w:val="21"/>
                <w:szCs w:val="21"/>
                <w:u w:val="none"/>
                <w:lang w:val="en-US" w:eastAsia="zh-CN" w:bidi="ar"/>
              </w:rPr>
              <w:t>C16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双门蒸饭柜（含饭盆）</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海鲜蒸柜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洗米机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C19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双头单尾小炒灶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单头矮汤炉</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普通式油网烟罩</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普通式油网烟罩</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不锈钢存放地架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洗地龙头</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油烟净化一体机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C28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D、面食间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蒸笼架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电饼铛</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储物柜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冷藏操作台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不锈钢单门发酵箱</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三层六盘烤箱</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推荐品牌：应符合或相当于旭众、裕飞永强、华菱、银鹰品牌品质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面粉车</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木案工作台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D09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揉压压面机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推荐品牌：应符合或相当于旭众、恒联、华菱、银鹰品牌品质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双动和面机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推荐品牌：应符合或相当于旭众、恒联、华菱、银鹰品牌品质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搅拌机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推荐品牌：应符合或相当于旭众、恒联、华菱、银鹰品牌品质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新风式油网烟罩</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饼盘车</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E、检测室/熟食间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双门留样柜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农药残留快速测试仪</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四层货架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干手器</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工作柜带靠背</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单门留样柜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单星工作台柜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E09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洗手星</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烧腊挂架连油盆</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微波炉</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冷藏操作台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双层平板工作台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E16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紫外线消毒灯</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F、洗消间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不锈钢勺快回收柜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1#智能餐盘传送带(直线型)</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L转角输送传送带</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不锈钢餐具除渣处理机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2#智能餐盘传送带(直线型)</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3#智能餐盘传送带(直线型)</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不锈钢预洗机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不锈钢碗碟保洁柜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F09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紫外线消毒灯</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节能长龙式洗碗机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洗地龙头</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蒸汽集排烟罩</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推车式餐具消毒碗柜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4#智能餐盘传送带(直线型)</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垃圾回收处理设备</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四层栅格货架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四层栅格货架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F19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四层栅格货架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大单星盆水池</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步入式高温热风循环消毒房</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F24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G、明档区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餐厅员工洗手池</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餐具保温柜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保温盆工作台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保温盆工作台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豪华保温车</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电热保温台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G09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电磁4头煲仔炉</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电扒炉</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灭蚊灯</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电磁双头煮面炉</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单星盆水池</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冷藏玻璃门操作台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推荐品牌：应符合或相当于星星、通宝、东贝、海尔品牌品质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G19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四层平板货架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暖汁保温箱</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电热保温台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双层工作台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单通移门挂墙柜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铁板烧</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单星工作台</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G29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异形台（定制）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挡鼠板</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明档玻璃烟罩</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弧形玻璃烟罩</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包间消毒柜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包间餐具消毒保温柜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G36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洗地机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H、阳光厨房管理系统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阳光厨房监控设备</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推荐品牌：应符合或相当于海康威视、大华、360、小米品牌品质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服务电脑主机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推荐品牌：应符合或相当于联想、小米、华为、宏基品牌品质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电子视频显示器</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推荐品牌：应符合或相当于TCL、小米、康佳、创维品牌品质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路由器</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推荐品牌：应符合或相当于TP-LINK、华为、磊科、小米品牌品质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监控级硬盘</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推荐品牌：应符合或相当于西部数据、海康威视、希捷、华为品牌品质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网络视频录像机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AI智能分析盒/系统</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交换机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H09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提供及安装六类网线及线管</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二、室内/后厨制冷空调降温系统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I、功能区1制冷空调系统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I01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功能区室外机及配套设施安装</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空调推荐品牌:应符合或相当于格力、海尔、瑞科、美的品牌品质；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管材推荐品牌:应符合或相当于联塑、金牛、日丰、公元品牌品质；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I02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功能区室内机及配套设施安装</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空调推荐品牌:应符合或相当于格力、海尔、瑞科、美的品牌品质；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管材推荐品牌:应符合或相当于联塑、金牛、日丰、公元品牌品质；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J、功能区2制冷空调系统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J01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功能区室外机及配套设施安装</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空调推荐品牌:应符合或相当于格力、海尔、瑞科、美的品牌品质；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管材推荐品牌:应符合或相当于联塑、金牛、日丰、公元品牌品质；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J02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功能区室内机及配套设施安装</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空调推荐品牌:应符合或相当于格力、海尔、瑞科、美的品牌品质；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管材推荐品牌:应符合或相当于联塑、金牛、日丰、公元品牌品质；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K、厨房系统安全措施及灭火系统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K01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双瓶组灭火系统</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L、反渗透净水系统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L01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反渗透净水系统</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三、通排新风系统系统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(一)排烟系统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M、1#排烟系统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1#抽风柜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风柜推荐品牌：应符合或相当于九洲普惠、恒利通、德通品牌品质；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1#排烟配套安装件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M03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1#油烟环保净化处理设备</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N、2#排烟系统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N01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2#抽风柜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风柜推荐品牌：应符合或相当于九洲普惠、恒利通、德通品牌品质；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N02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2#排烟配套安装件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N03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2#油烟环保净化处理设备</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O、3#排烟系统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O01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3#抽风柜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风柜推荐品牌：应符合或相当于九洲普惠、恒利通、德通品牌品质；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O02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3#排烟配套安装件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P、4#排烟系统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4#抽风柜</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风柜推荐品牌：应符合或相当于九洲普惠、恒利通、德通品牌品质；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4#油烟环保净化处理设备</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4#排烟配套安装件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Q、5#排烟系统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Q01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5#低噪音排气风机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交流接触器推荐品牌：应符合或相当于德力西、正泰、天正电气品牌品质；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开关推荐品牌：应符合或相当于德力西、正泰、天正电气品牌品质；</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Q02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5#排烟配套安装件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Q03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5#油烟环保净化处理设备</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(二)新风系统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R、1#新风系统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R01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1#新风机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R02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1#新风配套安装件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S、2#新风系统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2#新风机</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2#新风配套安装件</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jc w:val="center"/>
        </w:trPr>
        <w:tc>
          <w:tcPr>
            <w:tcW w:w="10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(三)新风管道系统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T01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通风管道</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T02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通风管道</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T03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通风管道</w:t>
            </w:r>
          </w:p>
        </w:tc>
        <w:tc>
          <w:tcPr>
            <w:tcW w:w="4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autoSpaceDE w:val="0"/>
        <w:autoSpaceDN w:val="0"/>
        <w:adjustRightInd w:val="0"/>
        <w:snapToGrid w:val="0"/>
        <w:spacing w:line="360" w:lineRule="auto"/>
        <w:jc w:val="left"/>
        <w:rPr>
          <w:rFonts w:hint="eastAsia" w:ascii="宋体" w:hAnsi="宋体" w:eastAsia="宋体" w:cs="宋体"/>
          <w:color w:val="auto"/>
          <w:kern w:val="0"/>
          <w:szCs w:val="21"/>
          <w:lang w:bidi="ar"/>
        </w:rPr>
      </w:pPr>
    </w:p>
    <w:p>
      <w:pPr>
        <w:autoSpaceDE w:val="0"/>
        <w:autoSpaceDN w:val="0"/>
        <w:adjustRightInd w:val="0"/>
        <w:snapToGrid w:val="0"/>
        <w:spacing w:line="360" w:lineRule="auto"/>
        <w:ind w:firstLine="210" w:firstLineChars="1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p>
      <w:pPr>
        <w:autoSpaceDE w:val="0"/>
        <w:autoSpaceDN w:val="0"/>
        <w:adjustRightInd w:val="0"/>
        <w:snapToGrid w:val="0"/>
        <w:spacing w:line="360" w:lineRule="auto"/>
        <w:ind w:left="976" w:leftChars="195" w:hanging="567" w:hangingChars="270"/>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投标品牌表中</w:t>
      </w:r>
      <w:r>
        <w:rPr>
          <w:rFonts w:hint="eastAsia"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lang w:val="en-US" w:eastAsia="zh-CN"/>
        </w:rPr>
        <w:t>设备</w:t>
      </w:r>
      <w:r>
        <w:rPr>
          <w:rFonts w:hint="eastAsia" w:ascii="宋体" w:hAnsi="宋体" w:eastAsia="宋体" w:cs="Times New Roman"/>
          <w:color w:val="auto"/>
          <w:kern w:val="0"/>
          <w:szCs w:val="21"/>
          <w:highlight w:val="none"/>
          <w:lang w:val="zh-CN"/>
        </w:rPr>
        <w:t>名称、</w:t>
      </w:r>
      <w:r>
        <w:rPr>
          <w:rFonts w:hint="eastAsia" w:ascii="宋体" w:hAnsi="宋体" w:eastAsia="宋体" w:cs="Times New Roman"/>
          <w:color w:val="auto"/>
          <w:kern w:val="0"/>
          <w:szCs w:val="21"/>
          <w:highlight w:val="none"/>
          <w:lang w:val="en-US" w:eastAsia="zh-CN"/>
        </w:rPr>
        <w:t>投标</w:t>
      </w:r>
      <w:r>
        <w:rPr>
          <w:rFonts w:hint="eastAsia" w:ascii="宋体" w:hAnsi="宋体" w:eastAsia="宋体" w:cs="Times New Roman"/>
          <w:color w:val="auto"/>
          <w:kern w:val="0"/>
          <w:szCs w:val="21"/>
          <w:highlight w:val="none"/>
          <w:lang w:val="zh-CN"/>
        </w:rPr>
        <w:t>品牌等必须与分项报价明细表的</w:t>
      </w:r>
      <w:r>
        <w:rPr>
          <w:rFonts w:hint="eastAsia" w:ascii="宋体" w:hAnsi="宋体" w:eastAsia="宋体" w:cs="Times New Roman"/>
          <w:color w:val="auto"/>
          <w:kern w:val="0"/>
          <w:szCs w:val="21"/>
          <w:highlight w:val="none"/>
          <w:lang w:val="en-US" w:eastAsia="zh-CN"/>
        </w:rPr>
        <w:t>设备</w:t>
      </w:r>
      <w:r>
        <w:rPr>
          <w:rFonts w:hint="eastAsia" w:ascii="宋体" w:hAnsi="宋体" w:eastAsia="宋体" w:cs="Times New Roman"/>
          <w:color w:val="auto"/>
          <w:kern w:val="0"/>
          <w:szCs w:val="21"/>
          <w:highlight w:val="none"/>
          <w:lang w:val="zh-CN"/>
        </w:rPr>
        <w:t>名称、品牌完全一致；</w:t>
      </w:r>
    </w:p>
    <w:p>
      <w:pPr>
        <w:autoSpaceDE w:val="0"/>
        <w:autoSpaceDN w:val="0"/>
        <w:adjustRightInd w:val="0"/>
        <w:snapToGrid w:val="0"/>
        <w:spacing w:line="360" w:lineRule="auto"/>
        <w:ind w:left="976" w:leftChars="195" w:hanging="567" w:hangingChars="270"/>
        <w:jc w:val="left"/>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zh-CN" w:eastAsia="zh-CN"/>
        </w:rPr>
        <w:t>（2）投标人所投设备的投标品牌与采购清单中设备的推荐品牌中至少有一个品牌一致</w:t>
      </w:r>
      <w:r>
        <w:rPr>
          <w:rFonts w:hint="eastAsia" w:ascii="宋体" w:hAnsi="宋体" w:eastAsia="宋体" w:cs="Times New Roman"/>
          <w:color w:val="auto"/>
          <w:kern w:val="0"/>
          <w:szCs w:val="21"/>
          <w:highlight w:val="none"/>
          <w:lang w:val="en-US" w:eastAsia="zh-CN"/>
        </w:rPr>
        <w:t>或投标人提供证明材料证明投标品牌的品质符合（或相当于或优于）推荐品牌品质</w:t>
      </w:r>
      <w:r>
        <w:rPr>
          <w:rFonts w:hint="eastAsia" w:ascii="宋体" w:hAnsi="宋体" w:eastAsia="宋体" w:cs="Times New Roman"/>
          <w:color w:val="auto"/>
          <w:kern w:val="0"/>
          <w:szCs w:val="21"/>
          <w:highlight w:val="none"/>
          <w:lang w:val="zh-CN" w:eastAsia="zh-CN"/>
        </w:rPr>
        <w:t>即为匹配；若采购清单中设备的推荐品牌为任意品牌或无推荐品牌的，投标人所投品牌或无品牌均视为匹配。</w:t>
      </w:r>
    </w:p>
    <w:p>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pPr>
        <w:pStyle w:val="6"/>
        <w:rPr>
          <w:rFonts w:ascii="宋体" w:hAnsi="宋体" w:eastAsia="宋体" w:cs="Times New Roman"/>
          <w:color w:val="auto"/>
          <w:kern w:val="3"/>
          <w:szCs w:val="21"/>
          <w:highlight w:val="none"/>
        </w:rPr>
      </w:pPr>
    </w:p>
    <w:p>
      <w:pPr>
        <w:rPr>
          <w:rFonts w:ascii="宋体" w:hAnsi="宋体" w:eastAsia="宋体" w:cs="Times New Roman"/>
          <w:color w:val="auto"/>
          <w:kern w:val="3"/>
          <w:szCs w:val="21"/>
          <w:highlight w:val="none"/>
        </w:rPr>
      </w:pPr>
    </w:p>
    <w:p>
      <w:pPr>
        <w:pStyle w:val="6"/>
        <w:rPr>
          <w:rFonts w:ascii="宋体" w:hAnsi="宋体" w:eastAsia="宋体" w:cs="Times New Roman"/>
          <w:color w:val="auto"/>
          <w:kern w:val="3"/>
          <w:szCs w:val="21"/>
          <w:highlight w:val="none"/>
        </w:rPr>
      </w:pPr>
    </w:p>
    <w:p>
      <w:pPr>
        <w:rPr>
          <w:rFonts w:ascii="宋体" w:hAnsi="宋体" w:eastAsia="宋体" w:cs="Times New Roman"/>
          <w:color w:val="auto"/>
          <w:kern w:val="3"/>
          <w:szCs w:val="21"/>
          <w:highlight w:val="none"/>
        </w:rPr>
      </w:pPr>
    </w:p>
    <w:p>
      <w:pPr>
        <w:pStyle w:val="6"/>
        <w:rPr>
          <w:rFonts w:ascii="宋体" w:hAnsi="宋体" w:eastAsia="宋体" w:cs="Times New Roman"/>
          <w:color w:val="auto"/>
          <w:kern w:val="3"/>
          <w:szCs w:val="21"/>
          <w:highlight w:val="none"/>
        </w:rPr>
      </w:pPr>
    </w:p>
    <w:p>
      <w:pPr>
        <w:rPr>
          <w:rFonts w:ascii="宋体" w:hAnsi="宋体" w:eastAsia="宋体" w:cs="Times New Roman"/>
          <w:color w:val="auto"/>
          <w:kern w:val="3"/>
          <w:szCs w:val="21"/>
          <w:highlight w:val="none"/>
        </w:rPr>
      </w:pPr>
    </w:p>
    <w:p>
      <w:pPr>
        <w:pStyle w:val="6"/>
        <w:rPr>
          <w:rFonts w:ascii="宋体" w:hAnsi="宋体" w:eastAsia="宋体" w:cs="Times New Roman"/>
          <w:color w:val="auto"/>
          <w:kern w:val="3"/>
          <w:szCs w:val="21"/>
          <w:highlight w:val="none"/>
        </w:rPr>
      </w:pPr>
    </w:p>
    <w:p>
      <w:pPr>
        <w:rPr>
          <w:rFonts w:ascii="宋体" w:hAnsi="宋体" w:eastAsia="宋体" w:cs="Times New Roman"/>
          <w:color w:val="auto"/>
          <w:kern w:val="3"/>
          <w:szCs w:val="21"/>
          <w:highlight w:val="none"/>
        </w:rPr>
      </w:pPr>
    </w:p>
    <w:p>
      <w:pPr>
        <w:pStyle w:val="6"/>
      </w:pPr>
    </w:p>
    <w:p>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pPr>
        <w:pStyle w:val="33"/>
        <w:keepNext w:val="0"/>
        <w:keepLines w:val="0"/>
        <w:pageBreakBefore/>
        <w:widowControl w:val="0"/>
        <w:kinsoku/>
        <w:wordWrap/>
        <w:overflowPunct/>
        <w:topLinePunct w:val="0"/>
        <w:autoSpaceDE w:val="0"/>
        <w:autoSpaceDN w:val="0"/>
        <w:bidi w:val="0"/>
        <w:adjustRightInd w:val="0"/>
        <w:snapToGrid/>
        <w:spacing w:before="0" w:beforeAutospacing="0" w:after="120" w:afterLines="50" w:afterAutospacing="0" w:line="360" w:lineRule="auto"/>
        <w:jc w:val="both"/>
        <w:textAlignment w:val="auto"/>
        <w:outlineLvl w:val="2"/>
        <w:rPr>
          <w:rFonts w:hint="eastAsia" w:eastAsia="宋体" w:cs="宋体"/>
          <w:b/>
          <w:bCs/>
          <w:color w:val="auto"/>
          <w:sz w:val="32"/>
          <w:szCs w:val="32"/>
          <w:lang w:val="en-US" w:eastAsia="zh-CN" w:bidi="ar"/>
        </w:rPr>
      </w:pPr>
      <w:r>
        <w:rPr>
          <w:rFonts w:hint="eastAsia" w:eastAsia="宋体" w:cs="宋体"/>
          <w:b/>
          <w:bCs/>
          <w:color w:val="auto"/>
          <w:sz w:val="32"/>
          <w:szCs w:val="32"/>
          <w:lang w:bidi="ar"/>
        </w:rPr>
        <w:t>13</w:t>
      </w:r>
      <w:r>
        <w:rPr>
          <w:rFonts w:hint="eastAsia" w:eastAsia="宋体" w:cs="宋体"/>
          <w:b/>
          <w:bCs/>
          <w:color w:val="auto"/>
          <w:sz w:val="32"/>
          <w:szCs w:val="32"/>
          <w:lang w:val="en-US" w:eastAsia="zh-CN" w:bidi="ar"/>
        </w:rPr>
        <w:t>.6</w:t>
      </w:r>
      <w:r>
        <w:rPr>
          <w:rFonts w:hint="eastAsia" w:eastAsia="宋体" w:cs="宋体"/>
          <w:b/>
          <w:bCs/>
          <w:color w:val="auto"/>
          <w:sz w:val="32"/>
          <w:szCs w:val="32"/>
          <w:lang w:bidi="ar"/>
        </w:rPr>
        <w:t xml:space="preserve"> 供货</w:t>
      </w:r>
      <w:r>
        <w:rPr>
          <w:rFonts w:hint="eastAsia" w:eastAsia="宋体" w:cs="宋体"/>
          <w:b/>
          <w:bCs/>
          <w:color w:val="auto"/>
          <w:sz w:val="32"/>
          <w:szCs w:val="32"/>
          <w:lang w:eastAsia="zh-CN" w:bidi="ar"/>
        </w:rPr>
        <w:t>、</w:t>
      </w:r>
      <w:r>
        <w:rPr>
          <w:rFonts w:hint="eastAsia" w:eastAsia="宋体" w:cs="宋体"/>
          <w:b/>
          <w:bCs/>
          <w:color w:val="auto"/>
          <w:sz w:val="32"/>
          <w:szCs w:val="32"/>
          <w:lang w:val="en-US" w:eastAsia="zh-CN" w:bidi="ar"/>
        </w:rPr>
        <w:t>安装时间承诺表</w:t>
      </w:r>
    </w:p>
    <w:p>
      <w:pPr>
        <w:pStyle w:val="33"/>
        <w:pageBreakBefore w:val="0"/>
        <w:widowControl w:val="0"/>
        <w:autoSpaceDE w:val="0"/>
        <w:autoSpaceDN w:val="0"/>
        <w:adjustRightInd w:val="0"/>
        <w:spacing w:before="0" w:beforeAutospacing="0" w:after="120" w:afterLines="50" w:afterAutospacing="0" w:line="360" w:lineRule="auto"/>
        <w:jc w:val="center"/>
        <w:outlineLvl w:val="2"/>
        <w:rPr>
          <w:rFonts w:hint="default" w:eastAsia="宋体" w:cs="宋体"/>
          <w:b/>
          <w:bCs/>
          <w:color w:val="auto"/>
          <w:sz w:val="32"/>
          <w:szCs w:val="32"/>
          <w:lang w:val="en-US" w:bidi="ar"/>
        </w:rPr>
      </w:pPr>
      <w:r>
        <w:rPr>
          <w:rFonts w:hint="eastAsia" w:eastAsia="宋体" w:cs="宋体"/>
          <w:b/>
          <w:bCs/>
          <w:color w:val="auto"/>
          <w:sz w:val="32"/>
          <w:szCs w:val="32"/>
          <w:lang w:bidi="ar"/>
        </w:rPr>
        <w:t>供货</w:t>
      </w:r>
      <w:r>
        <w:rPr>
          <w:rFonts w:hint="eastAsia" w:eastAsia="宋体" w:cs="宋体"/>
          <w:b/>
          <w:bCs/>
          <w:color w:val="auto"/>
          <w:sz w:val="32"/>
          <w:szCs w:val="32"/>
          <w:lang w:eastAsia="zh-CN" w:bidi="ar"/>
        </w:rPr>
        <w:t>、</w:t>
      </w:r>
      <w:r>
        <w:rPr>
          <w:rFonts w:hint="eastAsia" w:eastAsia="宋体" w:cs="宋体"/>
          <w:b/>
          <w:bCs/>
          <w:color w:val="auto"/>
          <w:sz w:val="32"/>
          <w:szCs w:val="32"/>
          <w:lang w:val="en-US" w:eastAsia="zh-CN" w:bidi="ar"/>
        </w:rPr>
        <w:t>安装时间承诺表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40"/>
        <w:gridCol w:w="8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90" w:type="dxa"/>
            <w:vAlign w:val="center"/>
          </w:tcPr>
          <w:p>
            <w:pPr>
              <w:autoSpaceDE w:val="0"/>
              <w:autoSpaceDN w:val="0"/>
              <w:adjustRightInd w:val="0"/>
              <w:spacing w:line="360" w:lineRule="auto"/>
              <w:jc w:val="center"/>
              <w:outlineLvl w:val="9"/>
              <w:rPr>
                <w:rFonts w:hint="default" w:ascii="宋体" w:hAnsi="宋体" w:eastAsia="宋体" w:cs="宋体"/>
                <w:b/>
                <w:bCs w:val="0"/>
                <w:color w:val="auto"/>
                <w:kern w:val="0"/>
                <w:sz w:val="21"/>
                <w:szCs w:val="21"/>
                <w:highlight w:val="none"/>
                <w:vertAlign w:val="baseline"/>
                <w:lang w:val="en-US" w:eastAsia="zh-CN"/>
              </w:rPr>
            </w:pPr>
            <w:r>
              <w:rPr>
                <w:rFonts w:hint="eastAsia" w:ascii="宋体" w:hAnsi="宋体" w:eastAsia="宋体" w:cs="宋体"/>
                <w:b/>
                <w:bCs w:val="0"/>
                <w:color w:val="auto"/>
                <w:kern w:val="0"/>
                <w:sz w:val="21"/>
                <w:szCs w:val="21"/>
                <w:highlight w:val="none"/>
                <w:vertAlign w:val="baseline"/>
                <w:lang w:val="en-US" w:eastAsia="zh-CN"/>
              </w:rPr>
              <w:t>序号</w:t>
            </w:r>
          </w:p>
        </w:tc>
        <w:tc>
          <w:tcPr>
            <w:tcW w:w="9679" w:type="dxa"/>
            <w:gridSpan w:val="2"/>
            <w:vAlign w:val="center"/>
          </w:tcPr>
          <w:p>
            <w:pPr>
              <w:autoSpaceDE w:val="0"/>
              <w:autoSpaceDN w:val="0"/>
              <w:adjustRightInd w:val="0"/>
              <w:spacing w:line="360" w:lineRule="auto"/>
              <w:jc w:val="center"/>
              <w:outlineLvl w:val="9"/>
              <w:rPr>
                <w:rFonts w:hint="default" w:ascii="宋体" w:hAnsi="宋体" w:eastAsia="宋体" w:cs="宋体"/>
                <w:b/>
                <w:bCs w:val="0"/>
                <w:color w:val="auto"/>
                <w:kern w:val="0"/>
                <w:sz w:val="21"/>
                <w:szCs w:val="21"/>
                <w:highlight w:val="none"/>
                <w:vertAlign w:val="baseline"/>
                <w:lang w:val="en-US" w:eastAsia="zh-CN"/>
              </w:rPr>
            </w:pPr>
            <w:r>
              <w:rPr>
                <w:rFonts w:hint="eastAsia" w:ascii="宋体" w:hAnsi="宋体" w:eastAsia="宋体" w:cs="宋体"/>
                <w:b/>
                <w:bCs w:val="0"/>
                <w:color w:val="auto"/>
                <w:kern w:val="0"/>
                <w:sz w:val="21"/>
                <w:szCs w:val="21"/>
                <w:highlight w:val="none"/>
                <w:vertAlign w:val="baseline"/>
                <w:lang w:val="en-US" w:eastAsia="zh-CN"/>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90" w:type="dxa"/>
            <w:vAlign w:val="center"/>
          </w:tcPr>
          <w:p>
            <w:pPr>
              <w:autoSpaceDE w:val="0"/>
              <w:autoSpaceDN w:val="0"/>
              <w:adjustRightInd w:val="0"/>
              <w:spacing w:line="360" w:lineRule="auto"/>
              <w:jc w:val="center"/>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1</w:t>
            </w:r>
          </w:p>
        </w:tc>
        <w:tc>
          <w:tcPr>
            <w:tcW w:w="1240" w:type="dxa"/>
            <w:vAlign w:val="center"/>
          </w:tcPr>
          <w:p>
            <w:pPr>
              <w:autoSpaceDE w:val="0"/>
              <w:autoSpaceDN w:val="0"/>
              <w:adjustRightInd w:val="0"/>
              <w:spacing w:line="360" w:lineRule="auto"/>
              <w:jc w:val="center"/>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供货时间</w:t>
            </w:r>
          </w:p>
        </w:tc>
        <w:tc>
          <w:tcPr>
            <w:tcW w:w="8439" w:type="dxa"/>
            <w:vAlign w:val="center"/>
          </w:tcPr>
          <w:p>
            <w:pPr>
              <w:autoSpaceDE w:val="0"/>
              <w:autoSpaceDN w:val="0"/>
              <w:adjustRightInd w:val="0"/>
              <w:spacing w:line="360" w:lineRule="auto"/>
              <w:jc w:val="both"/>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我方承诺对本项目所投的食堂设备设施在收到招标人书面供货通知之日起</w:t>
            </w:r>
            <w:r>
              <w:rPr>
                <w:rFonts w:hint="eastAsia" w:ascii="宋体" w:hAnsi="宋体" w:eastAsia="宋体" w:cs="宋体"/>
                <w:b w:val="0"/>
                <w:bCs/>
                <w:color w:val="auto"/>
                <w:kern w:val="0"/>
                <w:sz w:val="21"/>
                <w:szCs w:val="21"/>
                <w:highlight w:val="none"/>
                <w:u w:val="single"/>
                <w:vertAlign w:val="baseline"/>
                <w:lang w:val="en-US" w:eastAsia="zh-CN"/>
              </w:rPr>
              <w:t xml:space="preserve">      </w:t>
            </w:r>
            <w:r>
              <w:rPr>
                <w:rFonts w:hint="eastAsia" w:ascii="宋体" w:hAnsi="宋体" w:eastAsia="宋体" w:cs="宋体"/>
                <w:b w:val="0"/>
                <w:bCs/>
                <w:color w:val="auto"/>
                <w:kern w:val="0"/>
                <w:sz w:val="21"/>
                <w:szCs w:val="21"/>
                <w:highlight w:val="none"/>
                <w:vertAlign w:val="baseline"/>
                <w:lang w:val="en-US" w:eastAsia="zh-CN"/>
              </w:rPr>
              <w:t>日内完成供货通知要求的设备设施的供货。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90" w:type="dxa"/>
            <w:vAlign w:val="center"/>
          </w:tcPr>
          <w:p>
            <w:pPr>
              <w:autoSpaceDE w:val="0"/>
              <w:autoSpaceDN w:val="0"/>
              <w:adjustRightInd w:val="0"/>
              <w:spacing w:line="360" w:lineRule="auto"/>
              <w:jc w:val="center"/>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2</w:t>
            </w:r>
          </w:p>
        </w:tc>
        <w:tc>
          <w:tcPr>
            <w:tcW w:w="1240" w:type="dxa"/>
            <w:vAlign w:val="center"/>
          </w:tcPr>
          <w:p>
            <w:pPr>
              <w:autoSpaceDE w:val="0"/>
              <w:autoSpaceDN w:val="0"/>
              <w:adjustRightInd w:val="0"/>
              <w:spacing w:line="360" w:lineRule="auto"/>
              <w:jc w:val="center"/>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安装时间</w:t>
            </w:r>
          </w:p>
        </w:tc>
        <w:tc>
          <w:tcPr>
            <w:tcW w:w="8439" w:type="dxa"/>
            <w:vAlign w:val="center"/>
          </w:tcPr>
          <w:p>
            <w:pPr>
              <w:autoSpaceDE w:val="0"/>
              <w:autoSpaceDN w:val="0"/>
              <w:adjustRightInd w:val="0"/>
              <w:spacing w:line="360" w:lineRule="auto"/>
              <w:jc w:val="both"/>
              <w:outlineLvl w:val="9"/>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在招标人书面供货通知内容要求的设备设施完成交货并通过初步验收后，我方承诺在接到招标人书面通知安装之日起</w:t>
            </w:r>
            <w:r>
              <w:rPr>
                <w:rFonts w:hint="eastAsia" w:ascii="宋体" w:hAnsi="宋体" w:eastAsia="宋体" w:cs="宋体"/>
                <w:b w:val="0"/>
                <w:bCs/>
                <w:color w:val="auto"/>
                <w:kern w:val="0"/>
                <w:sz w:val="21"/>
                <w:szCs w:val="21"/>
                <w:highlight w:val="none"/>
                <w:u w:val="single"/>
                <w:vertAlign w:val="baseline"/>
                <w:lang w:val="en-US" w:eastAsia="zh-CN"/>
              </w:rPr>
              <w:t xml:space="preserve">     </w:t>
            </w:r>
            <w:r>
              <w:rPr>
                <w:rFonts w:hint="eastAsia" w:ascii="宋体" w:hAnsi="宋体" w:eastAsia="宋体" w:cs="宋体"/>
                <w:b w:val="0"/>
                <w:bCs/>
                <w:color w:val="auto"/>
                <w:kern w:val="0"/>
                <w:sz w:val="21"/>
                <w:szCs w:val="21"/>
                <w:highlight w:val="none"/>
                <w:vertAlign w:val="baseline"/>
                <w:lang w:val="en-US" w:eastAsia="zh-CN"/>
              </w:rPr>
              <w:t>日内完成设备的安装及调试等工作。</w:t>
            </w:r>
          </w:p>
        </w:tc>
      </w:tr>
    </w:tbl>
    <w:p>
      <w:pPr>
        <w:spacing w:line="360" w:lineRule="auto"/>
        <w:jc w:val="left"/>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备注：</w:t>
      </w:r>
    </w:p>
    <w:p>
      <w:pPr>
        <w:spacing w:line="360" w:lineRule="auto"/>
        <w:jc w:val="left"/>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1.本表承诺事项若未填或漏填的，视为投标人按用户需求书响应。</w:t>
      </w:r>
    </w:p>
    <w:p>
      <w:pPr>
        <w:spacing w:line="360" w:lineRule="auto"/>
        <w:jc w:val="left"/>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2.本表承诺事项若与投标文件其他地方表述不一致的，以本承诺表为准。</w:t>
      </w:r>
    </w:p>
    <w:p>
      <w:pPr>
        <w:spacing w:line="360" w:lineRule="auto"/>
        <w:jc w:val="left"/>
        <w:outlineLvl w:val="9"/>
        <w:rPr>
          <w:rFonts w:hint="eastAsia" w:ascii="宋体" w:hAnsi="宋体" w:eastAsia="宋体" w:cs="宋体"/>
          <w:b/>
          <w:color w:val="auto"/>
          <w:kern w:val="0"/>
          <w:sz w:val="21"/>
          <w:szCs w:val="21"/>
          <w:highlight w:val="none"/>
          <w:lang w:val="en-US" w:eastAsia="zh-CN"/>
        </w:rPr>
      </w:pPr>
    </w:p>
    <w:p>
      <w:pPr>
        <w:spacing w:line="360" w:lineRule="auto"/>
        <w:jc w:val="left"/>
        <w:outlineLvl w:val="9"/>
        <w:rPr>
          <w:rFonts w:hint="eastAsia" w:ascii="宋体" w:hAnsi="宋体" w:eastAsia="宋体" w:cs="宋体"/>
          <w:b/>
          <w:color w:val="auto"/>
          <w:kern w:val="0"/>
          <w:sz w:val="21"/>
          <w:szCs w:val="21"/>
          <w:highlight w:val="none"/>
          <w:lang w:val="en-US" w:eastAsia="zh-CN"/>
        </w:rPr>
      </w:pPr>
    </w:p>
    <w:p>
      <w:pPr>
        <w:spacing w:line="360" w:lineRule="auto"/>
        <w:ind w:firstLine="6114" w:firstLineChars="2900"/>
        <w:jc w:val="left"/>
        <w:outlineLvl w:val="9"/>
        <w:rPr>
          <w:rFonts w:hint="eastAsia" w:ascii="宋体" w:hAnsi="宋体" w:eastAsia="宋体" w:cs="宋体"/>
          <w:b/>
          <w:color w:val="auto"/>
          <w:kern w:val="0"/>
          <w:sz w:val="21"/>
          <w:szCs w:val="21"/>
          <w:highlight w:val="none"/>
          <w:lang w:val="en-US" w:eastAsia="zh-CN"/>
        </w:rPr>
      </w:pPr>
    </w:p>
    <w:p>
      <w:pPr>
        <w:spacing w:line="360" w:lineRule="auto"/>
        <w:ind w:firstLine="6114" w:firstLineChars="2900"/>
        <w:jc w:val="left"/>
        <w:outlineLvl w:val="9"/>
        <w:rPr>
          <w:rFonts w:hint="eastAsia" w:ascii="宋体" w:hAnsi="宋体" w:eastAsia="宋体" w:cs="宋体"/>
          <w:b/>
          <w:color w:val="auto"/>
          <w:kern w:val="0"/>
          <w:sz w:val="21"/>
          <w:szCs w:val="21"/>
          <w:highlight w:val="none"/>
          <w:lang w:val="en-US" w:eastAsia="zh-CN"/>
        </w:rPr>
      </w:pPr>
    </w:p>
    <w:p>
      <w:pPr>
        <w:spacing w:line="360" w:lineRule="auto"/>
        <w:ind w:firstLine="6114" w:firstLineChars="2900"/>
        <w:jc w:val="left"/>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投标人（加盖投标人法人公章）：</w:t>
      </w:r>
    </w:p>
    <w:p>
      <w:pPr>
        <w:spacing w:line="360" w:lineRule="auto"/>
        <w:ind w:firstLine="6114" w:firstLineChars="2900"/>
        <w:jc w:val="left"/>
        <w:outlineLvl w:val="9"/>
        <w:rPr>
          <w:rFonts w:hint="eastAsia" w:eastAsia="宋体" w:cs="宋体"/>
          <w:b/>
          <w:bCs/>
          <w:color w:val="auto"/>
          <w:sz w:val="21"/>
          <w:szCs w:val="21"/>
          <w:lang w:bidi="ar"/>
        </w:rPr>
      </w:pPr>
      <w:r>
        <w:rPr>
          <w:rFonts w:hint="eastAsia" w:ascii="宋体" w:hAnsi="宋体" w:eastAsia="宋体" w:cs="宋体"/>
          <w:b/>
          <w:color w:val="auto"/>
          <w:kern w:val="0"/>
          <w:sz w:val="21"/>
          <w:szCs w:val="21"/>
          <w:highlight w:val="none"/>
          <w:lang w:val="en-US" w:eastAsia="zh-CN"/>
        </w:rPr>
        <w:t>日  期：  年    月  日</w:t>
      </w:r>
    </w:p>
    <w:p>
      <w:pPr>
        <w:autoSpaceDE/>
        <w:autoSpaceDN/>
        <w:adjustRightInd/>
        <w:spacing w:line="240" w:lineRule="auto"/>
        <w:rPr>
          <w:rFonts w:hint="eastAsia" w:ascii="宋体" w:hAnsi="宋体" w:eastAsia="宋体" w:cs="宋体"/>
          <w:b/>
          <w:color w:val="auto"/>
          <w:kern w:val="0"/>
          <w:sz w:val="32"/>
          <w:szCs w:val="32"/>
          <w:lang w:bidi="ar"/>
        </w:rPr>
      </w:pPr>
      <w:r>
        <w:rPr>
          <w:rFonts w:hint="eastAsia" w:ascii="宋体" w:hAnsi="宋体" w:eastAsia="宋体" w:cs="宋体"/>
          <w:b/>
          <w:color w:val="auto"/>
          <w:kern w:val="0"/>
          <w:sz w:val="32"/>
          <w:szCs w:val="32"/>
          <w:lang w:bidi="ar"/>
        </w:rPr>
        <w:br w:type="page"/>
      </w:r>
    </w:p>
    <w:p>
      <w:pPr>
        <w:autoSpaceDE w:val="0"/>
        <w:autoSpaceDN w:val="0"/>
        <w:adjustRightInd w:val="0"/>
        <w:spacing w:line="360" w:lineRule="auto"/>
        <w:rPr>
          <w:rFonts w:hint="eastAsia" w:ascii="宋体" w:hAnsi="宋体" w:eastAsia="宋体" w:cs="宋体"/>
          <w:b/>
          <w:color w:val="auto"/>
          <w:kern w:val="0"/>
          <w:sz w:val="32"/>
          <w:szCs w:val="32"/>
          <w:lang w:val="en-US" w:eastAsia="zh-CN" w:bidi="ar"/>
        </w:rPr>
      </w:pPr>
      <w:r>
        <w:rPr>
          <w:rFonts w:hint="eastAsia" w:ascii="宋体" w:hAnsi="宋体" w:eastAsia="宋体" w:cs="宋体"/>
          <w:b/>
          <w:color w:val="auto"/>
          <w:kern w:val="0"/>
          <w:sz w:val="32"/>
          <w:szCs w:val="32"/>
          <w:lang w:bidi="ar"/>
        </w:rPr>
        <w:t>13</w:t>
      </w:r>
      <w:r>
        <w:rPr>
          <w:rFonts w:hint="eastAsia" w:ascii="宋体" w:hAnsi="宋体" w:eastAsia="宋体" w:cs="宋体"/>
          <w:b/>
          <w:color w:val="auto"/>
          <w:kern w:val="0"/>
          <w:sz w:val="32"/>
          <w:szCs w:val="32"/>
          <w:lang w:val="en-US" w:eastAsia="zh-CN" w:bidi="ar"/>
        </w:rPr>
        <w:t>.7</w:t>
      </w:r>
      <w:r>
        <w:rPr>
          <w:rFonts w:hint="eastAsia" w:ascii="宋体" w:hAnsi="宋体" w:eastAsia="宋体" w:cs="宋体"/>
          <w:b/>
          <w:color w:val="auto"/>
          <w:kern w:val="0"/>
          <w:sz w:val="32"/>
          <w:szCs w:val="32"/>
          <w:lang w:bidi="ar"/>
        </w:rPr>
        <w:t xml:space="preserve"> </w:t>
      </w:r>
      <w:bookmarkEnd w:id="699"/>
      <w:bookmarkEnd w:id="700"/>
      <w:r>
        <w:rPr>
          <w:rFonts w:hint="eastAsia" w:ascii="宋体" w:hAnsi="宋体" w:eastAsia="宋体" w:cs="宋体"/>
          <w:b/>
          <w:color w:val="auto"/>
          <w:kern w:val="0"/>
          <w:sz w:val="32"/>
          <w:szCs w:val="32"/>
          <w:lang w:val="en-US" w:eastAsia="zh-CN" w:bidi="ar"/>
        </w:rPr>
        <w:t>质保期、维修响应时间承诺表</w:t>
      </w:r>
    </w:p>
    <w:p>
      <w:pPr>
        <w:autoSpaceDE w:val="0"/>
        <w:autoSpaceDN w:val="0"/>
        <w:adjustRightInd w:val="0"/>
        <w:spacing w:line="360" w:lineRule="auto"/>
        <w:jc w:val="center"/>
        <w:rPr>
          <w:rFonts w:hint="default" w:ascii="宋体" w:hAnsi="宋体" w:eastAsia="宋体" w:cs="宋体"/>
          <w:b/>
          <w:color w:val="auto"/>
          <w:kern w:val="0"/>
          <w:sz w:val="32"/>
          <w:szCs w:val="32"/>
          <w:lang w:val="en-US" w:eastAsia="zh-CN" w:bidi="ar"/>
        </w:rPr>
      </w:pPr>
      <w:r>
        <w:rPr>
          <w:rFonts w:hint="eastAsia" w:ascii="宋体" w:hAnsi="宋体" w:eastAsia="宋体" w:cs="宋体"/>
          <w:b/>
          <w:color w:val="auto"/>
          <w:kern w:val="0"/>
          <w:sz w:val="32"/>
          <w:szCs w:val="32"/>
          <w:lang w:val="en-US" w:eastAsia="zh-CN" w:bidi="ar"/>
        </w:rPr>
        <w:t>质保期、维修响应时间承诺表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212"/>
        <w:gridCol w:w="3212"/>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autoSpaceDE w:val="0"/>
              <w:autoSpaceDN w:val="0"/>
              <w:adjustRightInd w:val="0"/>
              <w:spacing w:line="360" w:lineRule="auto"/>
              <w:jc w:val="center"/>
              <w:outlineLvl w:val="9"/>
              <w:rPr>
                <w:rFonts w:hint="default" w:ascii="宋体" w:hAnsi="宋体" w:eastAsia="宋体" w:cs="宋体"/>
                <w:b/>
                <w:bCs w:val="0"/>
                <w:color w:val="auto"/>
                <w:kern w:val="0"/>
                <w:sz w:val="21"/>
                <w:szCs w:val="21"/>
                <w:highlight w:val="none"/>
                <w:vertAlign w:val="baseline"/>
                <w:lang w:val="en-US" w:eastAsia="zh-CN"/>
              </w:rPr>
            </w:pPr>
            <w:r>
              <w:rPr>
                <w:rFonts w:hint="eastAsia" w:ascii="宋体" w:hAnsi="宋体" w:eastAsia="宋体" w:cs="宋体"/>
                <w:b/>
                <w:bCs w:val="0"/>
                <w:color w:val="auto"/>
                <w:kern w:val="0"/>
                <w:sz w:val="21"/>
                <w:szCs w:val="21"/>
                <w:highlight w:val="none"/>
                <w:vertAlign w:val="baseline"/>
                <w:lang w:val="en-US" w:eastAsia="zh-CN"/>
              </w:rPr>
              <w:t>序号</w:t>
            </w:r>
          </w:p>
        </w:tc>
        <w:tc>
          <w:tcPr>
            <w:tcW w:w="9637" w:type="dxa"/>
            <w:gridSpan w:val="3"/>
            <w:vAlign w:val="center"/>
          </w:tcPr>
          <w:p>
            <w:pPr>
              <w:autoSpaceDE w:val="0"/>
              <w:autoSpaceDN w:val="0"/>
              <w:adjustRightInd w:val="0"/>
              <w:spacing w:line="360" w:lineRule="auto"/>
              <w:jc w:val="center"/>
              <w:outlineLvl w:val="9"/>
              <w:rPr>
                <w:rFonts w:hint="default" w:ascii="宋体" w:hAnsi="宋体" w:eastAsia="宋体" w:cs="宋体"/>
                <w:b/>
                <w:bCs w:val="0"/>
                <w:color w:val="auto"/>
                <w:kern w:val="0"/>
                <w:sz w:val="21"/>
                <w:szCs w:val="21"/>
                <w:highlight w:val="none"/>
                <w:vertAlign w:val="baseline"/>
                <w:lang w:val="en-US" w:eastAsia="zh-CN"/>
              </w:rPr>
            </w:pPr>
            <w:r>
              <w:rPr>
                <w:rFonts w:hint="eastAsia" w:ascii="宋体" w:hAnsi="宋体" w:eastAsia="宋体" w:cs="宋体"/>
                <w:b/>
                <w:bCs w:val="0"/>
                <w:color w:val="auto"/>
                <w:kern w:val="0"/>
                <w:sz w:val="21"/>
                <w:szCs w:val="21"/>
                <w:highlight w:val="none"/>
                <w:vertAlign w:val="baseline"/>
                <w:lang w:val="en-US" w:eastAsia="zh-CN"/>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autoSpaceDE w:val="0"/>
              <w:autoSpaceDN w:val="0"/>
              <w:adjustRightInd w:val="0"/>
              <w:spacing w:line="360" w:lineRule="auto"/>
              <w:jc w:val="center"/>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1</w:t>
            </w:r>
          </w:p>
        </w:tc>
        <w:tc>
          <w:tcPr>
            <w:tcW w:w="9637" w:type="dxa"/>
            <w:gridSpan w:val="3"/>
            <w:vAlign w:val="center"/>
          </w:tcPr>
          <w:p>
            <w:pPr>
              <w:autoSpaceDE w:val="0"/>
              <w:autoSpaceDN w:val="0"/>
              <w:adjustRightInd w:val="0"/>
              <w:spacing w:line="360" w:lineRule="auto"/>
              <w:jc w:val="both"/>
              <w:outlineLvl w:val="9"/>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我方承诺对本项目所投的食堂设备设施质保期为</w:t>
            </w:r>
            <w:r>
              <w:rPr>
                <w:rFonts w:hint="eastAsia" w:ascii="宋体" w:hAnsi="宋体" w:eastAsia="宋体" w:cs="宋体"/>
                <w:b w:val="0"/>
                <w:bCs/>
                <w:color w:val="auto"/>
                <w:kern w:val="0"/>
                <w:sz w:val="21"/>
                <w:szCs w:val="21"/>
                <w:highlight w:val="none"/>
                <w:u w:val="single"/>
                <w:vertAlign w:val="baseline"/>
                <w:lang w:val="en-US" w:eastAsia="zh-CN"/>
              </w:rPr>
              <w:t xml:space="preserve">    </w:t>
            </w:r>
            <w:r>
              <w:rPr>
                <w:rFonts w:hint="eastAsia" w:ascii="宋体" w:hAnsi="宋体" w:eastAsia="宋体" w:cs="宋体"/>
                <w:b w:val="0"/>
                <w:bCs/>
                <w:color w:val="auto"/>
                <w:kern w:val="0"/>
                <w:sz w:val="21"/>
                <w:szCs w:val="21"/>
                <w:highlight w:val="none"/>
                <w:vertAlign w:val="baseline"/>
                <w:lang w:val="en-US" w:eastAsia="zh-CN"/>
              </w:rPr>
              <w:t>个月，自设备最终验收合格之日起算。</w:t>
            </w:r>
          </w:p>
          <w:p>
            <w:pPr>
              <w:autoSpaceDE w:val="0"/>
              <w:autoSpaceDN w:val="0"/>
              <w:adjustRightInd w:val="0"/>
              <w:spacing w:line="360" w:lineRule="auto"/>
              <w:jc w:val="both"/>
              <w:outlineLvl w:val="9"/>
              <w:rPr>
                <w:rFonts w:hint="eastAsia" w:ascii="宋体" w:hAnsi="宋体" w:eastAsia="宋体" w:cs="宋体"/>
                <w:b/>
                <w:bCs w:val="0"/>
                <w:color w:val="auto"/>
                <w:kern w:val="0"/>
                <w:sz w:val="21"/>
                <w:szCs w:val="21"/>
                <w:highlight w:val="none"/>
                <w:vertAlign w:val="baseline"/>
                <w:lang w:val="en-US" w:eastAsia="zh-CN"/>
              </w:rPr>
            </w:pPr>
            <w:r>
              <w:rPr>
                <w:rFonts w:hint="eastAsia" w:ascii="宋体" w:hAnsi="宋体" w:eastAsia="宋体" w:cs="宋体"/>
                <w:b/>
                <w:bCs w:val="0"/>
                <w:color w:val="auto"/>
                <w:kern w:val="0"/>
                <w:sz w:val="21"/>
                <w:szCs w:val="21"/>
                <w:highlight w:val="none"/>
                <w:vertAlign w:val="baseline"/>
                <w:lang w:val="en-US" w:eastAsia="zh-CN"/>
              </w:rPr>
              <w:t>备注：</w:t>
            </w:r>
          </w:p>
          <w:p>
            <w:pPr>
              <w:autoSpaceDE w:val="0"/>
              <w:autoSpaceDN w:val="0"/>
              <w:adjustRightInd w:val="0"/>
              <w:spacing w:line="360" w:lineRule="auto"/>
              <w:jc w:val="both"/>
              <w:outlineLvl w:val="9"/>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（1）承诺的质保期需按月（整数）填写，若填写数值为非整数，我方同意按小数点后的数字向上取整的方式调整承诺的质保期数值。</w:t>
            </w:r>
          </w:p>
          <w:p>
            <w:pPr>
              <w:autoSpaceDE w:val="0"/>
              <w:autoSpaceDN w:val="0"/>
              <w:adjustRightInd w:val="0"/>
              <w:spacing w:line="360" w:lineRule="auto"/>
              <w:jc w:val="both"/>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（2）如果设备厂家提供的原厂质保期大于投标人承诺的质保期的，投标人需在下表中分别列出该设备的原厂质保期，该设备质保期以原厂质保期为准。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Align w:val="center"/>
          </w:tcPr>
          <w:p>
            <w:pPr>
              <w:autoSpaceDE w:val="0"/>
              <w:autoSpaceDN w:val="0"/>
              <w:adjustRightInd w:val="0"/>
              <w:spacing w:line="360" w:lineRule="auto"/>
              <w:jc w:val="center"/>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2</w:t>
            </w:r>
          </w:p>
        </w:tc>
        <w:tc>
          <w:tcPr>
            <w:tcW w:w="9637" w:type="dxa"/>
            <w:gridSpan w:val="3"/>
            <w:vAlign w:val="center"/>
          </w:tcPr>
          <w:p>
            <w:pPr>
              <w:autoSpaceDE w:val="0"/>
              <w:autoSpaceDN w:val="0"/>
              <w:adjustRightInd w:val="0"/>
              <w:spacing w:line="360" w:lineRule="auto"/>
              <w:jc w:val="both"/>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我方承诺在合同规定的质保期内，在接到招标人的故障通知后</w:t>
            </w:r>
            <w:r>
              <w:rPr>
                <w:rFonts w:hint="eastAsia" w:ascii="宋体" w:hAnsi="宋体" w:eastAsia="宋体" w:cs="宋体"/>
                <w:b w:val="0"/>
                <w:bCs/>
                <w:color w:val="auto"/>
                <w:kern w:val="0"/>
                <w:sz w:val="21"/>
                <w:szCs w:val="21"/>
                <w:highlight w:val="none"/>
                <w:u w:val="single"/>
                <w:vertAlign w:val="baseline"/>
                <w:lang w:val="en-US" w:eastAsia="zh-CN"/>
              </w:rPr>
              <w:t xml:space="preserve">     </w:t>
            </w:r>
            <w:r>
              <w:rPr>
                <w:rFonts w:hint="eastAsia" w:ascii="宋体" w:hAnsi="宋体" w:eastAsia="宋体" w:cs="宋体"/>
                <w:b w:val="0"/>
                <w:bCs/>
                <w:color w:val="auto"/>
                <w:kern w:val="0"/>
                <w:sz w:val="21"/>
                <w:szCs w:val="21"/>
                <w:highlight w:val="none"/>
                <w:vertAlign w:val="baseline"/>
                <w:lang w:val="en-US" w:eastAsia="zh-CN"/>
              </w:rPr>
              <w:t>小时内响应，</w:t>
            </w:r>
            <w:r>
              <w:rPr>
                <w:rFonts w:hint="eastAsia" w:ascii="宋体" w:hAnsi="宋体" w:eastAsia="宋体" w:cs="宋体"/>
                <w:b w:val="0"/>
                <w:bCs/>
                <w:color w:val="auto"/>
                <w:kern w:val="0"/>
                <w:sz w:val="21"/>
                <w:szCs w:val="21"/>
                <w:highlight w:val="none"/>
                <w:u w:val="single"/>
                <w:vertAlign w:val="baseline"/>
                <w:lang w:val="en-US" w:eastAsia="zh-CN"/>
              </w:rPr>
              <w:t xml:space="preserve">    </w:t>
            </w:r>
            <w:r>
              <w:rPr>
                <w:rFonts w:hint="eastAsia" w:ascii="宋体" w:hAnsi="宋体" w:eastAsia="宋体" w:cs="宋体"/>
                <w:b w:val="0"/>
                <w:bCs/>
                <w:color w:val="auto"/>
                <w:kern w:val="0"/>
                <w:sz w:val="21"/>
                <w:szCs w:val="21"/>
                <w:highlight w:val="none"/>
                <w:vertAlign w:val="baseline"/>
                <w:lang w:val="en-US" w:eastAsia="zh-CN"/>
              </w:rPr>
              <w:t>小时内达到现场进行维修等服务。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vAlign w:val="center"/>
          </w:tcPr>
          <w:p>
            <w:pPr>
              <w:autoSpaceDE w:val="0"/>
              <w:autoSpaceDN w:val="0"/>
              <w:adjustRightInd w:val="0"/>
              <w:spacing w:line="360" w:lineRule="auto"/>
              <w:jc w:val="center"/>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3</w:t>
            </w:r>
          </w:p>
        </w:tc>
        <w:tc>
          <w:tcPr>
            <w:tcW w:w="9637" w:type="dxa"/>
            <w:gridSpan w:val="3"/>
            <w:vAlign w:val="center"/>
          </w:tcPr>
          <w:p>
            <w:pPr>
              <w:keepNext w:val="0"/>
              <w:keepLines w:val="0"/>
              <w:pageBreakBefore/>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设备原厂质保期大于投标人承诺质保期设备清单表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2" w:type="dxa"/>
            <w:vAlign w:val="center"/>
          </w:tcPr>
          <w:p>
            <w:pPr>
              <w:autoSpaceDE w:val="0"/>
              <w:autoSpaceDN w:val="0"/>
              <w:adjustRightInd w:val="0"/>
              <w:spacing w:line="360" w:lineRule="auto"/>
              <w:jc w:val="center"/>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设备名称</w:t>
            </w:r>
          </w:p>
        </w:tc>
        <w:tc>
          <w:tcPr>
            <w:tcW w:w="3212" w:type="dxa"/>
            <w:vAlign w:val="center"/>
          </w:tcPr>
          <w:p>
            <w:pPr>
              <w:autoSpaceDE w:val="0"/>
              <w:autoSpaceDN w:val="0"/>
              <w:adjustRightInd w:val="0"/>
              <w:spacing w:line="360" w:lineRule="auto"/>
              <w:jc w:val="center"/>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原厂厂家</w:t>
            </w:r>
          </w:p>
        </w:tc>
        <w:tc>
          <w:tcPr>
            <w:tcW w:w="3213" w:type="dxa"/>
            <w:vAlign w:val="center"/>
          </w:tcPr>
          <w:p>
            <w:pPr>
              <w:autoSpaceDE w:val="0"/>
              <w:autoSpaceDN w:val="0"/>
              <w:adjustRightInd w:val="0"/>
              <w:spacing w:line="360" w:lineRule="auto"/>
              <w:jc w:val="center"/>
              <w:outlineLvl w:val="9"/>
              <w:rPr>
                <w:rFonts w:hint="default" w:ascii="宋体" w:hAnsi="宋体" w:eastAsia="宋体" w:cs="宋体"/>
                <w:b w:val="0"/>
                <w:bCs/>
                <w:color w:val="auto"/>
                <w:kern w:val="0"/>
                <w:sz w:val="21"/>
                <w:szCs w:val="21"/>
                <w:highlight w:val="none"/>
                <w:vertAlign w:val="baseline"/>
                <w:lang w:val="en-US" w:eastAsia="zh-CN"/>
              </w:rPr>
            </w:pPr>
            <w:r>
              <w:rPr>
                <w:rFonts w:hint="eastAsia" w:ascii="宋体" w:hAnsi="宋体" w:eastAsia="宋体" w:cs="宋体"/>
                <w:b w:val="0"/>
                <w:bCs/>
                <w:color w:val="auto"/>
                <w:kern w:val="0"/>
                <w:sz w:val="21"/>
                <w:szCs w:val="21"/>
                <w:highlight w:val="none"/>
                <w:vertAlign w:val="baseline"/>
                <w:lang w:val="en-US" w:eastAsia="zh-CN"/>
              </w:rPr>
              <w:t>原厂质保期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2" w:type="dxa"/>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2" w:type="dxa"/>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3" w:type="dxa"/>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2" w:type="dxa"/>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2" w:type="dxa"/>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3" w:type="dxa"/>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2" w:type="dxa"/>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2" w:type="dxa"/>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3" w:type="dxa"/>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2" w:type="dxa"/>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2" w:type="dxa"/>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c>
          <w:tcPr>
            <w:tcW w:w="3213" w:type="dxa"/>
            <w:vAlign w:val="center"/>
          </w:tcPr>
          <w:p>
            <w:pPr>
              <w:autoSpaceDE w:val="0"/>
              <w:autoSpaceDN w:val="0"/>
              <w:adjustRightInd w:val="0"/>
              <w:spacing w:line="360" w:lineRule="auto"/>
              <w:jc w:val="center"/>
              <w:outlineLvl w:val="9"/>
              <w:rPr>
                <w:rFonts w:hint="eastAsia" w:ascii="宋体" w:hAnsi="宋体" w:eastAsia="宋体" w:cs="宋体"/>
                <w:b w:val="0"/>
                <w:bCs/>
                <w:color w:val="auto"/>
                <w:kern w:val="0"/>
                <w:sz w:val="21"/>
                <w:szCs w:val="21"/>
                <w:highlight w:val="none"/>
                <w:vertAlign w:val="baseline"/>
                <w:lang w:val="en-US" w:eastAsia="zh-CN"/>
              </w:rPr>
            </w:pPr>
          </w:p>
        </w:tc>
      </w:tr>
    </w:tbl>
    <w:p>
      <w:pPr>
        <w:spacing w:line="360" w:lineRule="auto"/>
        <w:jc w:val="left"/>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备注：</w:t>
      </w:r>
    </w:p>
    <w:p>
      <w:pPr>
        <w:spacing w:line="360" w:lineRule="auto"/>
        <w:jc w:val="left"/>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1.本表承诺事项若未填或漏填的，视为投标人按用户需求书响应。</w:t>
      </w:r>
    </w:p>
    <w:p>
      <w:pPr>
        <w:spacing w:line="360" w:lineRule="auto"/>
        <w:jc w:val="left"/>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2.本表承诺事项若与投标文件其他地方表述不一致的，以本承诺表为准。</w:t>
      </w:r>
    </w:p>
    <w:p>
      <w:pPr>
        <w:spacing w:line="360" w:lineRule="auto"/>
        <w:ind w:firstLine="5903" w:firstLineChars="2800"/>
        <w:jc w:val="left"/>
        <w:outlineLvl w:val="9"/>
        <w:rPr>
          <w:rFonts w:hint="eastAsia" w:ascii="宋体" w:hAnsi="宋体" w:eastAsia="宋体" w:cs="宋体"/>
          <w:b/>
          <w:color w:val="auto"/>
          <w:kern w:val="0"/>
          <w:sz w:val="21"/>
          <w:szCs w:val="21"/>
          <w:highlight w:val="none"/>
          <w:lang w:val="en-US" w:eastAsia="zh-CN"/>
        </w:rPr>
      </w:pPr>
    </w:p>
    <w:p>
      <w:pPr>
        <w:spacing w:line="360" w:lineRule="auto"/>
        <w:ind w:firstLine="5903" w:firstLineChars="2800"/>
        <w:jc w:val="left"/>
        <w:outlineLvl w:val="9"/>
        <w:rPr>
          <w:rFonts w:hint="eastAsia" w:ascii="宋体" w:hAnsi="宋体" w:eastAsia="宋体" w:cs="宋体"/>
          <w:b/>
          <w:color w:val="auto"/>
          <w:kern w:val="0"/>
          <w:sz w:val="21"/>
          <w:szCs w:val="21"/>
          <w:highlight w:val="none"/>
          <w:lang w:val="en-US" w:eastAsia="zh-CN"/>
        </w:rPr>
      </w:pPr>
    </w:p>
    <w:p>
      <w:pPr>
        <w:spacing w:line="360" w:lineRule="auto"/>
        <w:ind w:firstLine="5903" w:firstLineChars="2800"/>
        <w:jc w:val="left"/>
        <w:outlineLvl w:val="9"/>
        <w:rPr>
          <w:rFonts w:hint="eastAsia" w:ascii="宋体" w:hAnsi="宋体" w:eastAsia="宋体" w:cs="宋体"/>
          <w:b/>
          <w:color w:val="auto"/>
          <w:kern w:val="0"/>
          <w:sz w:val="21"/>
          <w:szCs w:val="21"/>
          <w:highlight w:val="none"/>
          <w:lang w:val="en-US" w:eastAsia="zh-CN"/>
        </w:rPr>
      </w:pPr>
    </w:p>
    <w:p>
      <w:pPr>
        <w:pStyle w:val="5"/>
        <w:rPr>
          <w:rFonts w:hint="eastAsia" w:ascii="宋体" w:hAnsi="宋体" w:eastAsia="宋体" w:cs="宋体"/>
          <w:b/>
          <w:color w:val="auto"/>
          <w:kern w:val="0"/>
          <w:sz w:val="21"/>
          <w:szCs w:val="21"/>
          <w:highlight w:val="none"/>
          <w:lang w:val="en-US" w:eastAsia="zh-CN"/>
        </w:rPr>
      </w:pPr>
    </w:p>
    <w:p>
      <w:pPr>
        <w:rPr>
          <w:rFonts w:hint="eastAsia" w:ascii="宋体" w:hAnsi="宋体" w:eastAsia="宋体" w:cs="宋体"/>
          <w:b/>
          <w:color w:val="auto"/>
          <w:kern w:val="0"/>
          <w:sz w:val="21"/>
          <w:szCs w:val="21"/>
          <w:highlight w:val="none"/>
          <w:lang w:val="en-US" w:eastAsia="zh-CN"/>
        </w:rPr>
      </w:pPr>
    </w:p>
    <w:p>
      <w:pPr>
        <w:pStyle w:val="5"/>
        <w:rPr>
          <w:rFonts w:hint="eastAsia"/>
          <w:lang w:val="en-US" w:eastAsia="zh-CN"/>
        </w:rPr>
      </w:pPr>
    </w:p>
    <w:p>
      <w:pPr>
        <w:spacing w:line="360" w:lineRule="auto"/>
        <w:ind w:firstLine="5903" w:firstLineChars="2800"/>
        <w:jc w:val="left"/>
        <w:outlineLvl w:val="9"/>
        <w:rPr>
          <w:rFonts w:hint="eastAsia" w:ascii="宋体" w:hAnsi="宋体" w:eastAsia="宋体" w:cs="宋体"/>
          <w:b/>
          <w:color w:val="auto"/>
          <w:kern w:val="0"/>
          <w:sz w:val="21"/>
          <w:szCs w:val="21"/>
          <w:highlight w:val="none"/>
          <w:lang w:val="en-US" w:eastAsia="zh-CN"/>
        </w:rPr>
      </w:pPr>
    </w:p>
    <w:p>
      <w:pPr>
        <w:spacing w:line="360" w:lineRule="auto"/>
        <w:ind w:firstLine="5903" w:firstLineChars="2800"/>
        <w:jc w:val="left"/>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投标人（加盖投标人法人公章）：</w:t>
      </w:r>
    </w:p>
    <w:p>
      <w:pPr>
        <w:spacing w:line="360" w:lineRule="auto"/>
        <w:ind w:firstLine="5903" w:firstLineChars="2800"/>
        <w:jc w:val="left"/>
        <w:outlineLvl w:val="9"/>
        <w:rPr>
          <w:rFonts w:hint="default"/>
          <w:szCs w:val="21"/>
          <w:lang w:val="en-US" w:eastAsia="zh-CN"/>
        </w:rPr>
      </w:pPr>
      <w:r>
        <w:rPr>
          <w:rFonts w:hint="eastAsia" w:ascii="宋体" w:hAnsi="宋体" w:eastAsia="宋体" w:cs="宋体"/>
          <w:b/>
          <w:color w:val="auto"/>
          <w:kern w:val="0"/>
          <w:sz w:val="21"/>
          <w:szCs w:val="21"/>
          <w:highlight w:val="none"/>
          <w:lang w:val="en-US" w:eastAsia="zh-CN"/>
        </w:rPr>
        <w:t>日  期：  年    月  日</w:t>
      </w:r>
    </w:p>
    <w:p>
      <w:pPr>
        <w:pageBreakBefore/>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03" w:name="_Toc2113"/>
      <w:r>
        <w:rPr>
          <w:rFonts w:hint="eastAsia" w:ascii="宋体" w:hAnsi="宋体" w:eastAsia="宋体" w:cs="宋体"/>
          <w:b/>
          <w:color w:val="auto"/>
          <w:kern w:val="0"/>
          <w:sz w:val="30"/>
          <w:szCs w:val="30"/>
          <w:highlight w:val="none"/>
          <w:lang w:val="en-US" w:eastAsia="zh-CN"/>
        </w:rPr>
        <w:t xml:space="preserve">13.8 </w:t>
      </w:r>
      <w:r>
        <w:rPr>
          <w:rFonts w:hint="eastAsia" w:ascii="宋体" w:hAnsi="宋体" w:eastAsia="宋体" w:cs="宋体"/>
          <w:b/>
          <w:color w:val="auto"/>
          <w:kern w:val="0"/>
          <w:sz w:val="30"/>
          <w:szCs w:val="30"/>
          <w:highlight w:val="none"/>
        </w:rPr>
        <w:t>投标人认为有必要提供的其它材料（不做强制要求）</w:t>
      </w:r>
      <w:bookmarkEnd w:id="693"/>
      <w:bookmarkEnd w:id="694"/>
      <w:bookmarkEnd w:id="695"/>
      <w:bookmarkEnd w:id="696"/>
      <w:bookmarkEnd w:id="697"/>
      <w:bookmarkEnd w:id="701"/>
      <w:bookmarkEnd w:id="702"/>
      <w:bookmarkEnd w:id="703"/>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autoSpaceDE w:val="0"/>
        <w:autoSpaceDN w:val="0"/>
        <w:adjustRightInd w:val="0"/>
        <w:jc w:val="left"/>
        <w:rPr>
          <w:rFonts w:ascii="宋体" w:hAnsi="宋体" w:eastAsia="宋体" w:cs="Times New Roman"/>
          <w:color w:val="auto"/>
          <w:kern w:val="0"/>
          <w:sz w:val="24"/>
          <w:szCs w:val="24"/>
          <w:highlight w:val="none"/>
        </w:rPr>
      </w:pPr>
    </w:p>
    <w:p>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04" w:name="_Toc28845"/>
      <w:bookmarkStart w:id="705" w:name="_Toc3113"/>
      <w:bookmarkStart w:id="706" w:name="_Toc25469"/>
      <w:bookmarkStart w:id="707" w:name="_Toc142508390"/>
      <w:bookmarkStart w:id="708" w:name="_Toc521918141"/>
      <w:bookmarkStart w:id="709" w:name="_Toc522047402"/>
      <w:bookmarkStart w:id="710" w:name="_Toc22601_WPSOffice_Level1"/>
      <w:r>
        <w:rPr>
          <w:rFonts w:hint="eastAsia" w:ascii="宋体" w:hAnsi="宋体" w:eastAsia="宋体" w:cs="宋体"/>
          <w:b/>
          <w:bCs/>
          <w:color w:val="auto"/>
          <w:kern w:val="44"/>
          <w:sz w:val="32"/>
          <w:szCs w:val="32"/>
          <w:highlight w:val="none"/>
          <w:lang w:val="zh-CN"/>
        </w:rPr>
        <w:t>附件一：评标工作大纲</w:t>
      </w:r>
      <w:bookmarkEnd w:id="704"/>
      <w:bookmarkEnd w:id="705"/>
      <w:bookmarkEnd w:id="706"/>
      <w:bookmarkEnd w:id="707"/>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东莞市置拓投资有限公司水业大厦食堂设备设施采购项目</w:t>
      </w:r>
    </w:p>
    <w:p>
      <w:pPr>
        <w:autoSpaceDE w:val="0"/>
        <w:autoSpaceDN w:val="0"/>
        <w:adjustRightInd w:val="0"/>
        <w:spacing w:line="360" w:lineRule="auto"/>
        <w:jc w:val="center"/>
        <w:rPr>
          <w:rFonts w:ascii="宋体" w:hAnsi="宋体" w:eastAsia="宋体" w:cs="宋体"/>
          <w:b/>
          <w:bCs/>
          <w:color w:val="auto"/>
          <w:sz w:val="36"/>
          <w:szCs w:val="36"/>
          <w:highlight w:val="none"/>
        </w:rPr>
      </w:pPr>
      <w:bookmarkStart w:id="711" w:name="_Toc14752_WPSOffice_Level1"/>
      <w:r>
        <w:rPr>
          <w:rFonts w:hint="eastAsia" w:ascii="宋体" w:hAnsi="宋体" w:eastAsia="宋体" w:cs="宋体"/>
          <w:b/>
          <w:bCs/>
          <w:color w:val="auto"/>
          <w:sz w:val="36"/>
          <w:szCs w:val="36"/>
          <w:highlight w:val="none"/>
          <w:lang w:val="zh-CN"/>
        </w:rPr>
        <w:t>（招标编号：0832-SFCX25DG030A）</w:t>
      </w:r>
      <w:bookmarkEnd w:id="711"/>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12" w:name="_Toc18947_WPSOffice_Level2"/>
      <w:r>
        <w:rPr>
          <w:rFonts w:hint="eastAsia" w:ascii="宋体" w:hAnsi="宋体" w:eastAsia="宋体" w:cs="宋体"/>
          <w:b/>
          <w:bCs/>
          <w:color w:val="auto"/>
          <w:sz w:val="72"/>
          <w:szCs w:val="72"/>
          <w:highlight w:val="none"/>
          <w:lang w:val="zh-CN"/>
        </w:rPr>
        <w:t>评标工作大纲</w:t>
      </w:r>
      <w:bookmarkEnd w:id="712"/>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三方诚信招标有限公司</w:t>
      </w:r>
    </w:p>
    <w:p>
      <w:pPr>
        <w:autoSpaceDE w:val="0"/>
        <w:autoSpaceDN w:val="0"/>
        <w:adjustRightInd w:val="0"/>
        <w:spacing w:line="400" w:lineRule="atLeast"/>
        <w:jc w:val="center"/>
        <w:rPr>
          <w:rFonts w:ascii="宋体" w:hAnsi="宋体" w:eastAsia="宋体" w:cs="宋体"/>
          <w:b/>
          <w:bCs/>
          <w:color w:val="auto"/>
          <w:sz w:val="36"/>
          <w:szCs w:val="36"/>
          <w:highlight w:val="none"/>
        </w:rPr>
      </w:pPr>
    </w:p>
    <w:p>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13" w:name="_Toc32395_WPSOffice_Level1"/>
      <w:r>
        <w:rPr>
          <w:rFonts w:hint="eastAsia" w:ascii="宋体" w:hAnsi="宋体" w:eastAsia="宋体" w:cs="宋体"/>
          <w:b/>
          <w:bCs/>
          <w:color w:val="auto"/>
          <w:sz w:val="36"/>
          <w:szCs w:val="36"/>
          <w:highlight w:val="none"/>
          <w:lang w:val="zh-CN"/>
        </w:rPr>
        <w:t>目录</w:t>
      </w:r>
      <w:bookmarkEnd w:id="713"/>
    </w:p>
    <w:p>
      <w:pPr>
        <w:autoSpaceDE w:val="0"/>
        <w:autoSpaceDN w:val="0"/>
        <w:adjustRightInd w:val="0"/>
        <w:spacing w:line="400" w:lineRule="atLeast"/>
        <w:jc w:val="center"/>
        <w:rPr>
          <w:rFonts w:ascii="宋体" w:hAnsi="宋体" w:eastAsia="宋体" w:cs="宋体"/>
          <w:color w:val="auto"/>
          <w:sz w:val="44"/>
          <w:szCs w:val="44"/>
          <w:highlight w:val="none"/>
        </w:rPr>
      </w:pPr>
    </w:p>
    <w:p>
      <w:pPr>
        <w:autoSpaceDE w:val="0"/>
        <w:autoSpaceDN w:val="0"/>
        <w:adjustRightInd w:val="0"/>
        <w:spacing w:line="360" w:lineRule="auto"/>
        <w:ind w:left="567" w:hanging="567"/>
        <w:rPr>
          <w:rFonts w:ascii="宋体" w:hAnsi="宋体" w:eastAsia="宋体" w:cs="宋体"/>
          <w:color w:val="auto"/>
          <w:szCs w:val="30"/>
          <w:highlight w:val="none"/>
        </w:rPr>
      </w:pPr>
      <w:bookmarkStart w:id="714"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14"/>
    </w:p>
    <w:p>
      <w:pPr>
        <w:autoSpaceDE w:val="0"/>
        <w:autoSpaceDN w:val="0"/>
        <w:adjustRightInd w:val="0"/>
        <w:spacing w:line="360" w:lineRule="auto"/>
        <w:ind w:left="567" w:hanging="567"/>
        <w:rPr>
          <w:rFonts w:ascii="宋体" w:hAnsi="宋体" w:eastAsia="宋体" w:cs="宋体"/>
          <w:color w:val="auto"/>
          <w:szCs w:val="30"/>
          <w:highlight w:val="none"/>
        </w:rPr>
      </w:pPr>
      <w:bookmarkStart w:id="715"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15"/>
    </w:p>
    <w:p>
      <w:pPr>
        <w:autoSpaceDE w:val="0"/>
        <w:autoSpaceDN w:val="0"/>
        <w:adjustRightInd w:val="0"/>
        <w:spacing w:line="360" w:lineRule="auto"/>
        <w:ind w:left="567" w:hanging="567"/>
        <w:rPr>
          <w:rFonts w:ascii="宋体" w:hAnsi="宋体" w:eastAsia="宋体" w:cs="宋体"/>
          <w:color w:val="auto"/>
          <w:szCs w:val="30"/>
          <w:highlight w:val="none"/>
        </w:rPr>
      </w:pPr>
      <w:bookmarkStart w:id="716"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16"/>
    </w:p>
    <w:p>
      <w:pPr>
        <w:autoSpaceDE w:val="0"/>
        <w:autoSpaceDN w:val="0"/>
        <w:adjustRightInd w:val="0"/>
        <w:spacing w:line="360" w:lineRule="auto"/>
        <w:ind w:left="567" w:hanging="567"/>
        <w:rPr>
          <w:rFonts w:ascii="宋体" w:hAnsi="宋体" w:eastAsia="宋体" w:cs="宋体"/>
          <w:color w:val="auto"/>
          <w:szCs w:val="30"/>
          <w:highlight w:val="none"/>
        </w:rPr>
      </w:pPr>
      <w:bookmarkStart w:id="717" w:name="_Toc1206_WPSOffice_Level1"/>
      <w:r>
        <w:rPr>
          <w:rFonts w:hint="eastAsia" w:ascii="宋体" w:hAnsi="宋体" w:eastAsia="宋体" w:cs="宋体"/>
          <w:color w:val="auto"/>
          <w:szCs w:val="30"/>
          <w:highlight w:val="none"/>
        </w:rPr>
        <w:t>四、 比较和评价</w:t>
      </w:r>
      <w:bookmarkEnd w:id="717"/>
    </w:p>
    <w:p>
      <w:pPr>
        <w:autoSpaceDE w:val="0"/>
        <w:autoSpaceDN w:val="0"/>
        <w:adjustRightInd w:val="0"/>
        <w:spacing w:line="360" w:lineRule="auto"/>
        <w:ind w:left="567" w:hanging="567"/>
        <w:rPr>
          <w:rFonts w:ascii="宋体" w:hAnsi="宋体" w:eastAsia="宋体" w:cs="宋体"/>
          <w:color w:val="auto"/>
          <w:szCs w:val="30"/>
          <w:highlight w:val="none"/>
        </w:rPr>
      </w:pPr>
      <w:bookmarkStart w:id="718"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18"/>
    </w:p>
    <w:p>
      <w:pPr>
        <w:autoSpaceDE w:val="0"/>
        <w:autoSpaceDN w:val="0"/>
        <w:adjustRightInd w:val="0"/>
        <w:spacing w:line="360" w:lineRule="auto"/>
        <w:ind w:left="567" w:hanging="567"/>
        <w:rPr>
          <w:rFonts w:ascii="宋体" w:hAnsi="宋体" w:eastAsia="宋体" w:cs="宋体"/>
          <w:color w:val="auto"/>
          <w:szCs w:val="30"/>
          <w:highlight w:val="none"/>
        </w:rPr>
      </w:pPr>
      <w:bookmarkStart w:id="719"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19"/>
    </w:p>
    <w:p>
      <w:pPr>
        <w:autoSpaceDE w:val="0"/>
        <w:autoSpaceDN w:val="0"/>
        <w:adjustRightInd w:val="0"/>
        <w:spacing w:line="360" w:lineRule="auto"/>
        <w:ind w:left="567" w:hanging="567"/>
        <w:rPr>
          <w:rFonts w:ascii="宋体" w:hAnsi="宋体" w:eastAsia="宋体" w:cs="宋体"/>
          <w:color w:val="auto"/>
          <w:szCs w:val="30"/>
          <w:highlight w:val="none"/>
        </w:rPr>
      </w:pPr>
      <w:bookmarkStart w:id="720"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20"/>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21"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21"/>
    </w:p>
    <w:p>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东莞市置拓投资有限公司水业大厦食堂设备设施采购项目</w:t>
      </w:r>
      <w:r>
        <w:rPr>
          <w:rFonts w:hint="eastAsia" w:ascii="宋体" w:hAnsi="宋体" w:eastAsia="宋体" w:cs="宋体"/>
          <w:color w:val="auto"/>
          <w:szCs w:val="21"/>
          <w:highlight w:val="none"/>
          <w:lang w:val="zh-CN"/>
        </w:rPr>
        <w:t>(招标编号：0832-SFCX25DG030A</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三方诚信招标有限公司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2"/>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color w:val="auto"/>
          <w:sz w:val="24"/>
          <w:szCs w:val="24"/>
          <w:highlight w:val="none"/>
          <w:lang w:val="zh-CN"/>
        </w:rPr>
      </w:pPr>
    </w:p>
    <w:p>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rPr>
          <w:rFonts w:ascii="宋体" w:hAnsi="宋体" w:eastAsia="宋体" w:cs="宋体"/>
          <w:color w:val="auto"/>
          <w:sz w:val="24"/>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722" w:name="_Toc19435_WPSOffice_Level1"/>
      <w:r>
        <w:rPr>
          <w:rFonts w:hint="eastAsia" w:ascii="宋体" w:hAnsi="宋体" w:eastAsia="宋体" w:cs="宋体"/>
          <w:b/>
          <w:bCs/>
          <w:color w:val="auto"/>
          <w:sz w:val="28"/>
          <w:szCs w:val="28"/>
          <w:highlight w:val="none"/>
          <w:lang w:val="zh-CN"/>
        </w:rPr>
        <w:t>二、投标文件的初审</w:t>
      </w:r>
      <w:bookmarkEnd w:id="722"/>
    </w:p>
    <w:p>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投标文件中的投标报价高于最高投标限价的</w:t>
      </w:r>
      <w:r>
        <w:rPr>
          <w:rFonts w:hint="eastAsia" w:ascii="宋体" w:hAnsi="宋体" w:eastAsia="宋体" w:cs="宋体"/>
          <w:b/>
          <w:bCs/>
          <w:color w:val="auto"/>
          <w:kern w:val="0"/>
          <w:szCs w:val="21"/>
          <w:highlight w:val="none"/>
        </w:rPr>
        <w:t>；</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 xml:space="preserve">7.6  </w:t>
      </w:r>
      <w:r>
        <w:rPr>
          <w:rFonts w:hint="eastAsia" w:ascii="宋体" w:hAnsi="宋体" w:eastAsia="宋体" w:cs="宋体"/>
          <w:b/>
          <w:bCs/>
          <w:color w:val="auto"/>
          <w:kern w:val="0"/>
          <w:szCs w:val="21"/>
          <w:highlight w:val="none"/>
        </w:rPr>
        <w:t xml:space="preserve">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0</w:t>
      </w:r>
      <w:r>
        <w:rPr>
          <w:rFonts w:ascii="宋体" w:hAnsi="宋体" w:eastAsia="宋体" w:cs="Times New Roman"/>
          <w:b/>
          <w:color w:val="auto"/>
          <w:kern w:val="0"/>
          <w:szCs w:val="21"/>
          <w:highlight w:val="none"/>
        </w:rPr>
        <w:t xml:space="preserve">  未填写或虚假填写《用户需求偏离表》的；</w:t>
      </w:r>
    </w:p>
    <w:p>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723" w:name="_Toc4109_WPSOffice_Level1"/>
      <w:r>
        <w:rPr>
          <w:rFonts w:hint="eastAsia" w:ascii="宋体" w:hAnsi="宋体" w:eastAsia="宋体" w:cs="宋体"/>
          <w:b/>
          <w:bCs/>
          <w:color w:val="auto"/>
          <w:sz w:val="28"/>
          <w:szCs w:val="28"/>
          <w:highlight w:val="none"/>
          <w:lang w:val="zh-CN"/>
        </w:rPr>
        <w:t>三、澄清有关问题</w:t>
      </w:r>
      <w:bookmarkEnd w:id="723"/>
    </w:p>
    <w:p>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pPr>
        <w:autoSpaceDE/>
        <w:autoSpaceDN/>
        <w:adjustRightInd/>
        <w:spacing w:line="360" w:lineRule="auto"/>
        <w:ind w:left="0" w:firstLine="420" w:firstLineChars="200"/>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w:t>
      </w:r>
      <w:r>
        <w:rPr>
          <w:rFonts w:hint="eastAsia" w:ascii="宋体" w:hAnsi="宋体" w:eastAsia="宋体" w:cs="宋体"/>
          <w:kern w:val="0"/>
          <w:szCs w:val="21"/>
          <w:highlight w:val="none"/>
          <w:lang w:val="en-US" w:eastAsia="zh-CN"/>
        </w:rPr>
        <w:t>A</w:t>
      </w:r>
      <w:r>
        <w:rPr>
          <w:rFonts w:hint="eastAsia" w:ascii="宋体" w:hAnsi="宋体" w:eastAsia="宋体" w:cs="宋体"/>
          <w:kern w:val="0"/>
          <w:szCs w:val="21"/>
          <w:highlight w:val="none"/>
          <w:lang w:val="zh-CN"/>
        </w:rPr>
        <w:t>）当以数字表示的金额与以文字表示的金额不一致时，以文字表示的金额为准；</w:t>
      </w:r>
    </w:p>
    <w:p>
      <w:pPr>
        <w:autoSpaceDE/>
        <w:autoSpaceDN/>
        <w:adjustRightInd/>
        <w:spacing w:line="360" w:lineRule="auto"/>
        <w:ind w:left="420" w:leftChars="200" w:firstLine="0" w:firstLineChars="0"/>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w:t>
      </w:r>
      <w:r>
        <w:rPr>
          <w:rFonts w:hint="eastAsia" w:ascii="宋体" w:hAnsi="宋体" w:eastAsia="宋体" w:cs="宋体"/>
          <w:kern w:val="0"/>
          <w:szCs w:val="21"/>
          <w:highlight w:val="none"/>
          <w:lang w:val="en-US" w:eastAsia="zh-CN"/>
        </w:rPr>
        <w:t>B</w:t>
      </w:r>
      <w:r>
        <w:rPr>
          <w:rFonts w:hint="eastAsia" w:ascii="宋体" w:hAnsi="宋体" w:eastAsia="宋体" w:cs="宋体"/>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pPr>
        <w:autoSpaceDE/>
        <w:autoSpaceDN/>
        <w:adjustRightInd/>
        <w:spacing w:line="360" w:lineRule="auto"/>
        <w:ind w:left="420" w:leftChars="200" w:firstLine="0" w:firstLineChars="0"/>
        <w:jc w:val="left"/>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w:t>
      </w:r>
      <w:r>
        <w:rPr>
          <w:rFonts w:hint="eastAsia" w:ascii="宋体" w:hAnsi="宋体" w:eastAsia="宋体" w:cs="宋体"/>
          <w:kern w:val="0"/>
          <w:szCs w:val="21"/>
          <w:highlight w:val="none"/>
          <w:lang w:val="en-US" w:eastAsia="zh-CN"/>
        </w:rPr>
        <w:t>C</w:t>
      </w:r>
      <w:r>
        <w:rPr>
          <w:rFonts w:hint="eastAsia" w:ascii="宋体" w:hAnsi="宋体" w:eastAsia="宋体" w:cs="宋体"/>
          <w:kern w:val="0"/>
          <w:szCs w:val="21"/>
          <w:highlight w:val="none"/>
          <w:lang w:val="zh-CN"/>
        </w:rPr>
        <w:t>）当分项报价明细表内累计与投标报价表内报价不符时，以投标报价表（开标一览表）为准，修正分项报价明细表内的各分项报价；</w:t>
      </w:r>
    </w:p>
    <w:p>
      <w:pPr>
        <w:autoSpaceDE/>
        <w:autoSpaceDN/>
        <w:adjustRightInd/>
        <w:spacing w:line="360" w:lineRule="auto"/>
        <w:ind w:left="0" w:firstLine="420" w:firstLineChars="200"/>
        <w:jc w:val="left"/>
        <w:rPr>
          <w:rFonts w:ascii="宋体" w:hAnsi="宋体" w:eastAsia="宋体" w:cs="Times New Roman"/>
          <w:kern w:val="0"/>
          <w:sz w:val="24"/>
          <w:szCs w:val="24"/>
          <w:highlight w:val="none"/>
        </w:rPr>
      </w:pPr>
      <w:r>
        <w:rPr>
          <w:rFonts w:hint="eastAsia" w:ascii="宋体" w:hAnsi="宋体" w:eastAsia="宋体" w:cs="宋体"/>
          <w:kern w:val="0"/>
          <w:szCs w:val="21"/>
          <w:highlight w:val="none"/>
          <w:lang w:val="zh-CN"/>
        </w:rPr>
        <w:t>（</w:t>
      </w:r>
      <w:r>
        <w:rPr>
          <w:rFonts w:hint="eastAsia" w:ascii="宋体" w:hAnsi="宋体" w:eastAsia="宋体" w:cs="宋体"/>
          <w:kern w:val="0"/>
          <w:szCs w:val="21"/>
          <w:highlight w:val="none"/>
          <w:lang w:val="en-US" w:eastAsia="zh-CN"/>
        </w:rPr>
        <w:t>D</w:t>
      </w:r>
      <w:r>
        <w:rPr>
          <w:rFonts w:hint="eastAsia" w:ascii="宋体" w:hAnsi="宋体" w:eastAsia="宋体" w:cs="宋体"/>
          <w:kern w:val="0"/>
          <w:szCs w:val="21"/>
          <w:highlight w:val="none"/>
          <w:lang w:val="zh-CN"/>
        </w:rPr>
        <w:t>）按前述修正原则排序依次进行修正至唯一值后的报价表经双方确认后，作为合同文件的组成部分。</w:t>
      </w:r>
    </w:p>
    <w:p>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724" w:name="_Toc8518_WPSOffice_Level1"/>
    </w:p>
    <w:p>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24"/>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color w:val="auto"/>
          <w:szCs w:val="24"/>
          <w:highlight w:val="none"/>
          <w:lang w:val="zh-CN"/>
        </w:rPr>
      </w:pP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val="0"/>
                <w:bCs/>
                <w:color w:val="auto"/>
                <w:szCs w:val="21"/>
                <w:lang w:bidi="ar"/>
              </w:rPr>
              <w:t>2</w:t>
            </w:r>
            <w:r>
              <w:rPr>
                <w:rFonts w:hint="eastAsia" w:ascii="宋体" w:hAnsi="宋体" w:eastAsia="宋体" w:cs="宋体"/>
                <w:b w:val="0"/>
                <w:bCs/>
                <w:color w:val="auto"/>
                <w:szCs w:val="21"/>
                <w:lang w:val="en-US" w:eastAsia="zh-CN" w:bidi="ar"/>
              </w:rPr>
              <w:t>0</w:t>
            </w:r>
            <w:r>
              <w:rPr>
                <w:rFonts w:hint="eastAsia" w:ascii="宋体" w:hAnsi="宋体" w:eastAsia="宋体" w:cs="宋体"/>
                <w:b w:val="0"/>
                <w:bCs/>
                <w:color w:val="auto"/>
                <w:szCs w:val="21"/>
                <w:lang w:bidi="ar"/>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val="0"/>
                <w:bCs/>
                <w:color w:val="auto"/>
                <w:szCs w:val="21"/>
                <w:lang w:val="en-US" w:eastAsia="zh-CN" w:bidi="ar"/>
              </w:rPr>
              <w:t>50</w:t>
            </w:r>
            <w:r>
              <w:rPr>
                <w:rFonts w:hint="eastAsia" w:ascii="宋体" w:hAnsi="宋体" w:eastAsia="宋体" w:cs="宋体"/>
                <w:b w:val="0"/>
                <w:bCs/>
                <w:color w:val="auto"/>
                <w:szCs w:val="21"/>
                <w:lang w:bidi="ar"/>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val="0"/>
                <w:bCs/>
                <w:color w:val="auto"/>
                <w:szCs w:val="21"/>
                <w:lang w:val="en-US" w:eastAsia="zh-CN" w:bidi="ar"/>
              </w:rPr>
              <w:t>30</w:t>
            </w:r>
            <w:r>
              <w:rPr>
                <w:rFonts w:hint="eastAsia" w:ascii="宋体" w:hAnsi="宋体" w:eastAsia="宋体" w:cs="宋体"/>
                <w:b w:val="0"/>
                <w:bCs/>
                <w:color w:val="auto"/>
                <w:szCs w:val="21"/>
                <w:lang w:bidi="ar"/>
              </w:rPr>
              <w:t>分</w:t>
            </w:r>
          </w:p>
        </w:tc>
      </w:tr>
    </w:tbl>
    <w:p>
      <w:pPr>
        <w:tabs>
          <w:tab w:val="left" w:pos="585"/>
        </w:tabs>
        <w:autoSpaceDE w:val="0"/>
        <w:autoSpaceDN w:val="0"/>
        <w:adjustRightInd w:val="0"/>
        <w:spacing w:line="360" w:lineRule="auto"/>
        <w:rPr>
          <w:rFonts w:ascii="宋体" w:hAnsi="宋体" w:eastAsia="宋体" w:cs="宋体"/>
          <w:b/>
          <w:color w:val="auto"/>
          <w:szCs w:val="21"/>
          <w:highlight w:val="none"/>
        </w:rPr>
      </w:pPr>
      <w:bookmarkStart w:id="725" w:name="_Toc1834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725"/>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133"/>
        <w:gridCol w:w="765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2"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hAnsi="宋体" w:eastAsia="宋体" w:cs="Times New Roman"/>
                <w:bCs/>
                <w:color w:val="auto"/>
                <w:kern w:val="0"/>
                <w:sz w:val="24"/>
                <w:szCs w:val="21"/>
                <w:highlight w:val="none"/>
              </w:rPr>
            </w:pPr>
            <w:r>
              <w:rPr>
                <w:rFonts w:hint="eastAsia" w:ascii="宋体" w:hAnsi="宋体" w:eastAsia="宋体" w:cs="宋体"/>
                <w:color w:val="auto"/>
                <w:sz w:val="21"/>
                <w:szCs w:val="21"/>
                <w:lang w:val="zh-CN"/>
              </w:rPr>
              <w:t>财务状况</w:t>
            </w:r>
          </w:p>
        </w:tc>
        <w:tc>
          <w:tcPr>
            <w:tcW w:w="369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hint="eastAsia" w:ascii="宋体" w:hAnsi="宋体" w:eastAsia="宋体" w:cs="Times New Roman"/>
                <w:b w:val="0"/>
                <w:bCs/>
                <w:color w:val="auto"/>
                <w:kern w:val="0"/>
                <w:szCs w:val="21"/>
                <w:highlight w:val="none"/>
                <w:lang w:val="zh-CN"/>
              </w:rPr>
            </w:pPr>
            <w:r>
              <w:rPr>
                <w:rFonts w:hint="eastAsia" w:ascii="宋体" w:hAnsi="宋体" w:eastAsia="宋体" w:cs="Times New Roman"/>
                <w:b w:val="0"/>
                <w:bCs/>
                <w:color w:val="auto"/>
                <w:kern w:val="0"/>
                <w:szCs w:val="21"/>
                <w:highlight w:val="none"/>
                <w:lang w:val="zh-CN"/>
              </w:rPr>
              <w:t>投标人2021年-2023年三个年度，每具有1个年度盈利的得</w:t>
            </w:r>
            <w:r>
              <w:rPr>
                <w:rFonts w:hint="eastAsia" w:ascii="宋体" w:hAnsi="宋体" w:eastAsia="宋体" w:cs="Times New Roman"/>
                <w:b w:val="0"/>
                <w:bCs/>
                <w:color w:val="auto"/>
                <w:kern w:val="0"/>
                <w:szCs w:val="21"/>
                <w:highlight w:val="none"/>
                <w:lang w:val="en-US" w:eastAsia="zh-CN"/>
              </w:rPr>
              <w:t>0.5</w:t>
            </w:r>
            <w:r>
              <w:rPr>
                <w:rFonts w:hint="eastAsia" w:ascii="宋体" w:hAnsi="宋体" w:eastAsia="宋体" w:cs="Times New Roman"/>
                <w:b w:val="0"/>
                <w:bCs/>
                <w:color w:val="auto"/>
                <w:kern w:val="0"/>
                <w:szCs w:val="21"/>
                <w:highlight w:val="none"/>
                <w:lang w:val="zh-CN"/>
              </w:rPr>
              <w:t>分，满分</w:t>
            </w:r>
            <w:r>
              <w:rPr>
                <w:rFonts w:hint="eastAsia" w:ascii="宋体" w:hAnsi="宋体" w:eastAsia="宋体" w:cs="Times New Roman"/>
                <w:b w:val="0"/>
                <w:bCs/>
                <w:color w:val="auto"/>
                <w:kern w:val="0"/>
                <w:szCs w:val="21"/>
                <w:highlight w:val="none"/>
                <w:lang w:val="en-US" w:eastAsia="zh-CN"/>
              </w:rPr>
              <w:t>1.5</w:t>
            </w:r>
            <w:r>
              <w:rPr>
                <w:rFonts w:hint="eastAsia" w:ascii="宋体" w:hAnsi="宋体" w:eastAsia="宋体" w:cs="Times New Roman"/>
                <w:b w:val="0"/>
                <w:bCs/>
                <w:color w:val="auto"/>
                <w:kern w:val="0"/>
                <w:szCs w:val="21"/>
                <w:highlight w:val="none"/>
                <w:lang w:val="zh-CN"/>
              </w:rPr>
              <w:t>分。</w:t>
            </w:r>
          </w:p>
          <w:p>
            <w:pPr>
              <w:autoSpaceDE w:val="0"/>
              <w:autoSpaceDN w:val="0"/>
              <w:spacing w:line="400" w:lineRule="exact"/>
              <w:jc w:val="left"/>
              <w:rPr>
                <w:rFonts w:ascii="宋体" w:hAnsi="宋体" w:eastAsia="宋体" w:cs="Times New Roman"/>
                <w:b/>
                <w:color w:val="auto"/>
                <w:kern w:val="0"/>
                <w:szCs w:val="21"/>
                <w:highlight w:val="none"/>
                <w:lang w:val="zh-CN"/>
              </w:rPr>
            </w:pPr>
            <w:r>
              <w:rPr>
                <w:rFonts w:hint="eastAsia" w:ascii="宋体" w:hAnsi="宋体" w:eastAsia="宋体" w:cs="Times New Roman"/>
                <w:b/>
                <w:color w:val="auto"/>
                <w:kern w:val="0"/>
                <w:szCs w:val="21"/>
                <w:highlight w:val="none"/>
                <w:lang w:val="en-US" w:eastAsia="zh-CN"/>
              </w:rPr>
              <w:t>备</w:t>
            </w:r>
            <w:r>
              <w:rPr>
                <w:rFonts w:hint="eastAsia" w:ascii="宋体" w:hAnsi="宋体" w:eastAsia="宋体" w:cs="Times New Roman"/>
                <w:b/>
                <w:color w:val="auto"/>
                <w:kern w:val="0"/>
                <w:szCs w:val="21"/>
                <w:highlight w:val="none"/>
                <w:lang w:val="zh-CN"/>
              </w:rPr>
              <w:t>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b w:val="0"/>
                <w:bCs/>
                <w:color w:val="auto"/>
                <w:kern w:val="0"/>
                <w:szCs w:val="21"/>
                <w:highlight w:val="none"/>
                <w:lang w:val="en-US" w:eastAsia="zh-CN"/>
              </w:rPr>
              <w:t>1.5</w:t>
            </w:r>
            <w:r>
              <w:rPr>
                <w:rFonts w:hint="eastAsia" w:ascii="宋体" w:hAnsi="宋体" w:eastAsia="宋体" w:cs="Times New Roman"/>
                <w:b w:val="0"/>
                <w:bCs/>
                <w:color w:val="auto"/>
                <w:kern w:val="0"/>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宋体" w:hAnsi="宋体" w:eastAsia="宋体" w:cs="宋体"/>
                <w:color w:val="auto"/>
                <w:kern w:val="0"/>
                <w:szCs w:val="21"/>
                <w:highlight w:val="none"/>
                <w:lang w:val="zh-CN"/>
              </w:rPr>
            </w:pPr>
            <w:r>
              <w:rPr>
                <w:rFonts w:hint="eastAsia" w:ascii="宋体" w:hAnsi="宋体" w:eastAsia="宋体" w:cs="宋体"/>
                <w:color w:val="auto"/>
                <w:sz w:val="21"/>
                <w:szCs w:val="21"/>
              </w:rPr>
              <w:t>标准化程度</w:t>
            </w:r>
          </w:p>
        </w:tc>
        <w:tc>
          <w:tcPr>
            <w:tcW w:w="369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Times New Roman"/>
                <w:b w:val="0"/>
                <w:bCs/>
                <w:color w:val="auto"/>
                <w:kern w:val="0"/>
                <w:szCs w:val="21"/>
                <w:highlight w:val="none"/>
                <w:lang w:val="zh-CN"/>
              </w:rPr>
              <w:t>投标人</w:t>
            </w:r>
            <w:r>
              <w:rPr>
                <w:rFonts w:hint="eastAsia" w:ascii="宋体" w:hAnsi="宋体" w:eastAsia="宋体" w:cs="宋体"/>
                <w:color w:val="auto"/>
                <w:sz w:val="21"/>
                <w:szCs w:val="21"/>
              </w:rPr>
              <w:t>具有有效期内的ISO9001质量管理体系认证证书得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w:t>
            </w:r>
          </w:p>
          <w:p>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Times New Roman"/>
                <w:b w:val="0"/>
                <w:bCs/>
                <w:color w:val="auto"/>
                <w:kern w:val="0"/>
                <w:szCs w:val="21"/>
                <w:highlight w:val="none"/>
                <w:lang w:val="zh-CN"/>
              </w:rPr>
              <w:t>投标人</w:t>
            </w:r>
            <w:r>
              <w:rPr>
                <w:rFonts w:hint="eastAsia" w:ascii="宋体" w:hAnsi="宋体" w:eastAsia="宋体" w:cs="宋体"/>
                <w:color w:val="auto"/>
                <w:sz w:val="21"/>
                <w:szCs w:val="21"/>
              </w:rPr>
              <w:t>具有有效期内的ISO14001环境管理体系认证证书得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w:t>
            </w:r>
          </w:p>
          <w:p>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Times New Roman"/>
                <w:b w:val="0"/>
                <w:bCs/>
                <w:color w:val="auto"/>
                <w:kern w:val="0"/>
                <w:szCs w:val="21"/>
                <w:highlight w:val="none"/>
                <w:lang w:val="zh-CN"/>
              </w:rPr>
              <w:t>投标人</w:t>
            </w:r>
            <w:r>
              <w:rPr>
                <w:rFonts w:hint="eastAsia" w:ascii="宋体" w:hAnsi="宋体" w:eastAsia="宋体" w:cs="宋体"/>
                <w:color w:val="auto"/>
                <w:sz w:val="21"/>
                <w:szCs w:val="21"/>
              </w:rPr>
              <w:t>具有有效期内的OHSAS18001（或GB/T45001-2020，或ISO45001）职业健康安全管理体系认证证书得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w:t>
            </w:r>
          </w:p>
          <w:p>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p>
            <w:pPr>
              <w:autoSpaceDE w:val="0"/>
              <w:autoSpaceDN w:val="0"/>
              <w:adjustRightInd w:val="0"/>
              <w:snapToGrid w:val="0"/>
              <w:spacing w:line="360" w:lineRule="auto"/>
              <w:jc w:val="left"/>
              <w:rPr>
                <w:rFonts w:ascii="宋体" w:hAnsi="宋体" w:eastAsia="宋体" w:cs="Times New Roman"/>
                <w:b/>
                <w:color w:val="auto"/>
                <w:kern w:val="0"/>
                <w:sz w:val="24"/>
                <w:szCs w:val="24"/>
                <w:highlight w:val="none"/>
              </w:rPr>
            </w:pPr>
            <w:r>
              <w:rPr>
                <w:rFonts w:hint="eastAsia" w:ascii="宋体" w:hAnsi="宋体" w:eastAsia="宋体" w:cs="宋体"/>
                <w:b/>
                <w:color w:val="auto"/>
                <w:sz w:val="21"/>
                <w:szCs w:val="21"/>
              </w:rPr>
              <w:t>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宋体"/>
                <w:color w:val="auto"/>
                <w:kern w:val="0"/>
                <w:szCs w:val="21"/>
                <w:highlight w:val="none"/>
              </w:rPr>
            </w:pPr>
            <w:bookmarkStart w:id="726" w:name="_Hlk104987354"/>
            <w:r>
              <w:rPr>
                <w:rFonts w:hint="eastAsia" w:ascii="宋体" w:hAnsi="宋体" w:eastAsia="宋体" w:cs="宋体"/>
                <w:color w:val="auto"/>
                <w:szCs w:val="21"/>
                <w:lang w:bidi="ar"/>
              </w:rPr>
              <w:t>3</w:t>
            </w:r>
          </w:p>
        </w:tc>
        <w:tc>
          <w:tcPr>
            <w:tcW w:w="1133" w:type="dxa"/>
            <w:tcBorders>
              <w:top w:val="single" w:color="auto" w:sz="4" w:space="0"/>
              <w:left w:val="single" w:color="auto" w:sz="4" w:space="0"/>
              <w:right w:val="single" w:color="auto" w:sz="4" w:space="0"/>
            </w:tcBorders>
            <w:vAlign w:val="center"/>
          </w:tcPr>
          <w:p>
            <w:pPr>
              <w:autoSpaceDE w:val="0"/>
              <w:autoSpaceDN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业绩</w:t>
            </w:r>
          </w:p>
        </w:tc>
        <w:tc>
          <w:tcPr>
            <w:tcW w:w="76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年1月1日以来承接的</w:t>
            </w:r>
            <w:r>
              <w:rPr>
                <w:rFonts w:hint="eastAsia" w:ascii="宋体" w:hAnsi="宋体" w:eastAsia="宋体" w:cs="宋体"/>
                <w:color w:val="auto"/>
                <w:sz w:val="21"/>
                <w:szCs w:val="21"/>
                <w:lang w:val="zh-CN"/>
              </w:rPr>
              <w:t>食堂</w:t>
            </w:r>
            <w:r>
              <w:rPr>
                <w:rFonts w:hint="eastAsia" w:ascii="宋体" w:hAnsi="宋体" w:eastAsia="宋体" w:cs="宋体"/>
                <w:color w:val="auto"/>
                <w:sz w:val="21"/>
                <w:szCs w:val="21"/>
                <w:lang w:val="en-US" w:eastAsia="zh-CN"/>
              </w:rPr>
              <w:t>厨房</w:t>
            </w:r>
            <w:r>
              <w:rPr>
                <w:rFonts w:hint="eastAsia" w:ascii="宋体" w:hAnsi="宋体" w:eastAsia="宋体" w:cs="宋体"/>
                <w:color w:val="auto"/>
                <w:sz w:val="21"/>
                <w:szCs w:val="21"/>
                <w:lang w:val="zh-CN"/>
              </w:rPr>
              <w:t>设备</w:t>
            </w:r>
            <w:r>
              <w:rPr>
                <w:rFonts w:hint="eastAsia" w:ascii="宋体" w:hAnsi="宋体" w:eastAsia="宋体" w:cs="宋体"/>
                <w:color w:val="auto"/>
                <w:sz w:val="21"/>
                <w:szCs w:val="21"/>
              </w:rPr>
              <w:t>的销售业绩，按下列情况评分，业绩评审满分</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分。</w:t>
            </w: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（1）单项合同金额≥</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00万元的前述业绩，每项得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200</w:t>
            </w:r>
            <w:r>
              <w:rPr>
                <w:rFonts w:hint="eastAsia" w:ascii="宋体" w:hAnsi="宋体" w:eastAsia="宋体" w:cs="宋体"/>
                <w:color w:val="auto"/>
                <w:sz w:val="21"/>
                <w:szCs w:val="21"/>
              </w:rPr>
              <w:t>万元≤单项合同金额＜</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00万元的前述业绩，每项得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万元≤单项合同金额＜</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00万元的前述业绩，每项得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zh-CN"/>
              </w:rPr>
              <w:t>本子项最高得</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分</w:t>
            </w:r>
            <w:r>
              <w:rPr>
                <w:rFonts w:hint="eastAsia" w:ascii="宋体" w:hAnsi="宋体" w:eastAsia="宋体" w:cs="宋体"/>
                <w:color w:val="auto"/>
                <w:sz w:val="21"/>
                <w:szCs w:val="21"/>
              </w:rPr>
              <w:t>。</w:t>
            </w:r>
          </w:p>
          <w:p>
            <w:pPr>
              <w:autoSpaceDE w:val="0"/>
              <w:autoSpaceDN w:val="0"/>
              <w:adjustRightInd w:val="0"/>
              <w:snapToGrid w:val="0"/>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p>
            <w:pPr>
              <w:autoSpaceDE w:val="0"/>
              <w:autoSpaceDN w:val="0"/>
              <w:adjustRightInd w:val="0"/>
              <w:snapToGrid w:val="0"/>
              <w:spacing w:line="360" w:lineRule="auto"/>
              <w:jc w:val="left"/>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业绩必须附合同复印件（合同卖</w:t>
            </w:r>
            <w:r>
              <w:rPr>
                <w:rFonts w:hint="eastAsia" w:ascii="宋体" w:hAnsi="宋体" w:eastAsia="宋体" w:cs="宋体"/>
                <w:b/>
                <w:color w:val="auto"/>
                <w:sz w:val="21"/>
                <w:szCs w:val="21"/>
                <w:lang w:val="zh-CN"/>
              </w:rPr>
              <w:t>方</w:t>
            </w:r>
            <w:r>
              <w:rPr>
                <w:rFonts w:hint="eastAsia" w:ascii="宋体" w:hAnsi="宋体" w:eastAsia="宋体" w:cs="宋体"/>
                <w:b/>
                <w:color w:val="auto"/>
                <w:sz w:val="21"/>
                <w:szCs w:val="21"/>
                <w:lang w:val="en-US" w:eastAsia="zh-CN"/>
              </w:rPr>
              <w:t>必</w:t>
            </w:r>
            <w:r>
              <w:rPr>
                <w:rFonts w:hint="eastAsia" w:ascii="宋体" w:hAnsi="宋体" w:eastAsia="宋体" w:cs="宋体"/>
                <w:b/>
                <w:color w:val="auto"/>
                <w:sz w:val="21"/>
                <w:szCs w:val="21"/>
                <w:lang w:val="zh-CN"/>
              </w:rPr>
              <w:t>须为投标人</w:t>
            </w:r>
            <w:r>
              <w:rPr>
                <w:rFonts w:hint="eastAsia" w:ascii="宋体" w:hAnsi="宋体" w:eastAsia="宋体" w:cs="宋体"/>
                <w:b/>
                <w:color w:val="auto"/>
                <w:sz w:val="21"/>
                <w:szCs w:val="21"/>
                <w:lang w:val="en-US" w:eastAsia="zh-CN"/>
              </w:rPr>
              <w:t>）。合同必须能反映评分条件</w:t>
            </w:r>
            <w:r>
              <w:rPr>
                <w:rFonts w:hint="eastAsia" w:ascii="宋体" w:hAnsi="宋体" w:eastAsia="宋体" w:cs="宋体"/>
                <w:b/>
                <w:color w:val="auto"/>
                <w:sz w:val="21"/>
                <w:szCs w:val="21"/>
                <w:lang w:val="zh-CN"/>
              </w:rPr>
              <w:t>（合同签订日期、</w:t>
            </w:r>
            <w:r>
              <w:rPr>
                <w:rFonts w:hint="eastAsia" w:ascii="宋体" w:hAnsi="宋体" w:eastAsia="宋体" w:cs="宋体"/>
                <w:b/>
                <w:color w:val="auto"/>
                <w:sz w:val="21"/>
                <w:szCs w:val="21"/>
                <w:lang w:val="en-US" w:eastAsia="zh-CN"/>
              </w:rPr>
              <w:t>合同标的货物内容、合同</w:t>
            </w:r>
            <w:r>
              <w:rPr>
                <w:rFonts w:hint="eastAsia" w:ascii="宋体" w:hAnsi="宋体" w:eastAsia="宋体" w:cs="宋体"/>
                <w:b/>
                <w:color w:val="auto"/>
                <w:sz w:val="21"/>
                <w:szCs w:val="21"/>
                <w:lang w:val="zh-CN"/>
              </w:rPr>
              <w:t>金额），</w:t>
            </w:r>
            <w:r>
              <w:rPr>
                <w:rFonts w:hint="eastAsia" w:ascii="宋体" w:hAnsi="宋体" w:eastAsia="宋体" w:cs="宋体"/>
                <w:b/>
                <w:color w:val="auto"/>
                <w:sz w:val="21"/>
                <w:szCs w:val="21"/>
                <w:lang w:val="zh-CN" w:eastAsia="zh-CN"/>
              </w:rPr>
              <w:t>合同标的供货内容须同时包含厨房油烟净化设备、洗碗设备、冷藏/冷冻设备、炉灶设备，</w:t>
            </w:r>
            <w:r>
              <w:rPr>
                <w:rFonts w:hint="eastAsia" w:ascii="宋体" w:hAnsi="宋体" w:eastAsia="宋体" w:cs="宋体"/>
                <w:b/>
                <w:color w:val="auto"/>
                <w:sz w:val="21"/>
                <w:szCs w:val="21"/>
                <w:lang w:val="en-US" w:eastAsia="zh-CN"/>
              </w:rPr>
              <w:t>否则，需同时提供买方出具的书面文件复印件作为辅助证明（需加盖买方公章，即复印件能显示买方公章）或提供加盖买方公章反映条件的招标文件复印件，否则不得分，合同标的供货内容不符合要求的业绩，在评审时将不予考虑</w:t>
            </w:r>
            <w:r>
              <w:rPr>
                <w:rFonts w:hint="eastAsia" w:ascii="宋体" w:hAnsi="宋体" w:eastAsia="宋体" w:cs="宋体"/>
                <w:b/>
                <w:color w:val="auto"/>
                <w:sz w:val="21"/>
                <w:szCs w:val="21"/>
                <w:lang w:val="zh-CN"/>
              </w:rPr>
              <w:t>。</w:t>
            </w:r>
          </w:p>
          <w:p>
            <w:pPr>
              <w:autoSpaceDE w:val="0"/>
              <w:autoSpaceDN w:val="0"/>
              <w:adjustRightInd w:val="0"/>
              <w:snapToGrid w:val="0"/>
              <w:spacing w:line="360" w:lineRule="auto"/>
              <w:jc w:val="left"/>
              <w:rPr>
                <w:rFonts w:hint="eastAsia" w:eastAsia="宋体" w:cs="宋体"/>
                <w:b/>
                <w:color w:val="auto"/>
                <w:sz w:val="21"/>
                <w:szCs w:val="21"/>
                <w:lang w:bidi="ar"/>
              </w:rPr>
            </w:pP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lang w:val="zh-CN" w:eastAsia="zh-CN"/>
              </w:rPr>
              <w:t>若业绩为框架式协议或资格入围无明确金额的合同，必须同时提供合同期限内已供货（厨房油烟净化设备、洗碗设备、冷藏/冷冻设备、炉灶设备）发票金额统计表和发票复印件</w:t>
            </w:r>
            <w:r>
              <w:rPr>
                <w:rFonts w:hint="eastAsia" w:ascii="宋体" w:hAnsi="宋体" w:eastAsia="宋体" w:cs="宋体"/>
                <w:b/>
                <w:color w:val="auto"/>
                <w:sz w:val="21"/>
                <w:szCs w:val="21"/>
                <w:lang w:val="zh-CN"/>
              </w:rPr>
              <w:t>。</w:t>
            </w:r>
          </w:p>
        </w:tc>
        <w:tc>
          <w:tcPr>
            <w:tcW w:w="9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color w:val="auto"/>
                <w:szCs w:val="24"/>
                <w:highlight w:val="none"/>
              </w:rPr>
            </w:pPr>
            <w:r>
              <w:rPr>
                <w:rFonts w:hint="eastAsia" w:ascii="宋体" w:hAnsi="宋体" w:eastAsia="宋体" w:cs="宋体"/>
                <w:color w:val="auto"/>
                <w:kern w:val="0"/>
                <w:szCs w:val="21"/>
                <w:highlight w:val="none"/>
                <w:lang w:val="en-US" w:eastAsia="zh-CN"/>
              </w:rPr>
              <w:t>17分</w:t>
            </w:r>
          </w:p>
        </w:tc>
      </w:tr>
      <w:bookmarkEnd w:id="726"/>
    </w:tbl>
    <w:p>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727" w:name="_Toc11639_WPSOffice_Level2"/>
    </w:p>
    <w:p>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bookmarkEnd w:id="727"/>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133"/>
        <w:gridCol w:w="766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bookmarkStart w:id="728"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lang w:bidi="ar"/>
              </w:rPr>
              <w:t>1</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用户需求的响应程度</w:t>
            </w:r>
          </w:p>
        </w:tc>
        <w:tc>
          <w:tcPr>
            <w:tcW w:w="36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ascii="宋体" w:hAnsi="宋体" w:eastAsia="宋体" w:cs="宋体"/>
                <w:color w:val="auto"/>
                <w:kern w:val="0"/>
                <w:szCs w:val="21"/>
                <w:highlight w:val="none"/>
              </w:rPr>
            </w:pPr>
            <w:r>
              <w:rPr>
                <w:rFonts w:hint="eastAsia" w:ascii="宋体" w:hAnsi="宋体" w:eastAsia="宋体" w:cs="宋体"/>
                <w:b w:val="0"/>
                <w:color w:val="auto"/>
                <w:szCs w:val="21"/>
                <w:highlight w:val="none"/>
              </w:rPr>
              <w:t>根据用户需求偏离表的偏离情况进行评审计分，完全满足用户需求的要求得满分，每一处负偏离，扣</w:t>
            </w:r>
            <w:r>
              <w:rPr>
                <w:rFonts w:hint="eastAsia" w:ascii="宋体" w:hAnsi="宋体" w:eastAsia="宋体" w:cs="宋体"/>
                <w:b w:val="0"/>
                <w:color w:val="auto"/>
                <w:szCs w:val="21"/>
                <w:highlight w:val="none"/>
                <w:lang w:val="en-US" w:eastAsia="zh-CN"/>
              </w:rPr>
              <w:t>2</w:t>
            </w:r>
            <w:r>
              <w:rPr>
                <w:rFonts w:hint="eastAsia" w:ascii="宋体" w:hAnsi="宋体" w:eastAsia="宋体" w:cs="宋体"/>
                <w:b w:val="0"/>
                <w:color w:val="auto"/>
                <w:szCs w:val="21"/>
                <w:highlight w:val="none"/>
              </w:rPr>
              <w:t>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b w:val="0"/>
                <w:color w:val="auto"/>
                <w:szCs w:val="21"/>
                <w:highlight w:val="none"/>
                <w:lang w:val="en-US" w:eastAsia="zh-CN"/>
              </w:rPr>
              <w:t>4</w:t>
            </w:r>
            <w:r>
              <w:rPr>
                <w:rFonts w:hint="eastAsia" w:ascii="宋体" w:hAnsi="宋体" w:eastAsia="宋体" w:cs="宋体"/>
                <w:b w:val="0"/>
                <w:color w:val="auto"/>
                <w:szCs w:val="21"/>
                <w:highlight w:val="none"/>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leftChars="0" w:right="0" w:rightChars="0"/>
              <w:jc w:val="center"/>
              <w:textAlignment w:val="auto"/>
              <w:rPr>
                <w:rFonts w:ascii="宋体" w:hAnsi="宋体" w:eastAsia="宋体" w:cs="宋体"/>
                <w:color w:val="auto"/>
                <w:kern w:val="0"/>
                <w:szCs w:val="21"/>
                <w:highlight w:val="none"/>
              </w:rPr>
            </w:pPr>
            <w:r>
              <w:rPr>
                <w:rFonts w:hint="eastAsia" w:ascii="宋体" w:hAnsi="宋体" w:cs="宋体"/>
                <w:color w:val="auto"/>
                <w:kern w:val="2"/>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2</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项目总体实施方案</w:t>
            </w:r>
          </w:p>
        </w:tc>
        <w:tc>
          <w:tcPr>
            <w:tcW w:w="36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根据投标人针对本项目提供的总体实施方案【包括但不限于厨房及中西明档区的深化设计方案（包括厨房设备平面布置优化、土建装修细化、抽油烟系统、给排水系统、设备用电系统及主要功能区域的深化设计等）、进度安排（包括供货及安装时间进度安排及进度保障措施）、供货方案、运输方案、安装调试验收方案等】进行评审：</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优：方案内容完整、清晰、合理、可行性强，现场情况针对性强，完全符合本项目厨房布置要求，对于方案内容均有详细的介绍，完全满足项目需求，得5分；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良：方案内容比较完整、较清晰、较合理、可行性较强，现场情况针对性较强，符合本项目厨房布置要求，对于方案内容均有较详细的介绍，满足项目需求，得4分；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中：方案内容基本完整、基本合理，内容不够清晰，现场情况针对性一般，基本符合本项目厨房布置要求，对于方案内容均有一定的介绍，基本满足项目需求，得3分；</w:t>
            </w:r>
          </w:p>
          <w:p>
            <w:pPr>
              <w:spacing w:line="360" w:lineRule="auto"/>
              <w:outlineLvl w:val="9"/>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差：方案内容不完整、不合理，但内容混乱，现场情况针对性差，对于方案内容有基本的介绍，只有部分内容能够满足项目需求，得1分。</w:t>
            </w:r>
          </w:p>
          <w:p>
            <w:pPr>
              <w:spacing w:line="360" w:lineRule="auto"/>
              <w:outlineLvl w:val="9"/>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备注：</w:t>
            </w:r>
          </w:p>
          <w:p>
            <w:pPr>
              <w:spacing w:line="360" w:lineRule="auto"/>
              <w:outlineLvl w:val="9"/>
              <w:rPr>
                <w:rFonts w:hint="eastAsia" w:ascii="宋体" w:hAnsi="宋体" w:eastAsia="宋体" w:cs="宋体"/>
                <w:b w:val="0"/>
                <w:bCs/>
                <w:color w:val="auto"/>
                <w:kern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rPr>
              <w:t>（1）未提供方案的不得分。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lang w:val="en-US" w:eastAsia="zh-CN"/>
              </w:rPr>
            </w:pPr>
            <w:r>
              <w:rPr>
                <w:rFonts w:hint="eastAsia" w:ascii="宋体" w:hAnsi="宋体" w:eastAsia="宋体" w:cs="宋体"/>
                <w:b w:val="0"/>
                <w:bCs/>
                <w:color w:val="auto"/>
                <w:kern w:val="2"/>
                <w:sz w:val="21"/>
                <w:szCs w:val="21"/>
                <w:highlight w:val="none"/>
                <w:lang w:val="en-US" w:eastAsia="zh-CN"/>
              </w:rPr>
              <w:t>（2）投标人方案的不同内容分别符合评审内容中不同档次得分要求的，评审时优先按较低的档次计分（即若投标人方案内容符合“优”的得分要求，另一部分内容符合“中”的得分要求时，应按“中”的档次考虑计分）。</w:t>
            </w:r>
          </w:p>
        </w:tc>
        <w:tc>
          <w:tcPr>
            <w:tcW w:w="437" w:type="pct"/>
            <w:tcBorders>
              <w:top w:val="single" w:color="auto" w:sz="4" w:space="0"/>
              <w:left w:val="single" w:color="auto" w:sz="4" w:space="0"/>
              <w:bottom w:val="single" w:color="auto" w:sz="4" w:space="0"/>
              <w:right w:val="single" w:color="auto" w:sz="4" w:space="0"/>
            </w:tcBorders>
            <w:vAlign w:val="center"/>
          </w:tcPr>
          <w:p>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3</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投标产品质量可靠性</w:t>
            </w:r>
          </w:p>
        </w:tc>
        <w:tc>
          <w:tcPr>
            <w:tcW w:w="36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对投标人所投“炉灶系列、洗碗机系列、蒸炉系列、消毒柜系列、净水器系列、油烟净化系列、切菜/肉系列、不锈钢台柜系列、不锈钢洗刷盆系列”产品</w:t>
            </w:r>
            <w:r>
              <w:rPr>
                <w:rFonts w:hint="eastAsia" w:ascii="宋体" w:hAnsi="宋体" w:eastAsia="宋体" w:cs="宋体"/>
                <w:color w:val="auto"/>
                <w:sz w:val="21"/>
                <w:szCs w:val="21"/>
              </w:rPr>
              <w:t>具有有效期内的</w:t>
            </w:r>
            <w:r>
              <w:rPr>
                <w:rFonts w:hint="eastAsia" w:ascii="宋体" w:hAnsi="宋体" w:eastAsia="宋体" w:cs="宋体"/>
                <w:b w:val="0"/>
                <w:color w:val="auto"/>
                <w:szCs w:val="21"/>
                <w:highlight w:val="none"/>
                <w:lang w:val="en-US" w:eastAsia="zh-CN"/>
              </w:rPr>
              <w:t>《食品接触产品卫生/安全认证证书》、《中国环境保护/环保产品认证证书》、《中国节能产品认证证书》进行评审，每个设备系列每提供1个证书得0.5分，满分5分。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备注：</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投标人应提供上述证书复印件及能显示证书有效状态的全国认证认可信息公共服务平台（http://cx.cnca.cn/）查询结果凭证{凭证界面需显示有“全国认证认可信息公共服务平台”或“认证证书（需显示网址cx.cnca.cn）”}，证书上的产品名称、规格、型号需与投标产品一致，否则不得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2）同一设备系列具有多个相同证书，只计一次得分，不重复得分。例如：炉灶系列具有多个《食品接触产品卫生/安全认证证书》，或炉灶系列具有《食品接触产品卫生认证证书》和《食品接触产品安全认证证书》，评审时均按具有1个证书计算得分，不重复计分。</w:t>
            </w:r>
          </w:p>
        </w:tc>
        <w:tc>
          <w:tcPr>
            <w:tcW w:w="437" w:type="pct"/>
            <w:tcBorders>
              <w:top w:val="single" w:color="auto" w:sz="4" w:space="0"/>
              <w:left w:val="single" w:color="auto" w:sz="4" w:space="0"/>
              <w:bottom w:val="single" w:color="auto" w:sz="4" w:space="0"/>
              <w:right w:val="single" w:color="auto" w:sz="4" w:space="0"/>
            </w:tcBorders>
            <w:vAlign w:val="center"/>
          </w:tcPr>
          <w:p>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4</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所投厨房油烟净化设备的性能</w:t>
            </w:r>
          </w:p>
        </w:tc>
        <w:tc>
          <w:tcPr>
            <w:tcW w:w="36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对各投标人所投的厨房油烟净化设备的性能指标进行评审：</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1、设计净化效率指标，本小项满分3分：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（1）90%≤设计净化效率＜92%，得1分；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lang w:val="en-US" w:eastAsia="zh-CN"/>
              </w:rPr>
              <w:t>（2）92%≤设计净化效率＜95%，得2分</w:t>
            </w:r>
            <w:r>
              <w:rPr>
                <w:rFonts w:hint="eastAsia" w:ascii="宋体" w:hAnsi="宋体" w:eastAsia="宋体" w:cs="宋体"/>
                <w:b w:val="0"/>
                <w:color w:val="auto"/>
                <w:szCs w:val="21"/>
                <w:highlight w:val="none"/>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lang w:val="en-US" w:eastAsia="zh-CN"/>
              </w:rPr>
              <w:t>（3）95%≤设计净化效率，得3分。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2、设计处理风量指标，本小项满分3分：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（1）35000m³/H≤设计处理风量＜40000m³/H，得1分；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lang w:val="en-US" w:eastAsia="zh-CN"/>
              </w:rPr>
              <w:t>（2）40000m³/H≤设计处理风量＜45000m³/H，得2分</w:t>
            </w:r>
            <w:r>
              <w:rPr>
                <w:rFonts w:hint="eastAsia" w:ascii="宋体" w:hAnsi="宋体" w:eastAsia="宋体" w:cs="宋体"/>
                <w:b w:val="0"/>
                <w:color w:val="auto"/>
                <w:szCs w:val="21"/>
                <w:highlight w:val="none"/>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lang w:val="en-US" w:eastAsia="zh-CN"/>
              </w:rPr>
              <w:t>（3）45000m³/H≤设计处理风量，得3分。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备注：</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（1）根据投标人提供的投标产品性能说明资料内容进行评审，投标人未提供投标产品性能说明资料或提供的说明资料未能体现投标产品的评审性能指标的，评审时将不予考虑。</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default"/>
                <w:lang w:val="en-US" w:eastAsia="zh-CN"/>
              </w:rPr>
            </w:pPr>
            <w:r>
              <w:rPr>
                <w:rFonts w:hint="eastAsia" w:ascii="宋体" w:hAnsi="宋体" w:eastAsia="宋体" w:cs="宋体"/>
                <w:b w:val="0"/>
                <w:color w:val="auto"/>
                <w:szCs w:val="21"/>
                <w:highlight w:val="none"/>
                <w:lang w:val="en-US" w:eastAsia="zh-CN"/>
              </w:rPr>
              <w:t>（2）本评审项只对投标的一个规格型号油烟净化设备进行评审，若提供多个满足评审条件的油烟净化设备，每小项只计一次得分，不重复得分。</w:t>
            </w:r>
          </w:p>
        </w:tc>
        <w:tc>
          <w:tcPr>
            <w:tcW w:w="437" w:type="pct"/>
            <w:tcBorders>
              <w:top w:val="single" w:color="auto" w:sz="4" w:space="0"/>
              <w:left w:val="single" w:color="auto" w:sz="4" w:space="0"/>
              <w:bottom w:val="single" w:color="auto" w:sz="4" w:space="0"/>
              <w:right w:val="single" w:color="auto" w:sz="4" w:space="0"/>
            </w:tcBorders>
            <w:vAlign w:val="center"/>
          </w:tcPr>
          <w:p>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5</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所投厨房洗碗设备的性能</w:t>
            </w:r>
          </w:p>
        </w:tc>
        <w:tc>
          <w:tcPr>
            <w:tcW w:w="36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对各投标人所投的厨房洗碗设备的性能指标进行评审：</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1、设计洗涤速度，本小项满分3分：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（1）3000套（蝶）/小时≤设计洗涤速度＜5000套（蝶）/小时，得1分；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（2）5000套（蝶）/小时≤设计洗涤速度＜8000套（蝶）/小时，得2分；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（3）8000套（蝶）/小时≤设计洗涤速度，得3分。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2、设计耗水量，本小项满分3分：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（1）380L/H＜设计耗水量，得1分；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（2）280L/H＜设计耗水量≤380L/H，得2分；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（3）设计耗水量≤280L/H，得3分。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备注：</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（1）根据投标人提供的投标产品性能说明资料内容进行评审，投标人未提供投标产品性能说明资料或提供的说明资料未能体现投标产品的评审性能指标的，评审时将不予考虑。</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lang w:val="en-US" w:eastAsia="zh-CN"/>
              </w:rPr>
            </w:pPr>
            <w:r>
              <w:rPr>
                <w:rFonts w:hint="eastAsia" w:ascii="宋体" w:hAnsi="宋体" w:eastAsia="宋体" w:cs="宋体"/>
                <w:b w:val="0"/>
                <w:color w:val="auto"/>
                <w:szCs w:val="21"/>
                <w:highlight w:val="none"/>
                <w:lang w:val="en-US" w:eastAsia="zh-CN"/>
              </w:rPr>
              <w:t>（2）本评审项只对投标的一个规格型号厨房洗碗设备进行评审，若提供多个满足评审条件的厨房洗碗设备，每小项只计一次得分，不重复得分。</w:t>
            </w:r>
          </w:p>
        </w:tc>
        <w:tc>
          <w:tcPr>
            <w:tcW w:w="437" w:type="pct"/>
            <w:tcBorders>
              <w:top w:val="single" w:color="auto" w:sz="4" w:space="0"/>
              <w:left w:val="single" w:color="auto" w:sz="4" w:space="0"/>
              <w:bottom w:val="single" w:color="auto" w:sz="4" w:space="0"/>
              <w:right w:val="single" w:color="auto" w:sz="4" w:space="0"/>
            </w:tcBorders>
            <w:vAlign w:val="center"/>
          </w:tcPr>
          <w:p>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6</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所投燃气双头炉灶设备的性能</w:t>
            </w:r>
          </w:p>
        </w:tc>
        <w:tc>
          <w:tcPr>
            <w:tcW w:w="36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对各投标人所投的燃气双头炉灶设备的性能指标进行评审：</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1、额定热负荷，本小项满分3分：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（1）40KW≤单头额度热负荷＜45KW，得1分；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（2）45KW≤单头额度热负荷＜50KW，得2分；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（3）50KW≤单头额度热负荷，得3分。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2、额定热效率，本小项满分3分：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（1）45%≤额定热效率＜50%，得1分；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（2）50%≤额定热效率＜55%，得2分；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（3）55%≤额定热效率，得3分。</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备注：</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（1）根据投标人提供的投标产品性能说明资料内容进行评审，投标人未提供投标产品性能说明资料或提供的说明资料未能体现投标产品的评审性能指标的，评审时将不予考虑。</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textAlignment w:val="auto"/>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val="en-US" w:eastAsia="zh-CN"/>
              </w:rPr>
              <w:t>（2）本评审项只对投标的一个规格型号双头炉灶设备进行评审，若提供多个满足评审条件的双头炉灶设备，每小项只计一次得分，不重复得分。</w:t>
            </w:r>
          </w:p>
        </w:tc>
        <w:tc>
          <w:tcPr>
            <w:tcW w:w="437" w:type="pct"/>
            <w:tcBorders>
              <w:top w:val="single" w:color="auto" w:sz="4" w:space="0"/>
              <w:left w:val="single" w:color="auto" w:sz="4" w:space="0"/>
              <w:bottom w:val="single" w:color="auto" w:sz="4" w:space="0"/>
              <w:right w:val="single" w:color="auto" w:sz="4" w:space="0"/>
            </w:tcBorders>
            <w:vAlign w:val="center"/>
          </w:tcPr>
          <w:p>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7</w:t>
            </w:r>
          </w:p>
        </w:tc>
        <w:tc>
          <w:tcPr>
            <w:tcW w:w="5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所投设备品牌</w:t>
            </w:r>
          </w:p>
        </w:tc>
        <w:tc>
          <w:tcPr>
            <w:tcW w:w="3697"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对各投标人所投设备的品牌与采购清单中设备推荐品牌的匹配情况进行评审：投标人所投设备的品牌与采购清单中设备推荐品牌都匹配的得满分。每有1项的投标人所投设备的品牌与采购清单中设备推荐品牌不匹配的，扣1分，扣完为止。</w:t>
            </w:r>
          </w:p>
          <w:p>
            <w:pPr>
              <w:pStyle w:val="5"/>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p>
            <w:pPr>
              <w:pStyle w:val="5"/>
              <w:spacing w:line="360" w:lineRule="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投标人应提供投标品牌表，否则不得分。</w:t>
            </w:r>
          </w:p>
          <w:p>
            <w:pPr>
              <w:pStyle w:val="5"/>
              <w:spacing w:line="360" w:lineRule="auto"/>
              <w:rPr>
                <w:rFonts w:hint="default"/>
                <w:lang w:val="en-US" w:eastAsia="zh-CN"/>
              </w:rPr>
            </w:pPr>
            <w:r>
              <w:rPr>
                <w:rFonts w:hint="eastAsia" w:ascii="宋体" w:hAnsi="宋体" w:eastAsia="宋体" w:cs="宋体"/>
                <w:b/>
                <w:color w:val="auto"/>
                <w:sz w:val="21"/>
                <w:szCs w:val="21"/>
                <w:lang w:val="en-US" w:eastAsia="zh-CN"/>
              </w:rPr>
              <w:t>（2）投标人所投设备的投标品牌与采购清单中设备的推荐品牌中至少有一个品牌一致或投标人提供证明材料证明投标品牌的品质符合（或相当于或优于）推荐品牌品质即为匹配；若采购清单中设备的推荐品牌为任意品牌或无推荐品牌的，投标人所投品牌或无品牌均视为匹配。</w:t>
            </w:r>
          </w:p>
        </w:tc>
        <w:tc>
          <w:tcPr>
            <w:tcW w:w="437" w:type="pct"/>
            <w:tcBorders>
              <w:top w:val="single" w:color="auto" w:sz="4" w:space="0"/>
              <w:left w:val="single" w:color="auto" w:sz="4" w:space="0"/>
              <w:bottom w:val="single" w:color="auto" w:sz="4" w:space="0"/>
              <w:right w:val="single" w:color="auto" w:sz="4" w:space="0"/>
            </w:tcBorders>
            <w:vAlign w:val="center"/>
          </w:tcPr>
          <w:p>
            <w:pPr>
              <w:pStyle w:val="193"/>
              <w:keepNext w:val="0"/>
              <w:keepLines w:val="0"/>
              <w:pageBreakBefore w:val="0"/>
              <w:widowControl w:val="0"/>
              <w:suppressLineNumbers w:val="0"/>
              <w:tabs>
                <w:tab w:val="left" w:pos="585"/>
                <w:tab w:val="left" w:pos="680"/>
              </w:tabs>
              <w:kinsoku/>
              <w:wordWrap/>
              <w:overflowPunct/>
              <w:topLinePunct w:val="0"/>
              <w:bidi w:val="0"/>
              <w:snapToGrid/>
              <w:spacing w:before="0" w:beforeAutospacing="0" w:after="0" w:afterAutospacing="0" w:line="360" w:lineRule="auto"/>
              <w:ind w:left="0" w:leftChars="0" w:right="0" w:rightChars="0"/>
              <w:jc w:val="center"/>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8</w:t>
            </w:r>
          </w:p>
        </w:tc>
        <w:tc>
          <w:tcPr>
            <w:tcW w:w="54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供货、安装时间</w:t>
            </w:r>
          </w:p>
        </w:tc>
        <w:tc>
          <w:tcPr>
            <w:tcW w:w="369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（1）承诺接到招标人书面通知之日起完成水业大厦食堂设备设施供货、安装的时间＜60日，得1分。</w:t>
            </w:r>
          </w:p>
          <w:p>
            <w:pPr>
              <w:autoSpaceDE w:val="0"/>
              <w:autoSpaceDN w:val="0"/>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（2）承诺接到招标人书面通知之日起完成水业大厦食堂设备设施供货、安装的时间≤50日，得2分。</w:t>
            </w:r>
          </w:p>
          <w:p>
            <w:pPr>
              <w:autoSpaceDE w:val="0"/>
              <w:autoSpaceDN w:val="0"/>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（3）承诺接到招标人书面通知之日起完成水业大厦食堂设备设施供货、安装的时间≤40日，得3分。</w:t>
            </w:r>
          </w:p>
          <w:p>
            <w:pPr>
              <w:autoSpaceDE w:val="0"/>
              <w:autoSpaceDN w:val="0"/>
              <w:adjustRightInd w:val="0"/>
              <w:snapToGrid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（4）承诺接到招标人书面通知之日起完成水业大厦食堂设备设施供货、安装的时间≤30日，得5分。</w:t>
            </w:r>
          </w:p>
          <w:p>
            <w:pPr>
              <w:spacing w:line="360" w:lineRule="auto"/>
              <w:jc w:val="left"/>
              <w:outlineLvl w:val="9"/>
              <w:rPr>
                <w:rFonts w:hint="default" w:eastAsia="宋体"/>
                <w:lang w:val="en-US" w:eastAsia="zh-CN"/>
              </w:rPr>
            </w:pPr>
            <w:r>
              <w:rPr>
                <w:rFonts w:hint="eastAsia" w:ascii="宋体" w:hAnsi="宋体" w:eastAsia="宋体" w:cs="宋体"/>
                <w:b/>
                <w:color w:val="auto"/>
                <w:sz w:val="21"/>
                <w:szCs w:val="21"/>
              </w:rPr>
              <w:t>备注：</w:t>
            </w:r>
            <w:r>
              <w:rPr>
                <w:rFonts w:hint="eastAsia" w:ascii="宋体" w:hAnsi="宋体" w:eastAsia="宋体" w:cs="宋体"/>
                <w:b/>
                <w:color w:val="auto"/>
                <w:sz w:val="21"/>
                <w:szCs w:val="21"/>
                <w:lang w:val="en-US" w:eastAsia="zh-CN"/>
              </w:rPr>
              <w:t>根据投标人填写的《供货、安装时间承诺表》上承诺的供货时间和安装时间之和进行评审，如投标人未填或漏填《供货、安装时间承诺表》，则按用户需求书要求的供货时间和安装时间之和进行评审</w:t>
            </w:r>
            <w:r>
              <w:rPr>
                <w:rFonts w:hint="eastAsia" w:ascii="宋体" w:hAnsi="宋体" w:eastAsia="宋体" w:cs="宋体"/>
                <w:b/>
                <w:color w:val="auto"/>
                <w:kern w:val="0"/>
                <w:sz w:val="21"/>
                <w:szCs w:val="21"/>
                <w:highlight w:val="none"/>
                <w:lang w:val="en-US" w:eastAsia="zh-CN"/>
              </w:rPr>
              <w:t>。</w:t>
            </w:r>
          </w:p>
        </w:tc>
        <w:tc>
          <w:tcPr>
            <w:tcW w:w="437" w:type="pct"/>
            <w:tcBorders>
              <w:top w:val="single" w:color="auto" w:sz="4" w:space="0"/>
              <w:left w:val="single" w:color="auto" w:sz="4" w:space="0"/>
              <w:bottom w:val="single" w:color="auto" w:sz="4" w:space="0"/>
              <w:right w:val="single" w:color="auto" w:sz="4" w:space="0"/>
            </w:tcBorders>
            <w:vAlign w:val="center"/>
          </w:tcPr>
          <w:p>
            <w:pPr>
              <w:pStyle w:val="33"/>
              <w:keepNext/>
              <w:widowControl w:val="0"/>
              <w:autoSpaceDE w:val="0"/>
              <w:spacing w:before="0" w:after="0" w:afterAutospacing="0" w:line="360" w:lineRule="auto"/>
              <w:jc w:val="center"/>
              <w:rPr>
                <w:rFonts w:hint="default" w:eastAsia="宋体" w:cs="宋体"/>
                <w:color w:val="auto"/>
                <w:sz w:val="21"/>
                <w:szCs w:val="21"/>
                <w:lang w:val="en-US" w:eastAsia="zh-CN" w:bidi="ar"/>
              </w:rPr>
            </w:pPr>
            <w:r>
              <w:rPr>
                <w:rFonts w:hint="eastAsia" w:eastAsia="宋体" w:cs="宋体"/>
                <w:color w:val="auto"/>
                <w:sz w:val="21"/>
                <w:szCs w:val="21"/>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color w:val="auto"/>
                <w:szCs w:val="21"/>
                <w:lang w:val="en-US" w:eastAsia="zh-CN" w:bidi="ar"/>
              </w:rPr>
            </w:pPr>
          </w:p>
          <w:p>
            <w:pPr>
              <w:autoSpaceDE w:val="0"/>
              <w:autoSpaceDN w:val="0"/>
              <w:adjustRightInd w:val="0"/>
              <w:snapToGrid w:val="0"/>
              <w:spacing w:line="360" w:lineRule="auto"/>
              <w:jc w:val="center"/>
              <w:rPr>
                <w:rFonts w:hint="default"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9</w:t>
            </w:r>
          </w:p>
        </w:tc>
        <w:tc>
          <w:tcPr>
            <w:tcW w:w="546" w:type="pct"/>
            <w:vMerge w:val="restart"/>
            <w:tcBorders>
              <w:top w:val="single" w:color="auto" w:sz="4" w:space="0"/>
              <w:left w:val="single" w:color="auto" w:sz="4" w:space="0"/>
              <w:right w:val="single" w:color="auto" w:sz="4" w:space="0"/>
            </w:tcBorders>
            <w:vAlign w:val="center"/>
          </w:tcPr>
          <w:p>
            <w:pPr>
              <w:pStyle w:val="33"/>
              <w:widowControl w:val="0"/>
              <w:autoSpaceDE w:val="0"/>
              <w:snapToGrid w:val="0"/>
              <w:spacing w:before="0" w:beforeAutospacing="0" w:after="0" w:afterAutospacing="0" w:line="360" w:lineRule="exact"/>
              <w:jc w:val="center"/>
              <w:rPr>
                <w:rFonts w:hint="eastAsia" w:ascii="宋体" w:hAnsi="宋体" w:eastAsia="宋体" w:cs="宋体"/>
                <w:color w:val="auto"/>
                <w:kern w:val="0"/>
                <w:szCs w:val="21"/>
                <w:highlight w:val="none"/>
                <w:lang w:eastAsia="zh-CN"/>
              </w:rPr>
            </w:pPr>
            <w:r>
              <w:rPr>
                <w:rFonts w:hint="eastAsia" w:eastAsia="宋体" w:cs="宋体"/>
                <w:color w:val="auto"/>
                <w:sz w:val="21"/>
                <w:szCs w:val="21"/>
                <w:lang w:bidi="ar"/>
              </w:rPr>
              <w:t>售后服务</w:t>
            </w:r>
          </w:p>
        </w:tc>
        <w:tc>
          <w:tcPr>
            <w:tcW w:w="3697"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1、根据投标人承诺的质保期进行评审：</w:t>
            </w:r>
          </w:p>
          <w:p>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（1）12个月≤承诺的质保期＜18个月，得1分；</w:t>
            </w:r>
          </w:p>
          <w:p>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（2）18个月≤承诺的质保期＜24个月，得2分；</w:t>
            </w:r>
          </w:p>
          <w:p>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 w:val="21"/>
                <w:szCs w:val="21"/>
                <w:highlight w:val="none"/>
                <w:lang w:val="en-US" w:eastAsia="zh-CN"/>
              </w:rPr>
              <w:t>承诺的质保期≥24个月，得3分；</w:t>
            </w:r>
          </w:p>
          <w:p>
            <w:pPr>
              <w:spacing w:line="360" w:lineRule="auto"/>
              <w:jc w:val="both"/>
              <w:rPr>
                <w:rFonts w:hint="default" w:ascii="宋体" w:hAnsi="宋体" w:eastAsia="宋体" w:cs="宋体"/>
                <w:color w:val="auto"/>
                <w:kern w:val="0"/>
                <w:szCs w:val="21"/>
                <w:highlight w:val="none"/>
                <w:lang w:val="en-US" w:eastAsia="zh-CN"/>
              </w:rPr>
            </w:pPr>
            <w:r>
              <w:rPr>
                <w:rFonts w:hint="eastAsia" w:ascii="宋体" w:hAnsi="宋体" w:eastAsia="宋体" w:cs="宋体"/>
                <w:b/>
                <w:color w:val="auto"/>
                <w:sz w:val="21"/>
                <w:szCs w:val="21"/>
              </w:rPr>
              <w:t>备注：</w:t>
            </w:r>
            <w:r>
              <w:rPr>
                <w:rFonts w:hint="eastAsia" w:ascii="宋体" w:hAnsi="宋体" w:eastAsia="宋体" w:cs="宋体"/>
                <w:b/>
                <w:color w:val="auto"/>
                <w:sz w:val="21"/>
                <w:szCs w:val="21"/>
                <w:lang w:val="en-US" w:eastAsia="zh-CN"/>
              </w:rPr>
              <w:t>根据《质保期、维修响应时间承诺表》进行评审。</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lang w:val="en-US" w:eastAsia="zh-CN" w:bidi="ar"/>
              </w:rPr>
              <w:t>3</w:t>
            </w:r>
            <w:r>
              <w:rPr>
                <w:rFonts w:hint="eastAsia" w:ascii="宋体" w:hAnsi="宋体" w:eastAsia="宋体" w:cs="宋体"/>
                <w:color w:val="auto"/>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 w:type="pct"/>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color w:val="auto"/>
                <w:szCs w:val="21"/>
                <w:lang w:val="en-US" w:eastAsia="zh-CN" w:bidi="ar"/>
              </w:rPr>
            </w:pPr>
          </w:p>
        </w:tc>
        <w:tc>
          <w:tcPr>
            <w:tcW w:w="546" w:type="pct"/>
            <w:vMerge w:val="continue"/>
            <w:tcBorders>
              <w:left w:val="single" w:color="auto" w:sz="4" w:space="0"/>
              <w:bottom w:val="single" w:color="auto" w:sz="4" w:space="0"/>
              <w:right w:val="single" w:color="auto" w:sz="4" w:space="0"/>
            </w:tcBorders>
            <w:vAlign w:val="center"/>
          </w:tcPr>
          <w:p>
            <w:pPr>
              <w:pStyle w:val="33"/>
              <w:widowControl w:val="0"/>
              <w:autoSpaceDE w:val="0"/>
              <w:snapToGrid w:val="0"/>
              <w:spacing w:before="0" w:beforeAutospacing="0" w:after="0" w:afterAutospacing="0" w:line="360" w:lineRule="exact"/>
              <w:jc w:val="center"/>
              <w:rPr>
                <w:rFonts w:hint="eastAsia" w:eastAsia="宋体" w:cs="宋体"/>
                <w:color w:val="auto"/>
                <w:sz w:val="21"/>
                <w:szCs w:val="21"/>
                <w:lang w:bidi="ar"/>
              </w:rPr>
            </w:pPr>
          </w:p>
        </w:tc>
        <w:tc>
          <w:tcPr>
            <w:tcW w:w="3697"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2、根据投标人承诺的维修响应时间进行评审：</w:t>
            </w:r>
          </w:p>
          <w:p>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（1）承诺在接到招标人的故障报警后3小时内响应，16小时内到达项目现场进行维修等服务的，得1分；</w:t>
            </w:r>
          </w:p>
          <w:p>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（2）承诺在接到招标人的故障报警后2小时内响应，8小时内到到项目现场进行维修等服务的，得3分；</w:t>
            </w:r>
          </w:p>
          <w:p>
            <w:pPr>
              <w:spacing w:line="360" w:lineRule="auto"/>
              <w:jc w:val="both"/>
              <w:rPr>
                <w:rFonts w:hint="eastAsia" w:ascii="宋体" w:hAnsi="宋体" w:eastAsia="宋体" w:cs="宋体"/>
                <w:b/>
                <w:color w:val="auto"/>
                <w:sz w:val="21"/>
                <w:szCs w:val="21"/>
              </w:rPr>
            </w:pPr>
            <w:r>
              <w:rPr>
                <w:rFonts w:hint="eastAsia" w:ascii="宋体" w:hAnsi="宋体" w:eastAsia="宋体" w:cs="宋体"/>
                <w:b/>
                <w:color w:val="auto"/>
                <w:sz w:val="21"/>
                <w:szCs w:val="21"/>
              </w:rPr>
              <w:t>备注：</w:t>
            </w:r>
            <w:r>
              <w:rPr>
                <w:rFonts w:hint="eastAsia" w:ascii="宋体" w:hAnsi="宋体" w:eastAsia="宋体" w:cs="宋体"/>
                <w:b/>
                <w:color w:val="auto"/>
                <w:sz w:val="21"/>
                <w:szCs w:val="21"/>
                <w:lang w:val="en-US" w:eastAsia="zh-CN"/>
              </w:rPr>
              <w:t>根据《质保期、维修响应时间承诺表》进行评审。</w:t>
            </w:r>
          </w:p>
        </w:tc>
        <w:tc>
          <w:tcPr>
            <w:tcW w:w="43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宋体" w:hAnsi="宋体" w:eastAsia="宋体" w:cs="宋体"/>
                <w:color w:val="auto"/>
                <w:szCs w:val="21"/>
                <w:lang w:val="en-US" w:eastAsia="zh-CN" w:bidi="ar"/>
              </w:rPr>
            </w:pPr>
            <w:r>
              <w:rPr>
                <w:rFonts w:hint="eastAsia" w:ascii="宋体" w:hAnsi="宋体" w:eastAsia="宋体" w:cs="宋体"/>
                <w:color w:val="auto"/>
                <w:szCs w:val="21"/>
                <w:lang w:val="en-US" w:eastAsia="zh-CN" w:bidi="ar"/>
              </w:rPr>
              <w:t>3分</w:t>
            </w:r>
          </w:p>
        </w:tc>
      </w:tr>
      <w:bookmarkEnd w:id="728"/>
    </w:tbl>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pPr>
        <w:spacing w:line="360" w:lineRule="auto"/>
        <w:ind w:left="420" w:leftChars="200" w:firstLine="420" w:firstLineChars="200"/>
        <w:rPr>
          <w:rFonts w:ascii="宋体" w:hAnsi="宋体" w:eastAsia="宋体" w:cs="宋体"/>
          <w:color w:val="auto"/>
          <w:kern w:val="0"/>
          <w:szCs w:val="21"/>
          <w:highlight w:val="none"/>
          <w:lang w:val="zh-CN"/>
        </w:rPr>
      </w:pPr>
    </w:p>
    <w:p>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分，其他投标人的价格得分统一按照下列公式计算：</w:t>
      </w:r>
    </w:p>
    <w:p>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30</w:t>
      </w:r>
    </w:p>
    <w:p>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rPr>
          <w:rFonts w:ascii="宋体" w:hAnsi="宋体" w:eastAsia="宋体" w:cs="宋体"/>
          <w:color w:val="auto"/>
          <w:kern w:val="0"/>
          <w:szCs w:val="28"/>
          <w:highlight w:val="none"/>
          <w:lang w:val="zh-CN"/>
        </w:rPr>
      </w:pPr>
      <w:bookmarkStart w:id="729" w:name="_Toc31624_WPSOffice_Level2"/>
      <w:r>
        <w:rPr>
          <w:rFonts w:hint="eastAsia" w:ascii="宋体" w:hAnsi="宋体" w:eastAsia="宋体" w:cs="宋体"/>
          <w:color w:val="auto"/>
          <w:kern w:val="0"/>
          <w:szCs w:val="28"/>
          <w:highlight w:val="none"/>
          <w:lang w:val="zh-CN"/>
        </w:rPr>
        <w:t>评标总得分=F1＋F2＋……+Fn</w:t>
      </w:r>
      <w:bookmarkEnd w:id="729"/>
    </w:p>
    <w:p>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730" w:name="_Toc13236_WPSOffice_Level2"/>
      <w:r>
        <w:rPr>
          <w:rFonts w:hint="eastAsia" w:ascii="宋体" w:hAnsi="宋体" w:eastAsia="宋体" w:cs="宋体"/>
          <w:color w:val="auto"/>
          <w:kern w:val="0"/>
          <w:szCs w:val="21"/>
          <w:highlight w:val="none"/>
        </w:rPr>
        <w:t>F1、F2、……Fn分别为各项评分因素的得分</w:t>
      </w:r>
      <w:bookmarkEnd w:id="730"/>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pPr>
        <w:autoSpaceDE w:val="0"/>
        <w:autoSpaceDN w:val="0"/>
        <w:adjustRightInd w:val="0"/>
        <w:spacing w:line="360" w:lineRule="auto"/>
        <w:jc w:val="center"/>
        <w:rPr>
          <w:rFonts w:ascii="宋体" w:hAnsi="宋体" w:eastAsia="宋体" w:cs="宋体"/>
          <w:b/>
          <w:bCs/>
          <w:color w:val="auto"/>
          <w:sz w:val="28"/>
          <w:szCs w:val="28"/>
          <w:highlight w:val="none"/>
        </w:rPr>
      </w:pPr>
      <w:bookmarkStart w:id="731" w:name="_Toc518_WPSOffice_Level1"/>
      <w:r>
        <w:rPr>
          <w:rFonts w:hint="eastAsia" w:ascii="宋体" w:hAnsi="宋体" w:eastAsia="宋体" w:cs="宋体"/>
          <w:b/>
          <w:bCs/>
          <w:color w:val="auto"/>
          <w:sz w:val="28"/>
          <w:szCs w:val="28"/>
          <w:highlight w:val="none"/>
          <w:lang w:val="zh-CN"/>
        </w:rPr>
        <w:t>五、推荐中标人</w:t>
      </w:r>
      <w:bookmarkEnd w:id="731"/>
    </w:p>
    <w:p>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732" w:name="_Toc22724_WPSOffice_Level1"/>
      <w:r>
        <w:rPr>
          <w:rFonts w:hint="eastAsia" w:ascii="宋体" w:hAnsi="宋体" w:eastAsia="宋体" w:cs="宋体"/>
          <w:b/>
          <w:bCs/>
          <w:color w:val="auto"/>
          <w:sz w:val="28"/>
          <w:szCs w:val="28"/>
          <w:highlight w:val="none"/>
          <w:lang w:val="zh-CN"/>
        </w:rPr>
        <w:t>六、编写评标报告</w:t>
      </w:r>
      <w:bookmarkEnd w:id="732"/>
    </w:p>
    <w:p>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rPr>
          <w:rFonts w:ascii="宋体" w:hAnsi="宋体" w:eastAsia="宋体" w:cs="宋体"/>
          <w:b/>
          <w:bCs/>
          <w:color w:val="auto"/>
          <w:sz w:val="28"/>
          <w:szCs w:val="28"/>
          <w:highlight w:val="none"/>
          <w:lang w:val="zh-CN"/>
        </w:rPr>
      </w:pPr>
    </w:p>
    <w:p>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733" w:name="_Toc23773_WPSOffice_Level1"/>
      <w:r>
        <w:rPr>
          <w:rFonts w:hint="eastAsia" w:ascii="宋体" w:hAnsi="宋体" w:eastAsia="宋体" w:cs="宋体"/>
          <w:b/>
          <w:bCs/>
          <w:color w:val="auto"/>
          <w:sz w:val="28"/>
          <w:szCs w:val="28"/>
          <w:highlight w:val="none"/>
          <w:lang w:val="zh-CN"/>
        </w:rPr>
        <w:t>七、注意事项</w:t>
      </w:r>
      <w:bookmarkEnd w:id="733"/>
    </w:p>
    <w:p>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bookmarkEnd w:id="698"/>
      <w:bookmarkEnd w:id="708"/>
      <w:bookmarkEnd w:id="709"/>
      <w:bookmarkEnd w:id="710"/>
    </w:p>
    <w:sectPr>
      <w:pgSz w:w="12240" w:h="15840"/>
      <w:pgMar w:top="1191" w:right="1043" w:bottom="1191" w:left="1043" w:header="720" w:footer="720" w:gutter="0"/>
      <w:pgBorders>
        <w:top w:val="none" w:sz="0" w:space="0"/>
        <w:left w:val="none" w:sz="0" w:space="0"/>
        <w:bottom w:val="none" w:sz="0" w:space="0"/>
        <w:right w:val="none" w:sz="0" w:space="0"/>
      </w:pgBorders>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YjU3ZWI0MDdlMjA5MGM2NmM2YWIwZWE0NzlkZmUifQ=="/>
    <w:docVar w:name="KSO_WPS_MARK_KEY" w:val="6cb4dc99-201b-432c-817f-5a4ac0816e28"/>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A669E"/>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3CC2"/>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2D53"/>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0024"/>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2FDB"/>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1C3BC5"/>
    <w:rsid w:val="01252B69"/>
    <w:rsid w:val="014A7C57"/>
    <w:rsid w:val="015E6884"/>
    <w:rsid w:val="018B3DDB"/>
    <w:rsid w:val="01B75B29"/>
    <w:rsid w:val="01C0309B"/>
    <w:rsid w:val="01CD7566"/>
    <w:rsid w:val="022B3A92"/>
    <w:rsid w:val="023E0A1F"/>
    <w:rsid w:val="02613495"/>
    <w:rsid w:val="02B524D4"/>
    <w:rsid w:val="02C24513"/>
    <w:rsid w:val="02CD7A37"/>
    <w:rsid w:val="02D06B1E"/>
    <w:rsid w:val="02EB239A"/>
    <w:rsid w:val="02FE5AC7"/>
    <w:rsid w:val="02FF5E4D"/>
    <w:rsid w:val="03337856"/>
    <w:rsid w:val="0361125E"/>
    <w:rsid w:val="03A15DB1"/>
    <w:rsid w:val="03B94246"/>
    <w:rsid w:val="03D80B70"/>
    <w:rsid w:val="03E5363A"/>
    <w:rsid w:val="040F0656"/>
    <w:rsid w:val="042739EC"/>
    <w:rsid w:val="0451447E"/>
    <w:rsid w:val="045A2733"/>
    <w:rsid w:val="047D61C3"/>
    <w:rsid w:val="049F168E"/>
    <w:rsid w:val="04CB4033"/>
    <w:rsid w:val="04DC7BC2"/>
    <w:rsid w:val="052F2A11"/>
    <w:rsid w:val="054B67E4"/>
    <w:rsid w:val="05654685"/>
    <w:rsid w:val="05677324"/>
    <w:rsid w:val="058F7720"/>
    <w:rsid w:val="05C50C80"/>
    <w:rsid w:val="061E2F71"/>
    <w:rsid w:val="06447858"/>
    <w:rsid w:val="064E6EC7"/>
    <w:rsid w:val="0672207D"/>
    <w:rsid w:val="06A75D00"/>
    <w:rsid w:val="06AC1E41"/>
    <w:rsid w:val="06BC73FE"/>
    <w:rsid w:val="073474BC"/>
    <w:rsid w:val="07DA02F9"/>
    <w:rsid w:val="07EA0E72"/>
    <w:rsid w:val="0800587B"/>
    <w:rsid w:val="081D2278"/>
    <w:rsid w:val="08335743"/>
    <w:rsid w:val="089332B7"/>
    <w:rsid w:val="08EC5ED4"/>
    <w:rsid w:val="09330F48"/>
    <w:rsid w:val="0935611C"/>
    <w:rsid w:val="09391F5B"/>
    <w:rsid w:val="09694A92"/>
    <w:rsid w:val="098552F6"/>
    <w:rsid w:val="09877C71"/>
    <w:rsid w:val="0992356F"/>
    <w:rsid w:val="09A45050"/>
    <w:rsid w:val="09BF0FB9"/>
    <w:rsid w:val="0A1D3688"/>
    <w:rsid w:val="0A200B7B"/>
    <w:rsid w:val="0A4E2D61"/>
    <w:rsid w:val="0A6345AC"/>
    <w:rsid w:val="0A656639"/>
    <w:rsid w:val="0AB35897"/>
    <w:rsid w:val="0AB42C3E"/>
    <w:rsid w:val="0ABF46E8"/>
    <w:rsid w:val="0B084E08"/>
    <w:rsid w:val="0B313A17"/>
    <w:rsid w:val="0B3261B2"/>
    <w:rsid w:val="0B423028"/>
    <w:rsid w:val="0B455ED9"/>
    <w:rsid w:val="0B604948"/>
    <w:rsid w:val="0B6111E1"/>
    <w:rsid w:val="0B6C781B"/>
    <w:rsid w:val="0BBC48D3"/>
    <w:rsid w:val="0BCC2044"/>
    <w:rsid w:val="0BCD6AE0"/>
    <w:rsid w:val="0C351053"/>
    <w:rsid w:val="0C41302A"/>
    <w:rsid w:val="0C47635E"/>
    <w:rsid w:val="0C5D52A2"/>
    <w:rsid w:val="0C7A4421"/>
    <w:rsid w:val="0CC04ECC"/>
    <w:rsid w:val="0CD115F2"/>
    <w:rsid w:val="0CF103CF"/>
    <w:rsid w:val="0CF956B3"/>
    <w:rsid w:val="0D774F56"/>
    <w:rsid w:val="0DA9532B"/>
    <w:rsid w:val="0DC8627F"/>
    <w:rsid w:val="0E201E77"/>
    <w:rsid w:val="0E74370D"/>
    <w:rsid w:val="0E77289A"/>
    <w:rsid w:val="0E8D7402"/>
    <w:rsid w:val="0F0D726A"/>
    <w:rsid w:val="0F241091"/>
    <w:rsid w:val="0F317A87"/>
    <w:rsid w:val="0F4C0664"/>
    <w:rsid w:val="0F5B5275"/>
    <w:rsid w:val="0F5F4446"/>
    <w:rsid w:val="0FB04AF3"/>
    <w:rsid w:val="0FB44C8D"/>
    <w:rsid w:val="0FD26566"/>
    <w:rsid w:val="0FF27A12"/>
    <w:rsid w:val="100106CE"/>
    <w:rsid w:val="100C6A2B"/>
    <w:rsid w:val="103E2A25"/>
    <w:rsid w:val="108F0808"/>
    <w:rsid w:val="109E7AB4"/>
    <w:rsid w:val="10BF5428"/>
    <w:rsid w:val="10F04381"/>
    <w:rsid w:val="10F22930"/>
    <w:rsid w:val="11032285"/>
    <w:rsid w:val="117F262B"/>
    <w:rsid w:val="11800151"/>
    <w:rsid w:val="118E7EDA"/>
    <w:rsid w:val="11B26F05"/>
    <w:rsid w:val="11D010D8"/>
    <w:rsid w:val="11EF630D"/>
    <w:rsid w:val="120F2547"/>
    <w:rsid w:val="1225737B"/>
    <w:rsid w:val="122C7C32"/>
    <w:rsid w:val="123C49C0"/>
    <w:rsid w:val="125D47B8"/>
    <w:rsid w:val="127777A6"/>
    <w:rsid w:val="12A0070B"/>
    <w:rsid w:val="12BB58E4"/>
    <w:rsid w:val="130F4A87"/>
    <w:rsid w:val="136E0BA9"/>
    <w:rsid w:val="1372606A"/>
    <w:rsid w:val="138142DF"/>
    <w:rsid w:val="13AC5A80"/>
    <w:rsid w:val="13C609E5"/>
    <w:rsid w:val="13EF1726"/>
    <w:rsid w:val="143E4B76"/>
    <w:rsid w:val="14495172"/>
    <w:rsid w:val="14861F22"/>
    <w:rsid w:val="14FF608D"/>
    <w:rsid w:val="1589618F"/>
    <w:rsid w:val="15EF5E02"/>
    <w:rsid w:val="16080E33"/>
    <w:rsid w:val="1614790F"/>
    <w:rsid w:val="16224D17"/>
    <w:rsid w:val="162930AC"/>
    <w:rsid w:val="163B0AEA"/>
    <w:rsid w:val="16664F0B"/>
    <w:rsid w:val="168B4D0C"/>
    <w:rsid w:val="169A7F07"/>
    <w:rsid w:val="16B20DAC"/>
    <w:rsid w:val="16C60CFC"/>
    <w:rsid w:val="17204A02"/>
    <w:rsid w:val="17683267"/>
    <w:rsid w:val="17946C23"/>
    <w:rsid w:val="17CB2353"/>
    <w:rsid w:val="17CF1E32"/>
    <w:rsid w:val="17D64F6F"/>
    <w:rsid w:val="17DA1E3E"/>
    <w:rsid w:val="17E47572"/>
    <w:rsid w:val="180B3DE1"/>
    <w:rsid w:val="181E5F9F"/>
    <w:rsid w:val="18212D83"/>
    <w:rsid w:val="187632C1"/>
    <w:rsid w:val="18860930"/>
    <w:rsid w:val="188D3602"/>
    <w:rsid w:val="1890536C"/>
    <w:rsid w:val="18973864"/>
    <w:rsid w:val="18B273BB"/>
    <w:rsid w:val="18B74DA0"/>
    <w:rsid w:val="18CA0FAF"/>
    <w:rsid w:val="18D71B4A"/>
    <w:rsid w:val="190D2C12"/>
    <w:rsid w:val="193E01F2"/>
    <w:rsid w:val="194A1770"/>
    <w:rsid w:val="196114C4"/>
    <w:rsid w:val="197E766C"/>
    <w:rsid w:val="198714BE"/>
    <w:rsid w:val="19C20B9F"/>
    <w:rsid w:val="1A0758B3"/>
    <w:rsid w:val="1A154DE8"/>
    <w:rsid w:val="1A1956D1"/>
    <w:rsid w:val="1A260C40"/>
    <w:rsid w:val="1A41100D"/>
    <w:rsid w:val="1A444411"/>
    <w:rsid w:val="1A880529"/>
    <w:rsid w:val="1A93020C"/>
    <w:rsid w:val="1AA44EB0"/>
    <w:rsid w:val="1AC94544"/>
    <w:rsid w:val="1B0940FF"/>
    <w:rsid w:val="1B117C6E"/>
    <w:rsid w:val="1B4E7A13"/>
    <w:rsid w:val="1B5054C3"/>
    <w:rsid w:val="1B750D94"/>
    <w:rsid w:val="1B97113D"/>
    <w:rsid w:val="1B9B77D0"/>
    <w:rsid w:val="1BD45C69"/>
    <w:rsid w:val="1BF81DB2"/>
    <w:rsid w:val="1C0A00EE"/>
    <w:rsid w:val="1C146065"/>
    <w:rsid w:val="1C230BEF"/>
    <w:rsid w:val="1C3246ED"/>
    <w:rsid w:val="1C365FDC"/>
    <w:rsid w:val="1C3D55BC"/>
    <w:rsid w:val="1C733010"/>
    <w:rsid w:val="1C784846"/>
    <w:rsid w:val="1C907DE2"/>
    <w:rsid w:val="1C9B2651"/>
    <w:rsid w:val="1CA76EDA"/>
    <w:rsid w:val="1CE37734"/>
    <w:rsid w:val="1CF245F9"/>
    <w:rsid w:val="1D151FD5"/>
    <w:rsid w:val="1D2465FD"/>
    <w:rsid w:val="1D773433"/>
    <w:rsid w:val="1D94336A"/>
    <w:rsid w:val="1D9A07EC"/>
    <w:rsid w:val="1E073F83"/>
    <w:rsid w:val="1E1E7419"/>
    <w:rsid w:val="1E2471AC"/>
    <w:rsid w:val="1E75365C"/>
    <w:rsid w:val="1EAB0F03"/>
    <w:rsid w:val="1EE4006C"/>
    <w:rsid w:val="1F0A0298"/>
    <w:rsid w:val="1F0F54AA"/>
    <w:rsid w:val="1F1B36DD"/>
    <w:rsid w:val="1F55598E"/>
    <w:rsid w:val="1F6D3C88"/>
    <w:rsid w:val="1F725250"/>
    <w:rsid w:val="1F7D26AB"/>
    <w:rsid w:val="1F862ED8"/>
    <w:rsid w:val="1FB913FE"/>
    <w:rsid w:val="20167F3D"/>
    <w:rsid w:val="2017555B"/>
    <w:rsid w:val="205C0E5C"/>
    <w:rsid w:val="207A1985"/>
    <w:rsid w:val="207F347C"/>
    <w:rsid w:val="20C43FC5"/>
    <w:rsid w:val="20DB683A"/>
    <w:rsid w:val="20ED60C3"/>
    <w:rsid w:val="20EE7FD1"/>
    <w:rsid w:val="21294361"/>
    <w:rsid w:val="214B25BC"/>
    <w:rsid w:val="216C466D"/>
    <w:rsid w:val="216D6944"/>
    <w:rsid w:val="21A82ABD"/>
    <w:rsid w:val="21B8747F"/>
    <w:rsid w:val="21C961B0"/>
    <w:rsid w:val="21E07116"/>
    <w:rsid w:val="21EA2C12"/>
    <w:rsid w:val="21EE732A"/>
    <w:rsid w:val="21F32267"/>
    <w:rsid w:val="220F4EBC"/>
    <w:rsid w:val="22336089"/>
    <w:rsid w:val="226C09A9"/>
    <w:rsid w:val="22993768"/>
    <w:rsid w:val="22B8599C"/>
    <w:rsid w:val="234634E7"/>
    <w:rsid w:val="23AB69A1"/>
    <w:rsid w:val="23B824F3"/>
    <w:rsid w:val="23CD191B"/>
    <w:rsid w:val="23EA195E"/>
    <w:rsid w:val="242B03F0"/>
    <w:rsid w:val="24625C51"/>
    <w:rsid w:val="24865C9C"/>
    <w:rsid w:val="2494132C"/>
    <w:rsid w:val="24C06DE3"/>
    <w:rsid w:val="24DC0883"/>
    <w:rsid w:val="24E76A0D"/>
    <w:rsid w:val="24F45147"/>
    <w:rsid w:val="24F71DCD"/>
    <w:rsid w:val="250E6BFE"/>
    <w:rsid w:val="252235A1"/>
    <w:rsid w:val="25787665"/>
    <w:rsid w:val="25A86EC3"/>
    <w:rsid w:val="25DA20CE"/>
    <w:rsid w:val="25E56EE2"/>
    <w:rsid w:val="25F96B48"/>
    <w:rsid w:val="26017152"/>
    <w:rsid w:val="262550F0"/>
    <w:rsid w:val="265754CC"/>
    <w:rsid w:val="265F637C"/>
    <w:rsid w:val="26A55A46"/>
    <w:rsid w:val="271B20BE"/>
    <w:rsid w:val="275B0FEC"/>
    <w:rsid w:val="27634C2F"/>
    <w:rsid w:val="27822AAA"/>
    <w:rsid w:val="278C3D85"/>
    <w:rsid w:val="27B8132C"/>
    <w:rsid w:val="27D972D8"/>
    <w:rsid w:val="2819686D"/>
    <w:rsid w:val="284321AC"/>
    <w:rsid w:val="28445CD1"/>
    <w:rsid w:val="286E02B3"/>
    <w:rsid w:val="28B22E8E"/>
    <w:rsid w:val="28CD7B64"/>
    <w:rsid w:val="28DA73F5"/>
    <w:rsid w:val="28FD6934"/>
    <w:rsid w:val="29160A91"/>
    <w:rsid w:val="29734BB0"/>
    <w:rsid w:val="298C43E9"/>
    <w:rsid w:val="2A187295"/>
    <w:rsid w:val="2A224047"/>
    <w:rsid w:val="2A3C7D07"/>
    <w:rsid w:val="2A5561C7"/>
    <w:rsid w:val="2A7118A4"/>
    <w:rsid w:val="2A741800"/>
    <w:rsid w:val="2AAA4737"/>
    <w:rsid w:val="2AB83988"/>
    <w:rsid w:val="2AD065E7"/>
    <w:rsid w:val="2AE61515"/>
    <w:rsid w:val="2AEF6F76"/>
    <w:rsid w:val="2AF114EE"/>
    <w:rsid w:val="2AF43B8C"/>
    <w:rsid w:val="2B264FDE"/>
    <w:rsid w:val="2B522994"/>
    <w:rsid w:val="2B59040F"/>
    <w:rsid w:val="2B602651"/>
    <w:rsid w:val="2B8B61E5"/>
    <w:rsid w:val="2BA01BBE"/>
    <w:rsid w:val="2BFF3010"/>
    <w:rsid w:val="2C334D1F"/>
    <w:rsid w:val="2C5A76AE"/>
    <w:rsid w:val="2C85114F"/>
    <w:rsid w:val="2C8903AA"/>
    <w:rsid w:val="2C9802A2"/>
    <w:rsid w:val="2C9B0EA2"/>
    <w:rsid w:val="2CA102F5"/>
    <w:rsid w:val="2CA82BB1"/>
    <w:rsid w:val="2CA927FA"/>
    <w:rsid w:val="2CB7740E"/>
    <w:rsid w:val="2CCB09C2"/>
    <w:rsid w:val="2CD82425"/>
    <w:rsid w:val="2CEA5D08"/>
    <w:rsid w:val="2CFC2BFE"/>
    <w:rsid w:val="2D3D1C9E"/>
    <w:rsid w:val="2D597E96"/>
    <w:rsid w:val="2D964B2C"/>
    <w:rsid w:val="2D9708A4"/>
    <w:rsid w:val="2DB11966"/>
    <w:rsid w:val="2E9372BE"/>
    <w:rsid w:val="2E9B2278"/>
    <w:rsid w:val="2EC50F1F"/>
    <w:rsid w:val="2ED34BCB"/>
    <w:rsid w:val="2EED7BF7"/>
    <w:rsid w:val="2F3445FD"/>
    <w:rsid w:val="2F756F0F"/>
    <w:rsid w:val="2F7D4AE5"/>
    <w:rsid w:val="2F97224D"/>
    <w:rsid w:val="2FA501BC"/>
    <w:rsid w:val="2FAF45CB"/>
    <w:rsid w:val="2FB82068"/>
    <w:rsid w:val="2FC811E9"/>
    <w:rsid w:val="30167EED"/>
    <w:rsid w:val="30532CDB"/>
    <w:rsid w:val="305A54BE"/>
    <w:rsid w:val="305A62E5"/>
    <w:rsid w:val="30951016"/>
    <w:rsid w:val="30BD39F7"/>
    <w:rsid w:val="30E766F3"/>
    <w:rsid w:val="30EC0ECA"/>
    <w:rsid w:val="31086AB5"/>
    <w:rsid w:val="313A45F2"/>
    <w:rsid w:val="314D028A"/>
    <w:rsid w:val="3157470B"/>
    <w:rsid w:val="31724144"/>
    <w:rsid w:val="31D43E75"/>
    <w:rsid w:val="31D85CA9"/>
    <w:rsid w:val="31F85AF3"/>
    <w:rsid w:val="32285F6F"/>
    <w:rsid w:val="3284056D"/>
    <w:rsid w:val="329533D5"/>
    <w:rsid w:val="32AE50DD"/>
    <w:rsid w:val="32C0264B"/>
    <w:rsid w:val="32C263C3"/>
    <w:rsid w:val="32F5021B"/>
    <w:rsid w:val="334917E3"/>
    <w:rsid w:val="33576E57"/>
    <w:rsid w:val="335C4122"/>
    <w:rsid w:val="33756588"/>
    <w:rsid w:val="33893E0E"/>
    <w:rsid w:val="338A6904"/>
    <w:rsid w:val="33A04957"/>
    <w:rsid w:val="33AA76F8"/>
    <w:rsid w:val="33BB353F"/>
    <w:rsid w:val="33C65265"/>
    <w:rsid w:val="33DC2C79"/>
    <w:rsid w:val="33E75A82"/>
    <w:rsid w:val="33FC0481"/>
    <w:rsid w:val="34515C51"/>
    <w:rsid w:val="34BD32E6"/>
    <w:rsid w:val="34C34F89"/>
    <w:rsid w:val="34D366CB"/>
    <w:rsid w:val="34F65359"/>
    <w:rsid w:val="350871C9"/>
    <w:rsid w:val="351F745C"/>
    <w:rsid w:val="355530AA"/>
    <w:rsid w:val="358F333A"/>
    <w:rsid w:val="35A15C8B"/>
    <w:rsid w:val="35BE0FC6"/>
    <w:rsid w:val="35C76CEB"/>
    <w:rsid w:val="35E67FF6"/>
    <w:rsid w:val="35FA175B"/>
    <w:rsid w:val="364631D7"/>
    <w:rsid w:val="366E400B"/>
    <w:rsid w:val="368928C2"/>
    <w:rsid w:val="36C752EB"/>
    <w:rsid w:val="36D14E27"/>
    <w:rsid w:val="372E2279"/>
    <w:rsid w:val="375021F0"/>
    <w:rsid w:val="37650758"/>
    <w:rsid w:val="377620A8"/>
    <w:rsid w:val="37E312B6"/>
    <w:rsid w:val="382C4A0B"/>
    <w:rsid w:val="388A0646"/>
    <w:rsid w:val="389D1465"/>
    <w:rsid w:val="38CC1E2F"/>
    <w:rsid w:val="38CD637B"/>
    <w:rsid w:val="38D7097D"/>
    <w:rsid w:val="3905043C"/>
    <w:rsid w:val="391B682D"/>
    <w:rsid w:val="39290AA4"/>
    <w:rsid w:val="393A2C69"/>
    <w:rsid w:val="397A6507"/>
    <w:rsid w:val="39A64612"/>
    <w:rsid w:val="39A93E39"/>
    <w:rsid w:val="39D25478"/>
    <w:rsid w:val="39DB12F3"/>
    <w:rsid w:val="39DE109E"/>
    <w:rsid w:val="39E76710"/>
    <w:rsid w:val="3A211C22"/>
    <w:rsid w:val="3A576E60"/>
    <w:rsid w:val="3A7D77A0"/>
    <w:rsid w:val="3A7E7074"/>
    <w:rsid w:val="3AA33FFE"/>
    <w:rsid w:val="3AA51419"/>
    <w:rsid w:val="3AC357C2"/>
    <w:rsid w:val="3AD37F25"/>
    <w:rsid w:val="3AE10910"/>
    <w:rsid w:val="3B1F29B6"/>
    <w:rsid w:val="3B7A783B"/>
    <w:rsid w:val="3B8E088C"/>
    <w:rsid w:val="3B934DA1"/>
    <w:rsid w:val="3B9971A7"/>
    <w:rsid w:val="3B9F3746"/>
    <w:rsid w:val="3B9F5AAA"/>
    <w:rsid w:val="3BBA232E"/>
    <w:rsid w:val="3BBD28E6"/>
    <w:rsid w:val="3BC94759"/>
    <w:rsid w:val="3BEA7E55"/>
    <w:rsid w:val="3BFA097C"/>
    <w:rsid w:val="3C2C30D9"/>
    <w:rsid w:val="3C685DE4"/>
    <w:rsid w:val="3C797398"/>
    <w:rsid w:val="3CC96501"/>
    <w:rsid w:val="3CE6701E"/>
    <w:rsid w:val="3D266911"/>
    <w:rsid w:val="3D2F0AF9"/>
    <w:rsid w:val="3D5D109B"/>
    <w:rsid w:val="3E416822"/>
    <w:rsid w:val="3E5629E2"/>
    <w:rsid w:val="3E6622F9"/>
    <w:rsid w:val="3EA079FF"/>
    <w:rsid w:val="3EA13963"/>
    <w:rsid w:val="3EFD0EAF"/>
    <w:rsid w:val="3F5B255F"/>
    <w:rsid w:val="3F94388D"/>
    <w:rsid w:val="3FA27361"/>
    <w:rsid w:val="3FC41290"/>
    <w:rsid w:val="40416B7A"/>
    <w:rsid w:val="405D26BE"/>
    <w:rsid w:val="40A1586A"/>
    <w:rsid w:val="40DE1664"/>
    <w:rsid w:val="41050279"/>
    <w:rsid w:val="41200D82"/>
    <w:rsid w:val="41404C99"/>
    <w:rsid w:val="414D33C4"/>
    <w:rsid w:val="41717DFA"/>
    <w:rsid w:val="419C4D07"/>
    <w:rsid w:val="41A62196"/>
    <w:rsid w:val="41AE2DA4"/>
    <w:rsid w:val="41C40322"/>
    <w:rsid w:val="41D02A92"/>
    <w:rsid w:val="42000497"/>
    <w:rsid w:val="421F5203"/>
    <w:rsid w:val="4228052A"/>
    <w:rsid w:val="424F1352"/>
    <w:rsid w:val="42554A87"/>
    <w:rsid w:val="425828A0"/>
    <w:rsid w:val="42631EDC"/>
    <w:rsid w:val="42815953"/>
    <w:rsid w:val="42905890"/>
    <w:rsid w:val="429E101D"/>
    <w:rsid w:val="42BB34C9"/>
    <w:rsid w:val="42FF0B63"/>
    <w:rsid w:val="43115BA9"/>
    <w:rsid w:val="43741014"/>
    <w:rsid w:val="438C45B0"/>
    <w:rsid w:val="43B50E83"/>
    <w:rsid w:val="43D85A47"/>
    <w:rsid w:val="43E23AAD"/>
    <w:rsid w:val="43F959BD"/>
    <w:rsid w:val="44021D80"/>
    <w:rsid w:val="44047744"/>
    <w:rsid w:val="44242A3A"/>
    <w:rsid w:val="443959F3"/>
    <w:rsid w:val="443C3A03"/>
    <w:rsid w:val="44A02DC8"/>
    <w:rsid w:val="44B149D9"/>
    <w:rsid w:val="44EA0FB5"/>
    <w:rsid w:val="4513485D"/>
    <w:rsid w:val="45382605"/>
    <w:rsid w:val="45435142"/>
    <w:rsid w:val="45987060"/>
    <w:rsid w:val="45A55A76"/>
    <w:rsid w:val="462C18BF"/>
    <w:rsid w:val="46A461DD"/>
    <w:rsid w:val="46B24447"/>
    <w:rsid w:val="46B76957"/>
    <w:rsid w:val="46E4693C"/>
    <w:rsid w:val="46E777F2"/>
    <w:rsid w:val="475C073D"/>
    <w:rsid w:val="477C392D"/>
    <w:rsid w:val="477C493B"/>
    <w:rsid w:val="47876D4D"/>
    <w:rsid w:val="47B4760F"/>
    <w:rsid w:val="47E62C01"/>
    <w:rsid w:val="48413CBE"/>
    <w:rsid w:val="488A0B81"/>
    <w:rsid w:val="48931F3C"/>
    <w:rsid w:val="48943F06"/>
    <w:rsid w:val="48BA3C71"/>
    <w:rsid w:val="48BE4719"/>
    <w:rsid w:val="48C860EA"/>
    <w:rsid w:val="48F36C71"/>
    <w:rsid w:val="49440071"/>
    <w:rsid w:val="49521DF7"/>
    <w:rsid w:val="4955259A"/>
    <w:rsid w:val="49E014BA"/>
    <w:rsid w:val="49F47221"/>
    <w:rsid w:val="4A197CC9"/>
    <w:rsid w:val="4A644955"/>
    <w:rsid w:val="4AA4074F"/>
    <w:rsid w:val="4AD154D5"/>
    <w:rsid w:val="4B3F68D0"/>
    <w:rsid w:val="4B6E60E6"/>
    <w:rsid w:val="4B942491"/>
    <w:rsid w:val="4B956814"/>
    <w:rsid w:val="4BD56D10"/>
    <w:rsid w:val="4BE17463"/>
    <w:rsid w:val="4BE233FC"/>
    <w:rsid w:val="4BF73B24"/>
    <w:rsid w:val="4C297A09"/>
    <w:rsid w:val="4C567E51"/>
    <w:rsid w:val="4C826045"/>
    <w:rsid w:val="4C9F38D6"/>
    <w:rsid w:val="4CB457FD"/>
    <w:rsid w:val="4CC6164D"/>
    <w:rsid w:val="4D710AAE"/>
    <w:rsid w:val="4D714816"/>
    <w:rsid w:val="4DAE0E38"/>
    <w:rsid w:val="4DF0694A"/>
    <w:rsid w:val="4DF44037"/>
    <w:rsid w:val="4DFF2220"/>
    <w:rsid w:val="4E031912"/>
    <w:rsid w:val="4E102281"/>
    <w:rsid w:val="4E485577"/>
    <w:rsid w:val="4E4D0553"/>
    <w:rsid w:val="4E683E6B"/>
    <w:rsid w:val="4E6C6D9E"/>
    <w:rsid w:val="4E7B3B9E"/>
    <w:rsid w:val="4E8861C3"/>
    <w:rsid w:val="4E9E5850"/>
    <w:rsid w:val="4EBE20E6"/>
    <w:rsid w:val="4EC01BE8"/>
    <w:rsid w:val="4EC70B92"/>
    <w:rsid w:val="4ED8300A"/>
    <w:rsid w:val="4EDC45F1"/>
    <w:rsid w:val="4F046D8B"/>
    <w:rsid w:val="4F0A4599"/>
    <w:rsid w:val="4F2E178B"/>
    <w:rsid w:val="4F3117C6"/>
    <w:rsid w:val="4F38383D"/>
    <w:rsid w:val="4F610ED1"/>
    <w:rsid w:val="4FCD1AFA"/>
    <w:rsid w:val="4FE65048"/>
    <w:rsid w:val="503F47C4"/>
    <w:rsid w:val="507250DD"/>
    <w:rsid w:val="50CC09A6"/>
    <w:rsid w:val="50E83041"/>
    <w:rsid w:val="5119769F"/>
    <w:rsid w:val="514774AD"/>
    <w:rsid w:val="51892F55"/>
    <w:rsid w:val="51AE642A"/>
    <w:rsid w:val="51EC2B2D"/>
    <w:rsid w:val="52157E66"/>
    <w:rsid w:val="523C298D"/>
    <w:rsid w:val="52543685"/>
    <w:rsid w:val="5257222D"/>
    <w:rsid w:val="528B4196"/>
    <w:rsid w:val="528E1FF7"/>
    <w:rsid w:val="52A06870"/>
    <w:rsid w:val="52AE06E9"/>
    <w:rsid w:val="52D01B06"/>
    <w:rsid w:val="52DF1F0E"/>
    <w:rsid w:val="52F80915"/>
    <w:rsid w:val="530156B1"/>
    <w:rsid w:val="533A6EE9"/>
    <w:rsid w:val="533F5741"/>
    <w:rsid w:val="53422EDD"/>
    <w:rsid w:val="53A40CC6"/>
    <w:rsid w:val="53A6324B"/>
    <w:rsid w:val="53D507AA"/>
    <w:rsid w:val="540C5299"/>
    <w:rsid w:val="544F4775"/>
    <w:rsid w:val="544F663E"/>
    <w:rsid w:val="545A65C1"/>
    <w:rsid w:val="54740CD6"/>
    <w:rsid w:val="54AC5967"/>
    <w:rsid w:val="54C47921"/>
    <w:rsid w:val="54D86537"/>
    <w:rsid w:val="54DC3048"/>
    <w:rsid w:val="54E70495"/>
    <w:rsid w:val="553821B1"/>
    <w:rsid w:val="5568599E"/>
    <w:rsid w:val="55AF412E"/>
    <w:rsid w:val="55B12039"/>
    <w:rsid w:val="560B79BC"/>
    <w:rsid w:val="562A4416"/>
    <w:rsid w:val="568802DB"/>
    <w:rsid w:val="56B37004"/>
    <w:rsid w:val="56BC7FA7"/>
    <w:rsid w:val="56CB31E9"/>
    <w:rsid w:val="56E00193"/>
    <w:rsid w:val="56F60F76"/>
    <w:rsid w:val="5730263E"/>
    <w:rsid w:val="57464B60"/>
    <w:rsid w:val="57492A25"/>
    <w:rsid w:val="57563B36"/>
    <w:rsid w:val="57915CEB"/>
    <w:rsid w:val="57933FE1"/>
    <w:rsid w:val="57AD4DFB"/>
    <w:rsid w:val="581A61D6"/>
    <w:rsid w:val="58315BF8"/>
    <w:rsid w:val="58882BB9"/>
    <w:rsid w:val="58BD5714"/>
    <w:rsid w:val="59084281"/>
    <w:rsid w:val="59097FF9"/>
    <w:rsid w:val="59200CE3"/>
    <w:rsid w:val="59633BAD"/>
    <w:rsid w:val="59907720"/>
    <w:rsid w:val="599B6DB6"/>
    <w:rsid w:val="59A0270B"/>
    <w:rsid w:val="59F40CA9"/>
    <w:rsid w:val="5A056A12"/>
    <w:rsid w:val="5A1522A3"/>
    <w:rsid w:val="5A1919A5"/>
    <w:rsid w:val="5AFA3F12"/>
    <w:rsid w:val="5B0E7E27"/>
    <w:rsid w:val="5B2A2F15"/>
    <w:rsid w:val="5B3A4997"/>
    <w:rsid w:val="5B3B3231"/>
    <w:rsid w:val="5B402A98"/>
    <w:rsid w:val="5B4377F2"/>
    <w:rsid w:val="5B761F16"/>
    <w:rsid w:val="5BA07431"/>
    <w:rsid w:val="5BE12FA3"/>
    <w:rsid w:val="5C154C5B"/>
    <w:rsid w:val="5C55566D"/>
    <w:rsid w:val="5C9172E9"/>
    <w:rsid w:val="5CA779DA"/>
    <w:rsid w:val="5CD37EB2"/>
    <w:rsid w:val="5D072406"/>
    <w:rsid w:val="5D221689"/>
    <w:rsid w:val="5D415152"/>
    <w:rsid w:val="5D4564D9"/>
    <w:rsid w:val="5D4A2A5C"/>
    <w:rsid w:val="5D55024E"/>
    <w:rsid w:val="5D8866EC"/>
    <w:rsid w:val="5E005E6E"/>
    <w:rsid w:val="5E08087F"/>
    <w:rsid w:val="5E107C7A"/>
    <w:rsid w:val="5E203E1A"/>
    <w:rsid w:val="5E3021EB"/>
    <w:rsid w:val="5E5836C4"/>
    <w:rsid w:val="5E5E3BF0"/>
    <w:rsid w:val="5E7012D1"/>
    <w:rsid w:val="5E702AD4"/>
    <w:rsid w:val="5E7B3747"/>
    <w:rsid w:val="5E9D36BD"/>
    <w:rsid w:val="5EA110A8"/>
    <w:rsid w:val="5EB443B6"/>
    <w:rsid w:val="5EBF421E"/>
    <w:rsid w:val="5ECF0857"/>
    <w:rsid w:val="5F063400"/>
    <w:rsid w:val="5F2D3267"/>
    <w:rsid w:val="5F431A08"/>
    <w:rsid w:val="5F446614"/>
    <w:rsid w:val="5F566882"/>
    <w:rsid w:val="5F5856DF"/>
    <w:rsid w:val="5F6F2F3A"/>
    <w:rsid w:val="5F906724"/>
    <w:rsid w:val="5FBB05D1"/>
    <w:rsid w:val="60121E89"/>
    <w:rsid w:val="603F287B"/>
    <w:rsid w:val="6044341F"/>
    <w:rsid w:val="605E09C1"/>
    <w:rsid w:val="60A305BA"/>
    <w:rsid w:val="60AF08C6"/>
    <w:rsid w:val="60CE7640"/>
    <w:rsid w:val="60DB1A18"/>
    <w:rsid w:val="60E32A2E"/>
    <w:rsid w:val="60E92BEA"/>
    <w:rsid w:val="60F31CBA"/>
    <w:rsid w:val="616B40B4"/>
    <w:rsid w:val="61DC62AA"/>
    <w:rsid w:val="61E73A1D"/>
    <w:rsid w:val="62082EAD"/>
    <w:rsid w:val="620E0D6B"/>
    <w:rsid w:val="62154E00"/>
    <w:rsid w:val="626544F2"/>
    <w:rsid w:val="626F6A50"/>
    <w:rsid w:val="6279295D"/>
    <w:rsid w:val="62913539"/>
    <w:rsid w:val="62934D40"/>
    <w:rsid w:val="62AC446B"/>
    <w:rsid w:val="62AF20A7"/>
    <w:rsid w:val="62B13874"/>
    <w:rsid w:val="62CE653B"/>
    <w:rsid w:val="62D653F0"/>
    <w:rsid w:val="62EF0DB6"/>
    <w:rsid w:val="62FF74A9"/>
    <w:rsid w:val="63192285"/>
    <w:rsid w:val="63201F02"/>
    <w:rsid w:val="63650559"/>
    <w:rsid w:val="63672753"/>
    <w:rsid w:val="63753751"/>
    <w:rsid w:val="644D382E"/>
    <w:rsid w:val="645779AB"/>
    <w:rsid w:val="650E0E71"/>
    <w:rsid w:val="651E39DB"/>
    <w:rsid w:val="652266CA"/>
    <w:rsid w:val="656C3DE9"/>
    <w:rsid w:val="657A6506"/>
    <w:rsid w:val="65C14135"/>
    <w:rsid w:val="65E62E7A"/>
    <w:rsid w:val="65E73470"/>
    <w:rsid w:val="66186174"/>
    <w:rsid w:val="661F2466"/>
    <w:rsid w:val="662110AC"/>
    <w:rsid w:val="66250494"/>
    <w:rsid w:val="66911D59"/>
    <w:rsid w:val="66924E47"/>
    <w:rsid w:val="66A17256"/>
    <w:rsid w:val="66D50EA2"/>
    <w:rsid w:val="66DC0AFB"/>
    <w:rsid w:val="66E01D2F"/>
    <w:rsid w:val="66FB2C13"/>
    <w:rsid w:val="673B7F17"/>
    <w:rsid w:val="674212A6"/>
    <w:rsid w:val="67515045"/>
    <w:rsid w:val="67B54285"/>
    <w:rsid w:val="67BB5990"/>
    <w:rsid w:val="67C439C6"/>
    <w:rsid w:val="67C8551B"/>
    <w:rsid w:val="67CD5013"/>
    <w:rsid w:val="67DC4571"/>
    <w:rsid w:val="67F0485E"/>
    <w:rsid w:val="6809591F"/>
    <w:rsid w:val="68096999"/>
    <w:rsid w:val="6818771A"/>
    <w:rsid w:val="681B01E7"/>
    <w:rsid w:val="684A51D5"/>
    <w:rsid w:val="684F26D1"/>
    <w:rsid w:val="685220FD"/>
    <w:rsid w:val="686856A8"/>
    <w:rsid w:val="68751207"/>
    <w:rsid w:val="689312C2"/>
    <w:rsid w:val="68D1661D"/>
    <w:rsid w:val="68DF5538"/>
    <w:rsid w:val="68E176EA"/>
    <w:rsid w:val="69070943"/>
    <w:rsid w:val="691B7051"/>
    <w:rsid w:val="694F49EC"/>
    <w:rsid w:val="69733998"/>
    <w:rsid w:val="69A2427D"/>
    <w:rsid w:val="69EE3C11"/>
    <w:rsid w:val="6A0C16F7"/>
    <w:rsid w:val="6A3E4E1A"/>
    <w:rsid w:val="6A4315BC"/>
    <w:rsid w:val="6A6B466F"/>
    <w:rsid w:val="6A971F44"/>
    <w:rsid w:val="6AAD178D"/>
    <w:rsid w:val="6AB9187F"/>
    <w:rsid w:val="6ABF43B6"/>
    <w:rsid w:val="6AD45AAB"/>
    <w:rsid w:val="6AE606B8"/>
    <w:rsid w:val="6B43383E"/>
    <w:rsid w:val="6B4750DC"/>
    <w:rsid w:val="6B990D59"/>
    <w:rsid w:val="6BB00D36"/>
    <w:rsid w:val="6BC73B27"/>
    <w:rsid w:val="6BE94A51"/>
    <w:rsid w:val="6C105420"/>
    <w:rsid w:val="6C6F47F8"/>
    <w:rsid w:val="6C735A5D"/>
    <w:rsid w:val="6CA2380D"/>
    <w:rsid w:val="6CB32C68"/>
    <w:rsid w:val="6CC649E7"/>
    <w:rsid w:val="6CD17DE6"/>
    <w:rsid w:val="6CF35EC2"/>
    <w:rsid w:val="6CF650C2"/>
    <w:rsid w:val="6D1B05CF"/>
    <w:rsid w:val="6D1B78FA"/>
    <w:rsid w:val="6D5D6613"/>
    <w:rsid w:val="6D644430"/>
    <w:rsid w:val="6D832633"/>
    <w:rsid w:val="6DB067E7"/>
    <w:rsid w:val="6DDD3E1B"/>
    <w:rsid w:val="6DF75CDE"/>
    <w:rsid w:val="6E1C369D"/>
    <w:rsid w:val="6E3E0782"/>
    <w:rsid w:val="6E407BC1"/>
    <w:rsid w:val="6E4C520D"/>
    <w:rsid w:val="6E5A13CE"/>
    <w:rsid w:val="6E696B31"/>
    <w:rsid w:val="6E773A27"/>
    <w:rsid w:val="6E8B1913"/>
    <w:rsid w:val="6E940155"/>
    <w:rsid w:val="6E947C6C"/>
    <w:rsid w:val="6E996735"/>
    <w:rsid w:val="6EBF78B2"/>
    <w:rsid w:val="6EE175F6"/>
    <w:rsid w:val="6EE53863"/>
    <w:rsid w:val="6EFB0AC7"/>
    <w:rsid w:val="6F022A8E"/>
    <w:rsid w:val="6F570003"/>
    <w:rsid w:val="6F5F71DE"/>
    <w:rsid w:val="6F6271BB"/>
    <w:rsid w:val="6F6F261D"/>
    <w:rsid w:val="6F7716FF"/>
    <w:rsid w:val="6F782FF1"/>
    <w:rsid w:val="6F8275FE"/>
    <w:rsid w:val="70146E46"/>
    <w:rsid w:val="70B51F79"/>
    <w:rsid w:val="7104137A"/>
    <w:rsid w:val="71240D61"/>
    <w:rsid w:val="71C823A7"/>
    <w:rsid w:val="71F17B50"/>
    <w:rsid w:val="72017C43"/>
    <w:rsid w:val="721538A5"/>
    <w:rsid w:val="72312393"/>
    <w:rsid w:val="723F6B0D"/>
    <w:rsid w:val="725A55AB"/>
    <w:rsid w:val="72677E12"/>
    <w:rsid w:val="727318DA"/>
    <w:rsid w:val="72A03F09"/>
    <w:rsid w:val="72C52439"/>
    <w:rsid w:val="72C61C8A"/>
    <w:rsid w:val="72D24F5F"/>
    <w:rsid w:val="731215C2"/>
    <w:rsid w:val="733028FA"/>
    <w:rsid w:val="733221CE"/>
    <w:rsid w:val="73453C80"/>
    <w:rsid w:val="734C1DF1"/>
    <w:rsid w:val="73577E87"/>
    <w:rsid w:val="736B0938"/>
    <w:rsid w:val="736D3061"/>
    <w:rsid w:val="73C6500C"/>
    <w:rsid w:val="73E74837"/>
    <w:rsid w:val="743D7CF2"/>
    <w:rsid w:val="745D771F"/>
    <w:rsid w:val="74752A3D"/>
    <w:rsid w:val="748D5AA1"/>
    <w:rsid w:val="749214BC"/>
    <w:rsid w:val="74A63C65"/>
    <w:rsid w:val="74B710E3"/>
    <w:rsid w:val="74B950E0"/>
    <w:rsid w:val="74F7359D"/>
    <w:rsid w:val="74FF663C"/>
    <w:rsid w:val="75123B8B"/>
    <w:rsid w:val="756041CB"/>
    <w:rsid w:val="75756D6F"/>
    <w:rsid w:val="75D27C98"/>
    <w:rsid w:val="75FD3CAC"/>
    <w:rsid w:val="762C2CDF"/>
    <w:rsid w:val="763E70DC"/>
    <w:rsid w:val="7650125C"/>
    <w:rsid w:val="76510651"/>
    <w:rsid w:val="76525DAB"/>
    <w:rsid w:val="76CA6BC2"/>
    <w:rsid w:val="770025E3"/>
    <w:rsid w:val="770C1BAF"/>
    <w:rsid w:val="77420E4E"/>
    <w:rsid w:val="774626EC"/>
    <w:rsid w:val="775841CD"/>
    <w:rsid w:val="777059BB"/>
    <w:rsid w:val="77B84C6C"/>
    <w:rsid w:val="77C61D92"/>
    <w:rsid w:val="77EE63EE"/>
    <w:rsid w:val="780A1E9C"/>
    <w:rsid w:val="78446519"/>
    <w:rsid w:val="785F1D7A"/>
    <w:rsid w:val="7899684C"/>
    <w:rsid w:val="78DC00DC"/>
    <w:rsid w:val="79202AC9"/>
    <w:rsid w:val="792B4075"/>
    <w:rsid w:val="79366578"/>
    <w:rsid w:val="793F3897"/>
    <w:rsid w:val="79517126"/>
    <w:rsid w:val="795B3A6C"/>
    <w:rsid w:val="79612FC9"/>
    <w:rsid w:val="79860C17"/>
    <w:rsid w:val="79AD093A"/>
    <w:rsid w:val="79B73D64"/>
    <w:rsid w:val="79F11E86"/>
    <w:rsid w:val="79FB2027"/>
    <w:rsid w:val="7A01613C"/>
    <w:rsid w:val="7A0D370A"/>
    <w:rsid w:val="7A7F11FB"/>
    <w:rsid w:val="7AB937DC"/>
    <w:rsid w:val="7ABB1DEA"/>
    <w:rsid w:val="7AC748C5"/>
    <w:rsid w:val="7AE244DA"/>
    <w:rsid w:val="7B2A5E81"/>
    <w:rsid w:val="7B3B3DCD"/>
    <w:rsid w:val="7B427830"/>
    <w:rsid w:val="7B6B37BC"/>
    <w:rsid w:val="7B9F772C"/>
    <w:rsid w:val="7BBB1690"/>
    <w:rsid w:val="7BE44D35"/>
    <w:rsid w:val="7BED7CAC"/>
    <w:rsid w:val="7BF25701"/>
    <w:rsid w:val="7BFA1CF7"/>
    <w:rsid w:val="7BFC72AA"/>
    <w:rsid w:val="7C0C3FBA"/>
    <w:rsid w:val="7C0E12FE"/>
    <w:rsid w:val="7C100EB0"/>
    <w:rsid w:val="7C224DAA"/>
    <w:rsid w:val="7C7C39B5"/>
    <w:rsid w:val="7C9E6F0E"/>
    <w:rsid w:val="7CA45F2E"/>
    <w:rsid w:val="7CCD0E46"/>
    <w:rsid w:val="7CEE5A4C"/>
    <w:rsid w:val="7D4B1E05"/>
    <w:rsid w:val="7D5E522E"/>
    <w:rsid w:val="7D6457E7"/>
    <w:rsid w:val="7D6D7FBA"/>
    <w:rsid w:val="7D793157"/>
    <w:rsid w:val="7D9D293A"/>
    <w:rsid w:val="7D9F168F"/>
    <w:rsid w:val="7DD24CD9"/>
    <w:rsid w:val="7E0F1468"/>
    <w:rsid w:val="7E2B6198"/>
    <w:rsid w:val="7E416C49"/>
    <w:rsid w:val="7E444069"/>
    <w:rsid w:val="7E5A1E99"/>
    <w:rsid w:val="7E792660"/>
    <w:rsid w:val="7E9C7095"/>
    <w:rsid w:val="7EB42631"/>
    <w:rsid w:val="7EB62F72"/>
    <w:rsid w:val="7EDE5D80"/>
    <w:rsid w:val="7EF50554"/>
    <w:rsid w:val="7F030EC3"/>
    <w:rsid w:val="7F136E37"/>
    <w:rsid w:val="7F1A54CE"/>
    <w:rsid w:val="7F1C47E2"/>
    <w:rsid w:val="7F385010"/>
    <w:rsid w:val="7F4219EB"/>
    <w:rsid w:val="7F491B19"/>
    <w:rsid w:val="7FC335E9"/>
    <w:rsid w:val="7FDE67C3"/>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0"/>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48"/>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50"/>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2"/>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2"/>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3"/>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4"/>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5"/>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模板正文"/>
    <w:basedOn w:val="1"/>
    <w:link w:val="94"/>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caption"/>
    <w:basedOn w:val="1"/>
    <w:next w:val="1"/>
    <w:link w:val="83"/>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6"/>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3"/>
    <w:unhideWhenUsed/>
    <w:qFormat/>
    <w:uiPriority w:val="99"/>
    <w:pPr>
      <w:jc w:val="left"/>
    </w:pPr>
  </w:style>
  <w:style w:type="paragraph" w:styleId="18">
    <w:name w:val="Body Text 3"/>
    <w:basedOn w:val="1"/>
    <w:link w:val="156"/>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1"/>
    <w:link w:val="118"/>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next w:val="1"/>
    <w:link w:val="92"/>
    <w:qFormat/>
    <w:uiPriority w:val="0"/>
    <w:pPr>
      <w:ind w:left="567" w:leftChars="270"/>
    </w:pPr>
    <w:rPr>
      <w:rFonts w:ascii="Times New Roman" w:hAnsi="Times New Roman" w:eastAsia="宋体" w:cs="Times New Roman"/>
      <w:szCs w:val="20"/>
    </w:rPr>
  </w:style>
  <w:style w:type="paragraph" w:styleId="21">
    <w:name w:val="toc 3"/>
    <w:basedOn w:val="1"/>
    <w:next w:val="1"/>
    <w:unhideWhenUsed/>
    <w:qFormat/>
    <w:uiPriority w:val="39"/>
    <w:pPr>
      <w:tabs>
        <w:tab w:val="right" w:leader="dot" w:pos="10144"/>
      </w:tabs>
      <w:ind w:left="840" w:leftChars="400"/>
    </w:pPr>
  </w:style>
  <w:style w:type="paragraph" w:styleId="22">
    <w:name w:val="Plain Text"/>
    <w:basedOn w:val="1"/>
    <w:link w:val="100"/>
    <w:qFormat/>
    <w:uiPriority w:val="0"/>
    <w:rPr>
      <w:rFonts w:ascii="宋体" w:hAnsi="Courier New" w:eastAsia="宋体"/>
    </w:rPr>
  </w:style>
  <w:style w:type="paragraph" w:styleId="23">
    <w:name w:val="Date"/>
    <w:basedOn w:val="1"/>
    <w:next w:val="1"/>
    <w:link w:val="10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1"/>
    <w:qFormat/>
    <w:uiPriority w:val="0"/>
    <w:pPr>
      <w:tabs>
        <w:tab w:val="left" w:pos="8640"/>
      </w:tabs>
      <w:ind w:left="1260"/>
    </w:pPr>
    <w:rPr>
      <w:rFonts w:ascii="宋体" w:hAnsi="Times New Roman" w:eastAsia="宋体" w:cs="Times New Roman"/>
      <w:szCs w:val="20"/>
    </w:rPr>
  </w:style>
  <w:style w:type="paragraph" w:styleId="25">
    <w:name w:val="Balloon Text"/>
    <w:basedOn w:val="1"/>
    <w:link w:val="74"/>
    <w:qFormat/>
    <w:uiPriority w:val="0"/>
    <w:rPr>
      <w:rFonts w:ascii="Times New Roman" w:hAnsi="Times New Roman" w:eastAsia="宋体" w:cs="Times New Roman"/>
      <w:sz w:val="18"/>
      <w:szCs w:val="18"/>
    </w:rPr>
  </w:style>
  <w:style w:type="paragraph" w:styleId="26">
    <w:name w:val="footer"/>
    <w:basedOn w:val="1"/>
    <w:link w:val="78"/>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0"/>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unhideWhenUsed/>
    <w:qFormat/>
    <w:uiPriority w:val="39"/>
  </w:style>
  <w:style w:type="paragraph" w:styleId="29">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4"/>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Body Text 2"/>
    <w:basedOn w:val="1"/>
    <w:link w:val="143"/>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3"/>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8"/>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7"/>
    <w:next w:val="17"/>
    <w:link w:val="110"/>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19"/>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unhideWhenUsed/>
    <w:qFormat/>
    <w:uiPriority w:val="0"/>
    <w:rPr>
      <w:rFonts w:hint="default"/>
      <w:sz w:val="24"/>
      <w:szCs w:val="24"/>
      <w:lang w:val="en-US" w:eastAsia="zh-CN" w:bidi="ar-SA"/>
    </w:rPr>
  </w:style>
  <w:style w:type="character" w:styleId="42">
    <w:name w:val="FollowedHyperlink"/>
    <w:unhideWhenUsed/>
    <w:qFormat/>
    <w:uiPriority w:val="99"/>
    <w:rPr>
      <w:color w:val="954F72"/>
      <w:u w:val="single"/>
    </w:rPr>
  </w:style>
  <w:style w:type="character" w:styleId="43">
    <w:name w:val="Emphasis"/>
    <w:qFormat/>
    <w:uiPriority w:val="0"/>
    <w:rPr>
      <w:i/>
      <w:iCs/>
    </w:rPr>
  </w:style>
  <w:style w:type="character" w:styleId="44">
    <w:name w:val="Hyperlink"/>
    <w:qFormat/>
    <w:uiPriority w:val="99"/>
    <w:rPr>
      <w:rFonts w:hint="default" w:ascii="Arial" w:hAnsi="Arial" w:cs="Arial"/>
      <w:color w:val="000000"/>
      <w:sz w:val="20"/>
      <w:szCs w:val="20"/>
      <w:u w:val="none"/>
    </w:rPr>
  </w:style>
  <w:style w:type="character" w:styleId="45">
    <w:name w:val="annotation reference"/>
    <w:qFormat/>
    <w:uiPriority w:val="99"/>
    <w:rPr>
      <w:sz w:val="21"/>
      <w:szCs w:val="21"/>
    </w:rPr>
  </w:style>
  <w:style w:type="paragraph" w:customStyle="1" w:styleId="46">
    <w:name w:val="首行缩进"/>
    <w:basedOn w:val="1"/>
    <w:qFormat/>
    <w:uiPriority w:val="0"/>
    <w:pPr>
      <w:ind w:firstLine="480" w:firstLineChars="200"/>
    </w:pPr>
    <w:rPr>
      <w:lang w:val="zh-CN"/>
    </w:rPr>
  </w:style>
  <w:style w:type="character" w:customStyle="1" w:styleId="47">
    <w:name w:val="标题 1 字符"/>
    <w:basedOn w:val="39"/>
    <w:qFormat/>
    <w:uiPriority w:val="0"/>
    <w:rPr>
      <w:b/>
      <w:bCs/>
      <w:kern w:val="44"/>
      <w:sz w:val="44"/>
      <w:szCs w:val="44"/>
    </w:rPr>
  </w:style>
  <w:style w:type="character" w:customStyle="1" w:styleId="48">
    <w:name w:val="标题 2 Char"/>
    <w:basedOn w:val="39"/>
    <w:link w:val="5"/>
    <w:qFormat/>
    <w:uiPriority w:val="0"/>
    <w:rPr>
      <w:rFonts w:ascii="宋体" w:hAnsi="Calibri" w:eastAsia="宋体" w:cs="Times New Roman"/>
      <w:kern w:val="0"/>
      <w:sz w:val="24"/>
      <w:szCs w:val="24"/>
    </w:rPr>
  </w:style>
  <w:style w:type="character" w:customStyle="1" w:styleId="49">
    <w:name w:val="标题 3 字符"/>
    <w:basedOn w:val="39"/>
    <w:qFormat/>
    <w:uiPriority w:val="0"/>
    <w:rPr>
      <w:b/>
      <w:bCs/>
      <w:sz w:val="32"/>
      <w:szCs w:val="32"/>
    </w:rPr>
  </w:style>
  <w:style w:type="character" w:customStyle="1" w:styleId="50">
    <w:name w:val="标题 4 Char1"/>
    <w:basedOn w:val="39"/>
    <w:link w:val="7"/>
    <w:qFormat/>
    <w:uiPriority w:val="9"/>
    <w:rPr>
      <w:rFonts w:ascii="Arial" w:hAnsi="Arial" w:eastAsia="黑体" w:cs="Times New Roman"/>
      <w:b/>
      <w:bCs/>
      <w:kern w:val="0"/>
      <w:sz w:val="28"/>
      <w:szCs w:val="28"/>
    </w:rPr>
  </w:style>
  <w:style w:type="character" w:customStyle="1" w:styleId="51">
    <w:name w:val="标题 5 字符"/>
    <w:basedOn w:val="39"/>
    <w:qFormat/>
    <w:uiPriority w:val="9"/>
    <w:rPr>
      <w:b/>
      <w:bCs/>
      <w:sz w:val="28"/>
      <w:szCs w:val="28"/>
    </w:rPr>
  </w:style>
  <w:style w:type="character" w:customStyle="1" w:styleId="52">
    <w:name w:val="标题 6 字符"/>
    <w:basedOn w:val="39"/>
    <w:qFormat/>
    <w:uiPriority w:val="0"/>
    <w:rPr>
      <w:rFonts w:asciiTheme="majorHAnsi" w:hAnsiTheme="majorHAnsi" w:eastAsiaTheme="majorEastAsia" w:cstheme="majorBidi"/>
      <w:b/>
      <w:bCs/>
      <w:sz w:val="24"/>
      <w:szCs w:val="24"/>
    </w:rPr>
  </w:style>
  <w:style w:type="character" w:customStyle="1" w:styleId="53">
    <w:name w:val="标题 7 Char"/>
    <w:basedOn w:val="39"/>
    <w:link w:val="11"/>
    <w:qFormat/>
    <w:uiPriority w:val="9"/>
    <w:rPr>
      <w:rFonts w:ascii="Times New Roman" w:hAnsi="Calibri" w:eastAsia="黑体" w:cs="Times New Roman"/>
      <w:b/>
      <w:bCs/>
      <w:kern w:val="0"/>
      <w:sz w:val="28"/>
      <w:szCs w:val="24"/>
    </w:rPr>
  </w:style>
  <w:style w:type="character" w:customStyle="1" w:styleId="54">
    <w:name w:val="标题 8 Char"/>
    <w:basedOn w:val="39"/>
    <w:link w:val="12"/>
    <w:qFormat/>
    <w:uiPriority w:val="9"/>
    <w:rPr>
      <w:rFonts w:ascii="Times New Roman" w:hAnsi="Calibri" w:eastAsia="黑体" w:cs="Times New Roman"/>
      <w:b/>
      <w:kern w:val="0"/>
      <w:sz w:val="28"/>
      <w:szCs w:val="24"/>
    </w:rPr>
  </w:style>
  <w:style w:type="character" w:customStyle="1" w:styleId="55">
    <w:name w:val="标题 9 Char"/>
    <w:basedOn w:val="39"/>
    <w:link w:val="13"/>
    <w:qFormat/>
    <w:uiPriority w:val="9"/>
    <w:rPr>
      <w:rFonts w:ascii="Times New Roman" w:hAnsi="Calibri" w:eastAsia="黑体" w:cs="Times New Roman"/>
      <w:b/>
      <w:kern w:val="0"/>
      <w:sz w:val="28"/>
      <w:szCs w:val="24"/>
    </w:rPr>
  </w:style>
  <w:style w:type="character" w:customStyle="1" w:styleId="56">
    <w:name w:val="正文文本缩进 字符"/>
    <w:qFormat/>
    <w:uiPriority w:val="0"/>
    <w:rPr>
      <w:rFonts w:ascii="Times New Roman" w:hAnsi="Times New Roman" w:eastAsia="宋体" w:cs="Times New Roman"/>
      <w:szCs w:val="20"/>
    </w:rPr>
  </w:style>
  <w:style w:type="character" w:customStyle="1" w:styleId="57">
    <w:name w:val="普通(网站) Char"/>
    <w:qFormat/>
    <w:locked/>
    <w:uiPriority w:val="0"/>
    <w:rPr>
      <w:rFonts w:ascii="宋体" w:hAnsi="宋体"/>
      <w:sz w:val="15"/>
      <w:szCs w:val="15"/>
    </w:rPr>
  </w:style>
  <w:style w:type="character" w:customStyle="1" w:styleId="58">
    <w:name w:val="标题 Char"/>
    <w:link w:val="34"/>
    <w:qFormat/>
    <w:uiPriority w:val="10"/>
    <w:rPr>
      <w:rFonts w:ascii="等线 Light" w:hAnsi="等线 Light" w:eastAsia="仿宋"/>
      <w:b/>
      <w:bCs/>
      <w:sz w:val="28"/>
      <w:szCs w:val="32"/>
    </w:rPr>
  </w:style>
  <w:style w:type="character" w:customStyle="1" w:styleId="59">
    <w:name w:val="日期 Char"/>
    <w:semiHidden/>
    <w:qFormat/>
    <w:uiPriority w:val="99"/>
    <w:rPr>
      <w:kern w:val="2"/>
      <w:sz w:val="21"/>
    </w:rPr>
  </w:style>
  <w:style w:type="character" w:customStyle="1" w:styleId="60">
    <w:name w:val="文档结构图 字符1"/>
    <w:semiHidden/>
    <w:qFormat/>
    <w:uiPriority w:val="99"/>
    <w:rPr>
      <w:rFonts w:ascii="Microsoft YaHei UI" w:hAnsi="Calibri" w:eastAsia="Microsoft YaHei UI" w:cs="Times New Roman"/>
      <w:kern w:val="0"/>
      <w:sz w:val="18"/>
      <w:szCs w:val="18"/>
    </w:rPr>
  </w:style>
  <w:style w:type="character" w:customStyle="1" w:styleId="61">
    <w:name w:val="批注文字 Char"/>
    <w:semiHidden/>
    <w:qFormat/>
    <w:uiPriority w:val="99"/>
    <w:rPr>
      <w:kern w:val="2"/>
      <w:sz w:val="21"/>
    </w:rPr>
  </w:style>
  <w:style w:type="character" w:customStyle="1" w:styleId="62">
    <w:name w:val="正文缩进2格 Char"/>
    <w:link w:val="63"/>
    <w:qFormat/>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semiHidden/>
    <w:qFormat/>
    <w:uiPriority w:val="99"/>
    <w:rPr>
      <w:rFonts w:ascii="Times New Roman" w:hAnsi="Times New Roman"/>
      <w:kern w:val="2"/>
      <w:sz w:val="24"/>
      <w:szCs w:val="24"/>
    </w:rPr>
  </w:style>
  <w:style w:type="character" w:customStyle="1" w:styleId="65">
    <w:name w:val="正文文本缩进 Char"/>
    <w:qFormat/>
    <w:uiPriority w:val="0"/>
    <w:rPr>
      <w:rFonts w:ascii="Times New Roman" w:hAnsi="Times New Roman" w:eastAsia="宋体" w:cs="Times New Roman"/>
      <w:szCs w:val="20"/>
      <w:lang w:val="en-US" w:eastAsia="zh-CN"/>
    </w:rPr>
  </w:style>
  <w:style w:type="character" w:customStyle="1" w:styleId="66">
    <w:name w:val="批注框文本 字符1"/>
    <w:semiHidden/>
    <w:qFormat/>
    <w:uiPriority w:val="99"/>
    <w:rPr>
      <w:rFonts w:ascii="宋体" w:hAnsi="Calibri" w:eastAsia="宋体" w:cs="Times New Roman"/>
      <w:kern w:val="0"/>
      <w:sz w:val="18"/>
      <w:szCs w:val="18"/>
    </w:rPr>
  </w:style>
  <w:style w:type="character" w:customStyle="1" w:styleId="67">
    <w:name w:val="List Paragraph Char"/>
    <w:link w:val="68"/>
    <w:qFormat/>
    <w:uiPriority w:val="34"/>
    <w:rPr>
      <w:rFonts w:ascii="Calibri" w:hAnsi="Calibri"/>
    </w:rPr>
  </w:style>
  <w:style w:type="paragraph" w:customStyle="1" w:styleId="68">
    <w:name w:val="列出段落1"/>
    <w:basedOn w:val="1"/>
    <w:link w:val="67"/>
    <w:qFormat/>
    <w:uiPriority w:val="34"/>
    <w:pPr>
      <w:ind w:firstLine="420" w:firstLineChars="200"/>
    </w:pPr>
    <w:rPr>
      <w:rFonts w:ascii="Calibri" w:hAnsi="Calibri"/>
    </w:rPr>
  </w:style>
  <w:style w:type="character" w:customStyle="1" w:styleId="69">
    <w:name w:val="标书正文 字符"/>
    <w:link w:val="70"/>
    <w:qFormat/>
    <w:uiPriority w:val="0"/>
    <w:rPr>
      <w:rFonts w:ascii="Calibri" w:hAnsi="Calibri" w:eastAsia="仿宋"/>
      <w:sz w:val="24"/>
      <w:szCs w:val="21"/>
    </w:rPr>
  </w:style>
  <w:style w:type="paragraph" w:customStyle="1" w:styleId="70">
    <w:name w:val="标书正文"/>
    <w:basedOn w:val="1"/>
    <w:link w:val="69"/>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semiHidden/>
    <w:qFormat/>
    <w:uiPriority w:val="99"/>
    <w:rPr>
      <w:rFonts w:ascii="Times New Roman" w:hAnsi="Times New Roman"/>
      <w:kern w:val="2"/>
      <w:sz w:val="24"/>
      <w:szCs w:val="24"/>
    </w:rPr>
  </w:style>
  <w:style w:type="character" w:customStyle="1" w:styleId="72">
    <w:name w:val="页脚 Char"/>
    <w:qFormat/>
    <w:uiPriority w:val="0"/>
    <w:rPr>
      <w:kern w:val="2"/>
      <w:sz w:val="18"/>
      <w:szCs w:val="18"/>
    </w:rPr>
  </w:style>
  <w:style w:type="character" w:customStyle="1" w:styleId="73">
    <w:name w:val="neir1"/>
    <w:qFormat/>
    <w:uiPriority w:val="0"/>
    <w:rPr>
      <w:rFonts w:hint="default" w:ascii="ˎ̥" w:hAnsi="ˎ̥"/>
      <w:color w:val="333333"/>
      <w:sz w:val="21"/>
      <w:szCs w:val="21"/>
      <w:u w:val="none"/>
    </w:rPr>
  </w:style>
  <w:style w:type="character" w:customStyle="1" w:styleId="74">
    <w:name w:val="批注框文本 Char1"/>
    <w:link w:val="25"/>
    <w:qFormat/>
    <w:uiPriority w:val="0"/>
    <w:rPr>
      <w:rFonts w:ascii="Times New Roman" w:hAnsi="Times New Roman" w:eastAsia="宋体" w:cs="Times New Roman"/>
      <w:sz w:val="18"/>
      <w:szCs w:val="18"/>
    </w:rPr>
  </w:style>
  <w:style w:type="character" w:customStyle="1" w:styleId="75">
    <w:name w:val="正文文本 3 字符1"/>
    <w:semiHidden/>
    <w:qFormat/>
    <w:uiPriority w:val="99"/>
    <w:rPr>
      <w:rFonts w:ascii="宋体" w:hAnsi="Calibri" w:eastAsia="宋体" w:cs="Times New Roman"/>
      <w:kern w:val="0"/>
      <w:sz w:val="16"/>
      <w:szCs w:val="16"/>
    </w:rPr>
  </w:style>
  <w:style w:type="character" w:customStyle="1" w:styleId="76">
    <w:name w:val="正文文本 字符3"/>
    <w:semiHidden/>
    <w:qFormat/>
    <w:uiPriority w:val="99"/>
    <w:rPr>
      <w:rFonts w:ascii="宋体" w:hAnsi="Calibri" w:eastAsia="宋体" w:cs="Times New Roman"/>
      <w:kern w:val="0"/>
      <w:sz w:val="24"/>
      <w:szCs w:val="24"/>
    </w:rPr>
  </w:style>
  <w:style w:type="character" w:customStyle="1" w:styleId="77">
    <w:name w:val="日期 字符1"/>
    <w:semiHidden/>
    <w:qFormat/>
    <w:uiPriority w:val="99"/>
    <w:rPr>
      <w:rFonts w:ascii="宋体" w:hAnsi="Calibri" w:eastAsia="宋体" w:cs="Times New Roman"/>
      <w:kern w:val="0"/>
      <w:sz w:val="24"/>
      <w:szCs w:val="24"/>
    </w:rPr>
  </w:style>
  <w:style w:type="character" w:customStyle="1" w:styleId="78">
    <w:name w:val="页脚 Char2"/>
    <w:link w:val="26"/>
    <w:qFormat/>
    <w:uiPriority w:val="99"/>
    <w:rPr>
      <w:rFonts w:ascii="宋体" w:eastAsia="宋体"/>
      <w:sz w:val="18"/>
      <w:szCs w:val="18"/>
    </w:rPr>
  </w:style>
  <w:style w:type="character" w:customStyle="1" w:styleId="79">
    <w:name w:val="吉奥正文 Char"/>
    <w:link w:val="80"/>
    <w:qFormat/>
    <w:locked/>
    <w:uiPriority w:val="0"/>
    <w:rPr>
      <w:rFonts w:eastAsia="仿宋_GB2312"/>
      <w:sz w:val="28"/>
    </w:rPr>
  </w:style>
  <w:style w:type="paragraph" w:customStyle="1" w:styleId="80">
    <w:name w:val="吉奥正文"/>
    <w:basedOn w:val="1"/>
    <w:link w:val="7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qFormat/>
    <w:uiPriority w:val="99"/>
    <w:rPr>
      <w:rFonts w:ascii="宋体" w:hAnsi="Times New Roman" w:eastAsia="宋体" w:cs="Times New Roman"/>
      <w:kern w:val="0"/>
      <w:sz w:val="18"/>
      <w:szCs w:val="18"/>
    </w:rPr>
  </w:style>
  <w:style w:type="character" w:customStyle="1" w:styleId="82">
    <w:name w:val="标题 字符"/>
    <w:qFormat/>
    <w:uiPriority w:val="10"/>
    <w:rPr>
      <w:rFonts w:ascii="Cambria" w:hAnsi="Cambria" w:eastAsia="宋体" w:cs="Times New Roman"/>
      <w:b/>
      <w:bCs/>
      <w:kern w:val="0"/>
      <w:sz w:val="32"/>
      <w:szCs w:val="32"/>
      <w:lang w:val="en-US" w:eastAsia="zh-CN"/>
    </w:rPr>
  </w:style>
  <w:style w:type="character" w:customStyle="1" w:styleId="83">
    <w:name w:val="题注 Char"/>
    <w:link w:val="14"/>
    <w:qFormat/>
    <w:uiPriority w:val="0"/>
    <w:rPr>
      <w:rFonts w:ascii="Arial" w:hAnsi="Arial" w:eastAsia="黑体" w:cs="Arial"/>
    </w:rPr>
  </w:style>
  <w:style w:type="character" w:customStyle="1" w:styleId="84">
    <w:name w:val="批注文字 字符2"/>
    <w:qFormat/>
    <w:uiPriority w:val="99"/>
    <w:rPr>
      <w:rFonts w:ascii="宋体" w:hAnsi="Times New Roman" w:eastAsia="宋体" w:cs="Times New Roman"/>
      <w:kern w:val="0"/>
      <w:sz w:val="24"/>
      <w:szCs w:val="24"/>
    </w:rPr>
  </w:style>
  <w:style w:type="character" w:customStyle="1" w:styleId="85">
    <w:name w:val="批注主题 字符1"/>
    <w:semiHidden/>
    <w:qFormat/>
    <w:uiPriority w:val="99"/>
    <w:rPr>
      <w:rFonts w:ascii="宋体" w:hAnsi="Calibri" w:eastAsia="宋体" w:cs="Times New Roman"/>
      <w:b/>
      <w:bCs/>
      <w:kern w:val="0"/>
      <w:sz w:val="24"/>
      <w:szCs w:val="24"/>
    </w:rPr>
  </w:style>
  <w:style w:type="character" w:customStyle="1" w:styleId="86">
    <w:name w:val="HTML 预设格式 Char"/>
    <w:link w:val="32"/>
    <w:qFormat/>
    <w:uiPriority w:val="99"/>
    <w:rPr>
      <w:rFonts w:ascii="Arial" w:hAnsi="Arial" w:eastAsia="宋体" w:cs="Arial"/>
      <w:szCs w:val="21"/>
    </w:rPr>
  </w:style>
  <w:style w:type="character" w:customStyle="1" w:styleId="87">
    <w:name w:val="标题 3.1 Char"/>
    <w:link w:val="88"/>
    <w:qFormat/>
    <w:uiPriority w:val="0"/>
    <w:rPr>
      <w:rFonts w:ascii="宋体" w:hAnsi="宋体"/>
      <w:b/>
      <w:bCs/>
      <w:sz w:val="32"/>
      <w:szCs w:val="32"/>
    </w:rPr>
  </w:style>
  <w:style w:type="paragraph" w:customStyle="1" w:styleId="88">
    <w:name w:val="标题 3.1"/>
    <w:basedOn w:val="6"/>
    <w:link w:val="87"/>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semiHidden/>
    <w:qFormat/>
    <w:uiPriority w:val="99"/>
    <w:rPr>
      <w:rFonts w:ascii="Courier New" w:hAnsi="Courier New" w:eastAsia="宋体" w:cs="Courier New"/>
      <w:kern w:val="0"/>
      <w:sz w:val="20"/>
      <w:szCs w:val="20"/>
    </w:rPr>
  </w:style>
  <w:style w:type="character" w:customStyle="1" w:styleId="90">
    <w:name w:val="批注文字 字符1"/>
    <w:qFormat/>
    <w:uiPriority w:val="0"/>
    <w:rPr>
      <w:rFonts w:eastAsia="宋体"/>
      <w:kern w:val="2"/>
      <w:sz w:val="24"/>
      <w:szCs w:val="24"/>
      <w:lang w:val="en-US" w:eastAsia="zh-CN" w:bidi="ar-SA"/>
    </w:rPr>
  </w:style>
  <w:style w:type="character" w:customStyle="1" w:styleId="91">
    <w:name w:val="正文文本缩进 字符2"/>
    <w:semiHidden/>
    <w:qFormat/>
    <w:uiPriority w:val="99"/>
    <w:rPr>
      <w:rFonts w:ascii="宋体" w:hAnsi="Calibri" w:eastAsia="宋体" w:cs="Times New Roman"/>
      <w:kern w:val="0"/>
      <w:sz w:val="24"/>
      <w:szCs w:val="24"/>
    </w:rPr>
  </w:style>
  <w:style w:type="character" w:customStyle="1" w:styleId="92">
    <w:name w:val="正文文本缩进 Char1"/>
    <w:link w:val="20"/>
    <w:qFormat/>
    <w:uiPriority w:val="0"/>
    <w:rPr>
      <w:rFonts w:ascii="Times New Roman" w:hAnsi="Times New Roman" w:eastAsia="宋体" w:cs="Times New Roman"/>
      <w:szCs w:val="20"/>
    </w:rPr>
  </w:style>
  <w:style w:type="character" w:customStyle="1" w:styleId="93">
    <w:name w:val="普通(网站) Char1"/>
    <w:link w:val="33"/>
    <w:qFormat/>
    <w:locked/>
    <w:uiPriority w:val="0"/>
    <w:rPr>
      <w:rFonts w:ascii="宋体" w:hAnsi="宋体"/>
      <w:sz w:val="15"/>
      <w:szCs w:val="15"/>
    </w:rPr>
  </w:style>
  <w:style w:type="character" w:customStyle="1" w:styleId="94">
    <w:name w:val="模板正文 Char"/>
    <w:link w:val="10"/>
    <w:qFormat/>
    <w:uiPriority w:val="0"/>
    <w:rPr>
      <w:rFonts w:ascii="宋体" w:eastAsia="仿宋"/>
      <w:sz w:val="24"/>
      <w:szCs w:val="21"/>
    </w:rPr>
  </w:style>
  <w:style w:type="character" w:customStyle="1" w:styleId="95">
    <w:name w:val="批注主题 Char"/>
    <w:semiHidden/>
    <w:qFormat/>
    <w:uiPriority w:val="99"/>
    <w:rPr>
      <w:b/>
      <w:bCs/>
      <w:kern w:val="2"/>
      <w:sz w:val="21"/>
    </w:rPr>
  </w:style>
  <w:style w:type="character" w:customStyle="1" w:styleId="96">
    <w:name w:val="正文文本 Char1"/>
    <w:qFormat/>
    <w:uiPriority w:val="0"/>
    <w:rPr>
      <w:rFonts w:ascii="宋体" w:hAnsi="Times New Roman" w:eastAsia="宋体" w:cs="Times New Roman"/>
      <w:kern w:val="0"/>
      <w:sz w:val="24"/>
      <w:szCs w:val="24"/>
    </w:rPr>
  </w:style>
  <w:style w:type="character" w:customStyle="1" w:styleId="97">
    <w:name w:val="正文文本 字符1"/>
    <w:qFormat/>
    <w:uiPriority w:val="99"/>
    <w:rPr>
      <w:rFonts w:ascii="宋体" w:eastAsia="宋体"/>
      <w:b/>
      <w:bCs/>
      <w:sz w:val="84"/>
      <w:szCs w:val="84"/>
      <w:lang w:val="zh-CN"/>
    </w:rPr>
  </w:style>
  <w:style w:type="character" w:customStyle="1" w:styleId="98">
    <w:name w:val="标题 1 Char"/>
    <w:qFormat/>
    <w:uiPriority w:val="9"/>
    <w:rPr>
      <w:rFonts w:ascii="宋体" w:hAnsi="Times New Roman" w:eastAsia="宋体" w:cs="Times New Roman"/>
      <w:kern w:val="0"/>
      <w:sz w:val="24"/>
      <w:szCs w:val="24"/>
    </w:rPr>
  </w:style>
  <w:style w:type="character" w:customStyle="1" w:styleId="99">
    <w:name w:val="正文文本 Char2"/>
    <w:qFormat/>
    <w:uiPriority w:val="99"/>
    <w:rPr>
      <w:rFonts w:ascii="宋体" w:eastAsia="宋体"/>
      <w:b/>
      <w:bCs/>
      <w:sz w:val="84"/>
      <w:szCs w:val="84"/>
      <w:lang w:val="zh-CN"/>
    </w:rPr>
  </w:style>
  <w:style w:type="character" w:customStyle="1" w:styleId="100">
    <w:name w:val="纯文本 Char2"/>
    <w:link w:val="22"/>
    <w:qFormat/>
    <w:uiPriority w:val="0"/>
    <w:rPr>
      <w:rFonts w:ascii="宋体" w:hAnsi="Courier New" w:eastAsia="宋体"/>
    </w:rPr>
  </w:style>
  <w:style w:type="character" w:customStyle="1" w:styleId="101">
    <w:name w:val="正文文本缩进 2 Char"/>
    <w:link w:val="24"/>
    <w:qFormat/>
    <w:uiPriority w:val="0"/>
    <w:rPr>
      <w:rFonts w:ascii="宋体" w:hAnsi="Times New Roman" w:eastAsia="宋体" w:cs="Times New Roman"/>
      <w:szCs w:val="20"/>
    </w:rPr>
  </w:style>
  <w:style w:type="character" w:customStyle="1" w:styleId="102">
    <w:name w:val="HTML Markup"/>
    <w:qFormat/>
    <w:uiPriority w:val="0"/>
    <w:rPr>
      <w:vanish/>
      <w:color w:val="FF0000"/>
    </w:rPr>
  </w:style>
  <w:style w:type="character" w:customStyle="1" w:styleId="103">
    <w:name w:val="页眉 Char1"/>
    <w:qFormat/>
    <w:uiPriority w:val="0"/>
    <w:rPr>
      <w:rFonts w:ascii="宋体" w:hAnsi="Times New Roman" w:eastAsia="宋体" w:cs="Times New Roman"/>
      <w:kern w:val="0"/>
      <w:sz w:val="18"/>
      <w:szCs w:val="18"/>
    </w:rPr>
  </w:style>
  <w:style w:type="character" w:customStyle="1" w:styleId="104">
    <w:name w:val="font11"/>
    <w:basedOn w:val="39"/>
    <w:qFormat/>
    <w:uiPriority w:val="0"/>
    <w:rPr>
      <w:rFonts w:hint="eastAsia" w:ascii="宋体" w:hAnsi="宋体" w:eastAsia="宋体" w:cs="宋体"/>
      <w:color w:val="FF0000"/>
      <w:sz w:val="22"/>
      <w:szCs w:val="22"/>
      <w:u w:val="none"/>
    </w:rPr>
  </w:style>
  <w:style w:type="character" w:customStyle="1" w:styleId="105">
    <w:name w:val="style61"/>
    <w:qFormat/>
    <w:uiPriority w:val="0"/>
    <w:rPr>
      <w:b/>
      <w:bCs/>
    </w:rPr>
  </w:style>
  <w:style w:type="character" w:customStyle="1" w:styleId="106">
    <w:name w:val="表头文字 Char"/>
    <w:link w:val="107"/>
    <w:qFormat/>
    <w:uiPriority w:val="0"/>
    <w:rPr>
      <w:rFonts w:eastAsia="仿宋_GB2312"/>
      <w:b/>
      <w:sz w:val="28"/>
      <w:szCs w:val="21"/>
    </w:rPr>
  </w:style>
  <w:style w:type="paragraph" w:customStyle="1" w:styleId="107">
    <w:name w:val="表头文字"/>
    <w:basedOn w:val="1"/>
    <w:link w:val="106"/>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Char1"/>
    <w:link w:val="23"/>
    <w:qFormat/>
    <w:uiPriority w:val="99"/>
    <w:rPr>
      <w:rFonts w:ascii="宋体" w:hAnsi="Times New Roman" w:eastAsia="宋体" w:cs="Times New Roman"/>
      <w:b/>
      <w:bCs/>
      <w:szCs w:val="21"/>
      <w:lang w:val="zh-CN"/>
    </w:rPr>
  </w:style>
  <w:style w:type="character" w:customStyle="1" w:styleId="109">
    <w:name w:val="纯文本 Char1"/>
    <w:qFormat/>
    <w:uiPriority w:val="0"/>
    <w:rPr>
      <w:rFonts w:ascii="宋体" w:hAnsi="Courier New" w:eastAsia="宋体" w:cs="Courier New"/>
      <w:kern w:val="0"/>
      <w:szCs w:val="21"/>
    </w:rPr>
  </w:style>
  <w:style w:type="character" w:customStyle="1" w:styleId="110">
    <w:name w:val="批注主题 Char1"/>
    <w:link w:val="35"/>
    <w:qFormat/>
    <w:uiPriority w:val="99"/>
    <w:rPr>
      <w:rFonts w:ascii="宋体" w:hAnsi="Times New Roman" w:eastAsia="宋体" w:cs="Times New Roman"/>
      <w:b/>
      <w:bCs/>
      <w:kern w:val="0"/>
      <w:sz w:val="24"/>
      <w:szCs w:val="24"/>
    </w:rPr>
  </w:style>
  <w:style w:type="character" w:customStyle="1" w:styleId="111">
    <w:name w:val="纯文本 字符"/>
    <w:qFormat/>
    <w:uiPriority w:val="99"/>
    <w:rPr>
      <w:rFonts w:ascii="宋体" w:hAnsi="Courier New" w:eastAsia="宋体" w:cs="Times New Roman"/>
      <w:szCs w:val="20"/>
      <w:lang w:val="en-US" w:eastAsia="zh-CN"/>
    </w:rPr>
  </w:style>
  <w:style w:type="character" w:customStyle="1" w:styleId="112">
    <w:name w:val="font71"/>
    <w:basedOn w:val="39"/>
    <w:qFormat/>
    <w:uiPriority w:val="0"/>
    <w:rPr>
      <w:rFonts w:hint="eastAsia" w:ascii="宋体" w:hAnsi="宋体" w:eastAsia="宋体" w:cs="宋体"/>
      <w:color w:val="FF0000"/>
      <w:sz w:val="18"/>
      <w:szCs w:val="18"/>
      <w:u w:val="none"/>
    </w:rPr>
  </w:style>
  <w:style w:type="character" w:customStyle="1" w:styleId="113">
    <w:name w:val="font21"/>
    <w:qFormat/>
    <w:uiPriority w:val="0"/>
    <w:rPr>
      <w:rFonts w:hint="eastAsia" w:ascii="宋体" w:hAnsi="宋体" w:eastAsia="宋体" w:cs="宋体"/>
      <w:b/>
      <w:color w:val="000000"/>
      <w:sz w:val="21"/>
      <w:szCs w:val="21"/>
      <w:u w:val="none"/>
    </w:rPr>
  </w:style>
  <w:style w:type="character" w:customStyle="1" w:styleId="114">
    <w:name w:val="纯文本 字符3"/>
    <w:semiHidden/>
    <w:qFormat/>
    <w:uiPriority w:val="99"/>
    <w:rPr>
      <w:rFonts w:ascii="等线" w:hAnsi="Courier New" w:cs="Courier New"/>
      <w:kern w:val="0"/>
      <w:sz w:val="24"/>
      <w:szCs w:val="24"/>
    </w:rPr>
  </w:style>
  <w:style w:type="character" w:customStyle="1" w:styleId="115">
    <w:name w:val="font31"/>
    <w:qFormat/>
    <w:uiPriority w:val="0"/>
    <w:rPr>
      <w:rFonts w:hint="eastAsia" w:ascii="宋体" w:hAnsi="宋体" w:eastAsia="宋体" w:cs="宋体"/>
      <w:color w:val="000000"/>
      <w:sz w:val="18"/>
      <w:szCs w:val="18"/>
      <w:u w:val="none"/>
    </w:rPr>
  </w:style>
  <w:style w:type="character" w:customStyle="1" w:styleId="116">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qFormat/>
    <w:locked/>
    <w:uiPriority w:val="0"/>
    <w:rPr>
      <w:rFonts w:ascii="宋体" w:hAnsi="宋体"/>
      <w:sz w:val="15"/>
      <w:szCs w:val="15"/>
    </w:rPr>
  </w:style>
  <w:style w:type="character" w:customStyle="1" w:styleId="118">
    <w:name w:val="正文文本 Char3"/>
    <w:link w:val="19"/>
    <w:qFormat/>
    <w:uiPriority w:val="99"/>
    <w:rPr>
      <w:rFonts w:ascii="宋体" w:eastAsia="宋体"/>
      <w:b/>
      <w:bCs/>
      <w:sz w:val="84"/>
      <w:szCs w:val="84"/>
      <w:lang w:val="zh-CN"/>
    </w:rPr>
  </w:style>
  <w:style w:type="character" w:customStyle="1" w:styleId="119">
    <w:name w:val="标题 5 Char"/>
    <w:semiHidden/>
    <w:qFormat/>
    <w:uiPriority w:val="9"/>
    <w:rPr>
      <w:b/>
      <w:bCs/>
      <w:kern w:val="2"/>
      <w:sz w:val="28"/>
      <w:szCs w:val="28"/>
    </w:rPr>
  </w:style>
  <w:style w:type="character" w:customStyle="1" w:styleId="120">
    <w:name w:val="页眉 Char2"/>
    <w:link w:val="27"/>
    <w:qFormat/>
    <w:uiPriority w:val="99"/>
    <w:rPr>
      <w:rFonts w:ascii="宋体" w:eastAsia="宋体"/>
      <w:sz w:val="18"/>
      <w:szCs w:val="18"/>
    </w:rPr>
  </w:style>
  <w:style w:type="character" w:customStyle="1" w:styleId="121">
    <w:name w:val="表格文字 Char"/>
    <w:link w:val="122"/>
    <w:qFormat/>
    <w:uiPriority w:val="0"/>
    <w:rPr>
      <w:rFonts w:eastAsia="仿宋_GB2312"/>
      <w:sz w:val="28"/>
      <w:szCs w:val="24"/>
    </w:rPr>
  </w:style>
  <w:style w:type="paragraph" w:customStyle="1" w:styleId="122">
    <w:name w:val="表格文字"/>
    <w:basedOn w:val="1"/>
    <w:link w:val="121"/>
    <w:qFormat/>
    <w:uiPriority w:val="0"/>
    <w:rPr>
      <w:rFonts w:eastAsia="仿宋_GB2312"/>
      <w:sz w:val="28"/>
      <w:szCs w:val="24"/>
    </w:rPr>
  </w:style>
  <w:style w:type="character" w:customStyle="1" w:styleId="123">
    <w:name w:val="标题 字符2"/>
    <w:qFormat/>
    <w:uiPriority w:val="10"/>
    <w:rPr>
      <w:rFonts w:ascii="等线 Light" w:hAnsi="等线 Light" w:eastAsia="等线 Light" w:cs="Times New Roman"/>
      <w:b/>
      <w:bCs/>
      <w:kern w:val="0"/>
      <w:sz w:val="32"/>
      <w:szCs w:val="32"/>
    </w:rPr>
  </w:style>
  <w:style w:type="character" w:customStyle="1" w:styleId="124">
    <w:name w:val="正文缩进2格 Char Char"/>
    <w:qFormat/>
    <w:uiPriority w:val="0"/>
    <w:rPr>
      <w:rFonts w:ascii="仿宋_GB2312" w:hAnsi="宋体" w:eastAsia="仿宋_GB2312"/>
      <w:kern w:val="2"/>
      <w:sz w:val="31"/>
      <w:szCs w:val="28"/>
      <w:lang w:val="en-US" w:eastAsia="zh-CN" w:bidi="ar-SA"/>
    </w:rPr>
  </w:style>
  <w:style w:type="character" w:customStyle="1" w:styleId="125">
    <w:name w:val="小 Char"/>
    <w:qFormat/>
    <w:uiPriority w:val="0"/>
    <w:rPr>
      <w:rFonts w:ascii="宋体" w:hAnsi="Courier New" w:eastAsia="宋体"/>
      <w:kern w:val="2"/>
      <w:sz w:val="21"/>
      <w:lang w:val="en-US" w:eastAsia="zh-CN" w:bidi="ar-SA"/>
    </w:rPr>
  </w:style>
  <w:style w:type="character" w:customStyle="1" w:styleId="126">
    <w:name w:val="themebody1"/>
    <w:qFormat/>
    <w:uiPriority w:val="0"/>
    <w:rPr>
      <w:color w:val="FFFFFF"/>
    </w:rPr>
  </w:style>
  <w:style w:type="character" w:customStyle="1" w:styleId="127">
    <w:name w:val="页脚 字符1"/>
    <w:semiHidden/>
    <w:qFormat/>
    <w:uiPriority w:val="99"/>
    <w:rPr>
      <w:rFonts w:ascii="宋体" w:hAnsi="Calibri" w:eastAsia="宋体" w:cs="Times New Roman"/>
      <w:kern w:val="0"/>
      <w:sz w:val="18"/>
      <w:szCs w:val="18"/>
    </w:rPr>
  </w:style>
  <w:style w:type="character" w:customStyle="1" w:styleId="128">
    <w:name w:val="列出段落 Char"/>
    <w:link w:val="129"/>
    <w:qFormat/>
    <w:uiPriority w:val="34"/>
    <w:rPr>
      <w:kern w:val="2"/>
      <w:sz w:val="21"/>
      <w:szCs w:val="22"/>
    </w:rPr>
  </w:style>
  <w:style w:type="paragraph" w:styleId="129">
    <w:name w:val="List Paragraph"/>
    <w:basedOn w:val="1"/>
    <w:link w:val="128"/>
    <w:qFormat/>
    <w:uiPriority w:val="34"/>
    <w:pPr>
      <w:ind w:firstLine="420" w:firstLineChars="200"/>
    </w:pPr>
  </w:style>
  <w:style w:type="character" w:customStyle="1" w:styleId="130">
    <w:name w:val="正文文本 Char"/>
    <w:qFormat/>
    <w:uiPriority w:val="99"/>
    <w:rPr>
      <w:rFonts w:ascii="宋体" w:eastAsia="宋体"/>
      <w:b/>
      <w:bCs/>
      <w:sz w:val="84"/>
      <w:szCs w:val="84"/>
      <w:lang w:val="zh-CN"/>
    </w:rPr>
  </w:style>
  <w:style w:type="character" w:customStyle="1" w:styleId="131">
    <w:name w:val="页眉 字符1"/>
    <w:semiHidden/>
    <w:qFormat/>
    <w:uiPriority w:val="99"/>
    <w:rPr>
      <w:rFonts w:ascii="宋体" w:hAnsi="Calibri" w:eastAsia="宋体" w:cs="Times New Roman"/>
      <w:kern w:val="0"/>
      <w:sz w:val="18"/>
      <w:szCs w:val="18"/>
    </w:rPr>
  </w:style>
  <w:style w:type="character" w:customStyle="1" w:styleId="132">
    <w:name w:val="标题 5 Char1"/>
    <w:link w:val="8"/>
    <w:qFormat/>
    <w:uiPriority w:val="9"/>
    <w:rPr>
      <w:rFonts w:ascii="宋体" w:hAnsi="Calibri" w:eastAsia="宋体" w:cs="Times New Roman"/>
      <w:b/>
      <w:bCs/>
      <w:kern w:val="0"/>
      <w:sz w:val="28"/>
      <w:szCs w:val="28"/>
    </w:rPr>
  </w:style>
  <w:style w:type="character" w:customStyle="1" w:styleId="133">
    <w:name w:val="keyfeatures1"/>
    <w:qFormat/>
    <w:uiPriority w:val="0"/>
    <w:rPr>
      <w:rFonts w:hint="default" w:ascii="Arial" w:hAnsi="Arial" w:cs="Arial"/>
      <w:color w:val="003366"/>
      <w:sz w:val="17"/>
      <w:szCs w:val="17"/>
      <w:u w:val="none"/>
    </w:rPr>
  </w:style>
  <w:style w:type="character" w:customStyle="1" w:styleId="134">
    <w:name w:val="题注 字符"/>
    <w:qFormat/>
    <w:uiPriority w:val="0"/>
    <w:rPr>
      <w:rFonts w:ascii="宋体" w:hAnsi="宋体" w:eastAsia="黑体" w:cs="Times New Roman"/>
      <w:b/>
      <w:szCs w:val="21"/>
    </w:rPr>
  </w:style>
  <w:style w:type="character" w:customStyle="1" w:styleId="135">
    <w:name w:val="标题 4 Char"/>
    <w:qFormat/>
    <w:uiPriority w:val="0"/>
    <w:rPr>
      <w:rFonts w:ascii="宋体" w:hAnsi="宋体" w:eastAsia="宋体"/>
      <w:b/>
      <w:kern w:val="2"/>
      <w:sz w:val="21"/>
      <w:szCs w:val="24"/>
      <w:lang w:val="en-US" w:eastAsia="zh-CN" w:bidi="ar-SA"/>
    </w:rPr>
  </w:style>
  <w:style w:type="character" w:customStyle="1" w:styleId="136">
    <w:name w:val="批注文字 字符3"/>
    <w:semiHidden/>
    <w:qFormat/>
    <w:uiPriority w:val="99"/>
    <w:rPr>
      <w:rFonts w:ascii="宋体" w:hAnsi="Calibri" w:eastAsia="宋体" w:cs="Times New Roman"/>
      <w:kern w:val="0"/>
      <w:sz w:val="24"/>
      <w:szCs w:val="24"/>
    </w:rPr>
  </w:style>
  <w:style w:type="character" w:customStyle="1" w:styleId="137">
    <w:name w:val="纯文本 字符1"/>
    <w:qFormat/>
    <w:uiPriority w:val="0"/>
    <w:rPr>
      <w:rFonts w:ascii="宋体" w:hAnsi="Courier New" w:eastAsia="宋体"/>
      <w:kern w:val="2"/>
      <w:sz w:val="21"/>
      <w:szCs w:val="24"/>
      <w:lang w:val="en-US" w:eastAsia="zh-CN" w:bidi="ar-SA"/>
    </w:rPr>
  </w:style>
  <w:style w:type="character" w:customStyle="1" w:styleId="138">
    <w:name w:val="列出段落 Char1"/>
    <w:qFormat/>
    <w:uiPriority w:val="34"/>
    <w:rPr>
      <w:rFonts w:ascii="宋体"/>
      <w:sz w:val="24"/>
      <w:szCs w:val="24"/>
    </w:rPr>
  </w:style>
  <w:style w:type="character" w:customStyle="1" w:styleId="139">
    <w:name w:val="彩色列表 - 着色 1 字符"/>
    <w:link w:val="140"/>
    <w:qFormat/>
    <w:uiPriority w:val="0"/>
    <w:rPr>
      <w:rFonts w:ascii="Calibri" w:hAnsi="Calibri"/>
    </w:rPr>
  </w:style>
  <w:style w:type="paragraph" w:customStyle="1" w:styleId="140">
    <w:name w:val="彩色列表 - 着色 11"/>
    <w:basedOn w:val="1"/>
    <w:link w:val="139"/>
    <w:qFormat/>
    <w:uiPriority w:val="0"/>
    <w:pPr>
      <w:ind w:firstLine="420" w:firstLineChars="200"/>
    </w:pPr>
    <w:rPr>
      <w:rFonts w:ascii="Calibri" w:hAnsi="Calibri"/>
    </w:rPr>
  </w:style>
  <w:style w:type="character" w:customStyle="1" w:styleId="141">
    <w:name w:val="纯文本 Char"/>
    <w:qFormat/>
    <w:uiPriority w:val="0"/>
    <w:rPr>
      <w:rFonts w:ascii="宋体" w:hAnsi="Courier New" w:eastAsia="宋体" w:cs="Times New Roman"/>
      <w:szCs w:val="20"/>
    </w:rPr>
  </w:style>
  <w:style w:type="character" w:customStyle="1" w:styleId="142">
    <w:name w:val="标题 6 Char"/>
    <w:link w:val="9"/>
    <w:qFormat/>
    <w:uiPriority w:val="9"/>
    <w:rPr>
      <w:rFonts w:ascii="Times New Roman" w:hAnsi="Calibri" w:eastAsia="黑体" w:cs="Times New Roman"/>
      <w:b/>
      <w:bCs/>
      <w:kern w:val="0"/>
      <w:sz w:val="28"/>
      <w:szCs w:val="24"/>
    </w:rPr>
  </w:style>
  <w:style w:type="character" w:customStyle="1" w:styleId="143">
    <w:name w:val="正文文本 2 Char"/>
    <w:link w:val="31"/>
    <w:qFormat/>
    <w:uiPriority w:val="0"/>
    <w:rPr>
      <w:rFonts w:ascii="Arial" w:hAnsi="Arial" w:eastAsia="宋体" w:cs="Times New Roman"/>
      <w:color w:val="000000"/>
      <w:szCs w:val="24"/>
    </w:rPr>
  </w:style>
  <w:style w:type="character" w:customStyle="1" w:styleId="144">
    <w:name w:val="标题 3 Char"/>
    <w:link w:val="6"/>
    <w:qFormat/>
    <w:uiPriority w:val="0"/>
    <w:rPr>
      <w:rFonts w:ascii="宋体" w:hAnsi="Calibri" w:eastAsia="宋体" w:cs="Times New Roman"/>
      <w:kern w:val="0"/>
      <w:sz w:val="24"/>
      <w:szCs w:val="24"/>
    </w:rPr>
  </w:style>
  <w:style w:type="character" w:customStyle="1" w:styleId="145">
    <w:name w:val="正文文本缩进 2 字符1"/>
    <w:semiHidden/>
    <w:qFormat/>
    <w:uiPriority w:val="99"/>
    <w:rPr>
      <w:rFonts w:ascii="宋体" w:hAnsi="Calibri" w:eastAsia="宋体" w:cs="Times New Roman"/>
      <w:kern w:val="0"/>
      <w:sz w:val="24"/>
      <w:szCs w:val="24"/>
    </w:rPr>
  </w:style>
  <w:style w:type="character" w:customStyle="1" w:styleId="146">
    <w:name w:val="正文文本缩进 3 字符1"/>
    <w:semiHidden/>
    <w:qFormat/>
    <w:uiPriority w:val="99"/>
    <w:rPr>
      <w:rFonts w:ascii="宋体" w:hAnsi="Calibri" w:eastAsia="宋体" w:cs="Times New Roman"/>
      <w:kern w:val="0"/>
      <w:sz w:val="16"/>
      <w:szCs w:val="16"/>
    </w:rPr>
  </w:style>
  <w:style w:type="character" w:customStyle="1" w:styleId="147">
    <w:name w:val="正文文本 2 字符1"/>
    <w:semiHidden/>
    <w:qFormat/>
    <w:uiPriority w:val="99"/>
    <w:rPr>
      <w:rFonts w:ascii="宋体" w:hAnsi="Calibri" w:eastAsia="宋体" w:cs="Times New Roman"/>
      <w:kern w:val="0"/>
      <w:sz w:val="24"/>
      <w:szCs w:val="24"/>
    </w:rPr>
  </w:style>
  <w:style w:type="character" w:customStyle="1" w:styleId="148">
    <w:name w:val="eschoolnr"/>
    <w:qFormat/>
    <w:uiPriority w:val="0"/>
    <w:rPr>
      <w:sz w:val="23"/>
      <w:szCs w:val="23"/>
    </w:rPr>
  </w:style>
  <w:style w:type="character" w:customStyle="1" w:styleId="149">
    <w:name w:val="访问过的超链接1"/>
    <w:qFormat/>
    <w:uiPriority w:val="0"/>
    <w:rPr>
      <w:rFonts w:ascii="Arial" w:hAnsi="Arial" w:cs="Arial"/>
      <w:color w:val="000000"/>
      <w:sz w:val="20"/>
      <w:szCs w:val="20"/>
      <w:u w:val="none"/>
    </w:rPr>
  </w:style>
  <w:style w:type="character" w:customStyle="1" w:styleId="150">
    <w:name w:val="标题 1 Char1"/>
    <w:link w:val="4"/>
    <w:qFormat/>
    <w:uiPriority w:val="0"/>
    <w:rPr>
      <w:rFonts w:ascii="宋体" w:hAnsi="Calibri" w:eastAsia="宋体" w:cs="Times New Roman"/>
      <w:kern w:val="0"/>
      <w:sz w:val="24"/>
      <w:szCs w:val="24"/>
    </w:rPr>
  </w:style>
  <w:style w:type="character" w:customStyle="1" w:styleId="151">
    <w:name w:val="批注文字 Char1"/>
    <w:qFormat/>
    <w:uiPriority w:val="0"/>
    <w:rPr>
      <w:kern w:val="2"/>
      <w:sz w:val="21"/>
      <w:szCs w:val="24"/>
    </w:rPr>
  </w:style>
  <w:style w:type="character" w:customStyle="1" w:styleId="152">
    <w:name w:val="批注框文本 Char"/>
    <w:semiHidden/>
    <w:qFormat/>
    <w:uiPriority w:val="99"/>
    <w:rPr>
      <w:kern w:val="2"/>
      <w:sz w:val="18"/>
      <w:szCs w:val="18"/>
    </w:rPr>
  </w:style>
  <w:style w:type="character" w:customStyle="1" w:styleId="153">
    <w:name w:val="DAS正文 Char"/>
    <w:qFormat/>
    <w:uiPriority w:val="0"/>
    <w:rPr>
      <w:rFonts w:ascii="Verdana" w:hAnsi="Verdana" w:eastAsia="宋体"/>
      <w:kern w:val="2"/>
      <w:sz w:val="21"/>
      <w:szCs w:val="21"/>
      <w:lang w:val="en-US" w:eastAsia="zh-CN" w:bidi="ar-SA"/>
    </w:rPr>
  </w:style>
  <w:style w:type="character" w:customStyle="1" w:styleId="154">
    <w:name w:val="正文文本缩进 3 Char"/>
    <w:link w:val="30"/>
    <w:qFormat/>
    <w:uiPriority w:val="0"/>
    <w:rPr>
      <w:rFonts w:ascii="宋体" w:hAnsi="Times New Roman" w:eastAsia="宋体" w:cs="Times New Roman"/>
      <w:kern w:val="0"/>
      <w:sz w:val="24"/>
      <w:szCs w:val="24"/>
    </w:rPr>
  </w:style>
  <w:style w:type="character" w:customStyle="1" w:styleId="155">
    <w:name w:val="页眉 Char"/>
    <w:qFormat/>
    <w:uiPriority w:val="99"/>
    <w:rPr>
      <w:kern w:val="2"/>
      <w:sz w:val="18"/>
      <w:szCs w:val="18"/>
    </w:rPr>
  </w:style>
  <w:style w:type="character" w:customStyle="1" w:styleId="156">
    <w:name w:val="正文文本 3 Char"/>
    <w:link w:val="18"/>
    <w:qFormat/>
    <w:uiPriority w:val="0"/>
    <w:rPr>
      <w:rFonts w:ascii="宋体" w:hAnsi="Times New Roman" w:eastAsia="宋体" w:cs="Times New Roman"/>
      <w:b/>
      <w:bCs/>
      <w:color w:val="3366FF"/>
      <w:sz w:val="52"/>
      <w:szCs w:val="52"/>
      <w:lang w:val="zh-CN"/>
    </w:rPr>
  </w:style>
  <w:style w:type="character" w:customStyle="1" w:styleId="157">
    <w:name w:val="HTML 预设格式 字符1"/>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qFormat/>
    <w:uiPriority w:val="0"/>
    <w:rPr>
      <w:rFonts w:ascii="宋体"/>
      <w:sz w:val="24"/>
      <w:szCs w:val="24"/>
    </w:rPr>
  </w:style>
  <w:style w:type="paragraph" w:customStyle="1" w:styleId="159">
    <w:name w:val="彩色列表 - 强调文字颜色 11"/>
    <w:basedOn w:val="1"/>
    <w:link w:val="158"/>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39"/>
    <w:semiHidden/>
    <w:qFormat/>
    <w:uiPriority w:val="99"/>
    <w:rPr>
      <w:rFonts w:hAnsi="Courier New" w:cs="Courier New" w:asciiTheme="minorEastAsia"/>
    </w:rPr>
  </w:style>
  <w:style w:type="character" w:customStyle="1" w:styleId="163">
    <w:name w:val="批注文字 Char2"/>
    <w:basedOn w:val="39"/>
    <w:link w:val="17"/>
    <w:semiHidden/>
    <w:qFormat/>
    <w:uiPriority w:val="99"/>
  </w:style>
  <w:style w:type="character" w:customStyle="1" w:styleId="164">
    <w:name w:val="批注主题 字符2"/>
    <w:basedOn w:val="163"/>
    <w:semiHidden/>
    <w:qFormat/>
    <w:uiPriority w:val="99"/>
    <w:rPr>
      <w:b/>
      <w:bCs/>
    </w:rPr>
  </w:style>
  <w:style w:type="character" w:customStyle="1" w:styleId="165">
    <w:name w:val="标题 字符3"/>
    <w:basedOn w:val="39"/>
    <w:qFormat/>
    <w:uiPriority w:val="10"/>
    <w:rPr>
      <w:rFonts w:asciiTheme="majorHAnsi" w:hAnsiTheme="majorHAnsi" w:eastAsiaTheme="majorEastAsia" w:cstheme="majorBidi"/>
      <w:b/>
      <w:bCs/>
      <w:sz w:val="32"/>
      <w:szCs w:val="32"/>
    </w:rPr>
  </w:style>
  <w:style w:type="character" w:customStyle="1" w:styleId="166">
    <w:name w:val="正文文本缩进 字符3"/>
    <w:basedOn w:val="39"/>
    <w:semiHidden/>
    <w:qFormat/>
    <w:uiPriority w:val="99"/>
  </w:style>
  <w:style w:type="character" w:customStyle="1" w:styleId="167">
    <w:name w:val="正文文本 字符4"/>
    <w:basedOn w:val="39"/>
    <w:semiHidden/>
    <w:qFormat/>
    <w:uiPriority w:val="99"/>
  </w:style>
  <w:style w:type="character" w:customStyle="1" w:styleId="168">
    <w:name w:val="正文文本缩进 3 字符2"/>
    <w:basedOn w:val="39"/>
    <w:semiHidden/>
    <w:qFormat/>
    <w:uiPriority w:val="99"/>
    <w:rPr>
      <w:sz w:val="16"/>
      <w:szCs w:val="16"/>
    </w:rPr>
  </w:style>
  <w:style w:type="character" w:customStyle="1" w:styleId="169">
    <w:name w:val="页眉 字符2"/>
    <w:basedOn w:val="39"/>
    <w:semiHidden/>
    <w:qFormat/>
    <w:uiPriority w:val="99"/>
    <w:rPr>
      <w:sz w:val="18"/>
      <w:szCs w:val="18"/>
    </w:rPr>
  </w:style>
  <w:style w:type="character" w:customStyle="1" w:styleId="170">
    <w:name w:val="批注框文本 字符2"/>
    <w:basedOn w:val="39"/>
    <w:semiHidden/>
    <w:qFormat/>
    <w:uiPriority w:val="99"/>
    <w:rPr>
      <w:sz w:val="18"/>
      <w:szCs w:val="18"/>
    </w:rPr>
  </w:style>
  <w:style w:type="character" w:customStyle="1" w:styleId="171">
    <w:name w:val="HTML 预设格式 字符2"/>
    <w:basedOn w:val="39"/>
    <w:semiHidden/>
    <w:qFormat/>
    <w:uiPriority w:val="99"/>
    <w:rPr>
      <w:rFonts w:ascii="Courier New" w:hAnsi="Courier New" w:cs="Courier New"/>
      <w:sz w:val="20"/>
      <w:szCs w:val="20"/>
    </w:rPr>
  </w:style>
  <w:style w:type="character" w:customStyle="1" w:styleId="172">
    <w:name w:val="页脚 字符2"/>
    <w:basedOn w:val="39"/>
    <w:semiHidden/>
    <w:qFormat/>
    <w:uiPriority w:val="99"/>
    <w:rPr>
      <w:sz w:val="18"/>
      <w:szCs w:val="18"/>
    </w:rPr>
  </w:style>
  <w:style w:type="character" w:customStyle="1" w:styleId="173">
    <w:name w:val="正文文本缩进 2 字符2"/>
    <w:basedOn w:val="39"/>
    <w:semiHidden/>
    <w:qFormat/>
    <w:uiPriority w:val="99"/>
  </w:style>
  <w:style w:type="character" w:customStyle="1" w:styleId="174">
    <w:name w:val="正文文本 3 字符2"/>
    <w:basedOn w:val="39"/>
    <w:semiHidden/>
    <w:qFormat/>
    <w:uiPriority w:val="99"/>
    <w:rPr>
      <w:sz w:val="16"/>
      <w:szCs w:val="16"/>
    </w:rPr>
  </w:style>
  <w:style w:type="character" w:customStyle="1" w:styleId="175">
    <w:name w:val="正文文本 2 字符2"/>
    <w:basedOn w:val="39"/>
    <w:semiHidden/>
    <w:qFormat/>
    <w:uiPriority w:val="99"/>
  </w:style>
  <w:style w:type="paragraph" w:customStyle="1" w:styleId="176">
    <w:name w:val="WPSOffice手动目录 3"/>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39"/>
    <w:semiHidden/>
    <w:qFormat/>
    <w:uiPriority w:val="99"/>
    <w:rPr>
      <w:rFonts w:ascii="Microsoft YaHei UI" w:eastAsia="Microsoft YaHei UI"/>
      <w:sz w:val="18"/>
      <w:szCs w:val="18"/>
    </w:rPr>
  </w:style>
  <w:style w:type="character" w:customStyle="1" w:styleId="179">
    <w:name w:val="日期 字符2"/>
    <w:basedOn w:val="39"/>
    <w:semiHidden/>
    <w:qFormat/>
    <w:uiPriority w:val="99"/>
  </w:style>
  <w:style w:type="paragraph" w:customStyle="1" w:styleId="180">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1">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semiHidden/>
    <w:qFormat/>
    <w:uiPriority w:val="99"/>
    <w:rPr>
      <w:rFonts w:ascii="宋体" w:hAnsi="Calibri" w:eastAsia="宋体" w:cs="Times New Roman"/>
      <w:sz w:val="24"/>
      <w:szCs w:val="24"/>
      <w:lang w:val="en-US" w:eastAsia="zh-CN" w:bidi="ar-SA"/>
    </w:rPr>
  </w:style>
  <w:style w:type="paragraph" w:customStyle="1" w:styleId="183">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4"/>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9"/>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4"/>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2"/>
    <w:qFormat/>
    <w:uiPriority w:val="0"/>
    <w:pPr>
      <w:jc w:val="center"/>
    </w:pPr>
    <w:rPr>
      <w:rFonts w:cs="宋体"/>
      <w:szCs w:val="20"/>
    </w:rPr>
  </w:style>
  <w:style w:type="paragraph" w:customStyle="1" w:styleId="198">
    <w:name w:val="正文缩进4格"/>
    <w:basedOn w:val="63"/>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8"/>
    <w:link w:val="36"/>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列出段落2"/>
    <w:basedOn w:val="1"/>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 w:type="paragraph" w:customStyle="1" w:styleId="203">
    <w:name w:val="普通正文"/>
    <w:basedOn w:val="1"/>
    <w:qFormat/>
    <w:uiPriority w:val="0"/>
    <w:pPr>
      <w:autoSpaceDE w:val="0"/>
      <w:autoSpaceDN w:val="0"/>
      <w:adjustRightInd w:val="0"/>
      <w:spacing w:line="360" w:lineRule="auto"/>
      <w:ind w:firstLine="480" w:firstLineChars="200"/>
      <w:jc w:val="left"/>
    </w:pPr>
    <w:rPr>
      <w:rFonts w:ascii="Times New Roman" w:hAnsi="Times New Roman" w:eastAsia="宋体" w:cs="Times New Roman"/>
      <w:kern w:val="0"/>
      <w:sz w:val="20"/>
      <w:szCs w:val="20"/>
    </w:rPr>
  </w:style>
  <w:style w:type="character" w:customStyle="1" w:styleId="204">
    <w:name w:val="font61"/>
    <w:basedOn w:val="39"/>
    <w:qFormat/>
    <w:uiPriority w:val="0"/>
    <w:rPr>
      <w:rFonts w:hint="eastAsia" w:ascii="宋体" w:hAnsi="宋体" w:eastAsia="宋体" w:cs="宋体"/>
      <w:color w:val="000000"/>
      <w:sz w:val="21"/>
      <w:szCs w:val="21"/>
      <w:u w:val="none"/>
    </w:rPr>
  </w:style>
  <w:style w:type="character" w:customStyle="1" w:styleId="205">
    <w:name w:val="font81"/>
    <w:basedOn w:val="39"/>
    <w:qFormat/>
    <w:uiPriority w:val="0"/>
    <w:rPr>
      <w:rFonts w:hint="default" w:ascii="Times New Roman" w:hAnsi="Times New Roman" w:cs="Times New Roman"/>
      <w:color w:val="000000"/>
      <w:sz w:val="21"/>
      <w:szCs w:val="21"/>
      <w:u w:val="none"/>
    </w:rPr>
  </w:style>
  <w:style w:type="character" w:customStyle="1" w:styleId="206">
    <w:name w:val="font91"/>
    <w:basedOn w:val="39"/>
    <w:qFormat/>
    <w:uiPriority w:val="0"/>
    <w:rPr>
      <w:rFonts w:hint="default" w:ascii="Times New Roman" w:hAnsi="Times New Roman" w:cs="Times New Roman"/>
      <w:color w:val="000000"/>
      <w:sz w:val="21"/>
      <w:szCs w:val="21"/>
      <w:u w:val="none"/>
      <w:vertAlign w:val="superscript"/>
    </w:rPr>
  </w:style>
  <w:style w:type="character" w:customStyle="1" w:styleId="207">
    <w:name w:val="font51"/>
    <w:basedOn w:val="39"/>
    <w:qFormat/>
    <w:uiPriority w:val="0"/>
    <w:rPr>
      <w:rFonts w:hint="eastAsia" w:ascii="宋体" w:hAnsi="宋体" w:eastAsia="宋体" w:cs="宋体"/>
      <w:color w:val="000000"/>
      <w:sz w:val="21"/>
      <w:szCs w:val="21"/>
      <w:u w:val="none"/>
    </w:rPr>
  </w:style>
  <w:style w:type="character" w:customStyle="1" w:styleId="208">
    <w:name w:val="font181"/>
    <w:basedOn w:val="39"/>
    <w:qFormat/>
    <w:uiPriority w:val="0"/>
    <w:rPr>
      <w:rFonts w:hint="eastAsia" w:ascii="仿宋_GB2312" w:eastAsia="仿宋_GB2312" w:cs="仿宋_GB2312"/>
      <w:color w:val="000000"/>
      <w:sz w:val="24"/>
      <w:szCs w:val="24"/>
      <w:u w:val="none"/>
    </w:rPr>
  </w:style>
  <w:style w:type="character" w:customStyle="1" w:styleId="209">
    <w:name w:val="font171"/>
    <w:basedOn w:val="39"/>
    <w:qFormat/>
    <w:uiPriority w:val="0"/>
    <w:rPr>
      <w:rFonts w:hint="eastAsia" w:ascii="仿宋_GB2312" w:eastAsia="仿宋_GB2312" w:cs="仿宋_GB2312"/>
      <w:color w:val="000000"/>
      <w:sz w:val="24"/>
      <w:szCs w:val="24"/>
      <w:u w:val="none"/>
    </w:rPr>
  </w:style>
  <w:style w:type="paragraph" w:customStyle="1" w:styleId="210">
    <w:name w:val="样式 宋体 行距: 1.5 倍行距"/>
    <w:basedOn w:val="1"/>
    <w:qFormat/>
    <w:uiPriority w:val="0"/>
    <w:pPr>
      <w:jc w:val="center"/>
    </w:pPr>
    <w:rPr>
      <w:b/>
    </w:rPr>
  </w:style>
  <w:style w:type="paragraph" w:customStyle="1" w:styleId="211">
    <w:name w:val="文档正文"/>
    <w:basedOn w:val="1"/>
    <w:qFormat/>
    <w:uiPriority w:val="0"/>
    <w:pPr>
      <w:spacing w:line="360" w:lineRule="auto"/>
    </w:pPr>
    <w:rPr>
      <w:rFonts w:cs="Arial"/>
      <w:bCs/>
    </w:rPr>
  </w:style>
  <w:style w:type="character" w:customStyle="1" w:styleId="212">
    <w:name w:val="font41"/>
    <w:basedOn w:val="3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223</Pages>
  <Words>139789</Words>
  <Characters>165119</Characters>
  <Lines>1</Lines>
  <Paragraphs>1</Paragraphs>
  <TotalTime>1</TotalTime>
  <ScaleCrop>false</ScaleCrop>
  <LinksUpToDate>false</LinksUpToDate>
  <CharactersWithSpaces>168838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penguin</cp:lastModifiedBy>
  <cp:lastPrinted>2025-04-22T00:46:00Z</cp:lastPrinted>
  <dcterms:modified xsi:type="dcterms:W3CDTF">2025-06-11T08:38:13Z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923A749F2A264DB485DF24CE6D8E212D_13</vt:lpwstr>
  </property>
  <property fmtid="{D5CDD505-2E9C-101B-9397-08002B2CF9AE}" pid="4" name="KSOTemplateDocerSaveRecord">
    <vt:lpwstr>eyJoZGlkIjoiNmM1ZWQ2NDIwZWU4NTA1MTY3Mzg4NjI2NzMyZTM5OWMiLCJ1c2VySWQiOiIxNjAyOTY4Mzc5In0=</vt:lpwstr>
  </property>
</Properties>
</file>