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EA1237">
      <w:pPr>
        <w:autoSpaceDE w:val="0"/>
        <w:autoSpaceDN w:val="0"/>
        <w:adjustRightInd w:val="0"/>
        <w:spacing w:line="276" w:lineRule="auto"/>
        <w:ind w:left="357" w:leftChars="170" w:right="-23" w:rightChars="-11"/>
        <w:jc w:val="center"/>
        <w:rPr>
          <w:rFonts w:hint="eastAsia" w:ascii="宋体" w:hAnsi="宋体" w:eastAsia="宋体" w:cs="宋体"/>
          <w:b/>
          <w:bCs/>
          <w:color w:val="auto"/>
          <w:kern w:val="0"/>
          <w:sz w:val="52"/>
          <w:szCs w:val="52"/>
          <w:highlight w:val="none"/>
          <w:lang w:val="en-US" w:eastAsia="zh-CN"/>
        </w:rPr>
      </w:pPr>
    </w:p>
    <w:p w14:paraId="5D07CC5E">
      <w:pPr>
        <w:autoSpaceDE w:val="0"/>
        <w:autoSpaceDN w:val="0"/>
        <w:adjustRightInd w:val="0"/>
        <w:spacing w:line="276" w:lineRule="auto"/>
        <w:ind w:left="357" w:leftChars="170" w:right="-23" w:rightChars="-11"/>
        <w:jc w:val="center"/>
        <w:rPr>
          <w:rFonts w:hint="eastAsia" w:ascii="宋体" w:hAnsi="宋体" w:eastAsia="宋体" w:cs="宋体"/>
          <w:b/>
          <w:bCs/>
          <w:color w:val="auto"/>
          <w:kern w:val="0"/>
          <w:sz w:val="60"/>
          <w:szCs w:val="60"/>
          <w:highlight w:val="none"/>
          <w:lang w:val="zh-CN"/>
        </w:rPr>
      </w:pPr>
      <w:r>
        <w:rPr>
          <w:rFonts w:hint="eastAsia" w:ascii="宋体" w:hAnsi="宋体" w:eastAsia="宋体" w:cs="宋体"/>
          <w:b/>
          <w:bCs/>
          <w:color w:val="auto"/>
          <w:kern w:val="0"/>
          <w:sz w:val="60"/>
          <w:szCs w:val="60"/>
          <w:highlight w:val="none"/>
          <w:lang w:val="zh-CN"/>
        </w:rPr>
        <w:t>东莞市碧水信息科技有限公司施工劳务分包供应商库采购项目</w:t>
      </w:r>
    </w:p>
    <w:p w14:paraId="335A17B4">
      <w:pPr>
        <w:autoSpaceDE w:val="0"/>
        <w:autoSpaceDN w:val="0"/>
        <w:adjustRightInd w:val="0"/>
        <w:spacing w:line="276" w:lineRule="auto"/>
        <w:ind w:left="357" w:leftChars="170" w:right="-23" w:rightChars="-11"/>
        <w:jc w:val="center"/>
        <w:rPr>
          <w:rFonts w:hint="eastAsia" w:ascii="宋体" w:hAnsi="宋体" w:eastAsia="宋体" w:cs="宋体"/>
          <w:b/>
          <w:bCs/>
          <w:color w:val="auto"/>
          <w:kern w:val="0"/>
          <w:sz w:val="44"/>
          <w:szCs w:val="44"/>
          <w:highlight w:val="none"/>
          <w:lang w:val="en-US" w:eastAsia="zh-CN"/>
        </w:rPr>
      </w:pPr>
    </w:p>
    <w:p w14:paraId="74EC92E2">
      <w:pPr>
        <w:autoSpaceDE w:val="0"/>
        <w:autoSpaceDN w:val="0"/>
        <w:adjustRightInd w:val="0"/>
        <w:ind w:right="-23" w:rightChars="-11"/>
        <w:jc w:val="left"/>
        <w:rPr>
          <w:rFonts w:hint="eastAsia" w:ascii="宋体" w:hAnsi="宋体" w:eastAsia="宋体" w:cs="宋体"/>
          <w:b/>
          <w:bCs/>
          <w:color w:val="auto"/>
          <w:sz w:val="44"/>
          <w:szCs w:val="44"/>
          <w:highlight w:val="none"/>
          <w:lang w:val="zh-CN"/>
        </w:rPr>
      </w:pPr>
    </w:p>
    <w:p w14:paraId="021FCA4D">
      <w:pPr>
        <w:autoSpaceDE w:val="0"/>
        <w:autoSpaceDN w:val="0"/>
        <w:adjustRightInd w:val="0"/>
        <w:ind w:right="-23" w:rightChars="-11"/>
        <w:jc w:val="center"/>
        <w:rPr>
          <w:rFonts w:hint="eastAsia" w:ascii="宋体" w:hAnsi="宋体" w:eastAsia="宋体" w:cs="Times New Roman"/>
          <w:b/>
          <w:bCs/>
          <w:color w:val="auto"/>
          <w:sz w:val="72"/>
          <w:szCs w:val="72"/>
          <w:highlight w:val="none"/>
          <w:lang w:val="zh-CN"/>
        </w:rPr>
      </w:pPr>
    </w:p>
    <w:p w14:paraId="559EDC4C">
      <w:pPr>
        <w:autoSpaceDE w:val="0"/>
        <w:autoSpaceDN w:val="0"/>
        <w:adjustRightInd w:val="0"/>
        <w:ind w:right="-23" w:rightChars="-11"/>
        <w:jc w:val="center"/>
        <w:rPr>
          <w:rFonts w:hint="eastAsia" w:ascii="宋体" w:hAnsi="宋体" w:eastAsia="宋体" w:cs="Times New Roman"/>
          <w:b/>
          <w:bCs/>
          <w:color w:val="auto"/>
          <w:sz w:val="72"/>
          <w:szCs w:val="72"/>
          <w:highlight w:val="none"/>
          <w:lang w:val="zh-CN"/>
        </w:rPr>
      </w:pPr>
      <w:r>
        <w:rPr>
          <w:rFonts w:hint="eastAsia" w:ascii="宋体" w:hAnsi="宋体" w:eastAsia="宋体" w:cs="Times New Roman"/>
          <w:b/>
          <w:bCs/>
          <w:color w:val="auto"/>
          <w:sz w:val="72"/>
          <w:szCs w:val="72"/>
          <w:highlight w:val="none"/>
          <w:lang w:val="zh-CN"/>
        </w:rPr>
        <w:t>招</w:t>
      </w:r>
      <w:r>
        <w:rPr>
          <w:rFonts w:hint="eastAsia" w:ascii="宋体" w:hAnsi="宋体" w:eastAsia="宋体" w:cs="Times New Roman"/>
          <w:b/>
          <w:bCs/>
          <w:color w:val="auto"/>
          <w:sz w:val="72"/>
          <w:szCs w:val="72"/>
          <w:highlight w:val="none"/>
        </w:rPr>
        <w:t xml:space="preserve"> </w:t>
      </w:r>
      <w:r>
        <w:rPr>
          <w:rFonts w:hint="eastAsia" w:ascii="宋体" w:hAnsi="宋体" w:eastAsia="宋体" w:cs="Times New Roman"/>
          <w:b/>
          <w:bCs/>
          <w:color w:val="auto"/>
          <w:sz w:val="72"/>
          <w:szCs w:val="72"/>
          <w:highlight w:val="none"/>
          <w:lang w:val="zh-CN"/>
        </w:rPr>
        <w:t>标</w:t>
      </w:r>
      <w:r>
        <w:rPr>
          <w:rFonts w:hint="eastAsia" w:ascii="宋体" w:hAnsi="宋体" w:eastAsia="宋体" w:cs="Times New Roman"/>
          <w:b/>
          <w:bCs/>
          <w:color w:val="auto"/>
          <w:sz w:val="72"/>
          <w:szCs w:val="72"/>
          <w:highlight w:val="none"/>
        </w:rPr>
        <w:t xml:space="preserve"> </w:t>
      </w:r>
      <w:r>
        <w:rPr>
          <w:rFonts w:hint="eastAsia" w:ascii="宋体" w:hAnsi="宋体" w:eastAsia="宋体" w:cs="Times New Roman"/>
          <w:b/>
          <w:bCs/>
          <w:color w:val="auto"/>
          <w:sz w:val="72"/>
          <w:szCs w:val="72"/>
          <w:highlight w:val="none"/>
          <w:lang w:val="zh-CN"/>
        </w:rPr>
        <w:t>文</w:t>
      </w:r>
      <w:r>
        <w:rPr>
          <w:rFonts w:hint="eastAsia" w:ascii="宋体" w:hAnsi="宋体" w:eastAsia="宋体" w:cs="Times New Roman"/>
          <w:b/>
          <w:bCs/>
          <w:color w:val="auto"/>
          <w:sz w:val="72"/>
          <w:szCs w:val="72"/>
          <w:highlight w:val="none"/>
        </w:rPr>
        <w:t xml:space="preserve"> </w:t>
      </w:r>
      <w:r>
        <w:rPr>
          <w:rFonts w:hint="eastAsia" w:ascii="宋体" w:hAnsi="宋体" w:eastAsia="宋体" w:cs="Times New Roman"/>
          <w:b/>
          <w:bCs/>
          <w:color w:val="auto"/>
          <w:sz w:val="72"/>
          <w:szCs w:val="72"/>
          <w:highlight w:val="none"/>
          <w:lang w:val="zh-CN"/>
        </w:rPr>
        <w:t>件</w:t>
      </w:r>
    </w:p>
    <w:p w14:paraId="76E8C22D">
      <w:pPr>
        <w:autoSpaceDE w:val="0"/>
        <w:autoSpaceDN w:val="0"/>
        <w:adjustRightInd w:val="0"/>
        <w:ind w:right="-23" w:rightChars="-11"/>
        <w:jc w:val="center"/>
        <w:rPr>
          <w:rFonts w:hint="eastAsia" w:ascii="宋体" w:hAnsi="宋体" w:eastAsia="宋体" w:cs="宋体"/>
          <w:b/>
          <w:bCs/>
          <w:color w:val="auto"/>
          <w:sz w:val="32"/>
          <w:szCs w:val="32"/>
          <w:highlight w:val="none"/>
          <w:lang w:val="zh-CN"/>
        </w:rPr>
      </w:pPr>
    </w:p>
    <w:p w14:paraId="591BE585">
      <w:pPr>
        <w:autoSpaceDE w:val="0"/>
        <w:autoSpaceDN w:val="0"/>
        <w:adjustRightInd w:val="0"/>
        <w:ind w:right="-23" w:rightChars="-11"/>
        <w:jc w:val="center"/>
        <w:rPr>
          <w:rFonts w:hint="eastAsia" w:ascii="宋体" w:hAnsi="宋体" w:eastAsia="宋体" w:cs="宋体"/>
          <w:b/>
          <w:bCs/>
          <w:color w:val="auto"/>
          <w:sz w:val="44"/>
          <w:szCs w:val="44"/>
          <w:highlight w:val="none"/>
          <w:lang w:val="zh-CN"/>
        </w:rPr>
      </w:pPr>
    </w:p>
    <w:p w14:paraId="1B7FF494">
      <w:pPr>
        <w:autoSpaceDE w:val="0"/>
        <w:autoSpaceDN w:val="0"/>
        <w:adjustRightInd w:val="0"/>
        <w:ind w:right="-23" w:rightChars="-11"/>
        <w:jc w:val="left"/>
        <w:rPr>
          <w:rFonts w:hint="eastAsia" w:ascii="宋体" w:hAnsi="宋体" w:eastAsia="宋体" w:cs="宋体"/>
          <w:b/>
          <w:bCs/>
          <w:color w:val="auto"/>
          <w:sz w:val="32"/>
          <w:szCs w:val="32"/>
          <w:highlight w:val="none"/>
          <w:u w:val="single"/>
          <w:lang w:val="zh-CN"/>
        </w:rPr>
      </w:pPr>
    </w:p>
    <w:p w14:paraId="31A6C6EB">
      <w:pPr>
        <w:tabs>
          <w:tab w:val="left" w:pos="9240"/>
        </w:tabs>
        <w:autoSpaceDE w:val="0"/>
        <w:autoSpaceDN w:val="0"/>
        <w:adjustRightInd w:val="0"/>
        <w:spacing w:line="700" w:lineRule="exact"/>
        <w:ind w:right="-23" w:rightChars="-11"/>
        <w:jc w:val="left"/>
        <w:rPr>
          <w:rFonts w:hint="eastAsia" w:ascii="宋体" w:hAnsi="宋体" w:eastAsia="宋体" w:cs="宋体"/>
          <w:b/>
          <w:bCs/>
          <w:color w:val="auto"/>
          <w:sz w:val="32"/>
          <w:szCs w:val="32"/>
          <w:highlight w:val="none"/>
          <w:lang w:val="zh-CN"/>
        </w:rPr>
      </w:pPr>
    </w:p>
    <w:p w14:paraId="6783864B">
      <w:pPr>
        <w:autoSpaceDE w:val="0"/>
        <w:autoSpaceDN w:val="0"/>
        <w:adjustRightInd w:val="0"/>
        <w:spacing w:line="480" w:lineRule="auto"/>
        <w:ind w:left="1842" w:leftChars="877" w:firstLine="19" w:firstLineChars="6"/>
        <w:jc w:val="left"/>
        <w:rPr>
          <w:rFonts w:hint="eastAsia" w:ascii="宋体" w:hAnsi="宋体" w:eastAsia="宋体" w:cs="Times New Roman"/>
          <w:b/>
          <w:bCs/>
          <w:color w:val="auto"/>
          <w:sz w:val="32"/>
          <w:szCs w:val="32"/>
          <w:highlight w:val="none"/>
          <w:lang w:val="zh-CN"/>
        </w:rPr>
      </w:pPr>
      <w:r>
        <w:rPr>
          <w:rFonts w:hint="eastAsia" w:ascii="宋体" w:hAnsi="宋体" w:eastAsia="宋体" w:cs="Times New Roman"/>
          <w:b/>
          <w:bCs/>
          <w:color w:val="auto"/>
          <w:sz w:val="32"/>
          <w:szCs w:val="32"/>
          <w:highlight w:val="none"/>
          <w:lang w:val="zh-CN"/>
        </w:rPr>
        <w:t>招</w:t>
      </w:r>
      <w:r>
        <w:rPr>
          <w:rFonts w:hint="eastAsia" w:ascii="宋体" w:hAnsi="宋体" w:eastAsia="宋体" w:cs="Times New Roman"/>
          <w:b/>
          <w:bCs/>
          <w:color w:val="auto"/>
          <w:sz w:val="32"/>
          <w:szCs w:val="32"/>
          <w:highlight w:val="none"/>
        </w:rPr>
        <w:t xml:space="preserve"> </w:t>
      </w:r>
      <w:r>
        <w:rPr>
          <w:rFonts w:hint="eastAsia" w:ascii="宋体" w:hAnsi="宋体" w:eastAsia="宋体" w:cs="Times New Roman"/>
          <w:b/>
          <w:bCs/>
          <w:color w:val="auto"/>
          <w:sz w:val="32"/>
          <w:szCs w:val="32"/>
          <w:highlight w:val="none"/>
          <w:lang w:val="zh-CN"/>
        </w:rPr>
        <w:t>标</w:t>
      </w:r>
      <w:r>
        <w:rPr>
          <w:rFonts w:hint="eastAsia" w:ascii="宋体" w:hAnsi="宋体" w:eastAsia="宋体" w:cs="Times New Roman"/>
          <w:b/>
          <w:bCs/>
          <w:color w:val="auto"/>
          <w:sz w:val="32"/>
          <w:szCs w:val="32"/>
          <w:highlight w:val="none"/>
        </w:rPr>
        <w:t xml:space="preserve"> </w:t>
      </w:r>
      <w:r>
        <w:rPr>
          <w:rFonts w:hint="eastAsia" w:ascii="宋体" w:hAnsi="宋体" w:eastAsia="宋体" w:cs="Times New Roman"/>
          <w:b/>
          <w:bCs/>
          <w:color w:val="auto"/>
          <w:sz w:val="32"/>
          <w:szCs w:val="32"/>
          <w:highlight w:val="none"/>
          <w:lang w:val="zh-CN"/>
        </w:rPr>
        <w:t>编</w:t>
      </w:r>
      <w:r>
        <w:rPr>
          <w:rFonts w:hint="eastAsia" w:ascii="宋体" w:hAnsi="宋体" w:eastAsia="宋体" w:cs="Times New Roman"/>
          <w:b/>
          <w:bCs/>
          <w:color w:val="auto"/>
          <w:sz w:val="32"/>
          <w:szCs w:val="32"/>
          <w:highlight w:val="none"/>
        </w:rPr>
        <w:t xml:space="preserve"> </w:t>
      </w:r>
      <w:r>
        <w:rPr>
          <w:rFonts w:hint="eastAsia" w:ascii="宋体" w:hAnsi="宋体" w:eastAsia="宋体" w:cs="Times New Roman"/>
          <w:b/>
          <w:bCs/>
          <w:color w:val="auto"/>
          <w:sz w:val="32"/>
          <w:szCs w:val="32"/>
          <w:highlight w:val="none"/>
          <w:lang w:val="zh-CN"/>
        </w:rPr>
        <w:t>号：SSSSSC12500950</w:t>
      </w:r>
      <w:r>
        <w:rPr>
          <w:rFonts w:hint="eastAsia" w:ascii="宋体" w:hAnsi="宋体" w:eastAsia="宋体" w:cs="Times New Roman"/>
          <w:b/>
          <w:bCs/>
          <w:color w:val="auto"/>
          <w:sz w:val="32"/>
          <w:szCs w:val="32"/>
          <w:highlight w:val="none"/>
          <w:lang w:val="zh-CN"/>
        </w:rPr>
        <w:tab/>
      </w:r>
    </w:p>
    <w:p w14:paraId="3B516B43">
      <w:pPr>
        <w:autoSpaceDE w:val="0"/>
        <w:autoSpaceDN w:val="0"/>
        <w:adjustRightInd w:val="0"/>
        <w:spacing w:line="480" w:lineRule="auto"/>
        <w:ind w:left="1842" w:leftChars="877" w:firstLine="19" w:firstLineChars="6"/>
        <w:jc w:val="left"/>
        <w:rPr>
          <w:rFonts w:hint="eastAsia" w:ascii="宋体" w:hAnsi="宋体" w:eastAsia="宋体" w:cs="Times New Roman"/>
          <w:b/>
          <w:bCs/>
          <w:color w:val="auto"/>
          <w:sz w:val="32"/>
          <w:szCs w:val="32"/>
          <w:highlight w:val="none"/>
          <w:lang w:val="zh-CN"/>
        </w:rPr>
      </w:pPr>
      <w:r>
        <w:rPr>
          <w:rFonts w:hint="eastAsia" w:ascii="宋体" w:hAnsi="宋体" w:eastAsia="宋体" w:cs="Times New Roman"/>
          <w:b/>
          <w:bCs/>
          <w:color w:val="auto"/>
          <w:sz w:val="32"/>
          <w:szCs w:val="32"/>
          <w:highlight w:val="none"/>
          <w:lang w:val="zh-CN"/>
        </w:rPr>
        <w:t>招</w:t>
      </w:r>
      <w:r>
        <w:rPr>
          <w:rFonts w:hint="eastAsia" w:ascii="宋体" w:hAnsi="宋体" w:eastAsia="宋体" w:cs="Times New Roman"/>
          <w:b/>
          <w:bCs/>
          <w:color w:val="auto"/>
          <w:sz w:val="32"/>
          <w:szCs w:val="32"/>
          <w:highlight w:val="none"/>
        </w:rPr>
        <w:t xml:space="preserve"> </w:t>
      </w:r>
      <w:r>
        <w:rPr>
          <w:rFonts w:hint="eastAsia" w:ascii="宋体" w:hAnsi="宋体" w:eastAsia="宋体" w:cs="Times New Roman"/>
          <w:b/>
          <w:bCs/>
          <w:color w:val="auto"/>
          <w:sz w:val="32"/>
          <w:szCs w:val="32"/>
          <w:highlight w:val="none"/>
          <w:lang w:val="zh-CN"/>
        </w:rPr>
        <w:t>标</w:t>
      </w:r>
      <w:r>
        <w:rPr>
          <w:rFonts w:hint="eastAsia" w:ascii="宋体" w:hAnsi="宋体" w:eastAsia="宋体" w:cs="Times New Roman"/>
          <w:b/>
          <w:bCs/>
          <w:color w:val="auto"/>
          <w:sz w:val="32"/>
          <w:szCs w:val="32"/>
          <w:highlight w:val="none"/>
        </w:rPr>
        <w:t xml:space="preserve"> </w:t>
      </w:r>
      <w:r>
        <w:rPr>
          <w:rFonts w:hint="eastAsia" w:ascii="宋体" w:hAnsi="宋体" w:eastAsia="宋体" w:cs="Times New Roman"/>
          <w:b/>
          <w:bCs/>
          <w:color w:val="auto"/>
          <w:sz w:val="32"/>
          <w:szCs w:val="32"/>
          <w:highlight w:val="none"/>
          <w:lang w:val="zh-CN"/>
        </w:rPr>
        <w:t>人：东莞市碧水信息科技有限公司</w:t>
      </w:r>
    </w:p>
    <w:p w14:paraId="597BBDDC">
      <w:pPr>
        <w:autoSpaceDE w:val="0"/>
        <w:autoSpaceDN w:val="0"/>
        <w:adjustRightInd w:val="0"/>
        <w:spacing w:line="480" w:lineRule="auto"/>
        <w:ind w:left="1842" w:leftChars="877" w:firstLine="19" w:firstLineChars="6"/>
        <w:jc w:val="left"/>
        <w:rPr>
          <w:rFonts w:hint="eastAsia" w:ascii="宋体" w:hAnsi="宋体" w:eastAsia="宋体" w:cs="Times New Roman"/>
          <w:b/>
          <w:bCs/>
          <w:color w:val="auto"/>
          <w:kern w:val="0"/>
          <w:sz w:val="84"/>
          <w:szCs w:val="84"/>
          <w:highlight w:val="none"/>
          <w:lang w:val="zh-CN"/>
        </w:rPr>
      </w:pPr>
      <w:r>
        <w:rPr>
          <w:rFonts w:hint="eastAsia" w:ascii="宋体" w:hAnsi="宋体" w:eastAsia="宋体" w:cs="Times New Roman"/>
          <w:b/>
          <w:bCs/>
          <w:color w:val="auto"/>
          <w:sz w:val="32"/>
          <w:szCs w:val="32"/>
          <w:highlight w:val="none"/>
          <w:lang w:val="zh-CN"/>
        </w:rPr>
        <w:t>招标代理机构：广州宏达工程顾问集团有限公司</w:t>
      </w:r>
    </w:p>
    <w:p w14:paraId="03FB948D">
      <w:pPr>
        <w:jc w:val="center"/>
        <w:rPr>
          <w:rFonts w:hint="eastAsia" w:ascii="宋体" w:hAnsi="宋体" w:eastAsia="宋体"/>
          <w:b/>
          <w:bCs/>
          <w:color w:val="auto"/>
          <w:sz w:val="32"/>
          <w:szCs w:val="32"/>
          <w:highlight w:val="none"/>
        </w:rPr>
      </w:pPr>
      <w:bookmarkStart w:id="0" w:name="_Toc6471"/>
    </w:p>
    <w:p w14:paraId="647781C5">
      <w:pPr>
        <w:jc w:val="center"/>
        <w:rPr>
          <w:rFonts w:hint="eastAsia" w:ascii="宋体" w:hAnsi="宋体" w:eastAsia="宋体"/>
          <w:b/>
          <w:bCs/>
          <w:color w:val="auto"/>
          <w:sz w:val="32"/>
          <w:szCs w:val="32"/>
          <w:highlight w:val="none"/>
        </w:rPr>
      </w:pPr>
    </w:p>
    <w:p w14:paraId="773B7950">
      <w:pPr>
        <w:jc w:val="center"/>
        <w:rPr>
          <w:rFonts w:hint="eastAsia" w:ascii="宋体" w:hAnsi="宋体" w:eastAsia="宋体"/>
          <w:b/>
          <w:bCs/>
          <w:color w:val="auto"/>
          <w:sz w:val="32"/>
          <w:szCs w:val="32"/>
          <w:highlight w:val="none"/>
        </w:rPr>
      </w:pPr>
    </w:p>
    <w:p w14:paraId="53410304">
      <w:pPr>
        <w:jc w:val="center"/>
        <w:rPr>
          <w:rFonts w:hint="eastAsia" w:ascii="宋体" w:hAnsi="宋体" w:eastAsia="宋体"/>
          <w:b/>
          <w:bCs/>
          <w:color w:val="auto"/>
          <w:sz w:val="32"/>
          <w:szCs w:val="32"/>
          <w:highlight w:val="none"/>
        </w:rPr>
      </w:pPr>
    </w:p>
    <w:p w14:paraId="35E6B234">
      <w:pPr>
        <w:jc w:val="center"/>
        <w:rPr>
          <w:rFonts w:hint="eastAsia" w:ascii="宋体" w:hAnsi="宋体" w:eastAsia="宋体"/>
          <w:b/>
          <w:bCs/>
          <w:color w:val="auto"/>
          <w:sz w:val="32"/>
          <w:szCs w:val="32"/>
          <w:highlight w:val="none"/>
        </w:rPr>
      </w:pPr>
    </w:p>
    <w:p w14:paraId="04ACB342">
      <w:pPr>
        <w:jc w:val="center"/>
        <w:rPr>
          <w:rFonts w:hint="eastAsia" w:ascii="宋体" w:hAnsi="宋体" w:eastAsia="宋体"/>
          <w:b/>
          <w:bCs/>
          <w:color w:val="auto"/>
          <w:sz w:val="32"/>
          <w:szCs w:val="32"/>
          <w:highlight w:val="none"/>
          <w:lang w:val="zh-CN"/>
        </w:rPr>
      </w:pPr>
      <w:r>
        <w:rPr>
          <w:rFonts w:hint="eastAsia" w:ascii="宋体" w:hAnsi="宋体" w:eastAsia="宋体"/>
          <w:b/>
          <w:bCs/>
          <w:color w:val="auto"/>
          <w:sz w:val="32"/>
          <w:szCs w:val="32"/>
          <w:highlight w:val="none"/>
        </w:rPr>
        <w:t>2025</w:t>
      </w:r>
      <w:r>
        <w:rPr>
          <w:rFonts w:hint="eastAsia" w:ascii="宋体" w:hAnsi="宋体" w:eastAsia="宋体"/>
          <w:b/>
          <w:bCs/>
          <w:color w:val="auto"/>
          <w:sz w:val="32"/>
          <w:szCs w:val="32"/>
          <w:highlight w:val="none"/>
          <w:lang w:val="zh-CN"/>
        </w:rPr>
        <w:t>年</w:t>
      </w:r>
      <w:r>
        <w:rPr>
          <w:rFonts w:hint="eastAsia" w:ascii="宋体" w:hAnsi="宋体" w:eastAsia="宋体"/>
          <w:b/>
          <w:bCs/>
          <w:color w:val="auto"/>
          <w:sz w:val="32"/>
          <w:szCs w:val="32"/>
          <w:highlight w:val="none"/>
          <w:lang w:val="en-US" w:eastAsia="zh-CN"/>
        </w:rPr>
        <w:t>06</w:t>
      </w:r>
      <w:r>
        <w:rPr>
          <w:rFonts w:hint="eastAsia" w:ascii="宋体" w:hAnsi="宋体" w:eastAsia="宋体"/>
          <w:b/>
          <w:bCs/>
          <w:color w:val="auto"/>
          <w:sz w:val="32"/>
          <w:szCs w:val="32"/>
          <w:highlight w:val="none"/>
          <w:lang w:val="zh-CN"/>
        </w:rPr>
        <w:t>月</w:t>
      </w:r>
      <w:r>
        <w:rPr>
          <w:rFonts w:hint="eastAsia" w:ascii="宋体" w:hAnsi="宋体" w:eastAsia="宋体"/>
          <w:b/>
          <w:bCs/>
          <w:color w:val="auto"/>
          <w:sz w:val="32"/>
          <w:szCs w:val="32"/>
          <w:highlight w:val="none"/>
          <w:lang w:val="en-US" w:eastAsia="zh-CN"/>
        </w:rPr>
        <w:t>04</w:t>
      </w:r>
      <w:r>
        <w:rPr>
          <w:rFonts w:hint="eastAsia" w:ascii="宋体" w:hAnsi="宋体" w:eastAsia="宋体"/>
          <w:b/>
          <w:bCs/>
          <w:color w:val="auto"/>
          <w:sz w:val="32"/>
          <w:szCs w:val="32"/>
          <w:highlight w:val="none"/>
          <w:lang w:val="zh-CN"/>
        </w:rPr>
        <w:t>日</w:t>
      </w:r>
      <w:bookmarkEnd w:id="0"/>
    </w:p>
    <w:p w14:paraId="3EF2447C">
      <w:pPr>
        <w:rPr>
          <w:rFonts w:hint="eastAsia" w:ascii="宋体" w:hAnsi="宋体" w:eastAsia="宋体"/>
          <w:b/>
          <w:bCs/>
          <w:color w:val="auto"/>
          <w:sz w:val="32"/>
          <w:szCs w:val="32"/>
          <w:highlight w:val="none"/>
          <w:lang w:val="zh-CN"/>
        </w:rPr>
      </w:pPr>
      <w:r>
        <w:rPr>
          <w:rFonts w:hint="eastAsia" w:ascii="宋体" w:hAnsi="宋体" w:eastAsia="宋体"/>
          <w:b/>
          <w:bCs/>
          <w:color w:val="auto"/>
          <w:sz w:val="32"/>
          <w:szCs w:val="32"/>
          <w:highlight w:val="none"/>
          <w:lang w:val="zh-CN"/>
        </w:rPr>
        <w:br w:type="page"/>
      </w:r>
    </w:p>
    <w:p w14:paraId="5945BBDB">
      <w:pPr>
        <w:pageBreakBefore/>
        <w:tabs>
          <w:tab w:val="left" w:pos="1080"/>
        </w:tabs>
        <w:autoSpaceDE w:val="0"/>
        <w:autoSpaceDN w:val="0"/>
        <w:adjustRightInd w:val="0"/>
        <w:spacing w:line="360" w:lineRule="auto"/>
        <w:ind w:left="-167" w:leftChars="-100" w:hanging="43"/>
        <w:jc w:val="center"/>
        <w:outlineLvl w:val="0"/>
        <w:rPr>
          <w:rFonts w:hint="eastAsia" w:ascii="宋体" w:hAnsi="宋体" w:eastAsia="宋体" w:cs="宋体"/>
          <w:b/>
          <w:bCs/>
          <w:color w:val="auto"/>
          <w:kern w:val="44"/>
          <w:sz w:val="32"/>
          <w:szCs w:val="32"/>
          <w:highlight w:val="none"/>
          <w:lang w:val="zh-CN"/>
        </w:rPr>
      </w:pPr>
      <w:bookmarkStart w:id="1" w:name="_Toc16311"/>
      <w:r>
        <w:rPr>
          <w:rFonts w:hint="eastAsia" w:ascii="宋体" w:hAnsi="宋体" w:eastAsia="宋体" w:cs="宋体"/>
          <w:b/>
          <w:bCs/>
          <w:color w:val="auto"/>
          <w:kern w:val="44"/>
          <w:sz w:val="32"/>
          <w:szCs w:val="32"/>
          <w:highlight w:val="none"/>
          <w:lang w:val="zh-CN"/>
        </w:rPr>
        <w:t>重要提示</w:t>
      </w:r>
      <w:bookmarkEnd w:id="1"/>
    </w:p>
    <w:p w14:paraId="1FA3B0EC">
      <w:pPr>
        <w:pStyle w:val="2"/>
        <w:spacing w:line="360" w:lineRule="auto"/>
        <w:ind w:right="0" w:firstLine="480" w:firstLineChars="200"/>
        <w:jc w:val="both"/>
        <w:rPr>
          <w:rFonts w:hint="eastAsia"/>
          <w:b w:val="0"/>
          <w:bCs w:val="0"/>
          <w:color w:val="auto"/>
          <w:sz w:val="24"/>
          <w:szCs w:val="24"/>
          <w:highlight w:val="none"/>
        </w:rPr>
      </w:pPr>
      <w:r>
        <w:rPr>
          <w:rFonts w:hint="eastAsia"/>
          <w:b w:val="0"/>
          <w:bCs w:val="0"/>
          <w:color w:val="auto"/>
          <w:sz w:val="24"/>
          <w:szCs w:val="24"/>
          <w:highlight w:val="none"/>
        </w:rPr>
        <w:t>1.本次招标项目采用电子标书。</w:t>
      </w:r>
    </w:p>
    <w:p w14:paraId="09CBBB22">
      <w:pPr>
        <w:pStyle w:val="2"/>
        <w:spacing w:line="360" w:lineRule="auto"/>
        <w:ind w:right="0" w:firstLine="480" w:firstLineChars="200"/>
        <w:jc w:val="both"/>
        <w:rPr>
          <w:rFonts w:hint="eastAsia"/>
          <w:b w:val="0"/>
          <w:bCs w:val="0"/>
          <w:color w:val="auto"/>
          <w:sz w:val="24"/>
          <w:szCs w:val="24"/>
          <w:highlight w:val="none"/>
        </w:rPr>
      </w:pPr>
      <w:r>
        <w:rPr>
          <w:rFonts w:hint="eastAsia"/>
          <w:b w:val="0"/>
          <w:bCs w:val="0"/>
          <w:color w:val="auto"/>
          <w:sz w:val="24"/>
          <w:szCs w:val="24"/>
          <w:highlight w:val="none"/>
        </w:rPr>
        <w:t>2.投标人将被要求递交具备法律效力的电子投标文件。为此，投标人应当具备使用依法设立的电子认证服务提供者签发的电子签名认证证书对电子投标文件进行电子签名的能力。投标人可向依法设立的电子认证服务提供者申请办理电子签名认证证书（简称：数字证书，包括企业数字证书和个人数字证书）。</w:t>
      </w:r>
    </w:p>
    <w:p w14:paraId="76271306">
      <w:pPr>
        <w:pStyle w:val="2"/>
        <w:spacing w:line="360" w:lineRule="auto"/>
        <w:ind w:right="0" w:firstLine="480" w:firstLineChars="200"/>
        <w:jc w:val="both"/>
        <w:rPr>
          <w:rFonts w:hint="eastAsia"/>
          <w:b w:val="0"/>
          <w:bCs w:val="0"/>
          <w:color w:val="auto"/>
          <w:sz w:val="24"/>
          <w:szCs w:val="24"/>
          <w:highlight w:val="none"/>
        </w:rPr>
      </w:pPr>
      <w:r>
        <w:rPr>
          <w:rFonts w:hint="eastAsia"/>
          <w:b w:val="0"/>
          <w:bCs w:val="0"/>
          <w:color w:val="auto"/>
          <w:sz w:val="24"/>
          <w:szCs w:val="24"/>
          <w:highlight w:val="none"/>
        </w:rPr>
        <w:t>3.除特别说明外，招标文件相关条款中提及的以及第</w:t>
      </w:r>
      <w:r>
        <w:rPr>
          <w:rFonts w:hint="eastAsia"/>
          <w:b w:val="0"/>
          <w:bCs w:val="0"/>
          <w:color w:val="auto"/>
          <w:sz w:val="24"/>
          <w:szCs w:val="24"/>
          <w:highlight w:val="none"/>
          <w:lang w:val="en-US" w:eastAsia="zh-CN"/>
        </w:rPr>
        <w:t>五</w:t>
      </w:r>
      <w:r>
        <w:rPr>
          <w:rFonts w:hint="eastAsia"/>
          <w:b w:val="0"/>
          <w:bCs w:val="0"/>
          <w:color w:val="auto"/>
          <w:sz w:val="24"/>
          <w:szCs w:val="24"/>
          <w:highlight w:val="none"/>
        </w:rPr>
        <w:t>篇“投标文件格式”中包括但不限于投标人“企业数字证书电子签名”及“电子签名”等要求签名的均指由数字证书电子签名。</w:t>
      </w:r>
    </w:p>
    <w:p w14:paraId="0B8E86D1">
      <w:pPr>
        <w:pStyle w:val="2"/>
        <w:spacing w:line="360" w:lineRule="auto"/>
        <w:ind w:right="0" w:firstLine="480" w:firstLineChars="200"/>
        <w:jc w:val="both"/>
        <w:rPr>
          <w:rFonts w:hint="eastAsia"/>
          <w:b w:val="0"/>
          <w:bCs w:val="0"/>
          <w:color w:val="auto"/>
          <w:sz w:val="24"/>
          <w:szCs w:val="24"/>
          <w:highlight w:val="none"/>
        </w:rPr>
      </w:pPr>
      <w:r>
        <w:rPr>
          <w:rFonts w:hint="eastAsia"/>
          <w:b w:val="0"/>
          <w:bCs w:val="0"/>
          <w:color w:val="auto"/>
          <w:sz w:val="24"/>
          <w:szCs w:val="24"/>
          <w:highlight w:val="none"/>
        </w:rPr>
        <w:t>4.投标人必须使用计算机互联网络（以下简称网络）将投标文件以jjb格式上传提交至东莞市公共资源交易E网通管理平台建设工程交易系统（以下简称交易系统），并在网上签到时，关联到对应的投标项目中。</w:t>
      </w:r>
    </w:p>
    <w:p w14:paraId="42EC1BC6">
      <w:pPr>
        <w:pStyle w:val="2"/>
        <w:spacing w:line="360" w:lineRule="auto"/>
        <w:ind w:right="0" w:firstLine="480" w:firstLineChars="200"/>
        <w:jc w:val="both"/>
        <w:rPr>
          <w:rFonts w:hint="eastAsia"/>
          <w:b w:val="0"/>
          <w:bCs w:val="0"/>
          <w:color w:val="auto"/>
          <w:sz w:val="24"/>
          <w:szCs w:val="24"/>
          <w:highlight w:val="none"/>
        </w:rPr>
      </w:pPr>
      <w:r>
        <w:rPr>
          <w:rFonts w:hint="eastAsia"/>
          <w:b w:val="0"/>
          <w:bCs w:val="0"/>
          <w:color w:val="auto"/>
          <w:sz w:val="24"/>
          <w:szCs w:val="24"/>
          <w:highlight w:val="none"/>
        </w:rPr>
        <w:t>5.投标人在交易系统中对投标文件进行解密的电子签名认证证书必须为机构证书或制作本项目投标文件的业务证书。</w:t>
      </w:r>
    </w:p>
    <w:p w14:paraId="5A865DBD">
      <w:pPr>
        <w:pStyle w:val="2"/>
        <w:spacing w:line="360" w:lineRule="auto"/>
        <w:ind w:right="0" w:firstLine="480" w:firstLineChars="200"/>
        <w:jc w:val="both"/>
        <w:rPr>
          <w:rFonts w:hint="eastAsia"/>
          <w:b w:val="0"/>
          <w:bCs w:val="0"/>
          <w:color w:val="auto"/>
          <w:sz w:val="24"/>
          <w:szCs w:val="24"/>
          <w:highlight w:val="none"/>
        </w:rPr>
      </w:pPr>
      <w:r>
        <w:rPr>
          <w:rFonts w:hint="eastAsia"/>
          <w:b w:val="0"/>
          <w:bCs w:val="0"/>
          <w:color w:val="auto"/>
          <w:sz w:val="24"/>
          <w:szCs w:val="24"/>
          <w:highlight w:val="none"/>
        </w:rPr>
        <w:t>6.投标人应及时提交投标文件，如在投标文件截止时间前因网络等任何原因未能成功上传投标文件，相关后果由投标人自行承担。</w:t>
      </w:r>
    </w:p>
    <w:p w14:paraId="312175C4">
      <w:pPr>
        <w:pStyle w:val="2"/>
        <w:spacing w:line="360" w:lineRule="auto"/>
        <w:ind w:right="0" w:firstLine="480" w:firstLineChars="200"/>
        <w:jc w:val="both"/>
        <w:rPr>
          <w:rFonts w:hint="eastAsia"/>
          <w:b w:val="0"/>
          <w:bCs w:val="0"/>
          <w:color w:val="auto"/>
          <w:sz w:val="24"/>
          <w:szCs w:val="24"/>
          <w:highlight w:val="none"/>
        </w:rPr>
      </w:pPr>
      <w:r>
        <w:rPr>
          <w:rFonts w:hint="eastAsia"/>
          <w:b w:val="0"/>
          <w:bCs w:val="0"/>
          <w:color w:val="auto"/>
          <w:sz w:val="24"/>
          <w:szCs w:val="24"/>
          <w:highlight w:val="none"/>
        </w:rPr>
        <w:t>7.投标人上传投标文件时，需设置投标文件查询密码（用于查询投标文件递交情况、撤销投标文件及签到时匹配对应的招标文件）。成功上传投标文件后，交易系统将自动随机生成投标文件识别码。识别码是交易系统确认投标人提交投标文件的唯一凭证，投标人须妥善保管。识别码丢失后，投标人将无法找回投标文件，需重新上传提交。</w:t>
      </w:r>
    </w:p>
    <w:p w14:paraId="6C1BA065">
      <w:pPr>
        <w:pStyle w:val="2"/>
        <w:spacing w:line="360" w:lineRule="auto"/>
        <w:ind w:right="0" w:firstLine="480" w:firstLineChars="200"/>
        <w:jc w:val="both"/>
        <w:rPr>
          <w:rFonts w:hint="eastAsia"/>
          <w:b w:val="0"/>
          <w:bCs w:val="0"/>
          <w:color w:val="auto"/>
          <w:sz w:val="24"/>
          <w:szCs w:val="24"/>
          <w:highlight w:val="none"/>
        </w:rPr>
      </w:pPr>
      <w:r>
        <w:rPr>
          <w:rFonts w:hint="eastAsia"/>
          <w:b w:val="0"/>
          <w:bCs w:val="0"/>
          <w:color w:val="auto"/>
          <w:sz w:val="24"/>
          <w:szCs w:val="24"/>
          <w:highlight w:val="none"/>
        </w:rPr>
        <w:t>8.如未在投标文件递交截止时间前匹配对应的投标文件，视为投标人未提交。</w:t>
      </w:r>
    </w:p>
    <w:p w14:paraId="608672A4">
      <w:pPr>
        <w:pStyle w:val="2"/>
        <w:wordWrap w:val="0"/>
        <w:spacing w:line="360" w:lineRule="auto"/>
        <w:ind w:right="0" w:firstLine="480" w:firstLineChars="200"/>
        <w:jc w:val="both"/>
        <w:rPr>
          <w:rFonts w:hint="eastAsia"/>
          <w:b w:val="0"/>
          <w:bCs w:val="0"/>
          <w:color w:val="auto"/>
          <w:sz w:val="24"/>
          <w:szCs w:val="24"/>
          <w:highlight w:val="none"/>
        </w:rPr>
      </w:pPr>
      <w:r>
        <w:rPr>
          <w:rFonts w:hint="eastAsia"/>
          <w:b w:val="0"/>
          <w:bCs w:val="0"/>
          <w:color w:val="auto"/>
          <w:sz w:val="24"/>
          <w:szCs w:val="24"/>
          <w:highlight w:val="none"/>
        </w:rPr>
        <w:t>9.本招标项目在全国公共资源交易平台（广东省·东莞市）（https://ygp.gdzwfw.gov.cn/#/441900/index）等法定媒体发布招标公告，本项目招标公告及招标文件的修改、补充在全国公共资源交易平台（广东省·东莞市）发布。发布内容在其他法定媒体发布的文本如有不同之处，以在全国公共资源交易平台（广东省·东莞市）发布的文本为准。</w:t>
      </w:r>
    </w:p>
    <w:p w14:paraId="43E598AD">
      <w:pPr>
        <w:rPr>
          <w:rFonts w:hint="eastAsia"/>
          <w:color w:val="auto"/>
          <w:highlight w:val="none"/>
          <w:lang w:val="zh-CN"/>
        </w:rPr>
      </w:pPr>
      <w:r>
        <w:rPr>
          <w:rFonts w:hint="eastAsia"/>
          <w:color w:val="auto"/>
          <w:szCs w:val="21"/>
          <w:highlight w:val="none"/>
          <w:lang w:val="zh-CN"/>
        </w:rPr>
        <w:br w:type="page"/>
      </w:r>
    </w:p>
    <w:sdt>
      <w:sdtPr>
        <w:rPr>
          <w:rFonts w:ascii="宋体" w:hAnsi="宋体" w:eastAsia="宋体"/>
          <w:b/>
          <w:bCs/>
          <w:color w:val="auto"/>
          <w:highlight w:val="none"/>
        </w:rPr>
        <w:id w:val="147472709"/>
        <w15:color w:val="DBDBDB"/>
        <w:docPartObj>
          <w:docPartGallery w:val="Table of Contents"/>
          <w:docPartUnique/>
        </w:docPartObj>
      </w:sdtPr>
      <w:sdtEndPr>
        <w:rPr>
          <w:rFonts w:ascii="宋体" w:eastAsia="宋体" w:hAnsiTheme="minorHAnsi"/>
          <w:b/>
          <w:bCs/>
          <w:color w:val="auto"/>
          <w:szCs w:val="21"/>
          <w:highlight w:val="none"/>
          <w:lang w:val="zh-CN"/>
        </w:rPr>
      </w:sdtEndPr>
      <w:sdtContent>
        <w:p w14:paraId="7D4F6194">
          <w:pPr>
            <w:spacing w:line="360" w:lineRule="auto"/>
            <w:jc w:val="center"/>
            <w:rPr>
              <w:rFonts w:hint="eastAsia"/>
              <w:color w:val="auto"/>
              <w:highlight w:val="none"/>
            </w:rPr>
          </w:pPr>
          <w:r>
            <w:rPr>
              <w:rFonts w:ascii="宋体" w:hAnsi="宋体" w:eastAsia="宋体"/>
              <w:b/>
              <w:bCs/>
              <w:color w:val="auto"/>
              <w:sz w:val="28"/>
              <w:szCs w:val="32"/>
              <w:highlight w:val="none"/>
            </w:rPr>
            <w:t>目</w:t>
          </w:r>
          <w:r>
            <w:rPr>
              <w:rFonts w:hint="eastAsia" w:ascii="宋体" w:hAnsi="宋体" w:eastAsia="宋体"/>
              <w:b/>
              <w:bCs/>
              <w:color w:val="auto"/>
              <w:sz w:val="28"/>
              <w:szCs w:val="32"/>
              <w:highlight w:val="none"/>
            </w:rPr>
            <w:t xml:space="preserve">     </w:t>
          </w:r>
          <w:r>
            <w:rPr>
              <w:rFonts w:ascii="宋体" w:hAnsi="宋体" w:eastAsia="宋体"/>
              <w:b/>
              <w:bCs/>
              <w:color w:val="auto"/>
              <w:sz w:val="28"/>
              <w:szCs w:val="32"/>
              <w:highlight w:val="none"/>
            </w:rPr>
            <w:t>录</w:t>
          </w:r>
        </w:p>
        <w:p w14:paraId="5DD06AF0">
          <w:pPr>
            <w:pStyle w:val="27"/>
            <w:keepNext w:val="0"/>
            <w:keepLines w:val="0"/>
            <w:pageBreakBefore w:val="0"/>
            <w:widowControl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color w:val="auto"/>
              <w:highlight w:val="none"/>
              <w:lang w:val="zh-CN"/>
            </w:rPr>
            <w:fldChar w:fldCharType="begin"/>
          </w:r>
          <w:r>
            <w:rPr>
              <w:color w:val="auto"/>
              <w:highlight w:val="none"/>
              <w:lang w:val="zh-CN"/>
            </w:rPr>
            <w:instrText xml:space="preserve">TOC \o "1-3" \h \u </w:instrText>
          </w:r>
          <w:r>
            <w:rPr>
              <w:color w:val="auto"/>
              <w:highlight w:val="none"/>
              <w:lang w:val="zh-CN"/>
            </w:rPr>
            <w:fldChar w:fldCharType="separate"/>
          </w:r>
          <w:r>
            <w:rPr>
              <w:rFonts w:hint="eastAsia" w:ascii="宋体" w:hAnsi="宋体" w:eastAsia="宋体" w:cs="宋体"/>
              <w:color w:val="auto"/>
              <w:sz w:val="21"/>
              <w:szCs w:val="21"/>
              <w:highlight w:val="none"/>
              <w:lang w:val="zh-CN"/>
            </w:rPr>
            <w:fldChar w:fldCharType="begin"/>
          </w:r>
          <w:r>
            <w:rPr>
              <w:rFonts w:hint="eastAsia" w:ascii="宋体" w:hAnsi="宋体" w:eastAsia="宋体" w:cs="宋体"/>
              <w:color w:val="auto"/>
              <w:sz w:val="21"/>
              <w:szCs w:val="21"/>
              <w:highlight w:val="none"/>
              <w:lang w:val="zh-CN"/>
            </w:rPr>
            <w:instrText xml:space="preserve"> HYPERLINK \l _Toc16311 </w:instrText>
          </w:r>
          <w:r>
            <w:rPr>
              <w:rFonts w:hint="eastAsia" w:ascii="宋体" w:hAnsi="宋体" w:eastAsia="宋体" w:cs="宋体"/>
              <w:color w:val="auto"/>
              <w:sz w:val="21"/>
              <w:szCs w:val="21"/>
              <w:highlight w:val="none"/>
              <w:lang w:val="zh-CN"/>
            </w:rPr>
            <w:fldChar w:fldCharType="separate"/>
          </w:r>
          <w:r>
            <w:rPr>
              <w:rFonts w:hint="eastAsia" w:ascii="宋体" w:hAnsi="宋体" w:eastAsia="宋体" w:cs="宋体"/>
              <w:bCs/>
              <w:color w:val="auto"/>
              <w:kern w:val="44"/>
              <w:sz w:val="21"/>
              <w:szCs w:val="21"/>
              <w:highlight w:val="none"/>
              <w:lang w:val="zh-CN"/>
            </w:rPr>
            <w:t>重要提示</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_Toc16311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lang w:val="zh-CN"/>
            </w:rPr>
            <w:fldChar w:fldCharType="end"/>
          </w:r>
        </w:p>
        <w:p w14:paraId="03627F43">
          <w:pPr>
            <w:pStyle w:val="27"/>
            <w:keepNext w:val="0"/>
            <w:keepLines w:val="0"/>
            <w:pageBreakBefore w:val="0"/>
            <w:widowControl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_Toc9381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kern w:val="44"/>
              <w:sz w:val="21"/>
              <w:szCs w:val="21"/>
              <w:highlight w:val="none"/>
            </w:rPr>
            <w:t>第一篇 招标公告</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_Toc9381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638712A">
          <w:pPr>
            <w:pStyle w:val="27"/>
            <w:keepNext w:val="0"/>
            <w:keepLines w:val="0"/>
            <w:pageBreakBefore w:val="0"/>
            <w:widowControl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kern w:val="44"/>
              <w:sz w:val="21"/>
              <w:szCs w:val="21"/>
              <w:highlight w:val="none"/>
              <w:lang w:val="zh-CN"/>
            </w:rPr>
            <w:t>第二篇</w:t>
          </w:r>
          <w:r>
            <w:rPr>
              <w:rFonts w:hint="eastAsia" w:ascii="宋体" w:hAnsi="宋体" w:eastAsia="宋体" w:cs="宋体"/>
              <w:bCs/>
              <w:color w:val="auto"/>
              <w:kern w:val="44"/>
              <w:sz w:val="21"/>
              <w:szCs w:val="21"/>
              <w:highlight w:val="none"/>
            </w:rPr>
            <w:t xml:space="preserve"> </w:t>
          </w:r>
          <w:r>
            <w:rPr>
              <w:rFonts w:hint="eastAsia" w:ascii="宋体" w:hAnsi="宋体" w:eastAsia="宋体" w:cs="宋体"/>
              <w:bCs/>
              <w:color w:val="auto"/>
              <w:kern w:val="44"/>
              <w:sz w:val="21"/>
              <w:szCs w:val="21"/>
              <w:highlight w:val="none"/>
              <w:lang w:val="zh-CN"/>
            </w:rPr>
            <w:t>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_Toc23670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8D4A6DF">
          <w:pPr>
            <w:pStyle w:val="27"/>
            <w:keepNext w:val="0"/>
            <w:keepLines w:val="0"/>
            <w:pageBreakBefore w:val="0"/>
            <w:widowControl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kern w:val="44"/>
              <w:sz w:val="21"/>
              <w:szCs w:val="21"/>
              <w:highlight w:val="none"/>
              <w:lang w:val="zh-CN"/>
            </w:rPr>
            <w:t>一、总则</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_Toc4198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C2A7866">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_Toc29918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 资金来源：企业自筹资金。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_Toc29918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E9BEC26">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_Toc20295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 合格的投标人</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_Toc20295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B1A9378">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3 合格的</w:t>
          </w:r>
          <w:r>
            <w:rPr>
              <w:rFonts w:hint="eastAsia" w:ascii="宋体" w:hAnsi="宋体" w:eastAsia="宋体" w:cs="宋体"/>
              <w:color w:val="auto"/>
              <w:sz w:val="21"/>
              <w:szCs w:val="21"/>
              <w:highlight w:val="none"/>
            </w:rPr>
            <w:t>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705FDD7">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_Toc29561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4 其它说明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_Toc29561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E21DD10">
          <w:pPr>
            <w:pStyle w:val="27"/>
            <w:keepNext w:val="0"/>
            <w:keepLines w:val="0"/>
            <w:pageBreakBefore w:val="0"/>
            <w:widowControl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kern w:val="44"/>
              <w:sz w:val="21"/>
              <w:szCs w:val="21"/>
              <w:highlight w:val="none"/>
              <w:lang w:val="zh-CN"/>
            </w:rPr>
            <w:t>二、招标文件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_Toc29177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9CBA310">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5 招标文件的构成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E238BA9">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_Toc4848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6 招标文件的异议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_Toc4848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4BD107D">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7 招标文件的澄清及修改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BD403C5">
          <w:pPr>
            <w:pStyle w:val="27"/>
            <w:keepNext w:val="0"/>
            <w:keepLines w:val="0"/>
            <w:pageBreakBefore w:val="0"/>
            <w:widowControl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_Toc17606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kern w:val="44"/>
              <w:sz w:val="21"/>
              <w:szCs w:val="21"/>
              <w:highlight w:val="none"/>
              <w:lang w:val="zh-CN"/>
            </w:rPr>
            <w:t>三、投标文件的编制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_Toc17606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48BA250">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_Toc14574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8 投标使用的文字及度量衡单位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_Toc14574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EF04ACA">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9 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1D596FF">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10 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6C5AFEA">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11 投标报价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1D553D9">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_Toc26340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12 投标报价货币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_Toc26340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767AE6F">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13 证明投标人的合格性和资格的声明文件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E0533D9">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14 证明服务的合格性并符合招标文件规定的声明文件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A73602B">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15 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_Toc6459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A8B1B27">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16 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5B8670B">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17 投标文件的</w:t>
          </w:r>
          <w:r>
            <w:rPr>
              <w:rFonts w:hint="eastAsia" w:ascii="宋体" w:hAnsi="宋体" w:eastAsia="宋体" w:cs="宋体"/>
              <w:color w:val="auto"/>
              <w:sz w:val="21"/>
              <w:szCs w:val="21"/>
              <w:highlight w:val="none"/>
            </w:rPr>
            <w:t>编制</w:t>
          </w:r>
          <w:r>
            <w:rPr>
              <w:rFonts w:hint="eastAsia" w:ascii="宋体" w:hAnsi="宋体" w:eastAsia="宋体" w:cs="宋体"/>
              <w:color w:val="auto"/>
              <w:sz w:val="21"/>
              <w:szCs w:val="21"/>
              <w:highlight w:val="none"/>
              <w:lang w:val="zh-CN"/>
            </w:rPr>
            <w:t>和签署</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E1121E2">
          <w:pPr>
            <w:pStyle w:val="27"/>
            <w:keepNext w:val="0"/>
            <w:keepLines w:val="0"/>
            <w:pageBreakBefore w:val="0"/>
            <w:widowControl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_Toc12602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kern w:val="44"/>
              <w:sz w:val="21"/>
              <w:szCs w:val="21"/>
              <w:highlight w:val="none"/>
              <w:lang w:val="zh-CN"/>
            </w:rPr>
            <w:t>四、投标文件的递交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_Toc12602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9722D86">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18 投标文件的</w:t>
          </w:r>
          <w:r>
            <w:rPr>
              <w:rFonts w:hint="eastAsia" w:ascii="宋体" w:hAnsi="宋体" w:eastAsia="宋体" w:cs="宋体"/>
              <w:color w:val="auto"/>
              <w:sz w:val="21"/>
              <w:szCs w:val="21"/>
              <w:highlight w:val="none"/>
              <w:lang w:val="en-US" w:eastAsia="zh-CN"/>
            </w:rPr>
            <w:t>加密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E776C3A">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_Toc20498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19 投标文件的提交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_Toc20498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956FE75">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_Toc8703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20 投标会时间、地点及投标文件提交的截止时间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_Toc8703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670834D">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21 投标文件的拒绝</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E04A58F">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w:t>
          </w:r>
          <w:r>
            <w:rPr>
              <w:rFonts w:hint="eastAsia" w:ascii="宋体" w:hAnsi="宋体" w:eastAsia="宋体" w:cs="宋体"/>
              <w:color w:val="auto"/>
              <w:sz w:val="21"/>
              <w:szCs w:val="21"/>
              <w:highlight w:val="none"/>
            </w:rPr>
            <w:t xml:space="preserve">2 </w:t>
          </w:r>
          <w:r>
            <w:rPr>
              <w:rFonts w:hint="eastAsia" w:ascii="宋体" w:hAnsi="宋体" w:eastAsia="宋体" w:cs="宋体"/>
              <w:color w:val="auto"/>
              <w:sz w:val="21"/>
              <w:szCs w:val="21"/>
              <w:highlight w:val="none"/>
              <w:lang w:val="zh-CN"/>
            </w:rPr>
            <w:t>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A2FB83D">
          <w:pPr>
            <w:pStyle w:val="27"/>
            <w:keepNext w:val="0"/>
            <w:keepLines w:val="0"/>
            <w:pageBreakBefore w:val="0"/>
            <w:widowControl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kern w:val="44"/>
              <w:sz w:val="21"/>
              <w:szCs w:val="21"/>
              <w:highlight w:val="none"/>
              <w:lang w:val="zh-CN"/>
            </w:rPr>
            <w:t>五、开标与评标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_Toc13838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D296031">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zh-CN"/>
            </w:rPr>
            <w:t xml:space="preserve"> 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_Toc26877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1FDF124">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w:t>
          </w: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zh-CN"/>
            </w:rPr>
            <w:t xml:space="preserve"> </w:t>
          </w:r>
          <w:r>
            <w:rPr>
              <w:rFonts w:hint="eastAsia" w:ascii="宋体" w:hAnsi="宋体" w:eastAsia="宋体" w:cs="宋体"/>
              <w:color w:val="auto"/>
              <w:kern w:val="0"/>
              <w:sz w:val="21"/>
              <w:szCs w:val="21"/>
              <w:highlight w:val="none"/>
            </w:rPr>
            <w:t>评标过程的保密性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_Toc26445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3CD0E12">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w:t>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zh-CN"/>
            </w:rPr>
            <w:t xml:space="preserve"> 评标委员会</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F139580">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_Toc15489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26</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zh-CN"/>
            </w:rPr>
            <w:t>投标文件的有效性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_Toc15489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69C0697">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w:t>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val="zh-CN"/>
            </w:rPr>
            <w:t xml:space="preserve"> 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_Toc2773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3E91C2E">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w:t>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val="zh-CN"/>
            </w:rPr>
            <w:t xml:space="preserve"> 投标文件的澄清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4182E43">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w:t>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val="zh-CN"/>
            </w:rPr>
            <w:t xml:space="preserve"> 对投标文件的比较和评价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AE72089">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_Toc30090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lang w:val="zh-CN"/>
            </w:rPr>
            <w:t xml:space="preserve"> 评标原则及方法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_Toc30090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BCAF427">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_Toc30078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31 </w:t>
          </w:r>
          <w:r>
            <w:rPr>
              <w:rFonts w:hint="eastAsia" w:ascii="宋体" w:hAnsi="宋体" w:eastAsia="宋体" w:cs="宋体"/>
              <w:color w:val="auto"/>
              <w:sz w:val="21"/>
              <w:szCs w:val="21"/>
              <w:highlight w:val="none"/>
              <w:lang w:val="zh-CN"/>
            </w:rPr>
            <w:t>评标结果公示及异议、投诉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_Toc30078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3455E1D">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_Toc15213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lang w:val="zh-CN"/>
            </w:rPr>
            <w:t xml:space="preserve"> 真实性审查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_Toc15213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54EBA63">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lang w:val="zh-CN"/>
            </w:rPr>
            <w:t xml:space="preserve"> 评标委员会和招标人接受或拒绝任何投标或所有投标的权利</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478E937">
          <w:pPr>
            <w:pStyle w:val="27"/>
            <w:keepNext w:val="0"/>
            <w:keepLines w:val="0"/>
            <w:pageBreakBefore w:val="0"/>
            <w:widowControl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kern w:val="44"/>
              <w:sz w:val="21"/>
              <w:szCs w:val="21"/>
              <w:highlight w:val="none"/>
              <w:lang w:val="zh-CN"/>
            </w:rPr>
            <w:t>六、授予合同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B748711">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lang w:val="zh-CN"/>
            </w:rPr>
            <w:t xml:space="preserve"> 授予合同的准则</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FC1390E">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_Toc30135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3</w:t>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zh-CN"/>
            </w:rPr>
            <w:t xml:space="preserve"> 中标通知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_Toc30135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D56B4EF">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_Toc29712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lang w:val="zh-CN"/>
            </w:rPr>
            <w:t xml:space="preserve"> 签署合同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_Toc29712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6B50680">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37 </w:t>
          </w:r>
          <w:r>
            <w:rPr>
              <w:rFonts w:hint="eastAsia" w:ascii="宋体" w:hAnsi="宋体" w:eastAsia="宋体" w:cs="宋体"/>
              <w:color w:val="auto"/>
              <w:sz w:val="21"/>
              <w:szCs w:val="21"/>
              <w:highlight w:val="none"/>
              <w:lang w:val="zh-CN"/>
            </w:rPr>
            <w:t>履约</w:t>
          </w:r>
          <w:r>
            <w:rPr>
              <w:rFonts w:hint="eastAsia" w:ascii="宋体" w:hAnsi="宋体" w:eastAsia="宋体" w:cs="宋体"/>
              <w:color w:val="auto"/>
              <w:sz w:val="21"/>
              <w:szCs w:val="21"/>
              <w:highlight w:val="none"/>
              <w:lang w:val="en-US" w:eastAsia="zh-CN"/>
            </w:rPr>
            <w:t>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F9EF42B">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_Toc9008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lang w:val="zh-CN"/>
            </w:rPr>
            <w:t xml:space="preserve"> 在合同履行中变更采购范围的权利</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_Toc9008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36B9B43">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lang w:val="zh-CN"/>
            </w:rPr>
            <w:t xml:space="preserve"> 中标服务费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_Toc12517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023C60E">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_Toc28315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lang w:val="zh-CN"/>
            </w:rPr>
            <w:t xml:space="preserve"> 发票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_Toc28315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B1D6B1A">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_Toc4377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 招标相关补充约定</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_Toc4377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0A3D644">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 本次招标活动的最终解释权归招标代理机构及招标人所有。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B2B239F">
          <w:pPr>
            <w:pStyle w:val="27"/>
            <w:keepNext w:val="0"/>
            <w:keepLines w:val="0"/>
            <w:pageBreakBefore w:val="0"/>
            <w:widowControl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kern w:val="44"/>
              <w:sz w:val="21"/>
              <w:szCs w:val="21"/>
              <w:highlight w:val="none"/>
              <w:lang w:val="zh-CN"/>
            </w:rPr>
            <w:t>第三篇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4E3A66F">
          <w:pPr>
            <w:pStyle w:val="27"/>
            <w:keepNext w:val="0"/>
            <w:keepLines w:val="0"/>
            <w:pageBreakBefore w:val="0"/>
            <w:widowControl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kern w:val="44"/>
              <w:sz w:val="21"/>
              <w:szCs w:val="21"/>
              <w:highlight w:val="none"/>
              <w:lang w:val="zh-CN"/>
            </w:rPr>
            <w:t>第四篇 合同条款格式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552EC27">
          <w:pPr>
            <w:pStyle w:val="27"/>
            <w:keepNext w:val="0"/>
            <w:keepLines w:val="0"/>
            <w:pageBreakBefore w:val="0"/>
            <w:widowControl w:val="0"/>
            <w:tabs>
              <w:tab w:val="right" w:leader="dot" w:pos="10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_Toc28813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kern w:val="44"/>
              <w:sz w:val="21"/>
              <w:szCs w:val="21"/>
              <w:highlight w:val="none"/>
              <w:lang w:val="zh-CN"/>
            </w:rPr>
            <w:t>第</w:t>
          </w:r>
          <w:r>
            <w:rPr>
              <w:rFonts w:hint="eastAsia" w:ascii="宋体" w:hAnsi="宋体" w:eastAsia="宋体" w:cs="宋体"/>
              <w:bCs/>
              <w:color w:val="auto"/>
              <w:kern w:val="44"/>
              <w:sz w:val="21"/>
              <w:szCs w:val="21"/>
              <w:highlight w:val="none"/>
              <w:lang w:val="en-US" w:eastAsia="zh-CN"/>
            </w:rPr>
            <w:t>五</w:t>
          </w:r>
          <w:r>
            <w:rPr>
              <w:rFonts w:hint="eastAsia" w:ascii="宋体" w:hAnsi="宋体" w:eastAsia="宋体" w:cs="宋体"/>
              <w:bCs/>
              <w:color w:val="auto"/>
              <w:kern w:val="44"/>
              <w:sz w:val="21"/>
              <w:szCs w:val="21"/>
              <w:highlight w:val="none"/>
              <w:lang w:val="zh-CN"/>
            </w:rPr>
            <w:t>篇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_Toc28813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93C30C9">
          <w:pPr>
            <w:pStyle w:val="27"/>
            <w:keepNext w:val="0"/>
            <w:keepLines w:val="0"/>
            <w:pageBreakBefore w:val="0"/>
            <w:widowControl w:val="0"/>
            <w:tabs>
              <w:tab w:val="right" w:leader="dot" w:pos="10154"/>
            </w:tabs>
            <w:kinsoku/>
            <w:wordWrap/>
            <w:overflowPunct/>
            <w:topLinePunct w:val="0"/>
            <w:autoSpaceDE/>
            <w:autoSpaceDN/>
            <w:bidi w:val="0"/>
            <w:adjustRightInd/>
            <w:snapToGrid/>
            <w:spacing w:line="360" w:lineRule="auto"/>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_Toc20084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kern w:val="44"/>
              <w:sz w:val="21"/>
              <w:szCs w:val="21"/>
              <w:highlight w:val="none"/>
              <w:lang w:val="zh-CN"/>
            </w:rPr>
            <w:t>附件一：评标工作大纲</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_Toc20084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042E1F5">
          <w:pPr>
            <w:pStyle w:val="2"/>
            <w:jc w:val="both"/>
            <w:rPr>
              <w:rFonts w:hint="eastAsia"/>
              <w:color w:val="auto"/>
              <w:sz w:val="21"/>
              <w:szCs w:val="21"/>
              <w:highlight w:val="none"/>
            </w:rPr>
          </w:pPr>
          <w:r>
            <w:rPr>
              <w:color w:val="auto"/>
              <w:highlight w:val="none"/>
            </w:rPr>
            <w:fldChar w:fldCharType="end"/>
          </w:r>
        </w:p>
      </w:sdtContent>
    </w:sdt>
    <w:p w14:paraId="6459523B">
      <w:pPr>
        <w:pStyle w:val="37"/>
        <w:ind w:firstLine="0" w:firstLineChars="0"/>
        <w:rPr>
          <w:rFonts w:hint="eastAsia"/>
          <w:color w:val="auto"/>
          <w:highlight w:val="none"/>
          <w:lang w:val="zh-CN"/>
        </w:rPr>
      </w:pPr>
    </w:p>
    <w:p w14:paraId="595F8815">
      <w:pPr>
        <w:rPr>
          <w:rFonts w:hint="eastAsia"/>
          <w:color w:val="auto"/>
          <w:highlight w:val="none"/>
          <w:lang w:val="zh-CN"/>
        </w:rPr>
      </w:pPr>
      <w:r>
        <w:rPr>
          <w:color w:val="auto"/>
          <w:highlight w:val="none"/>
          <w:lang w:val="zh-CN"/>
        </w:rPr>
        <w:br w:type="page"/>
      </w:r>
    </w:p>
    <w:p w14:paraId="32952478">
      <w:pPr>
        <w:pageBreakBefore/>
        <w:tabs>
          <w:tab w:val="left" w:pos="1080"/>
        </w:tabs>
        <w:autoSpaceDE w:val="0"/>
        <w:autoSpaceDN w:val="0"/>
        <w:adjustRightInd w:val="0"/>
        <w:spacing w:line="360" w:lineRule="auto"/>
        <w:ind w:left="-167" w:leftChars="-100" w:hanging="43"/>
        <w:jc w:val="center"/>
        <w:outlineLvl w:val="0"/>
        <w:rPr>
          <w:rFonts w:hint="eastAsia" w:ascii="宋体" w:hAnsi="宋体" w:eastAsia="宋体" w:cs="宋体"/>
          <w:b/>
          <w:bCs/>
          <w:color w:val="auto"/>
          <w:kern w:val="44"/>
          <w:sz w:val="32"/>
          <w:szCs w:val="32"/>
          <w:highlight w:val="none"/>
        </w:rPr>
      </w:pPr>
      <w:bookmarkStart w:id="2" w:name="_Toc9381"/>
      <w:r>
        <w:rPr>
          <w:rFonts w:hint="eastAsia" w:ascii="宋体" w:hAnsi="宋体" w:eastAsia="宋体" w:cs="宋体"/>
          <w:b/>
          <w:bCs/>
          <w:color w:val="auto"/>
          <w:kern w:val="44"/>
          <w:sz w:val="32"/>
          <w:szCs w:val="32"/>
          <w:highlight w:val="none"/>
        </w:rPr>
        <w:t>第一篇 招标公告</w:t>
      </w:r>
      <w:bookmarkEnd w:id="2"/>
    </w:p>
    <w:p w14:paraId="5209C738">
      <w:pPr>
        <w:autoSpaceDE w:val="0"/>
        <w:autoSpaceDN w:val="0"/>
        <w:adjustRightInd w:val="0"/>
        <w:snapToGrid w:val="0"/>
        <w:spacing w:line="360" w:lineRule="auto"/>
        <w:ind w:right="-34" w:firstLine="420" w:firstLineChars="200"/>
        <w:rPr>
          <w:rFonts w:hint="eastAsia" w:ascii="宋体" w:hAnsi="宋体" w:eastAsia="宋体" w:cs="Times New Roman"/>
          <w:color w:val="auto"/>
          <w:szCs w:val="21"/>
          <w:highlight w:val="none"/>
          <w:lang w:val="zh-CN"/>
        </w:rPr>
      </w:pPr>
      <w:r>
        <w:rPr>
          <w:rFonts w:hint="eastAsia" w:ascii="宋体" w:hAnsi="宋体" w:eastAsia="宋体" w:cs="Times New Roman"/>
          <w:color w:val="auto"/>
          <w:kern w:val="0"/>
          <w:szCs w:val="21"/>
          <w:highlight w:val="none"/>
        </w:rPr>
        <w:t>广州宏达工程顾问集团有限公司</w:t>
      </w:r>
      <w:r>
        <w:rPr>
          <w:rFonts w:ascii="宋体" w:hAnsi="宋体" w:eastAsia="宋体" w:cs="Times New Roman"/>
          <w:color w:val="auto"/>
          <w:szCs w:val="21"/>
          <w:highlight w:val="none"/>
          <w:lang w:val="zh-CN"/>
        </w:rPr>
        <w:t>（以下简称“招标代理机构”）受</w:t>
      </w:r>
      <w:r>
        <w:rPr>
          <w:rFonts w:hint="eastAsia" w:ascii="宋体" w:hAnsi="宋体" w:eastAsia="宋体" w:cs="Times New Roman"/>
          <w:color w:val="auto"/>
          <w:kern w:val="0"/>
          <w:szCs w:val="21"/>
          <w:highlight w:val="none"/>
        </w:rPr>
        <w:t>东莞市碧水信息科技有限公司</w:t>
      </w:r>
      <w:r>
        <w:rPr>
          <w:rFonts w:ascii="宋体" w:hAnsi="宋体" w:eastAsia="宋体" w:cs="Times New Roman"/>
          <w:color w:val="auto"/>
          <w:szCs w:val="21"/>
          <w:highlight w:val="none"/>
          <w:lang w:val="zh-CN"/>
        </w:rPr>
        <w:t>（以下简称“招标人”）的委托，对</w:t>
      </w:r>
      <w:bookmarkStart w:id="3" w:name="_Hlk41903390"/>
      <w:r>
        <w:rPr>
          <w:rFonts w:hint="eastAsia" w:ascii="宋体" w:hAnsi="宋体" w:eastAsia="宋体" w:cs="Times New Roman"/>
          <w:color w:val="auto"/>
          <w:kern w:val="0"/>
          <w:szCs w:val="21"/>
          <w:highlight w:val="none"/>
        </w:rPr>
        <w:t>东莞市碧水信息科技有限公司施工劳务分包供应商库采购项目</w:t>
      </w:r>
      <w:r>
        <w:rPr>
          <w:rFonts w:ascii="宋体" w:hAnsi="宋体" w:eastAsia="宋体" w:cs="Times New Roman"/>
          <w:color w:val="auto"/>
          <w:szCs w:val="21"/>
          <w:highlight w:val="none"/>
          <w:lang w:val="zh-CN"/>
        </w:rPr>
        <w:t>(招标编号：</w:t>
      </w:r>
      <w:r>
        <w:rPr>
          <w:rFonts w:hint="eastAsia" w:ascii="宋体" w:hAnsi="宋体" w:eastAsia="宋体" w:cs="Times New Roman"/>
          <w:color w:val="auto"/>
          <w:szCs w:val="21"/>
          <w:highlight w:val="none"/>
          <w:u w:val="single"/>
          <w:lang w:val="zh-CN"/>
        </w:rPr>
        <w:t>SSSSSC12500950</w:t>
      </w:r>
      <w:r>
        <w:rPr>
          <w:rFonts w:ascii="宋体" w:hAnsi="宋体" w:eastAsia="宋体" w:cs="Times New Roman"/>
          <w:color w:val="auto"/>
          <w:szCs w:val="21"/>
          <w:highlight w:val="none"/>
          <w:lang w:val="zh-CN"/>
        </w:rPr>
        <w:t>)</w:t>
      </w:r>
      <w:bookmarkEnd w:id="3"/>
      <w:r>
        <w:rPr>
          <w:rFonts w:ascii="宋体" w:hAnsi="宋体" w:eastAsia="宋体" w:cs="Times New Roman"/>
          <w:color w:val="auto"/>
          <w:szCs w:val="21"/>
          <w:highlight w:val="none"/>
          <w:lang w:val="zh-CN"/>
        </w:rPr>
        <w:t>进行国内公开招标，</w:t>
      </w:r>
      <w:r>
        <w:rPr>
          <w:rFonts w:hint="eastAsia" w:ascii="宋体" w:hAnsi="宋体" w:eastAsia="宋体" w:cs="Times New Roman"/>
          <w:bCs/>
          <w:color w:val="auto"/>
          <w:kern w:val="0"/>
          <w:szCs w:val="21"/>
          <w:highlight w:val="none"/>
        </w:rPr>
        <w:t>详情请参见本招标文件</w:t>
      </w:r>
      <w:r>
        <w:rPr>
          <w:rFonts w:ascii="宋体" w:hAnsi="宋体" w:eastAsia="宋体" w:cs="Times New Roman"/>
          <w:bCs/>
          <w:color w:val="auto"/>
          <w:kern w:val="0"/>
          <w:szCs w:val="21"/>
          <w:highlight w:val="none"/>
        </w:rPr>
        <w:t>。</w:t>
      </w:r>
      <w:r>
        <w:rPr>
          <w:rFonts w:hint="eastAsia" w:ascii="宋体" w:hAnsi="宋体" w:eastAsia="宋体" w:cs="Times New Roman"/>
          <w:color w:val="auto"/>
          <w:kern w:val="0"/>
          <w:szCs w:val="21"/>
          <w:highlight w:val="none"/>
        </w:rPr>
        <w:t>欢迎符合条件的合格投标人参加投标，</w:t>
      </w:r>
      <w:r>
        <w:rPr>
          <w:rFonts w:hint="eastAsia" w:ascii="宋体" w:hAnsi="宋体" w:eastAsia="宋体" w:cs="Times New Roman"/>
          <w:bCs/>
          <w:color w:val="auto"/>
          <w:kern w:val="0"/>
          <w:szCs w:val="21"/>
          <w:highlight w:val="none"/>
        </w:rPr>
        <w:t>有关事项如下：</w:t>
      </w:r>
    </w:p>
    <w:p w14:paraId="276E2D48">
      <w:pPr>
        <w:autoSpaceDE w:val="0"/>
        <w:autoSpaceDN w:val="0"/>
        <w:adjustRightInd w:val="0"/>
        <w:spacing w:line="360" w:lineRule="auto"/>
        <w:ind w:right="-29" w:rightChars="-14" w:firstLine="420" w:firstLineChars="200"/>
        <w:rPr>
          <w:rFonts w:hint="eastAsia" w:ascii="宋体" w:hAnsi="宋体" w:eastAsia="宋体" w:cs="Times New Roman"/>
          <w:color w:val="auto"/>
          <w:szCs w:val="21"/>
          <w:highlight w:val="none"/>
          <w:lang w:val="zh-CN"/>
        </w:rPr>
      </w:pPr>
    </w:p>
    <w:p w14:paraId="725E7ACE">
      <w:pPr>
        <w:numPr>
          <w:ilvl w:val="0"/>
          <w:numId w:val="1"/>
        </w:numPr>
        <w:autoSpaceDE w:val="0"/>
        <w:autoSpaceDN w:val="0"/>
        <w:adjustRightInd w:val="0"/>
        <w:snapToGrid w:val="0"/>
        <w:spacing w:line="360" w:lineRule="auto"/>
        <w:ind w:right="-34"/>
        <w:jc w:val="left"/>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招标范围：</w:t>
      </w:r>
      <w:r>
        <w:rPr>
          <w:rFonts w:hint="eastAsia" w:ascii="宋体" w:hAnsi="宋体" w:eastAsia="宋体" w:cs="宋体"/>
          <w:color w:val="auto"/>
          <w:szCs w:val="21"/>
          <w:highlight w:val="none"/>
          <w:u w:val="single"/>
        </w:rPr>
        <w:t>招标人</w:t>
      </w:r>
      <w:r>
        <w:rPr>
          <w:rFonts w:hint="eastAsia" w:ascii="宋体" w:hAnsi="宋体" w:eastAsia="宋体" w:cs="宋体"/>
          <w:color w:val="auto"/>
          <w:szCs w:val="21"/>
          <w:highlight w:val="none"/>
          <w:u w:val="single"/>
          <w:lang w:val="en-US" w:eastAsia="zh-CN"/>
        </w:rPr>
        <w:t>及其下属企业</w:t>
      </w:r>
      <w:r>
        <w:rPr>
          <w:rFonts w:hint="eastAsia" w:ascii="宋体" w:hAnsi="宋体" w:eastAsia="宋体" w:cs="宋体"/>
          <w:color w:val="auto"/>
          <w:szCs w:val="21"/>
          <w:highlight w:val="none"/>
          <w:u w:val="single"/>
        </w:rPr>
        <w:t>将全市劳务分包业务分为3个片区进行管理（详见下表），并为每个片区分别选取5家施工劳务分包供应商（3个片区共15家供应商）组成一个施工劳务分包供应商库。在服务期限内，</w:t>
      </w:r>
      <w:r>
        <w:rPr>
          <w:rFonts w:hint="eastAsia" w:ascii="宋体" w:hAnsi="宋体" w:eastAsia="宋体" w:cs="宋体"/>
          <w:color w:val="auto"/>
          <w:szCs w:val="21"/>
          <w:highlight w:val="none"/>
          <w:u w:val="single"/>
          <w:lang w:val="en-US" w:eastAsia="zh-CN"/>
        </w:rPr>
        <w:t>招标人将在供应商库内以直接选定或二次竞价方式开展</w:t>
      </w:r>
      <w:r>
        <w:rPr>
          <w:rFonts w:hint="eastAsia" w:ascii="宋体" w:hAnsi="宋体" w:eastAsia="宋体" w:cs="宋体"/>
          <w:color w:val="auto"/>
          <w:szCs w:val="21"/>
          <w:highlight w:val="none"/>
          <w:u w:val="single"/>
        </w:rPr>
        <w:t>劳务</w:t>
      </w:r>
      <w:r>
        <w:rPr>
          <w:rFonts w:hint="eastAsia" w:ascii="宋体" w:hAnsi="宋体" w:eastAsia="宋体" w:cs="宋体"/>
          <w:color w:val="auto"/>
          <w:szCs w:val="21"/>
          <w:highlight w:val="none"/>
          <w:u w:val="single"/>
          <w:lang w:val="en-US" w:eastAsia="zh-CN"/>
        </w:rPr>
        <w:t>分包委派</w:t>
      </w:r>
      <w:r>
        <w:rPr>
          <w:rFonts w:hint="eastAsia" w:ascii="宋体" w:hAnsi="宋体" w:eastAsia="宋体" w:cs="宋体"/>
          <w:color w:val="auto"/>
          <w:szCs w:val="21"/>
          <w:highlight w:val="none"/>
          <w:u w:val="single"/>
        </w:rPr>
        <w:t>工作。</w:t>
      </w:r>
      <w:r>
        <w:rPr>
          <w:rFonts w:hint="eastAsia" w:ascii="宋体" w:hAnsi="宋体" w:eastAsia="宋体" w:cs="宋体"/>
          <w:color w:val="auto"/>
          <w:highlight w:val="none"/>
          <w:u w:val="single"/>
          <w:lang w:val="en-US" w:eastAsia="zh-CN"/>
        </w:rPr>
        <w:t>本项目服务期限暂定为自合同签订之日起2年。</w:t>
      </w:r>
    </w:p>
    <w:p w14:paraId="06300B99">
      <w:pPr>
        <w:numPr>
          <w:ilvl w:val="255"/>
          <w:numId w:val="0"/>
        </w:numPr>
        <w:autoSpaceDE w:val="0"/>
        <w:autoSpaceDN w:val="0"/>
        <w:adjustRightInd w:val="0"/>
        <w:snapToGrid w:val="0"/>
        <w:spacing w:line="360" w:lineRule="auto"/>
        <w:ind w:right="-34"/>
        <w:jc w:val="center"/>
        <w:rPr>
          <w:rFonts w:hint="default" w:ascii="宋体" w:hAnsi="宋体" w:cs="宋体" w:eastAsiaTheme="minorEastAsia"/>
          <w:b/>
          <w:bCs/>
          <w:color w:val="auto"/>
          <w:szCs w:val="21"/>
          <w:highlight w:val="none"/>
          <w:u w:val="single"/>
          <w:lang w:val="en-US" w:eastAsia="zh-CN"/>
        </w:rPr>
      </w:pPr>
      <w:r>
        <w:rPr>
          <w:rFonts w:hint="eastAsia" w:ascii="宋体" w:hAnsi="宋体" w:eastAsia="宋体" w:cs="宋体"/>
          <w:b/>
          <w:bCs/>
          <w:color w:val="auto"/>
          <w:szCs w:val="21"/>
          <w:highlight w:val="none"/>
          <w:u w:val="single"/>
        </w:rPr>
        <w:t>表1 全市劳务分包业务区域划分表</w:t>
      </w:r>
    </w:p>
    <w:tbl>
      <w:tblPr>
        <w:tblStyle w:val="3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1"/>
        <w:gridCol w:w="7829"/>
        <w:gridCol w:w="898"/>
      </w:tblGrid>
      <w:tr w14:paraId="4C86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91" w:type="pct"/>
            <w:tcBorders>
              <w:top w:val="single" w:color="auto" w:sz="4" w:space="0"/>
              <w:left w:val="single" w:color="auto" w:sz="4" w:space="0"/>
              <w:bottom w:val="single" w:color="auto" w:sz="4" w:space="0"/>
              <w:right w:val="single" w:color="auto" w:sz="4" w:space="0"/>
            </w:tcBorders>
            <w:vAlign w:val="center"/>
          </w:tcPr>
          <w:p w14:paraId="61EB6914">
            <w:pPr>
              <w:keepNext w:val="0"/>
              <w:keepLines w:val="0"/>
              <w:suppressLineNumbers w:val="0"/>
              <w:spacing w:before="0" w:beforeAutospacing="0" w:after="0" w:afterAutospacing="0"/>
              <w:ind w:left="0" w:right="0"/>
              <w:jc w:val="center"/>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片区</w:t>
            </w:r>
          </w:p>
        </w:tc>
        <w:tc>
          <w:tcPr>
            <w:tcW w:w="3774" w:type="pct"/>
            <w:tcBorders>
              <w:top w:val="single" w:color="auto" w:sz="4" w:space="0"/>
              <w:left w:val="single" w:color="auto" w:sz="4" w:space="0"/>
              <w:bottom w:val="single" w:color="auto" w:sz="4" w:space="0"/>
              <w:right w:val="single" w:color="auto" w:sz="4" w:space="0"/>
            </w:tcBorders>
            <w:vAlign w:val="center"/>
          </w:tcPr>
          <w:p w14:paraId="782273F0">
            <w:pPr>
              <w:keepNext w:val="0"/>
              <w:keepLines w:val="0"/>
              <w:suppressLineNumbers w:val="0"/>
              <w:autoSpaceDE w:val="0"/>
              <w:autoSpaceDN w:val="0"/>
              <w:adjustRightInd w:val="0"/>
              <w:spacing w:before="0" w:beforeAutospacing="0" w:after="0" w:afterAutospacing="0"/>
              <w:ind w:left="0" w:right="0" w:firstLine="422" w:firstLineChars="200"/>
              <w:jc w:val="center"/>
              <w:rPr>
                <w:rFonts w:hint="eastAsia" w:ascii="宋体" w:hAnsi="宋体" w:eastAsia="宋体"/>
                <w:b/>
                <w:color w:val="auto"/>
                <w:szCs w:val="21"/>
                <w:highlight w:val="none"/>
              </w:rPr>
            </w:pPr>
            <w:r>
              <w:rPr>
                <w:rFonts w:hint="default" w:ascii="宋体" w:hAnsi="宋体" w:eastAsia="宋体"/>
                <w:b/>
                <w:color w:val="auto"/>
                <w:szCs w:val="21"/>
                <w:highlight w:val="none"/>
              </w:rPr>
              <w:t>涉及镇街</w:t>
            </w:r>
          </w:p>
        </w:tc>
        <w:tc>
          <w:tcPr>
            <w:tcW w:w="433" w:type="pct"/>
            <w:tcBorders>
              <w:top w:val="single" w:color="auto" w:sz="4" w:space="0"/>
              <w:left w:val="single" w:color="auto" w:sz="4" w:space="0"/>
              <w:bottom w:val="single" w:color="auto" w:sz="4" w:space="0"/>
              <w:right w:val="single" w:color="auto" w:sz="4" w:space="0"/>
            </w:tcBorders>
            <w:vAlign w:val="center"/>
          </w:tcPr>
          <w:p w14:paraId="460AFBB3">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b/>
                <w:color w:val="auto"/>
                <w:szCs w:val="21"/>
                <w:highlight w:val="none"/>
              </w:rPr>
            </w:pPr>
            <w:r>
              <w:rPr>
                <w:rFonts w:hint="default" w:ascii="宋体" w:hAnsi="宋体" w:eastAsia="宋体"/>
                <w:b/>
                <w:color w:val="auto"/>
                <w:szCs w:val="21"/>
                <w:highlight w:val="none"/>
              </w:rPr>
              <w:t>备注</w:t>
            </w:r>
          </w:p>
        </w:tc>
      </w:tr>
      <w:tr w14:paraId="45AD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1" w:type="pct"/>
            <w:tcBorders>
              <w:top w:val="single" w:color="auto" w:sz="4" w:space="0"/>
              <w:left w:val="single" w:color="auto" w:sz="4" w:space="0"/>
              <w:bottom w:val="single" w:color="auto" w:sz="4" w:space="0"/>
              <w:right w:val="single" w:color="auto" w:sz="4" w:space="0"/>
            </w:tcBorders>
            <w:shd w:val="clear" w:color="auto" w:fill="auto"/>
            <w:vAlign w:val="center"/>
          </w:tcPr>
          <w:p w14:paraId="22E2F401">
            <w:pPr>
              <w:pStyle w:val="180"/>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A</w:t>
            </w:r>
            <w:r>
              <w:rPr>
                <w:rFonts w:hint="eastAsia" w:ascii="宋体" w:hAnsi="宋体" w:cs="宋体"/>
                <w:color w:val="auto"/>
                <w:szCs w:val="21"/>
                <w:highlight w:val="none"/>
                <w:lang w:val="en-US" w:eastAsia="zh-CN"/>
              </w:rPr>
              <w:t>区</w:t>
            </w:r>
          </w:p>
        </w:tc>
        <w:tc>
          <w:tcPr>
            <w:tcW w:w="3774" w:type="pct"/>
            <w:tcBorders>
              <w:top w:val="single" w:color="auto" w:sz="4" w:space="0"/>
              <w:left w:val="single" w:color="auto" w:sz="4" w:space="0"/>
              <w:bottom w:val="single" w:color="auto" w:sz="4" w:space="0"/>
              <w:right w:val="single" w:color="auto" w:sz="4" w:space="0"/>
            </w:tcBorders>
            <w:shd w:val="clear" w:color="auto" w:fill="auto"/>
            <w:vAlign w:val="center"/>
          </w:tcPr>
          <w:p w14:paraId="69E1396B">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olor w:val="auto"/>
                <w:szCs w:val="21"/>
                <w:highlight w:val="none"/>
              </w:rPr>
            </w:pPr>
            <w:r>
              <w:rPr>
                <w:rFonts w:hint="eastAsia" w:ascii="宋体" w:hAnsi="宋体" w:eastAsia="宋体"/>
                <w:color w:val="auto"/>
                <w:szCs w:val="21"/>
                <w:highlight w:val="none"/>
              </w:rPr>
              <w:t>莞城街道、南城街道、万江街道、东城街道、松山湖园区、高埗镇、石碣镇、石龙镇、石排镇、茶山镇、寮步镇、大岭山镇、大朗镇；</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14:paraId="469578F9">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olor w:val="auto"/>
                <w:szCs w:val="21"/>
                <w:highlight w:val="none"/>
              </w:rPr>
            </w:pPr>
          </w:p>
        </w:tc>
      </w:tr>
      <w:tr w14:paraId="5E67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1" w:type="pct"/>
            <w:tcBorders>
              <w:top w:val="single" w:color="auto" w:sz="4" w:space="0"/>
              <w:left w:val="single" w:color="auto" w:sz="4" w:space="0"/>
              <w:bottom w:val="single" w:color="auto" w:sz="4" w:space="0"/>
              <w:right w:val="single" w:color="auto" w:sz="4" w:space="0"/>
            </w:tcBorders>
            <w:shd w:val="clear" w:color="auto" w:fill="auto"/>
            <w:vAlign w:val="center"/>
          </w:tcPr>
          <w:p w14:paraId="78A44EA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B</w:t>
            </w:r>
            <w:r>
              <w:rPr>
                <w:rFonts w:hint="eastAsia" w:ascii="宋体" w:hAnsi="宋体" w:eastAsia="宋体" w:cs="宋体"/>
                <w:color w:val="auto"/>
                <w:szCs w:val="21"/>
                <w:highlight w:val="none"/>
                <w:lang w:val="en-US" w:eastAsia="zh-CN"/>
              </w:rPr>
              <w:t>区</w:t>
            </w:r>
          </w:p>
        </w:tc>
        <w:tc>
          <w:tcPr>
            <w:tcW w:w="3774" w:type="pct"/>
            <w:tcBorders>
              <w:top w:val="single" w:color="auto" w:sz="4" w:space="0"/>
              <w:left w:val="single" w:color="auto" w:sz="4" w:space="0"/>
              <w:bottom w:val="single" w:color="auto" w:sz="4" w:space="0"/>
              <w:right w:val="single" w:color="auto" w:sz="4" w:space="0"/>
            </w:tcBorders>
            <w:shd w:val="clear" w:color="auto" w:fill="auto"/>
            <w:vAlign w:val="center"/>
          </w:tcPr>
          <w:p w14:paraId="71604988">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olor w:val="auto"/>
                <w:szCs w:val="21"/>
                <w:highlight w:val="none"/>
              </w:rPr>
            </w:pPr>
            <w:r>
              <w:rPr>
                <w:rFonts w:hint="eastAsia" w:ascii="宋体" w:hAnsi="宋体" w:eastAsia="宋体"/>
                <w:color w:val="auto"/>
                <w:szCs w:val="21"/>
                <w:highlight w:val="none"/>
              </w:rPr>
              <w:t>滨海湾新区、长安镇、虎门镇、厚街镇、沙田镇、道滘镇、洪梅镇、麻涌镇、望牛墩镇、中堂镇；</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14:paraId="6AB6CAF3">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olor w:val="auto"/>
                <w:szCs w:val="21"/>
                <w:highlight w:val="none"/>
              </w:rPr>
            </w:pPr>
          </w:p>
        </w:tc>
      </w:tr>
      <w:tr w14:paraId="5674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1" w:type="pct"/>
            <w:tcBorders>
              <w:top w:val="single" w:color="auto" w:sz="4" w:space="0"/>
              <w:left w:val="single" w:color="auto" w:sz="4" w:space="0"/>
              <w:bottom w:val="single" w:color="auto" w:sz="4" w:space="0"/>
              <w:right w:val="single" w:color="auto" w:sz="4" w:space="0"/>
            </w:tcBorders>
            <w:shd w:val="clear" w:color="auto" w:fill="auto"/>
            <w:vAlign w:val="center"/>
          </w:tcPr>
          <w:p w14:paraId="1C82B70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C</w:t>
            </w:r>
            <w:r>
              <w:rPr>
                <w:rFonts w:hint="eastAsia" w:ascii="宋体" w:hAnsi="宋体" w:eastAsia="宋体" w:cs="宋体"/>
                <w:color w:val="auto"/>
                <w:szCs w:val="21"/>
                <w:highlight w:val="none"/>
                <w:lang w:val="en-US" w:eastAsia="zh-CN"/>
              </w:rPr>
              <w:t>区</w:t>
            </w:r>
          </w:p>
        </w:tc>
        <w:tc>
          <w:tcPr>
            <w:tcW w:w="3774" w:type="pct"/>
            <w:tcBorders>
              <w:top w:val="single" w:color="auto" w:sz="4" w:space="0"/>
              <w:left w:val="single" w:color="auto" w:sz="4" w:space="0"/>
              <w:bottom w:val="single" w:color="auto" w:sz="4" w:space="0"/>
              <w:right w:val="single" w:color="auto" w:sz="4" w:space="0"/>
            </w:tcBorders>
            <w:shd w:val="clear" w:color="auto" w:fill="auto"/>
            <w:vAlign w:val="center"/>
          </w:tcPr>
          <w:p w14:paraId="6D3E72D5">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olor w:val="auto"/>
                <w:szCs w:val="21"/>
                <w:highlight w:val="none"/>
              </w:rPr>
            </w:pPr>
            <w:r>
              <w:rPr>
                <w:rFonts w:hint="eastAsia" w:ascii="宋体" w:hAnsi="宋体" w:eastAsia="宋体"/>
                <w:color w:val="auto"/>
                <w:szCs w:val="21"/>
                <w:highlight w:val="none"/>
              </w:rPr>
              <w:t>横沥镇、东坑镇、企石镇、桥头镇、谢岗镇、常平镇、黄江镇、樟木头镇、塘厦镇、清溪镇、凤岗镇。</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14:paraId="51450B6A">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olor w:val="auto"/>
                <w:szCs w:val="21"/>
                <w:highlight w:val="none"/>
              </w:rPr>
            </w:pPr>
          </w:p>
        </w:tc>
      </w:tr>
    </w:tbl>
    <w:p w14:paraId="1AE00B7A">
      <w:pPr>
        <w:numPr>
          <w:ilvl w:val="255"/>
          <w:numId w:val="0"/>
        </w:numPr>
        <w:autoSpaceDE w:val="0"/>
        <w:autoSpaceDN w:val="0"/>
        <w:adjustRightInd w:val="0"/>
        <w:snapToGrid w:val="0"/>
        <w:spacing w:line="360" w:lineRule="auto"/>
        <w:ind w:right="-34"/>
        <w:jc w:val="left"/>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（具体内容详见：第三篇用户需求书）。</w:t>
      </w:r>
    </w:p>
    <w:p w14:paraId="20EFDD85">
      <w:pPr>
        <w:autoSpaceDE w:val="0"/>
        <w:autoSpaceDN w:val="0"/>
        <w:adjustRightInd w:val="0"/>
        <w:spacing w:line="360" w:lineRule="auto"/>
        <w:ind w:right="-29" w:rightChars="-14" w:firstLine="422" w:firstLineChars="200"/>
        <w:rPr>
          <w:rFonts w:hint="default"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zh-CN"/>
        </w:rPr>
        <w:t>注：</w:t>
      </w:r>
    </w:p>
    <w:p w14:paraId="0F430E45">
      <w:pPr>
        <w:autoSpaceDE w:val="0"/>
        <w:autoSpaceDN w:val="0"/>
        <w:adjustRightInd w:val="0"/>
        <w:spacing w:line="360" w:lineRule="auto"/>
        <w:ind w:right="-29" w:rightChars="-14" w:firstLine="422" w:firstLineChars="200"/>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lang w:val="zh-CN"/>
        </w:rPr>
        <w:t>（1）</w:t>
      </w:r>
      <w:r>
        <w:rPr>
          <w:rFonts w:hint="eastAsia" w:ascii="宋体" w:hAnsi="宋体" w:eastAsia="宋体" w:cs="Times New Roman"/>
          <w:b/>
          <w:bCs/>
          <w:color w:val="auto"/>
          <w:szCs w:val="21"/>
          <w:highlight w:val="none"/>
          <w:lang w:val="en-US" w:eastAsia="zh-CN"/>
        </w:rPr>
        <w:t>投标人投标时，可按第五篇 投标文件格式 第一部分 商务标格式中的“投标意向区域表”填报投标人的投标意向区域，但投标人最终只能按照招标文件规定的中标候选人推荐方法及中标人确认原则中标其中一个片区。</w:t>
      </w:r>
    </w:p>
    <w:p w14:paraId="45E7967A">
      <w:pPr>
        <w:autoSpaceDE w:val="0"/>
        <w:autoSpaceDN w:val="0"/>
        <w:adjustRightInd w:val="0"/>
        <w:spacing w:line="360" w:lineRule="auto"/>
        <w:ind w:right="-29" w:rightChars="-14" w:firstLine="422" w:firstLineChars="200"/>
        <w:rPr>
          <w:rFonts w:hint="eastAsia" w:ascii="宋体" w:hAnsi="宋体" w:eastAsia="宋体" w:cs="Times New Roman"/>
          <w:b/>
          <w:bCs/>
          <w:color w:val="auto"/>
          <w:szCs w:val="21"/>
          <w:highlight w:val="none"/>
          <w:lang w:val="zh-CN"/>
        </w:rPr>
      </w:pPr>
      <w:r>
        <w:rPr>
          <w:rFonts w:hint="eastAsia" w:ascii="宋体" w:hAnsi="宋体" w:eastAsia="宋体" w:cs="Times New Roman"/>
          <w:b/>
          <w:bCs/>
          <w:color w:val="auto"/>
          <w:szCs w:val="21"/>
          <w:highlight w:val="none"/>
          <w:lang w:val="zh-CN"/>
        </w:rPr>
        <w:t>（2）上述片区范围不作为招标人</w:t>
      </w:r>
      <w:r>
        <w:rPr>
          <w:rFonts w:hint="eastAsia" w:ascii="宋体" w:hAnsi="宋体" w:eastAsia="宋体" w:cs="Times New Roman"/>
          <w:b/>
          <w:bCs/>
          <w:color w:val="auto"/>
          <w:szCs w:val="21"/>
          <w:highlight w:val="none"/>
        </w:rPr>
        <w:t>施工劳务分包业务</w:t>
      </w:r>
      <w:r>
        <w:rPr>
          <w:rFonts w:hint="eastAsia" w:ascii="宋体" w:hAnsi="宋体" w:eastAsia="宋体" w:cs="Times New Roman"/>
          <w:b/>
          <w:bCs/>
          <w:color w:val="auto"/>
          <w:szCs w:val="21"/>
          <w:highlight w:val="none"/>
          <w:lang w:val="zh-CN"/>
        </w:rPr>
        <w:t>承接数量的保证。</w:t>
      </w:r>
    </w:p>
    <w:p w14:paraId="06395388">
      <w:pPr>
        <w:autoSpaceDE w:val="0"/>
        <w:autoSpaceDN w:val="0"/>
        <w:adjustRightInd w:val="0"/>
        <w:spacing w:line="360" w:lineRule="auto"/>
        <w:ind w:right="-29" w:rightChars="-14" w:firstLine="420" w:firstLineChars="200"/>
        <w:rPr>
          <w:rFonts w:hint="eastAsia" w:ascii="宋体" w:hAnsi="宋体" w:eastAsia="宋体" w:cs="Times New Roman"/>
          <w:color w:val="auto"/>
          <w:szCs w:val="21"/>
          <w:highlight w:val="none"/>
          <w:lang w:val="zh-CN"/>
        </w:rPr>
      </w:pPr>
    </w:p>
    <w:p w14:paraId="2D9D50ED">
      <w:pPr>
        <w:numPr>
          <w:ilvl w:val="0"/>
          <w:numId w:val="1"/>
        </w:numPr>
        <w:autoSpaceDE w:val="0"/>
        <w:autoSpaceDN w:val="0"/>
        <w:adjustRightInd w:val="0"/>
        <w:snapToGrid w:val="0"/>
        <w:spacing w:line="360" w:lineRule="auto"/>
        <w:ind w:right="-34"/>
        <w:jc w:val="left"/>
        <w:rPr>
          <w:rFonts w:hint="eastAsia" w:ascii="宋体" w:hAnsi="宋体" w:eastAsia="宋体" w:cs="Times New Roman"/>
          <w:b/>
          <w:color w:val="auto"/>
          <w:szCs w:val="21"/>
          <w:highlight w:val="none"/>
          <w:lang w:val="zh-CN"/>
        </w:rPr>
      </w:pPr>
      <w:r>
        <w:rPr>
          <w:rFonts w:ascii="宋体" w:hAnsi="宋体" w:eastAsia="宋体" w:cs="Times New Roman"/>
          <w:b/>
          <w:color w:val="auto"/>
          <w:szCs w:val="21"/>
          <w:highlight w:val="none"/>
          <w:lang w:val="zh-CN"/>
        </w:rPr>
        <w:t>合格投标人</w:t>
      </w:r>
      <w:r>
        <w:rPr>
          <w:rFonts w:hint="eastAsia" w:ascii="宋体" w:hAnsi="宋体" w:eastAsia="宋体" w:cs="Times New Roman"/>
          <w:b/>
          <w:color w:val="auto"/>
          <w:szCs w:val="21"/>
          <w:highlight w:val="none"/>
          <w:lang w:val="zh-CN"/>
        </w:rPr>
        <w:t>资格要求</w:t>
      </w:r>
      <w:r>
        <w:rPr>
          <w:rFonts w:ascii="宋体" w:hAnsi="宋体" w:eastAsia="宋体" w:cs="Times New Roman"/>
          <w:b/>
          <w:color w:val="auto"/>
          <w:szCs w:val="21"/>
          <w:highlight w:val="none"/>
          <w:lang w:val="zh-CN"/>
        </w:rPr>
        <w:t>：</w:t>
      </w:r>
    </w:p>
    <w:p w14:paraId="121B17F0">
      <w:pPr>
        <w:pStyle w:val="162"/>
        <w:spacing w:line="360" w:lineRule="auto"/>
        <w:ind w:right="-29" w:rightChars="-14" w:firstLine="0" w:firstLineChars="0"/>
        <w:jc w:val="both"/>
        <w:rPr>
          <w:rFonts w:hint="eastAsia" w:hAnsi="宋体" w:eastAsia="宋体"/>
          <w:b/>
          <w:color w:val="auto"/>
          <w:sz w:val="21"/>
          <w:szCs w:val="21"/>
          <w:highlight w:val="none"/>
          <w:lang w:val="zh-CN"/>
        </w:rPr>
      </w:pPr>
      <w:r>
        <w:rPr>
          <w:rFonts w:hint="eastAsia" w:hAnsi="宋体" w:eastAsia="宋体"/>
          <w:b/>
          <w:color w:val="auto"/>
          <w:sz w:val="21"/>
          <w:szCs w:val="21"/>
          <w:highlight w:val="none"/>
          <w:lang w:val="zh-CN"/>
        </w:rPr>
        <w:t>2</w:t>
      </w:r>
      <w:r>
        <w:rPr>
          <w:rFonts w:hAnsi="宋体" w:eastAsia="宋体"/>
          <w:b/>
          <w:color w:val="auto"/>
          <w:sz w:val="21"/>
          <w:szCs w:val="21"/>
          <w:highlight w:val="none"/>
          <w:lang w:val="zh-CN"/>
        </w:rPr>
        <w:t xml:space="preserve">.1 </w:t>
      </w:r>
      <w:r>
        <w:rPr>
          <w:rFonts w:hint="eastAsia" w:hAnsi="宋体" w:eastAsia="宋体"/>
          <w:b/>
          <w:color w:val="auto"/>
          <w:sz w:val="21"/>
          <w:szCs w:val="21"/>
          <w:highlight w:val="none"/>
          <w:lang w:val="zh-CN"/>
        </w:rPr>
        <w:t>在中华人民共和国境内登记注册、合法存续、正常经营且具有独立承担民事责任能力的法人或其他组织</w:t>
      </w:r>
      <w:r>
        <w:rPr>
          <w:rFonts w:hAnsi="宋体" w:eastAsia="宋体"/>
          <w:b/>
          <w:color w:val="auto"/>
          <w:sz w:val="21"/>
          <w:szCs w:val="21"/>
          <w:highlight w:val="none"/>
          <w:lang w:val="zh-CN"/>
        </w:rPr>
        <w:t>；</w:t>
      </w:r>
    </w:p>
    <w:p w14:paraId="4DBF70A7">
      <w:pPr>
        <w:pStyle w:val="162"/>
        <w:spacing w:line="360" w:lineRule="auto"/>
        <w:ind w:right="-29" w:rightChars="-14" w:firstLine="0" w:firstLineChars="0"/>
        <w:jc w:val="both"/>
        <w:rPr>
          <w:rFonts w:hint="eastAsia" w:hAnsi="宋体" w:eastAsia="宋体"/>
          <w:b/>
          <w:color w:val="auto"/>
          <w:sz w:val="21"/>
          <w:szCs w:val="21"/>
          <w:highlight w:val="none"/>
        </w:rPr>
      </w:pPr>
      <w:bookmarkStart w:id="4" w:name="_Toc25819"/>
      <w:r>
        <w:rPr>
          <w:rFonts w:hint="eastAsia" w:hAnsi="宋体" w:eastAsia="宋体"/>
          <w:b/>
          <w:color w:val="auto"/>
          <w:sz w:val="21"/>
          <w:szCs w:val="21"/>
          <w:highlight w:val="none"/>
        </w:rPr>
        <w:t>2.2 投标人具有建设行政主管部门核发的且在有效期内的施工劳务企业资质证书；</w:t>
      </w:r>
    </w:p>
    <w:p w14:paraId="3EE88DFA">
      <w:pPr>
        <w:pStyle w:val="162"/>
        <w:spacing w:line="360" w:lineRule="auto"/>
        <w:ind w:right="-29" w:rightChars="-14" w:firstLine="0" w:firstLineChars="0"/>
        <w:jc w:val="both"/>
        <w:rPr>
          <w:rFonts w:hint="eastAsia" w:hAnsi="宋体" w:eastAsia="宋体"/>
          <w:b/>
          <w:color w:val="auto"/>
          <w:sz w:val="21"/>
          <w:szCs w:val="21"/>
          <w:highlight w:val="none"/>
        </w:rPr>
      </w:pPr>
      <w:r>
        <w:rPr>
          <w:rFonts w:hint="eastAsia" w:hAnsi="宋体" w:eastAsia="宋体"/>
          <w:b/>
          <w:color w:val="auto"/>
          <w:sz w:val="21"/>
          <w:szCs w:val="21"/>
          <w:highlight w:val="none"/>
        </w:rPr>
        <w:t>2.3 投标人</w:t>
      </w:r>
      <w:r>
        <w:rPr>
          <w:rFonts w:hint="eastAsia" w:hAnsi="宋体" w:eastAsia="宋体" w:cs="宋体"/>
          <w:b/>
          <w:color w:val="auto"/>
          <w:sz w:val="21"/>
          <w:szCs w:val="21"/>
          <w:highlight w:val="none"/>
          <w:lang w:val="zh-CN"/>
        </w:rPr>
        <w:t>具有建设行政主管部门核发的且在有效期内的</w:t>
      </w:r>
      <w:r>
        <w:rPr>
          <w:rFonts w:hint="eastAsia" w:hAnsi="宋体" w:eastAsia="宋体"/>
          <w:b/>
          <w:color w:val="auto"/>
          <w:sz w:val="21"/>
          <w:szCs w:val="21"/>
          <w:highlight w:val="none"/>
        </w:rPr>
        <w:t>安全生产许可证；</w:t>
      </w:r>
    </w:p>
    <w:p w14:paraId="30D20095">
      <w:pPr>
        <w:pStyle w:val="162"/>
        <w:spacing w:line="360" w:lineRule="auto"/>
        <w:ind w:left="422" w:right="-29" w:rightChars="-14" w:hanging="422" w:hangingChars="200"/>
        <w:jc w:val="both"/>
        <w:rPr>
          <w:rFonts w:hint="eastAsia" w:hAnsi="宋体" w:eastAsia="宋体"/>
          <w:b/>
          <w:color w:val="auto"/>
          <w:sz w:val="21"/>
          <w:szCs w:val="21"/>
          <w:highlight w:val="none"/>
        </w:rPr>
      </w:pPr>
      <w:r>
        <w:rPr>
          <w:rFonts w:hint="eastAsia" w:hAnsi="宋体" w:eastAsia="宋体"/>
          <w:b/>
          <w:color w:val="auto"/>
          <w:sz w:val="21"/>
          <w:szCs w:val="21"/>
          <w:highlight w:val="none"/>
          <w:lang w:val="zh-CN"/>
        </w:rPr>
        <w:t>2.</w:t>
      </w:r>
      <w:r>
        <w:rPr>
          <w:rFonts w:hint="eastAsia" w:hAnsi="宋体" w:eastAsia="宋体"/>
          <w:b/>
          <w:color w:val="auto"/>
          <w:sz w:val="21"/>
          <w:szCs w:val="21"/>
          <w:highlight w:val="none"/>
        </w:rPr>
        <w:t>4</w:t>
      </w:r>
      <w:r>
        <w:rPr>
          <w:rFonts w:hint="eastAsia" w:hAnsi="宋体" w:eastAsia="宋体"/>
          <w:b/>
          <w:color w:val="auto"/>
          <w:sz w:val="21"/>
          <w:szCs w:val="21"/>
          <w:highlight w:val="none"/>
          <w:lang w:val="zh-CN"/>
        </w:rPr>
        <w:t xml:space="preserve"> 投标人</w:t>
      </w:r>
      <w:r>
        <w:rPr>
          <w:rFonts w:hint="eastAsia" w:hAnsi="宋体" w:eastAsia="宋体"/>
          <w:b/>
          <w:color w:val="auto"/>
          <w:sz w:val="21"/>
          <w:szCs w:val="21"/>
          <w:highlight w:val="none"/>
        </w:rPr>
        <w:t>2022</w:t>
      </w:r>
      <w:r>
        <w:rPr>
          <w:rFonts w:hint="eastAsia" w:hAnsi="宋体" w:eastAsia="宋体"/>
          <w:b/>
          <w:color w:val="auto"/>
          <w:sz w:val="21"/>
          <w:szCs w:val="21"/>
          <w:highlight w:val="none"/>
          <w:lang w:val="zh-CN"/>
        </w:rPr>
        <w:t>年</w:t>
      </w:r>
      <w:r>
        <w:rPr>
          <w:rFonts w:hint="eastAsia" w:hAnsi="宋体" w:eastAsia="宋体"/>
          <w:b/>
          <w:color w:val="auto"/>
          <w:sz w:val="21"/>
          <w:szCs w:val="21"/>
          <w:highlight w:val="none"/>
        </w:rPr>
        <w:t>1</w:t>
      </w:r>
      <w:r>
        <w:rPr>
          <w:rFonts w:hint="eastAsia" w:hAnsi="宋体" w:eastAsia="宋体"/>
          <w:b/>
          <w:color w:val="auto"/>
          <w:sz w:val="21"/>
          <w:szCs w:val="21"/>
          <w:highlight w:val="none"/>
          <w:lang w:val="zh-CN"/>
        </w:rPr>
        <w:t>月</w:t>
      </w:r>
      <w:r>
        <w:rPr>
          <w:rFonts w:hint="eastAsia" w:hAnsi="宋体" w:eastAsia="宋体"/>
          <w:b/>
          <w:color w:val="auto"/>
          <w:sz w:val="21"/>
          <w:szCs w:val="21"/>
          <w:highlight w:val="none"/>
        </w:rPr>
        <w:t>1</w:t>
      </w:r>
      <w:r>
        <w:rPr>
          <w:rFonts w:hint="eastAsia" w:hAnsi="宋体" w:eastAsia="宋体"/>
          <w:b/>
          <w:color w:val="auto"/>
          <w:sz w:val="21"/>
          <w:szCs w:val="21"/>
          <w:highlight w:val="none"/>
          <w:lang w:val="zh-CN"/>
        </w:rPr>
        <w:t>日以来</w:t>
      </w:r>
      <w:r>
        <w:rPr>
          <w:rFonts w:hint="eastAsia" w:hAnsi="宋体" w:eastAsia="宋体"/>
          <w:b/>
          <w:color w:val="auto"/>
          <w:sz w:val="21"/>
          <w:szCs w:val="21"/>
          <w:highlight w:val="none"/>
        </w:rPr>
        <w:t>已完成一个</w:t>
      </w:r>
      <w:r>
        <w:rPr>
          <w:rFonts w:hint="eastAsia" w:hAnsi="宋体" w:eastAsia="宋体"/>
          <w:b/>
          <w:color w:val="auto"/>
          <w:sz w:val="21"/>
          <w:szCs w:val="21"/>
          <w:highlight w:val="none"/>
          <w:lang w:val="zh-CN"/>
        </w:rPr>
        <w:t>市政</w:t>
      </w:r>
      <w:r>
        <w:rPr>
          <w:rFonts w:hint="eastAsia" w:hAnsi="宋体" w:eastAsia="宋体"/>
          <w:b/>
          <w:color w:val="auto"/>
          <w:sz w:val="21"/>
          <w:szCs w:val="21"/>
          <w:highlight w:val="none"/>
        </w:rPr>
        <w:t>类</w:t>
      </w:r>
      <w:r>
        <w:rPr>
          <w:rFonts w:hint="eastAsia" w:hAnsi="宋体" w:eastAsia="宋体"/>
          <w:b/>
          <w:color w:val="auto"/>
          <w:sz w:val="21"/>
          <w:szCs w:val="21"/>
          <w:highlight w:val="none"/>
          <w:lang w:val="zh-CN"/>
        </w:rPr>
        <w:t>工程施工项目劳务分包业绩（合同签订日期为</w:t>
      </w:r>
      <w:r>
        <w:rPr>
          <w:rFonts w:hint="eastAsia" w:hAnsi="宋体" w:eastAsia="宋体"/>
          <w:b/>
          <w:color w:val="auto"/>
          <w:sz w:val="21"/>
          <w:szCs w:val="21"/>
          <w:highlight w:val="none"/>
        </w:rPr>
        <w:t>2022</w:t>
      </w:r>
      <w:r>
        <w:rPr>
          <w:rFonts w:hint="eastAsia" w:hAnsi="宋体" w:eastAsia="宋体"/>
          <w:b/>
          <w:color w:val="auto"/>
          <w:sz w:val="21"/>
          <w:szCs w:val="21"/>
          <w:highlight w:val="none"/>
          <w:lang w:val="zh-CN"/>
        </w:rPr>
        <w:t>年</w:t>
      </w:r>
      <w:r>
        <w:rPr>
          <w:rFonts w:hint="eastAsia" w:hAnsi="宋体" w:eastAsia="宋体"/>
          <w:b/>
          <w:color w:val="auto"/>
          <w:sz w:val="21"/>
          <w:szCs w:val="21"/>
          <w:highlight w:val="none"/>
        </w:rPr>
        <w:t>1</w:t>
      </w:r>
      <w:r>
        <w:rPr>
          <w:rFonts w:hint="eastAsia" w:hAnsi="宋体" w:eastAsia="宋体"/>
          <w:b/>
          <w:color w:val="auto"/>
          <w:sz w:val="21"/>
          <w:szCs w:val="21"/>
          <w:highlight w:val="none"/>
          <w:lang w:val="zh-CN"/>
        </w:rPr>
        <w:t>月</w:t>
      </w:r>
      <w:r>
        <w:rPr>
          <w:rFonts w:hint="eastAsia" w:hAnsi="宋体" w:eastAsia="宋体"/>
          <w:b/>
          <w:color w:val="auto"/>
          <w:sz w:val="21"/>
          <w:szCs w:val="21"/>
          <w:highlight w:val="none"/>
        </w:rPr>
        <w:t>1</w:t>
      </w:r>
      <w:r>
        <w:rPr>
          <w:rFonts w:hint="eastAsia" w:hAnsi="宋体" w:eastAsia="宋体"/>
          <w:b/>
          <w:color w:val="auto"/>
          <w:sz w:val="21"/>
          <w:szCs w:val="21"/>
          <w:highlight w:val="none"/>
          <w:lang w:val="zh-CN"/>
        </w:rPr>
        <w:t>日或以后）；</w:t>
      </w:r>
    </w:p>
    <w:p w14:paraId="414A5E03">
      <w:pPr>
        <w:pStyle w:val="162"/>
        <w:spacing w:line="360" w:lineRule="auto"/>
        <w:ind w:right="-29" w:rightChars="-14" w:firstLine="0" w:firstLineChars="0"/>
        <w:jc w:val="both"/>
        <w:rPr>
          <w:rFonts w:hint="eastAsia" w:hAnsi="宋体" w:eastAsia="宋体"/>
          <w:b/>
          <w:color w:val="auto"/>
          <w:sz w:val="21"/>
          <w:szCs w:val="21"/>
          <w:highlight w:val="none"/>
          <w:lang w:val="zh-CN"/>
        </w:rPr>
      </w:pPr>
      <w:r>
        <w:rPr>
          <w:rFonts w:hint="eastAsia" w:hAnsi="宋体" w:eastAsia="宋体"/>
          <w:b/>
          <w:color w:val="auto"/>
          <w:sz w:val="21"/>
          <w:szCs w:val="21"/>
          <w:highlight w:val="none"/>
        </w:rPr>
        <w:t xml:space="preserve">2.5 </w:t>
      </w:r>
      <w:r>
        <w:rPr>
          <w:rFonts w:hint="eastAsia" w:hAnsi="宋体" w:eastAsia="宋体"/>
          <w:b/>
          <w:color w:val="auto"/>
          <w:sz w:val="21"/>
          <w:szCs w:val="21"/>
          <w:highlight w:val="none"/>
          <w:lang w:val="zh-CN"/>
        </w:rPr>
        <w:t>本项目不接受联合体投标。</w:t>
      </w:r>
      <w:bookmarkEnd w:id="4"/>
    </w:p>
    <w:p w14:paraId="09D79B4A">
      <w:pPr>
        <w:pStyle w:val="162"/>
        <w:autoSpaceDE/>
        <w:autoSpaceDN/>
        <w:spacing w:line="360" w:lineRule="auto"/>
        <w:ind w:left="641" w:right="-29" w:rightChars="-14" w:hanging="641" w:hangingChars="304"/>
        <w:jc w:val="both"/>
        <w:rPr>
          <w:rFonts w:hint="eastAsia" w:hAnsi="宋体" w:eastAsia="宋体"/>
          <w:b/>
          <w:color w:val="auto"/>
          <w:sz w:val="21"/>
          <w:szCs w:val="21"/>
          <w:highlight w:val="none"/>
          <w:u w:val="single"/>
          <w:lang w:val="zh-CN"/>
        </w:rPr>
      </w:pPr>
      <w:r>
        <w:rPr>
          <w:rFonts w:hint="eastAsia" w:hAnsi="宋体" w:eastAsia="宋体"/>
          <w:b/>
          <w:color w:val="auto"/>
          <w:sz w:val="21"/>
          <w:szCs w:val="21"/>
          <w:highlight w:val="none"/>
          <w:u w:val="single"/>
        </w:rPr>
        <w:t>备注</w:t>
      </w:r>
      <w:r>
        <w:rPr>
          <w:rFonts w:hint="eastAsia" w:hAnsi="宋体" w:eastAsia="宋体"/>
          <w:b/>
          <w:color w:val="auto"/>
          <w:sz w:val="21"/>
          <w:szCs w:val="21"/>
          <w:highlight w:val="none"/>
          <w:u w:val="single"/>
          <w:lang w:val="zh-CN"/>
        </w:rPr>
        <w:t>：</w:t>
      </w:r>
    </w:p>
    <w:p w14:paraId="6288C4EB">
      <w:pPr>
        <w:pStyle w:val="162"/>
        <w:autoSpaceDE/>
        <w:autoSpaceDN/>
        <w:spacing w:line="360" w:lineRule="auto"/>
        <w:ind w:left="-1" w:right="-29" w:rightChars="-14" w:firstLine="422"/>
        <w:jc w:val="both"/>
        <w:rPr>
          <w:rFonts w:hint="eastAsia" w:hAnsi="宋体" w:eastAsia="宋体"/>
          <w:b/>
          <w:color w:val="auto"/>
          <w:sz w:val="21"/>
          <w:szCs w:val="21"/>
          <w:highlight w:val="none"/>
          <w:u w:val="single"/>
          <w:lang w:val="zh-CN"/>
        </w:rPr>
      </w:pPr>
      <w:r>
        <w:rPr>
          <w:rFonts w:hint="eastAsia" w:hAnsi="宋体" w:eastAsia="宋体"/>
          <w:b/>
          <w:color w:val="auto"/>
          <w:sz w:val="21"/>
          <w:szCs w:val="21"/>
          <w:highlight w:val="none"/>
          <w:u w:val="single"/>
          <w:lang w:val="zh-CN"/>
        </w:rPr>
        <w:t>（1）</w:t>
      </w:r>
      <w:r>
        <w:rPr>
          <w:rFonts w:hint="eastAsia" w:hAnsi="宋体" w:eastAsia="宋体"/>
          <w:b/>
          <w:color w:val="auto"/>
          <w:sz w:val="21"/>
          <w:szCs w:val="21"/>
          <w:highlight w:val="none"/>
          <w:u w:val="single"/>
        </w:rPr>
        <w:t>投标人</w:t>
      </w:r>
      <w:r>
        <w:rPr>
          <w:rFonts w:hint="eastAsia" w:hAnsi="宋体" w:eastAsia="宋体"/>
          <w:b/>
          <w:color w:val="auto"/>
          <w:sz w:val="21"/>
          <w:szCs w:val="21"/>
          <w:highlight w:val="none"/>
          <w:u w:val="single"/>
          <w:lang w:val="zh-CN"/>
        </w:rPr>
        <w:t>应在东莞市公共资源交易企业库建档，且在东莞市公共资源交易企业库（相应企业档案“企业资质栏”的“资质名称”项）中登记的资质不低于上述第</w:t>
      </w:r>
      <w:r>
        <w:rPr>
          <w:rFonts w:hint="eastAsia" w:hAnsi="宋体" w:eastAsia="宋体"/>
          <w:b/>
          <w:color w:val="auto"/>
          <w:sz w:val="21"/>
          <w:szCs w:val="21"/>
          <w:highlight w:val="none"/>
          <w:u w:val="single"/>
        </w:rPr>
        <w:t>2.2</w:t>
      </w:r>
      <w:r>
        <w:rPr>
          <w:rFonts w:hint="eastAsia" w:hAnsi="宋体" w:eastAsia="宋体"/>
          <w:b/>
          <w:color w:val="auto"/>
          <w:sz w:val="21"/>
          <w:szCs w:val="21"/>
          <w:highlight w:val="none"/>
          <w:u w:val="single"/>
          <w:lang w:val="zh-CN"/>
        </w:rPr>
        <w:t>款规定的投标人资质条件，应按照《关于企业库建档有关事项的通知》(东公资交〔2016〕67号)的要求填报相关信息；</w:t>
      </w:r>
    </w:p>
    <w:p w14:paraId="7643895E">
      <w:pPr>
        <w:pStyle w:val="162"/>
        <w:autoSpaceDE/>
        <w:autoSpaceDN/>
        <w:spacing w:line="360" w:lineRule="auto"/>
        <w:ind w:left="-1" w:firstLine="422"/>
        <w:jc w:val="both"/>
        <w:rPr>
          <w:rFonts w:hint="eastAsia" w:hAnsi="宋体" w:eastAsia="宋体"/>
          <w:b/>
          <w:color w:val="auto"/>
          <w:sz w:val="21"/>
          <w:szCs w:val="21"/>
          <w:highlight w:val="none"/>
        </w:rPr>
      </w:pPr>
      <w:r>
        <w:rPr>
          <w:rFonts w:hint="eastAsia" w:hAnsi="宋体" w:eastAsia="宋体"/>
          <w:b/>
          <w:color w:val="auto"/>
          <w:sz w:val="21"/>
          <w:szCs w:val="21"/>
          <w:highlight w:val="none"/>
          <w:u w:val="single"/>
          <w:lang w:val="zh-CN"/>
        </w:rPr>
        <w:t>（2）在招标文件规定的东莞市公共资源交易E网通管理平台建设工程交易系统（以下简称交易系统）信息数据采集时间前，投标人已在东莞市公共资源交易企业库建档，且法人、法定代表人名称或企业、人员资质证书等与本次招标项目密切相关的信息发生变更时已办结该变更的登记手续，投标人应登录交易系统核实企业填报数据真实有效。</w:t>
      </w:r>
    </w:p>
    <w:p w14:paraId="7E67E40A">
      <w:pPr>
        <w:autoSpaceDE w:val="0"/>
        <w:autoSpaceDN w:val="0"/>
        <w:adjustRightInd w:val="0"/>
        <w:spacing w:line="360" w:lineRule="auto"/>
        <w:ind w:right="-29" w:rightChars="-14" w:firstLine="420" w:firstLineChars="200"/>
        <w:rPr>
          <w:rFonts w:hint="eastAsia" w:ascii="宋体" w:hAnsi="宋体" w:eastAsia="宋体" w:cs="Times New Roman"/>
          <w:color w:val="auto"/>
          <w:szCs w:val="21"/>
          <w:highlight w:val="none"/>
          <w:lang w:val="zh-CN"/>
        </w:rPr>
      </w:pPr>
    </w:p>
    <w:p w14:paraId="04C5CBB0">
      <w:pPr>
        <w:numPr>
          <w:ilvl w:val="0"/>
          <w:numId w:val="1"/>
        </w:numPr>
        <w:autoSpaceDE w:val="0"/>
        <w:autoSpaceDN w:val="0"/>
        <w:adjustRightInd w:val="0"/>
        <w:snapToGrid w:val="0"/>
        <w:spacing w:line="360" w:lineRule="auto"/>
        <w:ind w:right="-34"/>
        <w:jc w:val="left"/>
        <w:rPr>
          <w:rFonts w:hint="eastAsia" w:ascii="宋体" w:hAnsi="宋体" w:eastAsia="宋体" w:cs="Times New Roman"/>
          <w:color w:val="auto"/>
          <w:szCs w:val="21"/>
          <w:highlight w:val="none"/>
          <w:lang w:val="zh-CN"/>
        </w:rPr>
      </w:pPr>
      <w:r>
        <w:rPr>
          <w:rFonts w:ascii="宋体" w:hAnsi="宋体" w:eastAsia="宋体" w:cs="Times New Roman"/>
          <w:color w:val="auto"/>
          <w:szCs w:val="21"/>
          <w:highlight w:val="none"/>
          <w:lang w:val="zh-CN"/>
        </w:rPr>
        <w:t>获取招标文件的方式：</w:t>
      </w:r>
      <w:r>
        <w:rPr>
          <w:rFonts w:hint="eastAsia" w:ascii="宋体" w:hAnsi="宋体" w:eastAsia="宋体" w:cs="Times New Roman"/>
          <w:color w:val="auto"/>
          <w:szCs w:val="21"/>
          <w:highlight w:val="none"/>
          <w:lang w:val="zh-CN"/>
        </w:rPr>
        <w:t>凡有意参加投标者，可于2025年</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u w:val="single"/>
          <w:lang w:val="en-US" w:eastAsia="zh-CN"/>
        </w:rPr>
        <w:t>06</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lang w:val="zh-CN"/>
        </w:rPr>
        <w:t>月</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u w:val="single"/>
          <w:lang w:val="en-US" w:eastAsia="zh-CN"/>
        </w:rPr>
        <w:t>04</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lang w:val="zh-CN"/>
        </w:rPr>
        <w:t>日至投标截止时间前登录交易系统下载本次招标项目的招标文件等资料。</w:t>
      </w:r>
    </w:p>
    <w:p w14:paraId="06FBF603">
      <w:pPr>
        <w:autoSpaceDE w:val="0"/>
        <w:autoSpaceDN w:val="0"/>
        <w:adjustRightInd w:val="0"/>
        <w:spacing w:line="360" w:lineRule="auto"/>
        <w:ind w:left="630" w:leftChars="100" w:right="-29" w:rightChars="-14" w:hanging="420" w:hangingChars="200"/>
        <w:rPr>
          <w:rFonts w:hint="eastAsia" w:ascii="宋体" w:hAnsi="宋体" w:eastAsia="宋体" w:cs="Times New Roman"/>
          <w:color w:val="auto"/>
          <w:szCs w:val="21"/>
          <w:highlight w:val="none"/>
          <w:lang w:val="zh-CN"/>
        </w:rPr>
      </w:pPr>
    </w:p>
    <w:p w14:paraId="22E4064E">
      <w:pPr>
        <w:numPr>
          <w:ilvl w:val="0"/>
          <w:numId w:val="1"/>
        </w:numPr>
        <w:autoSpaceDE w:val="0"/>
        <w:autoSpaceDN w:val="0"/>
        <w:adjustRightInd w:val="0"/>
        <w:snapToGrid w:val="0"/>
        <w:spacing w:line="360" w:lineRule="auto"/>
        <w:ind w:right="-34"/>
        <w:jc w:val="left"/>
        <w:rPr>
          <w:rFonts w:hint="eastAsia" w:ascii="宋体" w:hAnsi="宋体" w:eastAsia="宋体" w:cs="Times New Roman"/>
          <w:color w:val="auto"/>
          <w:szCs w:val="21"/>
          <w:highlight w:val="none"/>
          <w:lang w:val="zh-CN"/>
        </w:rPr>
      </w:pPr>
      <w:r>
        <w:rPr>
          <w:rFonts w:ascii="宋体" w:hAnsi="宋体" w:eastAsia="宋体" w:cs="Times New Roman"/>
          <w:color w:val="auto"/>
          <w:szCs w:val="21"/>
          <w:highlight w:val="none"/>
          <w:lang w:val="zh-CN"/>
        </w:rPr>
        <w:t>招标代理机构</w:t>
      </w:r>
      <w:r>
        <w:rPr>
          <w:rFonts w:hint="eastAsia" w:ascii="宋体" w:hAnsi="宋体" w:eastAsia="宋体" w:cs="Times New Roman"/>
          <w:color w:val="auto"/>
          <w:szCs w:val="21"/>
          <w:highlight w:val="none"/>
          <w:lang w:val="zh-CN"/>
        </w:rPr>
        <w:t>在递交投标文件截止时间当天通过“信用中国”网站（www.creditchina.gov.cn）查询投标人（含其不具有独立法人资格的分支机构）信用记录。招标代理机构对投标人信用记录进行甄别，对列入失信被执行人、重大税收违法失信主体、</w:t>
      </w:r>
      <w:r>
        <w:rPr>
          <w:rFonts w:hint="eastAsia" w:ascii="宋体" w:hAnsi="宋体" w:eastAsia="宋体" w:cs="Times New Roman"/>
          <w:color w:val="auto"/>
          <w:szCs w:val="21"/>
          <w:highlight w:val="none"/>
        </w:rPr>
        <w:t>政府采购</w:t>
      </w:r>
      <w:r>
        <w:rPr>
          <w:rFonts w:hint="eastAsia" w:ascii="宋体" w:hAnsi="宋体" w:eastAsia="宋体" w:cs="Times New Roman"/>
          <w:color w:val="auto"/>
          <w:szCs w:val="21"/>
          <w:highlight w:val="none"/>
          <w:lang w:val="zh-CN"/>
        </w:rPr>
        <w:t>严重违法失信行为记录名单的投标人，做好相关记录（处罚期限届满的除外）</w:t>
      </w:r>
      <w:r>
        <w:rPr>
          <w:rFonts w:ascii="宋体" w:hAnsi="宋体" w:eastAsia="宋体" w:cs="Times New Roman"/>
          <w:color w:val="auto"/>
          <w:szCs w:val="21"/>
          <w:highlight w:val="none"/>
          <w:lang w:val="zh-CN"/>
        </w:rPr>
        <w:t>。</w:t>
      </w:r>
    </w:p>
    <w:p w14:paraId="5813B735">
      <w:pPr>
        <w:autoSpaceDE w:val="0"/>
        <w:autoSpaceDN w:val="0"/>
        <w:adjustRightInd w:val="0"/>
        <w:spacing w:line="360" w:lineRule="auto"/>
        <w:ind w:right="-29" w:rightChars="-14" w:firstLine="420"/>
        <w:rPr>
          <w:rFonts w:hint="eastAsia" w:ascii="宋体" w:hAnsi="宋体" w:eastAsia="宋体" w:cs="Times New Roman"/>
          <w:color w:val="auto"/>
          <w:szCs w:val="21"/>
          <w:highlight w:val="none"/>
          <w:lang w:val="zh-CN"/>
        </w:rPr>
      </w:pPr>
    </w:p>
    <w:p w14:paraId="5E71A1EC">
      <w:pPr>
        <w:numPr>
          <w:ilvl w:val="0"/>
          <w:numId w:val="1"/>
        </w:numPr>
        <w:autoSpaceDE w:val="0"/>
        <w:autoSpaceDN w:val="0"/>
        <w:adjustRightInd w:val="0"/>
        <w:snapToGrid w:val="0"/>
        <w:spacing w:line="360" w:lineRule="auto"/>
        <w:ind w:right="-34"/>
        <w:jc w:val="left"/>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投标文件的递交：</w:t>
      </w:r>
    </w:p>
    <w:p w14:paraId="6EFF3BF2">
      <w:pPr>
        <w:autoSpaceDE w:val="0"/>
        <w:autoSpaceDN w:val="0"/>
        <w:adjustRightInd w:val="0"/>
        <w:spacing w:line="360" w:lineRule="auto"/>
        <w:ind w:left="420" w:right="-29" w:rightChars="-14" w:hanging="420" w:hangingChars="200"/>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5.1 投标文件递交的截止时间（投标截止时间，下同）：2025年</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u w:val="single"/>
          <w:lang w:val="en-US" w:eastAsia="zh-CN"/>
        </w:rPr>
        <w:t>06</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lang w:val="zh-CN"/>
        </w:rPr>
        <w:t>月</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u w:val="single"/>
          <w:lang w:val="en-US" w:eastAsia="zh-CN"/>
        </w:rPr>
        <w:t>25</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lang w:val="zh-CN"/>
        </w:rPr>
        <w:t>日</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u w:val="single"/>
          <w:lang w:val="en-US" w:eastAsia="zh-CN"/>
        </w:rPr>
        <w:t>09</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lang w:val="zh-CN"/>
        </w:rPr>
        <w:t>时</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u w:val="single"/>
          <w:lang w:val="en-US" w:eastAsia="zh-CN"/>
        </w:rPr>
        <w:t>30</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lang w:val="zh-CN"/>
        </w:rPr>
        <w:t>分。投标会时间：2025年</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u w:val="single"/>
          <w:lang w:val="en-US" w:eastAsia="zh-CN"/>
        </w:rPr>
        <w:t>06</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lang w:val="zh-CN"/>
        </w:rPr>
        <w:t>月</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u w:val="single"/>
          <w:lang w:val="en-US" w:eastAsia="zh-CN"/>
        </w:rPr>
        <w:t>25</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lang w:val="zh-CN"/>
        </w:rPr>
        <w:t>日</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u w:val="single"/>
          <w:lang w:val="en-US" w:eastAsia="zh-CN"/>
        </w:rPr>
        <w:t>09</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lang w:val="zh-CN"/>
        </w:rPr>
        <w:t>时</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u w:val="single"/>
          <w:lang w:val="en-US" w:eastAsia="zh-CN"/>
        </w:rPr>
        <w:t>30</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lang w:val="zh-CN"/>
        </w:rPr>
        <w:t>分，地点：东莞市公共资源交易中心开标室（</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u w:val="single"/>
          <w:lang w:val="en-US" w:eastAsia="zh-CN"/>
        </w:rPr>
        <w:t>4</w:t>
      </w:r>
      <w:r>
        <w:rPr>
          <w:rFonts w:hint="eastAsia" w:ascii="宋体" w:hAnsi="宋体" w:eastAsia="宋体" w:cs="Times New Roman"/>
          <w:color w:val="auto"/>
          <w:szCs w:val="21"/>
          <w:highlight w:val="none"/>
          <w:u w:val="single"/>
          <w:lang w:val="zh-CN"/>
        </w:rPr>
        <w:t xml:space="preserve"> </w:t>
      </w:r>
      <w:r>
        <w:rPr>
          <w:rFonts w:hint="eastAsia" w:ascii="宋体" w:hAnsi="宋体" w:eastAsia="宋体" w:cs="Times New Roman"/>
          <w:color w:val="auto"/>
          <w:szCs w:val="21"/>
          <w:highlight w:val="none"/>
          <w:lang w:val="zh-CN"/>
        </w:rPr>
        <w:t>）；</w:t>
      </w:r>
    </w:p>
    <w:p w14:paraId="60BF0648">
      <w:pPr>
        <w:autoSpaceDE w:val="0"/>
        <w:autoSpaceDN w:val="0"/>
        <w:adjustRightInd w:val="0"/>
        <w:spacing w:line="360" w:lineRule="auto"/>
        <w:ind w:left="420" w:right="-29" w:rightChars="-14" w:hanging="420" w:hangingChars="200"/>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5.2 投标人必须通过交易系统在线上传投标文件，上述方式外提交的投标文件及逾期通过网络上传的电子投标文件，招标人不予受理。</w:t>
      </w:r>
    </w:p>
    <w:p w14:paraId="38050F42">
      <w:pPr>
        <w:autoSpaceDE w:val="0"/>
        <w:autoSpaceDN w:val="0"/>
        <w:adjustRightInd w:val="0"/>
        <w:spacing w:line="360" w:lineRule="auto"/>
        <w:ind w:left="210" w:leftChars="100" w:right="-29" w:rightChars="-14"/>
        <w:rPr>
          <w:rFonts w:hint="eastAsia" w:ascii="宋体" w:hAnsi="宋体" w:eastAsia="宋体" w:cs="Times New Roman"/>
          <w:color w:val="auto"/>
          <w:szCs w:val="21"/>
          <w:highlight w:val="none"/>
          <w:lang w:val="zh-CN"/>
        </w:rPr>
      </w:pPr>
    </w:p>
    <w:p w14:paraId="77DD146D">
      <w:pPr>
        <w:numPr>
          <w:ilvl w:val="0"/>
          <w:numId w:val="1"/>
        </w:numPr>
        <w:wordWrap w:val="0"/>
        <w:autoSpaceDE w:val="0"/>
        <w:autoSpaceDN w:val="0"/>
        <w:adjustRightInd w:val="0"/>
        <w:snapToGrid w:val="0"/>
        <w:spacing w:line="360" w:lineRule="auto"/>
        <w:ind w:left="363" w:right="-34" w:hanging="363"/>
        <w:jc w:val="left"/>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rPr>
        <w:t>本项目相关公告在以下媒介发布：全国公共资源交易平台（广东省·东莞市）（https://ygp.gdzwfw.gov.cn/#/441900/index）、中国招标投标公共服务平台（www.cebpubservice.com）、东莞市水务集团有限公司网（www.dgswjt.cn）、招标代理机构网站（www.wangtat.com.cn</w:t>
      </w:r>
      <w:r>
        <w:rPr>
          <w:rFonts w:ascii="宋体" w:hAnsi="宋体" w:eastAsia="宋体" w:cs="Times New Roman"/>
          <w:bCs/>
          <w:color w:val="auto"/>
          <w:szCs w:val="21"/>
          <w:highlight w:val="none"/>
        </w:rPr>
        <w:t>）</w:t>
      </w:r>
      <w:r>
        <w:rPr>
          <w:rFonts w:ascii="宋体" w:hAnsi="宋体" w:eastAsia="宋体" w:cs="Times New Roman"/>
          <w:color w:val="auto"/>
          <w:szCs w:val="21"/>
          <w:highlight w:val="none"/>
          <w:lang w:val="zh-CN"/>
        </w:rPr>
        <w:t>。</w:t>
      </w:r>
    </w:p>
    <w:p w14:paraId="51B825C3">
      <w:pPr>
        <w:rPr>
          <w:color w:val="auto"/>
          <w:highlight w:val="none"/>
        </w:rPr>
      </w:pPr>
    </w:p>
    <w:p w14:paraId="16E94CAC">
      <w:pPr>
        <w:numPr>
          <w:ilvl w:val="0"/>
          <w:numId w:val="1"/>
        </w:numPr>
        <w:autoSpaceDE w:val="0"/>
        <w:autoSpaceDN w:val="0"/>
        <w:adjustRightInd w:val="0"/>
        <w:snapToGrid w:val="0"/>
        <w:spacing w:line="360" w:lineRule="auto"/>
        <w:ind w:right="-34"/>
        <w:jc w:val="left"/>
        <w:rPr>
          <w:rFonts w:hint="eastAsia" w:ascii="宋体" w:hAnsi="宋体" w:eastAsia="宋体" w:cs="Times New Roman"/>
          <w:color w:val="auto"/>
          <w:szCs w:val="21"/>
          <w:highlight w:val="none"/>
        </w:rPr>
      </w:pPr>
      <w:r>
        <w:rPr>
          <w:rFonts w:ascii="宋体" w:hAnsi="宋体" w:eastAsia="宋体" w:cs="Times New Roman"/>
          <w:bCs/>
          <w:color w:val="auto"/>
          <w:szCs w:val="21"/>
          <w:highlight w:val="none"/>
          <w:lang w:val="zh-CN"/>
        </w:rPr>
        <w:t>招标人联系方式</w:t>
      </w:r>
    </w:p>
    <w:p w14:paraId="3D692DAB">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Times New Roman"/>
          <w:color w:val="auto"/>
          <w:kern w:val="0"/>
          <w:szCs w:val="21"/>
          <w:highlight w:val="none"/>
        </w:rPr>
      </w:pPr>
      <w:r>
        <w:rPr>
          <w:rFonts w:ascii="宋体" w:hAnsi="宋体" w:eastAsia="宋体" w:cs="Times New Roman"/>
          <w:color w:val="auto"/>
          <w:kern w:val="0"/>
          <w:szCs w:val="21"/>
          <w:highlight w:val="none"/>
        </w:rPr>
        <w:t>招标人：</w:t>
      </w:r>
      <w:r>
        <w:rPr>
          <w:rFonts w:hint="eastAsia" w:ascii="宋体" w:hAnsi="宋体" w:eastAsia="宋体" w:cs="Times New Roman"/>
          <w:color w:val="auto"/>
          <w:kern w:val="0"/>
          <w:szCs w:val="21"/>
          <w:highlight w:val="none"/>
        </w:rPr>
        <w:t>东莞市碧水信息科技有限公司</w:t>
      </w:r>
    </w:p>
    <w:p w14:paraId="3AE1866F">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Times New Roman"/>
          <w:color w:val="auto"/>
          <w:kern w:val="0"/>
          <w:szCs w:val="21"/>
          <w:highlight w:val="none"/>
        </w:rPr>
      </w:pPr>
      <w:r>
        <w:rPr>
          <w:rFonts w:ascii="宋体" w:hAnsi="宋体" w:eastAsia="宋体" w:cs="Times New Roman"/>
          <w:color w:val="auto"/>
          <w:kern w:val="0"/>
          <w:szCs w:val="21"/>
          <w:highlight w:val="none"/>
        </w:rPr>
        <w:t>地</w:t>
      </w:r>
      <w:r>
        <w:rPr>
          <w:rFonts w:hint="eastAsia" w:ascii="宋体" w:hAnsi="宋体" w:eastAsia="宋体" w:cs="Times New Roman"/>
          <w:color w:val="auto"/>
          <w:kern w:val="0"/>
          <w:szCs w:val="21"/>
          <w:highlight w:val="none"/>
        </w:rPr>
        <w:t xml:space="preserve"> </w:t>
      </w:r>
      <w:r>
        <w:rPr>
          <w:rFonts w:ascii="宋体" w:hAnsi="宋体" w:eastAsia="宋体" w:cs="Times New Roman"/>
          <w:color w:val="auto"/>
          <w:kern w:val="0"/>
          <w:szCs w:val="21"/>
          <w:highlight w:val="none"/>
        </w:rPr>
        <w:t xml:space="preserve"> 址：</w:t>
      </w:r>
      <w:r>
        <w:rPr>
          <w:rFonts w:hint="eastAsia" w:ascii="宋体" w:hAnsi="宋体" w:eastAsia="宋体" w:cs="Times New Roman"/>
          <w:color w:val="auto"/>
          <w:kern w:val="0"/>
          <w:szCs w:val="21"/>
          <w:highlight w:val="none"/>
        </w:rPr>
        <w:t>广东省东莞市南城街道滨河路100号1号楼</w:t>
      </w:r>
    </w:p>
    <w:p w14:paraId="7BEE9EBA">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Times New Roman"/>
          <w:color w:val="auto"/>
          <w:kern w:val="0"/>
          <w:szCs w:val="21"/>
          <w:highlight w:val="none"/>
        </w:rPr>
      </w:pPr>
      <w:r>
        <w:rPr>
          <w:rFonts w:ascii="宋体" w:hAnsi="宋体" w:eastAsia="宋体" w:cs="Times New Roman"/>
          <w:color w:val="auto"/>
          <w:kern w:val="0"/>
          <w:szCs w:val="21"/>
          <w:highlight w:val="none"/>
        </w:rPr>
        <w:t>联系人</w:t>
      </w:r>
      <w:r>
        <w:rPr>
          <w:rFonts w:hint="eastAsia" w:ascii="宋体" w:hAnsi="宋体" w:eastAsia="宋体" w:cs="Times New Roman"/>
          <w:color w:val="auto"/>
          <w:kern w:val="0"/>
          <w:szCs w:val="21"/>
          <w:highlight w:val="none"/>
        </w:rPr>
        <w:t>：陈启政</w:t>
      </w:r>
    </w:p>
    <w:p w14:paraId="29CC9719">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Times New Roman"/>
          <w:color w:val="auto"/>
          <w:kern w:val="0"/>
          <w:szCs w:val="21"/>
          <w:highlight w:val="none"/>
        </w:rPr>
      </w:pPr>
      <w:r>
        <w:rPr>
          <w:rFonts w:ascii="宋体" w:hAnsi="宋体" w:eastAsia="宋体" w:cs="Times New Roman"/>
          <w:color w:val="auto"/>
          <w:kern w:val="0"/>
          <w:szCs w:val="21"/>
          <w:highlight w:val="none"/>
        </w:rPr>
        <w:t>电  话：</w:t>
      </w:r>
      <w:r>
        <w:rPr>
          <w:rFonts w:hint="eastAsia" w:ascii="宋体" w:hAnsi="宋体" w:eastAsia="宋体" w:cs="Times New Roman"/>
          <w:color w:val="auto"/>
          <w:kern w:val="0"/>
          <w:szCs w:val="21"/>
          <w:highlight w:val="none"/>
        </w:rPr>
        <w:t>0769-27289286</w:t>
      </w:r>
    </w:p>
    <w:p w14:paraId="6BD38C2B">
      <w:pPr>
        <w:autoSpaceDE w:val="0"/>
        <w:autoSpaceDN w:val="0"/>
        <w:adjustRightInd w:val="0"/>
        <w:spacing w:line="360" w:lineRule="auto"/>
        <w:ind w:right="-29" w:rightChars="-14" w:firstLine="420"/>
        <w:rPr>
          <w:rFonts w:hint="eastAsia" w:ascii="宋体" w:hAnsi="宋体" w:eastAsia="宋体" w:cs="Times New Roman"/>
          <w:color w:val="auto"/>
          <w:kern w:val="0"/>
          <w:szCs w:val="21"/>
          <w:highlight w:val="none"/>
        </w:rPr>
      </w:pPr>
    </w:p>
    <w:p w14:paraId="53926CF1">
      <w:pPr>
        <w:numPr>
          <w:ilvl w:val="0"/>
          <w:numId w:val="1"/>
        </w:numPr>
        <w:autoSpaceDE w:val="0"/>
        <w:autoSpaceDN w:val="0"/>
        <w:adjustRightInd w:val="0"/>
        <w:snapToGrid w:val="0"/>
        <w:spacing w:line="360" w:lineRule="auto"/>
        <w:ind w:right="-34"/>
        <w:jc w:val="left"/>
        <w:rPr>
          <w:rFonts w:hint="eastAsia" w:ascii="宋体" w:hAnsi="宋体" w:eastAsia="宋体" w:cs="Times New Roman"/>
          <w:color w:val="auto"/>
          <w:szCs w:val="21"/>
          <w:highlight w:val="none"/>
        </w:rPr>
      </w:pPr>
      <w:r>
        <w:rPr>
          <w:rFonts w:ascii="宋体" w:hAnsi="宋体" w:eastAsia="宋体" w:cs="Times New Roman"/>
          <w:color w:val="auto"/>
          <w:szCs w:val="21"/>
          <w:highlight w:val="none"/>
        </w:rPr>
        <w:t>招标代理机构</w:t>
      </w:r>
      <w:r>
        <w:rPr>
          <w:rFonts w:hint="eastAsia" w:ascii="宋体" w:hAnsi="宋体" w:eastAsia="宋体" w:cs="Times New Roman"/>
          <w:color w:val="auto"/>
          <w:szCs w:val="21"/>
          <w:highlight w:val="none"/>
        </w:rPr>
        <w:t>及异议受理</w:t>
      </w:r>
      <w:r>
        <w:rPr>
          <w:rFonts w:ascii="宋体" w:hAnsi="宋体" w:eastAsia="宋体" w:cs="Times New Roman"/>
          <w:color w:val="auto"/>
          <w:szCs w:val="21"/>
          <w:highlight w:val="none"/>
        </w:rPr>
        <w:t>联系方式</w:t>
      </w:r>
    </w:p>
    <w:p w14:paraId="49C3106F">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Times New Roman"/>
          <w:color w:val="auto"/>
          <w:kern w:val="0"/>
          <w:szCs w:val="21"/>
          <w:highlight w:val="none"/>
        </w:rPr>
      </w:pPr>
      <w:bookmarkStart w:id="5" w:name="_Toc450662847"/>
      <w:bookmarkStart w:id="6" w:name="_Toc31764_WPSOffice_Level1"/>
      <w:bookmarkStart w:id="7" w:name="_Toc486167661"/>
      <w:r>
        <w:rPr>
          <w:rFonts w:ascii="宋体" w:hAnsi="宋体" w:eastAsia="宋体" w:cs="Times New Roman"/>
          <w:color w:val="auto"/>
          <w:kern w:val="0"/>
          <w:szCs w:val="21"/>
          <w:highlight w:val="none"/>
        </w:rPr>
        <w:t>招标代理机构：</w:t>
      </w:r>
      <w:r>
        <w:rPr>
          <w:rFonts w:hint="eastAsia" w:ascii="宋体" w:hAnsi="宋体" w:eastAsia="宋体" w:cs="Times New Roman"/>
          <w:color w:val="auto"/>
          <w:kern w:val="0"/>
          <w:szCs w:val="21"/>
          <w:highlight w:val="none"/>
        </w:rPr>
        <w:t>广州宏达工程顾问集团有限公司</w:t>
      </w:r>
    </w:p>
    <w:p w14:paraId="0A25CE47">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Times New Roman"/>
          <w:color w:val="auto"/>
          <w:kern w:val="0"/>
          <w:szCs w:val="21"/>
          <w:highlight w:val="none"/>
        </w:rPr>
      </w:pPr>
      <w:r>
        <w:rPr>
          <w:rFonts w:ascii="宋体" w:hAnsi="宋体" w:eastAsia="宋体" w:cs="Times New Roman"/>
          <w:color w:val="auto"/>
          <w:kern w:val="0"/>
          <w:szCs w:val="21"/>
          <w:highlight w:val="none"/>
        </w:rPr>
        <w:t>地  址：</w:t>
      </w:r>
      <w:r>
        <w:rPr>
          <w:rFonts w:hint="eastAsia" w:ascii="宋体" w:hAnsi="宋体" w:eastAsia="宋体" w:cs="Times New Roman"/>
          <w:color w:val="auto"/>
          <w:kern w:val="0"/>
          <w:szCs w:val="21"/>
          <w:highlight w:val="none"/>
        </w:rPr>
        <w:t>广东省东莞市南城街道宏图路105号1栋313室</w:t>
      </w:r>
    </w:p>
    <w:p w14:paraId="36A33B77">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Times New Roman"/>
          <w:color w:val="auto"/>
          <w:kern w:val="0"/>
          <w:szCs w:val="21"/>
          <w:highlight w:val="none"/>
        </w:rPr>
      </w:pPr>
      <w:r>
        <w:rPr>
          <w:rFonts w:ascii="宋体" w:hAnsi="宋体" w:eastAsia="宋体" w:cs="Times New Roman"/>
          <w:color w:val="auto"/>
          <w:kern w:val="0"/>
          <w:szCs w:val="21"/>
          <w:highlight w:val="none"/>
        </w:rPr>
        <w:t>联系人：</w:t>
      </w:r>
      <w:r>
        <w:rPr>
          <w:rFonts w:hint="eastAsia" w:ascii="宋体" w:hAnsi="宋体" w:eastAsia="宋体" w:cs="Times New Roman"/>
          <w:color w:val="auto"/>
          <w:kern w:val="0"/>
          <w:szCs w:val="21"/>
          <w:highlight w:val="none"/>
        </w:rPr>
        <w:t>邓晓欣</w:t>
      </w:r>
    </w:p>
    <w:p w14:paraId="6253552F">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xml:space="preserve">电 </w:t>
      </w:r>
      <w:r>
        <w:rPr>
          <w:rFonts w:ascii="宋体" w:hAnsi="宋体" w:eastAsia="宋体" w:cs="Times New Roman"/>
          <w:color w:val="auto"/>
          <w:kern w:val="0"/>
          <w:szCs w:val="21"/>
          <w:highlight w:val="none"/>
        </w:rPr>
        <w:t xml:space="preserve"> </w:t>
      </w:r>
      <w:r>
        <w:rPr>
          <w:rFonts w:hint="eastAsia" w:ascii="宋体" w:hAnsi="宋体" w:eastAsia="宋体" w:cs="Times New Roman"/>
          <w:color w:val="auto"/>
          <w:kern w:val="0"/>
          <w:szCs w:val="21"/>
          <w:highlight w:val="none"/>
        </w:rPr>
        <w:t>话</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0769-28056866-804</w:t>
      </w:r>
    </w:p>
    <w:p w14:paraId="42DBCB98">
      <w:pPr>
        <w:pageBreakBefore/>
        <w:tabs>
          <w:tab w:val="left" w:pos="1080"/>
        </w:tabs>
        <w:autoSpaceDE w:val="0"/>
        <w:autoSpaceDN w:val="0"/>
        <w:adjustRightInd w:val="0"/>
        <w:spacing w:line="360" w:lineRule="auto"/>
        <w:ind w:left="-167" w:leftChars="-100" w:hanging="43"/>
        <w:jc w:val="center"/>
        <w:outlineLvl w:val="0"/>
        <w:rPr>
          <w:rFonts w:hint="eastAsia" w:ascii="宋体" w:hAnsi="宋体" w:eastAsia="宋体" w:cs="宋体"/>
          <w:b/>
          <w:bCs/>
          <w:color w:val="auto"/>
          <w:kern w:val="44"/>
          <w:sz w:val="32"/>
          <w:szCs w:val="32"/>
          <w:highlight w:val="none"/>
        </w:rPr>
      </w:pPr>
      <w:bookmarkStart w:id="8" w:name="_Toc31498"/>
      <w:bookmarkStart w:id="9" w:name="_Toc23670"/>
      <w:bookmarkStart w:id="10" w:name="_Toc18212"/>
      <w:bookmarkStart w:id="11" w:name="_Toc142508311"/>
      <w:bookmarkStart w:id="12" w:name="_Toc15111"/>
      <w:r>
        <w:rPr>
          <w:rFonts w:hint="eastAsia" w:ascii="宋体" w:hAnsi="宋体" w:eastAsia="宋体" w:cs="宋体"/>
          <w:b/>
          <w:bCs/>
          <w:color w:val="auto"/>
          <w:kern w:val="44"/>
          <w:sz w:val="32"/>
          <w:szCs w:val="32"/>
          <w:highlight w:val="none"/>
          <w:lang w:val="zh-CN"/>
        </w:rPr>
        <w:t>第二篇</w:t>
      </w:r>
      <w:r>
        <w:rPr>
          <w:rFonts w:ascii="宋体" w:hAnsi="宋体" w:eastAsia="宋体" w:cs="宋体"/>
          <w:b/>
          <w:bCs/>
          <w:color w:val="auto"/>
          <w:kern w:val="44"/>
          <w:sz w:val="32"/>
          <w:szCs w:val="32"/>
          <w:highlight w:val="none"/>
        </w:rPr>
        <w:t xml:space="preserve"> </w:t>
      </w:r>
      <w:r>
        <w:rPr>
          <w:rFonts w:hint="eastAsia" w:ascii="宋体" w:hAnsi="宋体" w:eastAsia="宋体" w:cs="宋体"/>
          <w:b/>
          <w:bCs/>
          <w:color w:val="auto"/>
          <w:kern w:val="44"/>
          <w:sz w:val="32"/>
          <w:szCs w:val="32"/>
          <w:highlight w:val="none"/>
          <w:lang w:val="zh-CN"/>
        </w:rPr>
        <w:t>投标人须知</w:t>
      </w:r>
      <w:bookmarkEnd w:id="5"/>
      <w:bookmarkEnd w:id="6"/>
      <w:bookmarkEnd w:id="7"/>
      <w:bookmarkEnd w:id="8"/>
      <w:bookmarkEnd w:id="9"/>
      <w:bookmarkEnd w:id="10"/>
      <w:bookmarkEnd w:id="11"/>
      <w:bookmarkEnd w:id="12"/>
    </w:p>
    <w:p w14:paraId="49FF09BB">
      <w:pPr>
        <w:keepNext/>
        <w:keepLines/>
        <w:autoSpaceDE w:val="0"/>
        <w:autoSpaceDN w:val="0"/>
        <w:adjustRightInd w:val="0"/>
        <w:spacing w:line="360" w:lineRule="auto"/>
        <w:jc w:val="left"/>
        <w:outlineLvl w:val="0"/>
        <w:rPr>
          <w:rFonts w:hint="eastAsia" w:ascii="宋体" w:hAnsi="宋体" w:eastAsia="宋体" w:cs="宋体"/>
          <w:b/>
          <w:bCs/>
          <w:color w:val="auto"/>
          <w:kern w:val="44"/>
          <w:szCs w:val="21"/>
          <w:highlight w:val="none"/>
          <w:lang w:val="zh-CN"/>
        </w:rPr>
      </w:pPr>
      <w:bookmarkStart w:id="13" w:name="_Toc486167662"/>
      <w:bookmarkStart w:id="14" w:name="_Toc15366_WPSOffice_Level2"/>
      <w:bookmarkStart w:id="15" w:name="_Toc4198"/>
      <w:bookmarkStart w:id="16" w:name="_Toc11520"/>
      <w:bookmarkStart w:id="17" w:name="_Toc9555"/>
      <w:bookmarkStart w:id="18" w:name="_Toc140596871"/>
      <w:bookmarkStart w:id="19" w:name="_Toc450662848"/>
      <w:bookmarkStart w:id="20" w:name="_Toc142508312"/>
      <w:bookmarkStart w:id="21" w:name="_Toc24479"/>
      <w:r>
        <w:rPr>
          <w:rFonts w:hint="eastAsia" w:ascii="宋体" w:hAnsi="宋体" w:eastAsia="宋体" w:cs="宋体"/>
          <w:b/>
          <w:bCs/>
          <w:color w:val="auto"/>
          <w:kern w:val="44"/>
          <w:szCs w:val="21"/>
          <w:highlight w:val="none"/>
          <w:lang w:val="zh-CN"/>
        </w:rPr>
        <w:t>一、总则</w:t>
      </w:r>
      <w:bookmarkEnd w:id="13"/>
      <w:bookmarkEnd w:id="14"/>
      <w:bookmarkEnd w:id="15"/>
      <w:bookmarkEnd w:id="16"/>
      <w:bookmarkEnd w:id="17"/>
      <w:bookmarkEnd w:id="18"/>
      <w:bookmarkEnd w:id="19"/>
      <w:bookmarkEnd w:id="20"/>
      <w:bookmarkEnd w:id="21"/>
    </w:p>
    <w:p w14:paraId="12DD466C">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2" w:name="_Toc29918"/>
      <w:bookmarkStart w:id="23" w:name="_Toc21710_WPSOffice_Level3"/>
      <w:bookmarkStart w:id="24" w:name="_Toc9608"/>
      <w:bookmarkStart w:id="25" w:name="_Toc450662849"/>
      <w:bookmarkStart w:id="26" w:name="_Toc23333"/>
      <w:bookmarkStart w:id="27" w:name="_Toc486167663"/>
      <w:bookmarkStart w:id="28" w:name="_Toc142508313"/>
      <w:bookmarkStart w:id="29" w:name="_Toc16303"/>
      <w:r>
        <w:rPr>
          <w:rFonts w:hint="eastAsia" w:ascii="宋体" w:hAnsi="宋体" w:eastAsia="宋体" w:cs="宋体"/>
          <w:color w:val="auto"/>
          <w:szCs w:val="21"/>
          <w:highlight w:val="none"/>
          <w:lang w:val="zh-CN"/>
        </w:rPr>
        <w:t>1</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资金来源：企业自筹资金。</w:t>
      </w:r>
      <w:bookmarkEnd w:id="22"/>
      <w:bookmarkEnd w:id="23"/>
      <w:bookmarkEnd w:id="24"/>
      <w:bookmarkEnd w:id="25"/>
      <w:bookmarkEnd w:id="26"/>
      <w:bookmarkEnd w:id="27"/>
      <w:bookmarkEnd w:id="28"/>
      <w:bookmarkEnd w:id="29"/>
    </w:p>
    <w:p w14:paraId="2FA564C9">
      <w:pPr>
        <w:autoSpaceDE w:val="0"/>
        <w:autoSpaceDN w:val="0"/>
        <w:adjustRightInd w:val="0"/>
        <w:jc w:val="left"/>
        <w:rPr>
          <w:rFonts w:hint="eastAsia" w:ascii="宋体" w:hAnsi="宋体" w:eastAsia="宋体" w:cs="宋体"/>
          <w:color w:val="auto"/>
          <w:kern w:val="0"/>
          <w:sz w:val="24"/>
          <w:szCs w:val="24"/>
          <w:highlight w:val="none"/>
        </w:rPr>
      </w:pPr>
    </w:p>
    <w:p w14:paraId="015C29B1">
      <w:pPr>
        <w:tabs>
          <w:tab w:val="left" w:pos="570"/>
        </w:tabs>
        <w:autoSpaceDE w:val="0"/>
        <w:autoSpaceDN w:val="0"/>
        <w:adjustRightInd w:val="0"/>
        <w:spacing w:line="360" w:lineRule="auto"/>
        <w:ind w:left="357" w:leftChars="-100" w:hanging="567"/>
        <w:jc w:val="left"/>
        <w:outlineLvl w:val="2"/>
        <w:rPr>
          <w:rFonts w:hint="eastAsia" w:ascii="宋体" w:hAnsi="宋体" w:eastAsia="宋体" w:cs="宋体"/>
          <w:b/>
          <w:color w:val="auto"/>
          <w:szCs w:val="21"/>
          <w:highlight w:val="none"/>
          <w:lang w:val="zh-CN"/>
        </w:rPr>
      </w:pPr>
      <w:bookmarkStart w:id="30" w:name="_Toc18557"/>
      <w:bookmarkStart w:id="31" w:name="_Toc486167664"/>
      <w:bookmarkStart w:id="32" w:name="_Toc142508314"/>
      <w:bookmarkStart w:id="33" w:name="_Toc32244"/>
      <w:bookmarkStart w:id="34" w:name="_Toc28698"/>
      <w:bookmarkStart w:id="35" w:name="_Toc20295"/>
      <w:bookmarkStart w:id="36" w:name="_Toc450662850"/>
      <w:bookmarkStart w:id="37" w:name="_Toc80_WPSOffice_Level3"/>
      <w:r>
        <w:rPr>
          <w:rFonts w:hint="eastAsia" w:ascii="宋体" w:hAnsi="宋体" w:eastAsia="宋体" w:cs="宋体"/>
          <w:b/>
          <w:color w:val="auto"/>
          <w:szCs w:val="21"/>
          <w:highlight w:val="none"/>
          <w:lang w:val="zh-CN"/>
        </w:rPr>
        <w:t>2</w:t>
      </w:r>
      <w:r>
        <w:rPr>
          <w:rFonts w:ascii="宋体" w:hAnsi="宋体" w:eastAsia="宋体" w:cs="宋体"/>
          <w:b/>
          <w:color w:val="auto"/>
          <w:szCs w:val="21"/>
          <w:highlight w:val="none"/>
          <w:lang w:val="zh-CN"/>
        </w:rPr>
        <w:t xml:space="preserve"> </w:t>
      </w:r>
      <w:r>
        <w:rPr>
          <w:rFonts w:hint="eastAsia" w:ascii="宋体" w:hAnsi="宋体" w:eastAsia="宋体" w:cs="宋体"/>
          <w:b/>
          <w:color w:val="auto"/>
          <w:szCs w:val="21"/>
          <w:highlight w:val="none"/>
          <w:lang w:val="zh-CN"/>
        </w:rPr>
        <w:t>合格的投标人</w:t>
      </w:r>
      <w:bookmarkEnd w:id="30"/>
      <w:bookmarkEnd w:id="31"/>
      <w:bookmarkEnd w:id="32"/>
      <w:bookmarkEnd w:id="33"/>
      <w:bookmarkEnd w:id="34"/>
      <w:bookmarkEnd w:id="35"/>
      <w:bookmarkEnd w:id="36"/>
      <w:bookmarkEnd w:id="37"/>
    </w:p>
    <w:p w14:paraId="46B9D5D8">
      <w:pPr>
        <w:autoSpaceDE w:val="0"/>
        <w:autoSpaceDN w:val="0"/>
        <w:adjustRightInd w:val="0"/>
        <w:spacing w:line="360" w:lineRule="auto"/>
        <w:ind w:left="317" w:leftChars="-100" w:hanging="527" w:hangingChars="250"/>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2.1  合格的投标人条件见第一篇《招标公告》中第</w:t>
      </w:r>
      <w:r>
        <w:rPr>
          <w:rFonts w:ascii="宋体" w:hAnsi="宋体" w:eastAsia="宋体" w:cs="宋体"/>
          <w:b/>
          <w:color w:val="auto"/>
          <w:szCs w:val="21"/>
          <w:highlight w:val="none"/>
          <w:lang w:val="zh-CN"/>
        </w:rPr>
        <w:t>2</w:t>
      </w:r>
      <w:r>
        <w:rPr>
          <w:rFonts w:hint="eastAsia" w:ascii="宋体" w:hAnsi="宋体" w:eastAsia="宋体" w:cs="宋体"/>
          <w:b/>
          <w:color w:val="auto"/>
          <w:szCs w:val="21"/>
          <w:highlight w:val="none"/>
          <w:lang w:val="zh-CN"/>
        </w:rPr>
        <w:t>条的“合格投标人资格要求”及本条以下2.2款至2.</w:t>
      </w:r>
      <w:r>
        <w:rPr>
          <w:rFonts w:hint="eastAsia" w:ascii="宋体" w:hAnsi="宋体" w:eastAsia="宋体" w:cs="宋体"/>
          <w:b/>
          <w:color w:val="auto"/>
          <w:szCs w:val="21"/>
          <w:highlight w:val="none"/>
        </w:rPr>
        <w:t>5</w:t>
      </w:r>
      <w:r>
        <w:rPr>
          <w:rFonts w:hint="eastAsia" w:ascii="宋体" w:hAnsi="宋体" w:eastAsia="宋体" w:cs="宋体"/>
          <w:b/>
          <w:color w:val="auto"/>
          <w:szCs w:val="21"/>
          <w:highlight w:val="none"/>
          <w:lang w:val="zh-CN"/>
        </w:rPr>
        <w:t>款的通用要求。</w:t>
      </w:r>
    </w:p>
    <w:p w14:paraId="121B2627">
      <w:pPr>
        <w:autoSpaceDE w:val="0"/>
        <w:autoSpaceDN w:val="0"/>
        <w:adjustRightInd w:val="0"/>
        <w:spacing w:line="360" w:lineRule="auto"/>
        <w:ind w:left="359" w:leftChars="-100" w:hanging="569" w:hangingChars="270"/>
        <w:rPr>
          <w:rFonts w:hint="eastAsia" w:ascii="宋体" w:hAnsi="宋体" w:eastAsia="宋体" w:cs="宋体"/>
          <w:b/>
          <w:color w:val="auto"/>
          <w:kern w:val="0"/>
          <w:szCs w:val="21"/>
          <w:highlight w:val="none"/>
        </w:rPr>
      </w:pPr>
      <w:r>
        <w:rPr>
          <w:rFonts w:hint="eastAsia" w:ascii="宋体" w:hAnsi="宋体" w:eastAsia="宋体" w:cs="宋体"/>
          <w:b/>
          <w:color w:val="auto"/>
          <w:kern w:val="0"/>
          <w:szCs w:val="24"/>
          <w:highlight w:val="none"/>
        </w:rPr>
        <w:t xml:space="preserve">2.2  </w:t>
      </w:r>
      <w:r>
        <w:rPr>
          <w:rFonts w:hint="eastAsia" w:ascii="宋体" w:hAnsi="宋体" w:eastAsia="宋体" w:cs="宋体"/>
          <w:b/>
          <w:color w:val="auto"/>
          <w:kern w:val="0"/>
          <w:szCs w:val="21"/>
          <w:highlight w:val="none"/>
        </w:rPr>
        <w:t>投标人</w:t>
      </w:r>
      <w:r>
        <w:rPr>
          <w:rFonts w:hint="eastAsia" w:ascii="宋体" w:hAnsi="宋体" w:eastAsia="宋体" w:cs="Times New Roman"/>
          <w:b/>
          <w:color w:val="auto"/>
          <w:kern w:val="0"/>
          <w:szCs w:val="21"/>
          <w:highlight w:val="none"/>
        </w:rPr>
        <w:t>在参加本项目投标前的三年内不得在投标活动中存在《中华人民共和国招标投标法》第五十三条（相互串通投标或者与招标人串通投标，以向招标人或者评标委员会成员行贿的手段谋取中标）、第五十四条（以他人名义投标或者以其他方式弄虚作假，骗取中标）、第六十条（中标人不履行与招标人订立的合同）、《中华人民共和国招标投标法实施条例》第七十六条（将中标项目转让给他人的，将中标项目肢解后分别转让给他人的，违反招标投标法和本条例规定将中标项目的部分主体、关键性工作分包给他人的，或者分包人再次分包）、第七十七条（捏造事实、伪造材料或者以非法手段取得证明材料进行投诉）规定的违法行为，而受到各级管理部门的处罚。投标人存在前述处罚的，在投标文件中必须主动按招标文件的要求填报“最近3年投标人牵涉的其他（失信和违法）</w:t>
      </w:r>
      <w:r>
        <w:rPr>
          <w:rFonts w:hint="eastAsia" w:ascii="宋体" w:hAnsi="宋体" w:eastAsia="宋体" w:cs="Times New Roman"/>
          <w:b/>
          <w:color w:val="auto"/>
          <w:kern w:val="0"/>
          <w:szCs w:val="21"/>
          <w:highlight w:val="none"/>
          <w:lang w:val="zh-CN"/>
        </w:rPr>
        <w:t>处罚说明</w:t>
      </w:r>
      <w:r>
        <w:rPr>
          <w:rFonts w:hint="eastAsia" w:ascii="宋体" w:hAnsi="宋体" w:eastAsia="宋体" w:cs="Times New Roman"/>
          <w:b/>
          <w:color w:val="auto"/>
          <w:kern w:val="0"/>
          <w:szCs w:val="21"/>
          <w:highlight w:val="none"/>
        </w:rPr>
        <w:t>”，如果不主动填报而被事后发现的，将取消其投标（中标）资格，并按有关规定从重处理</w:t>
      </w:r>
      <w:r>
        <w:rPr>
          <w:rFonts w:hint="eastAsia" w:ascii="宋体" w:hAnsi="宋体" w:eastAsia="宋体" w:cs="宋体"/>
          <w:b/>
          <w:color w:val="auto"/>
          <w:kern w:val="0"/>
          <w:szCs w:val="21"/>
          <w:highlight w:val="none"/>
        </w:rPr>
        <w:t>。</w:t>
      </w:r>
    </w:p>
    <w:p w14:paraId="59721ABB">
      <w:pPr>
        <w:autoSpaceDE w:val="0"/>
        <w:autoSpaceDN w:val="0"/>
        <w:adjustRightInd w:val="0"/>
        <w:spacing w:line="360" w:lineRule="auto"/>
        <w:ind w:left="317" w:leftChars="-100" w:hanging="527" w:hangingChars="250"/>
        <w:rPr>
          <w:rFonts w:hint="eastAsia" w:ascii="宋体" w:hAnsi="宋体" w:eastAsia="宋体" w:cs="宋体"/>
          <w:b/>
          <w:color w:val="auto"/>
          <w:szCs w:val="21"/>
          <w:highlight w:val="none"/>
          <w:lang w:val="zh-CN"/>
        </w:rPr>
      </w:pPr>
      <w:r>
        <w:rPr>
          <w:rFonts w:hint="eastAsia" w:ascii="宋体" w:hAnsi="宋体" w:eastAsia="宋体" w:cs="宋体"/>
          <w:b/>
          <w:color w:val="auto"/>
          <w:kern w:val="0"/>
          <w:szCs w:val="21"/>
          <w:highlight w:val="none"/>
          <w:lang w:val="zh-CN"/>
        </w:rPr>
        <w:t>2.</w:t>
      </w:r>
      <w:r>
        <w:rPr>
          <w:rFonts w:ascii="宋体" w:hAnsi="宋体" w:eastAsia="宋体" w:cs="宋体"/>
          <w:b/>
          <w:color w:val="auto"/>
          <w:kern w:val="0"/>
          <w:szCs w:val="21"/>
          <w:highlight w:val="none"/>
          <w:lang w:val="zh-CN"/>
        </w:rPr>
        <w:t>3</w:t>
      </w:r>
      <w:r>
        <w:rPr>
          <w:rFonts w:hint="eastAsia" w:ascii="宋体" w:hAnsi="宋体" w:eastAsia="宋体" w:cs="宋体"/>
          <w:b/>
          <w:color w:val="auto"/>
          <w:kern w:val="0"/>
          <w:szCs w:val="21"/>
          <w:highlight w:val="none"/>
          <w:lang w:val="zh-CN"/>
        </w:rPr>
        <w:t xml:space="preserve">  投标人</w:t>
      </w:r>
      <w:r>
        <w:rPr>
          <w:rFonts w:hint="eastAsia" w:ascii="宋体" w:hAnsi="宋体" w:eastAsia="宋体" w:cs="宋体"/>
          <w:b/>
          <w:color w:val="auto"/>
          <w:szCs w:val="21"/>
          <w:highlight w:val="none"/>
          <w:lang w:val="zh-CN"/>
        </w:rPr>
        <w:t>符合《中华人民共和国招标投标法》第二十六条规定。</w:t>
      </w:r>
    </w:p>
    <w:p w14:paraId="69A4340F">
      <w:pPr>
        <w:autoSpaceDE w:val="0"/>
        <w:autoSpaceDN w:val="0"/>
        <w:adjustRightInd w:val="0"/>
        <w:spacing w:line="360" w:lineRule="auto"/>
        <w:ind w:left="359" w:leftChars="-99" w:hanging="567" w:hangingChars="269"/>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2.</w:t>
      </w:r>
      <w:r>
        <w:rPr>
          <w:rFonts w:ascii="宋体" w:hAnsi="宋体" w:eastAsia="宋体" w:cs="宋体"/>
          <w:b/>
          <w:color w:val="auto"/>
          <w:kern w:val="0"/>
          <w:szCs w:val="21"/>
          <w:highlight w:val="none"/>
        </w:rPr>
        <w:t>4</w:t>
      </w:r>
      <w:r>
        <w:rPr>
          <w:rFonts w:hint="eastAsia" w:ascii="宋体" w:hAnsi="宋体" w:eastAsia="宋体" w:cs="宋体"/>
          <w:b/>
          <w:color w:val="auto"/>
          <w:kern w:val="0"/>
          <w:szCs w:val="21"/>
          <w:highlight w:val="none"/>
        </w:rPr>
        <w:t xml:space="preserve">  </w:t>
      </w:r>
      <w:r>
        <w:rPr>
          <w:rFonts w:hint="eastAsia" w:ascii="宋体" w:hAnsi="宋体" w:eastAsia="宋体" w:cs="Times New Roman"/>
          <w:b/>
          <w:color w:val="auto"/>
          <w:kern w:val="0"/>
          <w:szCs w:val="21"/>
          <w:highlight w:val="none"/>
        </w:rPr>
        <w:t>投标人（含其不具有独立法人资格的分支机构）未被列入“信用中国”网站（ www.creditchina.gov.cn）失信被执行人、重大税收违法失信主体、政府采购严重违法失信行为记录名单（处罚期限届满的除外）</w:t>
      </w:r>
      <w:r>
        <w:rPr>
          <w:rFonts w:hint="eastAsia" w:ascii="宋体" w:hAnsi="宋体" w:eastAsia="宋体" w:cs="宋体"/>
          <w:b/>
          <w:color w:val="auto"/>
          <w:kern w:val="0"/>
          <w:szCs w:val="21"/>
          <w:highlight w:val="none"/>
        </w:rPr>
        <w:t>。</w:t>
      </w:r>
    </w:p>
    <w:p w14:paraId="147F07E4">
      <w:pPr>
        <w:autoSpaceDE w:val="0"/>
        <w:autoSpaceDN w:val="0"/>
        <w:adjustRightInd w:val="0"/>
        <w:spacing w:line="360" w:lineRule="auto"/>
        <w:ind w:left="317" w:leftChars="-100" w:hanging="527" w:hangingChars="250"/>
        <w:rPr>
          <w:rFonts w:hint="eastAsia" w:ascii="宋体" w:hAnsi="宋体" w:eastAsia="宋体" w:cs="宋体"/>
          <w:b/>
          <w:color w:val="auto"/>
          <w:kern w:val="0"/>
          <w:szCs w:val="21"/>
          <w:highlight w:val="none"/>
          <w:lang w:val="zh-CN"/>
        </w:rPr>
      </w:pPr>
      <w:r>
        <w:rPr>
          <w:rFonts w:hint="eastAsia" w:ascii="宋体" w:hAnsi="宋体" w:eastAsia="宋体" w:cs="宋体"/>
          <w:b/>
          <w:color w:val="auto"/>
          <w:szCs w:val="21"/>
          <w:highlight w:val="none"/>
          <w:lang w:val="zh-CN"/>
        </w:rPr>
        <w:t>2.</w:t>
      </w:r>
      <w:r>
        <w:rPr>
          <w:rFonts w:ascii="宋体" w:hAnsi="宋体" w:eastAsia="宋体" w:cs="宋体"/>
          <w:b/>
          <w:color w:val="auto"/>
          <w:szCs w:val="21"/>
          <w:highlight w:val="none"/>
          <w:lang w:val="zh-CN"/>
        </w:rPr>
        <w:t>5</w:t>
      </w:r>
      <w:r>
        <w:rPr>
          <w:rFonts w:hint="eastAsia" w:ascii="宋体" w:hAnsi="宋体" w:eastAsia="宋体" w:cs="宋体"/>
          <w:b/>
          <w:color w:val="auto"/>
          <w:szCs w:val="21"/>
          <w:highlight w:val="none"/>
          <w:lang w:val="zh-CN"/>
        </w:rPr>
        <w:t xml:space="preserve">  </w:t>
      </w:r>
      <w:r>
        <w:rPr>
          <w:rFonts w:hint="eastAsia" w:ascii="宋体" w:hAnsi="宋体" w:eastAsia="宋体" w:cs="Times New Roman"/>
          <w:b/>
          <w:color w:val="auto"/>
          <w:kern w:val="0"/>
          <w:szCs w:val="21"/>
          <w:highlight w:val="none"/>
        </w:rPr>
        <w:t>根据《中华人民共和国招标投标法实施条例》第三十四条规定，与招标人存在利害关系可能影响招标公正性的法人、其他组织或者个人，不得参加投标；投标人负责人为同一人或者存在控股、管理关系的不同投标人，不得参加同一项目投标。上述情况一经发现，相关投标均无效</w:t>
      </w:r>
      <w:r>
        <w:rPr>
          <w:rFonts w:hint="eastAsia" w:ascii="宋体" w:hAnsi="宋体" w:eastAsia="宋体" w:cs="宋体"/>
          <w:b/>
          <w:color w:val="auto"/>
          <w:szCs w:val="21"/>
          <w:highlight w:val="none"/>
          <w:lang w:val="zh-CN"/>
        </w:rPr>
        <w:t>。</w:t>
      </w:r>
    </w:p>
    <w:p w14:paraId="4E203969">
      <w:pPr>
        <w:tabs>
          <w:tab w:val="left" w:pos="426"/>
        </w:tabs>
        <w:autoSpaceDE w:val="0"/>
        <w:autoSpaceDN w:val="0"/>
        <w:adjustRightInd w:val="0"/>
        <w:spacing w:line="360" w:lineRule="auto"/>
        <w:ind w:left="319" w:leftChars="-100" w:hanging="529" w:hangingChars="252"/>
        <w:rPr>
          <w:rFonts w:hint="eastAsia" w:ascii="宋体" w:hAnsi="宋体" w:eastAsia="宋体" w:cs="宋体"/>
          <w:color w:val="auto"/>
          <w:kern w:val="0"/>
          <w:szCs w:val="24"/>
          <w:highlight w:val="none"/>
        </w:rPr>
      </w:pPr>
    </w:p>
    <w:p w14:paraId="217E33F5">
      <w:pPr>
        <w:tabs>
          <w:tab w:val="left" w:pos="570"/>
        </w:tabs>
        <w:autoSpaceDE w:val="0"/>
        <w:autoSpaceDN w:val="0"/>
        <w:adjustRightInd w:val="0"/>
        <w:spacing w:line="360" w:lineRule="auto"/>
        <w:ind w:left="357" w:leftChars="-100" w:hanging="567"/>
        <w:jc w:val="left"/>
        <w:outlineLvl w:val="2"/>
        <w:rPr>
          <w:rFonts w:hint="eastAsia" w:ascii="宋体" w:hAnsi="宋体" w:eastAsia="宋体" w:cs="宋体"/>
          <w:b/>
          <w:color w:val="auto"/>
          <w:szCs w:val="21"/>
          <w:highlight w:val="none"/>
        </w:rPr>
      </w:pPr>
      <w:bookmarkStart w:id="38" w:name="_Toc142508315"/>
      <w:bookmarkStart w:id="39" w:name="_Toc23847_WPSOffice_Level3"/>
      <w:bookmarkStart w:id="40" w:name="_Toc19774"/>
      <w:bookmarkStart w:id="41" w:name="_Toc20106"/>
      <w:bookmarkStart w:id="42" w:name="_Toc16100"/>
      <w:bookmarkStart w:id="43" w:name="_Toc11689"/>
      <w:bookmarkStart w:id="44" w:name="_Toc450662851"/>
      <w:bookmarkStart w:id="45" w:name="_Toc486167665"/>
      <w:r>
        <w:rPr>
          <w:rFonts w:hint="eastAsia" w:ascii="宋体" w:hAnsi="宋体" w:eastAsia="宋体" w:cs="宋体"/>
          <w:b/>
          <w:color w:val="auto"/>
          <w:szCs w:val="21"/>
          <w:highlight w:val="none"/>
          <w:lang w:val="zh-CN"/>
        </w:rPr>
        <w:t>3</w:t>
      </w:r>
      <w:r>
        <w:rPr>
          <w:rFonts w:ascii="宋体" w:hAnsi="宋体" w:eastAsia="宋体" w:cs="宋体"/>
          <w:b/>
          <w:color w:val="auto"/>
          <w:szCs w:val="21"/>
          <w:highlight w:val="none"/>
          <w:lang w:val="zh-CN"/>
        </w:rPr>
        <w:t xml:space="preserve"> </w:t>
      </w:r>
      <w:r>
        <w:rPr>
          <w:rFonts w:hint="eastAsia" w:ascii="宋体" w:hAnsi="宋体" w:eastAsia="宋体" w:cs="宋体"/>
          <w:b/>
          <w:color w:val="auto"/>
          <w:szCs w:val="21"/>
          <w:highlight w:val="none"/>
          <w:lang w:val="zh-CN"/>
        </w:rPr>
        <w:t>合格的</w:t>
      </w:r>
      <w:bookmarkEnd w:id="38"/>
      <w:bookmarkEnd w:id="39"/>
      <w:r>
        <w:rPr>
          <w:rFonts w:hint="eastAsia" w:ascii="宋体" w:hAnsi="宋体" w:eastAsia="宋体" w:cs="宋体"/>
          <w:b/>
          <w:color w:val="auto"/>
          <w:szCs w:val="21"/>
          <w:highlight w:val="none"/>
        </w:rPr>
        <w:t>服务</w:t>
      </w:r>
      <w:bookmarkEnd w:id="40"/>
      <w:bookmarkEnd w:id="41"/>
      <w:bookmarkEnd w:id="42"/>
      <w:bookmarkEnd w:id="43"/>
    </w:p>
    <w:p w14:paraId="30E3D198">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r>
        <w:rPr>
          <w:rFonts w:ascii="宋体" w:hAnsi="宋体" w:eastAsia="宋体" w:cs="Times New Roman"/>
          <w:color w:val="auto"/>
          <w:szCs w:val="21"/>
          <w:highlight w:val="none"/>
          <w:lang w:val="zh-CN"/>
        </w:rPr>
        <w:t>3.</w:t>
      </w:r>
      <w:r>
        <w:rPr>
          <w:rFonts w:hint="eastAsia" w:ascii="宋体" w:hAnsi="宋体" w:eastAsia="宋体" w:cs="Times New Roman"/>
          <w:color w:val="auto"/>
          <w:szCs w:val="21"/>
          <w:highlight w:val="none"/>
          <w:lang w:val="zh-CN"/>
        </w:rPr>
        <w:t>1</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“服务”是指投标人按招标文件规定完成的全部服务内容，其中包括完成服务所需的货物和工程，及须承担的技术支持、培训和其它伴随服务。</w:t>
      </w:r>
    </w:p>
    <w:p w14:paraId="42905EDB">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bookmarkStart w:id="46" w:name="_Toc1977663"/>
      <w:bookmarkStart w:id="47" w:name="_Toc533708063"/>
      <w:r>
        <w:rPr>
          <w:rFonts w:hint="eastAsia" w:ascii="宋体" w:hAnsi="宋体" w:eastAsia="宋体" w:cs="宋体"/>
          <w:color w:val="auto"/>
          <w:szCs w:val="21"/>
          <w:highlight w:val="none"/>
          <w:lang w:val="zh-CN"/>
        </w:rPr>
        <w:t xml:space="preserve">3.2  </w:t>
      </w:r>
      <w:bookmarkEnd w:id="46"/>
      <w:bookmarkEnd w:id="47"/>
      <w:bookmarkStart w:id="48" w:name="_Toc533708065"/>
      <w:bookmarkStart w:id="49" w:name="_Toc1977665"/>
      <w:r>
        <w:rPr>
          <w:rFonts w:hint="eastAsia" w:ascii="宋体" w:hAnsi="宋体" w:eastAsia="宋体" w:cs="宋体"/>
          <w:color w:val="auto"/>
          <w:szCs w:val="21"/>
          <w:highlight w:val="none"/>
          <w:lang w:val="zh-CN"/>
        </w:rPr>
        <w:t>投标人</w:t>
      </w:r>
      <w:r>
        <w:rPr>
          <w:rFonts w:hint="eastAsia" w:ascii="宋体" w:hAnsi="宋体" w:eastAsia="宋体" w:cs="Times New Roman"/>
          <w:color w:val="auto"/>
          <w:szCs w:val="21"/>
          <w:highlight w:val="none"/>
          <w:lang w:val="zh-CN"/>
        </w:rPr>
        <w:t>必须保证提供的所有</w:t>
      </w:r>
      <w:r>
        <w:rPr>
          <w:rFonts w:hint="eastAsia" w:ascii="宋体" w:hAnsi="宋体" w:eastAsia="宋体" w:cs="Times New Roman"/>
          <w:color w:val="auto"/>
          <w:szCs w:val="21"/>
          <w:highlight w:val="none"/>
        </w:rPr>
        <w:t>服务</w:t>
      </w:r>
      <w:r>
        <w:rPr>
          <w:rFonts w:hint="eastAsia" w:ascii="宋体" w:hAnsi="宋体" w:eastAsia="宋体" w:cs="Times New Roman"/>
          <w:color w:val="auto"/>
          <w:szCs w:val="21"/>
          <w:highlight w:val="none"/>
          <w:lang w:val="zh-CN"/>
        </w:rPr>
        <w:t>或</w:t>
      </w:r>
      <w:r>
        <w:rPr>
          <w:rFonts w:hint="eastAsia" w:ascii="宋体" w:hAnsi="宋体" w:eastAsia="宋体" w:cs="Times New Roman"/>
          <w:color w:val="auto"/>
          <w:szCs w:val="21"/>
          <w:highlight w:val="none"/>
        </w:rPr>
        <w:t>服务</w:t>
      </w:r>
      <w:r>
        <w:rPr>
          <w:rFonts w:hint="eastAsia" w:ascii="宋体" w:hAnsi="宋体" w:eastAsia="宋体" w:cs="Times New Roman"/>
          <w:color w:val="auto"/>
          <w:szCs w:val="21"/>
          <w:highlight w:val="none"/>
          <w:lang w:val="zh-CN"/>
        </w:rPr>
        <w:t>的任何部分均为最新正式版本</w:t>
      </w:r>
      <w:r>
        <w:rPr>
          <w:rFonts w:hint="eastAsia" w:ascii="宋体" w:hAnsi="宋体" w:eastAsia="宋体" w:cs="宋体"/>
          <w:color w:val="auto"/>
          <w:szCs w:val="21"/>
          <w:highlight w:val="none"/>
          <w:lang w:val="zh-CN"/>
        </w:rPr>
        <w:t>。</w:t>
      </w:r>
      <w:bookmarkEnd w:id="48"/>
      <w:bookmarkEnd w:id="49"/>
    </w:p>
    <w:p w14:paraId="079D492B">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bookmarkStart w:id="50" w:name="_Toc1977666"/>
      <w:bookmarkStart w:id="51" w:name="_Toc533708066"/>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 xml:space="preserve">  </w:t>
      </w:r>
      <w:bookmarkEnd w:id="50"/>
      <w:bookmarkEnd w:id="51"/>
      <w:bookmarkStart w:id="52" w:name="_Toc533708067"/>
      <w:bookmarkStart w:id="53" w:name="_Toc1977667"/>
      <w:r>
        <w:rPr>
          <w:rFonts w:hint="eastAsia" w:ascii="宋体" w:hAnsi="宋体" w:eastAsia="宋体" w:cs="宋体"/>
          <w:color w:val="auto"/>
          <w:szCs w:val="21"/>
          <w:highlight w:val="none"/>
          <w:lang w:val="zh-CN"/>
        </w:rPr>
        <w:t>投标人</w:t>
      </w:r>
      <w:r>
        <w:rPr>
          <w:rFonts w:hint="eastAsia" w:ascii="宋体" w:hAnsi="宋体" w:eastAsia="宋体" w:cs="Times New Roman"/>
          <w:color w:val="auto"/>
          <w:kern w:val="0"/>
          <w:szCs w:val="21"/>
          <w:highlight w:val="none"/>
        </w:rPr>
        <w:t>应保证招标人在中华人民共和国使用服务或服务的任何一部分时，招标人免受第三方提出侵犯其专利权、商标权或其它知识产权的起诉。如果投标人不拥有相应的知识产权，则须在报价中包括合法获取该知识产权的相关费用，并在招标文件中附有相关证明文件。如有违反，造成招标人任何经济损失或其他损失的，由投标人承担全部赔偿责任</w:t>
      </w:r>
      <w:r>
        <w:rPr>
          <w:rFonts w:hint="eastAsia" w:ascii="宋体" w:hAnsi="宋体" w:eastAsia="宋体" w:cs="宋体"/>
          <w:color w:val="auto"/>
          <w:szCs w:val="21"/>
          <w:highlight w:val="none"/>
          <w:lang w:val="zh-CN"/>
        </w:rPr>
        <w:t>。</w:t>
      </w:r>
      <w:bookmarkEnd w:id="52"/>
      <w:bookmarkEnd w:id="53"/>
    </w:p>
    <w:p w14:paraId="745945AE">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bookmarkStart w:id="54" w:name="_Toc533708068"/>
      <w:bookmarkStart w:id="55" w:name="_Toc1977668"/>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zh-CN"/>
        </w:rPr>
        <w:t xml:space="preserve"> </w:t>
      </w:r>
      <w:bookmarkEnd w:id="54"/>
      <w:bookmarkEnd w:id="55"/>
      <w:r>
        <w:rPr>
          <w:rFonts w:hint="eastAsia" w:ascii="宋体" w:hAnsi="宋体" w:eastAsia="宋体" w:cs="宋体"/>
          <w:color w:val="auto"/>
          <w:szCs w:val="21"/>
          <w:highlight w:val="none"/>
          <w:lang w:val="zh-CN"/>
        </w:rPr>
        <w:t>无论投标人</w:t>
      </w:r>
      <w:r>
        <w:rPr>
          <w:rFonts w:hint="eastAsia" w:ascii="宋体" w:hAnsi="宋体" w:eastAsia="宋体" w:cs="Times New Roman"/>
          <w:color w:val="auto"/>
          <w:kern w:val="0"/>
          <w:szCs w:val="21"/>
          <w:highlight w:val="none"/>
        </w:rPr>
        <w:t>是否在投标报价表中明示，均视为投标报价已包含所有应支付的对专利权、商标权和版权、设计或其他知识产权而需要向其他方支付的版税和使用费等相关费用。如投标人未依法向第三方支付应缴版税和使用费等相关费用的，造成招标人任何经济损失的，由投标人承担全部赔偿责任</w:t>
      </w:r>
      <w:r>
        <w:rPr>
          <w:rFonts w:hint="eastAsia" w:ascii="宋体" w:hAnsi="宋体" w:eastAsia="宋体" w:cs="宋体"/>
          <w:color w:val="auto"/>
          <w:szCs w:val="21"/>
          <w:highlight w:val="none"/>
          <w:lang w:val="zh-CN"/>
        </w:rPr>
        <w:t>。</w:t>
      </w:r>
    </w:p>
    <w:p w14:paraId="4E002B18">
      <w:pPr>
        <w:autoSpaceDE w:val="0"/>
        <w:autoSpaceDN w:val="0"/>
        <w:adjustRightInd w:val="0"/>
        <w:spacing w:line="360" w:lineRule="auto"/>
        <w:jc w:val="left"/>
        <w:rPr>
          <w:rFonts w:hint="eastAsia" w:ascii="宋体" w:hAnsi="宋体" w:eastAsia="宋体" w:cs="宋体"/>
          <w:color w:val="auto"/>
          <w:szCs w:val="21"/>
          <w:highlight w:val="none"/>
          <w:lang w:val="zh-CN"/>
        </w:rPr>
      </w:pPr>
    </w:p>
    <w:p w14:paraId="1AAE126F">
      <w:pPr>
        <w:tabs>
          <w:tab w:val="left" w:pos="570"/>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56" w:name="_Toc29561"/>
      <w:bookmarkStart w:id="57" w:name="_Toc3404"/>
      <w:bookmarkStart w:id="58" w:name="_Toc142508316"/>
      <w:bookmarkStart w:id="59" w:name="_Toc9753"/>
      <w:bookmarkStart w:id="60" w:name="_Toc9658_WPSOffice_Level3"/>
      <w:bookmarkStart w:id="61" w:name="_Toc11533"/>
      <w:r>
        <w:rPr>
          <w:rFonts w:hint="eastAsia" w:ascii="宋体" w:hAnsi="宋体" w:eastAsia="宋体" w:cs="宋体"/>
          <w:color w:val="auto"/>
          <w:szCs w:val="21"/>
          <w:highlight w:val="none"/>
          <w:lang w:val="zh-CN"/>
        </w:rPr>
        <w:t>4</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其它说明</w:t>
      </w:r>
      <w:bookmarkEnd w:id="56"/>
      <w:bookmarkEnd w:id="57"/>
      <w:bookmarkEnd w:id="58"/>
      <w:bookmarkEnd w:id="59"/>
      <w:bookmarkEnd w:id="60"/>
      <w:bookmarkEnd w:id="61"/>
    </w:p>
    <w:p w14:paraId="0AE9E5A3">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bookmarkStart w:id="62" w:name="_Toc1977670"/>
      <w:bookmarkStart w:id="63" w:name="_Toc533708070"/>
      <w:r>
        <w:rPr>
          <w:rFonts w:hint="eastAsia" w:ascii="宋体" w:hAnsi="宋体" w:eastAsia="宋体" w:cs="宋体"/>
          <w:color w:val="auto"/>
          <w:szCs w:val="21"/>
          <w:highlight w:val="none"/>
          <w:lang w:val="zh-CN"/>
        </w:rPr>
        <w:t>4.1  投标费用</w:t>
      </w:r>
      <w:bookmarkEnd w:id="62"/>
      <w:bookmarkEnd w:id="63"/>
    </w:p>
    <w:p w14:paraId="76198069">
      <w:pPr>
        <w:autoSpaceDE w:val="0"/>
        <w:autoSpaceDN w:val="0"/>
        <w:adjustRightInd w:val="0"/>
        <w:spacing w:line="360" w:lineRule="auto"/>
        <w:ind w:left="210" w:leftChars="100" w:firstLine="420" w:firstLineChars="200"/>
        <w:rPr>
          <w:rFonts w:hint="eastAsia" w:ascii="宋体" w:hAnsi="宋体" w:eastAsia="宋体" w:cs="宋体"/>
          <w:color w:val="auto"/>
          <w:szCs w:val="21"/>
          <w:highlight w:val="none"/>
          <w:lang w:val="zh-CN"/>
        </w:rPr>
      </w:pPr>
      <w:bookmarkStart w:id="64" w:name="_Toc533708072"/>
      <w:bookmarkStart w:id="65" w:name="_Toc1977672"/>
      <w:r>
        <w:rPr>
          <w:rFonts w:hint="eastAsia" w:ascii="宋体" w:hAnsi="宋体" w:eastAsia="宋体" w:cs="Times New Roman"/>
          <w:color w:val="auto"/>
          <w:szCs w:val="21"/>
          <w:highlight w:val="none"/>
          <w:lang w:val="zh-CN"/>
        </w:rPr>
        <w:t>无论招标过程中的做法和结果如何，投标人须承担所有与编写和递交投标文件有关的费用，招标人和招标代理机构在任何情况下不负担这些费用</w:t>
      </w:r>
      <w:r>
        <w:rPr>
          <w:rFonts w:hint="eastAsia" w:ascii="宋体" w:hAnsi="宋体" w:eastAsia="宋体" w:cs="宋体"/>
          <w:color w:val="auto"/>
          <w:szCs w:val="21"/>
          <w:highlight w:val="none"/>
          <w:lang w:val="zh-CN"/>
        </w:rPr>
        <w:t>。</w:t>
      </w:r>
      <w:bookmarkEnd w:id="64"/>
      <w:bookmarkEnd w:id="65"/>
    </w:p>
    <w:p w14:paraId="31A14C43">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bookmarkStart w:id="66" w:name="_Toc1977673"/>
      <w:bookmarkStart w:id="67" w:name="_Toc533708073"/>
      <w:r>
        <w:rPr>
          <w:rFonts w:hint="eastAsia" w:ascii="宋体" w:hAnsi="宋体" w:eastAsia="宋体" w:cs="宋体"/>
          <w:color w:val="auto"/>
          <w:szCs w:val="21"/>
          <w:highlight w:val="none"/>
          <w:lang w:val="zh-CN"/>
        </w:rPr>
        <w:t>4.2  踏勘现场</w:t>
      </w:r>
      <w:bookmarkEnd w:id="66"/>
      <w:bookmarkEnd w:id="67"/>
    </w:p>
    <w:p w14:paraId="773EBB0B">
      <w:pPr>
        <w:autoSpaceDE w:val="0"/>
        <w:autoSpaceDN w:val="0"/>
        <w:adjustRightInd w:val="0"/>
        <w:spacing w:line="360" w:lineRule="auto"/>
        <w:ind w:left="300" w:leftChars="-59" w:hanging="424" w:hangingChars="202"/>
        <w:jc w:val="left"/>
        <w:rPr>
          <w:rFonts w:hint="eastAsia" w:ascii="宋体" w:hAnsi="宋体" w:eastAsia="宋体" w:cs="Times New Roman"/>
          <w:color w:val="auto"/>
          <w:kern w:val="0"/>
          <w:szCs w:val="21"/>
          <w:highlight w:val="none"/>
        </w:rPr>
      </w:pPr>
      <w:bookmarkStart w:id="68" w:name="_Toc533708076"/>
      <w:bookmarkStart w:id="69" w:name="_Toc1977676"/>
      <w:r>
        <w:rPr>
          <w:rFonts w:hint="eastAsia" w:ascii="宋体" w:hAnsi="宋体" w:eastAsia="宋体" w:cs="Times New Roman"/>
          <w:color w:val="auto"/>
          <w:kern w:val="0"/>
          <w:szCs w:val="21"/>
          <w:highlight w:val="none"/>
        </w:rPr>
        <w:t>（1）本项目不组织集中踏勘现场和答疑，投标人应自行到实地踏勘考察。</w:t>
      </w:r>
    </w:p>
    <w:p w14:paraId="72D6D797">
      <w:pPr>
        <w:autoSpaceDE w:val="0"/>
        <w:autoSpaceDN w:val="0"/>
        <w:adjustRightInd w:val="0"/>
        <w:spacing w:line="360" w:lineRule="auto"/>
        <w:ind w:left="300" w:leftChars="-59" w:hanging="424" w:hangingChars="202"/>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（2）潜在投标人应承担踏勘现场自身所发生的费用。</w:t>
      </w:r>
    </w:p>
    <w:p w14:paraId="2B5239D2">
      <w:pPr>
        <w:spacing w:line="360" w:lineRule="auto"/>
        <w:ind w:left="300" w:leftChars="-59" w:hanging="424" w:hangingChars="202"/>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（3）招标人和招标代理机构在踏勘现场中介绍的有关现场和相关的周边环境情况，供投标人在编制投标文件时参考，招标人不对投标人据此作出的判断和决策负责。</w:t>
      </w:r>
    </w:p>
    <w:p w14:paraId="7D4EBEAC">
      <w:pPr>
        <w:spacing w:line="360" w:lineRule="auto"/>
        <w:ind w:left="300" w:leftChars="-59" w:hanging="424" w:hangingChars="202"/>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（4）潜在投标人可为踏勘需要而进入招标人的项目现场，但潜在投标人不得因此使招标人承担有关的责任和蒙受损失。潜在投标人应承担踏勘现场的责任和风险。</w:t>
      </w:r>
    </w:p>
    <w:p w14:paraId="73BFCD2A">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4.3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纪律与保密事项</w:t>
      </w:r>
      <w:bookmarkEnd w:id="44"/>
      <w:bookmarkEnd w:id="45"/>
      <w:bookmarkEnd w:id="68"/>
      <w:bookmarkEnd w:id="69"/>
    </w:p>
    <w:p w14:paraId="07CABA71">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（1）获得本招标文件的投标人，不得用作本次投标以外的任何用途。</w:t>
      </w:r>
    </w:p>
    <w:p w14:paraId="5DD04E7B">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lang w:val="zh-CN"/>
        </w:rPr>
        <w:t>（2</w:t>
      </w:r>
      <w:r>
        <w:rPr>
          <w:rFonts w:hint="eastAsia" w:ascii="宋体" w:hAnsi="宋体" w:eastAsia="宋体" w:cs="Times New Roman"/>
          <w:color w:val="auto"/>
          <w:kern w:val="0"/>
          <w:szCs w:val="21"/>
          <w:highlight w:val="none"/>
        </w:rPr>
        <w:t>）凡参与招标工作的有关人员均应自觉接受有关主管部门的监督，不得向他人透露可能影响公平竞争的情况。</w:t>
      </w:r>
    </w:p>
    <w:p w14:paraId="0CCBECA9">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（3）开标后，直至向中标人授予合同期间，凡与审查、澄清、评价和比较报价的有关资料以及授标意见等，参与评标工作的有关人员均不得向投标人及与评标无关的其他人透露。</w:t>
      </w:r>
    </w:p>
    <w:p w14:paraId="4BCD763D">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（4）除投标人被要求对投标文件进行澄清外，从递交投标文件截止之时起至授予合同期间，投标人不得就与其投标文件有关的事项主动与评标委员会、招标代理机构以及招标人联系。</w:t>
      </w:r>
    </w:p>
    <w:p w14:paraId="0BD37BE2">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5）从开标之日起至授予合同期间，在投标文件的审查、澄清、比较和评价阶段，投标人试图对评标委员会和招标代理机构施加任何影响或对招标人的比较及授予合同的决定产生影响，都可能导致其投标文件被拒绝。</w:t>
      </w:r>
    </w:p>
    <w:p w14:paraId="0CDCF032">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（6）投标人不得串通作弊，以不正当的手段妨碍、排挤其他投标人，扰乱采购市场，破坏公平竞争原则。</w:t>
      </w:r>
    </w:p>
    <w:p w14:paraId="022EFF59">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rPr>
      </w:pPr>
    </w:p>
    <w:p w14:paraId="6776C150">
      <w:pPr>
        <w:keepNext/>
        <w:keepLines/>
        <w:autoSpaceDE w:val="0"/>
        <w:autoSpaceDN w:val="0"/>
        <w:adjustRightInd w:val="0"/>
        <w:spacing w:line="360" w:lineRule="auto"/>
        <w:jc w:val="left"/>
        <w:outlineLvl w:val="0"/>
        <w:rPr>
          <w:rFonts w:hint="eastAsia" w:ascii="宋体" w:hAnsi="宋体" w:eastAsia="宋体" w:cs="宋体"/>
          <w:b/>
          <w:bCs/>
          <w:color w:val="auto"/>
          <w:kern w:val="44"/>
          <w:szCs w:val="21"/>
          <w:highlight w:val="none"/>
          <w:lang w:val="zh-CN"/>
        </w:rPr>
      </w:pPr>
      <w:bookmarkStart w:id="70" w:name="_Toc142508317"/>
      <w:bookmarkStart w:id="71" w:name="_Toc30507_WPSOffice_Level2"/>
      <w:bookmarkStart w:id="72" w:name="_Toc450662853"/>
      <w:bookmarkStart w:id="73" w:name="_Toc486167667"/>
      <w:bookmarkStart w:id="74" w:name="_Toc140596876"/>
      <w:bookmarkStart w:id="75" w:name="_Toc29177"/>
      <w:bookmarkStart w:id="76" w:name="_Toc5395"/>
      <w:bookmarkStart w:id="77" w:name="_Toc1565"/>
      <w:bookmarkStart w:id="78" w:name="_Toc23213"/>
      <w:r>
        <w:rPr>
          <w:rFonts w:hint="eastAsia" w:ascii="宋体" w:hAnsi="宋体" w:eastAsia="宋体" w:cs="宋体"/>
          <w:b/>
          <w:bCs/>
          <w:color w:val="auto"/>
          <w:kern w:val="44"/>
          <w:szCs w:val="21"/>
          <w:highlight w:val="none"/>
          <w:lang w:val="zh-CN"/>
        </w:rPr>
        <w:t>二、招标文件</w:t>
      </w:r>
      <w:bookmarkEnd w:id="70"/>
      <w:bookmarkEnd w:id="71"/>
      <w:bookmarkEnd w:id="72"/>
      <w:bookmarkEnd w:id="73"/>
      <w:bookmarkEnd w:id="74"/>
      <w:bookmarkEnd w:id="75"/>
      <w:bookmarkEnd w:id="76"/>
      <w:bookmarkEnd w:id="77"/>
      <w:bookmarkEnd w:id="78"/>
    </w:p>
    <w:p w14:paraId="79893005">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79" w:name="_Toc28228"/>
      <w:bookmarkStart w:id="80" w:name="_Toc142508318"/>
      <w:bookmarkStart w:id="81" w:name="_Toc28893"/>
      <w:bookmarkStart w:id="82" w:name="_Toc450662854"/>
      <w:bookmarkStart w:id="83" w:name="_Toc3978"/>
      <w:bookmarkStart w:id="84" w:name="_Toc26635_WPSOffice_Level3"/>
      <w:bookmarkStart w:id="85" w:name="_Toc486167668"/>
      <w:bookmarkStart w:id="86" w:name="_Toc2406"/>
      <w:r>
        <w:rPr>
          <w:rFonts w:hint="eastAsia" w:ascii="宋体" w:hAnsi="宋体" w:eastAsia="宋体" w:cs="宋体"/>
          <w:color w:val="auto"/>
          <w:szCs w:val="21"/>
          <w:highlight w:val="none"/>
          <w:lang w:val="zh-CN"/>
        </w:rPr>
        <w:t>5</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招标文件的构成</w:t>
      </w:r>
      <w:bookmarkEnd w:id="79"/>
      <w:bookmarkEnd w:id="80"/>
      <w:bookmarkEnd w:id="81"/>
      <w:bookmarkEnd w:id="82"/>
      <w:bookmarkEnd w:id="83"/>
      <w:bookmarkEnd w:id="84"/>
      <w:bookmarkEnd w:id="85"/>
      <w:bookmarkEnd w:id="86"/>
    </w:p>
    <w:p w14:paraId="5F424F9A">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5.1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招标文件包括：</w:t>
      </w:r>
    </w:p>
    <w:p w14:paraId="73CBA843">
      <w:pPr>
        <w:tabs>
          <w:tab w:val="left" w:pos="1890"/>
        </w:tabs>
        <w:autoSpaceDE w:val="0"/>
        <w:autoSpaceDN w:val="0"/>
        <w:adjustRightInd w:val="0"/>
        <w:spacing w:line="360" w:lineRule="auto"/>
        <w:ind w:firstLine="424" w:firstLineChars="202"/>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第一篇 招标公告</w:t>
      </w:r>
    </w:p>
    <w:p w14:paraId="60F3DA1E">
      <w:pPr>
        <w:tabs>
          <w:tab w:val="left" w:pos="1890"/>
        </w:tabs>
        <w:autoSpaceDE w:val="0"/>
        <w:autoSpaceDN w:val="0"/>
        <w:adjustRightInd w:val="0"/>
        <w:spacing w:line="360" w:lineRule="auto"/>
        <w:ind w:firstLine="424" w:firstLineChars="202"/>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第二篇 投标人须知</w:t>
      </w:r>
    </w:p>
    <w:p w14:paraId="28061204">
      <w:pPr>
        <w:tabs>
          <w:tab w:val="left" w:pos="1890"/>
        </w:tabs>
        <w:autoSpaceDE w:val="0"/>
        <w:autoSpaceDN w:val="0"/>
        <w:adjustRightInd w:val="0"/>
        <w:spacing w:line="360" w:lineRule="auto"/>
        <w:ind w:firstLine="424" w:firstLineChars="202"/>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第三篇 用户需求书</w:t>
      </w:r>
    </w:p>
    <w:p w14:paraId="186A3195">
      <w:pPr>
        <w:tabs>
          <w:tab w:val="left" w:pos="1890"/>
        </w:tabs>
        <w:autoSpaceDE w:val="0"/>
        <w:autoSpaceDN w:val="0"/>
        <w:adjustRightInd w:val="0"/>
        <w:spacing w:line="360" w:lineRule="auto"/>
        <w:ind w:firstLine="424" w:firstLineChars="202"/>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第四篇 合同条款</w:t>
      </w:r>
    </w:p>
    <w:p w14:paraId="67EF1901">
      <w:pPr>
        <w:tabs>
          <w:tab w:val="left" w:pos="1890"/>
        </w:tabs>
        <w:autoSpaceDE w:val="0"/>
        <w:autoSpaceDN w:val="0"/>
        <w:adjustRightInd w:val="0"/>
        <w:spacing w:line="360" w:lineRule="auto"/>
        <w:ind w:firstLine="424" w:firstLineChars="202"/>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第</w:t>
      </w:r>
      <w:r>
        <w:rPr>
          <w:rFonts w:hint="eastAsia" w:ascii="宋体" w:hAnsi="宋体" w:eastAsia="宋体" w:cs="Times New Roman"/>
          <w:color w:val="auto"/>
          <w:szCs w:val="21"/>
          <w:highlight w:val="none"/>
          <w:lang w:val="en-US" w:eastAsia="zh-CN"/>
        </w:rPr>
        <w:t>五</w:t>
      </w:r>
      <w:r>
        <w:rPr>
          <w:rFonts w:hint="eastAsia" w:ascii="宋体" w:hAnsi="宋体" w:eastAsia="宋体" w:cs="Times New Roman"/>
          <w:color w:val="auto"/>
          <w:szCs w:val="21"/>
          <w:highlight w:val="none"/>
          <w:lang w:val="zh-CN"/>
        </w:rPr>
        <w:t>篇 投标文件格式</w:t>
      </w:r>
    </w:p>
    <w:p w14:paraId="0B4C493E">
      <w:pPr>
        <w:tabs>
          <w:tab w:val="left" w:pos="1890"/>
        </w:tabs>
        <w:autoSpaceDE w:val="0"/>
        <w:autoSpaceDN w:val="0"/>
        <w:adjustRightInd w:val="0"/>
        <w:spacing w:line="360" w:lineRule="auto"/>
        <w:ind w:firstLine="424" w:firstLineChars="202"/>
        <w:rPr>
          <w:rFonts w:hint="eastAsia" w:ascii="宋体" w:hAnsi="宋体" w:eastAsia="宋体" w:cs="Times New Roman"/>
          <w:color w:val="auto"/>
          <w:szCs w:val="21"/>
          <w:highlight w:val="none"/>
          <w:lang w:val="zh-CN"/>
        </w:rPr>
      </w:pPr>
      <w:r>
        <w:rPr>
          <w:rFonts w:hint="eastAsia" w:ascii="宋体" w:hAnsi="宋体" w:eastAsia="宋体" w:cs="宋体"/>
          <w:color w:val="auto"/>
          <w:szCs w:val="21"/>
          <w:highlight w:val="none"/>
          <w:lang w:val="zh-CN"/>
        </w:rPr>
        <w:t>附件一：评标工作大纲</w:t>
      </w:r>
    </w:p>
    <w:p w14:paraId="3CA86097">
      <w:pPr>
        <w:autoSpaceDE w:val="0"/>
        <w:autoSpaceDN w:val="0"/>
        <w:adjustRightInd w:val="0"/>
        <w:spacing w:line="360" w:lineRule="auto"/>
        <w:ind w:left="356" w:leftChars="-99" w:hanging="564" w:hangingChars="269"/>
        <w:rPr>
          <w:rFonts w:hint="eastAsia" w:ascii="宋体" w:hAnsi="宋体" w:eastAsia="宋体" w:cs="宋体"/>
          <w:b/>
          <w:bCs/>
          <w:color w:val="auto"/>
          <w:szCs w:val="21"/>
          <w:highlight w:val="none"/>
          <w:u w:val="single"/>
          <w:lang w:val="zh-CN"/>
        </w:rPr>
      </w:pPr>
      <w:r>
        <w:rPr>
          <w:rFonts w:hint="eastAsia" w:ascii="宋体" w:hAnsi="宋体" w:eastAsia="宋体" w:cs="宋体"/>
          <w:bCs/>
          <w:color w:val="auto"/>
          <w:szCs w:val="21"/>
          <w:highlight w:val="none"/>
          <w:lang w:val="zh-CN"/>
        </w:rPr>
        <w:t>5.2</w:t>
      </w:r>
      <w:r>
        <w:rPr>
          <w:rFonts w:hint="eastAsia" w:ascii="宋体" w:hAnsi="宋体" w:eastAsia="宋体" w:cs="宋体"/>
          <w:b/>
          <w:bCs/>
          <w:color w:val="auto"/>
          <w:szCs w:val="21"/>
          <w:highlight w:val="none"/>
          <w:lang w:val="zh-CN"/>
        </w:rPr>
        <w:tab/>
      </w:r>
      <w:r>
        <w:rPr>
          <w:rFonts w:hint="eastAsia" w:ascii="宋体" w:hAnsi="宋体" w:eastAsia="宋体" w:cs="宋体"/>
          <w:b/>
          <w:bCs/>
          <w:color w:val="auto"/>
          <w:szCs w:val="21"/>
          <w:highlight w:val="none"/>
          <w:u w:val="single"/>
          <w:lang w:val="zh-CN"/>
        </w:rPr>
        <w:t>投标人</w:t>
      </w:r>
      <w:r>
        <w:rPr>
          <w:rFonts w:hint="eastAsia" w:ascii="宋体" w:hAnsi="宋体" w:eastAsia="宋体" w:cs="Times New Roman"/>
          <w:b/>
          <w:bCs/>
          <w:color w:val="auto"/>
          <w:szCs w:val="21"/>
          <w:highlight w:val="none"/>
          <w:u w:val="single"/>
          <w:lang w:val="zh-CN"/>
        </w:rPr>
        <w:t>应审阅招标文件中所有须知、格式、条款和规格。投标人未按招标文件要求提供全部资料或提交的投标文件未对招标文件作出实质性响应（</w:t>
      </w:r>
      <w:r>
        <w:rPr>
          <w:rFonts w:hint="eastAsia" w:ascii="宋体" w:hAnsi="宋体" w:eastAsia="宋体" w:cs="宋体"/>
          <w:b/>
          <w:bCs/>
          <w:color w:val="auto"/>
          <w:szCs w:val="21"/>
          <w:highlight w:val="none"/>
          <w:u w:val="single"/>
          <w:lang w:val="zh-CN"/>
        </w:rPr>
        <w:t>★</w:t>
      </w:r>
      <w:r>
        <w:rPr>
          <w:rFonts w:hint="eastAsia" w:ascii="宋体" w:hAnsi="宋体" w:eastAsia="宋体" w:cs="Times New Roman"/>
          <w:b/>
          <w:bCs/>
          <w:color w:val="auto"/>
          <w:szCs w:val="21"/>
          <w:highlight w:val="none"/>
          <w:u w:val="single"/>
          <w:lang w:val="zh-CN"/>
        </w:rPr>
        <w:t>标志的部分为投标人、投标拟供服务必备的条件或重要指示），那么投标人的投标文件将有可能被拒绝接收或评审为无效投标文件</w:t>
      </w:r>
      <w:r>
        <w:rPr>
          <w:rFonts w:hint="eastAsia" w:ascii="宋体" w:hAnsi="宋体" w:eastAsia="宋体" w:cs="宋体"/>
          <w:b/>
          <w:bCs/>
          <w:color w:val="auto"/>
          <w:szCs w:val="21"/>
          <w:highlight w:val="none"/>
          <w:u w:val="single"/>
          <w:lang w:val="zh-CN"/>
        </w:rPr>
        <w:t>。</w:t>
      </w:r>
    </w:p>
    <w:p w14:paraId="45CC489E">
      <w:pPr>
        <w:autoSpaceDE w:val="0"/>
        <w:autoSpaceDN w:val="0"/>
        <w:adjustRightInd w:val="0"/>
        <w:spacing w:line="360" w:lineRule="auto"/>
        <w:ind w:left="356" w:leftChars="-99" w:hanging="564" w:hangingChars="269"/>
        <w:rPr>
          <w:rFonts w:hint="eastAsia" w:ascii="宋体" w:hAnsi="宋体" w:eastAsia="宋体" w:cs="宋体"/>
          <w:b/>
          <w:bCs/>
          <w:color w:val="auto"/>
          <w:szCs w:val="21"/>
          <w:highlight w:val="none"/>
          <w:u w:val="single"/>
        </w:rPr>
      </w:pPr>
      <w:r>
        <w:rPr>
          <w:rFonts w:hint="eastAsia" w:ascii="宋体" w:hAnsi="宋体" w:eastAsia="宋体" w:cs="宋体"/>
          <w:color w:val="auto"/>
          <w:szCs w:val="21"/>
          <w:highlight w:val="none"/>
          <w:lang w:val="zh-CN"/>
        </w:rPr>
        <w:t>5.3  本招标文件使用的词语有如下定义：</w:t>
      </w:r>
    </w:p>
    <w:p w14:paraId="21B1479A">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（1）“招标人”指东莞市碧水信息科技有限公司；</w:t>
      </w:r>
    </w:p>
    <w:p w14:paraId="708215BD">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2</w:t>
      </w:r>
      <w:r>
        <w:rPr>
          <w:rFonts w:hint="eastAsia" w:ascii="宋体" w:hAnsi="宋体" w:eastAsia="宋体" w:cs="Times New Roman"/>
          <w:color w:val="auto"/>
          <w:kern w:val="0"/>
          <w:szCs w:val="21"/>
          <w:highlight w:val="none"/>
        </w:rPr>
        <w:t>）“招标代理机构”指广州宏达工程顾问集团有限公司；</w:t>
      </w:r>
    </w:p>
    <w:p w14:paraId="63A4BDF2">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3</w:t>
      </w:r>
      <w:r>
        <w:rPr>
          <w:rFonts w:hint="eastAsia" w:ascii="宋体" w:hAnsi="宋体" w:eastAsia="宋体" w:cs="Times New Roman"/>
          <w:color w:val="auto"/>
          <w:kern w:val="0"/>
          <w:szCs w:val="21"/>
          <w:highlight w:val="none"/>
        </w:rPr>
        <w:t>）“投标人”指参加东莞市碧水信息科技有限公司施工劳务分包供应商库采购项目所需的服务的投标，并向招标代理机构提交投标文件的当事人；</w:t>
      </w:r>
    </w:p>
    <w:p w14:paraId="77440A03">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4</w:t>
      </w:r>
      <w:r>
        <w:rPr>
          <w:rFonts w:hint="eastAsia" w:ascii="宋体" w:hAnsi="宋体" w:eastAsia="宋体" w:cs="Times New Roman"/>
          <w:color w:val="auto"/>
          <w:kern w:val="0"/>
          <w:szCs w:val="21"/>
          <w:highlight w:val="none"/>
        </w:rPr>
        <w:t>）“评标委员会”是依照《中华人民共和国招标投标法》等法规组建的专门负责本次评标工作的临时性机构；</w:t>
      </w:r>
    </w:p>
    <w:p w14:paraId="2C530943">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5</w:t>
      </w:r>
      <w:r>
        <w:rPr>
          <w:rFonts w:hint="eastAsia" w:ascii="宋体" w:hAnsi="宋体" w:eastAsia="宋体" w:cs="Times New Roman"/>
          <w:color w:val="auto"/>
          <w:kern w:val="0"/>
          <w:szCs w:val="21"/>
          <w:highlight w:val="none"/>
        </w:rPr>
        <w:t>）“中标人”指其投标被招标人接受，并与招标人签订合同的当事人；</w:t>
      </w:r>
    </w:p>
    <w:p w14:paraId="2A2754E8">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6</w:t>
      </w:r>
      <w:r>
        <w:rPr>
          <w:rFonts w:hint="eastAsia" w:ascii="宋体" w:hAnsi="宋体" w:eastAsia="宋体" w:cs="Times New Roman"/>
          <w:color w:val="auto"/>
          <w:kern w:val="0"/>
          <w:szCs w:val="21"/>
          <w:highlight w:val="none"/>
        </w:rPr>
        <w:t>）“甲方”指在合同条款中指明的购买服务的单位，即东莞市碧水信息科技有限公司；</w:t>
      </w:r>
    </w:p>
    <w:p w14:paraId="6672C3ED">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7</w:t>
      </w:r>
      <w:r>
        <w:rPr>
          <w:rFonts w:hint="eastAsia" w:ascii="宋体" w:hAnsi="宋体" w:eastAsia="宋体" w:cs="Times New Roman"/>
          <w:color w:val="auto"/>
          <w:kern w:val="0"/>
          <w:szCs w:val="21"/>
          <w:highlight w:val="none"/>
        </w:rPr>
        <w:t>）“乙方”指在合同条款中指明的本合同项下提供服务的公司或实体；</w:t>
      </w:r>
    </w:p>
    <w:p w14:paraId="622E3EEF">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8</w:t>
      </w:r>
      <w:r>
        <w:rPr>
          <w:rFonts w:hint="eastAsia" w:ascii="宋体" w:hAnsi="宋体" w:eastAsia="宋体" w:cs="Times New Roman"/>
          <w:color w:val="auto"/>
          <w:kern w:val="0"/>
          <w:szCs w:val="21"/>
          <w:highlight w:val="none"/>
        </w:rPr>
        <w:t>）“招标文件”指包括招标公告和招标文件及其补充、变更和澄清等一系列文件；</w:t>
      </w:r>
    </w:p>
    <w:p w14:paraId="7C61A0AF">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9</w:t>
      </w:r>
      <w:r>
        <w:rPr>
          <w:rFonts w:hint="eastAsia" w:ascii="宋体" w:hAnsi="宋体" w:eastAsia="宋体" w:cs="Times New Roman"/>
          <w:color w:val="auto"/>
          <w:kern w:val="0"/>
          <w:szCs w:val="21"/>
          <w:highlight w:val="none"/>
        </w:rPr>
        <w:t>）“投标文件”指投标人根据本招标文件向招标代理机构提交的全部文件；</w:t>
      </w:r>
    </w:p>
    <w:p w14:paraId="4F5C30CE">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10</w:t>
      </w:r>
      <w:r>
        <w:rPr>
          <w:rFonts w:hint="eastAsia" w:ascii="宋体" w:hAnsi="宋体" w:eastAsia="宋体" w:cs="Times New Roman"/>
          <w:color w:val="auto"/>
          <w:kern w:val="0"/>
          <w:szCs w:val="21"/>
          <w:highlight w:val="none"/>
        </w:rPr>
        <w:t>）“书面函件”指手写、打字或印刷的函件，包括电传、电报和传真；</w:t>
      </w:r>
    </w:p>
    <w:p w14:paraId="5BCBB9AB">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11</w:t>
      </w:r>
      <w:r>
        <w:rPr>
          <w:rFonts w:hint="eastAsia" w:ascii="宋体" w:hAnsi="宋体" w:eastAsia="宋体" w:cs="Times New Roman"/>
          <w:color w:val="auto"/>
          <w:kern w:val="0"/>
          <w:szCs w:val="21"/>
          <w:highlight w:val="none"/>
        </w:rPr>
        <w:t>）“合同”指由本次招标所产生的合同或合约文件；</w:t>
      </w:r>
    </w:p>
    <w:p w14:paraId="37FC5ED2">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12</w:t>
      </w:r>
      <w:r>
        <w:rPr>
          <w:rFonts w:hint="eastAsia" w:ascii="宋体" w:hAnsi="宋体" w:eastAsia="宋体" w:cs="Times New Roman"/>
          <w:color w:val="auto"/>
          <w:kern w:val="0"/>
          <w:szCs w:val="21"/>
          <w:highlight w:val="none"/>
        </w:rPr>
        <w:t>）“日期”指公历日，“时间”指北京时间；</w:t>
      </w:r>
    </w:p>
    <w:p w14:paraId="1E7BCD35">
      <w:pPr>
        <w:autoSpaceDE w:val="0"/>
        <w:autoSpaceDN w:val="0"/>
        <w:adjustRightInd w:val="0"/>
        <w:spacing w:line="360" w:lineRule="auto"/>
        <w:ind w:left="441" w:leftChars="-6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13</w:t>
      </w:r>
      <w:r>
        <w:rPr>
          <w:rFonts w:hint="eastAsia" w:ascii="宋体" w:hAnsi="宋体" w:eastAsia="宋体" w:cs="Times New Roman"/>
          <w:color w:val="auto"/>
          <w:kern w:val="0"/>
          <w:szCs w:val="21"/>
          <w:highlight w:val="none"/>
        </w:rPr>
        <w:t>）本招标文件中的“境内”特指中华人民共和国海关关境以内，“境外”特指中华人民共和国海关关境以外。</w:t>
      </w:r>
    </w:p>
    <w:p w14:paraId="7CC88E0D">
      <w:pPr>
        <w:autoSpaceDE w:val="0"/>
        <w:autoSpaceDN w:val="0"/>
        <w:adjustRightInd w:val="0"/>
        <w:spacing w:line="360" w:lineRule="auto"/>
        <w:ind w:left="951" w:leftChars="78" w:hanging="787" w:hangingChars="375"/>
        <w:rPr>
          <w:rFonts w:hint="eastAsia" w:ascii="宋体" w:hAnsi="宋体" w:eastAsia="宋体" w:cs="宋体"/>
          <w:color w:val="auto"/>
          <w:szCs w:val="21"/>
          <w:highlight w:val="none"/>
          <w:lang w:val="zh-CN"/>
        </w:rPr>
      </w:pPr>
    </w:p>
    <w:p w14:paraId="135E253C">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87" w:name="_Toc29125_WPSOffice_Level3"/>
      <w:bookmarkStart w:id="88" w:name="_Toc3727"/>
      <w:bookmarkStart w:id="89" w:name="_Toc142508319"/>
      <w:bookmarkStart w:id="90" w:name="_Toc11346"/>
      <w:bookmarkStart w:id="91" w:name="_Toc450662855"/>
      <w:bookmarkStart w:id="92" w:name="_Toc486167669"/>
      <w:bookmarkStart w:id="93" w:name="_Toc1433"/>
      <w:bookmarkStart w:id="94" w:name="_Toc4848"/>
      <w:r>
        <w:rPr>
          <w:rFonts w:hint="eastAsia" w:ascii="宋体" w:hAnsi="宋体" w:eastAsia="宋体" w:cs="宋体"/>
          <w:color w:val="auto"/>
          <w:szCs w:val="21"/>
          <w:highlight w:val="none"/>
          <w:lang w:val="zh-CN"/>
        </w:rPr>
        <w:t>6</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招标文件的异议</w:t>
      </w:r>
      <w:bookmarkEnd w:id="87"/>
      <w:bookmarkEnd w:id="88"/>
      <w:bookmarkEnd w:id="89"/>
      <w:bookmarkEnd w:id="90"/>
      <w:bookmarkEnd w:id="91"/>
      <w:bookmarkEnd w:id="92"/>
      <w:bookmarkEnd w:id="93"/>
      <w:bookmarkEnd w:id="94"/>
    </w:p>
    <w:p w14:paraId="2A99C224">
      <w:pPr>
        <w:autoSpaceDE w:val="0"/>
        <w:autoSpaceDN w:val="0"/>
        <w:adjustRightInd w:val="0"/>
        <w:spacing w:line="360" w:lineRule="auto"/>
        <w:ind w:left="288" w:leftChars="137" w:firstLine="420" w:firstLineChars="200"/>
        <w:rPr>
          <w:rFonts w:hint="eastAsia" w:ascii="宋体" w:hAnsi="宋体" w:eastAsia="宋体" w:cs="宋体"/>
          <w:bCs/>
          <w:color w:val="auto"/>
          <w:szCs w:val="21"/>
          <w:highlight w:val="none"/>
          <w:lang w:val="zh-CN"/>
        </w:rPr>
      </w:pPr>
      <w:r>
        <w:rPr>
          <w:rFonts w:hint="eastAsia" w:ascii="宋体" w:hAnsi="宋体" w:eastAsia="宋体" w:cs="Times New Roman"/>
          <w:bCs/>
          <w:color w:val="auto"/>
          <w:szCs w:val="21"/>
          <w:highlight w:val="none"/>
          <w:lang w:val="zh-CN"/>
        </w:rPr>
        <w:t>投标人或者其他利害关系人对招标文件有异议的，应当在投标截止时间10日前使用企业数字证书通过东莞市公共资源交易E网通管理平台向招标</w:t>
      </w:r>
      <w:r>
        <w:rPr>
          <w:rFonts w:hint="eastAsia" w:ascii="宋体" w:hAnsi="宋体" w:eastAsia="宋体" w:cs="Times New Roman"/>
          <w:bCs/>
          <w:color w:val="auto"/>
          <w:szCs w:val="21"/>
          <w:highlight w:val="none"/>
        </w:rPr>
        <w:t>代理机构</w:t>
      </w:r>
      <w:r>
        <w:rPr>
          <w:rFonts w:hint="eastAsia" w:ascii="宋体" w:hAnsi="宋体" w:eastAsia="宋体" w:cs="Times New Roman"/>
          <w:bCs/>
          <w:color w:val="auto"/>
          <w:szCs w:val="21"/>
          <w:highlight w:val="none"/>
          <w:lang w:val="zh-CN"/>
        </w:rPr>
        <w:t>提出</w:t>
      </w:r>
      <w:r>
        <w:rPr>
          <w:rFonts w:hint="eastAsia" w:ascii="宋体" w:hAnsi="宋体" w:eastAsia="宋体" w:cs="Times New Roman"/>
          <w:color w:val="auto"/>
          <w:szCs w:val="21"/>
          <w:highlight w:val="none"/>
          <w:lang w:val="zh-CN"/>
        </w:rPr>
        <w:t>，</w:t>
      </w:r>
      <w:r>
        <w:rPr>
          <w:rFonts w:ascii="宋体" w:hAnsi="宋体" w:eastAsia="宋体" w:cs="Times New Roman"/>
          <w:color w:val="auto"/>
          <w:szCs w:val="21"/>
          <w:highlight w:val="none"/>
          <w:lang w:val="zh-CN"/>
        </w:rPr>
        <w:t>逾期则视为</w:t>
      </w:r>
      <w:r>
        <w:rPr>
          <w:rFonts w:hint="eastAsia" w:ascii="宋体" w:hAnsi="宋体" w:eastAsia="宋体" w:cs="Times New Roman"/>
          <w:color w:val="auto"/>
          <w:szCs w:val="21"/>
          <w:highlight w:val="none"/>
          <w:lang w:val="zh-CN"/>
        </w:rPr>
        <w:t>对</w:t>
      </w:r>
      <w:r>
        <w:rPr>
          <w:rFonts w:ascii="宋体" w:hAnsi="宋体" w:eastAsia="宋体" w:cs="Times New Roman"/>
          <w:color w:val="auto"/>
          <w:szCs w:val="21"/>
          <w:highlight w:val="none"/>
          <w:lang w:val="zh-CN"/>
        </w:rPr>
        <w:t>招标文件所有内容</w:t>
      </w:r>
      <w:r>
        <w:rPr>
          <w:rFonts w:hint="eastAsia" w:ascii="宋体" w:hAnsi="宋体" w:eastAsia="宋体" w:cs="Times New Roman"/>
          <w:color w:val="auto"/>
          <w:szCs w:val="21"/>
          <w:highlight w:val="none"/>
          <w:lang w:val="zh-CN"/>
        </w:rPr>
        <w:t>无异议</w:t>
      </w:r>
      <w:r>
        <w:rPr>
          <w:rFonts w:ascii="宋体" w:hAnsi="宋体" w:eastAsia="宋体" w:cs="Times New Roman"/>
          <w:color w:val="auto"/>
          <w:szCs w:val="21"/>
          <w:highlight w:val="none"/>
          <w:lang w:val="zh-CN"/>
        </w:rPr>
        <w:t>。</w:t>
      </w:r>
      <w:r>
        <w:rPr>
          <w:rFonts w:hint="eastAsia" w:ascii="宋体" w:hAnsi="宋体" w:eastAsia="宋体" w:cs="Times New Roman"/>
          <w:bCs/>
          <w:color w:val="auto"/>
          <w:szCs w:val="21"/>
          <w:highlight w:val="none"/>
          <w:lang w:val="zh-CN"/>
        </w:rPr>
        <w:t>异议</w:t>
      </w:r>
      <w:r>
        <w:rPr>
          <w:rFonts w:hint="eastAsia" w:ascii="宋体" w:hAnsi="宋体" w:eastAsia="宋体" w:cs="Times New Roman"/>
          <w:color w:val="auto"/>
          <w:szCs w:val="21"/>
          <w:highlight w:val="none"/>
          <w:lang w:val="zh-CN"/>
        </w:rPr>
        <w:t>书面材料必须</w:t>
      </w:r>
      <w:r>
        <w:rPr>
          <w:rFonts w:ascii="宋体" w:hAnsi="宋体" w:eastAsia="宋体" w:cs="Times New Roman"/>
          <w:color w:val="auto"/>
          <w:szCs w:val="21"/>
          <w:highlight w:val="none"/>
          <w:lang w:val="zh-CN"/>
        </w:rPr>
        <w:t>加盖投标人</w:t>
      </w:r>
      <w:r>
        <w:rPr>
          <w:rFonts w:hint="eastAsia" w:ascii="宋体" w:hAnsi="宋体" w:eastAsia="宋体" w:cs="Times New Roman"/>
          <w:color w:val="auto"/>
          <w:szCs w:val="21"/>
          <w:highlight w:val="none"/>
          <w:lang w:val="zh-CN"/>
        </w:rPr>
        <w:t>法人</w:t>
      </w:r>
      <w:r>
        <w:rPr>
          <w:rFonts w:ascii="宋体" w:hAnsi="宋体" w:eastAsia="宋体" w:cs="Times New Roman"/>
          <w:color w:val="auto"/>
          <w:szCs w:val="21"/>
          <w:highlight w:val="none"/>
          <w:lang w:val="zh-CN"/>
        </w:rPr>
        <w:t>公章</w:t>
      </w:r>
      <w:r>
        <w:rPr>
          <w:rFonts w:hint="eastAsia" w:ascii="宋体" w:hAnsi="宋体" w:eastAsia="宋体" w:cs="Times New Roman"/>
          <w:color w:val="auto"/>
          <w:szCs w:val="21"/>
          <w:highlight w:val="none"/>
          <w:lang w:val="zh-CN"/>
        </w:rPr>
        <w:t>，并注明联系人、联系电话、联系地址。</w:t>
      </w:r>
      <w:r>
        <w:rPr>
          <w:rFonts w:hint="eastAsia" w:ascii="宋体" w:hAnsi="宋体" w:eastAsia="宋体" w:cs="Times New Roman"/>
          <w:bCs/>
          <w:color w:val="auto"/>
          <w:szCs w:val="21"/>
          <w:highlight w:val="none"/>
          <w:lang w:val="zh-CN"/>
        </w:rPr>
        <w:t>超出</w:t>
      </w:r>
      <w:r>
        <w:rPr>
          <w:rFonts w:hint="eastAsia" w:ascii="宋体" w:hAnsi="宋体" w:eastAsia="宋体" w:cs="Times New Roman"/>
          <w:color w:val="auto"/>
          <w:szCs w:val="21"/>
          <w:highlight w:val="none"/>
          <w:lang w:val="zh-CN"/>
        </w:rPr>
        <w:t>提交接收异议截止时间而</w:t>
      </w:r>
      <w:r>
        <w:rPr>
          <w:rFonts w:hint="eastAsia" w:ascii="宋体" w:hAnsi="宋体" w:eastAsia="宋体" w:cs="Times New Roman"/>
          <w:bCs/>
          <w:color w:val="auto"/>
          <w:szCs w:val="21"/>
          <w:highlight w:val="none"/>
          <w:lang w:val="zh-CN"/>
        </w:rPr>
        <w:t>提出的任何疑问，招标代理机构可不予答复。</w:t>
      </w:r>
      <w:r>
        <w:rPr>
          <w:rFonts w:hint="eastAsia" w:ascii="宋体" w:hAnsi="宋体" w:eastAsia="宋体" w:cs="Times New Roman"/>
          <w:b/>
          <w:bCs/>
          <w:color w:val="auto"/>
          <w:szCs w:val="21"/>
          <w:highlight w:val="none"/>
          <w:u w:val="single"/>
          <w:lang w:val="zh-CN"/>
        </w:rPr>
        <w:t>投标人必须在投标文件中提供投标承诺书（格式详见第</w:t>
      </w:r>
      <w:r>
        <w:rPr>
          <w:rFonts w:hint="eastAsia" w:ascii="宋体" w:hAnsi="宋体" w:eastAsia="宋体" w:cs="Times New Roman"/>
          <w:b/>
          <w:bCs/>
          <w:color w:val="auto"/>
          <w:szCs w:val="21"/>
          <w:highlight w:val="none"/>
          <w:u w:val="single"/>
          <w:lang w:val="en-US" w:eastAsia="zh-CN"/>
        </w:rPr>
        <w:t>五</w:t>
      </w:r>
      <w:r>
        <w:rPr>
          <w:rFonts w:hint="eastAsia" w:ascii="宋体" w:hAnsi="宋体" w:eastAsia="宋体" w:cs="Times New Roman"/>
          <w:b/>
          <w:bCs/>
          <w:color w:val="auto"/>
          <w:szCs w:val="21"/>
          <w:highlight w:val="none"/>
          <w:u w:val="single"/>
          <w:lang w:val="zh-CN"/>
        </w:rPr>
        <w:t>篇投标文件格式）</w:t>
      </w:r>
      <w:r>
        <w:rPr>
          <w:rFonts w:hint="eastAsia" w:ascii="宋体" w:hAnsi="宋体" w:eastAsia="宋体" w:cs="宋体"/>
          <w:b/>
          <w:bCs/>
          <w:color w:val="auto"/>
          <w:szCs w:val="21"/>
          <w:highlight w:val="none"/>
          <w:lang w:val="zh-CN"/>
        </w:rPr>
        <w:t>。</w:t>
      </w:r>
    </w:p>
    <w:p w14:paraId="5ED2F506">
      <w:pPr>
        <w:autoSpaceDE w:val="0"/>
        <w:autoSpaceDN w:val="0"/>
        <w:adjustRightInd w:val="0"/>
        <w:spacing w:line="360" w:lineRule="auto"/>
        <w:ind w:left="290" w:leftChars="137" w:hanging="2" w:hangingChars="1"/>
        <w:rPr>
          <w:rFonts w:hint="eastAsia" w:ascii="宋体" w:hAnsi="宋体" w:eastAsia="宋体" w:cs="宋体"/>
          <w:b/>
          <w:bCs/>
          <w:color w:val="auto"/>
          <w:szCs w:val="21"/>
          <w:highlight w:val="none"/>
          <w:lang w:val="zh-CN"/>
        </w:rPr>
      </w:pPr>
    </w:p>
    <w:p w14:paraId="502A9378">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95" w:name="_Toc486167670"/>
      <w:bookmarkStart w:id="96" w:name="_Toc5490"/>
      <w:bookmarkStart w:id="97" w:name="_Toc29864"/>
      <w:bookmarkStart w:id="98" w:name="_Toc39"/>
      <w:bookmarkStart w:id="99" w:name="_Toc142508320"/>
      <w:bookmarkStart w:id="100" w:name="_Toc23483_WPSOffice_Level3"/>
      <w:bookmarkStart w:id="101" w:name="_Toc17145"/>
      <w:bookmarkStart w:id="102" w:name="_Toc450662856"/>
      <w:r>
        <w:rPr>
          <w:rFonts w:hint="eastAsia" w:ascii="宋体" w:hAnsi="宋体" w:eastAsia="宋体" w:cs="宋体"/>
          <w:color w:val="auto"/>
          <w:szCs w:val="21"/>
          <w:highlight w:val="none"/>
          <w:lang w:val="zh-CN"/>
        </w:rPr>
        <w:t>7</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招标文件的澄清及修改</w:t>
      </w:r>
      <w:bookmarkEnd w:id="95"/>
      <w:bookmarkEnd w:id="96"/>
      <w:bookmarkEnd w:id="97"/>
      <w:bookmarkEnd w:id="98"/>
      <w:bookmarkEnd w:id="99"/>
      <w:bookmarkEnd w:id="100"/>
      <w:bookmarkEnd w:id="101"/>
      <w:bookmarkEnd w:id="102"/>
    </w:p>
    <w:p w14:paraId="2083047F">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7.1  招标代理机构对已发出的招标文件进行必要澄清或者修改的，将在招标文件要求提交投标文件截止时间1</w:t>
      </w:r>
      <w:r>
        <w:rPr>
          <w:rFonts w:ascii="宋体" w:hAnsi="宋体" w:eastAsia="宋体" w:cs="宋体"/>
          <w:color w:val="auto"/>
          <w:szCs w:val="21"/>
          <w:highlight w:val="none"/>
          <w:lang w:val="zh-CN"/>
        </w:rPr>
        <w:t>5</w:t>
      </w:r>
      <w:r>
        <w:rPr>
          <w:rFonts w:hint="eastAsia" w:ascii="宋体" w:hAnsi="宋体" w:eastAsia="宋体" w:cs="宋体"/>
          <w:color w:val="auto"/>
          <w:szCs w:val="21"/>
          <w:highlight w:val="none"/>
          <w:lang w:val="zh-CN"/>
        </w:rPr>
        <w:t>日前，在招标信息发布媒介上发布更正公告，请各投标人密切留意。该澄清或者修改的内容为招标文件的组成部分。</w:t>
      </w:r>
    </w:p>
    <w:p w14:paraId="75DF9A90">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7.2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项目特定情况下，招标代理机构必须延长投标截止时间和开标时间时，将在招标文件要求提交投标文件的截止时间前，在招标信息发布媒介上发布变更公告。</w:t>
      </w:r>
    </w:p>
    <w:p w14:paraId="12A4E89B">
      <w:pPr>
        <w:wordWrap w:val="0"/>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7.3  招标文件的修改、补充通知在</w:t>
      </w:r>
      <w:r>
        <w:rPr>
          <w:rFonts w:hint="eastAsia" w:ascii="宋体" w:hAnsi="宋体" w:eastAsia="宋体" w:cs="Times New Roman"/>
          <w:bCs/>
          <w:color w:val="auto"/>
          <w:szCs w:val="21"/>
          <w:highlight w:val="none"/>
        </w:rPr>
        <w:t>全国公共资源交易平台（广东省·东莞市）（https://ygp.gdzwfw.gov.cn/#/441900/index）、</w:t>
      </w:r>
      <w:r>
        <w:rPr>
          <w:rFonts w:ascii="宋体" w:hAnsi="宋体" w:eastAsia="宋体" w:cs="Times New Roman"/>
          <w:color w:val="auto"/>
          <w:szCs w:val="21"/>
          <w:highlight w:val="none"/>
          <w:lang w:val="zh-CN"/>
        </w:rPr>
        <w:t>中国招标投标公共服务平台</w:t>
      </w:r>
      <w:r>
        <w:rPr>
          <w:rFonts w:ascii="宋体" w:hAnsi="宋体" w:eastAsia="宋体" w:cs="Times New Roman"/>
          <w:color w:val="auto"/>
          <w:szCs w:val="21"/>
          <w:highlight w:val="none"/>
        </w:rPr>
        <w:t>（</w:t>
      </w:r>
      <w:r>
        <w:rPr>
          <w:color w:val="auto"/>
          <w:highlight w:val="none"/>
        </w:rPr>
        <w:fldChar w:fldCharType="begin"/>
      </w:r>
      <w:r>
        <w:rPr>
          <w:color w:val="auto"/>
          <w:highlight w:val="none"/>
        </w:rPr>
        <w:instrText xml:space="preserve"> HYPERLINK "http://www.cebpubservice.com）、广东省招标投标监管" </w:instrText>
      </w:r>
      <w:r>
        <w:rPr>
          <w:color w:val="auto"/>
          <w:highlight w:val="none"/>
        </w:rPr>
        <w:fldChar w:fldCharType="separate"/>
      </w:r>
      <w:r>
        <w:rPr>
          <w:rFonts w:ascii="宋体" w:hAnsi="宋体" w:eastAsia="宋体" w:cs="Times New Roman"/>
          <w:color w:val="auto"/>
          <w:szCs w:val="21"/>
          <w:highlight w:val="none"/>
        </w:rPr>
        <w:t>www.cebpubservice.com）</w:t>
      </w:r>
      <w:r>
        <w:rPr>
          <w:rFonts w:ascii="宋体" w:hAnsi="宋体" w:eastAsia="宋体" w:cs="Times New Roman"/>
          <w:color w:val="auto"/>
          <w:szCs w:val="21"/>
          <w:highlight w:val="none"/>
          <w:lang w:val="zh-CN"/>
        </w:rPr>
        <w:t>、</w:t>
      </w:r>
      <w:r>
        <w:rPr>
          <w:rFonts w:ascii="宋体" w:hAnsi="宋体" w:eastAsia="宋体" w:cs="Times New Roman"/>
          <w:color w:val="auto"/>
          <w:szCs w:val="21"/>
          <w:highlight w:val="none"/>
          <w:lang w:val="zh-CN"/>
        </w:rPr>
        <w:fldChar w:fldCharType="end"/>
      </w:r>
      <w:r>
        <w:rPr>
          <w:rFonts w:ascii="宋体" w:hAnsi="宋体" w:eastAsia="宋体" w:cs="Times New Roman"/>
          <w:color w:val="auto"/>
          <w:szCs w:val="21"/>
          <w:highlight w:val="none"/>
          <w:lang w:val="zh-CN"/>
        </w:rPr>
        <w:t>东莞市水务集团有限公司网</w:t>
      </w:r>
      <w:r>
        <w:rPr>
          <w:rFonts w:ascii="宋体" w:hAnsi="宋体" w:eastAsia="宋体" w:cs="Times New Roman"/>
          <w:color w:val="auto"/>
          <w:szCs w:val="21"/>
          <w:highlight w:val="none"/>
        </w:rPr>
        <w:t>（</w:t>
      </w:r>
      <w:r>
        <w:rPr>
          <w:color w:val="auto"/>
          <w:highlight w:val="none"/>
        </w:rPr>
        <w:fldChar w:fldCharType="begin"/>
      </w:r>
      <w:r>
        <w:rPr>
          <w:color w:val="auto"/>
          <w:highlight w:val="none"/>
        </w:rPr>
        <w:instrText xml:space="preserve"> HYPERLINK "www.dgswjt.cn）、招标代理公司网站（http://%20%20%20%20%20%20%20%20%20%20%20%20%20%20）" </w:instrText>
      </w:r>
      <w:r>
        <w:rPr>
          <w:color w:val="auto"/>
          <w:highlight w:val="none"/>
        </w:rPr>
        <w:fldChar w:fldCharType="separate"/>
      </w:r>
      <w:r>
        <w:rPr>
          <w:rStyle w:val="45"/>
          <w:rFonts w:ascii="宋体" w:hAnsi="宋体" w:eastAsia="宋体" w:cs="Times New Roman"/>
          <w:color w:val="auto"/>
          <w:sz w:val="21"/>
          <w:szCs w:val="21"/>
          <w:highlight w:val="none"/>
        </w:rPr>
        <w:t>www.dgswjt.cn）</w:t>
      </w:r>
      <w:r>
        <w:rPr>
          <w:rStyle w:val="45"/>
          <w:rFonts w:ascii="宋体" w:hAnsi="宋体" w:eastAsia="宋体" w:cs="Times New Roman"/>
          <w:color w:val="auto"/>
          <w:sz w:val="21"/>
          <w:szCs w:val="21"/>
          <w:highlight w:val="none"/>
          <w:lang w:val="zh-CN"/>
        </w:rPr>
        <w:t>、</w:t>
      </w:r>
      <w:r>
        <w:rPr>
          <w:rStyle w:val="45"/>
          <w:rFonts w:hint="eastAsia" w:ascii="宋体" w:hAnsi="宋体" w:eastAsia="宋体" w:cs="Times New Roman"/>
          <w:bCs/>
          <w:color w:val="auto"/>
          <w:kern w:val="0"/>
          <w:sz w:val="21"/>
          <w:szCs w:val="21"/>
          <w:highlight w:val="none"/>
        </w:rPr>
        <w:t>招标代理机构网站（www.wangtat.com.cn</w:t>
      </w:r>
      <w:r>
        <w:rPr>
          <w:rStyle w:val="45"/>
          <w:rFonts w:ascii="宋体" w:hAnsi="宋体" w:eastAsia="宋体" w:cs="Times New Roman"/>
          <w:bCs/>
          <w:color w:val="auto"/>
          <w:kern w:val="0"/>
          <w:sz w:val="21"/>
          <w:szCs w:val="21"/>
          <w:highlight w:val="none"/>
        </w:rPr>
        <w:t>）</w:t>
      </w:r>
      <w:r>
        <w:rPr>
          <w:rStyle w:val="45"/>
          <w:rFonts w:ascii="宋体" w:hAnsi="宋体" w:eastAsia="宋体" w:cs="Times New Roman"/>
          <w:bCs/>
          <w:color w:val="auto"/>
          <w:kern w:val="0"/>
          <w:sz w:val="21"/>
          <w:szCs w:val="21"/>
          <w:highlight w:val="none"/>
        </w:rPr>
        <w:fldChar w:fldCharType="end"/>
      </w:r>
      <w:r>
        <w:rPr>
          <w:rFonts w:hint="eastAsia" w:ascii="宋体" w:hAnsi="宋体" w:eastAsia="宋体" w:cs="宋体"/>
          <w:color w:val="auto"/>
          <w:szCs w:val="21"/>
          <w:highlight w:val="none"/>
          <w:lang w:val="zh-CN"/>
        </w:rPr>
        <w:t>公布，请各投标人密切留意。</w:t>
      </w:r>
    </w:p>
    <w:p w14:paraId="77EB4CB8">
      <w:pPr>
        <w:autoSpaceDE w:val="0"/>
        <w:autoSpaceDN w:val="0"/>
        <w:adjustRightInd w:val="0"/>
        <w:spacing w:line="360" w:lineRule="auto"/>
        <w:ind w:left="357" w:leftChars="-100" w:hanging="567"/>
        <w:rPr>
          <w:rFonts w:hint="eastAsia" w:ascii="宋体" w:hAnsi="宋体" w:eastAsia="宋体" w:cs="宋体"/>
          <w:color w:val="auto"/>
          <w:szCs w:val="21"/>
          <w:highlight w:val="none"/>
        </w:rPr>
      </w:pPr>
    </w:p>
    <w:p w14:paraId="1C2CFEBC">
      <w:pPr>
        <w:keepNext/>
        <w:keepLines/>
        <w:tabs>
          <w:tab w:val="left" w:pos="509"/>
        </w:tabs>
        <w:autoSpaceDE w:val="0"/>
        <w:autoSpaceDN w:val="0"/>
        <w:adjustRightInd w:val="0"/>
        <w:spacing w:line="360" w:lineRule="auto"/>
        <w:jc w:val="left"/>
        <w:outlineLvl w:val="0"/>
        <w:rPr>
          <w:rFonts w:hint="eastAsia" w:ascii="宋体" w:hAnsi="宋体" w:eastAsia="宋体" w:cs="宋体"/>
          <w:b/>
          <w:bCs/>
          <w:color w:val="auto"/>
          <w:kern w:val="44"/>
          <w:szCs w:val="21"/>
          <w:highlight w:val="none"/>
          <w:lang w:val="zh-CN"/>
        </w:rPr>
      </w:pPr>
      <w:bookmarkStart w:id="103" w:name="_Toc8711"/>
      <w:bookmarkStart w:id="104" w:name="_Toc23342"/>
      <w:bookmarkStart w:id="105" w:name="_Toc17606"/>
      <w:bookmarkStart w:id="106" w:name="_Toc29659_WPSOffice_Level2"/>
      <w:bookmarkStart w:id="107" w:name="_Toc450662857"/>
      <w:bookmarkStart w:id="108" w:name="_Toc140596880"/>
      <w:bookmarkStart w:id="109" w:name="_Toc27196"/>
      <w:bookmarkStart w:id="110" w:name="_Toc486167671"/>
      <w:bookmarkStart w:id="111" w:name="_Toc142508321"/>
      <w:r>
        <w:rPr>
          <w:rFonts w:hint="eastAsia" w:ascii="宋体" w:hAnsi="宋体" w:eastAsia="宋体" w:cs="宋体"/>
          <w:b/>
          <w:bCs/>
          <w:color w:val="auto"/>
          <w:kern w:val="44"/>
          <w:szCs w:val="21"/>
          <w:highlight w:val="none"/>
          <w:lang w:val="zh-CN"/>
        </w:rPr>
        <w:t>三、投标文件的编制</w:t>
      </w:r>
      <w:bookmarkEnd w:id="103"/>
      <w:bookmarkEnd w:id="104"/>
      <w:bookmarkEnd w:id="105"/>
      <w:bookmarkEnd w:id="106"/>
      <w:bookmarkEnd w:id="107"/>
      <w:bookmarkEnd w:id="108"/>
      <w:bookmarkEnd w:id="109"/>
      <w:bookmarkEnd w:id="110"/>
      <w:bookmarkEnd w:id="111"/>
    </w:p>
    <w:p w14:paraId="4F5F5FB7">
      <w:pPr>
        <w:tabs>
          <w:tab w:val="left" w:pos="675"/>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12" w:name="_Toc6244"/>
      <w:bookmarkStart w:id="113" w:name="_Toc3827"/>
      <w:bookmarkStart w:id="114" w:name="_Toc14574"/>
      <w:bookmarkStart w:id="115" w:name="_Toc31162"/>
      <w:bookmarkStart w:id="116" w:name="_Toc10015_WPSOffice_Level3"/>
      <w:bookmarkStart w:id="117" w:name="_Toc450662858"/>
      <w:bookmarkStart w:id="118" w:name="_Toc142508322"/>
      <w:bookmarkStart w:id="119" w:name="_Toc486167672"/>
      <w:r>
        <w:rPr>
          <w:rFonts w:hint="eastAsia" w:ascii="宋体" w:hAnsi="宋体" w:eastAsia="宋体" w:cs="宋体"/>
          <w:color w:val="auto"/>
          <w:szCs w:val="21"/>
          <w:highlight w:val="none"/>
          <w:lang w:val="zh-CN"/>
        </w:rPr>
        <w:t>8</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投标使用的文字及度量衡单位</w:t>
      </w:r>
      <w:bookmarkEnd w:id="112"/>
      <w:bookmarkEnd w:id="113"/>
      <w:bookmarkEnd w:id="114"/>
      <w:bookmarkEnd w:id="115"/>
      <w:bookmarkEnd w:id="116"/>
      <w:bookmarkEnd w:id="117"/>
      <w:bookmarkEnd w:id="118"/>
      <w:bookmarkEnd w:id="119"/>
    </w:p>
    <w:p w14:paraId="1F96CBED">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8.1  投标人的投标文件以及投标人与招标代理机构就有关投标的所有往来函电均应使用简体中文。</w:t>
      </w:r>
    </w:p>
    <w:p w14:paraId="2B4AB24B">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8.2  投标文件使用的度量衡单位采用中华人民共和国法定计量单位。</w:t>
      </w:r>
    </w:p>
    <w:p w14:paraId="13FAC438">
      <w:pPr>
        <w:autoSpaceDE w:val="0"/>
        <w:autoSpaceDN w:val="0"/>
        <w:adjustRightInd w:val="0"/>
        <w:spacing w:line="360" w:lineRule="auto"/>
        <w:rPr>
          <w:rFonts w:hint="eastAsia" w:ascii="宋体" w:hAnsi="宋体" w:eastAsia="宋体" w:cs="宋体"/>
          <w:color w:val="auto"/>
          <w:szCs w:val="21"/>
          <w:highlight w:val="none"/>
          <w:lang w:val="zh-CN"/>
        </w:rPr>
      </w:pPr>
    </w:p>
    <w:p w14:paraId="7ACE6FC8">
      <w:pPr>
        <w:tabs>
          <w:tab w:val="left" w:pos="540"/>
        </w:tabs>
        <w:autoSpaceDE w:val="0"/>
        <w:autoSpaceDN w:val="0"/>
        <w:adjustRightInd w:val="0"/>
        <w:spacing w:line="360" w:lineRule="auto"/>
        <w:ind w:left="357" w:leftChars="-100" w:hanging="567"/>
        <w:jc w:val="left"/>
        <w:outlineLvl w:val="2"/>
        <w:rPr>
          <w:rFonts w:hint="eastAsia" w:ascii="宋体" w:hAnsi="宋体" w:eastAsia="宋体" w:cs="宋体"/>
          <w:color w:val="auto"/>
          <w:sz w:val="24"/>
          <w:szCs w:val="24"/>
          <w:highlight w:val="none"/>
          <w:lang w:val="zh-CN"/>
        </w:rPr>
      </w:pPr>
      <w:bookmarkStart w:id="120" w:name="_Toc26462"/>
      <w:bookmarkStart w:id="121" w:name="_Toc450662859"/>
      <w:bookmarkStart w:id="122" w:name="_Toc8702"/>
      <w:bookmarkStart w:id="123" w:name="_Toc24916_WPSOffice_Level3"/>
      <w:bookmarkStart w:id="124" w:name="_Toc7348"/>
      <w:bookmarkStart w:id="125" w:name="_Toc486167673"/>
      <w:bookmarkStart w:id="126" w:name="_Toc14943"/>
      <w:bookmarkStart w:id="127" w:name="_Toc142508323"/>
      <w:r>
        <w:rPr>
          <w:rFonts w:hint="eastAsia" w:ascii="宋体" w:hAnsi="宋体" w:eastAsia="宋体" w:cs="宋体"/>
          <w:color w:val="auto"/>
          <w:szCs w:val="21"/>
          <w:highlight w:val="none"/>
          <w:lang w:val="zh-CN"/>
        </w:rPr>
        <w:t>9</w:t>
      </w:r>
      <w:r>
        <w:rPr>
          <w:rFonts w:ascii="宋体" w:hAnsi="宋体" w:eastAsia="宋体" w:cs="宋体"/>
          <w:color w:val="auto"/>
          <w:sz w:val="24"/>
          <w:szCs w:val="24"/>
          <w:highlight w:val="none"/>
          <w:lang w:val="zh-CN"/>
        </w:rPr>
        <w:t xml:space="preserve"> </w:t>
      </w:r>
      <w:r>
        <w:rPr>
          <w:rFonts w:hint="eastAsia" w:ascii="宋体" w:hAnsi="宋体" w:eastAsia="宋体" w:cs="宋体"/>
          <w:color w:val="auto"/>
          <w:szCs w:val="21"/>
          <w:highlight w:val="none"/>
          <w:lang w:val="zh-CN"/>
        </w:rPr>
        <w:t>投标文件的组成</w:t>
      </w:r>
      <w:bookmarkEnd w:id="120"/>
      <w:bookmarkEnd w:id="121"/>
      <w:bookmarkEnd w:id="122"/>
      <w:bookmarkEnd w:id="123"/>
      <w:bookmarkEnd w:id="124"/>
      <w:bookmarkEnd w:id="125"/>
      <w:bookmarkEnd w:id="126"/>
      <w:bookmarkEnd w:id="127"/>
    </w:p>
    <w:p w14:paraId="2A4E36F4">
      <w:pPr>
        <w:autoSpaceDE w:val="0"/>
        <w:autoSpaceDN w:val="0"/>
        <w:adjustRightInd w:val="0"/>
        <w:spacing w:line="360" w:lineRule="auto"/>
        <w:ind w:left="422" w:leftChars="-100" w:hanging="632" w:hangingChars="300"/>
        <w:rPr>
          <w:rFonts w:hint="eastAsia" w:ascii="宋体" w:hAnsi="宋体" w:eastAsia="宋体" w:cs="Times New Roman"/>
          <w:b/>
          <w:color w:val="auto"/>
          <w:kern w:val="0"/>
          <w:szCs w:val="21"/>
          <w:highlight w:val="none"/>
        </w:rPr>
      </w:pPr>
      <w:r>
        <w:rPr>
          <w:rFonts w:hint="eastAsia" w:ascii="宋体" w:hAnsi="宋体" w:eastAsia="宋体" w:cs="宋体"/>
          <w:b/>
          <w:color w:val="auto"/>
          <w:kern w:val="0"/>
          <w:szCs w:val="24"/>
          <w:highlight w:val="none"/>
        </w:rPr>
        <w:t xml:space="preserve">9.1  </w:t>
      </w:r>
      <w:r>
        <w:rPr>
          <w:rFonts w:hint="eastAsia" w:ascii="宋体" w:hAnsi="宋体" w:eastAsia="宋体" w:cs="宋体"/>
          <w:color w:val="auto"/>
          <w:kern w:val="0"/>
          <w:szCs w:val="24"/>
          <w:highlight w:val="none"/>
        </w:rPr>
        <w:t>投标文件的组成：投标文件由</w:t>
      </w:r>
      <w:r>
        <w:rPr>
          <w:rFonts w:hint="eastAsia" w:ascii="宋体" w:hAnsi="宋体" w:eastAsia="宋体" w:cs="Times New Roman"/>
          <w:b/>
          <w:color w:val="auto"/>
          <w:kern w:val="0"/>
          <w:szCs w:val="21"/>
          <w:highlight w:val="none"/>
          <w:u w:val="single"/>
        </w:rPr>
        <w:t>商务标、技术标、报价信封</w:t>
      </w:r>
      <w:r>
        <w:rPr>
          <w:rFonts w:hint="eastAsia" w:ascii="宋体" w:hAnsi="宋体" w:eastAsia="宋体" w:cs="Times New Roman"/>
          <w:bCs/>
          <w:color w:val="auto"/>
          <w:kern w:val="0"/>
          <w:szCs w:val="21"/>
          <w:highlight w:val="none"/>
          <w:u w:val="single"/>
        </w:rPr>
        <w:t>三部分组成</w:t>
      </w:r>
      <w:r>
        <w:rPr>
          <w:rFonts w:hint="eastAsia" w:ascii="宋体" w:hAnsi="宋体" w:eastAsia="宋体" w:cs="Times New Roman"/>
          <w:b/>
          <w:color w:val="auto"/>
          <w:kern w:val="0"/>
          <w:szCs w:val="21"/>
          <w:highlight w:val="none"/>
        </w:rPr>
        <w:t>。</w:t>
      </w:r>
    </w:p>
    <w:p w14:paraId="6A2F4DC7">
      <w:pPr>
        <w:autoSpaceDE w:val="0"/>
        <w:autoSpaceDN w:val="0"/>
        <w:adjustRightInd w:val="0"/>
        <w:spacing w:line="360" w:lineRule="auto"/>
        <w:ind w:left="422" w:leftChars="-100" w:hanging="632" w:hangingChars="300"/>
        <w:rPr>
          <w:rFonts w:hint="eastAsia" w:ascii="宋体" w:hAnsi="宋体" w:eastAsia="宋体" w:cs="Times New Roman"/>
          <w:b/>
          <w:color w:val="auto"/>
          <w:kern w:val="0"/>
          <w:szCs w:val="21"/>
          <w:highlight w:val="none"/>
        </w:rPr>
      </w:pPr>
      <w:r>
        <w:rPr>
          <w:rFonts w:hint="eastAsia" w:ascii="宋体" w:hAnsi="宋体" w:eastAsia="宋体" w:cs="宋体"/>
          <w:b/>
          <w:color w:val="auto"/>
          <w:kern w:val="0"/>
          <w:szCs w:val="24"/>
          <w:highlight w:val="none"/>
        </w:rPr>
        <w:t>9.1.1 商务标：</w:t>
      </w:r>
    </w:p>
    <w:p w14:paraId="2A2ED907">
      <w:pPr>
        <w:autoSpaceDE w:val="0"/>
        <w:autoSpaceDN w:val="0"/>
        <w:adjustRightInd w:val="0"/>
        <w:spacing w:line="360" w:lineRule="auto"/>
        <w:jc w:val="left"/>
        <w:rPr>
          <w:rFonts w:hint="eastAsia" w:ascii="宋体" w:hAnsi="宋体" w:eastAsia="宋体" w:cs="Times New Roman"/>
          <w:b/>
          <w:color w:val="auto"/>
          <w:kern w:val="0"/>
          <w:szCs w:val="21"/>
          <w:highlight w:val="none"/>
          <w:lang w:val="zh-CN"/>
        </w:rPr>
      </w:pPr>
      <w:r>
        <w:rPr>
          <w:rFonts w:hint="eastAsia" w:ascii="宋体" w:hAnsi="宋体" w:eastAsia="宋体" w:cs="Times New Roman"/>
          <w:color w:val="auto"/>
          <w:kern w:val="0"/>
          <w:sz w:val="24"/>
          <w:szCs w:val="24"/>
          <w:highlight w:val="none"/>
          <w:lang w:val="zh-CN"/>
        </w:rPr>
        <w:t xml:space="preserve">  </w:t>
      </w:r>
      <w:r>
        <w:rPr>
          <w:rFonts w:ascii="宋体" w:hAnsi="宋体" w:eastAsia="宋体" w:cs="Times New Roman"/>
          <w:color w:val="auto"/>
          <w:kern w:val="0"/>
          <w:sz w:val="24"/>
          <w:szCs w:val="24"/>
          <w:highlight w:val="none"/>
          <w:lang w:val="zh-CN"/>
        </w:rPr>
        <w:t xml:space="preserve"> </w:t>
      </w:r>
      <w:r>
        <w:rPr>
          <w:rFonts w:hint="eastAsia" w:ascii="宋体" w:hAnsi="宋体" w:eastAsia="宋体" w:cs="Times New Roman"/>
          <w:b/>
          <w:color w:val="auto"/>
          <w:kern w:val="0"/>
          <w:szCs w:val="21"/>
          <w:highlight w:val="none"/>
          <w:lang w:val="zh-CN"/>
        </w:rPr>
        <w:t>目录：</w:t>
      </w:r>
    </w:p>
    <w:p w14:paraId="607939E3">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（1）投标函；</w:t>
      </w:r>
    </w:p>
    <w:p w14:paraId="590D3AFE">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（2）投标承诺书；</w:t>
      </w:r>
    </w:p>
    <w:p w14:paraId="011EDEFA">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ascii="宋体" w:hAnsi="宋体" w:eastAsia="宋体" w:cs="宋体"/>
          <w:color w:val="auto"/>
          <w:szCs w:val="21"/>
          <w:highlight w:val="none"/>
          <w:lang w:val="zh-CN"/>
        </w:rPr>
        <w:t>3</w:t>
      </w:r>
      <w:r>
        <w:rPr>
          <w:rFonts w:hint="eastAsia" w:ascii="宋体" w:hAnsi="宋体" w:eastAsia="宋体" w:cs="宋体"/>
          <w:color w:val="auto"/>
          <w:szCs w:val="21"/>
          <w:highlight w:val="none"/>
          <w:lang w:val="zh-CN"/>
        </w:rPr>
        <w:t>）供货及/或提供服务过程承诺函；</w:t>
      </w:r>
    </w:p>
    <w:p w14:paraId="0AC9C708">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val="zh-CN"/>
        </w:rPr>
        <w:t>）投标意向区域表；</w:t>
      </w:r>
    </w:p>
    <w:p w14:paraId="64FDD3FD">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投标报价响应表；</w:t>
      </w:r>
    </w:p>
    <w:p w14:paraId="4C7108F2">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val="zh-CN"/>
        </w:rPr>
        <w:t>）投标人资格证明文件：</w:t>
      </w:r>
    </w:p>
    <w:p w14:paraId="2E57EC6B">
      <w:pPr>
        <w:autoSpaceDE w:val="0"/>
        <w:autoSpaceDN w:val="0"/>
        <w:adjustRightInd w:val="0"/>
        <w:spacing w:line="360" w:lineRule="auto"/>
        <w:ind w:left="283" w:hanging="283" w:hangingChars="135"/>
        <w:rPr>
          <w:rFonts w:hint="eastAsia" w:ascii="宋体" w:hAnsi="宋体" w:eastAsia="宋体" w:cs="Times New Roman"/>
          <w:color w:val="auto"/>
          <w:szCs w:val="21"/>
          <w:highlight w:val="none"/>
          <w:lang w:val="zh-CN"/>
        </w:rPr>
      </w:pPr>
      <w:r>
        <w:rPr>
          <w:rFonts w:ascii="宋体" w:hAnsi="宋体" w:eastAsia="宋体" w:cs="Times New Roman"/>
          <w:color w:val="auto"/>
          <w:szCs w:val="21"/>
          <w:highlight w:val="none"/>
          <w:lang w:val="zh-CN"/>
        </w:rPr>
        <w:t>1）多证合一营业执照</w:t>
      </w:r>
      <w:r>
        <w:rPr>
          <w:rFonts w:hint="eastAsia" w:ascii="宋体" w:hAnsi="宋体" w:eastAsia="宋体" w:cs="Times New Roman"/>
          <w:color w:val="auto"/>
          <w:kern w:val="0"/>
          <w:szCs w:val="21"/>
          <w:highlight w:val="none"/>
        </w:rPr>
        <w:t>（或事业单位法人证书）</w:t>
      </w:r>
      <w:r>
        <w:rPr>
          <w:rFonts w:hint="eastAsia" w:ascii="宋体" w:hAnsi="宋体" w:eastAsia="宋体" w:cs="Times New Roman"/>
          <w:color w:val="auto"/>
          <w:szCs w:val="21"/>
          <w:highlight w:val="none"/>
        </w:rPr>
        <w:t>原件扫描件</w:t>
      </w:r>
      <w:r>
        <w:rPr>
          <w:rFonts w:ascii="宋体" w:hAnsi="宋体" w:eastAsia="宋体" w:cs="Times New Roman"/>
          <w:color w:val="auto"/>
          <w:szCs w:val="21"/>
          <w:highlight w:val="none"/>
          <w:lang w:val="zh-CN"/>
        </w:rPr>
        <w:t>；</w:t>
      </w:r>
    </w:p>
    <w:p w14:paraId="1FCB26C1">
      <w:pPr>
        <w:autoSpaceDE w:val="0"/>
        <w:autoSpaceDN w:val="0"/>
        <w:adjustRightInd w:val="0"/>
        <w:spacing w:line="360" w:lineRule="auto"/>
        <w:ind w:left="283" w:hanging="283" w:hangingChars="135"/>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2）投标人具有的建设行政主管部门核发的且在有效期内的施工劳务企业资质证书原件扫描件；</w:t>
      </w:r>
    </w:p>
    <w:p w14:paraId="5CE2B335">
      <w:pPr>
        <w:autoSpaceDE w:val="0"/>
        <w:autoSpaceDN w:val="0"/>
        <w:adjustRightInd w:val="0"/>
        <w:spacing w:line="360" w:lineRule="auto"/>
        <w:ind w:left="283" w:hanging="283" w:hangingChars="135"/>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3）投标人具有的建设行政主管部门核发的且在有效期内的安全生产许可证原件扫描件；</w:t>
      </w:r>
    </w:p>
    <w:p w14:paraId="6C414D41">
      <w:pPr>
        <w:autoSpaceDE w:val="0"/>
        <w:autoSpaceDN w:val="0"/>
        <w:adjustRightInd w:val="0"/>
        <w:spacing w:line="360" w:lineRule="auto"/>
        <w:ind w:left="283" w:hanging="283" w:hangingChars="135"/>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rPr>
        <w:t>4</w:t>
      </w:r>
      <w:r>
        <w:rPr>
          <w:rFonts w:hint="eastAsia" w:ascii="宋体" w:hAnsi="宋体" w:eastAsia="宋体" w:cs="Times New Roman"/>
          <w:color w:val="auto"/>
          <w:szCs w:val="21"/>
          <w:highlight w:val="none"/>
          <w:lang w:val="zh-CN"/>
        </w:rPr>
        <w:t>）</w:t>
      </w:r>
      <w:r>
        <w:rPr>
          <w:rFonts w:ascii="宋体" w:hAnsi="宋体" w:eastAsia="宋体" w:cs="Times New Roman"/>
          <w:color w:val="auto"/>
          <w:szCs w:val="21"/>
          <w:highlight w:val="none"/>
          <w:lang w:val="zh-CN"/>
        </w:rPr>
        <w:t>开户许可证</w:t>
      </w:r>
      <w:r>
        <w:rPr>
          <w:rFonts w:hint="eastAsia" w:ascii="宋体" w:hAnsi="宋体" w:eastAsia="宋体" w:cs="Times New Roman"/>
          <w:color w:val="auto"/>
          <w:szCs w:val="21"/>
          <w:highlight w:val="none"/>
        </w:rPr>
        <w:t>原件扫描件</w:t>
      </w:r>
      <w:r>
        <w:rPr>
          <w:rFonts w:ascii="宋体" w:hAnsi="宋体" w:eastAsia="宋体" w:cs="Times New Roman"/>
          <w:color w:val="auto"/>
          <w:szCs w:val="21"/>
          <w:highlight w:val="none"/>
          <w:lang w:val="zh-CN"/>
        </w:rPr>
        <w:t>（基本存款账户）</w:t>
      </w:r>
      <w:r>
        <w:rPr>
          <w:rFonts w:hint="eastAsia" w:ascii="宋体" w:hAnsi="宋体" w:eastAsia="宋体" w:cs="Times New Roman"/>
          <w:color w:val="auto"/>
          <w:szCs w:val="21"/>
          <w:highlight w:val="none"/>
          <w:lang w:val="zh-CN"/>
        </w:rPr>
        <w:t>，如投标人企业银行账户开户所在地区已取消企业银行账户许可，投标人应提供基本存款账户开户名称、开户银行、账号、编号等信息及相关备案证明（如有）或其他能证明其为基本存款账户的资料</w:t>
      </w:r>
      <w:r>
        <w:rPr>
          <w:rFonts w:hint="eastAsia" w:ascii="宋体" w:hAnsi="宋体" w:eastAsia="宋体" w:cs="Times New Roman"/>
          <w:color w:val="auto"/>
          <w:szCs w:val="21"/>
          <w:highlight w:val="none"/>
        </w:rPr>
        <w:t>原件扫描件</w:t>
      </w:r>
      <w:r>
        <w:rPr>
          <w:rFonts w:ascii="宋体" w:hAnsi="宋体" w:eastAsia="宋体" w:cs="Times New Roman"/>
          <w:color w:val="auto"/>
          <w:szCs w:val="21"/>
          <w:highlight w:val="none"/>
          <w:lang w:val="zh-CN"/>
        </w:rPr>
        <w:t>；</w:t>
      </w:r>
    </w:p>
    <w:p w14:paraId="06E99F0B">
      <w:pPr>
        <w:autoSpaceDE w:val="0"/>
        <w:autoSpaceDN w:val="0"/>
        <w:adjustRightInd w:val="0"/>
        <w:spacing w:line="360" w:lineRule="auto"/>
        <w:ind w:left="283" w:hanging="283" w:hangingChars="135"/>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rPr>
        <w:t>5</w:t>
      </w:r>
      <w:r>
        <w:rPr>
          <w:rFonts w:ascii="宋体" w:hAnsi="宋体" w:eastAsia="宋体" w:cs="Times New Roman"/>
          <w:color w:val="auto"/>
          <w:szCs w:val="21"/>
          <w:highlight w:val="none"/>
          <w:lang w:val="zh-CN"/>
        </w:rPr>
        <w:t>）法定代表人身份证明书和法定代表人授权书（法定代表人投标时只提供法定代表人身份证明书，委托</w:t>
      </w:r>
      <w:r>
        <w:rPr>
          <w:rFonts w:ascii="宋体" w:hAnsi="宋体" w:eastAsia="宋体" w:cs="Times New Roman"/>
          <w:color w:val="auto"/>
          <w:szCs w:val="21"/>
          <w:highlight w:val="none"/>
        </w:rPr>
        <w:t>他人</w:t>
      </w:r>
      <w:r>
        <w:rPr>
          <w:rFonts w:ascii="宋体" w:hAnsi="宋体" w:eastAsia="宋体" w:cs="Times New Roman"/>
          <w:color w:val="auto"/>
          <w:szCs w:val="21"/>
          <w:highlight w:val="none"/>
          <w:lang w:val="zh-CN"/>
        </w:rPr>
        <w:t>为投标代表时同时提供法定代表人授权书）；</w:t>
      </w:r>
    </w:p>
    <w:p w14:paraId="1C16A066">
      <w:pPr>
        <w:tabs>
          <w:tab w:val="left" w:pos="1276"/>
        </w:tabs>
        <w:spacing w:line="360" w:lineRule="auto"/>
        <w:ind w:left="283" w:hanging="283" w:hangingChars="135"/>
        <w:rPr>
          <w:rFonts w:hint="eastAsia" w:ascii="宋体" w:hAnsi="宋体" w:eastAsia="宋体" w:cs="宋体"/>
          <w:color w:val="auto"/>
          <w:szCs w:val="21"/>
          <w:highlight w:val="none"/>
        </w:rPr>
      </w:pPr>
      <w:r>
        <w:rPr>
          <w:rFonts w:hint="eastAsia" w:ascii="宋体" w:hAnsi="宋体" w:eastAsia="宋体" w:cs="Times New Roman"/>
          <w:color w:val="auto"/>
          <w:szCs w:val="21"/>
          <w:highlight w:val="none"/>
        </w:rPr>
        <w:t>6</w:t>
      </w:r>
      <w:r>
        <w:rPr>
          <w:rFonts w:hint="eastAsia" w:ascii="宋体" w:hAnsi="宋体" w:eastAsia="宋体" w:cs="宋体"/>
          <w:color w:val="auto"/>
          <w:szCs w:val="21"/>
          <w:highlight w:val="none"/>
        </w:rPr>
        <w:t>）</w:t>
      </w:r>
      <w:r>
        <w:rPr>
          <w:rFonts w:hint="eastAsia" w:ascii="宋体" w:hAnsi="宋体" w:eastAsia="宋体"/>
          <w:color w:val="auto"/>
          <w:szCs w:val="21"/>
          <w:highlight w:val="none"/>
        </w:rPr>
        <w:t>资格业绩【投标人2022年1月1日以来</w:t>
      </w:r>
      <w:r>
        <w:rPr>
          <w:rFonts w:hint="eastAsia" w:hAnsi="宋体" w:eastAsia="宋体"/>
          <w:b/>
          <w:color w:val="auto"/>
          <w:szCs w:val="21"/>
          <w:highlight w:val="none"/>
        </w:rPr>
        <w:t>已完成一个</w:t>
      </w:r>
      <w:r>
        <w:rPr>
          <w:rFonts w:hint="eastAsia" w:hAnsi="宋体" w:eastAsia="宋体"/>
          <w:b/>
          <w:color w:val="auto"/>
          <w:szCs w:val="21"/>
          <w:highlight w:val="none"/>
          <w:lang w:val="zh-CN"/>
        </w:rPr>
        <w:t>市政</w:t>
      </w:r>
      <w:r>
        <w:rPr>
          <w:rFonts w:hint="eastAsia" w:hAnsi="宋体" w:eastAsia="宋体"/>
          <w:b/>
          <w:color w:val="auto"/>
          <w:szCs w:val="21"/>
          <w:highlight w:val="none"/>
        </w:rPr>
        <w:t>类</w:t>
      </w:r>
      <w:r>
        <w:rPr>
          <w:rFonts w:hint="eastAsia" w:hAnsi="宋体" w:eastAsia="宋体"/>
          <w:b/>
          <w:color w:val="auto"/>
          <w:szCs w:val="21"/>
          <w:highlight w:val="none"/>
          <w:lang w:val="zh-CN"/>
        </w:rPr>
        <w:t>工程施工项目劳务分包</w:t>
      </w:r>
      <w:r>
        <w:rPr>
          <w:rFonts w:hint="eastAsia" w:ascii="宋体" w:hAnsi="宋体" w:eastAsia="宋体" w:cs="宋体"/>
          <w:b/>
          <w:color w:val="auto"/>
          <w:szCs w:val="21"/>
          <w:highlight w:val="none"/>
        </w:rPr>
        <w:t>业绩</w:t>
      </w:r>
      <w:r>
        <w:rPr>
          <w:rFonts w:hint="eastAsia" w:ascii="宋体" w:hAnsi="宋体" w:eastAsia="宋体"/>
          <w:color w:val="auto"/>
          <w:szCs w:val="21"/>
          <w:highlight w:val="none"/>
        </w:rPr>
        <w:t>（合同签订日期为2022年1月1日或以后），资格业绩证明材料提交要求详见招标文件第</w:t>
      </w:r>
      <w:r>
        <w:rPr>
          <w:rFonts w:hint="eastAsia" w:ascii="宋体" w:hAnsi="宋体" w:eastAsia="宋体"/>
          <w:color w:val="auto"/>
          <w:szCs w:val="21"/>
          <w:highlight w:val="none"/>
          <w:lang w:val="en-US" w:eastAsia="zh-CN"/>
        </w:rPr>
        <w:t>五</w:t>
      </w:r>
      <w:r>
        <w:rPr>
          <w:rFonts w:hint="eastAsia" w:ascii="宋体" w:hAnsi="宋体" w:eastAsia="宋体"/>
          <w:color w:val="auto"/>
          <w:szCs w:val="21"/>
          <w:highlight w:val="none"/>
        </w:rPr>
        <w:t>篇投标文件格式</w:t>
      </w:r>
      <w:r>
        <w:rPr>
          <w:rFonts w:hint="eastAsia" w:ascii="宋体" w:hAnsi="宋体" w:eastAsia="宋体"/>
          <w:color w:val="auto"/>
          <w:szCs w:val="21"/>
          <w:highlight w:val="none"/>
          <w:u w:val="single"/>
          <w:lang w:val="en-US" w:eastAsia="zh-CN"/>
        </w:rPr>
        <w:t>6</w:t>
      </w:r>
      <w:r>
        <w:rPr>
          <w:rFonts w:hint="eastAsia" w:ascii="宋体" w:hAnsi="宋体" w:eastAsia="宋体"/>
          <w:color w:val="auto"/>
          <w:szCs w:val="21"/>
          <w:highlight w:val="none"/>
          <w:u w:val="single"/>
        </w:rPr>
        <w:t>.6</w:t>
      </w:r>
      <w:r>
        <w:rPr>
          <w:rFonts w:hint="eastAsia" w:ascii="宋体" w:hAnsi="宋体" w:eastAsia="宋体"/>
          <w:color w:val="auto"/>
          <w:szCs w:val="21"/>
          <w:highlight w:val="none"/>
        </w:rPr>
        <w:t>】；</w:t>
      </w:r>
    </w:p>
    <w:p w14:paraId="652580CC">
      <w:pPr>
        <w:autoSpaceDE w:val="0"/>
        <w:autoSpaceDN w:val="0"/>
        <w:adjustRightInd w:val="0"/>
        <w:spacing w:line="360" w:lineRule="auto"/>
        <w:ind w:left="913" w:hanging="913" w:hangingChars="435"/>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zh-CN"/>
        </w:rPr>
        <w:t>最近3年投标人牵涉的其他（失信和违法）</w:t>
      </w:r>
      <w:r>
        <w:rPr>
          <w:rFonts w:hint="eastAsia" w:ascii="宋体" w:hAnsi="宋体" w:eastAsia="宋体" w:cs="宋体"/>
          <w:color w:val="auto"/>
          <w:kern w:val="0"/>
          <w:szCs w:val="21"/>
          <w:highlight w:val="none"/>
        </w:rPr>
        <w:t>处罚说明</w:t>
      </w:r>
      <w:r>
        <w:rPr>
          <w:rFonts w:hint="eastAsia" w:ascii="宋体" w:hAnsi="宋体" w:eastAsia="宋体" w:cs="宋体"/>
          <w:color w:val="auto"/>
          <w:szCs w:val="21"/>
          <w:highlight w:val="none"/>
          <w:lang w:val="zh-CN"/>
        </w:rPr>
        <w:t>；</w:t>
      </w:r>
    </w:p>
    <w:p w14:paraId="219281C1">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lang w:val="zh-CN"/>
        </w:rPr>
        <w:t>）投标人基本情况一览表；</w:t>
      </w:r>
    </w:p>
    <w:p w14:paraId="25BF88A3">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lang w:val="zh-CN"/>
        </w:rPr>
        <w:t>）投标人财务状况表；</w:t>
      </w:r>
    </w:p>
    <w:p w14:paraId="748E2A54">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9</w:t>
      </w:r>
      <w:r>
        <w:rPr>
          <w:rFonts w:hint="eastAsia" w:ascii="宋体" w:hAnsi="宋体" w:eastAsia="宋体" w:cs="宋体"/>
          <w:color w:val="auto"/>
          <w:kern w:val="0"/>
          <w:szCs w:val="21"/>
          <w:highlight w:val="none"/>
        </w:rPr>
        <w:t>）合同条款响应程度（合同条款偏离表）；</w:t>
      </w:r>
    </w:p>
    <w:p w14:paraId="4B94FE79">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lang w:val="zh-CN"/>
        </w:rPr>
        <w:t>）业绩表；</w:t>
      </w:r>
    </w:p>
    <w:p w14:paraId="3EB1B03D">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val="zh-CN"/>
        </w:rPr>
        <w:t>）投标保证金汇入情况说明；</w:t>
      </w:r>
    </w:p>
    <w:p w14:paraId="2CF88B8B">
      <w:pPr>
        <w:tabs>
          <w:tab w:val="left" w:pos="567"/>
        </w:tabs>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val="zh-CN"/>
        </w:rPr>
        <w:t>）投标人资格证明文件以外的其他资质证书、知识产权证书及获得的相关获奖、认证证书、社会评价资料证明文件</w:t>
      </w:r>
      <w:r>
        <w:rPr>
          <w:rFonts w:hint="eastAsia" w:ascii="宋体" w:hAnsi="宋体" w:eastAsia="宋体" w:cs="宋体"/>
          <w:color w:val="auto"/>
          <w:szCs w:val="21"/>
          <w:highlight w:val="none"/>
        </w:rPr>
        <w:t>原件扫描件</w:t>
      </w:r>
      <w:r>
        <w:rPr>
          <w:rFonts w:hint="eastAsia" w:ascii="宋体" w:hAnsi="宋体" w:eastAsia="宋体" w:cs="宋体"/>
          <w:color w:val="auto"/>
          <w:szCs w:val="21"/>
          <w:highlight w:val="none"/>
          <w:lang w:val="zh-CN"/>
        </w:rPr>
        <w:t>等投标人认为有需要证明其具备为本次招标项目提供服务能力的有关其它商务文件（不做强制要求）。</w:t>
      </w:r>
    </w:p>
    <w:p w14:paraId="7AFBEA3E">
      <w:pPr>
        <w:autoSpaceDE w:val="0"/>
        <w:autoSpaceDN w:val="0"/>
        <w:adjustRightInd w:val="0"/>
        <w:spacing w:line="360" w:lineRule="auto"/>
        <w:ind w:left="422" w:leftChars="-100" w:hanging="632" w:hangingChars="300"/>
        <w:rPr>
          <w:rFonts w:hint="eastAsia" w:ascii="宋体" w:hAnsi="宋体" w:eastAsia="宋体" w:cs="宋体"/>
          <w:b/>
          <w:color w:val="auto"/>
          <w:kern w:val="0"/>
          <w:szCs w:val="24"/>
          <w:highlight w:val="none"/>
        </w:rPr>
      </w:pPr>
      <w:r>
        <w:rPr>
          <w:rFonts w:hint="eastAsia" w:ascii="宋体" w:hAnsi="宋体" w:eastAsia="宋体" w:cs="宋体"/>
          <w:b/>
          <w:color w:val="auto"/>
          <w:kern w:val="0"/>
          <w:szCs w:val="24"/>
          <w:highlight w:val="none"/>
        </w:rPr>
        <w:t>9.1.2 技术标：</w:t>
      </w:r>
    </w:p>
    <w:p w14:paraId="76244FFF">
      <w:pPr>
        <w:autoSpaceDE w:val="0"/>
        <w:autoSpaceDN w:val="0"/>
        <w:adjustRightInd w:val="0"/>
        <w:spacing w:line="360" w:lineRule="auto"/>
        <w:ind w:right="-23" w:rightChars="-11"/>
        <w:jc w:val="left"/>
        <w:rPr>
          <w:rFonts w:hint="eastAsia" w:ascii="宋体" w:hAnsi="宋体" w:eastAsia="宋体" w:cs="Times New Roman"/>
          <w:b/>
          <w:bCs/>
          <w:color w:val="auto"/>
          <w:kern w:val="0"/>
          <w:szCs w:val="21"/>
          <w:highlight w:val="none"/>
          <w:lang w:val="zh-CN"/>
        </w:rPr>
      </w:pPr>
      <w:r>
        <w:rPr>
          <w:rFonts w:hint="eastAsia" w:ascii="宋体" w:hAnsi="宋体" w:eastAsia="宋体" w:cs="Times New Roman"/>
          <w:b/>
          <w:bCs/>
          <w:color w:val="auto"/>
          <w:kern w:val="0"/>
          <w:szCs w:val="21"/>
          <w:highlight w:val="none"/>
          <w:lang w:val="zh-CN"/>
        </w:rPr>
        <w:t xml:space="preserve"> </w:t>
      </w:r>
      <w:r>
        <w:rPr>
          <w:rFonts w:ascii="宋体" w:hAnsi="宋体" w:eastAsia="宋体" w:cs="Times New Roman"/>
          <w:b/>
          <w:bCs/>
          <w:color w:val="auto"/>
          <w:kern w:val="0"/>
          <w:szCs w:val="21"/>
          <w:highlight w:val="none"/>
          <w:lang w:val="zh-CN"/>
        </w:rPr>
        <w:t xml:space="preserve">   </w:t>
      </w:r>
      <w:r>
        <w:rPr>
          <w:rFonts w:hint="eastAsia" w:ascii="宋体" w:hAnsi="宋体" w:eastAsia="宋体" w:cs="Times New Roman"/>
          <w:b/>
          <w:bCs/>
          <w:color w:val="auto"/>
          <w:kern w:val="0"/>
          <w:szCs w:val="21"/>
          <w:highlight w:val="none"/>
          <w:lang w:val="zh-CN"/>
        </w:rPr>
        <w:t>目录：</w:t>
      </w:r>
    </w:p>
    <w:p w14:paraId="7BA9952F">
      <w:pPr>
        <w:spacing w:line="360" w:lineRule="auto"/>
        <w:ind w:left="105" w:leftChars="-100" w:hanging="315" w:hanging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（1）用户需求响应程度（即用户需求偏离表）；</w:t>
      </w:r>
    </w:p>
    <w:p w14:paraId="7CBA5159">
      <w:pPr>
        <w:spacing w:line="360" w:lineRule="auto"/>
        <w:ind w:left="315" w:leftChars="-100" w:hanging="525" w:hangingChars="2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（2）拟投入本项目人员情况</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即拟投入本项目工作人员情况一览表</w:t>
      </w:r>
      <w:r>
        <w:rPr>
          <w:rFonts w:hint="eastAsia" w:ascii="宋体" w:hAnsi="宋体" w:eastAsia="宋体" w:cs="宋体"/>
          <w:color w:val="auto"/>
          <w:kern w:val="0"/>
          <w:szCs w:val="21"/>
          <w:highlight w:val="none"/>
          <w:lang w:eastAsia="zh-CN"/>
        </w:rPr>
        <w:t>）</w:t>
      </w:r>
      <w:r>
        <w:rPr>
          <w:rFonts w:hint="eastAsia" w:ascii="宋体" w:hAnsi="宋体" w:eastAsia="宋体" w:cs="Times New Roman"/>
          <w:color w:val="auto"/>
          <w:kern w:val="0"/>
          <w:szCs w:val="21"/>
          <w:highlight w:val="none"/>
          <w:lang w:val="zh-CN"/>
        </w:rPr>
        <w:t>；</w:t>
      </w:r>
    </w:p>
    <w:p w14:paraId="78013266">
      <w:pPr>
        <w:spacing w:line="360" w:lineRule="auto"/>
        <w:ind w:left="315" w:leftChars="-100" w:hanging="525" w:hangingChars="2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（3）拟投入本项目机械设备情况</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即</w:t>
      </w:r>
      <w:r>
        <w:rPr>
          <w:rFonts w:hint="eastAsia" w:ascii="宋体" w:hAnsi="宋体" w:eastAsia="宋体" w:cs="宋体"/>
          <w:color w:val="auto"/>
          <w:kern w:val="0"/>
          <w:szCs w:val="21"/>
          <w:highlight w:val="none"/>
          <w:lang w:eastAsia="zh-CN"/>
        </w:rPr>
        <w:t>拟投入本项目机械设备情况一览表）</w:t>
      </w:r>
      <w:r>
        <w:rPr>
          <w:rFonts w:hint="eastAsia" w:ascii="宋体" w:hAnsi="宋体" w:eastAsia="宋体" w:cs="宋体"/>
          <w:color w:val="auto"/>
          <w:kern w:val="0"/>
          <w:szCs w:val="21"/>
          <w:highlight w:val="none"/>
        </w:rPr>
        <w:t>；</w:t>
      </w:r>
    </w:p>
    <w:p w14:paraId="64126891">
      <w:pPr>
        <w:spacing w:line="360" w:lineRule="auto"/>
        <w:ind w:left="315" w:leftChars="-100" w:hanging="525" w:hangingChars="25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lang w:eastAsia="zh-CN"/>
        </w:rPr>
        <w:t>）供水抢修专项方案（</w:t>
      </w:r>
      <w:r>
        <w:rPr>
          <w:rFonts w:hint="eastAsia" w:ascii="宋体" w:hAnsi="宋体" w:eastAsia="宋体" w:cs="宋体"/>
          <w:color w:val="auto"/>
          <w:kern w:val="0"/>
          <w:szCs w:val="21"/>
          <w:highlight w:val="none"/>
        </w:rPr>
        <w:t>投标人自行编写</w:t>
      </w:r>
      <w:r>
        <w:rPr>
          <w:rFonts w:hint="eastAsia" w:ascii="宋体" w:hAnsi="宋体" w:eastAsia="宋体" w:cs="宋体"/>
          <w:color w:val="auto"/>
          <w:kern w:val="0"/>
          <w:szCs w:val="21"/>
          <w:highlight w:val="none"/>
          <w:lang w:eastAsia="zh-CN"/>
        </w:rPr>
        <w:t>）；</w:t>
      </w:r>
    </w:p>
    <w:p w14:paraId="265A6F21">
      <w:pPr>
        <w:spacing w:line="360" w:lineRule="auto"/>
        <w:ind w:left="315" w:leftChars="-100" w:hanging="525" w:hangingChars="2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）服务便利性方案（投标人自行编写）；</w:t>
      </w:r>
    </w:p>
    <w:p w14:paraId="0613E1D1">
      <w:pPr>
        <w:spacing w:line="360" w:lineRule="auto"/>
        <w:ind w:left="105" w:leftChars="-100" w:hanging="315" w:hanging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6</w:t>
      </w:r>
      <w:r>
        <w:rPr>
          <w:rFonts w:hint="eastAsia" w:ascii="宋体" w:hAnsi="宋体" w:eastAsia="宋体" w:cs="宋体"/>
          <w:color w:val="auto"/>
          <w:kern w:val="0"/>
          <w:szCs w:val="21"/>
          <w:highlight w:val="none"/>
        </w:rPr>
        <w:t>）有限空间作业实施方案（投标人自行编写）；</w:t>
      </w:r>
    </w:p>
    <w:p w14:paraId="32356701">
      <w:pPr>
        <w:spacing w:line="360" w:lineRule="auto"/>
        <w:ind w:left="105" w:leftChars="-100" w:hanging="315" w:hanging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7</w:t>
      </w:r>
      <w:r>
        <w:rPr>
          <w:rFonts w:hint="eastAsia" w:ascii="宋体" w:hAnsi="宋体" w:eastAsia="宋体" w:cs="宋体"/>
          <w:color w:val="auto"/>
          <w:kern w:val="0"/>
          <w:szCs w:val="21"/>
          <w:highlight w:val="none"/>
        </w:rPr>
        <w:t>）施工进度、质量保证措施（投标人自行编写）；</w:t>
      </w:r>
    </w:p>
    <w:p w14:paraId="4EEDEF98">
      <w:pPr>
        <w:spacing w:line="360" w:lineRule="auto"/>
        <w:ind w:left="105" w:leftChars="-100" w:hanging="315" w:hanging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8</w:t>
      </w:r>
      <w:r>
        <w:rPr>
          <w:rFonts w:hint="eastAsia" w:ascii="宋体" w:hAnsi="宋体" w:eastAsia="宋体" w:cs="宋体"/>
          <w:color w:val="auto"/>
          <w:kern w:val="0"/>
          <w:szCs w:val="21"/>
          <w:highlight w:val="none"/>
        </w:rPr>
        <w:t>）安全生产管理方案（投标人自行编写）；</w:t>
      </w:r>
    </w:p>
    <w:p w14:paraId="79FD7378">
      <w:pPr>
        <w:spacing w:line="360" w:lineRule="auto"/>
        <w:ind w:left="105" w:leftChars="-100" w:hanging="315" w:hanging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9</w:t>
      </w:r>
      <w:r>
        <w:rPr>
          <w:rFonts w:hint="eastAsia" w:ascii="宋体" w:hAnsi="宋体" w:eastAsia="宋体" w:cs="宋体"/>
          <w:color w:val="auto"/>
          <w:kern w:val="0"/>
          <w:szCs w:val="21"/>
          <w:highlight w:val="none"/>
        </w:rPr>
        <w:t>）投标人认为有必要提供的其它材料（不做强制要求）。</w:t>
      </w:r>
    </w:p>
    <w:p w14:paraId="20A3C55C">
      <w:pPr>
        <w:autoSpaceDE w:val="0"/>
        <w:autoSpaceDN w:val="0"/>
        <w:adjustRightInd w:val="0"/>
        <w:spacing w:line="360" w:lineRule="auto"/>
        <w:ind w:left="422" w:leftChars="-100" w:hanging="632" w:hangingChars="300"/>
        <w:rPr>
          <w:rFonts w:hint="eastAsia" w:ascii="宋体" w:hAnsi="宋体" w:eastAsia="宋体" w:cs="宋体"/>
          <w:b/>
          <w:color w:val="auto"/>
          <w:kern w:val="0"/>
          <w:szCs w:val="24"/>
          <w:highlight w:val="none"/>
        </w:rPr>
      </w:pPr>
      <w:r>
        <w:rPr>
          <w:rFonts w:hint="eastAsia" w:ascii="宋体" w:hAnsi="宋体" w:eastAsia="宋体" w:cs="宋体"/>
          <w:b/>
          <w:color w:val="auto"/>
          <w:kern w:val="0"/>
          <w:szCs w:val="24"/>
          <w:highlight w:val="none"/>
        </w:rPr>
        <w:t>9.1.3 报价信封</w:t>
      </w:r>
    </w:p>
    <w:p w14:paraId="043094F1">
      <w:pPr>
        <w:autoSpaceDE w:val="0"/>
        <w:autoSpaceDN w:val="0"/>
        <w:adjustRightInd w:val="0"/>
        <w:spacing w:line="360" w:lineRule="auto"/>
        <w:ind w:left="317" w:leftChars="-100" w:hanging="527" w:hangingChars="25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9.2  投标文件格式</w:t>
      </w:r>
    </w:p>
    <w:p w14:paraId="1A908325">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（1）商务标必须按招标文件所附的商务标格式编制（参见第</w:t>
      </w: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lang w:val="zh-CN"/>
        </w:rPr>
        <w:t>篇）。</w:t>
      </w:r>
    </w:p>
    <w:p w14:paraId="48E752B8">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（2）技术标必须按招标文件所附的技术标格式编制（参见第</w:t>
      </w: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lang w:val="zh-CN"/>
        </w:rPr>
        <w:t>篇）。</w:t>
      </w:r>
    </w:p>
    <w:p w14:paraId="55C98230">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（3）报价信封由投标人使用电子标书制作软件编制（参见第</w:t>
      </w: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lang w:val="zh-CN"/>
        </w:rPr>
        <w:t>篇）。</w:t>
      </w:r>
    </w:p>
    <w:p w14:paraId="4524FB9F">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9.</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 xml:space="preserve">  投标人按照投标文件的组成目录编制投标文件应包括上述内容，但不限于上述内容。招标文件提供了相关格式的，严格按照招标文件的要求编制，投标文件未含格式的，投标人自行编制。</w:t>
      </w:r>
    </w:p>
    <w:p w14:paraId="2610DB55">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9.</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zh-CN"/>
        </w:rPr>
        <w:t xml:space="preserve">  </w:t>
      </w:r>
      <w:r>
        <w:rPr>
          <w:rFonts w:hint="eastAsia" w:ascii="宋体" w:hAnsi="宋体" w:eastAsia="宋体" w:cs="宋体"/>
          <w:b/>
          <w:color w:val="auto"/>
          <w:szCs w:val="21"/>
          <w:highlight w:val="none"/>
          <w:u w:val="single"/>
          <w:lang w:val="zh-CN"/>
        </w:rPr>
        <w:t>投标文件中相关证件、证书、合同、</w:t>
      </w:r>
      <w:r>
        <w:rPr>
          <w:rFonts w:hint="eastAsia" w:ascii="宋体" w:hAnsi="宋体" w:eastAsia="宋体" w:cs="Times New Roman"/>
          <w:b/>
          <w:color w:val="auto"/>
          <w:szCs w:val="21"/>
          <w:highlight w:val="none"/>
          <w:u w:val="single"/>
          <w:lang w:val="zh-CN"/>
        </w:rPr>
        <w:t>发票、照片</w:t>
      </w:r>
      <w:r>
        <w:rPr>
          <w:rFonts w:hint="eastAsia" w:ascii="宋体" w:hAnsi="宋体" w:eastAsia="宋体" w:cs="宋体"/>
          <w:b/>
          <w:color w:val="auto"/>
          <w:szCs w:val="21"/>
          <w:highlight w:val="none"/>
          <w:u w:val="single"/>
          <w:lang w:val="zh-CN"/>
        </w:rPr>
        <w:t>等证明材料中的原始印章、签名、关键内容必须清晰、可辨认，否则视为无效证明材料；投标文件中存在外文资料的，投标人必须同时提供中文译本，且必须保证中文译本的准确，否则招标人不予认可，视为无效材料；投标人须承担因此对应造成投标无效，或评标时因无效证明材料不得分，或拒绝接受投标的风险</w:t>
      </w:r>
      <w:r>
        <w:rPr>
          <w:rFonts w:hint="eastAsia" w:ascii="宋体" w:hAnsi="宋体" w:eastAsia="宋体" w:cs="宋体"/>
          <w:color w:val="auto"/>
          <w:szCs w:val="21"/>
          <w:highlight w:val="none"/>
          <w:lang w:val="zh-CN"/>
        </w:rPr>
        <w:t>。</w:t>
      </w:r>
    </w:p>
    <w:p w14:paraId="6DA77972">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p>
    <w:p w14:paraId="452652BA">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28" w:name="_Toc13214"/>
      <w:bookmarkStart w:id="129" w:name="_Toc8675_WPSOffice_Level3"/>
      <w:bookmarkStart w:id="130" w:name="_Toc11170"/>
      <w:bookmarkStart w:id="131" w:name="_Toc29282"/>
      <w:bookmarkStart w:id="132" w:name="_Toc486167674"/>
      <w:bookmarkStart w:id="133" w:name="_Toc31771"/>
      <w:bookmarkStart w:id="134" w:name="_Toc450662860"/>
      <w:bookmarkStart w:id="135" w:name="_Toc142508324"/>
      <w:r>
        <w:rPr>
          <w:rFonts w:hint="eastAsia" w:ascii="宋体" w:hAnsi="宋体" w:eastAsia="宋体" w:cs="宋体"/>
          <w:color w:val="auto"/>
          <w:szCs w:val="21"/>
          <w:highlight w:val="none"/>
          <w:lang w:val="zh-CN"/>
        </w:rPr>
        <w:t>10</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投标函</w:t>
      </w:r>
      <w:bookmarkEnd w:id="128"/>
      <w:bookmarkEnd w:id="129"/>
      <w:bookmarkEnd w:id="130"/>
      <w:bookmarkEnd w:id="131"/>
      <w:bookmarkEnd w:id="132"/>
      <w:bookmarkEnd w:id="133"/>
      <w:bookmarkEnd w:id="134"/>
      <w:bookmarkEnd w:id="135"/>
    </w:p>
    <w:p w14:paraId="65794350">
      <w:pPr>
        <w:autoSpaceDE w:val="0"/>
        <w:autoSpaceDN w:val="0"/>
        <w:adjustRightInd w:val="0"/>
        <w:spacing w:line="360" w:lineRule="auto"/>
        <w:ind w:left="265" w:leftChars="119" w:hanging="15"/>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投标人应完整填写投标文件格式中规定的投标函。</w:t>
      </w:r>
    </w:p>
    <w:p w14:paraId="508BA971">
      <w:pPr>
        <w:autoSpaceDE w:val="0"/>
        <w:autoSpaceDN w:val="0"/>
        <w:adjustRightInd w:val="0"/>
        <w:spacing w:line="360" w:lineRule="auto"/>
        <w:ind w:left="265" w:leftChars="119" w:hanging="15"/>
        <w:rPr>
          <w:rFonts w:hint="eastAsia" w:ascii="宋体" w:hAnsi="宋体" w:eastAsia="宋体" w:cs="宋体"/>
          <w:color w:val="auto"/>
          <w:szCs w:val="21"/>
          <w:highlight w:val="none"/>
          <w:lang w:val="zh-CN"/>
        </w:rPr>
      </w:pPr>
    </w:p>
    <w:p w14:paraId="4E313FE3">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36" w:name="_Toc450662861"/>
      <w:bookmarkStart w:id="137" w:name="_Toc20186"/>
      <w:bookmarkStart w:id="138" w:name="_Toc15427"/>
      <w:bookmarkStart w:id="139" w:name="_Toc2539"/>
      <w:bookmarkStart w:id="140" w:name="_Toc486167675"/>
      <w:bookmarkStart w:id="141" w:name="_Toc24311"/>
      <w:bookmarkStart w:id="142" w:name="_Toc4385_WPSOffice_Level3"/>
      <w:bookmarkStart w:id="143" w:name="_Toc142508325"/>
      <w:r>
        <w:rPr>
          <w:rFonts w:hint="eastAsia" w:ascii="宋体" w:hAnsi="宋体" w:eastAsia="宋体" w:cs="宋体"/>
          <w:color w:val="auto"/>
          <w:szCs w:val="21"/>
          <w:highlight w:val="none"/>
          <w:lang w:val="zh-CN"/>
        </w:rPr>
        <w:t>11</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投标报价</w:t>
      </w:r>
      <w:bookmarkEnd w:id="136"/>
      <w:bookmarkEnd w:id="137"/>
      <w:bookmarkEnd w:id="138"/>
      <w:bookmarkEnd w:id="139"/>
      <w:bookmarkEnd w:id="140"/>
      <w:bookmarkEnd w:id="141"/>
      <w:bookmarkEnd w:id="142"/>
      <w:bookmarkEnd w:id="143"/>
    </w:p>
    <w:p w14:paraId="53E273A5">
      <w:pPr>
        <w:autoSpaceDE w:val="0"/>
        <w:autoSpaceDN w:val="0"/>
        <w:adjustRightInd w:val="0"/>
        <w:spacing w:line="360" w:lineRule="auto"/>
        <w:ind w:left="357" w:leftChars="-100" w:hanging="567"/>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11.1 本项目只需根据招标文件第五篇投标报价响应表内容填报、确认服务期内的</w:t>
      </w:r>
      <w:r>
        <w:rPr>
          <w:rFonts w:hint="eastAsia" w:ascii="宋体" w:hAnsi="宋体" w:eastAsia="宋体" w:cs="宋体"/>
          <w:b/>
          <w:bCs/>
          <w:color w:val="auto"/>
          <w:szCs w:val="21"/>
          <w:highlight w:val="none"/>
          <w:u w:val="none"/>
        </w:rPr>
        <w:t>结算方式</w:t>
      </w:r>
      <w:r>
        <w:rPr>
          <w:rFonts w:hint="eastAsia" w:ascii="宋体" w:hAnsi="宋体" w:eastAsia="宋体" w:cs="宋体"/>
          <w:b/>
          <w:color w:val="auto"/>
          <w:szCs w:val="21"/>
          <w:highlight w:val="none"/>
          <w:lang w:val="zh-CN"/>
        </w:rPr>
        <w:t>。</w:t>
      </w:r>
    </w:p>
    <w:p w14:paraId="6371FEE4">
      <w:pPr>
        <w:autoSpaceDE w:val="0"/>
        <w:autoSpaceDN w:val="0"/>
        <w:adjustRightInd w:val="0"/>
        <w:spacing w:line="360" w:lineRule="auto"/>
        <w:ind w:left="357" w:leftChars="-100" w:hanging="567"/>
        <w:rPr>
          <w:rFonts w:hint="eastAsia" w:ascii="宋体" w:hAnsi="宋体" w:eastAsia="宋体" w:cs="宋体"/>
          <w:color w:val="auto"/>
          <w:szCs w:val="21"/>
          <w:highlight w:val="none"/>
        </w:rPr>
      </w:pPr>
      <w:r>
        <w:rPr>
          <w:rFonts w:ascii="宋体" w:hAnsi="宋体" w:eastAsia="宋体" w:cs="宋体"/>
          <w:color w:val="auto"/>
          <w:szCs w:val="21"/>
          <w:highlight w:val="none"/>
          <w:lang w:val="zh-CN"/>
        </w:rPr>
        <w:t xml:space="preserve">     </w:t>
      </w:r>
    </w:p>
    <w:p w14:paraId="03FD63AE">
      <w:pPr>
        <w:autoSpaceDE w:val="0"/>
        <w:autoSpaceDN w:val="0"/>
        <w:adjustRightInd w:val="0"/>
        <w:spacing w:line="360" w:lineRule="auto"/>
        <w:ind w:left="357" w:leftChars="-100" w:hanging="567"/>
        <w:jc w:val="left"/>
        <w:outlineLvl w:val="2"/>
        <w:rPr>
          <w:rFonts w:hint="eastAsia" w:ascii="宋体" w:hAnsi="宋体" w:eastAsia="宋体" w:cs="宋体"/>
          <w:b/>
          <w:color w:val="auto"/>
          <w:szCs w:val="21"/>
          <w:highlight w:val="none"/>
          <w:lang w:val="zh-CN"/>
        </w:rPr>
      </w:pPr>
      <w:bookmarkStart w:id="144" w:name="_Toc142508326"/>
      <w:bookmarkStart w:id="145" w:name="_Toc450662862"/>
      <w:bookmarkStart w:id="146" w:name="_Toc8937"/>
      <w:bookmarkStart w:id="147" w:name="_Toc30042_WPSOffice_Level3"/>
      <w:bookmarkStart w:id="148" w:name="_Toc20312"/>
      <w:bookmarkStart w:id="149" w:name="_Toc26340"/>
      <w:bookmarkStart w:id="150" w:name="_Toc3469"/>
      <w:bookmarkStart w:id="151" w:name="_Toc486167676"/>
      <w:r>
        <w:rPr>
          <w:rFonts w:hint="eastAsia" w:ascii="宋体" w:hAnsi="宋体" w:eastAsia="宋体" w:cs="宋体"/>
          <w:b/>
          <w:color w:val="auto"/>
          <w:szCs w:val="21"/>
          <w:highlight w:val="none"/>
          <w:lang w:val="zh-CN"/>
        </w:rPr>
        <w:t>12</w:t>
      </w:r>
      <w:r>
        <w:rPr>
          <w:rFonts w:ascii="宋体" w:hAnsi="宋体" w:eastAsia="宋体" w:cs="宋体"/>
          <w:b/>
          <w:color w:val="auto"/>
          <w:szCs w:val="21"/>
          <w:highlight w:val="none"/>
          <w:lang w:val="zh-CN"/>
        </w:rPr>
        <w:t xml:space="preserve"> </w:t>
      </w:r>
      <w:r>
        <w:rPr>
          <w:rFonts w:hint="eastAsia" w:ascii="宋体" w:hAnsi="宋体" w:eastAsia="宋体" w:cs="宋体"/>
          <w:b/>
          <w:color w:val="auto"/>
          <w:szCs w:val="21"/>
          <w:highlight w:val="none"/>
          <w:lang w:val="zh-CN"/>
        </w:rPr>
        <w:t>投标报价货币</w:t>
      </w:r>
      <w:bookmarkEnd w:id="144"/>
      <w:bookmarkEnd w:id="145"/>
      <w:bookmarkEnd w:id="146"/>
      <w:bookmarkEnd w:id="147"/>
      <w:bookmarkEnd w:id="148"/>
      <w:bookmarkEnd w:id="149"/>
      <w:bookmarkEnd w:id="150"/>
      <w:bookmarkEnd w:id="151"/>
    </w:p>
    <w:p w14:paraId="2AB2F3B5">
      <w:pPr>
        <w:autoSpaceDE w:val="0"/>
        <w:autoSpaceDN w:val="0"/>
        <w:adjustRightInd w:val="0"/>
        <w:spacing w:line="360" w:lineRule="auto"/>
        <w:ind w:left="265" w:leftChars="119" w:hanging="15"/>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投标</w:t>
      </w:r>
      <w:r>
        <w:rPr>
          <w:rFonts w:hint="eastAsia" w:ascii="宋体" w:hAnsi="宋体" w:eastAsia="宋体" w:cs="Times New Roman"/>
          <w:b/>
          <w:color w:val="auto"/>
          <w:szCs w:val="21"/>
          <w:highlight w:val="none"/>
          <w:lang w:val="zh-CN"/>
        </w:rPr>
        <w:t>报价表上的价格须以人民币报价，以其</w:t>
      </w:r>
      <w:r>
        <w:rPr>
          <w:rFonts w:hint="eastAsia" w:ascii="宋体" w:hAnsi="宋体" w:eastAsia="宋体" w:cs="Times New Roman"/>
          <w:b/>
          <w:color w:val="auto"/>
          <w:szCs w:val="21"/>
          <w:highlight w:val="none"/>
        </w:rPr>
        <w:t>他</w:t>
      </w:r>
      <w:r>
        <w:rPr>
          <w:rFonts w:hint="eastAsia" w:ascii="宋体" w:hAnsi="宋体" w:eastAsia="宋体" w:cs="Times New Roman"/>
          <w:b/>
          <w:color w:val="auto"/>
          <w:szCs w:val="21"/>
          <w:highlight w:val="none"/>
          <w:lang w:val="zh-CN"/>
        </w:rPr>
        <w:t>货币标价的投标将予以拒绝</w:t>
      </w:r>
      <w:r>
        <w:rPr>
          <w:rFonts w:hint="eastAsia" w:ascii="宋体" w:hAnsi="宋体" w:eastAsia="宋体" w:cs="宋体"/>
          <w:b/>
          <w:color w:val="auto"/>
          <w:szCs w:val="21"/>
          <w:highlight w:val="none"/>
          <w:lang w:val="zh-CN"/>
        </w:rPr>
        <w:t>。</w:t>
      </w:r>
    </w:p>
    <w:p w14:paraId="6FCC72C8">
      <w:pPr>
        <w:autoSpaceDE w:val="0"/>
        <w:autoSpaceDN w:val="0"/>
        <w:adjustRightInd w:val="0"/>
        <w:spacing w:line="360" w:lineRule="auto"/>
        <w:ind w:left="265" w:leftChars="119" w:hanging="15"/>
        <w:rPr>
          <w:rFonts w:hint="eastAsia" w:ascii="宋体" w:hAnsi="宋体" w:eastAsia="宋体" w:cs="宋体"/>
          <w:color w:val="auto"/>
          <w:szCs w:val="21"/>
          <w:highlight w:val="none"/>
        </w:rPr>
      </w:pPr>
    </w:p>
    <w:p w14:paraId="4BF1987E">
      <w:pPr>
        <w:tabs>
          <w:tab w:val="left" w:pos="570"/>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52" w:name="_Toc27692"/>
      <w:bookmarkStart w:id="153" w:name="_Toc3961"/>
      <w:bookmarkStart w:id="154" w:name="_Toc20031"/>
      <w:bookmarkStart w:id="155" w:name="_Toc9411_WPSOffice_Level3"/>
      <w:bookmarkStart w:id="156" w:name="_Toc1091"/>
      <w:bookmarkStart w:id="157" w:name="_Toc450662863"/>
      <w:bookmarkStart w:id="158" w:name="_Toc142508327"/>
      <w:bookmarkStart w:id="159" w:name="_Toc486167677"/>
      <w:r>
        <w:rPr>
          <w:rFonts w:hint="eastAsia" w:ascii="宋体" w:hAnsi="宋体" w:eastAsia="宋体" w:cs="宋体"/>
          <w:color w:val="auto"/>
          <w:szCs w:val="21"/>
          <w:highlight w:val="none"/>
          <w:lang w:val="zh-CN"/>
        </w:rPr>
        <w:t>13</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证明投标人的合格性和资格的声明文件</w:t>
      </w:r>
      <w:bookmarkEnd w:id="152"/>
      <w:bookmarkEnd w:id="153"/>
      <w:bookmarkEnd w:id="154"/>
      <w:bookmarkEnd w:id="155"/>
      <w:bookmarkEnd w:id="156"/>
      <w:bookmarkEnd w:id="157"/>
      <w:bookmarkEnd w:id="158"/>
      <w:bookmarkEnd w:id="159"/>
    </w:p>
    <w:p w14:paraId="22612654">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13.1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根据第2条、第13.2款规定，投标人须提交证明其有资格进行投标和有能力履行合同的文件，作为投标文件的一部分。</w:t>
      </w:r>
    </w:p>
    <w:p w14:paraId="7C358DCA">
      <w:pPr>
        <w:autoSpaceDE w:val="0"/>
        <w:autoSpaceDN w:val="0"/>
        <w:adjustRightInd w:val="0"/>
        <w:spacing w:line="360" w:lineRule="auto"/>
        <w:ind w:left="357" w:leftChars="-100" w:hanging="567"/>
        <w:rPr>
          <w:rFonts w:hint="eastAsia" w:ascii="宋体" w:hAnsi="宋体" w:eastAsia="宋体" w:cs="宋体"/>
          <w:color w:val="auto"/>
          <w:szCs w:val="21"/>
          <w:highlight w:val="none"/>
          <w:vertAlign w:val="superscript"/>
          <w:lang w:val="zh-CN"/>
        </w:rPr>
      </w:pPr>
      <w:r>
        <w:rPr>
          <w:rFonts w:hint="eastAsia" w:ascii="宋体" w:hAnsi="宋体" w:eastAsia="宋体" w:cs="宋体"/>
          <w:color w:val="auto"/>
          <w:szCs w:val="21"/>
          <w:highlight w:val="none"/>
          <w:lang w:val="zh-CN"/>
        </w:rPr>
        <w:t>13.2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投标人提供的履行合同的资格声明文件应符合：</w:t>
      </w:r>
    </w:p>
    <w:p w14:paraId="5805E247">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（1）符合《中华人民共和国招标投标法》《中华人民共和国招标投标法实施条例》投标人应当具备的条件；</w:t>
      </w:r>
    </w:p>
    <w:p w14:paraId="61A2F078">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（2）投标人具有履行本项目所必须的证明文件；</w:t>
      </w:r>
    </w:p>
    <w:p w14:paraId="37B1C9E1">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（3）投标人证明其相应资格</w:t>
      </w:r>
      <w:r>
        <w:rPr>
          <w:rFonts w:hint="eastAsia" w:ascii="宋体" w:hAnsi="宋体" w:eastAsia="宋体" w:cs="Times New Roman"/>
          <w:color w:val="auto"/>
          <w:szCs w:val="21"/>
          <w:highlight w:val="none"/>
          <w:lang w:val="zh-CN"/>
        </w:rPr>
        <w:t>符合或</w:t>
      </w:r>
      <w:r>
        <w:rPr>
          <w:rFonts w:hint="eastAsia" w:ascii="宋体" w:hAnsi="宋体" w:eastAsia="宋体" w:cs="宋体"/>
          <w:color w:val="auto"/>
          <w:szCs w:val="21"/>
          <w:highlight w:val="none"/>
          <w:lang w:val="zh-CN"/>
        </w:rPr>
        <w:t>优于招标文件要求的其它文件。</w:t>
      </w:r>
    </w:p>
    <w:p w14:paraId="52782B91">
      <w:pPr>
        <w:autoSpaceDE w:val="0"/>
        <w:autoSpaceDN w:val="0"/>
        <w:adjustRightInd w:val="0"/>
        <w:spacing w:line="360" w:lineRule="auto"/>
        <w:ind w:left="560" w:leftChars="128" w:hanging="291" w:hangingChars="139"/>
        <w:rPr>
          <w:rFonts w:hint="eastAsia" w:ascii="宋体" w:hAnsi="宋体" w:eastAsia="宋体" w:cs="宋体"/>
          <w:color w:val="auto"/>
          <w:szCs w:val="21"/>
          <w:highlight w:val="none"/>
        </w:rPr>
      </w:pPr>
    </w:p>
    <w:p w14:paraId="02EB2449">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60" w:name="_Toc142508328"/>
      <w:bookmarkStart w:id="161" w:name="_Toc29754"/>
      <w:bookmarkStart w:id="162" w:name="_Toc8615"/>
      <w:bookmarkStart w:id="163" w:name="_Toc16467"/>
      <w:bookmarkStart w:id="164" w:name="_Toc13041"/>
      <w:bookmarkStart w:id="165" w:name="_Toc486167678"/>
      <w:bookmarkStart w:id="166" w:name="_Toc27771_WPSOffice_Level3"/>
      <w:bookmarkStart w:id="167" w:name="_Toc450662864"/>
      <w:r>
        <w:rPr>
          <w:rFonts w:hint="eastAsia" w:ascii="宋体" w:hAnsi="宋体" w:eastAsia="宋体" w:cs="宋体"/>
          <w:color w:val="auto"/>
          <w:szCs w:val="21"/>
          <w:highlight w:val="none"/>
          <w:lang w:val="zh-CN"/>
        </w:rPr>
        <w:t>14</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证明服务的合格性并符合招标文件规定的声明文件</w:t>
      </w:r>
      <w:bookmarkEnd w:id="160"/>
      <w:bookmarkEnd w:id="161"/>
      <w:bookmarkEnd w:id="162"/>
      <w:bookmarkEnd w:id="163"/>
      <w:bookmarkEnd w:id="164"/>
      <w:bookmarkEnd w:id="165"/>
      <w:bookmarkEnd w:id="166"/>
      <w:bookmarkEnd w:id="167"/>
    </w:p>
    <w:p w14:paraId="21725074">
      <w:pPr>
        <w:spacing w:line="360" w:lineRule="auto"/>
        <w:ind w:left="315" w:leftChars="-100" w:hanging="525" w:hangingChars="2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14.1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根据</w:t>
      </w:r>
      <w:r>
        <w:rPr>
          <w:rFonts w:hint="eastAsia" w:ascii="宋体" w:hAnsi="宋体" w:eastAsia="宋体" w:cs="宋体"/>
          <w:color w:val="auto"/>
          <w:kern w:val="0"/>
          <w:szCs w:val="21"/>
          <w:highlight w:val="none"/>
        </w:rPr>
        <w:t>第9</w:t>
      </w:r>
      <w:r>
        <w:rPr>
          <w:rFonts w:hint="eastAsia" w:ascii="宋体" w:hAnsi="宋体" w:eastAsia="宋体" w:cs="宋体"/>
          <w:color w:val="auto"/>
          <w:szCs w:val="21"/>
          <w:highlight w:val="none"/>
          <w:lang w:val="zh-CN"/>
        </w:rPr>
        <w:t>条规定，投标人须提交证明其拟供</w:t>
      </w:r>
      <w:r>
        <w:rPr>
          <w:rFonts w:hint="eastAsia" w:ascii="宋体" w:hAnsi="宋体" w:eastAsia="宋体" w:cs="宋体"/>
          <w:color w:val="auto"/>
          <w:szCs w:val="21"/>
          <w:highlight w:val="none"/>
        </w:rPr>
        <w:t>服务</w:t>
      </w:r>
      <w:r>
        <w:rPr>
          <w:rFonts w:hint="eastAsia" w:ascii="宋体" w:hAnsi="宋体" w:eastAsia="宋体" w:cs="宋体"/>
          <w:color w:val="auto"/>
          <w:szCs w:val="21"/>
          <w:highlight w:val="none"/>
          <w:lang w:val="zh-CN"/>
        </w:rPr>
        <w:t>的合格性并符合招标文件规定的声明文件，作为投标文件的一部分。</w:t>
      </w:r>
    </w:p>
    <w:p w14:paraId="3EAE97CA">
      <w:pPr>
        <w:spacing w:line="360" w:lineRule="auto"/>
        <w:ind w:left="315" w:leftChars="-100" w:hanging="525" w:hangingChars="2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14.2 证明</w:t>
      </w:r>
      <w:r>
        <w:rPr>
          <w:rFonts w:hint="eastAsia" w:ascii="宋体" w:hAnsi="宋体" w:eastAsia="宋体" w:cs="宋体"/>
          <w:color w:val="auto"/>
          <w:kern w:val="0"/>
          <w:szCs w:val="21"/>
          <w:highlight w:val="none"/>
        </w:rPr>
        <w:t>相关服务</w:t>
      </w:r>
      <w:r>
        <w:rPr>
          <w:rFonts w:hint="eastAsia" w:ascii="宋体" w:hAnsi="宋体" w:eastAsia="宋体" w:cs="宋体"/>
          <w:color w:val="auto"/>
          <w:szCs w:val="21"/>
          <w:highlight w:val="none"/>
          <w:lang w:val="zh-CN"/>
        </w:rPr>
        <w:t>与招标文件的要求相一致的文件可以是文字资料、图纸和数据资料。</w:t>
      </w:r>
    </w:p>
    <w:p w14:paraId="77C6F94B">
      <w:pPr>
        <w:autoSpaceDE w:val="0"/>
        <w:autoSpaceDN w:val="0"/>
        <w:adjustRightInd w:val="0"/>
        <w:spacing w:line="360" w:lineRule="auto"/>
        <w:ind w:left="317" w:leftChars="-100" w:hanging="527" w:hangingChars="251"/>
        <w:rPr>
          <w:rFonts w:hint="eastAsia" w:ascii="宋体" w:hAnsi="宋体" w:eastAsia="宋体" w:cs="宋体"/>
          <w:b/>
          <w:color w:val="auto"/>
          <w:szCs w:val="21"/>
          <w:highlight w:val="none"/>
          <w:lang w:val="zh-CN"/>
        </w:rPr>
      </w:pPr>
      <w:r>
        <w:rPr>
          <w:rFonts w:hint="eastAsia" w:ascii="宋体" w:hAnsi="宋体" w:eastAsia="宋体" w:cs="宋体"/>
          <w:color w:val="auto"/>
          <w:szCs w:val="21"/>
          <w:highlight w:val="none"/>
          <w:lang w:val="zh-CN"/>
        </w:rPr>
        <w:t xml:space="preserve">14.3 </w:t>
      </w:r>
      <w:r>
        <w:rPr>
          <w:rFonts w:hint="eastAsia" w:ascii="宋体" w:hAnsi="宋体" w:eastAsia="宋体" w:cs="宋体"/>
          <w:b/>
          <w:color w:val="auto"/>
          <w:szCs w:val="21"/>
          <w:highlight w:val="none"/>
          <w:lang w:val="zh-CN"/>
        </w:rPr>
        <w:t>为说明第14.2款的规定，投标人应注意本招标文件在《用户需求书》中对服务要求</w:t>
      </w:r>
      <w:r>
        <w:rPr>
          <w:rFonts w:hint="eastAsia" w:ascii="宋体" w:hAnsi="宋体" w:eastAsia="宋体" w:cs="宋体"/>
          <w:b/>
          <w:color w:val="auto"/>
          <w:szCs w:val="21"/>
          <w:highlight w:val="none"/>
        </w:rPr>
        <w:t>的</w:t>
      </w:r>
      <w:r>
        <w:rPr>
          <w:rFonts w:hint="eastAsia" w:ascii="宋体" w:hAnsi="宋体" w:eastAsia="宋体" w:cs="宋体"/>
          <w:b/>
          <w:color w:val="auto"/>
          <w:szCs w:val="21"/>
          <w:highlight w:val="none"/>
          <w:lang w:val="zh-CN"/>
        </w:rPr>
        <w:t>说明只是概括性的，不能理解为所需要的全部服务的要求，投标人应按国家、行业相关技术标准、规范和以往的服务经验，合格优质的完成采购内容和包含的全部服务。但凡标有“★”的地方均被视为重要的技术指标要求或性能要求。投标人要特别加以注意，必须对此回答并完全满足这些要求，否则若有一项带“★”的指标未响应或不满足，将按无效投标处理。</w:t>
      </w:r>
    </w:p>
    <w:p w14:paraId="4D20FB1D">
      <w:pPr>
        <w:autoSpaceDE w:val="0"/>
        <w:autoSpaceDN w:val="0"/>
        <w:adjustRightInd w:val="0"/>
        <w:spacing w:line="360" w:lineRule="auto"/>
        <w:rPr>
          <w:rFonts w:hint="eastAsia" w:ascii="宋体" w:hAnsi="宋体" w:eastAsia="宋体" w:cs="Times New Roman"/>
          <w:color w:val="auto"/>
          <w:kern w:val="0"/>
          <w:sz w:val="24"/>
          <w:szCs w:val="24"/>
          <w:highlight w:val="none"/>
        </w:rPr>
      </w:pPr>
    </w:p>
    <w:p w14:paraId="7FC328EB">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68" w:name="_Toc30555"/>
      <w:bookmarkStart w:id="169" w:name="_Toc486167679"/>
      <w:bookmarkStart w:id="170" w:name="_Toc16828"/>
      <w:bookmarkStart w:id="171" w:name="_Toc6459"/>
      <w:bookmarkStart w:id="172" w:name="_Toc142508329"/>
      <w:bookmarkStart w:id="173" w:name="_Toc5356_WPSOffice_Level3"/>
      <w:bookmarkStart w:id="174" w:name="_Toc8644"/>
      <w:r>
        <w:rPr>
          <w:rFonts w:hint="eastAsia" w:ascii="宋体" w:hAnsi="宋体" w:eastAsia="宋体" w:cs="宋体"/>
          <w:color w:val="auto"/>
          <w:szCs w:val="21"/>
          <w:highlight w:val="none"/>
          <w:lang w:val="zh-CN"/>
        </w:rPr>
        <w:t>15</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投标保证金</w:t>
      </w:r>
      <w:bookmarkEnd w:id="168"/>
      <w:bookmarkEnd w:id="169"/>
      <w:bookmarkEnd w:id="170"/>
      <w:bookmarkEnd w:id="171"/>
      <w:bookmarkEnd w:id="172"/>
      <w:bookmarkEnd w:id="173"/>
      <w:bookmarkEnd w:id="174"/>
    </w:p>
    <w:p w14:paraId="65191C7F">
      <w:pPr>
        <w:tabs>
          <w:tab w:val="left" w:pos="567"/>
        </w:tabs>
        <w:autoSpaceDE w:val="0"/>
        <w:autoSpaceDN w:val="0"/>
        <w:adjustRightInd w:val="0"/>
        <w:spacing w:line="360" w:lineRule="auto"/>
        <w:ind w:left="357" w:leftChars="-100" w:hanging="567"/>
        <w:jc w:val="left"/>
        <w:rPr>
          <w:rFonts w:hint="eastAsia" w:ascii="宋体" w:hAnsi="宋体" w:eastAsia="宋体" w:cs="宋体"/>
          <w:color w:val="auto"/>
          <w:kern w:val="0"/>
          <w:szCs w:val="21"/>
          <w:highlight w:val="none"/>
        </w:rPr>
      </w:pPr>
      <w:r>
        <w:rPr>
          <w:rFonts w:hint="eastAsia" w:ascii="宋体" w:hAnsi="宋体" w:eastAsia="宋体" w:cs="宋体"/>
          <w:bCs/>
          <w:color w:val="auto"/>
          <w:kern w:val="0"/>
          <w:szCs w:val="21"/>
          <w:highlight w:val="none"/>
          <w:lang w:val="zh-CN"/>
        </w:rPr>
        <w:t>15.1</w:t>
      </w:r>
      <w:r>
        <w:rPr>
          <w:rFonts w:ascii="宋体" w:hAnsi="宋体" w:eastAsia="宋体" w:cs="宋体"/>
          <w:b/>
          <w:bCs/>
          <w:color w:val="auto"/>
          <w:kern w:val="0"/>
          <w:szCs w:val="21"/>
          <w:highlight w:val="none"/>
          <w:lang w:val="zh-CN"/>
        </w:rPr>
        <w:t xml:space="preserve"> </w:t>
      </w:r>
      <w:r>
        <w:rPr>
          <w:rFonts w:hint="eastAsia" w:ascii="宋体" w:hAnsi="宋体" w:eastAsia="宋体" w:cs="宋体"/>
          <w:b/>
          <w:bCs/>
          <w:color w:val="auto"/>
          <w:kern w:val="0"/>
          <w:szCs w:val="21"/>
          <w:highlight w:val="none"/>
          <w:u w:val="single"/>
          <w:lang w:val="zh-CN"/>
        </w:rPr>
        <w:t>投标人投标时须附有投标保证金</w:t>
      </w:r>
      <w:r>
        <w:rPr>
          <w:rFonts w:hint="eastAsia" w:ascii="宋体" w:hAnsi="宋体" w:eastAsia="宋体" w:cs="宋体"/>
          <w:b/>
          <w:bCs/>
          <w:color w:val="auto"/>
          <w:kern w:val="0"/>
          <w:szCs w:val="21"/>
          <w:highlight w:val="none"/>
          <w:u w:val="single"/>
          <w:lang w:val="en-US" w:eastAsia="zh-CN"/>
        </w:rPr>
        <w:t>100,000.00</w:t>
      </w:r>
      <w:r>
        <w:rPr>
          <w:rFonts w:hint="eastAsia" w:ascii="宋体" w:hAnsi="宋体" w:eastAsia="宋体" w:cs="宋体"/>
          <w:b/>
          <w:color w:val="auto"/>
          <w:kern w:val="0"/>
          <w:szCs w:val="21"/>
          <w:highlight w:val="none"/>
          <w:u w:val="single"/>
        </w:rPr>
        <w:t>元（大写：人民币壹拾万元整）</w:t>
      </w:r>
      <w:r>
        <w:rPr>
          <w:rFonts w:hint="eastAsia" w:ascii="宋体" w:hAnsi="宋体" w:eastAsia="宋体" w:cs="宋体"/>
          <w:b/>
          <w:color w:val="auto"/>
          <w:kern w:val="0"/>
          <w:szCs w:val="21"/>
          <w:highlight w:val="none"/>
        </w:rPr>
        <w:t>。</w:t>
      </w:r>
    </w:p>
    <w:p w14:paraId="6F673D2E">
      <w:pPr>
        <w:spacing w:line="360" w:lineRule="auto"/>
        <w:ind w:left="315" w:leftChars="-100" w:hanging="525" w:hangingChars="250"/>
        <w:rPr>
          <w:rFonts w:hint="eastAsia" w:ascii="宋体" w:hAnsi="宋体" w:eastAsia="宋体" w:cs="宋体"/>
          <w:b/>
          <w:color w:val="auto"/>
          <w:kern w:val="0"/>
          <w:szCs w:val="21"/>
          <w:highlight w:val="none"/>
        </w:rPr>
      </w:pPr>
      <w:r>
        <w:rPr>
          <w:rFonts w:hint="eastAsia" w:ascii="宋体" w:hAnsi="宋体" w:eastAsia="宋体" w:cs="宋体"/>
          <w:bCs/>
          <w:color w:val="auto"/>
          <w:kern w:val="0"/>
          <w:szCs w:val="21"/>
          <w:highlight w:val="none"/>
          <w:lang w:val="zh-CN"/>
        </w:rPr>
        <w:t xml:space="preserve">15.2 </w:t>
      </w:r>
      <w:r>
        <w:rPr>
          <w:rFonts w:hint="eastAsia" w:ascii="宋体" w:hAnsi="宋体" w:eastAsia="宋体" w:cs="宋体"/>
          <w:color w:val="auto"/>
          <w:szCs w:val="21"/>
          <w:highlight w:val="none"/>
          <w:lang w:val="zh-CN"/>
        </w:rPr>
        <w:t>投标人</w:t>
      </w:r>
      <w:r>
        <w:rPr>
          <w:rFonts w:hint="eastAsia" w:ascii="宋体" w:hAnsi="宋体" w:eastAsia="宋体" w:cs="宋体"/>
          <w:color w:val="auto"/>
          <w:kern w:val="0"/>
          <w:szCs w:val="21"/>
          <w:highlight w:val="none"/>
        </w:rPr>
        <w:t>应按要求提交投标保证金，</w:t>
      </w:r>
      <w:r>
        <w:rPr>
          <w:rFonts w:hint="eastAsia" w:ascii="宋体" w:hAnsi="宋体" w:eastAsia="宋体" w:cs="Times New Roman"/>
          <w:b/>
          <w:color w:val="auto"/>
          <w:kern w:val="0"/>
          <w:szCs w:val="21"/>
          <w:highlight w:val="none"/>
          <w:u w:val="single"/>
        </w:rPr>
        <w:t>投标人必须通过本单位银行基本账户采用银行转账、电汇形式缴交，投标人与交款人名称必须一致，非投标人缴纳的或未通过其基本账户提交的投标保证金无效</w:t>
      </w:r>
      <w:r>
        <w:rPr>
          <w:rFonts w:hint="eastAsia" w:ascii="宋体" w:hAnsi="宋体" w:eastAsia="宋体" w:cs="宋体"/>
          <w:b/>
          <w:color w:val="auto"/>
          <w:kern w:val="0"/>
          <w:szCs w:val="21"/>
          <w:highlight w:val="none"/>
        </w:rPr>
        <w:t>。</w:t>
      </w:r>
    </w:p>
    <w:p w14:paraId="20FCF98D">
      <w:pPr>
        <w:tabs>
          <w:tab w:val="left" w:pos="567"/>
        </w:tabs>
        <w:autoSpaceDE w:val="0"/>
        <w:autoSpaceDN w:val="0"/>
        <w:adjustRightInd w:val="0"/>
        <w:spacing w:line="360" w:lineRule="auto"/>
        <w:ind w:left="357" w:leftChars="-100" w:hanging="567"/>
        <w:jc w:val="left"/>
        <w:rPr>
          <w:rFonts w:hint="eastAsia" w:ascii="宋体" w:hAnsi="宋体" w:eastAsia="宋体" w:cs="宋体"/>
          <w:bCs/>
          <w:color w:val="auto"/>
          <w:kern w:val="2"/>
          <w:szCs w:val="21"/>
          <w:highlight w:val="none"/>
          <w:lang w:val="zh-CN"/>
        </w:rPr>
      </w:pPr>
      <w:r>
        <w:rPr>
          <w:rFonts w:hint="eastAsia" w:ascii="宋体" w:hAnsi="宋体" w:eastAsia="宋体" w:cs="宋体"/>
          <w:bCs/>
          <w:color w:val="auto"/>
          <w:kern w:val="2"/>
          <w:szCs w:val="21"/>
          <w:highlight w:val="none"/>
          <w:lang w:val="zh-CN"/>
        </w:rPr>
        <w:t>15.3 提交保证金时应符合下列规定：</w:t>
      </w:r>
    </w:p>
    <w:p w14:paraId="2F16582A">
      <w:pPr>
        <w:spacing w:line="360" w:lineRule="auto"/>
        <w:ind w:firstLine="777" w:firstLineChars="370"/>
        <w:rPr>
          <w:rFonts w:hint="eastAsia" w:ascii="宋体" w:hAnsi="宋体" w:eastAsia="宋体" w:cs="宋体"/>
          <w:bCs/>
          <w:color w:val="auto"/>
          <w:kern w:val="2"/>
          <w:szCs w:val="21"/>
          <w:highlight w:val="none"/>
          <w:lang w:val="zh-CN"/>
        </w:rPr>
      </w:pPr>
      <w:r>
        <w:rPr>
          <w:rFonts w:hint="eastAsia" w:ascii="宋体" w:hAnsi="宋体" w:eastAsia="宋体" w:cs="宋体"/>
          <w:bCs/>
          <w:color w:val="auto"/>
          <w:kern w:val="2"/>
          <w:szCs w:val="21"/>
          <w:highlight w:val="none"/>
          <w:lang w:val="zh-CN"/>
        </w:rPr>
        <w:t>必须通过本单位基本账户采用银行转账、电汇方式提交，且在递交投标文件截止时间前到达以下账户上</w:t>
      </w:r>
      <w:r>
        <w:rPr>
          <w:rFonts w:hint="eastAsia" w:ascii="宋体" w:hAnsi="宋体" w:eastAsia="宋体" w:cs="宋体"/>
          <w:b w:val="0"/>
          <w:bCs/>
          <w:color w:val="auto"/>
          <w:kern w:val="2"/>
          <w:szCs w:val="21"/>
          <w:highlight w:val="none"/>
          <w:lang w:val="zh-CN"/>
        </w:rPr>
        <w:t>并注明招标编号</w:t>
      </w:r>
      <w:r>
        <w:rPr>
          <w:rFonts w:hint="eastAsia" w:ascii="宋体" w:hAnsi="宋体" w:eastAsia="宋体" w:cs="宋体"/>
          <w:bCs/>
          <w:color w:val="auto"/>
          <w:kern w:val="2"/>
          <w:szCs w:val="21"/>
          <w:highlight w:val="none"/>
          <w:lang w:val="zh-CN"/>
        </w:rPr>
        <w:t>。</w:t>
      </w:r>
    </w:p>
    <w:p w14:paraId="751A4DB8">
      <w:pPr>
        <w:autoSpaceDE w:val="0"/>
        <w:autoSpaceDN w:val="0"/>
        <w:adjustRightInd w:val="0"/>
        <w:spacing w:line="360" w:lineRule="auto"/>
        <w:ind w:left="225" w:leftChars="107" w:firstLine="489" w:firstLineChars="233"/>
        <w:jc w:val="left"/>
        <w:rPr>
          <w:rFonts w:hint="eastAsia" w:ascii="宋体" w:hAnsi="宋体" w:eastAsia="宋体" w:cs="宋体"/>
          <w:bCs/>
          <w:color w:val="auto"/>
          <w:kern w:val="2"/>
          <w:szCs w:val="21"/>
          <w:highlight w:val="none"/>
          <w:lang w:val="zh-CN"/>
        </w:rPr>
      </w:pPr>
      <w:r>
        <w:rPr>
          <w:rFonts w:hint="eastAsia" w:ascii="宋体" w:hAnsi="宋体" w:eastAsia="宋体" w:cs="宋体"/>
          <w:bCs/>
          <w:color w:val="auto"/>
          <w:kern w:val="2"/>
          <w:szCs w:val="21"/>
          <w:highlight w:val="none"/>
          <w:lang w:val="zh-CN"/>
        </w:rPr>
        <w:t>开户名称：东莞市碧水信息科技有限公司</w:t>
      </w:r>
    </w:p>
    <w:p w14:paraId="5E26204C">
      <w:pPr>
        <w:autoSpaceDE w:val="0"/>
        <w:autoSpaceDN w:val="0"/>
        <w:adjustRightInd w:val="0"/>
        <w:spacing w:line="360" w:lineRule="auto"/>
        <w:ind w:left="225" w:leftChars="107" w:firstLine="489" w:firstLineChars="233"/>
        <w:jc w:val="left"/>
        <w:rPr>
          <w:rFonts w:hint="eastAsia" w:ascii="宋体" w:hAnsi="宋体" w:eastAsia="宋体" w:cs="宋体"/>
          <w:b w:val="0"/>
          <w:bCs/>
          <w:color w:val="auto"/>
          <w:kern w:val="2"/>
          <w:szCs w:val="21"/>
          <w:highlight w:val="none"/>
          <w:lang w:val="zh-CN"/>
        </w:rPr>
      </w:pPr>
      <w:r>
        <w:rPr>
          <w:rFonts w:hint="eastAsia" w:ascii="宋体" w:hAnsi="宋体" w:eastAsia="宋体" w:cs="宋体"/>
          <w:bCs/>
          <w:color w:val="auto"/>
          <w:kern w:val="2"/>
          <w:szCs w:val="21"/>
          <w:highlight w:val="none"/>
          <w:lang w:val="zh-CN"/>
        </w:rPr>
        <w:t>开户银行：中国工商银行股份有限公司东莞分行</w:t>
      </w:r>
    </w:p>
    <w:p w14:paraId="164C9911">
      <w:pPr>
        <w:autoSpaceDE w:val="0"/>
        <w:autoSpaceDN w:val="0"/>
        <w:adjustRightInd w:val="0"/>
        <w:spacing w:line="360" w:lineRule="auto"/>
        <w:ind w:left="225" w:leftChars="107" w:firstLine="489" w:firstLineChars="233"/>
        <w:jc w:val="left"/>
        <w:rPr>
          <w:rFonts w:hint="eastAsia" w:ascii="宋体" w:hAnsi="宋体" w:eastAsia="宋体" w:cs="宋体"/>
          <w:b w:val="0"/>
          <w:bCs/>
          <w:color w:val="auto"/>
          <w:kern w:val="2"/>
          <w:szCs w:val="21"/>
          <w:highlight w:val="none"/>
          <w:u w:val="none"/>
          <w:lang w:val="zh-CN"/>
        </w:rPr>
      </w:pPr>
      <w:r>
        <w:rPr>
          <w:rFonts w:hint="eastAsia" w:ascii="宋体" w:hAnsi="宋体" w:eastAsia="宋体" w:cs="宋体"/>
          <w:bCs/>
          <w:color w:val="auto"/>
          <w:kern w:val="2"/>
          <w:szCs w:val="21"/>
          <w:highlight w:val="none"/>
          <w:lang w:val="zh-CN"/>
        </w:rPr>
        <w:t>银行账号：2010021309200572784</w:t>
      </w:r>
    </w:p>
    <w:p w14:paraId="2C00F3D0">
      <w:pPr>
        <w:autoSpaceDE w:val="0"/>
        <w:autoSpaceDN w:val="0"/>
        <w:adjustRightInd w:val="0"/>
        <w:spacing w:line="360" w:lineRule="auto"/>
        <w:ind w:left="357" w:leftChars="-100" w:hanging="567" w:hangingChars="270"/>
        <w:jc w:val="left"/>
        <w:rPr>
          <w:rFonts w:hint="eastAsia" w:ascii="宋体" w:hAnsi="宋体" w:eastAsia="宋体" w:cs="宋体"/>
          <w:b w:val="0"/>
          <w:bCs/>
          <w:color w:val="auto"/>
          <w:kern w:val="2"/>
          <w:szCs w:val="21"/>
          <w:highlight w:val="none"/>
          <w:lang w:val="zh-CN"/>
        </w:rPr>
      </w:pPr>
      <w:r>
        <w:rPr>
          <w:rFonts w:hint="eastAsia" w:ascii="宋体" w:hAnsi="宋体" w:eastAsia="宋体" w:cs="宋体"/>
          <w:b w:val="0"/>
          <w:bCs/>
          <w:color w:val="auto"/>
          <w:kern w:val="2"/>
          <w:szCs w:val="21"/>
          <w:highlight w:val="none"/>
          <w:u w:val="none"/>
          <w:lang w:val="zh-CN"/>
        </w:rPr>
        <w:t>投标保证金未按规定时间到达指定账户或提交金额不足的，将被视为无效投标保证金</w:t>
      </w:r>
      <w:r>
        <w:rPr>
          <w:rFonts w:hint="eastAsia" w:ascii="宋体" w:hAnsi="宋体" w:eastAsia="宋体" w:cs="宋体"/>
          <w:b w:val="0"/>
          <w:bCs/>
          <w:color w:val="auto"/>
          <w:kern w:val="2"/>
          <w:szCs w:val="21"/>
          <w:highlight w:val="none"/>
          <w:lang w:val="zh-CN"/>
        </w:rPr>
        <w:t>。</w:t>
      </w:r>
    </w:p>
    <w:p w14:paraId="1E50B819">
      <w:pPr>
        <w:autoSpaceDE w:val="0"/>
        <w:autoSpaceDN w:val="0"/>
        <w:adjustRightInd w:val="0"/>
        <w:spacing w:line="360" w:lineRule="auto"/>
        <w:ind w:left="357" w:leftChars="-100" w:hanging="567" w:hangingChars="270"/>
        <w:jc w:val="left"/>
        <w:rPr>
          <w:rFonts w:hint="eastAsia" w:ascii="宋体" w:hAnsi="宋体" w:eastAsia="宋体" w:cs="宋体"/>
          <w:b/>
          <w:bCs/>
          <w:color w:val="auto"/>
          <w:kern w:val="0"/>
          <w:szCs w:val="24"/>
          <w:highlight w:val="none"/>
        </w:rPr>
      </w:pPr>
      <w:r>
        <w:rPr>
          <w:rFonts w:hint="eastAsia" w:ascii="宋体" w:hAnsi="宋体" w:eastAsia="宋体" w:cs="宋体"/>
          <w:bCs/>
          <w:color w:val="auto"/>
          <w:szCs w:val="21"/>
          <w:highlight w:val="none"/>
          <w:lang w:val="zh-CN"/>
        </w:rPr>
        <w:t>15.4</w:t>
      </w:r>
      <w:r>
        <w:rPr>
          <w:rFonts w:ascii="宋体" w:hAnsi="宋体" w:eastAsia="宋体" w:cs="宋体"/>
          <w:bCs/>
          <w:color w:val="auto"/>
          <w:szCs w:val="21"/>
          <w:highlight w:val="none"/>
          <w:lang w:val="zh-CN"/>
        </w:rPr>
        <w:t xml:space="preserve"> </w:t>
      </w:r>
      <w:r>
        <w:rPr>
          <w:rFonts w:hint="eastAsia" w:ascii="宋体" w:hAnsi="宋体" w:eastAsia="宋体" w:cs="宋体"/>
          <w:b/>
          <w:color w:val="auto"/>
          <w:kern w:val="0"/>
          <w:szCs w:val="24"/>
          <w:highlight w:val="none"/>
          <w:u w:val="single"/>
        </w:rPr>
        <w:t>任何未按第15.1款、第15.2款、第15.3款规定提交投标保证金的投标，将被视为无效投标</w:t>
      </w:r>
      <w:r>
        <w:rPr>
          <w:rFonts w:hint="eastAsia" w:ascii="宋体" w:hAnsi="宋体" w:eastAsia="宋体" w:cs="宋体"/>
          <w:b/>
          <w:color w:val="auto"/>
          <w:kern w:val="0"/>
          <w:szCs w:val="24"/>
          <w:highlight w:val="none"/>
        </w:rPr>
        <w:t>。</w:t>
      </w:r>
    </w:p>
    <w:p w14:paraId="17D158A7">
      <w:pPr>
        <w:spacing w:line="360" w:lineRule="auto"/>
        <w:ind w:left="315" w:leftChars="-100" w:hanging="525" w:hangingChars="250"/>
        <w:rPr>
          <w:rFonts w:hint="eastAsia" w:ascii="宋体" w:hAnsi="宋体" w:eastAsia="宋体" w:cs="宋体"/>
          <w:color w:val="auto"/>
          <w:kern w:val="0"/>
          <w:szCs w:val="21"/>
          <w:highlight w:val="none"/>
        </w:rPr>
      </w:pPr>
      <w:r>
        <w:rPr>
          <w:rFonts w:hint="eastAsia" w:ascii="宋体" w:hAnsi="宋体" w:eastAsia="宋体" w:cs="宋体"/>
          <w:bCs/>
          <w:color w:val="auto"/>
          <w:szCs w:val="21"/>
          <w:highlight w:val="none"/>
          <w:lang w:val="zh-CN"/>
        </w:rPr>
        <w:t xml:space="preserve">15.5 </w:t>
      </w:r>
      <w:r>
        <w:rPr>
          <w:rFonts w:hint="eastAsia" w:ascii="宋体" w:hAnsi="宋体" w:eastAsia="宋体" w:cs="宋体"/>
          <w:color w:val="auto"/>
          <w:kern w:val="0"/>
          <w:szCs w:val="21"/>
          <w:highlight w:val="none"/>
        </w:rPr>
        <w:t>未</w:t>
      </w:r>
      <w:r>
        <w:rPr>
          <w:rFonts w:hint="eastAsia" w:ascii="宋体" w:hAnsi="宋体" w:eastAsia="宋体" w:cs="宋体"/>
          <w:color w:val="auto"/>
          <w:szCs w:val="21"/>
          <w:highlight w:val="none"/>
          <w:lang w:val="zh-CN"/>
        </w:rPr>
        <w:t>中标</w:t>
      </w:r>
      <w:r>
        <w:rPr>
          <w:rFonts w:hint="eastAsia" w:ascii="宋体" w:hAnsi="宋体" w:eastAsia="宋体" w:cs="宋体"/>
          <w:color w:val="auto"/>
          <w:kern w:val="0"/>
          <w:szCs w:val="21"/>
          <w:highlight w:val="none"/>
        </w:rPr>
        <w:t>的投标人的投标保证金，最迟应在本项目的书面合同签订后5日内，按照其投标保证金支付凭证上注明的收款人名称和账号予以退还，除非</w:t>
      </w:r>
      <w:r>
        <w:rPr>
          <w:rFonts w:hint="eastAsia" w:ascii="宋体" w:hAnsi="宋体" w:eastAsia="宋体" w:cs="Times New Roman"/>
          <w:color w:val="auto"/>
          <w:kern w:val="0"/>
          <w:szCs w:val="21"/>
          <w:highlight w:val="none"/>
        </w:rPr>
        <w:t>投标保证金</w:t>
      </w:r>
      <w:r>
        <w:rPr>
          <w:rFonts w:hint="eastAsia" w:ascii="宋体" w:hAnsi="宋体" w:eastAsia="宋体" w:cs="宋体"/>
          <w:color w:val="auto"/>
          <w:kern w:val="0"/>
          <w:szCs w:val="21"/>
          <w:highlight w:val="none"/>
        </w:rPr>
        <w:t>有效期已延长。</w:t>
      </w:r>
    </w:p>
    <w:p w14:paraId="45EB453D">
      <w:pPr>
        <w:spacing w:line="360" w:lineRule="auto"/>
        <w:ind w:left="357" w:leftChars="-100" w:hanging="567" w:hangingChars="270"/>
        <w:rPr>
          <w:rFonts w:hint="eastAsia" w:ascii="宋体" w:hAnsi="宋体" w:eastAsia="宋体" w:cs="宋体"/>
          <w:color w:val="auto"/>
          <w:kern w:val="0"/>
          <w:szCs w:val="21"/>
          <w:highlight w:val="none"/>
        </w:rPr>
      </w:pPr>
      <w:r>
        <w:rPr>
          <w:rFonts w:hint="eastAsia" w:ascii="宋体" w:hAnsi="宋体" w:eastAsia="宋体" w:cs="宋体"/>
          <w:bCs/>
          <w:color w:val="auto"/>
          <w:szCs w:val="21"/>
          <w:highlight w:val="none"/>
          <w:lang w:val="zh-CN"/>
        </w:rPr>
        <w:t xml:space="preserve">15.6 </w:t>
      </w:r>
      <w:r>
        <w:rPr>
          <w:rFonts w:hint="eastAsia" w:ascii="宋体" w:hAnsi="宋体" w:eastAsia="宋体" w:cs="宋体"/>
          <w:color w:val="auto"/>
          <w:kern w:val="0"/>
          <w:szCs w:val="21"/>
          <w:highlight w:val="none"/>
        </w:rPr>
        <w:t>中标人的投标保证金，满足下列要求，并最迟应在合同签订后的5日内退还。</w:t>
      </w:r>
    </w:p>
    <w:p w14:paraId="0320219F">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kern w:val="0"/>
          <w:szCs w:val="21"/>
          <w:highlight w:val="none"/>
        </w:rPr>
        <w:t>（1）中标</w:t>
      </w:r>
      <w:r>
        <w:rPr>
          <w:rFonts w:hint="eastAsia" w:ascii="宋体" w:hAnsi="宋体" w:eastAsia="宋体" w:cs="宋体"/>
          <w:color w:val="auto"/>
          <w:szCs w:val="21"/>
          <w:highlight w:val="none"/>
          <w:lang w:val="zh-CN"/>
        </w:rPr>
        <w:t>人提交了履约</w:t>
      </w:r>
      <w:r>
        <w:rPr>
          <w:rFonts w:hint="eastAsia" w:ascii="宋体" w:hAnsi="宋体" w:eastAsia="宋体" w:cs="宋体"/>
          <w:color w:val="auto"/>
          <w:szCs w:val="21"/>
          <w:highlight w:val="none"/>
          <w:lang w:val="en-US" w:eastAsia="zh-CN"/>
        </w:rPr>
        <w:t>保证金</w:t>
      </w:r>
      <w:r>
        <w:rPr>
          <w:rFonts w:hint="eastAsia" w:ascii="宋体" w:hAnsi="宋体" w:eastAsia="宋体" w:cs="宋体"/>
          <w:color w:val="auto"/>
          <w:szCs w:val="21"/>
          <w:highlight w:val="none"/>
          <w:lang w:val="zh-CN"/>
        </w:rPr>
        <w:t>；</w:t>
      </w:r>
    </w:p>
    <w:p w14:paraId="78AC456D">
      <w:pPr>
        <w:autoSpaceDE w:val="0"/>
        <w:autoSpaceDN w:val="0"/>
        <w:adjustRightInd w:val="0"/>
        <w:spacing w:line="360" w:lineRule="auto"/>
        <w:ind w:left="357" w:leftChars="-100" w:hanging="567"/>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val="zh-CN"/>
        </w:rPr>
        <w:t>（2）在投标过程中</w:t>
      </w:r>
      <w:r>
        <w:rPr>
          <w:rFonts w:hint="eastAsia" w:ascii="宋体" w:hAnsi="宋体" w:eastAsia="宋体" w:cs="宋体"/>
          <w:color w:val="auto"/>
          <w:kern w:val="0"/>
          <w:szCs w:val="21"/>
          <w:highlight w:val="none"/>
        </w:rPr>
        <w:t>不存在违反本招标文件或《中华人民共和国招标投标法》及其实施条例等规定的行为。</w:t>
      </w:r>
    </w:p>
    <w:p w14:paraId="63DFBCFE">
      <w:pPr>
        <w:spacing w:line="360" w:lineRule="auto"/>
        <w:ind w:left="315" w:leftChars="-100" w:hanging="525" w:hangingChars="250"/>
        <w:rPr>
          <w:rFonts w:hint="eastAsia" w:ascii="宋体" w:hAnsi="宋体" w:eastAsia="宋体" w:cs="宋体"/>
          <w:b/>
          <w:bCs/>
          <w:color w:val="auto"/>
          <w:kern w:val="0"/>
          <w:szCs w:val="20"/>
          <w:highlight w:val="none"/>
        </w:rPr>
      </w:pPr>
      <w:r>
        <w:rPr>
          <w:rFonts w:hint="eastAsia" w:ascii="宋体" w:hAnsi="宋体" w:eastAsia="宋体" w:cs="宋体"/>
          <w:bCs/>
          <w:color w:val="auto"/>
          <w:szCs w:val="21"/>
          <w:highlight w:val="none"/>
          <w:lang w:val="zh-CN"/>
        </w:rPr>
        <w:t>15.</w:t>
      </w:r>
      <w:r>
        <w:rPr>
          <w:rFonts w:hint="default" w:ascii="宋体" w:hAnsi="宋体" w:eastAsia="宋体" w:cs="宋体"/>
          <w:bCs/>
          <w:color w:val="auto"/>
          <w:szCs w:val="21"/>
          <w:highlight w:val="none"/>
          <w:lang w:val="en-US"/>
        </w:rPr>
        <w:t>7</w:t>
      </w:r>
      <w:r>
        <w:rPr>
          <w:rFonts w:hint="eastAsia" w:ascii="宋体" w:hAnsi="宋体" w:eastAsia="宋体" w:cs="宋体"/>
          <w:bCs/>
          <w:color w:val="auto"/>
          <w:szCs w:val="21"/>
          <w:highlight w:val="none"/>
          <w:lang w:val="zh-CN"/>
        </w:rPr>
        <w:t xml:space="preserve"> </w:t>
      </w:r>
      <w:r>
        <w:rPr>
          <w:rFonts w:hint="eastAsia" w:ascii="宋体" w:hAnsi="宋体" w:eastAsia="宋体" w:cs="宋体"/>
          <w:color w:val="auto"/>
          <w:kern w:val="0"/>
          <w:szCs w:val="20"/>
          <w:highlight w:val="none"/>
        </w:rPr>
        <w:t>若</w:t>
      </w:r>
      <w:r>
        <w:rPr>
          <w:rFonts w:hint="eastAsia" w:ascii="宋体" w:hAnsi="宋体" w:eastAsia="宋体" w:cs="宋体"/>
          <w:color w:val="auto"/>
          <w:szCs w:val="21"/>
          <w:highlight w:val="none"/>
          <w:lang w:val="zh-CN"/>
        </w:rPr>
        <w:t>发生</w:t>
      </w:r>
      <w:r>
        <w:rPr>
          <w:rFonts w:hint="eastAsia" w:ascii="宋体" w:hAnsi="宋体" w:eastAsia="宋体" w:cs="宋体"/>
          <w:color w:val="auto"/>
          <w:kern w:val="0"/>
          <w:szCs w:val="20"/>
          <w:highlight w:val="none"/>
        </w:rPr>
        <w:t>下列情况，招标人在书面通知投标人（或中标人）后有权不予退还投标保证金：</w:t>
      </w:r>
    </w:p>
    <w:p w14:paraId="6C6ABCC9">
      <w:pPr>
        <w:numPr>
          <w:ilvl w:val="2"/>
          <w:numId w:val="0"/>
        </w:numPr>
        <w:autoSpaceDE w:val="0"/>
        <w:autoSpaceDN w:val="0"/>
        <w:adjustRightInd w:val="0"/>
        <w:spacing w:line="360" w:lineRule="auto"/>
        <w:ind w:left="-187" w:leftChars="-100" w:hanging="23" w:hangingChars="11"/>
        <w:jc w:val="left"/>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如果投标人（或中标人）：</w:t>
      </w:r>
    </w:p>
    <w:p w14:paraId="4EFEB7FE">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kern w:val="0"/>
          <w:szCs w:val="21"/>
          <w:highlight w:val="none"/>
        </w:rPr>
        <w:t>（1）投标</w:t>
      </w:r>
      <w:r>
        <w:rPr>
          <w:rFonts w:hint="eastAsia" w:ascii="宋体" w:hAnsi="宋体" w:eastAsia="宋体" w:cs="宋体"/>
          <w:color w:val="auto"/>
          <w:szCs w:val="21"/>
          <w:highlight w:val="none"/>
          <w:lang w:val="zh-CN"/>
        </w:rPr>
        <w:t>人在规定的投标截止时间后至投标有效期满之前撤销或修改其投标文件；</w:t>
      </w:r>
    </w:p>
    <w:p w14:paraId="042B9C4A">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（2）中标人未能在规定期限内提交履约</w:t>
      </w:r>
      <w:r>
        <w:rPr>
          <w:rFonts w:hint="eastAsia" w:ascii="宋体" w:hAnsi="宋体" w:eastAsia="宋体" w:cs="宋体"/>
          <w:color w:val="auto"/>
          <w:szCs w:val="21"/>
          <w:highlight w:val="none"/>
          <w:lang w:val="en-US" w:eastAsia="zh-CN"/>
        </w:rPr>
        <w:t>保证金</w:t>
      </w:r>
      <w:r>
        <w:rPr>
          <w:rFonts w:hint="eastAsia" w:ascii="宋体" w:hAnsi="宋体" w:eastAsia="宋体" w:cs="宋体"/>
          <w:color w:val="auto"/>
          <w:szCs w:val="21"/>
          <w:highlight w:val="none"/>
          <w:lang w:val="zh-CN"/>
        </w:rPr>
        <w:t>；</w:t>
      </w:r>
    </w:p>
    <w:p w14:paraId="7A0FB05F">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（3）未根据第</w:t>
      </w:r>
      <w:r>
        <w:rPr>
          <w:rFonts w:hint="eastAsia" w:ascii="宋体" w:hAnsi="宋体" w:eastAsia="宋体" w:cs="宋体"/>
          <w:color w:val="auto"/>
          <w:szCs w:val="21"/>
          <w:highlight w:val="none"/>
          <w:lang w:val="en-US" w:eastAsia="zh-CN"/>
        </w:rPr>
        <w:t>36</w:t>
      </w:r>
      <w:r>
        <w:rPr>
          <w:rFonts w:hint="eastAsia" w:ascii="宋体" w:hAnsi="宋体" w:eastAsia="宋体" w:cs="宋体"/>
          <w:color w:val="auto"/>
          <w:szCs w:val="21"/>
          <w:highlight w:val="none"/>
          <w:lang w:val="zh-CN"/>
        </w:rPr>
        <w:t>条规定签署合同；</w:t>
      </w:r>
    </w:p>
    <w:p w14:paraId="7FABE38A">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ascii="宋体" w:hAnsi="宋体" w:eastAsia="宋体" w:cs="宋体"/>
          <w:color w:val="auto"/>
          <w:szCs w:val="21"/>
          <w:highlight w:val="none"/>
          <w:lang w:val="zh-CN"/>
        </w:rPr>
        <w:t>4</w:t>
      </w:r>
      <w:r>
        <w:rPr>
          <w:rFonts w:hint="eastAsia" w:ascii="宋体" w:hAnsi="宋体" w:eastAsia="宋体" w:cs="宋体"/>
          <w:color w:val="auto"/>
          <w:szCs w:val="21"/>
          <w:highlight w:val="none"/>
          <w:lang w:val="zh-CN"/>
        </w:rPr>
        <w:t>）将中标项目转让给他人，或者在投标文件中未说明，且未经招标人同意，将中标项目的合同</w:t>
      </w:r>
      <w:r>
        <w:rPr>
          <w:rFonts w:ascii="宋体" w:hAnsi="宋体" w:eastAsia="宋体" w:cs="宋体"/>
          <w:color w:val="auto"/>
          <w:szCs w:val="21"/>
          <w:highlight w:val="none"/>
          <w:lang w:val="zh-CN"/>
        </w:rPr>
        <w:t>的权利义务转让</w:t>
      </w:r>
      <w:r>
        <w:rPr>
          <w:rFonts w:hint="eastAsia" w:ascii="宋体" w:hAnsi="宋体" w:eastAsia="宋体" w:cs="宋体"/>
          <w:color w:val="auto"/>
          <w:szCs w:val="21"/>
          <w:highlight w:val="none"/>
          <w:lang w:val="zh-CN"/>
        </w:rPr>
        <w:t>给第三</w:t>
      </w:r>
      <w:r>
        <w:rPr>
          <w:rFonts w:ascii="宋体" w:hAnsi="宋体" w:eastAsia="宋体" w:cs="宋体"/>
          <w:color w:val="auto"/>
          <w:szCs w:val="21"/>
          <w:highlight w:val="none"/>
          <w:lang w:val="zh-CN"/>
        </w:rPr>
        <w:t>方</w:t>
      </w:r>
      <w:r>
        <w:rPr>
          <w:rFonts w:hint="eastAsia" w:ascii="宋体" w:hAnsi="宋体" w:eastAsia="宋体" w:cs="宋体"/>
          <w:color w:val="auto"/>
          <w:szCs w:val="21"/>
          <w:highlight w:val="none"/>
          <w:lang w:val="zh-CN"/>
        </w:rPr>
        <w:t>的；</w:t>
      </w:r>
    </w:p>
    <w:p w14:paraId="2FA34F21">
      <w:pPr>
        <w:autoSpaceDE w:val="0"/>
        <w:autoSpaceDN w:val="0"/>
        <w:adjustRightInd w:val="0"/>
        <w:spacing w:line="360" w:lineRule="auto"/>
        <w:ind w:left="357" w:leftChars="-100" w:hanging="567" w:firstLineChars="0"/>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val="zh-CN"/>
        </w:rPr>
        <w:t>（</w:t>
      </w:r>
      <w:r>
        <w:rPr>
          <w:rFonts w:ascii="宋体" w:hAnsi="宋体" w:eastAsia="宋体" w:cs="宋体"/>
          <w:color w:val="auto"/>
          <w:szCs w:val="21"/>
          <w:highlight w:val="none"/>
          <w:lang w:val="zh-CN"/>
        </w:rPr>
        <w:t>5</w:t>
      </w:r>
      <w:r>
        <w:rPr>
          <w:rFonts w:hint="eastAsia" w:ascii="宋体" w:hAnsi="宋体" w:eastAsia="宋体" w:cs="宋体"/>
          <w:color w:val="auto"/>
          <w:szCs w:val="21"/>
          <w:highlight w:val="none"/>
          <w:lang w:val="zh-CN"/>
        </w:rPr>
        <w:t>）提供虚假投标文</w:t>
      </w:r>
      <w:r>
        <w:rPr>
          <w:rFonts w:hint="eastAsia" w:ascii="宋体" w:hAnsi="宋体" w:eastAsia="宋体" w:cs="宋体"/>
          <w:color w:val="auto"/>
          <w:kern w:val="0"/>
          <w:szCs w:val="21"/>
          <w:highlight w:val="none"/>
        </w:rPr>
        <w:t>件或虚假补充文件的，或违反《中华人民共和国招标投标法》等有关法律、法规、规章及招标投标相关规定的行为。</w:t>
      </w:r>
    </w:p>
    <w:p w14:paraId="5CE444AE">
      <w:pPr>
        <w:pStyle w:val="48"/>
        <w:jc w:val="both"/>
        <w:rPr>
          <w:rFonts w:hint="default"/>
          <w:color w:val="auto"/>
          <w:highlight w:val="none"/>
          <w:lang w:val="en-US" w:eastAsia="zh-CN"/>
        </w:rPr>
      </w:pPr>
      <w:bookmarkStart w:id="175" w:name="_Toc486167680"/>
      <w:bookmarkStart w:id="176" w:name="_Toc23267"/>
      <w:bookmarkStart w:id="177" w:name="_Toc29607"/>
      <w:bookmarkStart w:id="178" w:name="_Toc142508330"/>
      <w:bookmarkStart w:id="179" w:name="_Toc1458"/>
      <w:bookmarkStart w:id="180" w:name="_Toc22649_WPSOffice_Level3"/>
      <w:bookmarkStart w:id="181" w:name="_Toc450662865"/>
    </w:p>
    <w:p w14:paraId="6B37EB84">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82" w:name="_Toc15168"/>
      <w:r>
        <w:rPr>
          <w:rFonts w:hint="eastAsia" w:ascii="宋体" w:hAnsi="宋体" w:eastAsia="宋体" w:cs="宋体"/>
          <w:color w:val="auto"/>
          <w:szCs w:val="21"/>
          <w:highlight w:val="none"/>
          <w:lang w:val="zh-CN"/>
        </w:rPr>
        <w:t>16</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投标有效期</w:t>
      </w:r>
      <w:bookmarkEnd w:id="175"/>
      <w:bookmarkEnd w:id="176"/>
      <w:bookmarkEnd w:id="177"/>
      <w:bookmarkEnd w:id="178"/>
      <w:bookmarkEnd w:id="179"/>
      <w:bookmarkEnd w:id="180"/>
      <w:bookmarkEnd w:id="181"/>
      <w:bookmarkEnd w:id="182"/>
    </w:p>
    <w:p w14:paraId="5EB5F9AF">
      <w:pPr>
        <w:tabs>
          <w:tab w:val="left" w:pos="567"/>
        </w:tabs>
        <w:autoSpaceDE w:val="0"/>
        <w:autoSpaceDN w:val="0"/>
        <w:adjustRightInd w:val="0"/>
        <w:spacing w:line="360" w:lineRule="auto"/>
        <w:ind w:left="357" w:leftChars="-100" w:hanging="567"/>
        <w:rPr>
          <w:rFonts w:hint="eastAsia" w:ascii="宋体" w:hAnsi="宋体" w:eastAsia="宋体" w:cs="宋体"/>
          <w:b/>
          <w:bCs/>
          <w:color w:val="auto"/>
          <w:szCs w:val="21"/>
          <w:highlight w:val="none"/>
          <w:lang w:val="zh-CN"/>
        </w:rPr>
      </w:pPr>
      <w:r>
        <w:rPr>
          <w:rFonts w:hint="eastAsia" w:ascii="宋体" w:hAnsi="宋体" w:eastAsia="宋体" w:cs="宋体"/>
          <w:color w:val="auto"/>
          <w:szCs w:val="21"/>
          <w:highlight w:val="none"/>
          <w:lang w:val="zh-CN"/>
        </w:rPr>
        <w:t>16.1</w:t>
      </w:r>
      <w:r>
        <w:rPr>
          <w:rFonts w:hint="eastAsia" w:ascii="宋体" w:hAnsi="宋体" w:eastAsia="宋体" w:cs="宋体"/>
          <w:color w:val="auto"/>
          <w:szCs w:val="21"/>
          <w:highlight w:val="none"/>
          <w:lang w:val="zh-CN"/>
        </w:rPr>
        <w:tab/>
      </w:r>
      <w:r>
        <w:rPr>
          <w:rFonts w:hint="eastAsia" w:ascii="宋体" w:hAnsi="宋体" w:eastAsia="宋体" w:cs="宋体"/>
          <w:b/>
          <w:bCs/>
          <w:color w:val="auto"/>
          <w:szCs w:val="21"/>
          <w:highlight w:val="none"/>
          <w:u w:val="single"/>
          <w:lang w:val="zh-CN"/>
        </w:rPr>
        <w:t>投标文件将在递交投标文件截止时间届满后90日内有效。投标有效期比规定时间短的按无效投标文件处理</w:t>
      </w:r>
      <w:r>
        <w:rPr>
          <w:rFonts w:hint="eastAsia" w:ascii="宋体" w:hAnsi="宋体" w:eastAsia="宋体" w:cs="宋体"/>
          <w:b/>
          <w:bCs/>
          <w:color w:val="auto"/>
          <w:szCs w:val="21"/>
          <w:highlight w:val="none"/>
          <w:lang w:val="zh-CN"/>
        </w:rPr>
        <w:t>。</w:t>
      </w:r>
    </w:p>
    <w:p w14:paraId="2EB86350">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16.2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中标人的投标文件作为合同附件，合同失效时同时失效。</w:t>
      </w:r>
    </w:p>
    <w:p w14:paraId="0F941E7F">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16.3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在特殊情况下，招标代理机构可于投标有效期满之前要求投标人同意延长投标有效期。要求与答复均应为书面形式往来。投标人可以拒绝上述要求</w:t>
      </w:r>
      <w:r>
        <w:rPr>
          <w:rFonts w:hint="eastAsia" w:ascii="宋体" w:hAnsi="宋体" w:eastAsia="宋体" w:cs="Times New Roman"/>
          <w:color w:val="auto"/>
          <w:szCs w:val="21"/>
          <w:highlight w:val="none"/>
          <w:lang w:val="zh-CN"/>
        </w:rPr>
        <w:t>，招标</w:t>
      </w:r>
      <w:r>
        <w:rPr>
          <w:rFonts w:hint="eastAsia" w:ascii="宋体" w:hAnsi="宋体" w:eastAsia="宋体" w:cs="Times New Roman"/>
          <w:color w:val="auto"/>
          <w:szCs w:val="21"/>
          <w:highlight w:val="none"/>
        </w:rPr>
        <w:t>人</w:t>
      </w:r>
      <w:r>
        <w:rPr>
          <w:rFonts w:hint="eastAsia" w:ascii="宋体" w:hAnsi="宋体" w:eastAsia="宋体" w:cs="Times New Roman"/>
          <w:color w:val="auto"/>
          <w:szCs w:val="21"/>
          <w:highlight w:val="none"/>
          <w:lang w:val="zh-CN"/>
        </w:rPr>
        <w:t>将退还</w:t>
      </w:r>
      <w:r>
        <w:rPr>
          <w:rFonts w:hint="eastAsia" w:ascii="宋体" w:hAnsi="宋体" w:eastAsia="宋体" w:cs="宋体"/>
          <w:color w:val="auto"/>
          <w:szCs w:val="21"/>
          <w:highlight w:val="none"/>
          <w:lang w:val="zh-CN"/>
        </w:rPr>
        <w:t>其投标保证金。对于同意该要求的投标人，既不要求也不允许其修改投标文件，但将要求其相应延长投标保证金的有效期。第15条投标保证金的有关规定在投标保证金延长期内仍适用。</w:t>
      </w:r>
    </w:p>
    <w:p w14:paraId="2141EA42">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p>
    <w:p w14:paraId="030B9CA1">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83" w:name="_Toc450662866"/>
      <w:bookmarkStart w:id="184" w:name="_Toc15544"/>
      <w:bookmarkStart w:id="185" w:name="_Toc2164"/>
      <w:bookmarkStart w:id="186" w:name="_Toc20422"/>
      <w:bookmarkStart w:id="187" w:name="_Toc25637_WPSOffice_Level3"/>
      <w:bookmarkStart w:id="188" w:name="_Toc486167681"/>
      <w:bookmarkStart w:id="189" w:name="_Toc932"/>
      <w:bookmarkStart w:id="190" w:name="_Toc142508331"/>
      <w:r>
        <w:rPr>
          <w:rFonts w:hint="eastAsia" w:ascii="宋体" w:hAnsi="宋体" w:eastAsia="宋体" w:cs="宋体"/>
          <w:color w:val="auto"/>
          <w:szCs w:val="21"/>
          <w:highlight w:val="none"/>
          <w:lang w:val="zh-CN"/>
        </w:rPr>
        <w:t>17</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w:t>
      </w:r>
      <w:r>
        <w:rPr>
          <w:rFonts w:hint="eastAsia" w:ascii="宋体" w:hAnsi="宋体" w:eastAsia="宋体" w:cs="宋体"/>
          <w:color w:val="auto"/>
          <w:szCs w:val="21"/>
          <w:highlight w:val="none"/>
        </w:rPr>
        <w:t>编制</w:t>
      </w:r>
      <w:r>
        <w:rPr>
          <w:rFonts w:hint="eastAsia" w:ascii="宋体" w:hAnsi="宋体" w:eastAsia="宋体" w:cs="宋体"/>
          <w:color w:val="auto"/>
          <w:szCs w:val="21"/>
          <w:highlight w:val="none"/>
          <w:lang w:val="zh-CN"/>
        </w:rPr>
        <w:t>和签署</w:t>
      </w:r>
      <w:bookmarkEnd w:id="183"/>
      <w:bookmarkEnd w:id="184"/>
      <w:bookmarkEnd w:id="185"/>
      <w:bookmarkEnd w:id="186"/>
      <w:bookmarkEnd w:id="187"/>
      <w:bookmarkEnd w:id="188"/>
      <w:bookmarkEnd w:id="189"/>
      <w:bookmarkEnd w:id="190"/>
    </w:p>
    <w:p w14:paraId="74E6AD6A">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17.1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投标文件采用电子标书形式编制。投标人使用网络上传投标文件。</w:t>
      </w:r>
    </w:p>
    <w:p w14:paraId="709DC340">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17.2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投标人应使用全国公共资源交易平台（广东省·东莞市）发布的投标文件电子标书制作软件（以下简称“电子标书制作软件”）进行投标文件的合成、电子签</w:t>
      </w:r>
      <w:r>
        <w:rPr>
          <w:rFonts w:hint="eastAsia" w:ascii="宋体" w:hAnsi="宋体" w:eastAsia="宋体" w:cs="宋体"/>
          <w:color w:val="auto"/>
          <w:szCs w:val="21"/>
          <w:highlight w:val="none"/>
        </w:rPr>
        <w:t>名</w:t>
      </w:r>
      <w:r>
        <w:rPr>
          <w:rFonts w:hint="eastAsia" w:ascii="宋体" w:hAnsi="宋体" w:eastAsia="宋体" w:cs="宋体"/>
          <w:color w:val="auto"/>
          <w:szCs w:val="21"/>
          <w:highlight w:val="none"/>
          <w:lang w:val="zh-CN"/>
        </w:rPr>
        <w:t>工作。</w:t>
      </w:r>
    </w:p>
    <w:p w14:paraId="6D760616">
      <w:pPr>
        <w:autoSpaceDE w:val="0"/>
        <w:autoSpaceDN w:val="0"/>
        <w:adjustRightInd w:val="0"/>
        <w:spacing w:line="360" w:lineRule="auto"/>
        <w:ind w:left="357" w:leftChars="-100" w:hanging="567"/>
        <w:rPr>
          <w:rFonts w:hint="eastAsia" w:ascii="宋体" w:hAnsi="宋体" w:eastAsia="宋体" w:cs="宋体"/>
          <w:bCs/>
          <w:color w:val="auto"/>
          <w:szCs w:val="21"/>
          <w:highlight w:val="none"/>
          <w:lang w:val="zh-CN"/>
        </w:rPr>
      </w:pPr>
      <w:r>
        <w:rPr>
          <w:rFonts w:hint="eastAsia" w:ascii="宋体" w:hAnsi="宋体" w:eastAsia="宋体" w:cs="宋体"/>
          <w:color w:val="auto"/>
          <w:szCs w:val="21"/>
          <w:highlight w:val="none"/>
          <w:lang w:val="zh-CN"/>
        </w:rPr>
        <w:t>17.</w:t>
      </w:r>
      <w:r>
        <w:rPr>
          <w:rFonts w:ascii="宋体" w:hAnsi="宋体" w:eastAsia="宋体" w:cs="宋体"/>
          <w:color w:val="auto"/>
          <w:szCs w:val="21"/>
          <w:highlight w:val="none"/>
          <w:lang w:val="zh-CN"/>
        </w:rPr>
        <w:t>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投标人应使用依法设立的电子认证服务提供者签发的电子签</w:t>
      </w:r>
      <w:r>
        <w:rPr>
          <w:rFonts w:hint="eastAsia" w:ascii="宋体" w:hAnsi="宋体" w:eastAsia="宋体" w:cs="宋体"/>
          <w:color w:val="auto"/>
          <w:szCs w:val="21"/>
          <w:highlight w:val="none"/>
        </w:rPr>
        <w:t>名</w:t>
      </w:r>
      <w:r>
        <w:rPr>
          <w:rFonts w:hint="eastAsia" w:ascii="宋体" w:hAnsi="宋体" w:eastAsia="宋体" w:cs="宋体"/>
          <w:color w:val="auto"/>
          <w:szCs w:val="21"/>
          <w:highlight w:val="none"/>
          <w:lang w:val="zh-CN"/>
        </w:rPr>
        <w:t>认证证书对电子投标文件进行电子签名。该电子签名与手写签名或者盖章具有同等的法律效力。</w:t>
      </w:r>
    </w:p>
    <w:p w14:paraId="06DD1179">
      <w:pPr>
        <w:autoSpaceDE w:val="0"/>
        <w:autoSpaceDN w:val="0"/>
        <w:adjustRightInd w:val="0"/>
        <w:spacing w:line="360" w:lineRule="auto"/>
        <w:ind w:left="357" w:leftChars="-100" w:hanging="567"/>
        <w:rPr>
          <w:rFonts w:hint="eastAsia" w:ascii="宋体" w:hAnsi="宋体" w:eastAsia="宋体" w:cs="宋体"/>
          <w:b/>
          <w:bCs/>
          <w:color w:val="auto"/>
          <w:szCs w:val="21"/>
          <w:highlight w:val="none"/>
          <w:u w:val="single"/>
          <w:lang w:val="zh-CN"/>
        </w:rPr>
      </w:pPr>
      <w:r>
        <w:rPr>
          <w:rFonts w:hint="eastAsia" w:ascii="宋体" w:hAnsi="宋体" w:eastAsia="宋体" w:cs="宋体"/>
          <w:color w:val="auto"/>
          <w:szCs w:val="21"/>
          <w:highlight w:val="none"/>
          <w:lang w:val="zh-CN"/>
        </w:rPr>
        <w:t>17.</w:t>
      </w:r>
      <w:r>
        <w:rPr>
          <w:rFonts w:ascii="宋体" w:hAnsi="宋体" w:eastAsia="宋体" w:cs="宋体"/>
          <w:color w:val="auto"/>
          <w:szCs w:val="21"/>
          <w:highlight w:val="none"/>
          <w:lang w:val="zh-CN"/>
        </w:rPr>
        <w:t>4</w:t>
      </w:r>
      <w:r>
        <w:rPr>
          <w:rFonts w:hint="eastAsia" w:ascii="宋体" w:hAnsi="宋体" w:eastAsia="宋体" w:cs="宋体"/>
          <w:color w:val="auto"/>
          <w:szCs w:val="21"/>
          <w:highlight w:val="none"/>
          <w:lang w:val="zh-CN"/>
        </w:rPr>
        <w:t xml:space="preserve"> 投标人使用电子标书制作软件编制电子投标文件时必须按招标文件相关条款及投标文件格式中的要求进行编制。</w:t>
      </w:r>
    </w:p>
    <w:p w14:paraId="47EEE6AA">
      <w:pPr>
        <w:autoSpaceDE w:val="0"/>
        <w:autoSpaceDN w:val="0"/>
        <w:adjustRightInd w:val="0"/>
        <w:spacing w:line="360" w:lineRule="auto"/>
        <w:ind w:left="357" w:leftChars="-100" w:hanging="567"/>
        <w:rPr>
          <w:rFonts w:hint="eastAsia" w:ascii="宋体" w:hAnsi="宋体" w:eastAsia="宋体" w:cs="宋体"/>
          <w:b/>
          <w:bCs/>
          <w:color w:val="auto"/>
          <w:szCs w:val="21"/>
          <w:highlight w:val="none"/>
          <w:lang w:val="zh-CN"/>
        </w:rPr>
      </w:pPr>
      <w:r>
        <w:rPr>
          <w:rFonts w:hint="eastAsia" w:ascii="宋体" w:hAnsi="宋体" w:eastAsia="宋体" w:cs="宋体"/>
          <w:color w:val="auto"/>
          <w:szCs w:val="21"/>
          <w:highlight w:val="none"/>
          <w:lang w:val="zh-CN"/>
        </w:rPr>
        <w:t>17.</w:t>
      </w:r>
      <w:r>
        <w:rPr>
          <w:rFonts w:ascii="宋体" w:hAnsi="宋体" w:eastAsia="宋体" w:cs="宋体"/>
          <w:color w:val="auto"/>
          <w:szCs w:val="21"/>
          <w:highlight w:val="none"/>
          <w:lang w:val="zh-CN"/>
        </w:rPr>
        <w:t>5</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投标文件应按上述编制的要求编制电子标书。如投标文件未按上述编制要求编制的，所引起交易系统无法检索、读取相关信息时，其结果将由投标人自行承担。</w:t>
      </w:r>
    </w:p>
    <w:p w14:paraId="06A63AF3">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17.</w:t>
      </w:r>
      <w:r>
        <w:rPr>
          <w:rFonts w:ascii="宋体" w:hAnsi="宋体" w:eastAsia="宋体" w:cs="宋体"/>
          <w:color w:val="auto"/>
          <w:szCs w:val="21"/>
          <w:highlight w:val="none"/>
          <w:lang w:val="zh-CN"/>
        </w:rPr>
        <w:t>6</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投标文件必须按下列要求编制、使用数字证书电子签名，否则按无效投标文件处理。</w:t>
      </w:r>
    </w:p>
    <w:p w14:paraId="4C0E7E95">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zh-CN"/>
        </w:rPr>
        <w:t>.6.1按本须知第</w:t>
      </w:r>
      <w:r>
        <w:rPr>
          <w:rFonts w:hint="eastAsia" w:ascii="宋体" w:hAnsi="宋体" w:eastAsia="宋体" w:cs="宋体"/>
          <w:color w:val="auto"/>
          <w:szCs w:val="21"/>
          <w:highlight w:val="none"/>
        </w:rPr>
        <w:t>8</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0</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条的规定编制，按本须知第1</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zh-CN"/>
        </w:rPr>
        <w:t>条的规定</w:t>
      </w:r>
      <w:r>
        <w:rPr>
          <w:rFonts w:hint="eastAsia" w:ascii="宋体" w:hAnsi="宋体" w:eastAsia="宋体" w:cs="宋体"/>
          <w:color w:val="auto"/>
          <w:szCs w:val="21"/>
          <w:highlight w:val="none"/>
        </w:rPr>
        <w:t>提供投标报价响应表</w:t>
      </w:r>
      <w:r>
        <w:rPr>
          <w:rFonts w:hint="eastAsia" w:ascii="宋体" w:hAnsi="宋体" w:eastAsia="宋体" w:cs="宋体"/>
          <w:color w:val="auto"/>
          <w:szCs w:val="21"/>
          <w:highlight w:val="none"/>
          <w:lang w:val="zh-CN"/>
        </w:rPr>
        <w:t>，“投标文件的组成”中列明的内容在投标文件中不能有漏缺。</w:t>
      </w:r>
    </w:p>
    <w:p w14:paraId="50BE5C34">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zh-CN"/>
        </w:rPr>
        <w:t>.6.2投标文件商务标、技术标编制要求：</w:t>
      </w:r>
    </w:p>
    <w:p w14:paraId="2ADB221D">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（1）投标文件必须按招标文件中规定的投标文件格式编制，并转换成PDF格式合成到电子投标文件中；</w:t>
      </w:r>
    </w:p>
    <w:p w14:paraId="7DC3C77A">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（2）投标文件商务标、技术标必须按招标文件的规定填写，不能出现缺项、缺页、手写、关键语句（或字）错误；</w:t>
      </w:r>
    </w:p>
    <w:p w14:paraId="47900194">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（3）投标文件的任何一页都不应有涂改、行间插字或删除；</w:t>
      </w:r>
    </w:p>
    <w:p w14:paraId="56938244">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（4）投标文件商务标、技术标应按其格式要求由投标人的法定代表人</w:t>
      </w:r>
      <w:r>
        <w:rPr>
          <w:rFonts w:hint="eastAsia" w:ascii="宋体" w:hAnsi="宋体" w:eastAsia="宋体" w:cs="宋体"/>
          <w:color w:val="auto"/>
          <w:szCs w:val="21"/>
          <w:highlight w:val="none"/>
          <w:lang w:val="en-US" w:eastAsia="zh-CN"/>
        </w:rPr>
        <w:t>或其授权代表</w:t>
      </w:r>
      <w:r>
        <w:rPr>
          <w:rFonts w:hint="eastAsia" w:ascii="宋体" w:hAnsi="宋体" w:eastAsia="宋体" w:cs="宋体"/>
          <w:color w:val="auto"/>
          <w:szCs w:val="21"/>
          <w:highlight w:val="none"/>
          <w:lang w:val="zh-CN"/>
        </w:rPr>
        <w:t>电子签名、企业数字证书电子签名；</w:t>
      </w:r>
    </w:p>
    <w:p w14:paraId="40CA68FA">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（5）严格按照第</w:t>
      </w: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lang w:val="zh-CN"/>
        </w:rPr>
        <w:t>篇投标文件格式内的要求完整、真实的填写《合同条款偏离表》《用户需求偏离表》；</w:t>
      </w:r>
    </w:p>
    <w:p w14:paraId="3D4AAC18">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（6）投标人要特别加以注意，必须严格按照第</w:t>
      </w: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lang w:val="zh-CN"/>
        </w:rPr>
        <w:t>篇商务标格式的要求完整、真实的填写《资格业绩》及提供对应证明资料；</w:t>
      </w:r>
    </w:p>
    <w:p w14:paraId="5AF43A51">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（7）投标文件技术标部分必须按招标文件第</w:t>
      </w: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lang w:val="zh-CN"/>
        </w:rPr>
        <w:t>篇“技术标格式”编制。</w:t>
      </w:r>
    </w:p>
    <w:p w14:paraId="03D707B9">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zh-CN"/>
        </w:rPr>
        <w:t>.6.3投标文件报价信封编制要求：</w:t>
      </w:r>
    </w:p>
    <w:p w14:paraId="7ACF5DD5">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（1）投标人应使用电子标书制作软件编制并生成报价信封，内容根据招标文件设置的报价信封内容按实填报。</w:t>
      </w:r>
    </w:p>
    <w:p w14:paraId="2AE06D5D">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投标人填报报价信封的“投标值”时，统一填报“1”即可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填报报价说明时，统一填报“按《投标报价响应表》的内容响应本项目的投标报价”。</w:t>
      </w:r>
    </w:p>
    <w:p w14:paraId="143C5A66">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（3）投标文件报价信封应按其格式要求使用依法设立的电子认证服务提供者签发的电子签名认证证书进行电子签名。该电子签名与手写签名或者盖章具有同等的法律效力。</w:t>
      </w:r>
    </w:p>
    <w:p w14:paraId="63389D53">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rPr>
      </w:pPr>
      <w:r>
        <w:rPr>
          <w:rFonts w:hint="eastAsia" w:ascii="宋体" w:hAnsi="宋体" w:eastAsia="宋体" w:cs="宋体"/>
          <w:color w:val="auto"/>
          <w:szCs w:val="21"/>
          <w:highlight w:val="none"/>
        </w:rPr>
        <w:t>17.6.4对于电子投标文件中的“法定代表人委代理人”节点，如投标人的法定代表人授权被授权人投标的，则应按“法定代表人委代理人”节点格式要求进行填报</w:t>
      </w:r>
      <w:r>
        <w:rPr>
          <w:rFonts w:hint="eastAsia" w:ascii="宋体" w:hAnsi="宋体" w:eastAsia="宋体" w:cs="宋体"/>
          <w:color w:val="auto"/>
          <w:szCs w:val="21"/>
          <w:highlight w:val="none"/>
          <w:lang w:val="en-US" w:eastAsia="zh-CN"/>
        </w:rPr>
        <w:t>及电子签名</w:t>
      </w:r>
      <w:r>
        <w:rPr>
          <w:rFonts w:hint="eastAsia" w:ascii="宋体" w:hAnsi="宋体" w:eastAsia="宋体" w:cs="宋体"/>
          <w:color w:val="auto"/>
          <w:szCs w:val="21"/>
          <w:highlight w:val="none"/>
        </w:rPr>
        <w:t>；如投标人的法定代表人投标的，则无需填写“法定代表人委代理人”节点。</w:t>
      </w:r>
    </w:p>
    <w:p w14:paraId="3154320B">
      <w:pPr>
        <w:autoSpaceDE w:val="0"/>
        <w:autoSpaceDN w:val="0"/>
        <w:adjustRightInd w:val="0"/>
        <w:jc w:val="left"/>
        <w:rPr>
          <w:rFonts w:hint="eastAsia" w:ascii="宋体" w:hAnsi="宋体" w:eastAsia="宋体" w:cs="宋体"/>
          <w:color w:val="auto"/>
          <w:kern w:val="0"/>
          <w:sz w:val="24"/>
          <w:szCs w:val="24"/>
          <w:highlight w:val="none"/>
        </w:rPr>
      </w:pPr>
      <w:bookmarkStart w:id="191" w:name="_Toc450662867"/>
    </w:p>
    <w:p w14:paraId="688A504C">
      <w:pPr>
        <w:keepNext/>
        <w:keepLines/>
        <w:tabs>
          <w:tab w:val="left" w:pos="509"/>
        </w:tabs>
        <w:autoSpaceDE w:val="0"/>
        <w:autoSpaceDN w:val="0"/>
        <w:adjustRightInd w:val="0"/>
        <w:spacing w:line="360" w:lineRule="auto"/>
        <w:jc w:val="left"/>
        <w:outlineLvl w:val="0"/>
        <w:rPr>
          <w:rFonts w:hint="eastAsia" w:ascii="宋体" w:hAnsi="宋体" w:eastAsia="宋体" w:cs="宋体"/>
          <w:color w:val="auto"/>
          <w:kern w:val="0"/>
          <w:sz w:val="24"/>
          <w:szCs w:val="24"/>
          <w:highlight w:val="none"/>
        </w:rPr>
      </w:pPr>
      <w:bookmarkStart w:id="192" w:name="_Toc17199"/>
      <w:bookmarkStart w:id="193" w:name="_Toc22356_WPSOffice_Level2"/>
      <w:bookmarkStart w:id="194" w:name="_Toc12602"/>
      <w:bookmarkStart w:id="195" w:name="_Toc26605"/>
      <w:bookmarkStart w:id="196" w:name="_Toc486167682"/>
      <w:bookmarkStart w:id="197" w:name="_Toc16145"/>
      <w:bookmarkStart w:id="198" w:name="_Toc142508332"/>
      <w:bookmarkStart w:id="199" w:name="_Toc140596891"/>
      <w:r>
        <w:rPr>
          <w:rFonts w:hint="eastAsia" w:ascii="宋体" w:hAnsi="宋体" w:eastAsia="宋体" w:cs="宋体"/>
          <w:b/>
          <w:bCs/>
          <w:color w:val="auto"/>
          <w:kern w:val="44"/>
          <w:szCs w:val="21"/>
          <w:highlight w:val="none"/>
          <w:lang w:val="zh-CN"/>
        </w:rPr>
        <w:t>四、投标文件的递交</w:t>
      </w:r>
      <w:bookmarkEnd w:id="191"/>
      <w:bookmarkEnd w:id="192"/>
      <w:bookmarkEnd w:id="193"/>
      <w:bookmarkEnd w:id="194"/>
      <w:bookmarkEnd w:id="195"/>
      <w:bookmarkEnd w:id="196"/>
      <w:bookmarkEnd w:id="197"/>
      <w:bookmarkEnd w:id="198"/>
      <w:bookmarkEnd w:id="199"/>
    </w:p>
    <w:p w14:paraId="1496AD03">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00" w:name="_Toc31551"/>
      <w:bookmarkStart w:id="201" w:name="_Toc486167683"/>
      <w:bookmarkStart w:id="202" w:name="_Toc18229"/>
      <w:bookmarkStart w:id="203" w:name="_Toc29885"/>
      <w:bookmarkStart w:id="204" w:name="_Toc450662868"/>
      <w:bookmarkStart w:id="205" w:name="_Toc142508333"/>
      <w:bookmarkStart w:id="206" w:name="_Toc29038"/>
      <w:bookmarkStart w:id="207" w:name="_Toc12192_WPSOffice_Level3"/>
      <w:r>
        <w:rPr>
          <w:rFonts w:hint="eastAsia" w:ascii="宋体" w:hAnsi="宋体" w:eastAsia="宋体" w:cs="宋体"/>
          <w:color w:val="auto"/>
          <w:szCs w:val="21"/>
          <w:highlight w:val="none"/>
          <w:lang w:val="zh-CN"/>
        </w:rPr>
        <w:t>18</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投标文件的加密</w:t>
      </w:r>
      <w:bookmarkEnd w:id="200"/>
      <w:bookmarkEnd w:id="201"/>
      <w:bookmarkEnd w:id="202"/>
      <w:bookmarkEnd w:id="203"/>
      <w:bookmarkEnd w:id="204"/>
      <w:bookmarkEnd w:id="205"/>
      <w:bookmarkEnd w:id="206"/>
      <w:bookmarkEnd w:id="207"/>
    </w:p>
    <w:p w14:paraId="62108FB1">
      <w:pPr>
        <w:pStyle w:val="37"/>
        <w:ind w:firstLine="21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投标人应使用依法设立的电子认证服务提供者签发的电子签名认证证书对电子投标文件进行电子签名并加密。</w:t>
      </w:r>
    </w:p>
    <w:p w14:paraId="7910C77A">
      <w:pPr>
        <w:tabs>
          <w:tab w:val="left" w:pos="567"/>
        </w:tabs>
        <w:autoSpaceDE w:val="0"/>
        <w:autoSpaceDN w:val="0"/>
        <w:adjustRightInd w:val="0"/>
        <w:spacing w:line="360" w:lineRule="auto"/>
        <w:ind w:left="357" w:leftChars="-100" w:right="0" w:rightChars="0" w:hanging="567" w:firstLineChars="0"/>
        <w:jc w:val="left"/>
        <w:rPr>
          <w:rFonts w:hint="eastAsia" w:ascii="宋体" w:hAnsi="宋体" w:eastAsia="宋体" w:cs="宋体"/>
          <w:color w:val="auto"/>
          <w:szCs w:val="21"/>
          <w:highlight w:val="none"/>
          <w:lang w:val="zh-CN"/>
        </w:rPr>
      </w:pPr>
    </w:p>
    <w:p w14:paraId="3F68A08A">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08" w:name="_Toc142508334"/>
      <w:bookmarkStart w:id="209" w:name="_Toc12582"/>
      <w:bookmarkStart w:id="210" w:name="_Toc450662869"/>
      <w:bookmarkStart w:id="211" w:name="_Toc23369"/>
      <w:bookmarkStart w:id="212" w:name="_Toc4979"/>
      <w:bookmarkStart w:id="213" w:name="_Toc29665_WPSOffice_Level3"/>
      <w:bookmarkStart w:id="214" w:name="_Toc486167684"/>
      <w:bookmarkStart w:id="215" w:name="_Toc20498"/>
      <w:r>
        <w:rPr>
          <w:rFonts w:hint="eastAsia" w:ascii="宋体" w:hAnsi="宋体" w:eastAsia="宋体" w:cs="宋体"/>
          <w:color w:val="auto"/>
          <w:szCs w:val="21"/>
          <w:highlight w:val="none"/>
          <w:lang w:val="zh-CN"/>
        </w:rPr>
        <w:t>19</w:t>
      </w:r>
      <w:r>
        <w:rPr>
          <w:rFonts w:ascii="宋体" w:hAnsi="宋体" w:eastAsia="宋体" w:cs="宋体"/>
          <w:color w:val="auto"/>
          <w:szCs w:val="21"/>
          <w:highlight w:val="none"/>
          <w:lang w:val="zh-CN"/>
        </w:rPr>
        <w:t xml:space="preserve"> </w:t>
      </w:r>
      <w:bookmarkEnd w:id="208"/>
      <w:bookmarkEnd w:id="209"/>
      <w:bookmarkEnd w:id="210"/>
      <w:bookmarkEnd w:id="211"/>
      <w:bookmarkEnd w:id="212"/>
      <w:bookmarkEnd w:id="213"/>
      <w:bookmarkEnd w:id="214"/>
      <w:r>
        <w:rPr>
          <w:rFonts w:hint="eastAsia" w:ascii="宋体" w:hAnsi="宋体" w:eastAsia="宋体" w:cs="宋体"/>
          <w:color w:val="auto"/>
          <w:szCs w:val="21"/>
          <w:highlight w:val="none"/>
          <w:lang w:val="zh-CN"/>
        </w:rPr>
        <w:t>投标文件的提交</w:t>
      </w:r>
      <w:bookmarkEnd w:id="215"/>
    </w:p>
    <w:p w14:paraId="52570180">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19.1 投标人应在本招标公告规定的投标截止时间前通过交易系统在线上传投标文件。上述方式外提交的投标文件，招标人将不予受理。</w:t>
      </w:r>
    </w:p>
    <w:p w14:paraId="7C4F5A44">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19.2 投标人在通过交易系统在线上传投标文件时，需设置投标文件查询密码（用于查询投标文件递交情况、撤销投标文件及签到时匹配对应的招标文件）。上传成功后，投标人应打印“电子标书网站上传回执”作为成功上传的凭证。</w:t>
      </w:r>
    </w:p>
    <w:p w14:paraId="1E480D6B">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19.3 投标文件成功上传后，交易系统将生成投标文件识别码。本识别码是投标人提交投标文件的唯一凭证，投标人须妥善保管。识别码丢失后，投标人将无法找回投标文件，需重新上传提交。</w:t>
      </w:r>
    </w:p>
    <w:p w14:paraId="241B3BAB">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19.4 投标会议地点：见招标公告。</w:t>
      </w:r>
    </w:p>
    <w:p w14:paraId="02D0007B">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19.5 逾期送达的或者未按指定方式提交的投标文件，招标人不予受理。</w:t>
      </w:r>
    </w:p>
    <w:p w14:paraId="608AE9AC">
      <w:pPr>
        <w:tabs>
          <w:tab w:val="left" w:pos="567"/>
        </w:tabs>
        <w:autoSpaceDE w:val="0"/>
        <w:autoSpaceDN w:val="0"/>
        <w:adjustRightInd w:val="0"/>
        <w:spacing w:line="360" w:lineRule="auto"/>
        <w:ind w:left="357" w:leftChars="-100" w:hanging="567"/>
        <w:jc w:val="left"/>
        <w:outlineLvl w:val="9"/>
        <w:rPr>
          <w:rFonts w:hint="eastAsia" w:ascii="宋体" w:hAnsi="宋体" w:eastAsia="宋体" w:cs="宋体"/>
          <w:color w:val="auto"/>
          <w:szCs w:val="21"/>
          <w:highlight w:val="none"/>
          <w:lang w:val="zh-CN"/>
        </w:rPr>
      </w:pPr>
      <w:bookmarkStart w:id="216" w:name="_Toc486167685"/>
      <w:bookmarkStart w:id="217" w:name="_Toc20835"/>
      <w:bookmarkStart w:id="218" w:name="_Toc22431_WPSOffice_Level3"/>
      <w:bookmarkStart w:id="219" w:name="_Toc450662870"/>
      <w:bookmarkStart w:id="220" w:name="_Toc30287"/>
      <w:bookmarkStart w:id="221" w:name="_Toc21327"/>
      <w:bookmarkStart w:id="222" w:name="_Toc142508335"/>
    </w:p>
    <w:p w14:paraId="4DB51F68">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23" w:name="_Toc8703"/>
      <w:r>
        <w:rPr>
          <w:rFonts w:hint="eastAsia" w:ascii="宋体" w:hAnsi="宋体" w:eastAsia="宋体" w:cs="宋体"/>
          <w:color w:val="auto"/>
          <w:szCs w:val="21"/>
          <w:highlight w:val="none"/>
          <w:lang w:val="zh-CN"/>
        </w:rPr>
        <w:t>20 投标会时间、地点及投标文件提交的截止时间</w:t>
      </w:r>
      <w:bookmarkEnd w:id="216"/>
      <w:bookmarkEnd w:id="217"/>
      <w:bookmarkEnd w:id="218"/>
      <w:bookmarkEnd w:id="219"/>
      <w:bookmarkEnd w:id="220"/>
      <w:bookmarkEnd w:id="221"/>
      <w:bookmarkEnd w:id="222"/>
      <w:bookmarkEnd w:id="223"/>
    </w:p>
    <w:p w14:paraId="14F6E67F">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20</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投标人应按招标公告的时间、地点，或根据</w:t>
      </w:r>
      <w:r>
        <w:rPr>
          <w:rFonts w:hint="eastAsia" w:ascii="宋体" w:hAnsi="宋体" w:eastAsia="宋体" w:cs="宋体"/>
          <w:color w:val="auto"/>
          <w:szCs w:val="21"/>
          <w:highlight w:val="none"/>
          <w:lang w:val="en-US" w:eastAsia="zh-CN"/>
        </w:rPr>
        <w:t>本投标人须知</w:t>
      </w:r>
      <w:r>
        <w:rPr>
          <w:rFonts w:hint="eastAsia" w:ascii="宋体" w:hAnsi="宋体" w:eastAsia="宋体" w:cs="宋体"/>
          <w:color w:val="auto"/>
          <w:szCs w:val="21"/>
          <w:highlight w:val="none"/>
          <w:lang w:val="zh-CN"/>
        </w:rPr>
        <w:t>第</w:t>
      </w:r>
      <w:r>
        <w:rPr>
          <w:rFonts w:hint="eastAsia" w:ascii="宋体" w:hAnsi="宋体" w:eastAsia="宋体" w:cs="宋体"/>
          <w:color w:val="auto"/>
          <w:szCs w:val="21"/>
          <w:highlight w:val="none"/>
        </w:rPr>
        <w:t>7.2</w:t>
      </w:r>
      <w:r>
        <w:rPr>
          <w:rFonts w:hint="eastAsia" w:ascii="宋体" w:hAnsi="宋体" w:eastAsia="宋体" w:cs="宋体"/>
          <w:color w:val="auto"/>
          <w:szCs w:val="21"/>
          <w:highlight w:val="none"/>
          <w:lang w:val="zh-CN"/>
        </w:rPr>
        <w:t>款规定所延长的日期和时间之前通过交易系统在线上传投标文件。</w:t>
      </w:r>
    </w:p>
    <w:p w14:paraId="2AACDFF7">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20</w:t>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招标人有权按</w:t>
      </w:r>
      <w:r>
        <w:rPr>
          <w:rFonts w:hint="eastAsia" w:ascii="宋体" w:hAnsi="宋体" w:eastAsia="宋体" w:cs="宋体"/>
          <w:color w:val="auto"/>
          <w:szCs w:val="21"/>
          <w:highlight w:val="none"/>
          <w:lang w:val="en-US" w:eastAsia="zh-CN"/>
        </w:rPr>
        <w:t>本投标人须知</w:t>
      </w:r>
      <w:r>
        <w:rPr>
          <w:rFonts w:hint="eastAsia" w:ascii="宋体" w:hAnsi="宋体" w:eastAsia="宋体" w:cs="宋体"/>
          <w:color w:val="auto"/>
          <w:szCs w:val="21"/>
          <w:highlight w:val="none"/>
          <w:lang w:val="zh-CN"/>
        </w:rPr>
        <w:t>第</w:t>
      </w: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zh-CN"/>
        </w:rPr>
        <w:t>条的规定发出补充通知书，延长投标文件递交的截止时间。</w:t>
      </w:r>
      <w:r>
        <w:rPr>
          <w:rFonts w:hint="eastAsia" w:ascii="宋体" w:hAnsi="宋体" w:eastAsia="宋体" w:cs="宋体"/>
          <w:color w:val="auto"/>
          <w:szCs w:val="21"/>
          <w:highlight w:val="none"/>
        </w:rPr>
        <w:t>此时</w:t>
      </w:r>
      <w:r>
        <w:rPr>
          <w:rFonts w:hint="eastAsia" w:ascii="宋体" w:hAnsi="宋体" w:eastAsia="宋体" w:cs="宋体"/>
          <w:color w:val="auto"/>
          <w:szCs w:val="21"/>
          <w:highlight w:val="none"/>
          <w:lang w:val="zh-CN"/>
        </w:rPr>
        <w:t>，招标人与投标人的权利和义务相应延长至新的投标截止时间。</w:t>
      </w:r>
    </w:p>
    <w:p w14:paraId="6635E8F8">
      <w:pPr>
        <w:tabs>
          <w:tab w:val="left" w:pos="567"/>
        </w:tabs>
        <w:autoSpaceDE w:val="0"/>
        <w:autoSpaceDN w:val="0"/>
        <w:adjustRightInd w:val="0"/>
        <w:spacing w:line="360" w:lineRule="auto"/>
        <w:ind w:left="357" w:leftChars="-100" w:hanging="567"/>
        <w:jc w:val="left"/>
        <w:rPr>
          <w:rFonts w:hint="eastAsia" w:ascii="宋体" w:hAnsi="宋体" w:eastAsia="宋体" w:cs="宋体"/>
          <w:color w:val="auto"/>
          <w:kern w:val="0"/>
          <w:sz w:val="24"/>
          <w:szCs w:val="24"/>
          <w:highlight w:val="none"/>
        </w:rPr>
      </w:pPr>
    </w:p>
    <w:p w14:paraId="515044FB">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24" w:name="_Toc27851"/>
      <w:bookmarkStart w:id="225" w:name="_Toc3814"/>
      <w:bookmarkStart w:id="226" w:name="_Toc142508336"/>
      <w:bookmarkStart w:id="227" w:name="_Toc24876"/>
      <w:bookmarkStart w:id="228" w:name="_Toc16348"/>
      <w:bookmarkStart w:id="229" w:name="_Toc4883_WPSOffice_Level3"/>
      <w:bookmarkStart w:id="230" w:name="_Toc450662871"/>
      <w:bookmarkStart w:id="231" w:name="_Toc486167686"/>
      <w:r>
        <w:rPr>
          <w:rFonts w:hint="eastAsia" w:ascii="宋体" w:hAnsi="宋体" w:eastAsia="宋体" w:cs="宋体"/>
          <w:color w:val="auto"/>
          <w:szCs w:val="21"/>
          <w:highlight w:val="none"/>
          <w:lang w:val="zh-CN"/>
        </w:rPr>
        <w:t>21</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投标文件的拒绝</w:t>
      </w:r>
      <w:bookmarkEnd w:id="224"/>
      <w:bookmarkEnd w:id="225"/>
      <w:bookmarkEnd w:id="226"/>
      <w:bookmarkEnd w:id="227"/>
      <w:bookmarkEnd w:id="228"/>
      <w:bookmarkEnd w:id="229"/>
      <w:bookmarkEnd w:id="230"/>
      <w:bookmarkEnd w:id="231"/>
    </w:p>
    <w:p w14:paraId="5DDCB464">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21.1 投标会上，出现下列情形之一的投标文件，将被招标人拒绝：</w:t>
      </w:r>
    </w:p>
    <w:p w14:paraId="24AE9230">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21.1.1</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招标人在本</w:t>
      </w:r>
      <w:r>
        <w:rPr>
          <w:rFonts w:hint="eastAsia" w:ascii="宋体" w:hAnsi="宋体" w:eastAsia="宋体" w:cs="宋体"/>
          <w:color w:val="auto"/>
          <w:szCs w:val="21"/>
          <w:highlight w:val="none"/>
          <w:lang w:val="en-US" w:eastAsia="zh-CN"/>
        </w:rPr>
        <w:t>投标人</w:t>
      </w:r>
      <w:r>
        <w:rPr>
          <w:rFonts w:hint="eastAsia" w:ascii="宋体" w:hAnsi="宋体" w:eastAsia="宋体" w:cs="宋体"/>
          <w:color w:val="auto"/>
          <w:szCs w:val="21"/>
          <w:highlight w:val="none"/>
          <w:lang w:val="zh-CN"/>
        </w:rPr>
        <w:t>须知第19.1、19.2、19.3、19.4款规定的投标截止时间以后或指定方式以外收到的投标文件。</w:t>
      </w:r>
    </w:p>
    <w:p w14:paraId="1E67C754">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21.1.2</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投标人未按本</w:t>
      </w:r>
      <w:r>
        <w:rPr>
          <w:rFonts w:hint="eastAsia" w:ascii="宋体" w:hAnsi="宋体" w:eastAsia="宋体" w:cs="宋体"/>
          <w:color w:val="auto"/>
          <w:szCs w:val="21"/>
          <w:highlight w:val="none"/>
          <w:lang w:val="en-US" w:eastAsia="zh-CN"/>
        </w:rPr>
        <w:t>投标人</w:t>
      </w:r>
      <w:r>
        <w:rPr>
          <w:rFonts w:hint="eastAsia" w:ascii="宋体" w:hAnsi="宋体" w:eastAsia="宋体" w:cs="宋体"/>
          <w:color w:val="auto"/>
          <w:szCs w:val="21"/>
          <w:highlight w:val="none"/>
          <w:lang w:val="zh-CN"/>
        </w:rPr>
        <w:t>须知第19.1、19.2、19.3、19.4款规定提交的投标文件。</w:t>
      </w:r>
    </w:p>
    <w:p w14:paraId="182196E2">
      <w:pPr>
        <w:tabs>
          <w:tab w:val="left" w:pos="567"/>
        </w:tabs>
        <w:autoSpaceDE w:val="0"/>
        <w:autoSpaceDN w:val="0"/>
        <w:adjustRightInd w:val="0"/>
        <w:spacing w:line="360" w:lineRule="auto"/>
        <w:ind w:left="543" w:leftChars="-100" w:right="15" w:rightChars="7" w:hanging="753" w:hangingChars="359"/>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21.1.3</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投标人未在公共资源交易企业库建档的，或对应企业类型信用档案（如有）状态为“限制投标及承接工程”状态的投标人所递交的投标文件。</w:t>
      </w:r>
    </w:p>
    <w:p w14:paraId="197E1011">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p>
    <w:p w14:paraId="2AA87A2C">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32" w:name="_Toc24525"/>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 xml:space="preserve">2 </w:t>
      </w:r>
      <w:r>
        <w:rPr>
          <w:rFonts w:hint="eastAsia" w:ascii="宋体" w:hAnsi="宋体" w:eastAsia="宋体" w:cs="宋体"/>
          <w:color w:val="auto"/>
          <w:szCs w:val="21"/>
          <w:highlight w:val="none"/>
          <w:lang w:val="zh-CN"/>
        </w:rPr>
        <w:t>投标文件的补充、修改与撤回</w:t>
      </w:r>
      <w:bookmarkEnd w:id="232"/>
    </w:p>
    <w:p w14:paraId="66746593">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在本须知第</w:t>
      </w:r>
      <w:r>
        <w:rPr>
          <w:rFonts w:hint="eastAsia" w:ascii="宋体" w:hAnsi="宋体" w:eastAsia="宋体" w:cs="宋体"/>
          <w:color w:val="auto"/>
          <w:szCs w:val="21"/>
          <w:highlight w:val="none"/>
        </w:rPr>
        <w:t>19</w:t>
      </w:r>
      <w:r>
        <w:rPr>
          <w:rFonts w:hint="eastAsia" w:ascii="宋体" w:hAnsi="宋体" w:eastAsia="宋体" w:cs="宋体"/>
          <w:color w:val="auto"/>
          <w:szCs w:val="21"/>
          <w:highlight w:val="none"/>
          <w:lang w:val="zh-CN"/>
        </w:rPr>
        <w:t>.1款规定的投标截止时间前，投标人可以修改或撤回已递交的投标文件。在投标截止时间之后，投标人不得补充、修改投标文件。</w:t>
      </w:r>
    </w:p>
    <w:p w14:paraId="1FEA45EA">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投标人应使用企业数字证书、投标文件识别码及投标文件查询密码通过网络撤回已递交投标文件。</w:t>
      </w:r>
    </w:p>
    <w:p w14:paraId="19099455">
      <w:pPr>
        <w:autoSpaceDE w:val="0"/>
        <w:autoSpaceDN w:val="0"/>
        <w:adjustRightInd w:val="0"/>
        <w:spacing w:line="360" w:lineRule="auto"/>
        <w:ind w:left="355" w:leftChars="-101" w:right="15" w:rightChars="7" w:hanging="567" w:hangingChars="27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在投标截止时间至投标有效期满之前，投标人不得撤销其投标文件。投标截止后投标人撤销投标文件的，招标人没收其投标保证金（逾期未解密投标文件的除外）。</w:t>
      </w:r>
    </w:p>
    <w:p w14:paraId="3C8F2CF2">
      <w:pPr>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p>
    <w:p w14:paraId="06E61167">
      <w:pPr>
        <w:keepNext/>
        <w:keepLines/>
        <w:tabs>
          <w:tab w:val="left" w:pos="509"/>
        </w:tabs>
        <w:autoSpaceDE w:val="0"/>
        <w:autoSpaceDN w:val="0"/>
        <w:adjustRightInd w:val="0"/>
        <w:spacing w:line="360" w:lineRule="auto"/>
        <w:jc w:val="left"/>
        <w:outlineLvl w:val="0"/>
        <w:rPr>
          <w:rFonts w:hint="eastAsia" w:ascii="宋体" w:hAnsi="宋体" w:eastAsia="宋体" w:cs="宋体"/>
          <w:b/>
          <w:bCs/>
          <w:color w:val="auto"/>
          <w:kern w:val="44"/>
          <w:szCs w:val="21"/>
          <w:highlight w:val="none"/>
          <w:lang w:val="zh-CN"/>
        </w:rPr>
      </w:pPr>
      <w:bookmarkStart w:id="233" w:name="_Toc28824"/>
      <w:bookmarkStart w:id="234" w:name="_Toc13838"/>
      <w:bookmarkStart w:id="235" w:name="_Toc486167687"/>
      <w:bookmarkStart w:id="236" w:name="_Toc20923"/>
      <w:bookmarkStart w:id="237" w:name="_Toc450662872"/>
      <w:bookmarkStart w:id="238" w:name="_Toc30428"/>
      <w:bookmarkStart w:id="239" w:name="_Toc142508337"/>
      <w:bookmarkStart w:id="240" w:name="_Toc140596896"/>
      <w:bookmarkStart w:id="241" w:name="_Toc1049_WPSOffice_Level2"/>
      <w:r>
        <w:rPr>
          <w:rFonts w:hint="eastAsia" w:ascii="宋体" w:hAnsi="宋体" w:eastAsia="宋体" w:cs="宋体"/>
          <w:b/>
          <w:bCs/>
          <w:color w:val="auto"/>
          <w:kern w:val="44"/>
          <w:szCs w:val="21"/>
          <w:highlight w:val="none"/>
          <w:lang w:val="zh-CN"/>
        </w:rPr>
        <w:t>五、开标与评标</w:t>
      </w:r>
      <w:bookmarkEnd w:id="233"/>
      <w:bookmarkEnd w:id="234"/>
      <w:bookmarkEnd w:id="235"/>
      <w:bookmarkEnd w:id="236"/>
      <w:bookmarkEnd w:id="237"/>
      <w:bookmarkEnd w:id="238"/>
      <w:bookmarkEnd w:id="239"/>
      <w:bookmarkEnd w:id="240"/>
      <w:bookmarkEnd w:id="241"/>
    </w:p>
    <w:p w14:paraId="57C881D5">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42" w:name="_Toc32206"/>
      <w:bookmarkStart w:id="243" w:name="_Toc486167688"/>
      <w:bookmarkStart w:id="244" w:name="_Toc144_WPSOffice_Level3"/>
      <w:bookmarkStart w:id="245" w:name="_Toc450662873"/>
      <w:bookmarkStart w:id="246" w:name="_Toc26877"/>
      <w:bookmarkStart w:id="247" w:name="_Toc142508338"/>
      <w:bookmarkStart w:id="248" w:name="_Toc11256"/>
      <w:bookmarkStart w:id="249" w:name="_Toc8728"/>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3</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开标</w:t>
      </w:r>
      <w:bookmarkEnd w:id="242"/>
      <w:bookmarkEnd w:id="243"/>
      <w:bookmarkEnd w:id="244"/>
      <w:bookmarkEnd w:id="245"/>
      <w:bookmarkEnd w:id="246"/>
      <w:bookmarkEnd w:id="247"/>
      <w:bookmarkEnd w:id="248"/>
      <w:bookmarkEnd w:id="249"/>
    </w:p>
    <w:p w14:paraId="7731004F">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23.1 招标人在19.1款规定的投标截止时间（开标时间）和19.4款规定的地点召开投标会并公开开标，投标人可在规定的时间和地点参加投标会或通过登录交易系统在线查看开标过程相关信息。</w:t>
      </w:r>
    </w:p>
    <w:p w14:paraId="1AD6773F">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en-US" w:eastAsia="zh-CN"/>
        </w:rPr>
        <w:t xml:space="preserve">23.2 </w:t>
      </w:r>
      <w:r>
        <w:rPr>
          <w:rFonts w:hint="eastAsia" w:ascii="宋体" w:hAnsi="宋体" w:eastAsia="宋体" w:cs="宋体"/>
          <w:b/>
          <w:bCs/>
          <w:color w:val="auto"/>
          <w:szCs w:val="21"/>
          <w:highlight w:val="none"/>
          <w:lang w:val="zh-CN"/>
        </w:rPr>
        <w:t>投标人网上签到时间为开标当天上午6时至投标截止时间，</w:t>
      </w:r>
      <w:r>
        <w:rPr>
          <w:rFonts w:hint="eastAsia" w:ascii="宋体" w:hAnsi="宋体" w:eastAsia="宋体" w:cs="宋体"/>
          <w:color w:val="auto"/>
          <w:szCs w:val="21"/>
          <w:highlight w:val="none"/>
          <w:lang w:val="zh-CN"/>
        </w:rPr>
        <w:t>使用企业数字证书（机构证书或业务证书）登录交易系统在线完成响应招标项目要求的资质选择（如有）、保证金关联（如有）及电子投标文件关联等的网上签到手续；</w:t>
      </w:r>
      <w:r>
        <w:rPr>
          <w:rFonts w:hint="eastAsia" w:ascii="宋体" w:hAnsi="宋体" w:eastAsia="宋体" w:cs="宋体"/>
          <w:b/>
          <w:bCs/>
          <w:color w:val="auto"/>
          <w:szCs w:val="21"/>
          <w:highlight w:val="none"/>
          <w:lang w:val="zh-CN"/>
        </w:rPr>
        <w:t>网上签到需要由法定代表人或委托代理人进行人脸识别完成签到</w:t>
      </w:r>
      <w:r>
        <w:rPr>
          <w:rFonts w:hint="eastAsia" w:ascii="宋体" w:hAnsi="宋体" w:eastAsia="宋体" w:cs="宋体"/>
          <w:color w:val="auto"/>
          <w:szCs w:val="21"/>
          <w:highlight w:val="none"/>
          <w:lang w:val="zh-CN"/>
        </w:rPr>
        <w:t>。招标人在投标会现场不受理投标人签到事项，因投标人原因造成投标人签到失败、关联相关投标信息错误及不完整的，视为其投标文件无效，招标人将否决其投标。</w:t>
      </w:r>
    </w:p>
    <w:p w14:paraId="1A4E8522">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23.</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val="zh-CN"/>
        </w:rPr>
        <w:t xml:space="preserve"> 投标文件提交截止时间后，招标人按本须知第21.1款规定拒绝不符合要求的投标文件。</w:t>
      </w:r>
    </w:p>
    <w:p w14:paraId="7465E96A">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23.</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val="zh-CN"/>
        </w:rPr>
        <w:t xml:space="preserve"> </w:t>
      </w:r>
      <w:r>
        <w:rPr>
          <w:rFonts w:hint="eastAsia" w:ascii="宋体" w:hAnsi="宋体" w:eastAsia="宋体" w:cs="宋体"/>
          <w:b/>
          <w:bCs/>
          <w:color w:val="auto"/>
          <w:szCs w:val="21"/>
          <w:highlight w:val="none"/>
          <w:lang w:val="zh-CN"/>
        </w:rPr>
        <w:t>解密投标文件的时间</w:t>
      </w:r>
      <w:r>
        <w:rPr>
          <w:rFonts w:hint="eastAsia" w:ascii="宋体" w:hAnsi="宋体" w:eastAsia="宋体" w:cs="宋体"/>
          <w:b/>
          <w:bCs/>
          <w:color w:val="auto"/>
          <w:szCs w:val="21"/>
          <w:highlight w:val="none"/>
        </w:rPr>
        <w:t>为投标文件递交的截止时间</w:t>
      </w:r>
      <w:r>
        <w:rPr>
          <w:rFonts w:hint="eastAsia" w:ascii="宋体" w:hAnsi="宋体" w:eastAsia="宋体" w:cs="宋体"/>
          <w:b/>
          <w:bCs/>
          <w:color w:val="auto"/>
          <w:szCs w:val="21"/>
          <w:highlight w:val="none"/>
          <w:lang w:val="zh-CN"/>
        </w:rPr>
        <w:t>后60分钟内。</w:t>
      </w:r>
      <w:r>
        <w:rPr>
          <w:rFonts w:hint="eastAsia" w:ascii="宋体" w:hAnsi="宋体" w:eastAsia="宋体" w:cs="宋体"/>
          <w:color w:val="auto"/>
          <w:szCs w:val="21"/>
          <w:highlight w:val="none"/>
          <w:lang w:val="zh-CN"/>
        </w:rPr>
        <w:t>解密投标文件时间段内，投标人必须进行线上解密并且完成投标文件解密。若全部投标文件均在解密时间内完成解密，经招标人确认，可以提前进入下一环节。投标会现场不受理投标人的投标文件解密等事项。因投标人原因造成投标文件未解密的，视为撤销其投标文件；因投标人之外的原因造成投标文件未解密的，视为撤回其投标文件。</w:t>
      </w:r>
      <w:r>
        <w:rPr>
          <w:rFonts w:hint="eastAsia" w:ascii="宋体" w:hAnsi="宋体" w:eastAsia="宋体" w:cs="宋体"/>
          <w:b/>
          <w:bCs/>
          <w:color w:val="auto"/>
          <w:szCs w:val="21"/>
          <w:highlight w:val="none"/>
          <w:lang w:val="zh-CN"/>
        </w:rPr>
        <w:t>投标文件解密需要由法定代表人</w:t>
      </w:r>
      <w:r>
        <w:rPr>
          <w:rFonts w:hint="eastAsia" w:ascii="宋体" w:hAnsi="宋体" w:eastAsia="宋体" w:cs="宋体"/>
          <w:b/>
          <w:bCs/>
          <w:color w:val="auto"/>
          <w:szCs w:val="21"/>
          <w:highlight w:val="none"/>
        </w:rPr>
        <w:t>或委托代理人</w:t>
      </w:r>
      <w:r>
        <w:rPr>
          <w:rFonts w:hint="eastAsia" w:ascii="宋体" w:hAnsi="宋体" w:eastAsia="宋体" w:cs="宋体"/>
          <w:b/>
          <w:bCs/>
          <w:color w:val="auto"/>
          <w:szCs w:val="21"/>
          <w:highlight w:val="none"/>
          <w:lang w:val="zh-CN"/>
        </w:rPr>
        <w:t>进行人脸识别完成解密。</w:t>
      </w:r>
    </w:p>
    <w:p w14:paraId="7DCAFB54">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23.</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val="zh-CN"/>
        </w:rPr>
        <w:t xml:space="preserve"> 招标人通过交易系统对投标人资格进行辅助审查。招标人确认交易系统辅助审查结果，公布通过审查有效的投标人名单及拒绝或否决投标的理由。投标人对审查结果有异议的，可在解密环节结束且招标人公示资格结果后20分钟内向招标人或其委托的招标代理机构提出。如投标人未提出或未按</w:t>
      </w:r>
      <w:r>
        <w:rPr>
          <w:rFonts w:hint="eastAsia" w:ascii="宋体" w:hAnsi="宋体" w:eastAsia="宋体" w:cs="宋体"/>
          <w:color w:val="auto"/>
          <w:szCs w:val="21"/>
          <w:highlight w:val="none"/>
        </w:rPr>
        <w:t>上述</w:t>
      </w:r>
      <w:r>
        <w:rPr>
          <w:rFonts w:hint="eastAsia" w:ascii="宋体" w:hAnsi="宋体" w:eastAsia="宋体" w:cs="宋体"/>
          <w:color w:val="auto"/>
          <w:szCs w:val="21"/>
          <w:highlight w:val="none"/>
          <w:lang w:val="zh-CN"/>
        </w:rPr>
        <w:t>规定提出异议的，则认为已确认招标人宣读的审查结果。</w:t>
      </w:r>
    </w:p>
    <w:p w14:paraId="79840CEB">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23.</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val="zh-CN"/>
        </w:rPr>
        <w:t xml:space="preserve"> 招标人将所有已解密的电子投标文件（含被否决投标人的投标文件）进行</w:t>
      </w:r>
      <w:r>
        <w:rPr>
          <w:rFonts w:hint="eastAsia" w:ascii="宋体" w:hAnsi="宋体" w:eastAsia="宋体" w:cs="宋体"/>
          <w:color w:val="auto"/>
          <w:szCs w:val="21"/>
          <w:highlight w:val="none"/>
          <w:lang w:val="en-US" w:eastAsia="zh-CN"/>
        </w:rPr>
        <w:t>数据打包</w:t>
      </w:r>
      <w:r>
        <w:rPr>
          <w:rFonts w:hint="eastAsia" w:ascii="宋体" w:hAnsi="宋体" w:eastAsia="宋体" w:cs="宋体"/>
          <w:color w:val="auto"/>
          <w:szCs w:val="21"/>
          <w:highlight w:val="none"/>
          <w:lang w:val="zh-CN"/>
        </w:rPr>
        <w:t>。通过交易系统辅助审查有效且解密成功的投标人才能进入评标程序，参与竞标。</w:t>
      </w:r>
    </w:p>
    <w:p w14:paraId="1424F16A">
      <w:pPr>
        <w:tabs>
          <w:tab w:val="left" w:pos="567"/>
        </w:tabs>
        <w:spacing w:line="360" w:lineRule="auto"/>
        <w:ind w:left="357" w:leftChars="-100" w:right="15" w:rightChars="7" w:hanging="567"/>
        <w:rPr>
          <w:rFonts w:hint="eastAsia"/>
          <w:color w:val="auto"/>
          <w:highlight w:val="none"/>
          <w:lang w:val="zh-CN"/>
        </w:rPr>
      </w:pPr>
      <w:r>
        <w:rPr>
          <w:rFonts w:hint="eastAsia" w:ascii="宋体" w:hAnsi="宋体" w:eastAsia="宋体" w:cs="宋体"/>
          <w:color w:val="auto"/>
          <w:szCs w:val="21"/>
          <w:highlight w:val="none"/>
          <w:lang w:val="zh-CN"/>
        </w:rPr>
        <w:t>23.</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lang w:val="zh-CN"/>
        </w:rPr>
        <w:t xml:space="preserve"> 招标人、招标代理工作人员、监督部门（如有）等有关人员在开标记录上签字确认。</w:t>
      </w:r>
    </w:p>
    <w:p w14:paraId="23F9CF89">
      <w:pPr>
        <w:autoSpaceDE w:val="0"/>
        <w:autoSpaceDN w:val="0"/>
        <w:adjustRightInd w:val="0"/>
        <w:spacing w:line="360" w:lineRule="auto"/>
        <w:ind w:left="357" w:leftChars="-100" w:right="15" w:rightChars="7" w:hanging="567"/>
        <w:rPr>
          <w:rFonts w:hint="eastAsia" w:ascii="宋体" w:hAnsi="宋体" w:eastAsia="宋体" w:cs="宋体"/>
          <w:color w:val="auto"/>
          <w:kern w:val="0"/>
          <w:szCs w:val="21"/>
          <w:highlight w:val="none"/>
        </w:rPr>
      </w:pPr>
    </w:p>
    <w:p w14:paraId="2ED84117">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50" w:name="_Toc26445"/>
      <w:bookmarkStart w:id="251" w:name="_Toc142508339"/>
      <w:bookmarkStart w:id="252" w:name="_Toc12165_WPSOffice_Level3"/>
      <w:bookmarkStart w:id="253" w:name="_Toc23059"/>
      <w:bookmarkStart w:id="254" w:name="_Toc450662874"/>
      <w:bookmarkStart w:id="255" w:name="_Toc32534"/>
      <w:bookmarkStart w:id="256" w:name="_Toc486167689"/>
      <w:bookmarkStart w:id="257" w:name="_Toc23491"/>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4</w:t>
      </w:r>
      <w:r>
        <w:rPr>
          <w:rFonts w:ascii="宋体" w:hAnsi="宋体" w:eastAsia="宋体" w:cs="宋体"/>
          <w:color w:val="auto"/>
          <w:szCs w:val="21"/>
          <w:highlight w:val="none"/>
          <w:lang w:val="zh-CN"/>
        </w:rPr>
        <w:t xml:space="preserve"> </w:t>
      </w:r>
      <w:r>
        <w:rPr>
          <w:rFonts w:hint="eastAsia" w:ascii="宋体" w:hAnsi="宋体" w:eastAsia="宋体" w:cs="宋体"/>
          <w:color w:val="auto"/>
          <w:kern w:val="0"/>
          <w:szCs w:val="24"/>
          <w:highlight w:val="none"/>
        </w:rPr>
        <w:t>评标过程的保密性</w:t>
      </w:r>
      <w:bookmarkEnd w:id="250"/>
      <w:bookmarkEnd w:id="251"/>
      <w:bookmarkEnd w:id="252"/>
      <w:bookmarkEnd w:id="253"/>
      <w:bookmarkEnd w:id="254"/>
      <w:bookmarkEnd w:id="255"/>
      <w:bookmarkEnd w:id="256"/>
      <w:bookmarkEnd w:id="257"/>
    </w:p>
    <w:p w14:paraId="1DF24C8A">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递交投标文件后，</w:t>
      </w:r>
      <w:r>
        <w:rPr>
          <w:rFonts w:hint="eastAsia" w:ascii="宋体" w:hAnsi="宋体" w:eastAsia="宋体" w:cs="Times New Roman"/>
          <w:color w:val="auto"/>
          <w:szCs w:val="21"/>
          <w:highlight w:val="none"/>
          <w:lang w:val="zh-CN"/>
        </w:rPr>
        <w:t>直至向中标人授予合同期间，凡与审查、澄清、评估和比较投标报价的有关资料以及意见等，均不得向投标人及与评审无关的其他人透露，否则追究有关当事人的法律责任</w:t>
      </w:r>
      <w:r>
        <w:rPr>
          <w:rFonts w:hint="eastAsia" w:ascii="宋体" w:hAnsi="宋体" w:eastAsia="宋体" w:cs="宋体"/>
          <w:color w:val="auto"/>
          <w:szCs w:val="21"/>
          <w:highlight w:val="none"/>
          <w:lang w:val="zh-CN"/>
        </w:rPr>
        <w:t>。</w:t>
      </w:r>
    </w:p>
    <w:p w14:paraId="1ED33C50">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在评标过程中，如果投标人试图在投标文件审查、澄清、比较及授予合同方面向招标代理机构和招标人施加任何影响，其投标文件将被拒绝。</w:t>
      </w:r>
    </w:p>
    <w:p w14:paraId="5F1AB0CB">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p>
    <w:p w14:paraId="56B52A9F">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58" w:name="_Toc486167690"/>
      <w:bookmarkStart w:id="259" w:name="_Toc450662875"/>
      <w:bookmarkStart w:id="260" w:name="_Toc15984"/>
      <w:bookmarkStart w:id="261" w:name="_Toc18693"/>
      <w:bookmarkStart w:id="262" w:name="_Toc16920"/>
      <w:bookmarkStart w:id="263" w:name="_Toc800"/>
      <w:bookmarkStart w:id="264" w:name="_Toc142508340"/>
      <w:bookmarkStart w:id="265" w:name="_Toc15565_WPSOffice_Level3"/>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5</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评标委员会</w:t>
      </w:r>
      <w:bookmarkEnd w:id="258"/>
      <w:bookmarkEnd w:id="259"/>
      <w:bookmarkEnd w:id="260"/>
      <w:bookmarkEnd w:id="261"/>
      <w:bookmarkEnd w:id="262"/>
      <w:bookmarkEnd w:id="263"/>
      <w:bookmarkEnd w:id="264"/>
      <w:bookmarkEnd w:id="265"/>
    </w:p>
    <w:p w14:paraId="22B1E059">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依法组建评标委员会。评标委员会的成员在评审过程中必须严格遵守国家及地方招标投标的有关规定。</w:t>
      </w:r>
    </w:p>
    <w:p w14:paraId="1316B622">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评标委员会依法根据招标文件的规定，进行投标文件的评审、得出评审结果，并向招标人推荐中标候选人。</w:t>
      </w:r>
    </w:p>
    <w:p w14:paraId="606C4B05">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p>
    <w:p w14:paraId="293DDF8D">
      <w:pPr>
        <w:autoSpaceDE w:val="0"/>
        <w:autoSpaceDN w:val="0"/>
        <w:adjustRightInd w:val="0"/>
        <w:spacing w:line="360" w:lineRule="auto"/>
        <w:ind w:left="357" w:leftChars="-100" w:hanging="567"/>
        <w:outlineLvl w:val="2"/>
        <w:rPr>
          <w:rFonts w:hint="eastAsia" w:ascii="宋体" w:hAnsi="宋体" w:eastAsia="宋体" w:cs="宋体"/>
          <w:color w:val="auto"/>
          <w:szCs w:val="21"/>
          <w:highlight w:val="none"/>
          <w:lang w:val="zh-CN"/>
        </w:rPr>
      </w:pPr>
      <w:bookmarkStart w:id="266" w:name="_Toc15489"/>
      <w:r>
        <w:rPr>
          <w:rFonts w:hint="eastAsia" w:ascii="宋体" w:hAnsi="宋体" w:eastAsia="宋体" w:cs="宋体"/>
          <w:color w:val="auto"/>
          <w:szCs w:val="21"/>
          <w:highlight w:val="none"/>
          <w:lang w:val="zh-CN"/>
        </w:rPr>
        <w:t>26</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投标文件的有效性</w:t>
      </w:r>
      <w:bookmarkEnd w:id="266"/>
    </w:p>
    <w:p w14:paraId="48EC95BE">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开标（评标）时，投标文件出现下列情形之一的，应当作为无效投标文件：</w:t>
      </w:r>
    </w:p>
    <w:p w14:paraId="12EB934D">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rPr>
        <w:t xml:space="preserve">1 </w:t>
      </w:r>
      <w:r>
        <w:rPr>
          <w:rFonts w:hint="eastAsia" w:ascii="宋体" w:hAnsi="宋体" w:eastAsia="宋体" w:cs="宋体"/>
          <w:color w:val="auto"/>
          <w:szCs w:val="21"/>
          <w:highlight w:val="none"/>
          <w:lang w:val="zh-CN"/>
        </w:rPr>
        <w:t>上传的投标文件损坏或无法读取的；</w:t>
      </w:r>
    </w:p>
    <w:p w14:paraId="6DEC363B">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rPr>
        <w:t xml:space="preserve">2 </w:t>
      </w:r>
      <w:r>
        <w:rPr>
          <w:rFonts w:hint="eastAsia" w:ascii="宋体" w:hAnsi="宋体" w:eastAsia="宋体" w:cs="宋体"/>
          <w:color w:val="auto"/>
          <w:szCs w:val="21"/>
          <w:highlight w:val="none"/>
          <w:lang w:val="zh-CN"/>
        </w:rPr>
        <w:t>经招标人确认，投标人在公共资源交易企业库填报的与本项目密切相关的信息与事实不相符的；</w:t>
      </w:r>
    </w:p>
    <w:p w14:paraId="09CD7690">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rPr>
        <w:t xml:space="preserve">3 </w:t>
      </w:r>
      <w:r>
        <w:rPr>
          <w:rFonts w:hint="eastAsia" w:ascii="宋体" w:hAnsi="宋体" w:eastAsia="宋体" w:cs="宋体"/>
          <w:color w:val="auto"/>
          <w:szCs w:val="21"/>
          <w:highlight w:val="none"/>
          <w:lang w:val="zh-CN"/>
        </w:rPr>
        <w:t>投标文件上标明的投标人与通过资格预审的投标申请人发生实质性的改变；</w:t>
      </w:r>
    </w:p>
    <w:p w14:paraId="54E8B955">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rPr>
        <w:t xml:space="preserve">4 </w:t>
      </w:r>
      <w:r>
        <w:rPr>
          <w:rFonts w:hint="eastAsia" w:ascii="宋体" w:hAnsi="宋体" w:eastAsia="宋体" w:cs="宋体"/>
          <w:color w:val="auto"/>
          <w:szCs w:val="21"/>
          <w:highlight w:val="none"/>
          <w:lang w:val="zh-CN"/>
        </w:rPr>
        <w:t>投标文件签名使用的数字证书与签到的投标人名称不一致的；</w:t>
      </w:r>
    </w:p>
    <w:p w14:paraId="4DFF8C63">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rPr>
        <w:t xml:space="preserve">5 </w:t>
      </w:r>
      <w:r>
        <w:rPr>
          <w:rFonts w:hint="eastAsia" w:ascii="宋体" w:hAnsi="宋体" w:eastAsia="宋体" w:cs="宋体"/>
          <w:color w:val="auto"/>
          <w:szCs w:val="21"/>
          <w:highlight w:val="none"/>
          <w:lang w:val="zh-CN"/>
        </w:rPr>
        <w:t>投标人的投标编制MAC信息、投标编制CPU序列号、投标编制硬盘序列号均</w:t>
      </w:r>
      <w:r>
        <w:rPr>
          <w:rFonts w:hint="eastAsia" w:ascii="宋体" w:hAnsi="宋体" w:eastAsia="宋体" w:cs="宋体"/>
          <w:color w:val="auto"/>
          <w:szCs w:val="21"/>
          <w:highlight w:val="none"/>
          <w:lang w:val="en-US" w:eastAsia="zh-CN"/>
        </w:rPr>
        <w:t>与其他投标人</w:t>
      </w:r>
      <w:r>
        <w:rPr>
          <w:rFonts w:hint="eastAsia" w:ascii="宋体" w:hAnsi="宋体" w:eastAsia="宋体" w:cs="宋体"/>
          <w:color w:val="auto"/>
          <w:szCs w:val="21"/>
          <w:highlight w:val="none"/>
          <w:lang w:val="zh-CN"/>
        </w:rPr>
        <w:t>相同的；</w:t>
      </w:r>
    </w:p>
    <w:p w14:paraId="08567626">
      <w:pPr>
        <w:autoSpaceDE w:val="0"/>
        <w:autoSpaceDN w:val="0"/>
        <w:adjustRightInd w:val="0"/>
        <w:spacing w:line="360" w:lineRule="auto"/>
        <w:ind w:left="357" w:leftChars="-100" w:hanging="567"/>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26.1.6 投标文件中使用的本项目招标文件版本，与交易系统上发布的本项目招标文件的最新版本不一致的；</w:t>
      </w:r>
    </w:p>
    <w:p w14:paraId="5A042143">
      <w:pPr>
        <w:autoSpaceDE w:val="0"/>
        <w:autoSpaceDN w:val="0"/>
        <w:adjustRightInd w:val="0"/>
        <w:spacing w:line="360" w:lineRule="auto"/>
        <w:ind w:left="357" w:leftChars="-100" w:hanging="567"/>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26.1.7 经认定属于26.2款规定的围标串标情形的；</w:t>
      </w:r>
    </w:p>
    <w:p w14:paraId="72286AF1">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出现招标文件其他条款中定义为无效投标的情况。</w:t>
      </w:r>
    </w:p>
    <w:p w14:paraId="1E81021A">
      <w:pPr>
        <w:autoSpaceDE w:val="0"/>
        <w:autoSpaceDN w:val="0"/>
        <w:adjustRightInd w:val="0"/>
        <w:spacing w:line="360" w:lineRule="auto"/>
        <w:ind w:left="357" w:leftChars="-100" w:hanging="567"/>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26.2 围标串标的情形：</w:t>
      </w:r>
    </w:p>
    <w:p w14:paraId="6770280A">
      <w:pPr>
        <w:autoSpaceDE w:val="0"/>
        <w:autoSpaceDN w:val="0"/>
        <w:adjustRightInd w:val="0"/>
        <w:spacing w:line="360" w:lineRule="auto"/>
        <w:ind w:left="357" w:leftChars="-100" w:hanging="567"/>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开标、评标过程中，有下列情形之一的，将认定为围标串标：</w:t>
      </w:r>
    </w:p>
    <w:p w14:paraId="2F0D34AB">
      <w:pPr>
        <w:autoSpaceDE w:val="0"/>
        <w:autoSpaceDN w:val="0"/>
        <w:adjustRightInd w:val="0"/>
        <w:spacing w:line="360" w:lineRule="auto"/>
        <w:ind w:left="357" w:leftChars="-100" w:hanging="567"/>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26.2.1 不同投标人使用同一台电脑或者同一加密工具编制投标文件；</w:t>
      </w:r>
    </w:p>
    <w:p w14:paraId="09F676BA">
      <w:pPr>
        <w:autoSpaceDE w:val="0"/>
        <w:autoSpaceDN w:val="0"/>
        <w:adjustRightInd w:val="0"/>
        <w:spacing w:line="360" w:lineRule="auto"/>
        <w:ind w:left="357" w:leftChars="-100" w:hanging="567"/>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26.2.2 不同投标人委托同一单位或者个人办理投标事宜；</w:t>
      </w:r>
    </w:p>
    <w:p w14:paraId="0BAE416F">
      <w:pPr>
        <w:autoSpaceDE w:val="0"/>
        <w:autoSpaceDN w:val="0"/>
        <w:adjustRightInd w:val="0"/>
        <w:spacing w:line="360" w:lineRule="auto"/>
        <w:ind w:left="357" w:leftChars="-100" w:hanging="567"/>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26.2.3 参加投标活动的人员为同一标段其他投标人的在职人员；</w:t>
      </w:r>
    </w:p>
    <w:p w14:paraId="7911F52C">
      <w:pPr>
        <w:autoSpaceDE w:val="0"/>
        <w:autoSpaceDN w:val="0"/>
        <w:adjustRightInd w:val="0"/>
        <w:spacing w:line="360" w:lineRule="auto"/>
        <w:ind w:left="357" w:leftChars="-100" w:hanging="567"/>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26.2.4 投标人之间为谋取中标或者排斥特定投标人而采取的其他联合行动。</w:t>
      </w:r>
    </w:p>
    <w:p w14:paraId="2A3A5F0B">
      <w:pPr>
        <w:autoSpaceDE w:val="0"/>
        <w:autoSpaceDN w:val="0"/>
        <w:adjustRightInd w:val="0"/>
        <w:spacing w:line="360" w:lineRule="auto"/>
        <w:ind w:left="357" w:leftChars="-100" w:hanging="567"/>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26.2.5 不同投标人的投标文件异常一致或者投标报价呈规律性差异；</w:t>
      </w:r>
    </w:p>
    <w:p w14:paraId="462D919D">
      <w:pPr>
        <w:autoSpaceDE w:val="0"/>
        <w:autoSpaceDN w:val="0"/>
        <w:adjustRightInd w:val="0"/>
        <w:spacing w:line="360" w:lineRule="auto"/>
        <w:ind w:left="357" w:leftChars="-100" w:hanging="567"/>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26.2.6 不同投标人的投标文件载明的主要岗位人员存在相同人员；</w:t>
      </w:r>
    </w:p>
    <w:p w14:paraId="707C1752">
      <w:pPr>
        <w:autoSpaceDE w:val="0"/>
        <w:autoSpaceDN w:val="0"/>
        <w:adjustRightInd w:val="0"/>
        <w:spacing w:line="360" w:lineRule="auto"/>
        <w:ind w:left="357" w:leftChars="-100" w:hanging="567"/>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26.2.7 不同投标人的投标文件除了规定格式及内容之外的其他格式、内容相同或者大量雷同；</w:t>
      </w:r>
    </w:p>
    <w:p w14:paraId="3C7F194D">
      <w:pPr>
        <w:autoSpaceDE w:val="0"/>
        <w:autoSpaceDN w:val="0"/>
        <w:adjustRightInd w:val="0"/>
        <w:spacing w:line="360" w:lineRule="auto"/>
        <w:ind w:left="357" w:leftChars="-100" w:hanging="567"/>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26.2.8 不同投标人的投标保证金从同一单位或者个人的账户转出；</w:t>
      </w:r>
    </w:p>
    <w:p w14:paraId="46ECCC41">
      <w:pPr>
        <w:autoSpaceDE w:val="0"/>
        <w:autoSpaceDN w:val="0"/>
        <w:adjustRightInd w:val="0"/>
        <w:spacing w:line="360" w:lineRule="auto"/>
        <w:ind w:left="417" w:leftChars="-100" w:hanging="627"/>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26.2.9 投标人所缴纳的投标保证金、开立电子保函存入的保证金和开具银行电子保函相关费用或开立保险电子保单保险费未从其基本账户转出；</w:t>
      </w:r>
    </w:p>
    <w:p w14:paraId="5D6439EA">
      <w:pPr>
        <w:autoSpaceDE w:val="0"/>
        <w:autoSpaceDN w:val="0"/>
        <w:adjustRightInd w:val="0"/>
        <w:spacing w:line="360" w:lineRule="auto"/>
        <w:ind w:left="357" w:leftChars="-100" w:hanging="567"/>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26.2.10 法律、法规规定的其他围标串标情形。</w:t>
      </w:r>
    </w:p>
    <w:p w14:paraId="2997AF1E">
      <w:pPr>
        <w:autoSpaceDE w:val="0"/>
        <w:autoSpaceDN w:val="0"/>
        <w:adjustRightInd w:val="0"/>
        <w:spacing w:line="360" w:lineRule="auto"/>
        <w:ind w:left="357" w:leftChars="-100" w:hanging="567"/>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存在于开标过程的情形由招标人认定，存在于评标过程的情形由评标委员会认定。</w:t>
      </w:r>
    </w:p>
    <w:p w14:paraId="3C8D90EA">
      <w:pPr>
        <w:autoSpaceDE w:val="0"/>
        <w:autoSpaceDN w:val="0"/>
        <w:adjustRightInd w:val="0"/>
        <w:spacing w:line="360" w:lineRule="auto"/>
        <w:ind w:left="357" w:leftChars="-100" w:hanging="567"/>
        <w:rPr>
          <w:rFonts w:hint="eastAsia" w:ascii="宋体" w:hAnsi="宋体" w:eastAsia="宋体" w:cs="宋体"/>
          <w:color w:val="auto"/>
          <w:szCs w:val="21"/>
          <w:highlight w:val="none"/>
          <w:lang w:val="en-US" w:eastAsia="zh-CN"/>
        </w:rPr>
      </w:pPr>
    </w:p>
    <w:p w14:paraId="5CD0E74F">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b/>
          <w:color w:val="auto"/>
          <w:szCs w:val="21"/>
          <w:highlight w:val="none"/>
          <w:lang w:val="zh-CN"/>
        </w:rPr>
      </w:pPr>
      <w:bookmarkStart w:id="267" w:name="_Toc486167691"/>
      <w:bookmarkStart w:id="268" w:name="_Toc8908"/>
      <w:bookmarkStart w:id="269" w:name="_Toc2773"/>
      <w:bookmarkStart w:id="270" w:name="_Toc28910_WPSOffice_Level3"/>
      <w:bookmarkStart w:id="271" w:name="_Toc142508341"/>
      <w:bookmarkStart w:id="272" w:name="_Toc18668"/>
      <w:bookmarkStart w:id="273" w:name="_Toc12715"/>
      <w:bookmarkStart w:id="274" w:name="_Toc450662876"/>
      <w:r>
        <w:rPr>
          <w:rFonts w:hint="eastAsia" w:ascii="宋体" w:hAnsi="宋体" w:eastAsia="宋体" w:cs="宋体"/>
          <w:b/>
          <w:color w:val="auto"/>
          <w:szCs w:val="21"/>
          <w:highlight w:val="none"/>
          <w:lang w:val="zh-CN"/>
        </w:rPr>
        <w:t>2</w:t>
      </w:r>
      <w:r>
        <w:rPr>
          <w:rFonts w:hint="eastAsia" w:ascii="宋体" w:hAnsi="宋体" w:eastAsia="宋体" w:cs="宋体"/>
          <w:b/>
          <w:color w:val="auto"/>
          <w:szCs w:val="21"/>
          <w:highlight w:val="none"/>
        </w:rPr>
        <w:t>7</w:t>
      </w:r>
      <w:r>
        <w:rPr>
          <w:rFonts w:ascii="宋体" w:hAnsi="宋体" w:eastAsia="宋体" w:cs="宋体"/>
          <w:b/>
          <w:color w:val="auto"/>
          <w:szCs w:val="21"/>
          <w:highlight w:val="none"/>
          <w:lang w:val="zh-CN"/>
        </w:rPr>
        <w:t xml:space="preserve"> </w:t>
      </w:r>
      <w:r>
        <w:rPr>
          <w:rFonts w:hint="eastAsia" w:ascii="宋体" w:hAnsi="宋体" w:eastAsia="宋体" w:cs="宋体"/>
          <w:b/>
          <w:color w:val="auto"/>
          <w:szCs w:val="21"/>
          <w:highlight w:val="none"/>
          <w:lang w:val="zh-CN"/>
        </w:rPr>
        <w:t>投标文件的初审</w:t>
      </w:r>
      <w:bookmarkEnd w:id="267"/>
      <w:bookmarkEnd w:id="268"/>
      <w:bookmarkEnd w:id="269"/>
      <w:bookmarkEnd w:id="270"/>
      <w:bookmarkEnd w:id="271"/>
      <w:bookmarkEnd w:id="272"/>
      <w:bookmarkEnd w:id="273"/>
      <w:bookmarkEnd w:id="274"/>
    </w:p>
    <w:p w14:paraId="03528187">
      <w:pPr>
        <w:autoSpaceDE w:val="0"/>
        <w:autoSpaceDN w:val="0"/>
        <w:adjustRightInd w:val="0"/>
        <w:spacing w:line="360" w:lineRule="auto"/>
        <w:ind w:left="357" w:leftChars="-100" w:hanging="567"/>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zh-CN"/>
        </w:rPr>
        <w:t>2</w:t>
      </w:r>
      <w:r>
        <w:rPr>
          <w:rFonts w:hint="eastAsia" w:ascii="宋体" w:hAnsi="宋体" w:eastAsia="宋体" w:cs="宋体"/>
          <w:b/>
          <w:color w:val="auto"/>
          <w:szCs w:val="21"/>
          <w:highlight w:val="none"/>
        </w:rPr>
        <w:t>7</w:t>
      </w:r>
      <w:r>
        <w:rPr>
          <w:rFonts w:hint="eastAsia" w:ascii="宋体" w:hAnsi="宋体" w:eastAsia="宋体" w:cs="宋体"/>
          <w:b/>
          <w:color w:val="auto"/>
          <w:szCs w:val="21"/>
          <w:highlight w:val="none"/>
          <w:lang w:val="zh-CN"/>
        </w:rPr>
        <w:t>.1 资格性检查：依据法律法规和招标文件的规定，对投标文件中的资格证明、投标保证金等进行审查，以确定投标人是否具备投标资格。</w:t>
      </w:r>
    </w:p>
    <w:p w14:paraId="2D530F28">
      <w:pPr>
        <w:autoSpaceDE w:val="0"/>
        <w:autoSpaceDN w:val="0"/>
        <w:adjustRightInd w:val="0"/>
        <w:spacing w:line="360" w:lineRule="auto"/>
        <w:ind w:left="330" w:leftChars="-100" w:hanging="540"/>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2</w:t>
      </w:r>
      <w:r>
        <w:rPr>
          <w:rFonts w:hint="eastAsia" w:ascii="宋体" w:hAnsi="宋体" w:eastAsia="宋体" w:cs="宋体"/>
          <w:b/>
          <w:color w:val="auto"/>
          <w:szCs w:val="21"/>
          <w:highlight w:val="none"/>
        </w:rPr>
        <w:t>7</w:t>
      </w:r>
      <w:r>
        <w:rPr>
          <w:rFonts w:hint="eastAsia" w:ascii="宋体" w:hAnsi="宋体" w:eastAsia="宋体" w:cs="宋体"/>
          <w:b/>
          <w:color w:val="auto"/>
          <w:szCs w:val="21"/>
          <w:highlight w:val="none"/>
          <w:lang w:val="zh-CN"/>
        </w:rPr>
        <w:t>.2 符合性检查：依据招标文件的规定，从投标文件的有效性、完整性和对招标文件的响应程度进行审查，以确定是否对招标文件的实质性要求作出响应。</w:t>
      </w:r>
    </w:p>
    <w:p w14:paraId="732AC300">
      <w:pPr>
        <w:autoSpaceDE w:val="0"/>
        <w:autoSpaceDN w:val="0"/>
        <w:adjustRightInd w:val="0"/>
        <w:spacing w:line="360" w:lineRule="auto"/>
        <w:ind w:left="330" w:leftChars="-100" w:hanging="540"/>
        <w:rPr>
          <w:rFonts w:hint="eastAsia" w:ascii="宋体" w:hAnsi="宋体" w:eastAsia="宋体" w:cs="宋体"/>
          <w:b/>
          <w:color w:val="auto"/>
          <w:szCs w:val="21"/>
          <w:highlight w:val="none"/>
          <w:lang w:val="zh-CN"/>
        </w:rPr>
      </w:pPr>
    </w:p>
    <w:p w14:paraId="58175F04">
      <w:pPr>
        <w:tabs>
          <w:tab w:val="left" w:pos="525"/>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75" w:name="_Toc4837"/>
      <w:bookmarkStart w:id="276" w:name="_Toc3442"/>
      <w:bookmarkStart w:id="277" w:name="_Toc30225"/>
      <w:bookmarkStart w:id="278" w:name="_Toc486167692"/>
      <w:bookmarkStart w:id="279" w:name="_Toc450662877"/>
      <w:bookmarkStart w:id="280" w:name="_Toc338_WPSOffice_Level3"/>
      <w:bookmarkStart w:id="281" w:name="_Toc19456"/>
      <w:bookmarkStart w:id="282" w:name="_Toc142508342"/>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8</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投标文件的澄清</w:t>
      </w:r>
      <w:bookmarkEnd w:id="275"/>
      <w:bookmarkEnd w:id="276"/>
      <w:bookmarkEnd w:id="277"/>
      <w:bookmarkEnd w:id="278"/>
      <w:bookmarkEnd w:id="279"/>
      <w:bookmarkEnd w:id="280"/>
      <w:bookmarkEnd w:id="281"/>
      <w:bookmarkEnd w:id="282"/>
    </w:p>
    <w:p w14:paraId="4D2F87E6">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8</w:t>
      </w:r>
      <w:r>
        <w:rPr>
          <w:rFonts w:hint="eastAsia" w:ascii="宋体" w:hAnsi="宋体" w:eastAsia="宋体" w:cs="宋体"/>
          <w:color w:val="auto"/>
          <w:szCs w:val="21"/>
          <w:highlight w:val="none"/>
          <w:lang w:val="zh-CN"/>
        </w:rPr>
        <w:t>.1 对投标文件中含义不明确、同类问题表述不一致或者有明显文字和计算错误的内容，评标委员会可以书面形式（应当由评标委员会专家签字）要求投标人作出必要的澄清、说明或者纠正。投标人的澄清、说明或者补正应当采用书面形式，由其授权的代表签字，并不得超出投标文件的范围或者改变投标文件的实质性内容。</w:t>
      </w:r>
    </w:p>
    <w:p w14:paraId="38C41C37">
      <w:pPr>
        <w:autoSpaceDE w:val="0"/>
        <w:autoSpaceDN w:val="0"/>
        <w:adjustRightInd w:val="0"/>
        <w:spacing w:line="360" w:lineRule="auto"/>
        <w:ind w:left="330" w:leftChars="-100" w:right="15" w:rightChars="7" w:hanging="540"/>
        <w:rPr>
          <w:rFonts w:hint="eastAsia" w:ascii="宋体" w:hAnsi="宋体" w:eastAsia="宋体" w:cs="宋体"/>
          <w:color w:val="auto"/>
          <w:szCs w:val="21"/>
          <w:highlight w:val="none"/>
          <w:lang w:val="zh-CN"/>
        </w:rPr>
      </w:pPr>
      <w:bookmarkStart w:id="283" w:name="_Toc450662879"/>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8</w:t>
      </w:r>
      <w:r>
        <w:rPr>
          <w:rFonts w:hint="eastAsia" w:ascii="宋体" w:hAnsi="宋体" w:eastAsia="宋体" w:cs="宋体"/>
          <w:color w:val="auto"/>
          <w:szCs w:val="21"/>
          <w:highlight w:val="none"/>
          <w:lang w:val="zh-CN"/>
        </w:rPr>
        <w:t>.2 评标结果公示前，投标人法定代表人或法定代表人授权书列明的被授权人的联系电话应保持开机状态，以便在评标期间，评标委员会要求投标人对投标文件进行澄清时能够收到有关通知，否则视为投标人放弃澄清的权利，对评标委员会就该项内容的评审意见无异议。因此温馨提示各投标人：编制投标文件时，请认真填写</w:t>
      </w:r>
      <w:r>
        <w:rPr>
          <w:rFonts w:hint="eastAsia" w:ascii="宋体" w:hAnsi="宋体" w:eastAsia="宋体" w:cs="宋体"/>
          <w:color w:val="auto"/>
          <w:szCs w:val="21"/>
          <w:highlight w:val="none"/>
          <w:lang w:val="en-US" w:eastAsia="zh-CN"/>
        </w:rPr>
        <w:t>投标人的</w:t>
      </w:r>
      <w:r>
        <w:rPr>
          <w:rFonts w:hint="eastAsia" w:ascii="宋体" w:hAnsi="宋体" w:eastAsia="宋体" w:cs="宋体"/>
          <w:color w:val="auto"/>
          <w:szCs w:val="21"/>
          <w:highlight w:val="none"/>
          <w:lang w:val="zh-CN"/>
        </w:rPr>
        <w:t>法定代表人或法定代表人授权书列明的被授权人的联系电话，如招标文件</w:t>
      </w:r>
      <w:r>
        <w:rPr>
          <w:rFonts w:hint="eastAsia" w:ascii="宋体" w:hAnsi="宋体" w:eastAsia="宋体" w:cs="宋体"/>
          <w:color w:val="auto"/>
          <w:szCs w:val="21"/>
          <w:highlight w:val="none"/>
          <w:lang w:val="en-US" w:eastAsia="zh-CN"/>
        </w:rPr>
        <w:t>第六篇</w:t>
      </w:r>
      <w:r>
        <w:rPr>
          <w:rFonts w:hint="eastAsia" w:ascii="宋体" w:hAnsi="宋体" w:eastAsia="宋体" w:cs="宋体"/>
          <w:color w:val="auto"/>
          <w:szCs w:val="21"/>
          <w:highlight w:val="none"/>
          <w:lang w:val="zh-CN"/>
        </w:rPr>
        <w:t>投标文件格式“投标函”</w:t>
      </w:r>
      <w:r>
        <w:rPr>
          <w:rFonts w:hint="eastAsia" w:ascii="宋体" w:hAnsi="宋体" w:eastAsia="宋体" w:cs="宋体"/>
          <w:color w:val="auto"/>
          <w:szCs w:val="21"/>
          <w:highlight w:val="none"/>
          <w:lang w:val="en-US" w:eastAsia="zh-CN"/>
        </w:rPr>
        <w:t>和“法定代表人授权书”</w:t>
      </w:r>
      <w:r>
        <w:rPr>
          <w:rFonts w:hint="eastAsia" w:ascii="宋体" w:hAnsi="宋体" w:eastAsia="宋体" w:cs="宋体"/>
          <w:color w:val="auto"/>
          <w:szCs w:val="21"/>
          <w:highlight w:val="none"/>
          <w:lang w:val="zh-CN"/>
        </w:rPr>
        <w:t>中的</w:t>
      </w:r>
      <w:r>
        <w:rPr>
          <w:rFonts w:hint="eastAsia" w:ascii="宋体" w:hAnsi="宋体" w:eastAsia="宋体" w:cs="宋体"/>
          <w:color w:val="auto"/>
          <w:szCs w:val="21"/>
          <w:highlight w:val="none"/>
          <w:lang w:val="en-US" w:eastAsia="zh-CN"/>
        </w:rPr>
        <w:t>联系方式及电子邮箱</w:t>
      </w:r>
      <w:r>
        <w:rPr>
          <w:rFonts w:hint="eastAsia" w:ascii="宋体" w:hAnsi="宋体" w:eastAsia="宋体" w:cs="宋体"/>
          <w:color w:val="auto"/>
          <w:szCs w:val="21"/>
          <w:highlight w:val="none"/>
          <w:lang w:val="zh-CN"/>
        </w:rPr>
        <w:t>，以便能及时收到澄清通知。</w:t>
      </w:r>
    </w:p>
    <w:p w14:paraId="0F23D88F">
      <w:pPr>
        <w:autoSpaceDE w:val="0"/>
        <w:autoSpaceDN w:val="0"/>
        <w:adjustRightInd w:val="0"/>
        <w:spacing w:line="360" w:lineRule="auto"/>
        <w:ind w:left="330" w:leftChars="-100" w:right="15" w:rightChars="7" w:hanging="540"/>
        <w:rPr>
          <w:rFonts w:hint="eastAsia" w:ascii="宋体" w:hAnsi="宋体" w:eastAsia="宋体" w:cs="宋体"/>
          <w:color w:val="auto"/>
          <w:szCs w:val="21"/>
          <w:highlight w:val="none"/>
          <w:lang w:val="zh-CN"/>
        </w:rPr>
      </w:pPr>
    </w:p>
    <w:bookmarkEnd w:id="283"/>
    <w:p w14:paraId="55A6827E">
      <w:pPr>
        <w:tabs>
          <w:tab w:val="left" w:pos="525"/>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84" w:name="_Toc10050"/>
      <w:bookmarkStart w:id="285" w:name="_Toc18368_WPSOffice_Level3"/>
      <w:bookmarkStart w:id="286" w:name="_Toc522047355"/>
      <w:bookmarkStart w:id="287" w:name="_Toc6970"/>
      <w:bookmarkStart w:id="288" w:name="_Toc521918096"/>
      <w:bookmarkStart w:id="289" w:name="_Toc10967"/>
      <w:bookmarkStart w:id="290" w:name="_Toc22065"/>
      <w:bookmarkStart w:id="291" w:name="_Toc142508343"/>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对投标文件的比较和评价</w:t>
      </w:r>
      <w:bookmarkEnd w:id="284"/>
      <w:bookmarkEnd w:id="285"/>
      <w:bookmarkEnd w:id="286"/>
      <w:bookmarkEnd w:id="287"/>
      <w:bookmarkEnd w:id="288"/>
      <w:bookmarkEnd w:id="289"/>
      <w:bookmarkEnd w:id="290"/>
      <w:bookmarkEnd w:id="291"/>
    </w:p>
    <w:p w14:paraId="0DBA6AD0">
      <w:pPr>
        <w:tabs>
          <w:tab w:val="left" w:pos="540"/>
        </w:tabs>
        <w:autoSpaceDE w:val="0"/>
        <w:autoSpaceDN w:val="0"/>
        <w:adjustRightInd w:val="0"/>
        <w:spacing w:line="360" w:lineRule="auto"/>
        <w:ind w:left="330" w:leftChars="-100" w:right="15" w:rightChars="7"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评标委员会将对资格性检查和符合性检查合格的投标文件进行比较和评价，包括商务、技术的详细评审。</w:t>
      </w:r>
    </w:p>
    <w:p w14:paraId="40DE0884">
      <w:pPr>
        <w:autoSpaceDE w:val="0"/>
        <w:autoSpaceDN w:val="0"/>
        <w:adjustRightInd w:val="0"/>
        <w:spacing w:line="360" w:lineRule="auto"/>
        <w:ind w:left="330" w:leftChars="-100" w:right="15" w:rightChars="7"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对投标文件商务的评审详见评标工作大纲。</w:t>
      </w:r>
    </w:p>
    <w:p w14:paraId="23A036F0">
      <w:pPr>
        <w:autoSpaceDE w:val="0"/>
        <w:autoSpaceDN w:val="0"/>
        <w:adjustRightInd w:val="0"/>
        <w:spacing w:line="360" w:lineRule="auto"/>
        <w:ind w:left="330" w:leftChars="-100" w:right="15" w:rightChars="7"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对投标文件技术的评审详见评标工作大纲。</w:t>
      </w:r>
    </w:p>
    <w:p w14:paraId="0FCE026D">
      <w:pPr>
        <w:autoSpaceDE w:val="0"/>
        <w:autoSpaceDN w:val="0"/>
        <w:adjustRightInd w:val="0"/>
        <w:spacing w:line="360" w:lineRule="auto"/>
        <w:ind w:left="330" w:leftChars="-100" w:right="15" w:rightChars="7"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本次评标的评分权重详见评标工作大纲。</w:t>
      </w:r>
    </w:p>
    <w:p w14:paraId="06DA700C">
      <w:pPr>
        <w:autoSpaceDE w:val="0"/>
        <w:autoSpaceDN w:val="0"/>
        <w:adjustRightInd w:val="0"/>
        <w:spacing w:line="360" w:lineRule="auto"/>
        <w:ind w:left="330" w:leftChars="-100" w:right="15" w:rightChars="7"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根据上述商务、技术综合评价的权重分配计算出各投标人的综合得分。</w:t>
      </w:r>
    </w:p>
    <w:p w14:paraId="41027C17">
      <w:pPr>
        <w:tabs>
          <w:tab w:val="left" w:pos="567"/>
        </w:tabs>
        <w:autoSpaceDE w:val="0"/>
        <w:autoSpaceDN w:val="0"/>
        <w:adjustRightInd w:val="0"/>
        <w:spacing w:line="360" w:lineRule="auto"/>
        <w:ind w:left="357" w:leftChars="-100" w:hanging="567"/>
        <w:jc w:val="left"/>
        <w:rPr>
          <w:rFonts w:hint="eastAsia" w:ascii="宋体" w:hAnsi="宋体" w:eastAsia="宋体" w:cs="宋体"/>
          <w:color w:val="auto"/>
          <w:szCs w:val="21"/>
          <w:highlight w:val="none"/>
          <w:lang w:val="zh-CN"/>
        </w:rPr>
      </w:pPr>
      <w:bookmarkStart w:id="292" w:name="_Toc521918097"/>
      <w:bookmarkStart w:id="293" w:name="_Toc522047356"/>
    </w:p>
    <w:p w14:paraId="4A0EDAB0">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94" w:name="_Toc21460_WPSOffice_Level3"/>
      <w:bookmarkStart w:id="295" w:name="_Toc27026"/>
      <w:bookmarkStart w:id="296" w:name="_Toc16829"/>
      <w:bookmarkStart w:id="297" w:name="_Toc142508344"/>
      <w:bookmarkStart w:id="298" w:name="_Toc30090"/>
      <w:bookmarkStart w:id="299" w:name="_Toc14804"/>
      <w:r>
        <w:rPr>
          <w:rFonts w:hint="eastAsia" w:ascii="宋体" w:hAnsi="宋体" w:eastAsia="宋体" w:cs="宋体"/>
          <w:color w:val="auto"/>
          <w:szCs w:val="21"/>
          <w:highlight w:val="none"/>
        </w:rPr>
        <w:t>30</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评标原则及方法</w:t>
      </w:r>
      <w:bookmarkEnd w:id="292"/>
      <w:bookmarkEnd w:id="293"/>
      <w:bookmarkEnd w:id="294"/>
      <w:bookmarkEnd w:id="295"/>
      <w:bookmarkEnd w:id="296"/>
      <w:bookmarkEnd w:id="297"/>
      <w:bookmarkEnd w:id="298"/>
      <w:bookmarkEnd w:id="299"/>
    </w:p>
    <w:p w14:paraId="63574158">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30</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对所有投标文件的评审，都采用相同的程序和标准。按步骤先进行初步评审，再进行商务、技术评审。</w:t>
      </w:r>
    </w:p>
    <w:p w14:paraId="3F091A4E">
      <w:pPr>
        <w:tabs>
          <w:tab w:val="left" w:pos="360"/>
        </w:tabs>
        <w:autoSpaceDE w:val="0"/>
        <w:autoSpaceDN w:val="0"/>
        <w:adjustRightInd w:val="0"/>
        <w:spacing w:line="360" w:lineRule="auto"/>
        <w:ind w:left="330" w:leftChars="-100" w:right="44" w:rightChars="21"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30</w:t>
      </w:r>
      <w:r>
        <w:rPr>
          <w:rFonts w:hint="eastAsia" w:ascii="宋体" w:hAnsi="宋体" w:eastAsia="宋体" w:cs="宋体"/>
          <w:color w:val="auto"/>
          <w:szCs w:val="21"/>
          <w:highlight w:val="none"/>
          <w:lang w:val="zh-CN"/>
        </w:rPr>
        <w:t>.2 评标严格按照招标文件的要求和条件进行。</w:t>
      </w:r>
    </w:p>
    <w:p w14:paraId="778539C3">
      <w:pPr>
        <w:tabs>
          <w:tab w:val="left" w:pos="360"/>
        </w:tabs>
        <w:autoSpaceDE w:val="0"/>
        <w:autoSpaceDN w:val="0"/>
        <w:adjustRightInd w:val="0"/>
        <w:spacing w:line="360" w:lineRule="auto"/>
        <w:ind w:left="330" w:leftChars="-100" w:right="44" w:rightChars="21"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在评标时将根据第</w:t>
      </w:r>
      <w:r>
        <w:rPr>
          <w:rFonts w:hint="eastAsia" w:ascii="宋体" w:hAnsi="宋体" w:eastAsia="宋体" w:cs="宋体"/>
          <w:color w:val="auto"/>
          <w:szCs w:val="21"/>
          <w:highlight w:val="none"/>
          <w:lang w:val="en-US" w:eastAsia="zh-CN"/>
        </w:rPr>
        <w:t>29</w:t>
      </w:r>
      <w:r>
        <w:rPr>
          <w:rFonts w:hint="eastAsia" w:ascii="宋体" w:hAnsi="宋体" w:eastAsia="宋体" w:cs="Times New Roman"/>
          <w:color w:val="auto"/>
          <w:szCs w:val="21"/>
          <w:highlight w:val="none"/>
          <w:lang w:val="zh-CN"/>
        </w:rPr>
        <w:t>条</w:t>
      </w:r>
      <w:r>
        <w:rPr>
          <w:rFonts w:hint="eastAsia" w:ascii="宋体" w:hAnsi="宋体" w:eastAsia="宋体" w:cs="宋体"/>
          <w:color w:val="auto"/>
          <w:szCs w:val="21"/>
          <w:highlight w:val="none"/>
          <w:lang w:val="zh-CN"/>
        </w:rPr>
        <w:t>，采用封闭式框架协议采购方式，质量优先的评审方法，对所有实质响应性投标文件商务部分和技术部分进行综合打分。</w:t>
      </w:r>
    </w:p>
    <w:p w14:paraId="5DD03ED8">
      <w:pPr>
        <w:autoSpaceDE w:val="0"/>
        <w:autoSpaceDN w:val="0"/>
        <w:adjustRightInd w:val="0"/>
        <w:spacing w:line="360" w:lineRule="auto"/>
        <w:ind w:left="441" w:leftChars="-95" w:hanging="640" w:hangingChars="305"/>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30</w:t>
      </w:r>
      <w:r>
        <w:rPr>
          <w:rFonts w:hint="eastAsia" w:ascii="宋体" w:hAnsi="宋体" w:eastAsia="宋体" w:cs="宋体"/>
          <w:color w:val="auto"/>
          <w:szCs w:val="21"/>
          <w:highlight w:val="none"/>
          <w:lang w:val="zh-CN"/>
        </w:rPr>
        <w:t xml:space="preserve">.3 </w:t>
      </w:r>
      <w:r>
        <w:rPr>
          <w:rFonts w:hint="eastAsia" w:ascii="宋体" w:hAnsi="宋体" w:eastAsia="宋体" w:cs="宋体"/>
          <w:b/>
          <w:bCs/>
          <w:color w:val="auto"/>
          <w:szCs w:val="21"/>
          <w:highlight w:val="none"/>
          <w:lang w:val="zh-CN"/>
        </w:rPr>
        <w:t>若</w:t>
      </w:r>
      <w:r>
        <w:rPr>
          <w:rFonts w:hint="eastAsia" w:ascii="宋体" w:hAnsi="宋体" w:eastAsia="宋体" w:cs="宋体"/>
          <w:b/>
          <w:bCs/>
          <w:color w:val="auto"/>
          <w:szCs w:val="21"/>
          <w:highlight w:val="none"/>
        </w:rPr>
        <w:t>本次招标过程中有效投标人不足</w:t>
      </w:r>
      <w:r>
        <w:rPr>
          <w:rFonts w:hint="eastAsia" w:ascii="宋体" w:hAnsi="宋体" w:eastAsia="宋体" w:cs="宋体"/>
          <w:b/>
          <w:bCs/>
          <w:color w:val="auto"/>
          <w:szCs w:val="21"/>
          <w:highlight w:val="none"/>
          <w:lang w:val="en-US" w:eastAsia="zh-CN"/>
        </w:rPr>
        <w:t>十</w:t>
      </w:r>
      <w:r>
        <w:rPr>
          <w:rFonts w:hint="eastAsia" w:ascii="宋体" w:hAnsi="宋体" w:eastAsia="宋体" w:cs="宋体"/>
          <w:b/>
          <w:bCs/>
          <w:color w:val="auto"/>
          <w:szCs w:val="21"/>
          <w:highlight w:val="none"/>
        </w:rPr>
        <w:t>个时，公开招标失败</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若本次招标过程中，有效投标人≥10个的，则按照招标文件附件一：评标工作大纲规定的评审方法继续评审，并按所有有效投标人最终综合得分排列顺序、所有有效投标人填报的《投标意向区域表》，根据实际情况为每个片区推荐中标候选人。</w:t>
      </w:r>
    </w:p>
    <w:p w14:paraId="1826067C">
      <w:pPr>
        <w:tabs>
          <w:tab w:val="left" w:pos="360"/>
        </w:tabs>
        <w:autoSpaceDE w:val="0"/>
        <w:autoSpaceDN w:val="0"/>
        <w:adjustRightInd w:val="0"/>
        <w:spacing w:line="360" w:lineRule="auto"/>
        <w:ind w:left="330" w:leftChars="-100" w:right="44" w:rightChars="21" w:hanging="540"/>
        <w:rPr>
          <w:rFonts w:hint="eastAsia" w:ascii="宋体" w:hAnsi="宋体" w:eastAsia="宋体" w:cs="宋体"/>
          <w:color w:val="auto"/>
          <w:szCs w:val="21"/>
          <w:highlight w:val="none"/>
          <w:lang w:val="zh-CN"/>
        </w:rPr>
      </w:pPr>
    </w:p>
    <w:p w14:paraId="07298EB3">
      <w:pPr>
        <w:tabs>
          <w:tab w:val="left" w:pos="525"/>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300" w:name="_Toc29588"/>
      <w:bookmarkStart w:id="301" w:name="_Toc4819"/>
      <w:bookmarkStart w:id="302" w:name="_Toc486167694"/>
      <w:bookmarkStart w:id="303" w:name="_Toc142508345"/>
      <w:bookmarkStart w:id="304" w:name="_Toc11615"/>
      <w:bookmarkStart w:id="305" w:name="_Toc465358969"/>
      <w:bookmarkStart w:id="306" w:name="_Toc32498_WPSOffice_Level3"/>
      <w:bookmarkStart w:id="307" w:name="_Toc466882017"/>
      <w:bookmarkStart w:id="308" w:name="_Toc30078"/>
      <w:r>
        <w:rPr>
          <w:rFonts w:hint="eastAsia" w:ascii="宋体" w:hAnsi="宋体" w:eastAsia="宋体" w:cs="宋体"/>
          <w:color w:val="auto"/>
          <w:szCs w:val="21"/>
          <w:highlight w:val="none"/>
        </w:rPr>
        <w:t xml:space="preserve">31 </w:t>
      </w:r>
      <w:r>
        <w:rPr>
          <w:rFonts w:hint="eastAsia" w:ascii="宋体" w:hAnsi="宋体" w:eastAsia="宋体" w:cs="宋体"/>
          <w:color w:val="auto"/>
          <w:szCs w:val="21"/>
          <w:highlight w:val="none"/>
          <w:lang w:val="zh-CN"/>
        </w:rPr>
        <w:t>评标结果公</w:t>
      </w:r>
      <w:r>
        <w:rPr>
          <w:rFonts w:hint="eastAsia" w:ascii="宋体" w:hAnsi="宋体" w:eastAsia="宋体" w:cs="Times New Roman"/>
          <w:color w:val="auto"/>
          <w:szCs w:val="21"/>
          <w:highlight w:val="none"/>
          <w:lang w:val="zh-CN"/>
        </w:rPr>
        <w:t>示</w:t>
      </w:r>
      <w:r>
        <w:rPr>
          <w:rFonts w:hint="eastAsia" w:ascii="宋体" w:hAnsi="宋体" w:eastAsia="宋体" w:cs="宋体"/>
          <w:color w:val="auto"/>
          <w:szCs w:val="21"/>
          <w:highlight w:val="none"/>
          <w:lang w:val="zh-CN"/>
        </w:rPr>
        <w:t>及异议、投诉</w:t>
      </w:r>
      <w:bookmarkEnd w:id="300"/>
      <w:bookmarkEnd w:id="301"/>
      <w:bookmarkEnd w:id="302"/>
      <w:bookmarkEnd w:id="303"/>
      <w:bookmarkEnd w:id="304"/>
      <w:bookmarkEnd w:id="305"/>
      <w:bookmarkEnd w:id="306"/>
      <w:bookmarkEnd w:id="307"/>
      <w:bookmarkEnd w:id="308"/>
    </w:p>
    <w:p w14:paraId="53FC82F4">
      <w:pPr>
        <w:tabs>
          <w:tab w:val="left" w:pos="360"/>
        </w:tabs>
        <w:autoSpaceDE w:val="0"/>
        <w:autoSpaceDN w:val="0"/>
        <w:adjustRightInd w:val="0"/>
        <w:spacing w:line="360" w:lineRule="auto"/>
        <w:ind w:left="330" w:leftChars="-100" w:right="44" w:rightChars="21"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31</w:t>
      </w:r>
      <w:r>
        <w:rPr>
          <w:rFonts w:hint="eastAsia" w:ascii="宋体" w:hAnsi="宋体" w:eastAsia="宋体" w:cs="宋体"/>
          <w:color w:val="auto"/>
          <w:szCs w:val="21"/>
          <w:highlight w:val="none"/>
          <w:lang w:val="zh-CN"/>
        </w:rPr>
        <w:t>.1</w:t>
      </w:r>
      <w:r>
        <w:rPr>
          <w:rFonts w:ascii="宋体" w:hAnsi="宋体" w:eastAsia="宋体" w:cs="宋体"/>
          <w:color w:val="auto"/>
          <w:szCs w:val="21"/>
          <w:highlight w:val="none"/>
          <w:lang w:val="zh-CN"/>
        </w:rPr>
        <w:t xml:space="preserve"> </w:t>
      </w:r>
      <w:r>
        <w:rPr>
          <w:rFonts w:hint="eastAsia" w:ascii="宋体" w:hAnsi="宋体" w:eastAsia="宋体" w:cs="Times New Roman"/>
          <w:color w:val="auto"/>
          <w:szCs w:val="21"/>
          <w:highlight w:val="none"/>
          <w:lang w:val="zh-CN"/>
        </w:rPr>
        <w:t>招标代理机构在招标公告发布媒介公示中标候选人，公示期不得少于3日（最后一日是节假日或公休日的，应顺延到节假日或公休日后第一个工作日）。投标人或者其他利害关系人对评标结果有异议的，应当在</w:t>
      </w:r>
      <w:r>
        <w:rPr>
          <w:rFonts w:hint="eastAsia" w:ascii="宋体" w:hAnsi="宋体" w:eastAsia="宋体" w:cs="Times New Roman"/>
          <w:color w:val="auto"/>
          <w:szCs w:val="21"/>
          <w:highlight w:val="none"/>
        </w:rPr>
        <w:t>评标结果</w:t>
      </w:r>
      <w:r>
        <w:rPr>
          <w:rFonts w:hint="eastAsia" w:ascii="宋体" w:hAnsi="宋体" w:eastAsia="宋体" w:cs="Times New Roman"/>
          <w:color w:val="auto"/>
          <w:szCs w:val="21"/>
          <w:highlight w:val="none"/>
          <w:lang w:val="zh-CN"/>
        </w:rPr>
        <w:t>公示期间使用企业数字证书通过东莞市公共资源交易E网通管理平台向招标代理机构提出，</w:t>
      </w:r>
      <w:r>
        <w:rPr>
          <w:rFonts w:ascii="宋体" w:hAnsi="宋体" w:eastAsia="宋体" w:cs="Times New Roman"/>
          <w:color w:val="auto"/>
          <w:szCs w:val="21"/>
          <w:highlight w:val="none"/>
          <w:lang w:val="zh-CN"/>
        </w:rPr>
        <w:t>并</w:t>
      </w:r>
      <w:r>
        <w:rPr>
          <w:rFonts w:hint="eastAsia" w:ascii="宋体" w:hAnsi="宋体" w:eastAsia="宋体" w:cs="Times New Roman"/>
          <w:color w:val="auto"/>
          <w:szCs w:val="21"/>
          <w:highlight w:val="none"/>
          <w:lang w:val="zh-CN"/>
        </w:rPr>
        <w:t>将完整的异议书面材料</w:t>
      </w:r>
      <w:r>
        <w:rPr>
          <w:rFonts w:hint="eastAsia" w:ascii="宋体" w:hAnsi="宋体" w:eastAsia="宋体" w:cs="Times New Roman"/>
          <w:color w:val="auto"/>
          <w:szCs w:val="21"/>
          <w:highlight w:val="none"/>
        </w:rPr>
        <w:t>上传至</w:t>
      </w:r>
      <w:r>
        <w:rPr>
          <w:rFonts w:hint="eastAsia" w:ascii="宋体" w:hAnsi="宋体" w:eastAsia="宋体" w:cs="Times New Roman"/>
          <w:color w:val="auto"/>
          <w:szCs w:val="21"/>
          <w:highlight w:val="none"/>
          <w:lang w:val="zh-CN"/>
        </w:rPr>
        <w:t>东莞市公共资源交易E网通管理平台，</w:t>
      </w:r>
      <w:r>
        <w:rPr>
          <w:rFonts w:ascii="宋体" w:hAnsi="宋体" w:eastAsia="宋体" w:cs="Times New Roman"/>
          <w:color w:val="auto"/>
          <w:szCs w:val="21"/>
          <w:highlight w:val="none"/>
          <w:lang w:val="zh-CN"/>
        </w:rPr>
        <w:t>逾期则视为</w:t>
      </w:r>
      <w:r>
        <w:rPr>
          <w:rFonts w:hint="eastAsia" w:ascii="宋体" w:hAnsi="宋体" w:eastAsia="宋体" w:cs="Times New Roman"/>
          <w:color w:val="auto"/>
          <w:szCs w:val="21"/>
          <w:highlight w:val="none"/>
          <w:lang w:val="zh-CN"/>
        </w:rPr>
        <w:t>对评标结果无异议。超出提交异议截止时间而提出的任何疑问，招标代理机构可不予答复</w:t>
      </w:r>
      <w:r>
        <w:rPr>
          <w:rFonts w:hint="eastAsia" w:ascii="宋体" w:hAnsi="宋体" w:eastAsia="宋体" w:cs="宋体"/>
          <w:color w:val="auto"/>
          <w:szCs w:val="21"/>
          <w:highlight w:val="none"/>
          <w:lang w:val="zh-CN"/>
        </w:rPr>
        <w:t>。</w:t>
      </w:r>
    </w:p>
    <w:p w14:paraId="376EA700">
      <w:pPr>
        <w:autoSpaceDE w:val="0"/>
        <w:autoSpaceDN w:val="0"/>
        <w:adjustRightInd w:val="0"/>
        <w:snapToGrid w:val="0"/>
        <w:spacing w:line="360" w:lineRule="auto"/>
        <w:ind w:left="210" w:leftChars="100" w:firstLine="525" w:firstLineChars="250"/>
        <w:jc w:val="left"/>
        <w:rPr>
          <w:rFonts w:hint="eastAsia" w:ascii="宋体" w:hAnsi="宋体" w:eastAsia="宋体" w:cs="宋体"/>
          <w:color w:val="auto"/>
          <w:kern w:val="0"/>
          <w:szCs w:val="21"/>
          <w:highlight w:val="none"/>
          <w:lang w:val="zh-CN"/>
        </w:rPr>
      </w:pPr>
      <w:r>
        <w:rPr>
          <w:rFonts w:hint="eastAsia" w:ascii="宋体" w:hAnsi="宋体" w:eastAsia="宋体" w:cs="Times New Roman"/>
          <w:color w:val="auto"/>
          <w:szCs w:val="21"/>
          <w:highlight w:val="none"/>
          <w:lang w:val="zh-CN"/>
        </w:rPr>
        <w:t>招标代理机构将拒收未能提供完整异议书面材料的异议，完整的异议书面材料必须同时包含：异议书（加盖法人</w:t>
      </w:r>
      <w:r>
        <w:rPr>
          <w:rFonts w:ascii="宋体" w:hAnsi="宋体" w:eastAsia="宋体" w:cs="Times New Roman"/>
          <w:color w:val="auto"/>
          <w:szCs w:val="21"/>
          <w:highlight w:val="none"/>
          <w:lang w:val="zh-CN"/>
        </w:rPr>
        <w:t>公章</w:t>
      </w:r>
      <w:r>
        <w:rPr>
          <w:rFonts w:hint="eastAsia" w:ascii="宋体" w:hAnsi="宋体" w:eastAsia="宋体" w:cs="Times New Roman"/>
          <w:color w:val="auto"/>
          <w:szCs w:val="21"/>
          <w:highlight w:val="none"/>
          <w:lang w:val="zh-CN"/>
        </w:rPr>
        <w:t>，并注明联系人、联系电话、联系地址）、授权提交异议的法定代表人授权书原件</w:t>
      </w:r>
      <w:r>
        <w:rPr>
          <w:rFonts w:hint="eastAsia" w:ascii="宋体" w:hAnsi="宋体" w:eastAsia="宋体" w:cs="Times New Roman"/>
          <w:color w:val="auto"/>
          <w:szCs w:val="21"/>
          <w:highlight w:val="none"/>
        </w:rPr>
        <w:t>扫描件</w:t>
      </w:r>
      <w:r>
        <w:rPr>
          <w:rFonts w:hint="eastAsia" w:ascii="宋体" w:hAnsi="宋体" w:eastAsia="宋体" w:cs="Times New Roman"/>
          <w:color w:val="auto"/>
          <w:szCs w:val="21"/>
          <w:highlight w:val="none"/>
          <w:lang w:val="zh-CN"/>
        </w:rPr>
        <w:t>、反映异议人主体资格的营业执照复印件（加盖法人</w:t>
      </w:r>
      <w:r>
        <w:rPr>
          <w:rFonts w:ascii="宋体" w:hAnsi="宋体" w:eastAsia="宋体" w:cs="Times New Roman"/>
          <w:color w:val="auto"/>
          <w:szCs w:val="21"/>
          <w:highlight w:val="none"/>
          <w:lang w:val="zh-CN"/>
        </w:rPr>
        <w:t>公章</w:t>
      </w:r>
      <w:r>
        <w:rPr>
          <w:rFonts w:hint="eastAsia" w:ascii="宋体" w:hAnsi="宋体" w:eastAsia="宋体" w:cs="Times New Roman"/>
          <w:color w:val="auto"/>
          <w:szCs w:val="21"/>
          <w:highlight w:val="none"/>
          <w:lang w:val="zh-CN"/>
        </w:rPr>
        <w:t>）、以及合法来源的证据证明材料</w:t>
      </w:r>
      <w:r>
        <w:rPr>
          <w:rFonts w:hint="eastAsia" w:ascii="宋体" w:hAnsi="宋体" w:eastAsia="宋体" w:cs="宋体"/>
          <w:color w:val="auto"/>
          <w:kern w:val="0"/>
          <w:szCs w:val="21"/>
          <w:highlight w:val="none"/>
          <w:lang w:val="zh-CN"/>
        </w:rPr>
        <w:t>。</w:t>
      </w:r>
    </w:p>
    <w:p w14:paraId="378D1B99">
      <w:pPr>
        <w:autoSpaceDE w:val="0"/>
        <w:autoSpaceDN w:val="0"/>
        <w:adjustRightInd w:val="0"/>
        <w:spacing w:line="360" w:lineRule="auto"/>
        <w:ind w:left="284" w:hanging="568"/>
        <w:rPr>
          <w:rFonts w:hint="eastAsia" w:ascii="宋体" w:hAnsi="宋体" w:eastAsia="宋体" w:cs="Times New Roman"/>
          <w:b/>
          <w:color w:val="auto"/>
          <w:szCs w:val="21"/>
          <w:highlight w:val="none"/>
          <w:lang w:val="zh-CN"/>
        </w:rPr>
      </w:pPr>
      <w:r>
        <w:rPr>
          <w:rFonts w:hint="eastAsia" w:ascii="宋体" w:hAnsi="宋体" w:eastAsia="宋体" w:cs="Times New Roman"/>
          <w:b/>
          <w:color w:val="auto"/>
          <w:szCs w:val="21"/>
          <w:highlight w:val="none"/>
        </w:rPr>
        <w:t xml:space="preserve">31.2 </w:t>
      </w:r>
      <w:r>
        <w:rPr>
          <w:rFonts w:hint="eastAsia" w:ascii="宋体" w:hAnsi="宋体" w:eastAsia="宋体" w:cs="Times New Roman"/>
          <w:b/>
          <w:color w:val="auto"/>
          <w:szCs w:val="21"/>
          <w:highlight w:val="none"/>
          <w:lang w:val="zh-CN"/>
        </w:rPr>
        <w:t>结果公示后，招标人有权要求中标候选人在结果公示之日起3日（最后一日是节假日或公休日的，应顺延到节假日或公休日后第一个工作日）内提交投标文件中所提供的资格证明文件、业绩证明文件、对招标文件实质性条款响应文件、履约能力证明文件的原件供招标人核查。招标人如有需要，中标候选人有义务提供投标文件外其他相关证明资料原件（包括但不限于业绩合同对应的发票等）供招标人核查。招标人如发现投标人提供虚假证明文件、虚假响应文件等弄虚作假行为骗取中标的，招标人将取消其中标资格，不予退还其投标保证金。涉嫌违法犯罪的，将</w:t>
      </w:r>
      <w:r>
        <w:rPr>
          <w:rFonts w:ascii="宋体" w:hAnsi="宋体" w:eastAsia="宋体" w:cs="Times New Roman"/>
          <w:b/>
          <w:color w:val="auto"/>
          <w:szCs w:val="21"/>
          <w:highlight w:val="none"/>
          <w:lang w:val="zh-CN"/>
        </w:rPr>
        <w:t>移交司法机关处理</w:t>
      </w:r>
      <w:r>
        <w:rPr>
          <w:rFonts w:hint="eastAsia" w:ascii="宋体" w:hAnsi="宋体" w:eastAsia="宋体" w:cs="Times New Roman"/>
          <w:b/>
          <w:color w:val="auto"/>
          <w:szCs w:val="21"/>
          <w:highlight w:val="none"/>
          <w:lang w:val="zh-CN"/>
        </w:rPr>
        <w:t>。</w:t>
      </w:r>
    </w:p>
    <w:p w14:paraId="7CA895E9">
      <w:pPr>
        <w:autoSpaceDE w:val="0"/>
        <w:autoSpaceDN w:val="0"/>
        <w:adjustRightInd w:val="0"/>
        <w:snapToGrid w:val="0"/>
        <w:spacing w:line="360" w:lineRule="auto"/>
        <w:ind w:left="246" w:leftChars="117" w:firstLine="422" w:firstLineChars="200"/>
        <w:jc w:val="left"/>
        <w:rPr>
          <w:rFonts w:hint="eastAsia" w:ascii="宋体" w:hAnsi="宋体" w:eastAsia="宋体" w:cs="Times New Roman"/>
          <w:b/>
          <w:color w:val="auto"/>
          <w:szCs w:val="21"/>
          <w:highlight w:val="none"/>
          <w:lang w:val="zh-CN"/>
        </w:rPr>
      </w:pPr>
      <w:r>
        <w:rPr>
          <w:rFonts w:hint="eastAsia" w:ascii="宋体" w:hAnsi="宋体" w:eastAsia="宋体" w:cs="Times New Roman"/>
          <w:b/>
          <w:color w:val="auto"/>
          <w:szCs w:val="21"/>
          <w:highlight w:val="none"/>
          <w:lang w:val="zh-CN"/>
        </w:rPr>
        <w:t>当招标人（或其委托的招标代理机构）向中标候选人发出提供上述投标文件或投标文件外其他相关（包括但不限于业绩合同对应的发票等）的证明资料原件进行核查的书面通知后，</w:t>
      </w:r>
      <w:r>
        <w:rPr>
          <w:rFonts w:hint="eastAsia" w:ascii="宋体" w:hAnsi="宋体" w:eastAsia="宋体" w:cs="Times New Roman"/>
          <w:b/>
          <w:color w:val="auto"/>
          <w:kern w:val="0"/>
          <w:szCs w:val="21"/>
          <w:highlight w:val="none"/>
        </w:rPr>
        <w:t>第一中标候选人未能在招标人（或其委托的招标代理机构</w:t>
      </w:r>
      <w:r>
        <w:rPr>
          <w:rFonts w:ascii="宋体" w:hAnsi="宋体" w:eastAsia="宋体" w:cs="Times New Roman"/>
          <w:b/>
          <w:color w:val="auto"/>
          <w:kern w:val="0"/>
          <w:szCs w:val="21"/>
          <w:highlight w:val="none"/>
        </w:rPr>
        <w:t>) 书面要求的时间(一般不少于三个工作日) 内提供完整的材料原件进行核查的</w:t>
      </w:r>
      <w:r>
        <w:rPr>
          <w:rFonts w:hint="eastAsia" w:ascii="宋体" w:hAnsi="宋体" w:eastAsia="宋体" w:cs="Times New Roman"/>
          <w:b/>
          <w:color w:val="auto"/>
          <w:szCs w:val="21"/>
          <w:highlight w:val="none"/>
          <w:lang w:val="zh-CN"/>
        </w:rPr>
        <w:t>，视为其无法提供真实的资料，招标人有权取消其中标候选人资格。</w:t>
      </w:r>
    </w:p>
    <w:p w14:paraId="7312D3FD">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31</w:t>
      </w:r>
      <w:r>
        <w:rPr>
          <w:rFonts w:hint="eastAsia" w:ascii="宋体" w:hAnsi="宋体" w:eastAsia="宋体" w:cs="宋体"/>
          <w:color w:val="auto"/>
          <w:szCs w:val="21"/>
          <w:highlight w:val="none"/>
          <w:lang w:val="zh-CN"/>
        </w:rPr>
        <w:t>.3 投标人或者其他利害关系人认为招标投标活动不符合法律、行政法规规定的，可以自知道或者应当知道之日起10日内，按程序向招标人采购活动的监督部门投诉。投诉应当提供纸质投诉书及必要的证明材料。投诉书应当包括下列内容：</w:t>
      </w:r>
    </w:p>
    <w:p w14:paraId="341099CE">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（一）投诉人和被投诉人的姓名或者名称、通讯地址、邮编、联系人及联系电话；</w:t>
      </w:r>
    </w:p>
    <w:p w14:paraId="0B4C03C7">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（二）异议和异议答复情况说明及相关证明材料；</w:t>
      </w:r>
    </w:p>
    <w:p w14:paraId="68CE0B47">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（三）具体、明确的投诉事项和与投诉事项相关的投诉请求；</w:t>
      </w:r>
    </w:p>
    <w:p w14:paraId="11049034">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（四）事实依据；</w:t>
      </w:r>
    </w:p>
    <w:p w14:paraId="0DB58F39">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（五）法律依据；</w:t>
      </w:r>
    </w:p>
    <w:p w14:paraId="150186F9">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（六）提起投诉的日期。</w:t>
      </w:r>
    </w:p>
    <w:p w14:paraId="230D3060">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投诉人为法人或者其他组织的，应当由法定代表人、主要负责人，或者其授权代表签字或者盖章，并加盖公章。</w:t>
      </w:r>
    </w:p>
    <w:p w14:paraId="31BE0491">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投诉人投诉的事项不得超出已异议事项的范围，但基于异议答复内容提出的投诉事项除外。</w:t>
      </w:r>
    </w:p>
    <w:p w14:paraId="3453CA0C">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监督部门：东莞市水务集团有限公司，联系人：莫先生，联系电话：0769-28823251。</w:t>
      </w:r>
    </w:p>
    <w:p w14:paraId="0337ED45">
      <w:pPr>
        <w:autoSpaceDE w:val="0"/>
        <w:autoSpaceDN w:val="0"/>
        <w:adjustRightInd w:val="0"/>
        <w:snapToGrid w:val="0"/>
        <w:spacing w:line="360" w:lineRule="auto"/>
        <w:ind w:left="296" w:leftChars="100" w:hanging="86" w:hangingChars="41"/>
        <w:jc w:val="left"/>
        <w:rPr>
          <w:rFonts w:hint="eastAsia" w:ascii="宋体" w:hAnsi="宋体" w:eastAsia="宋体" w:cs="宋体"/>
          <w:color w:val="auto"/>
          <w:szCs w:val="21"/>
          <w:highlight w:val="none"/>
          <w:lang w:val="zh-CN"/>
        </w:rPr>
      </w:pPr>
    </w:p>
    <w:p w14:paraId="732D2AAB">
      <w:pPr>
        <w:tabs>
          <w:tab w:val="left" w:pos="567"/>
        </w:tabs>
        <w:autoSpaceDE w:val="0"/>
        <w:autoSpaceDN w:val="0"/>
        <w:adjustRightInd w:val="0"/>
        <w:spacing w:line="360" w:lineRule="auto"/>
        <w:ind w:left="288" w:leftChars="-100" w:hanging="498" w:hangingChars="236"/>
        <w:outlineLvl w:val="2"/>
        <w:rPr>
          <w:rFonts w:hint="eastAsia" w:ascii="宋体" w:hAnsi="宋体" w:eastAsia="宋体" w:cs="宋体"/>
          <w:b/>
          <w:color w:val="auto"/>
          <w:szCs w:val="21"/>
          <w:highlight w:val="none"/>
          <w:lang w:val="zh-CN"/>
        </w:rPr>
      </w:pPr>
      <w:bookmarkStart w:id="309" w:name="_Toc465358970"/>
      <w:bookmarkStart w:id="310" w:name="_Toc466882018"/>
      <w:bookmarkStart w:id="311" w:name="_Toc142508346"/>
      <w:bookmarkStart w:id="312" w:name="_Toc15213"/>
      <w:bookmarkStart w:id="313" w:name="_Toc3154"/>
      <w:bookmarkStart w:id="314" w:name="_Toc26354"/>
      <w:bookmarkStart w:id="315" w:name="_Toc1848_WPSOffice_Level3"/>
      <w:bookmarkStart w:id="316" w:name="_Toc486167695"/>
      <w:bookmarkStart w:id="317" w:name="_Toc2077"/>
      <w:r>
        <w:rPr>
          <w:rFonts w:hint="eastAsia" w:ascii="宋体" w:hAnsi="宋体" w:eastAsia="宋体" w:cs="宋体"/>
          <w:b/>
          <w:color w:val="auto"/>
          <w:szCs w:val="21"/>
          <w:highlight w:val="none"/>
        </w:rPr>
        <w:t>32</w:t>
      </w:r>
      <w:r>
        <w:rPr>
          <w:rFonts w:hint="eastAsia" w:ascii="宋体" w:hAnsi="宋体" w:eastAsia="宋体" w:cs="宋体"/>
          <w:b/>
          <w:color w:val="auto"/>
          <w:szCs w:val="21"/>
          <w:highlight w:val="none"/>
          <w:lang w:val="zh-CN"/>
        </w:rPr>
        <w:t xml:space="preserve"> 真实性审查</w:t>
      </w:r>
      <w:bookmarkEnd w:id="309"/>
      <w:bookmarkEnd w:id="310"/>
      <w:bookmarkEnd w:id="311"/>
      <w:bookmarkEnd w:id="312"/>
      <w:bookmarkEnd w:id="313"/>
      <w:bookmarkEnd w:id="314"/>
      <w:bookmarkEnd w:id="315"/>
      <w:bookmarkEnd w:id="316"/>
      <w:bookmarkEnd w:id="317"/>
    </w:p>
    <w:p w14:paraId="11F32563">
      <w:pPr>
        <w:autoSpaceDE w:val="0"/>
        <w:autoSpaceDN w:val="0"/>
        <w:adjustRightInd w:val="0"/>
        <w:snapToGrid w:val="0"/>
        <w:spacing w:line="360" w:lineRule="auto"/>
        <w:ind w:left="321" w:leftChars="-100" w:hanging="531" w:hangingChars="252"/>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32.1 在</w:t>
      </w:r>
      <w:r>
        <w:rPr>
          <w:rFonts w:hint="eastAsia" w:ascii="宋体" w:hAnsi="宋体" w:eastAsia="宋体" w:cs="Times New Roman"/>
          <w:b/>
          <w:color w:val="auto"/>
          <w:kern w:val="0"/>
          <w:szCs w:val="21"/>
          <w:highlight w:val="none"/>
        </w:rPr>
        <w:t>授予合同前，招标人（或其委托的招标代理机构）、或评标委员会有权组织对投标人的真实性审查。包括对投标人的资格证明文件、业绩证明文件、对招标文件实质性条款响应文件、履约能力证明文件的原件真实性进行核查。招标人</w:t>
      </w:r>
      <w:r>
        <w:rPr>
          <w:rFonts w:hint="eastAsia" w:ascii="宋体" w:hAnsi="宋体" w:eastAsia="宋体" w:cs="Times New Roman"/>
          <w:b/>
          <w:color w:val="auto"/>
          <w:szCs w:val="21"/>
          <w:highlight w:val="none"/>
          <w:lang w:val="zh-CN"/>
        </w:rPr>
        <w:t>如有需要，投标人有义务提供投标文件外其他相关证明资料原件（包括但不限于业绩合同对应的发票等）供招标人核查。</w:t>
      </w:r>
      <w:r>
        <w:rPr>
          <w:rFonts w:hint="eastAsia" w:ascii="宋体" w:hAnsi="宋体" w:eastAsia="宋体" w:cs="Times New Roman"/>
          <w:b/>
          <w:color w:val="auto"/>
          <w:kern w:val="0"/>
          <w:szCs w:val="21"/>
          <w:highlight w:val="none"/>
        </w:rPr>
        <w:t>若发现投标人提供虚假证明文件、虚假响应文件等弄虚作假行为的，或经审查确认其经营、财务状况发生较大变化（或者存在违法行为）导致无法按照投标文件的承诺履约的，或其明确表示不按照投标文件承诺履约的，等影响中标结果的行为，招标人有权按照评标委员会提出的中标候选人名单排序依次确定其他中标候选人为中标人或重新招标</w:t>
      </w:r>
      <w:r>
        <w:rPr>
          <w:rFonts w:hint="eastAsia" w:ascii="宋体" w:hAnsi="宋体" w:eastAsia="宋体" w:cs="宋体"/>
          <w:b/>
          <w:color w:val="auto"/>
          <w:szCs w:val="21"/>
          <w:highlight w:val="none"/>
        </w:rPr>
        <w:t>。</w:t>
      </w:r>
    </w:p>
    <w:p w14:paraId="460D000A">
      <w:pPr>
        <w:autoSpaceDE w:val="0"/>
        <w:autoSpaceDN w:val="0"/>
        <w:adjustRightInd w:val="0"/>
        <w:snapToGrid w:val="0"/>
        <w:spacing w:line="360" w:lineRule="auto"/>
        <w:ind w:left="321" w:leftChars="-100" w:hanging="531" w:hangingChars="252"/>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32.2 投标人</w:t>
      </w:r>
      <w:r>
        <w:rPr>
          <w:rFonts w:hint="eastAsia" w:ascii="宋体" w:hAnsi="宋体" w:eastAsia="宋体" w:cs="Times New Roman"/>
          <w:b/>
          <w:color w:val="auto"/>
          <w:kern w:val="0"/>
          <w:szCs w:val="21"/>
          <w:highlight w:val="none"/>
        </w:rPr>
        <w:t>在招标人（或其委托的招标代理机构）、或评标委员会通知其提供</w:t>
      </w:r>
      <w:r>
        <w:rPr>
          <w:rFonts w:hint="eastAsia" w:ascii="宋体" w:hAnsi="宋体" w:eastAsia="宋体" w:cs="Times New Roman"/>
          <w:b/>
          <w:color w:val="auto"/>
          <w:szCs w:val="21"/>
          <w:highlight w:val="none"/>
          <w:lang w:val="zh-CN"/>
        </w:rPr>
        <w:t>上述投标文件或投标文件外其他相关（包括但不限于业绩合同对应的发票等）的证明资料原件</w:t>
      </w:r>
      <w:r>
        <w:rPr>
          <w:rFonts w:hint="eastAsia" w:ascii="宋体" w:hAnsi="宋体" w:eastAsia="宋体" w:cs="Times New Roman"/>
          <w:b/>
          <w:color w:val="auto"/>
          <w:kern w:val="0"/>
          <w:szCs w:val="21"/>
          <w:highlight w:val="none"/>
        </w:rPr>
        <w:t>进行核查的要求后，未能在约定的时间内提供原件进行核查的，视为投标人无法提供真实的资料，招标人有权按照评标委员会提出的中标候选人名单排序依次确定其他中标候选人为中标人或重新招标</w:t>
      </w:r>
      <w:r>
        <w:rPr>
          <w:rFonts w:hint="eastAsia" w:ascii="宋体" w:hAnsi="宋体" w:eastAsia="宋体" w:cs="宋体"/>
          <w:b/>
          <w:color w:val="auto"/>
          <w:szCs w:val="21"/>
          <w:highlight w:val="none"/>
        </w:rPr>
        <w:t>。</w:t>
      </w:r>
    </w:p>
    <w:p w14:paraId="2714167A">
      <w:pPr>
        <w:autoSpaceDE w:val="0"/>
        <w:autoSpaceDN w:val="0"/>
        <w:adjustRightInd w:val="0"/>
        <w:snapToGrid w:val="0"/>
        <w:spacing w:line="360" w:lineRule="auto"/>
        <w:ind w:left="321" w:leftChars="-100" w:hanging="531" w:hangingChars="252"/>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32.3 若投标人在投标或履约过程中存在提供虚假材料、</w:t>
      </w:r>
      <w:r>
        <w:rPr>
          <w:rFonts w:ascii="宋体" w:hAnsi="宋体" w:eastAsia="宋体" w:cs="宋体"/>
          <w:b/>
          <w:color w:val="auto"/>
          <w:szCs w:val="21"/>
          <w:highlight w:val="none"/>
        </w:rPr>
        <w:t>虚假响应</w:t>
      </w:r>
      <w:r>
        <w:rPr>
          <w:rFonts w:hint="eastAsia" w:ascii="宋体" w:hAnsi="宋体" w:eastAsia="宋体" w:cs="宋体"/>
          <w:b/>
          <w:color w:val="auto"/>
          <w:szCs w:val="21"/>
          <w:highlight w:val="none"/>
        </w:rPr>
        <w:t>招标</w:t>
      </w:r>
      <w:r>
        <w:rPr>
          <w:rFonts w:ascii="宋体" w:hAnsi="宋体" w:eastAsia="宋体" w:cs="宋体"/>
          <w:b/>
          <w:color w:val="auto"/>
          <w:szCs w:val="21"/>
          <w:highlight w:val="none"/>
        </w:rPr>
        <w:t>文件</w:t>
      </w:r>
      <w:r>
        <w:rPr>
          <w:rFonts w:hint="eastAsia" w:ascii="宋体" w:hAnsi="宋体" w:eastAsia="宋体" w:cs="宋体"/>
          <w:b/>
          <w:color w:val="auto"/>
          <w:szCs w:val="21"/>
          <w:highlight w:val="none"/>
        </w:rPr>
        <w:t>要求等弄虚作假行为，或未能根据本须知31</w:t>
      </w:r>
      <w:r>
        <w:rPr>
          <w:rFonts w:ascii="宋体" w:hAnsi="宋体" w:eastAsia="宋体" w:cs="宋体"/>
          <w:b/>
          <w:color w:val="auto"/>
          <w:szCs w:val="21"/>
          <w:highlight w:val="none"/>
        </w:rPr>
        <w:t>.2</w:t>
      </w:r>
      <w:r>
        <w:rPr>
          <w:rFonts w:hint="eastAsia" w:ascii="宋体" w:hAnsi="宋体" w:eastAsia="宋体" w:cs="宋体"/>
          <w:b/>
          <w:color w:val="auto"/>
          <w:szCs w:val="21"/>
          <w:highlight w:val="none"/>
        </w:rPr>
        <w:t>款约定按时提供原件进行核查的，</w:t>
      </w:r>
      <w:r>
        <w:rPr>
          <w:rFonts w:ascii="宋体" w:hAnsi="宋体" w:eastAsia="宋体" w:cs="宋体"/>
          <w:b/>
          <w:color w:val="auto"/>
          <w:szCs w:val="21"/>
          <w:highlight w:val="none"/>
        </w:rPr>
        <w:t>或不按照投标文件承诺履约</w:t>
      </w:r>
      <w:r>
        <w:rPr>
          <w:rFonts w:hint="eastAsia" w:ascii="宋体" w:hAnsi="宋体" w:eastAsia="宋体" w:cs="宋体"/>
          <w:b/>
          <w:color w:val="auto"/>
          <w:szCs w:val="21"/>
          <w:highlight w:val="none"/>
        </w:rPr>
        <w:t>或撤回投标或放弃中标资格或</w:t>
      </w:r>
      <w:r>
        <w:rPr>
          <w:rFonts w:ascii="宋体" w:hAnsi="宋体" w:eastAsia="宋体" w:cs="宋体"/>
          <w:b/>
          <w:color w:val="auto"/>
          <w:szCs w:val="21"/>
          <w:highlight w:val="none"/>
        </w:rPr>
        <w:t>不按要求与招标人签订合同等影响中标结果的行为</w:t>
      </w:r>
      <w:r>
        <w:rPr>
          <w:rFonts w:hint="eastAsia" w:ascii="宋体" w:hAnsi="宋体" w:eastAsia="宋体" w:cs="宋体"/>
          <w:b/>
          <w:color w:val="auto"/>
          <w:szCs w:val="21"/>
          <w:highlight w:val="none"/>
        </w:rPr>
        <w:t>，因此导致投标人无法参与东莞市水务集团有限公司相关招标采购等活动的，由投标人自行承担全部后果。</w:t>
      </w:r>
    </w:p>
    <w:p w14:paraId="6FF0B901">
      <w:pPr>
        <w:autoSpaceDE w:val="0"/>
        <w:autoSpaceDN w:val="0"/>
        <w:adjustRightInd w:val="0"/>
        <w:snapToGrid w:val="0"/>
        <w:spacing w:line="360" w:lineRule="auto"/>
        <w:jc w:val="left"/>
        <w:rPr>
          <w:rFonts w:hint="eastAsia" w:ascii="宋体" w:hAnsi="宋体" w:eastAsia="宋体" w:cs="宋体"/>
          <w:color w:val="auto"/>
          <w:szCs w:val="21"/>
          <w:highlight w:val="none"/>
        </w:rPr>
      </w:pPr>
      <w:bookmarkStart w:id="318" w:name="_Toc465358971"/>
      <w:bookmarkStart w:id="319" w:name="_Toc466882019"/>
    </w:p>
    <w:p w14:paraId="2E9F7E0F">
      <w:pPr>
        <w:tabs>
          <w:tab w:val="left" w:pos="567"/>
        </w:tabs>
        <w:autoSpaceDE w:val="0"/>
        <w:autoSpaceDN w:val="0"/>
        <w:adjustRightInd w:val="0"/>
        <w:spacing w:line="360" w:lineRule="auto"/>
        <w:ind w:left="16" w:leftChars="-59" w:hanging="140" w:hangingChars="67"/>
        <w:outlineLvl w:val="2"/>
        <w:rPr>
          <w:rFonts w:hint="eastAsia" w:ascii="宋体" w:hAnsi="宋体" w:eastAsia="宋体" w:cs="宋体"/>
          <w:color w:val="auto"/>
          <w:szCs w:val="21"/>
          <w:highlight w:val="none"/>
          <w:lang w:val="zh-CN"/>
        </w:rPr>
      </w:pPr>
      <w:bookmarkStart w:id="320" w:name="_Toc142508347"/>
      <w:bookmarkStart w:id="321" w:name="_Toc10867_WPSOffice_Level3"/>
      <w:bookmarkStart w:id="322" w:name="_Toc486167696"/>
      <w:bookmarkStart w:id="323" w:name="_Toc17834"/>
      <w:bookmarkStart w:id="324" w:name="_Toc23672"/>
      <w:bookmarkStart w:id="325" w:name="_Toc15815"/>
      <w:bookmarkStart w:id="326" w:name="_Toc8654"/>
      <w:r>
        <w:rPr>
          <w:rFonts w:hint="eastAsia" w:ascii="宋体" w:hAnsi="宋体" w:eastAsia="宋体" w:cs="宋体"/>
          <w:color w:val="auto"/>
          <w:szCs w:val="21"/>
          <w:highlight w:val="none"/>
        </w:rPr>
        <w:t>33</w:t>
      </w:r>
      <w:r>
        <w:rPr>
          <w:rFonts w:hint="eastAsia" w:ascii="宋体" w:hAnsi="宋体" w:eastAsia="宋体" w:cs="宋体"/>
          <w:color w:val="auto"/>
          <w:szCs w:val="21"/>
          <w:highlight w:val="none"/>
          <w:lang w:val="zh-CN"/>
        </w:rPr>
        <w:t xml:space="preserve"> 评标委员会和招标人接受或拒绝任何投标或所有投标的权利</w:t>
      </w:r>
      <w:bookmarkEnd w:id="318"/>
      <w:bookmarkEnd w:id="319"/>
      <w:bookmarkEnd w:id="320"/>
      <w:bookmarkEnd w:id="321"/>
      <w:bookmarkEnd w:id="322"/>
      <w:bookmarkEnd w:id="323"/>
      <w:bookmarkEnd w:id="324"/>
      <w:bookmarkEnd w:id="325"/>
      <w:bookmarkEnd w:id="326"/>
    </w:p>
    <w:p w14:paraId="4BD03B46">
      <w:pPr>
        <w:autoSpaceDE w:val="0"/>
        <w:autoSpaceDN w:val="0"/>
        <w:adjustRightInd w:val="0"/>
        <w:spacing w:line="360" w:lineRule="auto"/>
        <w:ind w:left="248" w:leftChars="118" w:firstLine="1"/>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在授予合同前的任何时候，招标人仍保留接受或拒绝任何投标，宣布招标程序无效或拒绝所有投标的权利，无需向受影响的投标人承担任何责任。</w:t>
      </w:r>
    </w:p>
    <w:p w14:paraId="0205051F">
      <w:pPr>
        <w:autoSpaceDE w:val="0"/>
        <w:autoSpaceDN w:val="0"/>
        <w:adjustRightInd w:val="0"/>
        <w:snapToGrid w:val="0"/>
        <w:spacing w:line="360" w:lineRule="auto"/>
        <w:ind w:left="436" w:leftChars="-158" w:hanging="768" w:hangingChars="320"/>
        <w:jc w:val="left"/>
        <w:rPr>
          <w:rFonts w:hint="eastAsia" w:ascii="宋体" w:hAnsi="宋体" w:eastAsia="宋体" w:cs="宋体"/>
          <w:color w:val="auto"/>
          <w:kern w:val="44"/>
          <w:sz w:val="24"/>
          <w:szCs w:val="24"/>
          <w:highlight w:val="none"/>
          <w:lang w:val="zh-CN"/>
        </w:rPr>
      </w:pPr>
      <w:bookmarkStart w:id="327" w:name="_Toc450662880"/>
    </w:p>
    <w:p w14:paraId="15C4AB36">
      <w:pPr>
        <w:keepNext/>
        <w:keepLines/>
        <w:autoSpaceDE w:val="0"/>
        <w:autoSpaceDN w:val="0"/>
        <w:adjustRightInd w:val="0"/>
        <w:spacing w:line="360" w:lineRule="auto"/>
        <w:jc w:val="left"/>
        <w:outlineLvl w:val="0"/>
        <w:rPr>
          <w:rFonts w:hint="eastAsia" w:ascii="宋体" w:hAnsi="宋体" w:eastAsia="宋体" w:cs="宋体"/>
          <w:b/>
          <w:bCs/>
          <w:color w:val="auto"/>
          <w:kern w:val="44"/>
          <w:szCs w:val="21"/>
          <w:highlight w:val="none"/>
          <w:lang w:val="zh-CN"/>
        </w:rPr>
      </w:pPr>
      <w:bookmarkStart w:id="328" w:name="_Toc11941"/>
      <w:bookmarkStart w:id="329" w:name="_Toc27936"/>
      <w:bookmarkStart w:id="330" w:name="_Toc16789"/>
      <w:bookmarkStart w:id="331" w:name="_Toc142508348"/>
      <w:bookmarkStart w:id="332" w:name="_Toc19078"/>
      <w:bookmarkStart w:id="333" w:name="_Toc486167697"/>
      <w:bookmarkStart w:id="334" w:name="_Toc140596907"/>
      <w:bookmarkStart w:id="335" w:name="_Toc16848_WPSOffice_Level2"/>
      <w:r>
        <w:rPr>
          <w:rFonts w:hint="eastAsia" w:ascii="宋体" w:hAnsi="宋体" w:eastAsia="宋体" w:cs="宋体"/>
          <w:b/>
          <w:bCs/>
          <w:color w:val="auto"/>
          <w:kern w:val="44"/>
          <w:szCs w:val="21"/>
          <w:highlight w:val="none"/>
          <w:lang w:val="zh-CN"/>
        </w:rPr>
        <w:t>六、授予合同</w:t>
      </w:r>
      <w:bookmarkEnd w:id="327"/>
      <w:bookmarkEnd w:id="328"/>
      <w:bookmarkEnd w:id="329"/>
      <w:bookmarkEnd w:id="330"/>
      <w:bookmarkEnd w:id="331"/>
      <w:bookmarkEnd w:id="332"/>
      <w:bookmarkEnd w:id="333"/>
      <w:bookmarkEnd w:id="334"/>
      <w:bookmarkEnd w:id="335"/>
    </w:p>
    <w:p w14:paraId="76CA7148">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336" w:name="_Toc9067"/>
      <w:bookmarkStart w:id="337" w:name="_Toc6401_WPSOffice_Level3"/>
      <w:bookmarkStart w:id="338" w:name="_Toc450662881"/>
      <w:bookmarkStart w:id="339" w:name="_Toc27180"/>
      <w:bookmarkStart w:id="340" w:name="_Toc486167698"/>
      <w:bookmarkStart w:id="341" w:name="_Toc142508349"/>
      <w:bookmarkStart w:id="342" w:name="_Toc29383"/>
      <w:bookmarkStart w:id="343" w:name="_Toc31713"/>
      <w:r>
        <w:rPr>
          <w:rFonts w:hint="eastAsia" w:ascii="宋体" w:hAnsi="宋体" w:eastAsia="宋体" w:cs="宋体"/>
          <w:color w:val="auto"/>
          <w:szCs w:val="21"/>
          <w:highlight w:val="none"/>
        </w:rPr>
        <w:t>34</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授予合同的准则</w:t>
      </w:r>
      <w:bookmarkEnd w:id="336"/>
      <w:bookmarkEnd w:id="337"/>
      <w:bookmarkEnd w:id="338"/>
      <w:bookmarkEnd w:id="339"/>
      <w:bookmarkEnd w:id="340"/>
      <w:bookmarkEnd w:id="341"/>
      <w:bookmarkEnd w:id="342"/>
      <w:bookmarkEnd w:id="343"/>
    </w:p>
    <w:p w14:paraId="612B8653">
      <w:pPr>
        <w:tabs>
          <w:tab w:val="left" w:pos="645"/>
        </w:tabs>
        <w:autoSpaceDE w:val="0"/>
        <w:autoSpaceDN w:val="0"/>
        <w:adjustRightInd w:val="0"/>
        <w:spacing w:line="360" w:lineRule="auto"/>
        <w:ind w:left="330" w:leftChars="-100" w:right="44" w:rightChars="21"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34</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除第</w:t>
      </w:r>
      <w:r>
        <w:rPr>
          <w:rFonts w:hint="eastAsia" w:ascii="宋体" w:hAnsi="宋体" w:eastAsia="宋体" w:cs="宋体"/>
          <w:color w:val="auto"/>
          <w:szCs w:val="21"/>
          <w:highlight w:val="none"/>
        </w:rPr>
        <w:t>31</w:t>
      </w:r>
      <w:r>
        <w:rPr>
          <w:rFonts w:hint="eastAsia" w:ascii="宋体" w:hAnsi="宋体" w:eastAsia="宋体" w:cs="宋体"/>
          <w:color w:val="auto"/>
          <w:szCs w:val="21"/>
          <w:highlight w:val="none"/>
          <w:lang w:val="zh-CN"/>
        </w:rPr>
        <w:t>条、</w:t>
      </w:r>
      <w:r>
        <w:rPr>
          <w:rFonts w:hint="eastAsia" w:ascii="宋体" w:hAnsi="宋体" w:eastAsia="宋体" w:cs="宋体"/>
          <w:color w:val="auto"/>
          <w:szCs w:val="21"/>
          <w:highlight w:val="none"/>
        </w:rPr>
        <w:t>32</w:t>
      </w:r>
      <w:r>
        <w:rPr>
          <w:rFonts w:hint="eastAsia" w:ascii="宋体" w:hAnsi="宋体" w:eastAsia="宋体" w:cs="宋体"/>
          <w:color w:val="auto"/>
          <w:szCs w:val="21"/>
          <w:highlight w:val="none"/>
          <w:lang w:val="zh-CN"/>
        </w:rPr>
        <w:t>条</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Cs w:val="24"/>
          <w:highlight w:val="none"/>
        </w:rPr>
        <w:t>33</w:t>
      </w:r>
      <w:r>
        <w:rPr>
          <w:rFonts w:hint="eastAsia" w:ascii="宋体" w:hAnsi="宋体" w:eastAsia="宋体" w:cs="宋体"/>
          <w:color w:val="auto"/>
          <w:szCs w:val="21"/>
          <w:highlight w:val="none"/>
          <w:lang w:val="zh-CN"/>
        </w:rPr>
        <w:t>条规定外，招标人将合同授予其投标文件符合招标文件要求，并且能承诺履行合同，对招标人最为有利的投标人。</w:t>
      </w:r>
    </w:p>
    <w:p w14:paraId="0D663590">
      <w:pPr>
        <w:numPr>
          <w:ilvl w:val="1"/>
          <w:numId w:val="0"/>
        </w:numPr>
        <w:tabs>
          <w:tab w:val="left" w:pos="540"/>
        </w:tabs>
        <w:autoSpaceDE w:val="0"/>
        <w:autoSpaceDN w:val="0"/>
        <w:adjustRightInd w:val="0"/>
        <w:spacing w:line="360" w:lineRule="auto"/>
        <w:ind w:left="330" w:leftChars="-100" w:right="44" w:rightChars="21" w:hanging="540"/>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3</w:t>
      </w:r>
      <w:r>
        <w:rPr>
          <w:rFonts w:hint="eastAsia" w:ascii="宋体" w:hAnsi="宋体" w:eastAsia="宋体" w:cs="宋体"/>
          <w:b/>
          <w:bCs/>
          <w:color w:val="auto"/>
          <w:szCs w:val="21"/>
          <w:highlight w:val="none"/>
        </w:rPr>
        <w:t>4</w:t>
      </w:r>
      <w:r>
        <w:rPr>
          <w:rFonts w:hint="eastAsia" w:ascii="宋体" w:hAnsi="宋体" w:eastAsia="宋体" w:cs="宋体"/>
          <w:b/>
          <w:bCs/>
          <w:color w:val="auto"/>
          <w:szCs w:val="21"/>
          <w:highlight w:val="none"/>
          <w:lang w:val="zh-CN"/>
        </w:rPr>
        <w:t>.2 招标人依法</w:t>
      </w:r>
      <w:r>
        <w:rPr>
          <w:rFonts w:hint="eastAsia" w:ascii="宋体" w:hAnsi="宋体" w:eastAsia="宋体" w:cs="宋体"/>
          <w:b/>
          <w:bCs/>
          <w:color w:val="auto"/>
          <w:kern w:val="0"/>
          <w:szCs w:val="21"/>
          <w:highlight w:val="none"/>
        </w:rPr>
        <w:t>按照评标报告中推荐的中标候选人顺序</w:t>
      </w:r>
      <w:r>
        <w:rPr>
          <w:rFonts w:hint="eastAsia" w:ascii="宋体" w:hAnsi="宋体" w:eastAsia="宋体" w:cs="宋体"/>
          <w:b/>
          <w:bCs/>
          <w:color w:val="auto"/>
          <w:szCs w:val="21"/>
          <w:highlight w:val="none"/>
          <w:lang w:val="zh-CN"/>
        </w:rPr>
        <w:t>确定中标人。</w:t>
      </w:r>
    </w:p>
    <w:p w14:paraId="02A436A7">
      <w:pPr>
        <w:autoSpaceDE w:val="0"/>
        <w:autoSpaceDN w:val="0"/>
        <w:adjustRightInd w:val="0"/>
        <w:snapToGrid w:val="0"/>
        <w:spacing w:line="360" w:lineRule="auto"/>
        <w:ind w:left="315" w:leftChars="-100" w:hanging="525" w:hangingChars="250"/>
        <w:jc w:val="left"/>
        <w:rPr>
          <w:rFonts w:hint="eastAsia" w:ascii="宋体" w:hAnsi="宋体" w:eastAsia="宋体" w:cs="宋体"/>
          <w:b/>
          <w:color w:val="auto"/>
          <w:kern w:val="0"/>
          <w:szCs w:val="21"/>
          <w:highlight w:val="none"/>
        </w:rPr>
      </w:pPr>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rPr>
        <w:t>4</w:t>
      </w:r>
      <w:r>
        <w:rPr>
          <w:rFonts w:hint="eastAsia" w:ascii="宋体" w:hAnsi="宋体" w:eastAsia="宋体" w:cs="宋体"/>
          <w:color w:val="auto"/>
          <w:kern w:val="0"/>
          <w:szCs w:val="21"/>
          <w:highlight w:val="none"/>
        </w:rPr>
        <w:t>.3 因不可抗力或自身原因不能履行合同的、不按要求与招标人签订合同、中标人放弃中标、中标资格被依法确认无效的，招标人可以按照评标委员会提出的中标候选人名单排序依次确定其他中标候选人为中标人或重新招标</w:t>
      </w:r>
      <w:r>
        <w:rPr>
          <w:rFonts w:hint="eastAsia" w:ascii="宋体" w:hAnsi="宋体" w:eastAsia="宋体" w:cs="宋体"/>
          <w:b/>
          <w:color w:val="auto"/>
          <w:kern w:val="0"/>
          <w:szCs w:val="21"/>
          <w:highlight w:val="none"/>
        </w:rPr>
        <w:t>。招标人确认其他中标候选人作为中标人的原则：若某</w:t>
      </w:r>
      <w:r>
        <w:rPr>
          <w:rFonts w:hint="eastAsia" w:ascii="宋体" w:hAnsi="宋体" w:eastAsia="宋体" w:cs="宋体"/>
          <w:b/>
          <w:color w:val="auto"/>
          <w:kern w:val="0"/>
          <w:szCs w:val="21"/>
          <w:highlight w:val="none"/>
          <w:lang w:val="en-US" w:eastAsia="zh-CN"/>
        </w:rPr>
        <w:t>片区</w:t>
      </w:r>
      <w:r>
        <w:rPr>
          <w:rFonts w:hint="eastAsia" w:ascii="宋体" w:hAnsi="宋体" w:eastAsia="宋体" w:cs="宋体"/>
          <w:b/>
          <w:color w:val="auto"/>
          <w:kern w:val="0"/>
          <w:szCs w:val="21"/>
          <w:highlight w:val="none"/>
        </w:rPr>
        <w:t>某一中标人存在上述情形的，招标人将</w:t>
      </w:r>
      <w:r>
        <w:rPr>
          <w:rFonts w:hint="eastAsia" w:ascii="宋体" w:hAnsi="宋体" w:eastAsia="宋体" w:cs="宋体"/>
          <w:b/>
          <w:color w:val="auto"/>
          <w:kern w:val="0"/>
          <w:szCs w:val="21"/>
          <w:highlight w:val="none"/>
          <w:lang w:val="en-US" w:eastAsia="zh-CN"/>
        </w:rPr>
        <w:t>根据评标报告中的中标候选人推荐情况</w:t>
      </w:r>
      <w:r>
        <w:rPr>
          <w:rFonts w:hint="eastAsia" w:ascii="宋体" w:hAnsi="宋体" w:eastAsia="宋体" w:cs="宋体"/>
          <w:b/>
          <w:color w:val="auto"/>
          <w:kern w:val="0"/>
          <w:szCs w:val="21"/>
          <w:highlight w:val="none"/>
        </w:rPr>
        <w:t>选择</w:t>
      </w:r>
      <w:r>
        <w:rPr>
          <w:rFonts w:hint="eastAsia" w:ascii="宋体" w:hAnsi="宋体" w:eastAsia="宋体" w:cs="宋体"/>
          <w:b/>
          <w:color w:val="auto"/>
          <w:kern w:val="0"/>
          <w:szCs w:val="21"/>
          <w:highlight w:val="none"/>
          <w:lang w:val="en-US" w:eastAsia="zh-CN"/>
        </w:rPr>
        <w:t>该片区</w:t>
      </w:r>
      <w:r>
        <w:rPr>
          <w:rFonts w:hint="eastAsia" w:ascii="宋体" w:hAnsi="宋体" w:eastAsia="宋体" w:cs="宋体"/>
          <w:b/>
          <w:color w:val="auto"/>
          <w:kern w:val="0"/>
          <w:szCs w:val="21"/>
          <w:highlight w:val="none"/>
        </w:rPr>
        <w:t>排序第六的中标候选人作为中标人，以此类推。</w:t>
      </w:r>
    </w:p>
    <w:p w14:paraId="5F1A4182">
      <w:pPr>
        <w:autoSpaceDE w:val="0"/>
        <w:autoSpaceDN w:val="0"/>
        <w:adjustRightInd w:val="0"/>
        <w:snapToGrid w:val="0"/>
        <w:spacing w:line="360" w:lineRule="auto"/>
        <w:ind w:left="315" w:leftChars="-100" w:hanging="525" w:hangingChars="250"/>
        <w:jc w:val="left"/>
        <w:rPr>
          <w:rFonts w:hint="eastAsia" w:ascii="宋体" w:hAnsi="宋体" w:eastAsia="宋体" w:cs="宋体"/>
          <w:color w:val="auto"/>
          <w:szCs w:val="21"/>
          <w:highlight w:val="none"/>
          <w:lang w:val="zh-CN"/>
        </w:rPr>
      </w:pPr>
      <w:bookmarkStart w:id="344" w:name="_Toc450662885"/>
    </w:p>
    <w:p w14:paraId="5F3020C2">
      <w:pPr>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345" w:name="_Toc14377"/>
      <w:bookmarkStart w:id="346" w:name="_Toc30135"/>
      <w:bookmarkStart w:id="347" w:name="_Toc142508350"/>
      <w:bookmarkStart w:id="348" w:name="_Toc6726_WPSOffice_Level3"/>
      <w:bookmarkStart w:id="349" w:name="_Toc486167699"/>
      <w:bookmarkStart w:id="350" w:name="_Toc18984"/>
      <w:bookmarkStart w:id="351" w:name="_Toc8196"/>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rPr>
        <w:t>5</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中标通知</w:t>
      </w:r>
      <w:bookmarkEnd w:id="344"/>
      <w:bookmarkEnd w:id="345"/>
      <w:bookmarkEnd w:id="346"/>
      <w:bookmarkEnd w:id="347"/>
      <w:bookmarkEnd w:id="348"/>
      <w:bookmarkEnd w:id="349"/>
      <w:bookmarkEnd w:id="350"/>
      <w:bookmarkEnd w:id="351"/>
    </w:p>
    <w:p w14:paraId="7D7D036B">
      <w:pPr>
        <w:autoSpaceDE w:val="0"/>
        <w:autoSpaceDN w:val="0"/>
        <w:adjustRightInd w:val="0"/>
        <w:snapToGrid w:val="0"/>
        <w:spacing w:line="360" w:lineRule="auto"/>
        <w:ind w:left="315" w:leftChars="-100" w:hanging="525" w:hangingChars="250"/>
        <w:jc w:val="left"/>
        <w:rPr>
          <w:rFonts w:hint="eastAsia" w:ascii="宋体" w:hAnsi="宋体" w:eastAsia="宋体" w:cs="宋体"/>
          <w:color w:val="auto"/>
          <w:szCs w:val="21"/>
          <w:highlight w:val="none"/>
          <w:lang w:val="zh-CN"/>
        </w:rPr>
      </w:pPr>
      <w:bookmarkStart w:id="352" w:name="_Toc450662886"/>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招标代理机构向中标人发出书面通知，中标通知书是合同的一个组成部分。</w:t>
      </w:r>
    </w:p>
    <w:p w14:paraId="6E020B64">
      <w:pPr>
        <w:autoSpaceDE w:val="0"/>
        <w:autoSpaceDN w:val="0"/>
        <w:adjustRightInd w:val="0"/>
        <w:snapToGrid w:val="0"/>
        <w:spacing w:line="360" w:lineRule="auto"/>
        <w:ind w:left="315" w:leftChars="-100" w:hanging="525" w:hangingChars="25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招标代理机构向中标人发出书面通知的同时，招标代理机构通知落选的投标人其投标文件未被接受而不提原因。</w:t>
      </w:r>
    </w:p>
    <w:p w14:paraId="73F23939">
      <w:pPr>
        <w:autoSpaceDE w:val="0"/>
        <w:autoSpaceDN w:val="0"/>
        <w:adjustRightInd w:val="0"/>
        <w:snapToGrid w:val="0"/>
        <w:spacing w:line="360" w:lineRule="auto"/>
        <w:ind w:left="315" w:leftChars="-100" w:hanging="525" w:hangingChars="250"/>
        <w:jc w:val="left"/>
        <w:rPr>
          <w:rFonts w:hint="eastAsia" w:ascii="宋体" w:hAnsi="宋体" w:eastAsia="宋体" w:cs="宋体"/>
          <w:color w:val="auto"/>
          <w:szCs w:val="21"/>
          <w:highlight w:val="none"/>
          <w:lang w:val="zh-CN"/>
        </w:rPr>
      </w:pPr>
    </w:p>
    <w:p w14:paraId="16FB6DC4">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353" w:name="_Toc29712"/>
      <w:bookmarkStart w:id="354" w:name="_Toc486167700"/>
      <w:bookmarkStart w:id="355" w:name="_Toc28020"/>
      <w:bookmarkStart w:id="356" w:name="_Toc142508351"/>
      <w:bookmarkStart w:id="357" w:name="_Toc19127"/>
      <w:bookmarkStart w:id="358" w:name="_Toc9694_WPSOffice_Level3"/>
      <w:bookmarkStart w:id="359" w:name="_Toc1331"/>
      <w:r>
        <w:rPr>
          <w:rFonts w:hint="eastAsia" w:ascii="宋体" w:hAnsi="宋体" w:eastAsia="宋体" w:cs="宋体"/>
          <w:color w:val="auto"/>
          <w:szCs w:val="21"/>
          <w:highlight w:val="none"/>
        </w:rPr>
        <w:t>36</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签署合同</w:t>
      </w:r>
      <w:bookmarkEnd w:id="352"/>
      <w:bookmarkEnd w:id="353"/>
      <w:bookmarkEnd w:id="354"/>
      <w:bookmarkEnd w:id="355"/>
      <w:bookmarkEnd w:id="356"/>
      <w:bookmarkEnd w:id="357"/>
      <w:bookmarkEnd w:id="358"/>
      <w:bookmarkEnd w:id="359"/>
    </w:p>
    <w:p w14:paraId="184BF5DA">
      <w:pPr>
        <w:tabs>
          <w:tab w:val="left" w:pos="540"/>
        </w:tabs>
        <w:autoSpaceDE w:val="0"/>
        <w:autoSpaceDN w:val="0"/>
        <w:adjustRightInd w:val="0"/>
        <w:spacing w:line="360" w:lineRule="auto"/>
        <w:ind w:left="330" w:leftChars="-100" w:right="15" w:rightChars="7"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36</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Times New Roman"/>
          <w:b/>
          <w:color w:val="auto"/>
          <w:szCs w:val="21"/>
          <w:highlight w:val="none"/>
          <w:u w:val="single"/>
          <w:lang w:val="zh-CN"/>
        </w:rPr>
        <w:t>中标人在自中标通知书发出之日起30日内，按照招标文件和中标人的投标文件的约定，与招标人签订书面合同，具体签订方式以招标人通知为准。否则招标人有权取消中标资格并按招标文件及法律、法规的规定进行处理</w:t>
      </w:r>
      <w:r>
        <w:rPr>
          <w:rFonts w:hint="eastAsia" w:ascii="宋体" w:hAnsi="宋体" w:eastAsia="宋体" w:cs="宋体"/>
          <w:color w:val="auto"/>
          <w:szCs w:val="21"/>
          <w:highlight w:val="none"/>
          <w:lang w:val="zh-CN"/>
        </w:rPr>
        <w:t>。</w:t>
      </w:r>
    </w:p>
    <w:p w14:paraId="40704F0E">
      <w:pPr>
        <w:autoSpaceDE w:val="0"/>
        <w:autoSpaceDN w:val="0"/>
        <w:adjustRightInd w:val="0"/>
        <w:snapToGrid w:val="0"/>
        <w:spacing w:line="360" w:lineRule="auto"/>
        <w:ind w:left="315" w:leftChars="-100" w:hanging="525" w:hangingChars="250"/>
        <w:jc w:val="left"/>
        <w:rPr>
          <w:rFonts w:hint="eastAsia" w:ascii="宋体" w:hAnsi="宋体" w:eastAsia="宋体" w:cs="宋体"/>
          <w:color w:val="auto"/>
          <w:szCs w:val="21"/>
          <w:highlight w:val="none"/>
          <w:lang w:val="zh-CN"/>
        </w:rPr>
      </w:pPr>
    </w:p>
    <w:p w14:paraId="19834F08">
      <w:pPr>
        <w:tabs>
          <w:tab w:val="left" w:pos="360"/>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360" w:name="_Toc13516"/>
      <w:bookmarkStart w:id="361" w:name="_Toc10513_WPSOffice_Level3"/>
      <w:bookmarkStart w:id="362" w:name="_Toc5304"/>
      <w:bookmarkStart w:id="363" w:name="_Toc142508352"/>
      <w:bookmarkStart w:id="364" w:name="_Toc486167701"/>
      <w:bookmarkStart w:id="365" w:name="_Toc8181"/>
      <w:bookmarkStart w:id="366" w:name="_Toc3830"/>
      <w:bookmarkStart w:id="367" w:name="_Toc450662887"/>
      <w:r>
        <w:rPr>
          <w:rFonts w:hint="eastAsia" w:ascii="宋体" w:hAnsi="宋体" w:eastAsia="宋体" w:cs="宋体"/>
          <w:color w:val="auto"/>
          <w:szCs w:val="21"/>
          <w:highlight w:val="none"/>
        </w:rPr>
        <w:t>37</w:t>
      </w:r>
      <w:r>
        <w:rPr>
          <w:rFonts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履约</w:t>
      </w:r>
      <w:r>
        <w:rPr>
          <w:rFonts w:hint="eastAsia" w:ascii="宋体" w:hAnsi="宋体" w:eastAsia="宋体" w:cs="宋体"/>
          <w:color w:val="auto"/>
          <w:szCs w:val="21"/>
          <w:highlight w:val="none"/>
          <w:lang w:val="en-US" w:eastAsia="zh-CN"/>
        </w:rPr>
        <w:t>保证金</w:t>
      </w:r>
      <w:bookmarkEnd w:id="360"/>
      <w:bookmarkEnd w:id="361"/>
      <w:bookmarkEnd w:id="362"/>
      <w:bookmarkEnd w:id="363"/>
      <w:bookmarkEnd w:id="364"/>
      <w:bookmarkEnd w:id="365"/>
      <w:bookmarkEnd w:id="366"/>
      <w:bookmarkEnd w:id="367"/>
    </w:p>
    <w:p w14:paraId="1350011C">
      <w:pPr>
        <w:numPr>
          <w:ilvl w:val="1"/>
          <w:numId w:val="0"/>
        </w:numPr>
        <w:autoSpaceDE w:val="0"/>
        <w:autoSpaceDN w:val="0"/>
        <w:adjustRightInd w:val="0"/>
        <w:spacing w:line="360" w:lineRule="auto"/>
        <w:ind w:left="354" w:leftChars="-100" w:right="15" w:rightChars="7" w:hanging="564" w:hangingChars="269"/>
        <w:rPr>
          <w:rFonts w:hint="eastAsia" w:ascii="宋体" w:hAnsi="宋体" w:eastAsia="宋体" w:cs="宋体"/>
          <w:b/>
          <w:bCs/>
          <w:color w:val="auto"/>
          <w:szCs w:val="21"/>
          <w:highlight w:val="none"/>
          <w:lang w:val="zh-CN"/>
        </w:rPr>
      </w:pPr>
      <w:bookmarkStart w:id="368" w:name="_Toc466882025"/>
      <w:bookmarkStart w:id="369" w:name="_Toc465358977"/>
      <w:r>
        <w:rPr>
          <w:rFonts w:hint="eastAsia" w:ascii="宋体" w:hAnsi="宋体" w:eastAsia="宋体" w:cs="宋体"/>
          <w:bCs/>
          <w:color w:val="auto"/>
          <w:szCs w:val="21"/>
          <w:highlight w:val="none"/>
        </w:rPr>
        <w:t>37</w:t>
      </w:r>
      <w:r>
        <w:rPr>
          <w:rFonts w:hint="eastAsia" w:ascii="宋体" w:hAnsi="宋体" w:eastAsia="宋体" w:cs="宋体"/>
          <w:bCs/>
          <w:color w:val="auto"/>
          <w:szCs w:val="21"/>
          <w:highlight w:val="none"/>
          <w:lang w:val="zh-CN"/>
        </w:rPr>
        <w:t>.1</w:t>
      </w:r>
      <w:r>
        <w:rPr>
          <w:rFonts w:hint="eastAsia" w:ascii="宋体" w:hAnsi="宋体" w:eastAsia="宋体" w:cs="宋体"/>
          <w:b/>
          <w:bCs/>
          <w:color w:val="auto"/>
          <w:szCs w:val="21"/>
          <w:highlight w:val="none"/>
          <w:lang w:val="zh-CN"/>
        </w:rPr>
        <w:t xml:space="preserve"> </w:t>
      </w:r>
      <w:r>
        <w:rPr>
          <w:rFonts w:hint="eastAsia" w:ascii="宋体" w:hAnsi="宋体" w:eastAsia="宋体" w:cs="Times New Roman"/>
          <w:b/>
          <w:bCs/>
          <w:color w:val="auto"/>
          <w:szCs w:val="21"/>
          <w:highlight w:val="none"/>
          <w:u w:val="single"/>
          <w:lang w:val="zh-CN"/>
        </w:rPr>
        <w:t>中标人应在</w:t>
      </w:r>
      <w:r>
        <w:rPr>
          <w:rFonts w:hint="eastAsia" w:ascii="宋体" w:hAnsi="宋体" w:eastAsia="宋体" w:cs="Times New Roman"/>
          <w:b/>
          <w:bCs/>
          <w:color w:val="auto"/>
          <w:szCs w:val="21"/>
          <w:highlight w:val="none"/>
          <w:u w:val="single"/>
        </w:rPr>
        <w:t>签订合同</w:t>
      </w:r>
      <w:r>
        <w:rPr>
          <w:rFonts w:hint="eastAsia" w:ascii="宋体" w:hAnsi="宋体" w:eastAsia="宋体" w:cs="Times New Roman"/>
          <w:b/>
          <w:bCs/>
          <w:color w:val="auto"/>
          <w:szCs w:val="21"/>
          <w:highlight w:val="none"/>
          <w:u w:val="single"/>
          <w:lang w:val="en-US" w:eastAsia="zh-CN"/>
        </w:rPr>
        <w:t>前</w:t>
      </w:r>
      <w:r>
        <w:rPr>
          <w:rFonts w:hint="eastAsia" w:ascii="宋体" w:hAnsi="宋体" w:eastAsia="宋体" w:cs="Times New Roman"/>
          <w:b/>
          <w:bCs/>
          <w:color w:val="auto"/>
          <w:szCs w:val="21"/>
          <w:highlight w:val="none"/>
          <w:u w:val="single"/>
          <w:lang w:val="zh-CN"/>
        </w:rPr>
        <w:t>，</w:t>
      </w:r>
      <w:r>
        <w:rPr>
          <w:rFonts w:hint="eastAsia" w:ascii="宋体" w:hAnsi="宋体" w:eastAsia="宋体" w:cs="Times New Roman"/>
          <w:b/>
          <w:bCs/>
          <w:color w:val="auto"/>
          <w:szCs w:val="21"/>
          <w:highlight w:val="none"/>
          <w:u w:val="single"/>
        </w:rPr>
        <w:t>通过银行转账方式</w:t>
      </w:r>
      <w:r>
        <w:rPr>
          <w:rFonts w:hint="eastAsia" w:ascii="宋体" w:hAnsi="宋体" w:eastAsia="宋体" w:cs="Times New Roman"/>
          <w:b/>
          <w:bCs/>
          <w:color w:val="auto"/>
          <w:szCs w:val="21"/>
          <w:highlight w:val="none"/>
          <w:u w:val="single"/>
          <w:lang w:val="zh-CN"/>
        </w:rPr>
        <w:t>向招标人提交</w:t>
      </w:r>
      <w:r>
        <w:rPr>
          <w:rFonts w:hint="eastAsia" w:ascii="宋体" w:hAnsi="宋体" w:eastAsia="宋体" w:cs="Times New Roman"/>
          <w:b/>
          <w:bCs/>
          <w:color w:val="auto"/>
          <w:szCs w:val="21"/>
          <w:highlight w:val="none"/>
          <w:u w:val="single"/>
        </w:rPr>
        <w:t>人民币贰拾万元整（¥200,000.00元）的</w:t>
      </w:r>
      <w:r>
        <w:rPr>
          <w:rFonts w:hint="eastAsia" w:ascii="宋体" w:hAnsi="宋体" w:eastAsia="宋体" w:cs="Times New Roman"/>
          <w:b/>
          <w:bCs/>
          <w:color w:val="auto"/>
          <w:szCs w:val="21"/>
          <w:highlight w:val="none"/>
          <w:u w:val="single"/>
          <w:lang w:val="zh-CN"/>
        </w:rPr>
        <w:t>履约保证金</w:t>
      </w:r>
      <w:r>
        <w:rPr>
          <w:rFonts w:hint="eastAsia" w:ascii="宋体" w:hAnsi="宋体" w:eastAsia="宋体" w:cs="Times New Roman"/>
          <w:b/>
          <w:bCs/>
          <w:color w:val="auto"/>
          <w:szCs w:val="21"/>
          <w:highlight w:val="none"/>
          <w:u w:val="single"/>
        </w:rPr>
        <w:t>，</w:t>
      </w:r>
      <w:r>
        <w:rPr>
          <w:rFonts w:ascii="宋体" w:hAnsi="宋体" w:eastAsia="宋体" w:cs="Arial"/>
          <w:b/>
          <w:bCs/>
          <w:color w:val="auto"/>
          <w:kern w:val="0"/>
          <w:szCs w:val="24"/>
          <w:highlight w:val="none"/>
          <w:u w:val="single"/>
        </w:rPr>
        <w:t>否则招标人可取消中标人的中标资格，</w:t>
      </w:r>
      <w:r>
        <w:rPr>
          <w:rFonts w:hint="eastAsia" w:ascii="宋体" w:hAnsi="宋体" w:eastAsia="宋体" w:cs="Arial"/>
          <w:b/>
          <w:bCs/>
          <w:color w:val="auto"/>
          <w:kern w:val="0"/>
          <w:szCs w:val="24"/>
          <w:highlight w:val="none"/>
          <w:u w:val="single"/>
        </w:rPr>
        <w:t>不予退还其投标保证金。</w:t>
      </w:r>
      <w:r>
        <w:rPr>
          <w:rFonts w:hint="eastAsia" w:ascii="宋体" w:hAnsi="宋体" w:eastAsia="宋体" w:cs="Arial"/>
          <w:bCs/>
          <w:color w:val="auto"/>
          <w:kern w:val="0"/>
          <w:szCs w:val="24"/>
          <w:highlight w:val="none"/>
        </w:rPr>
        <w:t>合同履行过程中，中标人</w:t>
      </w:r>
      <w:r>
        <w:rPr>
          <w:rFonts w:hint="eastAsia" w:ascii="宋体" w:hAnsi="宋体" w:eastAsia="宋体" w:cs="Arial"/>
          <w:color w:val="auto"/>
          <w:kern w:val="0"/>
          <w:szCs w:val="24"/>
          <w:highlight w:val="none"/>
        </w:rPr>
        <w:t>给招标人</w:t>
      </w:r>
      <w:r>
        <w:rPr>
          <w:rFonts w:hint="eastAsia" w:ascii="宋体" w:hAnsi="宋体" w:eastAsia="宋体" w:cs="Arial"/>
          <w:color w:val="auto"/>
          <w:kern w:val="0"/>
          <w:szCs w:val="24"/>
          <w:highlight w:val="none"/>
          <w:lang w:val="en-US" w:eastAsia="zh-CN"/>
        </w:rPr>
        <w:t>或</w:t>
      </w:r>
      <w:r>
        <w:rPr>
          <w:rFonts w:hint="eastAsia" w:ascii="宋体" w:hAnsi="宋体" w:eastAsia="宋体" w:cs="Arial"/>
          <w:color w:val="auto"/>
          <w:kern w:val="0"/>
          <w:szCs w:val="24"/>
          <w:highlight w:val="none"/>
        </w:rPr>
        <w:t>其</w:t>
      </w:r>
      <w:r>
        <w:rPr>
          <w:rFonts w:hint="eastAsia" w:ascii="宋体" w:hAnsi="宋体" w:eastAsia="宋体" w:cs="Arial"/>
          <w:color w:val="auto"/>
          <w:kern w:val="0"/>
          <w:szCs w:val="24"/>
          <w:highlight w:val="none"/>
          <w:lang w:eastAsia="zh-CN"/>
        </w:rPr>
        <w:t>下属企业</w:t>
      </w:r>
      <w:r>
        <w:rPr>
          <w:rFonts w:hint="eastAsia" w:ascii="宋体" w:hAnsi="宋体" w:eastAsia="宋体" w:cs="Arial"/>
          <w:color w:val="auto"/>
          <w:kern w:val="0"/>
          <w:szCs w:val="24"/>
          <w:highlight w:val="none"/>
        </w:rPr>
        <w:t>造成的损失超过履约</w:t>
      </w:r>
      <w:r>
        <w:rPr>
          <w:rFonts w:hint="eastAsia" w:ascii="宋体" w:hAnsi="宋体" w:eastAsia="宋体" w:cs="宋体"/>
          <w:color w:val="auto"/>
          <w:szCs w:val="21"/>
          <w:highlight w:val="none"/>
          <w:lang w:val="en-US" w:eastAsia="zh-CN"/>
        </w:rPr>
        <w:t>保证金</w:t>
      </w:r>
      <w:r>
        <w:rPr>
          <w:rFonts w:hint="eastAsia" w:ascii="宋体" w:hAnsi="宋体" w:eastAsia="宋体" w:cs="Arial"/>
          <w:color w:val="auto"/>
          <w:kern w:val="0"/>
          <w:szCs w:val="24"/>
          <w:highlight w:val="none"/>
        </w:rPr>
        <w:t>数额的，中标人还应当对超过部分予以赔偿，招标人</w:t>
      </w:r>
      <w:r>
        <w:rPr>
          <w:rFonts w:hint="eastAsia" w:ascii="宋体" w:hAnsi="宋体" w:eastAsia="宋体" w:cs="Arial"/>
          <w:color w:val="auto"/>
          <w:kern w:val="0"/>
          <w:szCs w:val="24"/>
          <w:highlight w:val="none"/>
          <w:lang w:val="en-US" w:eastAsia="zh-CN"/>
        </w:rPr>
        <w:t>或</w:t>
      </w:r>
      <w:r>
        <w:rPr>
          <w:rFonts w:hint="eastAsia" w:ascii="宋体" w:hAnsi="宋体" w:eastAsia="宋体" w:cs="宋体"/>
          <w:color w:val="auto"/>
          <w:szCs w:val="21"/>
          <w:highlight w:val="none"/>
          <w:u w:val="none"/>
          <w:lang w:val="en-US" w:eastAsia="zh-CN"/>
        </w:rPr>
        <w:t>其下属企业</w:t>
      </w:r>
      <w:r>
        <w:rPr>
          <w:rFonts w:hint="eastAsia" w:ascii="宋体" w:hAnsi="宋体" w:eastAsia="宋体" w:cs="Arial"/>
          <w:color w:val="auto"/>
          <w:kern w:val="0"/>
          <w:szCs w:val="24"/>
          <w:highlight w:val="none"/>
        </w:rPr>
        <w:t>并依法追究中标人的相应责任。</w:t>
      </w:r>
    </w:p>
    <w:p w14:paraId="64BE027A">
      <w:pPr>
        <w:tabs>
          <w:tab w:val="left" w:pos="360"/>
          <w:tab w:val="left" w:pos="4725"/>
        </w:tabs>
        <w:autoSpaceDE w:val="0"/>
        <w:autoSpaceDN w:val="0"/>
        <w:adjustRightInd w:val="0"/>
        <w:spacing w:line="360" w:lineRule="auto"/>
        <w:ind w:left="315" w:leftChars="-100" w:hanging="525" w:hangingChars="25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37.2 </w:t>
      </w:r>
      <w:r>
        <w:rPr>
          <w:rFonts w:hint="eastAsia" w:ascii="宋体" w:hAnsi="宋体" w:eastAsia="宋体" w:cs="Times New Roman"/>
          <w:color w:val="auto"/>
          <w:kern w:val="0"/>
          <w:szCs w:val="21"/>
          <w:highlight w:val="none"/>
        </w:rPr>
        <w:t>履约</w:t>
      </w:r>
      <w:r>
        <w:rPr>
          <w:rFonts w:hint="eastAsia" w:ascii="宋体" w:hAnsi="宋体" w:eastAsia="宋体" w:cs="宋体"/>
          <w:color w:val="auto"/>
          <w:szCs w:val="21"/>
          <w:highlight w:val="none"/>
          <w:lang w:val="en-US" w:eastAsia="zh-CN"/>
        </w:rPr>
        <w:t>保证金</w:t>
      </w:r>
      <w:r>
        <w:rPr>
          <w:rFonts w:hint="eastAsia" w:ascii="宋体" w:hAnsi="宋体" w:eastAsia="宋体" w:cs="Times New Roman"/>
          <w:color w:val="auto"/>
          <w:kern w:val="0"/>
          <w:szCs w:val="21"/>
          <w:highlight w:val="none"/>
        </w:rPr>
        <w:t>用于补偿招标人</w:t>
      </w:r>
      <w:r>
        <w:rPr>
          <w:rFonts w:hint="eastAsia" w:ascii="宋体" w:hAnsi="宋体" w:eastAsia="宋体" w:cs="Arial"/>
          <w:color w:val="auto"/>
          <w:kern w:val="0"/>
          <w:szCs w:val="24"/>
          <w:highlight w:val="none"/>
          <w:lang w:val="en-US" w:eastAsia="zh-CN"/>
        </w:rPr>
        <w:t>或</w:t>
      </w:r>
      <w:r>
        <w:rPr>
          <w:rFonts w:hint="eastAsia" w:ascii="宋体" w:hAnsi="宋体" w:eastAsia="宋体" w:cs="宋体"/>
          <w:color w:val="auto"/>
          <w:szCs w:val="21"/>
          <w:highlight w:val="none"/>
          <w:u w:val="none"/>
          <w:lang w:val="en-US" w:eastAsia="zh-CN"/>
        </w:rPr>
        <w:t>其下属企业</w:t>
      </w:r>
      <w:r>
        <w:rPr>
          <w:rFonts w:hint="eastAsia" w:ascii="宋体" w:hAnsi="宋体" w:eastAsia="宋体" w:cs="Times New Roman"/>
          <w:color w:val="auto"/>
          <w:kern w:val="0"/>
          <w:szCs w:val="21"/>
          <w:highlight w:val="none"/>
        </w:rPr>
        <w:t>因中标人不能完全履行其合同义务而蒙受的损失或其他合同约定的事项。如发生下列任一情况时，招标人有权依合同追究违约责任外，同时有权提取履约</w:t>
      </w:r>
      <w:r>
        <w:rPr>
          <w:rFonts w:hint="eastAsia" w:ascii="宋体" w:hAnsi="宋体" w:eastAsia="宋体" w:cs="宋体"/>
          <w:color w:val="auto"/>
          <w:szCs w:val="21"/>
          <w:highlight w:val="none"/>
          <w:lang w:val="en-US" w:eastAsia="zh-CN"/>
        </w:rPr>
        <w:t>保证金</w:t>
      </w:r>
      <w:r>
        <w:rPr>
          <w:rFonts w:hint="eastAsia" w:ascii="宋体" w:hAnsi="宋体" w:eastAsia="宋体" w:cs="Times New Roman"/>
          <w:color w:val="auto"/>
          <w:kern w:val="0"/>
          <w:szCs w:val="21"/>
          <w:highlight w:val="none"/>
        </w:rPr>
        <w:t>并进行相应处理</w:t>
      </w:r>
      <w:r>
        <w:rPr>
          <w:rFonts w:hint="eastAsia" w:ascii="宋体" w:hAnsi="宋体" w:eastAsia="宋体" w:cs="宋体"/>
          <w:color w:val="auto"/>
          <w:kern w:val="0"/>
          <w:szCs w:val="21"/>
          <w:highlight w:val="none"/>
        </w:rPr>
        <w:t>：</w:t>
      </w:r>
    </w:p>
    <w:p w14:paraId="46C90510">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1）</w:t>
      </w:r>
      <w:r>
        <w:rPr>
          <w:rFonts w:hint="eastAsia" w:ascii="宋体" w:hAnsi="宋体" w:eastAsia="宋体" w:cs="Times New Roman"/>
          <w:color w:val="auto"/>
          <w:kern w:val="0"/>
          <w:szCs w:val="21"/>
          <w:highlight w:val="none"/>
        </w:rPr>
        <w:t>中标人将合同项下中标人的权利义务全部转让给第三方，或未经招标人</w:t>
      </w:r>
      <w:r>
        <w:rPr>
          <w:rFonts w:hint="eastAsia" w:ascii="宋体" w:hAnsi="宋体" w:eastAsia="宋体" w:cs="Arial"/>
          <w:color w:val="auto"/>
          <w:kern w:val="0"/>
          <w:szCs w:val="24"/>
          <w:highlight w:val="none"/>
          <w:lang w:val="en-US" w:eastAsia="zh-CN"/>
        </w:rPr>
        <w:t>或</w:t>
      </w:r>
      <w:r>
        <w:rPr>
          <w:rFonts w:hint="eastAsia" w:ascii="宋体" w:hAnsi="宋体" w:eastAsia="宋体" w:cs="宋体"/>
          <w:color w:val="auto"/>
          <w:szCs w:val="21"/>
          <w:highlight w:val="none"/>
          <w:u w:val="none"/>
          <w:lang w:val="en-US" w:eastAsia="zh-CN"/>
        </w:rPr>
        <w:t>其下属企业</w:t>
      </w:r>
      <w:r>
        <w:rPr>
          <w:rFonts w:hint="eastAsia" w:ascii="宋体" w:hAnsi="宋体" w:eastAsia="宋体" w:cs="Times New Roman"/>
          <w:color w:val="auto"/>
          <w:kern w:val="0"/>
          <w:szCs w:val="21"/>
          <w:highlight w:val="none"/>
        </w:rPr>
        <w:t>书面同意将部分权利义务转让给第三方的，招标人有权没收其履约</w:t>
      </w:r>
      <w:r>
        <w:rPr>
          <w:rFonts w:hint="eastAsia" w:ascii="宋体" w:hAnsi="宋体" w:eastAsia="宋体" w:cs="宋体"/>
          <w:color w:val="auto"/>
          <w:szCs w:val="21"/>
          <w:highlight w:val="none"/>
          <w:lang w:val="en-US" w:eastAsia="zh-CN"/>
        </w:rPr>
        <w:t>保证金</w:t>
      </w:r>
      <w:r>
        <w:rPr>
          <w:rFonts w:hint="eastAsia" w:ascii="宋体" w:hAnsi="宋体" w:eastAsia="宋体" w:cs="Times New Roman"/>
          <w:color w:val="auto"/>
          <w:kern w:val="0"/>
          <w:szCs w:val="21"/>
          <w:highlight w:val="none"/>
        </w:rPr>
        <w:t>。</w:t>
      </w:r>
    </w:p>
    <w:p w14:paraId="09EB4A7D">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2）在合同履行期间，中标人</w:t>
      </w:r>
      <w:r>
        <w:rPr>
          <w:rFonts w:hint="eastAsia" w:ascii="宋体" w:hAnsi="宋体" w:eastAsia="宋体" w:cs="Times New Roman"/>
          <w:color w:val="auto"/>
          <w:kern w:val="0"/>
          <w:szCs w:val="21"/>
          <w:highlight w:val="none"/>
        </w:rPr>
        <w:t>怠于履行合同义务，经招标人</w:t>
      </w:r>
      <w:r>
        <w:rPr>
          <w:rFonts w:hint="eastAsia" w:ascii="宋体" w:hAnsi="宋体" w:eastAsia="宋体" w:cs="Arial"/>
          <w:color w:val="auto"/>
          <w:kern w:val="0"/>
          <w:szCs w:val="24"/>
          <w:highlight w:val="none"/>
          <w:lang w:val="en-US" w:eastAsia="zh-CN"/>
        </w:rPr>
        <w:t>或</w:t>
      </w:r>
      <w:r>
        <w:rPr>
          <w:rFonts w:hint="eastAsia" w:ascii="宋体" w:hAnsi="宋体" w:eastAsia="宋体" w:cs="宋体"/>
          <w:color w:val="auto"/>
          <w:szCs w:val="21"/>
          <w:highlight w:val="none"/>
          <w:u w:val="none"/>
          <w:lang w:val="en-US" w:eastAsia="zh-CN"/>
        </w:rPr>
        <w:t>其下属企业</w:t>
      </w:r>
      <w:r>
        <w:rPr>
          <w:rFonts w:hint="eastAsia" w:ascii="宋体" w:hAnsi="宋体" w:eastAsia="宋体" w:cs="Times New Roman"/>
          <w:color w:val="auto"/>
          <w:kern w:val="0"/>
          <w:szCs w:val="21"/>
          <w:highlight w:val="none"/>
        </w:rPr>
        <w:t>通知或要求承担违约金后仍拒不改正的，招标人可依法没收或适当扣除其履约</w:t>
      </w:r>
      <w:r>
        <w:rPr>
          <w:rFonts w:hint="eastAsia" w:ascii="宋体" w:hAnsi="宋体" w:eastAsia="宋体" w:cs="宋体"/>
          <w:color w:val="auto"/>
          <w:szCs w:val="21"/>
          <w:highlight w:val="none"/>
          <w:lang w:val="en-US" w:eastAsia="zh-CN"/>
        </w:rPr>
        <w:t>保证金</w:t>
      </w:r>
      <w:r>
        <w:rPr>
          <w:rFonts w:hint="eastAsia" w:ascii="宋体" w:hAnsi="宋体" w:eastAsia="宋体" w:cs="Times New Roman"/>
          <w:color w:val="auto"/>
          <w:kern w:val="0"/>
          <w:szCs w:val="21"/>
          <w:highlight w:val="none"/>
        </w:rPr>
        <w:t>。</w:t>
      </w:r>
    </w:p>
    <w:p w14:paraId="14BDB4D7">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3）在合同履行期间，因中标人</w:t>
      </w:r>
      <w:r>
        <w:rPr>
          <w:rFonts w:hint="eastAsia" w:ascii="宋体" w:hAnsi="宋体" w:eastAsia="宋体" w:cs="Times New Roman"/>
          <w:color w:val="auto"/>
          <w:kern w:val="0"/>
          <w:szCs w:val="21"/>
          <w:highlight w:val="none"/>
        </w:rPr>
        <w:t>货物、</w:t>
      </w:r>
      <w:r>
        <w:rPr>
          <w:rFonts w:ascii="宋体" w:hAnsi="宋体" w:eastAsia="宋体" w:cs="Times New Roman"/>
          <w:color w:val="auto"/>
          <w:kern w:val="0"/>
          <w:szCs w:val="21"/>
          <w:highlight w:val="none"/>
        </w:rPr>
        <w:t>服务质量问题造成损害、侵权损失（包括但不限于招标人</w:t>
      </w:r>
      <w:r>
        <w:rPr>
          <w:rFonts w:hint="eastAsia" w:ascii="宋体" w:hAnsi="宋体" w:eastAsia="宋体" w:cs="Arial"/>
          <w:color w:val="auto"/>
          <w:kern w:val="0"/>
          <w:szCs w:val="24"/>
          <w:highlight w:val="none"/>
          <w:lang w:val="en-US" w:eastAsia="zh-CN"/>
        </w:rPr>
        <w:t>或</w:t>
      </w:r>
      <w:r>
        <w:rPr>
          <w:rFonts w:hint="eastAsia" w:ascii="宋体" w:hAnsi="宋体" w:eastAsia="宋体" w:cs="宋体"/>
          <w:color w:val="auto"/>
          <w:szCs w:val="21"/>
          <w:highlight w:val="none"/>
          <w:u w:val="none"/>
          <w:lang w:val="en-US" w:eastAsia="zh-CN"/>
        </w:rPr>
        <w:t>其下属企业</w:t>
      </w:r>
      <w:r>
        <w:rPr>
          <w:rFonts w:hint="eastAsia" w:ascii="宋体" w:hAnsi="宋体" w:eastAsia="宋体" w:cs="Times New Roman"/>
          <w:color w:val="auto"/>
          <w:kern w:val="0"/>
          <w:szCs w:val="21"/>
          <w:highlight w:val="none"/>
        </w:rPr>
        <w:t>(含其人员)</w:t>
      </w:r>
      <w:r>
        <w:rPr>
          <w:rFonts w:ascii="宋体" w:hAnsi="宋体" w:eastAsia="宋体" w:cs="Times New Roman"/>
          <w:color w:val="auto"/>
          <w:kern w:val="0"/>
          <w:szCs w:val="21"/>
          <w:highlight w:val="none"/>
        </w:rPr>
        <w:t>经济损失、</w:t>
      </w:r>
      <w:r>
        <w:rPr>
          <w:rFonts w:hint="eastAsia" w:ascii="宋体" w:hAnsi="宋体" w:eastAsia="宋体" w:cs="宋体"/>
          <w:color w:val="auto"/>
          <w:szCs w:val="21"/>
          <w:highlight w:val="none"/>
        </w:rPr>
        <w:t>中标人所雇人员及</w:t>
      </w:r>
      <w:r>
        <w:rPr>
          <w:rFonts w:ascii="宋体" w:hAnsi="宋体" w:eastAsia="宋体" w:cs="Times New Roman"/>
          <w:color w:val="auto"/>
          <w:kern w:val="0"/>
          <w:szCs w:val="21"/>
          <w:highlight w:val="none"/>
        </w:rPr>
        <w:t>第三人人身财产损失等）、</w:t>
      </w:r>
      <w:r>
        <w:rPr>
          <w:rFonts w:hint="eastAsia" w:ascii="宋体" w:hAnsi="宋体" w:eastAsia="宋体" w:cs="Times New Roman"/>
          <w:color w:val="auto"/>
          <w:kern w:val="0"/>
          <w:szCs w:val="21"/>
          <w:highlight w:val="none"/>
        </w:rPr>
        <w:t>拖欠原材料供应商货款或与其所雇用员工发生劳资纠纷、上访、闹事或其他影响招标人</w:t>
      </w:r>
      <w:r>
        <w:rPr>
          <w:rFonts w:hint="eastAsia" w:ascii="宋体" w:hAnsi="宋体" w:eastAsia="宋体" w:cs="Arial"/>
          <w:color w:val="auto"/>
          <w:kern w:val="0"/>
          <w:szCs w:val="24"/>
          <w:highlight w:val="none"/>
          <w:lang w:val="en-US" w:eastAsia="zh-CN"/>
        </w:rPr>
        <w:t>或</w:t>
      </w:r>
      <w:r>
        <w:rPr>
          <w:rFonts w:hint="eastAsia" w:ascii="宋体" w:hAnsi="宋体" w:eastAsia="宋体" w:cs="宋体"/>
          <w:color w:val="auto"/>
          <w:szCs w:val="21"/>
          <w:highlight w:val="none"/>
          <w:u w:val="none"/>
          <w:lang w:val="en-US" w:eastAsia="zh-CN"/>
        </w:rPr>
        <w:t>其下属企业</w:t>
      </w:r>
      <w:r>
        <w:rPr>
          <w:rFonts w:hint="eastAsia" w:ascii="宋体" w:hAnsi="宋体" w:eastAsia="宋体" w:cs="Times New Roman"/>
          <w:color w:val="auto"/>
          <w:kern w:val="0"/>
          <w:szCs w:val="21"/>
          <w:highlight w:val="none"/>
        </w:rPr>
        <w:t>生产经营等情况而其未及时妥善处理的</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招标人有权使用履约</w:t>
      </w:r>
      <w:r>
        <w:rPr>
          <w:rFonts w:hint="eastAsia" w:ascii="宋体" w:hAnsi="宋体" w:eastAsia="宋体" w:cs="宋体"/>
          <w:color w:val="auto"/>
          <w:szCs w:val="21"/>
          <w:highlight w:val="none"/>
          <w:lang w:val="en-US" w:eastAsia="zh-CN"/>
        </w:rPr>
        <w:t>保证金</w:t>
      </w:r>
      <w:r>
        <w:rPr>
          <w:rFonts w:hint="eastAsia" w:ascii="宋体" w:hAnsi="宋体" w:eastAsia="宋体" w:cs="Times New Roman"/>
          <w:color w:val="auto"/>
          <w:kern w:val="0"/>
          <w:szCs w:val="21"/>
          <w:highlight w:val="none"/>
        </w:rPr>
        <w:t>予以支付或作出相应处理，由此产生的一切法律后果由中标人承担。</w:t>
      </w:r>
    </w:p>
    <w:p w14:paraId="51B4128B">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4）在合同履行期间，中标人违约产生的违约金、赔偿、罚款或其他应付费用等款项，招标人</w:t>
      </w:r>
      <w:r>
        <w:rPr>
          <w:rFonts w:hint="eastAsia" w:ascii="宋体" w:hAnsi="宋体" w:eastAsia="宋体" w:cs="Times New Roman"/>
          <w:color w:val="auto"/>
          <w:kern w:val="0"/>
          <w:szCs w:val="21"/>
          <w:highlight w:val="none"/>
        </w:rPr>
        <w:t>或其</w:t>
      </w:r>
      <w:r>
        <w:rPr>
          <w:rFonts w:hint="eastAsia" w:ascii="宋体" w:hAnsi="宋体" w:eastAsia="宋体" w:cs="Times New Roman"/>
          <w:color w:val="auto"/>
          <w:kern w:val="0"/>
          <w:szCs w:val="21"/>
          <w:highlight w:val="none"/>
          <w:lang w:eastAsia="zh-CN"/>
        </w:rPr>
        <w:t>下属企业</w:t>
      </w:r>
      <w:r>
        <w:rPr>
          <w:rFonts w:ascii="宋体" w:hAnsi="宋体" w:eastAsia="宋体" w:cs="Times New Roman"/>
          <w:color w:val="auto"/>
          <w:kern w:val="0"/>
          <w:szCs w:val="21"/>
          <w:highlight w:val="none"/>
        </w:rPr>
        <w:t>有权直接从未付款项中直接扣除或启用履约</w:t>
      </w:r>
      <w:r>
        <w:rPr>
          <w:rFonts w:hint="eastAsia" w:ascii="宋体" w:hAnsi="宋体" w:eastAsia="宋体" w:cs="宋体"/>
          <w:color w:val="auto"/>
          <w:szCs w:val="21"/>
          <w:highlight w:val="none"/>
          <w:lang w:val="en-US" w:eastAsia="zh-CN"/>
        </w:rPr>
        <w:t>保证金</w:t>
      </w:r>
      <w:r>
        <w:rPr>
          <w:rFonts w:ascii="宋体" w:hAnsi="宋体" w:eastAsia="宋体" w:cs="Times New Roman"/>
          <w:color w:val="auto"/>
          <w:kern w:val="0"/>
          <w:szCs w:val="21"/>
          <w:highlight w:val="none"/>
        </w:rPr>
        <w:t>予以支付。</w:t>
      </w:r>
    </w:p>
    <w:p w14:paraId="110FFC52">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5）合同期内，中标人不能及时完成合同某项义务的，招标人有权提取履约</w:t>
      </w:r>
      <w:r>
        <w:rPr>
          <w:rFonts w:hint="eastAsia" w:ascii="宋体" w:hAnsi="宋体" w:eastAsia="宋体" w:cs="宋体"/>
          <w:color w:val="auto"/>
          <w:szCs w:val="21"/>
          <w:highlight w:val="none"/>
          <w:lang w:val="en-US" w:eastAsia="zh-CN"/>
        </w:rPr>
        <w:t>保证金</w:t>
      </w:r>
      <w:r>
        <w:rPr>
          <w:rFonts w:ascii="宋体" w:hAnsi="宋体" w:eastAsia="宋体" w:cs="Times New Roman"/>
          <w:color w:val="auto"/>
          <w:kern w:val="0"/>
          <w:szCs w:val="21"/>
          <w:highlight w:val="none"/>
        </w:rPr>
        <w:t>用于处理该项工作。</w:t>
      </w:r>
    </w:p>
    <w:p w14:paraId="411FD223">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r>
        <w:rPr>
          <w:rFonts w:ascii="宋体" w:hAnsi="宋体" w:eastAsia="宋体" w:cs="Times New Roman"/>
          <w:color w:val="auto"/>
          <w:kern w:val="0"/>
          <w:szCs w:val="21"/>
          <w:highlight w:val="none"/>
        </w:rPr>
        <w:t>6）其他根据本合同约定或法律规定，招标人可启用履约</w:t>
      </w:r>
      <w:r>
        <w:rPr>
          <w:rFonts w:hint="eastAsia" w:ascii="宋体" w:hAnsi="宋体" w:eastAsia="宋体" w:cs="宋体"/>
          <w:color w:val="auto"/>
          <w:szCs w:val="21"/>
          <w:highlight w:val="none"/>
          <w:lang w:val="en-US" w:eastAsia="zh-CN"/>
        </w:rPr>
        <w:t>保证金</w:t>
      </w:r>
      <w:r>
        <w:rPr>
          <w:rFonts w:ascii="宋体" w:hAnsi="宋体" w:eastAsia="宋体" w:cs="Times New Roman"/>
          <w:color w:val="auto"/>
          <w:kern w:val="0"/>
          <w:szCs w:val="21"/>
          <w:highlight w:val="none"/>
        </w:rPr>
        <w:t>的情形。</w:t>
      </w:r>
    </w:p>
    <w:p w14:paraId="4582BCF4">
      <w:pPr>
        <w:tabs>
          <w:tab w:val="left" w:pos="360"/>
          <w:tab w:val="left" w:pos="4725"/>
        </w:tabs>
        <w:autoSpaceDE w:val="0"/>
        <w:autoSpaceDN w:val="0"/>
        <w:adjustRightInd w:val="0"/>
        <w:spacing w:line="360" w:lineRule="auto"/>
        <w:ind w:left="315" w:leftChars="-100" w:hanging="525" w:hangingChars="25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37.</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 xml:space="preserve">  履约保证金应用本合同货币。</w:t>
      </w:r>
    </w:p>
    <w:p w14:paraId="41C3A27C">
      <w:pPr>
        <w:tabs>
          <w:tab w:val="left" w:pos="360"/>
          <w:tab w:val="left" w:pos="4725"/>
        </w:tabs>
        <w:autoSpaceDE w:val="0"/>
        <w:autoSpaceDN w:val="0"/>
        <w:adjustRightInd w:val="0"/>
        <w:spacing w:line="360" w:lineRule="auto"/>
        <w:ind w:left="315" w:leftChars="-100" w:hanging="525" w:hangingChars="25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37.</w:t>
      </w: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rPr>
        <w:t xml:space="preserve">  </w:t>
      </w:r>
      <w:r>
        <w:rPr>
          <w:rFonts w:ascii="宋体" w:hAnsi="宋体" w:eastAsia="宋体" w:cs="Times New Roman"/>
          <w:color w:val="auto"/>
          <w:kern w:val="0"/>
          <w:szCs w:val="21"/>
          <w:highlight w:val="none"/>
        </w:rPr>
        <w:t>如中标人提交的履约保证金是其分支机构以转账形式转入的，要提交</w:t>
      </w:r>
      <w:r>
        <w:rPr>
          <w:rFonts w:hint="eastAsia" w:ascii="宋体" w:hAnsi="宋体" w:eastAsia="宋体" w:cs="Times New Roman"/>
          <w:color w:val="auto"/>
          <w:kern w:val="0"/>
          <w:szCs w:val="21"/>
          <w:highlight w:val="none"/>
        </w:rPr>
        <w:t>中标</w:t>
      </w:r>
      <w:r>
        <w:rPr>
          <w:rFonts w:ascii="宋体" w:hAnsi="宋体" w:eastAsia="宋体" w:cs="Times New Roman"/>
          <w:color w:val="auto"/>
          <w:kern w:val="0"/>
          <w:szCs w:val="21"/>
          <w:highlight w:val="none"/>
        </w:rPr>
        <w:t>人的法人书面授权，不接受由私人账户和其它单位转入的保证金</w:t>
      </w:r>
      <w:r>
        <w:rPr>
          <w:rFonts w:hint="eastAsia" w:ascii="宋体" w:hAnsi="宋体" w:eastAsia="宋体" w:cs="Times New Roman"/>
          <w:color w:val="auto"/>
          <w:kern w:val="0"/>
          <w:szCs w:val="21"/>
          <w:highlight w:val="none"/>
        </w:rPr>
        <w:t>，也不接受现金形式提交</w:t>
      </w:r>
      <w:r>
        <w:rPr>
          <w:rFonts w:ascii="宋体" w:hAnsi="宋体" w:eastAsia="宋体" w:cs="Times New Roman"/>
          <w:color w:val="auto"/>
          <w:kern w:val="0"/>
          <w:szCs w:val="21"/>
          <w:highlight w:val="none"/>
        </w:rPr>
        <w:t>。履约保证金应以存入招标人指定的</w:t>
      </w:r>
      <w:r>
        <w:rPr>
          <w:rFonts w:hint="eastAsia" w:ascii="宋体" w:hAnsi="宋体" w:eastAsia="宋体" w:cs="Times New Roman"/>
          <w:color w:val="auto"/>
          <w:kern w:val="0"/>
          <w:szCs w:val="21"/>
          <w:highlight w:val="none"/>
        </w:rPr>
        <w:t>以下</w:t>
      </w:r>
      <w:r>
        <w:rPr>
          <w:rFonts w:ascii="宋体" w:hAnsi="宋体" w:eastAsia="宋体" w:cs="Times New Roman"/>
          <w:color w:val="auto"/>
          <w:kern w:val="0"/>
          <w:szCs w:val="21"/>
          <w:highlight w:val="none"/>
        </w:rPr>
        <w:t>银行账户为准</w:t>
      </w:r>
      <w:r>
        <w:rPr>
          <w:rFonts w:hint="eastAsia" w:ascii="宋体" w:hAnsi="宋体" w:eastAsia="宋体" w:cs="宋体"/>
          <w:color w:val="auto"/>
          <w:kern w:val="0"/>
          <w:szCs w:val="21"/>
          <w:highlight w:val="none"/>
        </w:rPr>
        <w:t>。</w:t>
      </w:r>
    </w:p>
    <w:p w14:paraId="753515F5">
      <w:pPr>
        <w:tabs>
          <w:tab w:val="left" w:pos="360"/>
          <w:tab w:val="left" w:pos="4725"/>
        </w:tabs>
        <w:autoSpaceDE w:val="0"/>
        <w:autoSpaceDN w:val="0"/>
        <w:adjustRightInd w:val="0"/>
        <w:spacing w:line="360" w:lineRule="auto"/>
        <w:ind w:firstLine="632" w:firstLineChars="300"/>
        <w:jc w:val="lef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东莞市碧水信息科技有限公司履约保证金账户：</w:t>
      </w:r>
    </w:p>
    <w:p w14:paraId="0330D2E3">
      <w:pPr>
        <w:autoSpaceDE w:val="0"/>
        <w:autoSpaceDN w:val="0"/>
        <w:adjustRightInd w:val="0"/>
        <w:snapToGrid w:val="0"/>
        <w:spacing w:line="360" w:lineRule="auto"/>
        <w:ind w:firstLine="632" w:firstLineChars="300"/>
        <w:jc w:val="left"/>
        <w:rPr>
          <w:rFonts w:hint="eastAsia"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开户名称：东莞市碧水信息科技有限公司</w:t>
      </w:r>
    </w:p>
    <w:p w14:paraId="4A821CF6">
      <w:pPr>
        <w:autoSpaceDE w:val="0"/>
        <w:autoSpaceDN w:val="0"/>
        <w:adjustRightInd w:val="0"/>
        <w:snapToGrid w:val="0"/>
        <w:spacing w:line="360" w:lineRule="auto"/>
        <w:ind w:firstLine="632" w:firstLineChars="300"/>
        <w:jc w:val="left"/>
        <w:rPr>
          <w:rFonts w:hint="eastAsia"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银行账号：2010021309200572784</w:t>
      </w:r>
    </w:p>
    <w:p w14:paraId="18DF83B1">
      <w:pPr>
        <w:autoSpaceDE w:val="0"/>
        <w:autoSpaceDN w:val="0"/>
        <w:adjustRightInd w:val="0"/>
        <w:snapToGrid w:val="0"/>
        <w:spacing w:line="360" w:lineRule="auto"/>
        <w:ind w:firstLine="632" w:firstLineChars="300"/>
        <w:jc w:val="left"/>
        <w:rPr>
          <w:rFonts w:hint="eastAsia"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开户银行：中国工商银行股份有限公司东莞分行</w:t>
      </w:r>
    </w:p>
    <w:p w14:paraId="1C42DE1E">
      <w:pPr>
        <w:autoSpaceDE w:val="0"/>
        <w:autoSpaceDN w:val="0"/>
        <w:adjustRightInd w:val="0"/>
        <w:spacing w:line="360" w:lineRule="auto"/>
        <w:ind w:left="420" w:leftChars="-100" w:hanging="630" w:hangingChars="3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37.</w:t>
      </w:r>
      <w:r>
        <w:rPr>
          <w:rFonts w:hint="eastAsia" w:ascii="宋体" w:hAnsi="宋体" w:eastAsia="宋体" w:cs="宋体"/>
          <w:color w:val="auto"/>
          <w:kern w:val="0"/>
          <w:szCs w:val="21"/>
          <w:highlight w:val="none"/>
          <w:lang w:val="en-US" w:eastAsia="zh-CN"/>
        </w:rPr>
        <w:t>5</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中标</w:t>
      </w:r>
      <w:r>
        <w:rPr>
          <w:rFonts w:hint="eastAsia" w:ascii="宋体" w:hAnsi="宋体" w:eastAsia="宋体" w:cs="Times New Roman"/>
          <w:color w:val="auto"/>
          <w:kern w:val="0"/>
          <w:szCs w:val="24"/>
          <w:highlight w:val="none"/>
        </w:rPr>
        <w:t>单位提交了履约</w:t>
      </w:r>
      <w:r>
        <w:rPr>
          <w:rFonts w:hint="eastAsia" w:ascii="宋体" w:hAnsi="宋体" w:eastAsia="宋体" w:cs="宋体"/>
          <w:color w:val="auto"/>
          <w:szCs w:val="21"/>
          <w:highlight w:val="none"/>
          <w:lang w:val="en-US" w:eastAsia="zh-CN"/>
        </w:rPr>
        <w:t>保证金</w:t>
      </w:r>
      <w:r>
        <w:rPr>
          <w:rFonts w:hint="eastAsia" w:ascii="宋体" w:hAnsi="宋体" w:eastAsia="宋体" w:cs="Times New Roman"/>
          <w:color w:val="auto"/>
          <w:kern w:val="0"/>
          <w:szCs w:val="24"/>
          <w:highlight w:val="none"/>
        </w:rPr>
        <w:t>后，当履约保证金转达招标人履约保证金账户后，</w:t>
      </w:r>
      <w:r>
        <w:rPr>
          <w:rFonts w:hint="eastAsia" w:ascii="宋体" w:hAnsi="宋体" w:eastAsia="宋体" w:cs="Times New Roman"/>
          <w:color w:val="auto"/>
          <w:szCs w:val="21"/>
          <w:highlight w:val="none"/>
          <w:lang w:val="zh-CN"/>
        </w:rPr>
        <w:t>中标</w:t>
      </w:r>
      <w:r>
        <w:rPr>
          <w:rFonts w:hint="eastAsia" w:ascii="宋体" w:hAnsi="宋体" w:eastAsia="宋体" w:cs="Times New Roman"/>
          <w:color w:val="auto"/>
          <w:kern w:val="0"/>
          <w:szCs w:val="24"/>
          <w:highlight w:val="none"/>
        </w:rPr>
        <w:t>人将履约保证金的汇款凭证用A4纸复印件（</w:t>
      </w:r>
      <w:r>
        <w:rPr>
          <w:rFonts w:hint="eastAsia" w:ascii="宋体" w:hAnsi="宋体" w:eastAsia="宋体" w:cs="Times New Roman"/>
          <w:bCs/>
          <w:color w:val="auto"/>
          <w:kern w:val="0"/>
          <w:szCs w:val="24"/>
          <w:highlight w:val="none"/>
        </w:rPr>
        <w:t>注明</w:t>
      </w:r>
      <w:r>
        <w:rPr>
          <w:rFonts w:hint="eastAsia" w:ascii="宋体" w:hAnsi="宋体" w:eastAsia="宋体" w:cs="Times New Roman"/>
          <w:bCs/>
          <w:color w:val="auto"/>
          <w:szCs w:val="21"/>
          <w:highlight w:val="none"/>
          <w:lang w:val="zh-CN"/>
        </w:rPr>
        <w:t>招标</w:t>
      </w:r>
      <w:r>
        <w:rPr>
          <w:rFonts w:hint="eastAsia" w:ascii="宋体" w:hAnsi="宋体" w:eastAsia="宋体" w:cs="Times New Roman"/>
          <w:bCs/>
          <w:color w:val="auto"/>
          <w:kern w:val="0"/>
          <w:szCs w:val="24"/>
          <w:highlight w:val="none"/>
        </w:rPr>
        <w:t>编号</w:t>
      </w:r>
      <w:r>
        <w:rPr>
          <w:rFonts w:hint="eastAsia" w:ascii="宋体" w:hAnsi="宋体" w:eastAsia="宋体" w:cs="Times New Roman"/>
          <w:color w:val="auto"/>
          <w:kern w:val="0"/>
          <w:szCs w:val="24"/>
          <w:highlight w:val="none"/>
        </w:rPr>
        <w:t>）一式二份并加盖</w:t>
      </w:r>
      <w:r>
        <w:rPr>
          <w:rFonts w:hint="eastAsia" w:ascii="宋体" w:hAnsi="宋体" w:eastAsia="宋体" w:cs="Times New Roman"/>
          <w:color w:val="auto"/>
          <w:szCs w:val="21"/>
          <w:highlight w:val="none"/>
          <w:lang w:val="zh-CN"/>
        </w:rPr>
        <w:t>中标</w:t>
      </w:r>
      <w:r>
        <w:rPr>
          <w:rFonts w:hint="eastAsia" w:ascii="宋体" w:hAnsi="宋体" w:eastAsia="宋体" w:cs="Times New Roman"/>
          <w:color w:val="auto"/>
          <w:kern w:val="0"/>
          <w:szCs w:val="24"/>
          <w:highlight w:val="none"/>
        </w:rPr>
        <w:t>人的公章送招标代理机构</w:t>
      </w:r>
      <w:r>
        <w:rPr>
          <w:rFonts w:hint="eastAsia" w:ascii="宋体" w:hAnsi="宋体" w:eastAsia="宋体" w:cs="宋体"/>
          <w:color w:val="auto"/>
          <w:kern w:val="0"/>
          <w:szCs w:val="21"/>
          <w:highlight w:val="none"/>
        </w:rPr>
        <w:t>。</w:t>
      </w:r>
    </w:p>
    <w:p w14:paraId="1DFF9C58">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Times New Roman"/>
          <w:color w:val="auto"/>
          <w:kern w:val="0"/>
          <w:szCs w:val="24"/>
          <w:highlight w:val="none"/>
        </w:rPr>
      </w:pPr>
      <w:r>
        <w:rPr>
          <w:rFonts w:hint="eastAsia" w:ascii="宋体" w:hAnsi="宋体" w:eastAsia="宋体" w:cs="Times New Roman"/>
          <w:color w:val="auto"/>
          <w:kern w:val="0"/>
          <w:szCs w:val="24"/>
          <w:highlight w:val="none"/>
        </w:rPr>
        <w:t>37.</w:t>
      </w:r>
      <w:r>
        <w:rPr>
          <w:rFonts w:hint="eastAsia" w:ascii="宋体" w:hAnsi="宋体" w:eastAsia="宋体" w:cs="Times New Roman"/>
          <w:color w:val="auto"/>
          <w:kern w:val="0"/>
          <w:szCs w:val="24"/>
          <w:highlight w:val="none"/>
          <w:lang w:val="en-US" w:eastAsia="zh-CN"/>
        </w:rPr>
        <w:t>6</w:t>
      </w:r>
      <w:r>
        <w:rPr>
          <w:rFonts w:ascii="宋体" w:hAnsi="宋体" w:eastAsia="宋体" w:cs="Times New Roman"/>
          <w:color w:val="auto"/>
          <w:kern w:val="0"/>
          <w:szCs w:val="24"/>
          <w:highlight w:val="none"/>
        </w:rPr>
        <w:t xml:space="preserve">  </w:t>
      </w:r>
      <w:r>
        <w:rPr>
          <w:rFonts w:hint="eastAsia" w:ascii="宋体" w:hAnsi="宋体" w:eastAsia="宋体" w:cs="宋体"/>
          <w:color w:val="auto"/>
          <w:kern w:val="0"/>
          <w:szCs w:val="21"/>
          <w:highlight w:val="none"/>
        </w:rPr>
        <w:t>中标人</w:t>
      </w:r>
      <w:r>
        <w:rPr>
          <w:rFonts w:hint="eastAsia" w:ascii="宋体" w:hAnsi="宋体" w:eastAsia="宋体" w:cs="Times New Roman"/>
          <w:color w:val="auto"/>
          <w:kern w:val="0"/>
          <w:szCs w:val="24"/>
          <w:highlight w:val="none"/>
        </w:rPr>
        <w:t>提交</w:t>
      </w:r>
      <w:r>
        <w:rPr>
          <w:rFonts w:hint="eastAsia" w:ascii="宋体" w:hAnsi="宋体" w:eastAsia="宋体" w:cs="宋体"/>
          <w:color w:val="auto"/>
          <w:kern w:val="0"/>
          <w:szCs w:val="21"/>
          <w:highlight w:val="none"/>
          <w:lang w:val="en-US" w:eastAsia="zh-CN"/>
        </w:rPr>
        <w:t>的</w:t>
      </w:r>
      <w:r>
        <w:rPr>
          <w:rFonts w:hint="eastAsia" w:ascii="宋体" w:hAnsi="宋体" w:eastAsia="宋体" w:cs="宋体"/>
          <w:color w:val="auto"/>
          <w:kern w:val="0"/>
          <w:szCs w:val="21"/>
          <w:highlight w:val="none"/>
        </w:rPr>
        <w:t>履约保证金在合同期限届满，且本项目合同下委派的所有项目</w:t>
      </w:r>
      <w:r>
        <w:rPr>
          <w:rFonts w:hint="eastAsia" w:ascii="宋体" w:hAnsi="宋体" w:eastAsia="宋体" w:cs="宋体"/>
          <w:color w:val="auto"/>
          <w:kern w:val="0"/>
          <w:szCs w:val="21"/>
          <w:highlight w:val="none"/>
          <w:lang w:val="en-US" w:eastAsia="zh-CN"/>
        </w:rPr>
        <w:t>完成</w:t>
      </w:r>
      <w:r>
        <w:rPr>
          <w:rFonts w:hint="eastAsia" w:ascii="宋体" w:hAnsi="宋体" w:eastAsia="宋体" w:cs="宋体"/>
          <w:color w:val="auto"/>
          <w:kern w:val="0"/>
          <w:szCs w:val="21"/>
          <w:highlight w:val="none"/>
        </w:rPr>
        <w:t>结算工作28个日历天</w:t>
      </w:r>
      <w:r>
        <w:rPr>
          <w:rFonts w:ascii="宋体" w:hAnsi="宋体" w:eastAsia="宋体" w:cs="宋体"/>
          <w:color w:val="auto"/>
          <w:kern w:val="0"/>
          <w:szCs w:val="21"/>
          <w:highlight w:val="none"/>
        </w:rPr>
        <w:t>后</w:t>
      </w:r>
      <w:r>
        <w:rPr>
          <w:rFonts w:hint="eastAsia" w:ascii="宋体" w:hAnsi="宋体" w:eastAsia="宋体" w:cs="宋体"/>
          <w:color w:val="auto"/>
          <w:kern w:val="0"/>
          <w:szCs w:val="21"/>
          <w:highlight w:val="none"/>
        </w:rPr>
        <w:t>，经招标人确认，中标人可向招标人提交退回履约</w:t>
      </w:r>
      <w:r>
        <w:rPr>
          <w:rFonts w:hint="eastAsia" w:ascii="宋体" w:hAnsi="宋体" w:eastAsia="宋体" w:cs="宋体"/>
          <w:color w:val="auto"/>
          <w:szCs w:val="21"/>
          <w:highlight w:val="none"/>
          <w:lang w:val="en-US" w:eastAsia="zh-CN"/>
        </w:rPr>
        <w:t>保证金</w:t>
      </w:r>
      <w:r>
        <w:rPr>
          <w:rFonts w:hint="eastAsia" w:ascii="宋体" w:hAnsi="宋体" w:eastAsia="宋体" w:cs="宋体"/>
          <w:color w:val="auto"/>
          <w:kern w:val="0"/>
          <w:szCs w:val="21"/>
          <w:highlight w:val="none"/>
        </w:rPr>
        <w:t>的申请。招标人审核无异议后，办理履约</w:t>
      </w:r>
      <w:r>
        <w:rPr>
          <w:rFonts w:hint="eastAsia" w:ascii="宋体" w:hAnsi="宋体" w:eastAsia="宋体" w:cs="宋体"/>
          <w:color w:val="auto"/>
          <w:kern w:val="0"/>
          <w:szCs w:val="21"/>
          <w:highlight w:val="none"/>
          <w:lang w:val="en-US" w:eastAsia="zh-CN"/>
        </w:rPr>
        <w:t>保证金</w:t>
      </w:r>
      <w:r>
        <w:rPr>
          <w:rFonts w:hint="eastAsia" w:ascii="宋体" w:hAnsi="宋体" w:eastAsia="宋体" w:cs="宋体"/>
          <w:color w:val="auto"/>
          <w:kern w:val="0"/>
          <w:szCs w:val="21"/>
          <w:highlight w:val="none"/>
        </w:rPr>
        <w:t>退还手续，退回时一律以银行转账的形式无息退回到中标人的</w:t>
      </w:r>
      <w:r>
        <w:rPr>
          <w:rFonts w:hint="eastAsia" w:ascii="宋体" w:hAnsi="宋体" w:eastAsia="宋体" w:cs="宋体"/>
          <w:color w:val="auto"/>
          <w:kern w:val="0"/>
          <w:szCs w:val="21"/>
          <w:highlight w:val="none"/>
          <w:lang w:val="en-US" w:eastAsia="zh-CN"/>
        </w:rPr>
        <w:t>账</w:t>
      </w:r>
      <w:r>
        <w:rPr>
          <w:rFonts w:hint="eastAsia" w:ascii="宋体" w:hAnsi="宋体" w:eastAsia="宋体" w:cs="宋体"/>
          <w:color w:val="auto"/>
          <w:kern w:val="0"/>
          <w:szCs w:val="21"/>
          <w:highlight w:val="none"/>
        </w:rPr>
        <w:t>户。</w:t>
      </w:r>
    </w:p>
    <w:p w14:paraId="3D53A5BD">
      <w:pPr>
        <w:autoSpaceDE w:val="0"/>
        <w:autoSpaceDN w:val="0"/>
        <w:adjustRightInd w:val="0"/>
        <w:snapToGrid w:val="0"/>
        <w:spacing w:line="360" w:lineRule="auto"/>
        <w:ind w:left="315" w:leftChars="-100" w:hanging="525" w:hangingChars="250"/>
        <w:jc w:val="left"/>
        <w:rPr>
          <w:rFonts w:hint="eastAsia" w:ascii="宋体" w:hAnsi="宋体" w:eastAsia="宋体" w:cs="宋体"/>
          <w:color w:val="auto"/>
          <w:szCs w:val="21"/>
          <w:highlight w:val="none"/>
        </w:rPr>
      </w:pPr>
    </w:p>
    <w:p w14:paraId="2D7035D9">
      <w:pPr>
        <w:tabs>
          <w:tab w:val="left" w:pos="360"/>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370" w:name="_Toc10548"/>
      <w:bookmarkStart w:id="371" w:name="_Toc27162"/>
      <w:bookmarkStart w:id="372" w:name="_Toc486167702"/>
      <w:bookmarkStart w:id="373" w:name="_Toc9976"/>
      <w:bookmarkStart w:id="374" w:name="_Toc142508353"/>
      <w:bookmarkStart w:id="375" w:name="_Toc9008"/>
      <w:r>
        <w:rPr>
          <w:rFonts w:hint="eastAsia" w:ascii="宋体" w:hAnsi="宋体" w:eastAsia="宋体" w:cs="宋体"/>
          <w:color w:val="auto"/>
          <w:szCs w:val="21"/>
          <w:highlight w:val="none"/>
        </w:rPr>
        <w:t>38</w:t>
      </w:r>
      <w:r>
        <w:rPr>
          <w:rFonts w:hint="eastAsia" w:ascii="宋体" w:hAnsi="宋体" w:eastAsia="宋体" w:cs="宋体"/>
          <w:color w:val="auto"/>
          <w:szCs w:val="21"/>
          <w:highlight w:val="none"/>
          <w:lang w:val="zh-CN"/>
        </w:rPr>
        <w:t xml:space="preserve"> 在合同履行中变更采购范围的权利</w:t>
      </w:r>
      <w:bookmarkEnd w:id="368"/>
      <w:bookmarkEnd w:id="369"/>
      <w:bookmarkEnd w:id="370"/>
      <w:bookmarkEnd w:id="371"/>
      <w:bookmarkEnd w:id="372"/>
      <w:bookmarkEnd w:id="373"/>
      <w:bookmarkEnd w:id="374"/>
      <w:bookmarkEnd w:id="375"/>
    </w:p>
    <w:p w14:paraId="23DCE011">
      <w:pPr>
        <w:autoSpaceDE w:val="0"/>
        <w:autoSpaceDN w:val="0"/>
        <w:adjustRightInd w:val="0"/>
        <w:spacing w:line="360" w:lineRule="auto"/>
        <w:ind w:left="328" w:leftChars="-114"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38.1</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合同履行中</w:t>
      </w:r>
      <w:r>
        <w:rPr>
          <w:rFonts w:ascii="宋体" w:hAnsi="宋体" w:eastAsia="宋体" w:cs="宋体"/>
          <w:color w:val="auto"/>
          <w:kern w:val="0"/>
          <w:szCs w:val="21"/>
          <w:highlight w:val="none"/>
        </w:rPr>
        <w:t>，</w:t>
      </w:r>
      <w:r>
        <w:rPr>
          <w:rFonts w:hint="eastAsia" w:ascii="宋体" w:hAnsi="宋体" w:eastAsia="宋体" w:cs="宋体"/>
          <w:color w:val="auto"/>
          <w:kern w:val="0"/>
          <w:szCs w:val="21"/>
          <w:highlight w:val="none"/>
        </w:rPr>
        <w:t>招标</w:t>
      </w:r>
      <w:r>
        <w:rPr>
          <w:rFonts w:ascii="宋体" w:hAnsi="宋体" w:eastAsia="宋体" w:cs="宋体"/>
          <w:color w:val="auto"/>
          <w:kern w:val="0"/>
          <w:szCs w:val="21"/>
          <w:highlight w:val="none"/>
        </w:rPr>
        <w:t>人</w:t>
      </w:r>
      <w:r>
        <w:rPr>
          <w:rFonts w:hint="eastAsia" w:ascii="宋体" w:hAnsi="宋体" w:eastAsia="宋体" w:cs="宋体"/>
          <w:color w:val="auto"/>
          <w:kern w:val="0"/>
          <w:szCs w:val="21"/>
          <w:highlight w:val="none"/>
        </w:rPr>
        <w:t>在合同约定的范围内，招标人有权根据项目实际情况及有关法律法规、政策的规定对采购范围进行变更调整，变更采购范围后，投标人应遵照执行。</w:t>
      </w:r>
    </w:p>
    <w:p w14:paraId="19D88EEA">
      <w:pPr>
        <w:autoSpaceDE w:val="0"/>
        <w:autoSpaceDN w:val="0"/>
        <w:adjustRightInd w:val="0"/>
        <w:snapToGrid w:val="0"/>
        <w:spacing w:line="360" w:lineRule="auto"/>
        <w:ind w:left="315" w:leftChars="-100" w:hanging="525" w:hangingChars="250"/>
        <w:jc w:val="left"/>
        <w:rPr>
          <w:rFonts w:hint="eastAsia" w:ascii="宋体" w:hAnsi="宋体" w:eastAsia="宋体" w:cs="宋体"/>
          <w:color w:val="auto"/>
          <w:szCs w:val="21"/>
          <w:highlight w:val="none"/>
          <w:lang w:val="zh-CN"/>
        </w:rPr>
      </w:pPr>
      <w:bookmarkStart w:id="376" w:name="_Toc450662888"/>
    </w:p>
    <w:p w14:paraId="17E69119">
      <w:pPr>
        <w:tabs>
          <w:tab w:val="left" w:pos="465"/>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377" w:name="_Toc12517"/>
      <w:bookmarkStart w:id="378" w:name="_Toc23218"/>
      <w:bookmarkStart w:id="379" w:name="_Toc28921_WPSOffice_Level3"/>
      <w:bookmarkStart w:id="380" w:name="_Toc26429"/>
      <w:bookmarkStart w:id="381" w:name="_Toc142508354"/>
      <w:bookmarkStart w:id="382" w:name="_Toc2401"/>
      <w:bookmarkStart w:id="383" w:name="_Toc486167703"/>
      <w:r>
        <w:rPr>
          <w:rFonts w:hint="eastAsia" w:ascii="宋体" w:hAnsi="宋体" w:eastAsia="宋体" w:cs="宋体"/>
          <w:color w:val="auto"/>
          <w:szCs w:val="21"/>
          <w:highlight w:val="none"/>
        </w:rPr>
        <w:t>39</w:t>
      </w:r>
      <w:r>
        <w:rPr>
          <w:rFonts w:ascii="宋体" w:hAnsi="宋体" w:eastAsia="宋体" w:cs="宋体"/>
          <w:color w:val="auto"/>
          <w:szCs w:val="21"/>
          <w:highlight w:val="none"/>
          <w:lang w:val="zh-CN"/>
        </w:rPr>
        <w:t xml:space="preserve"> </w:t>
      </w:r>
      <w:r>
        <w:rPr>
          <w:rFonts w:hint="eastAsia" w:ascii="宋体" w:hAnsi="宋体" w:eastAsia="宋体" w:cs="宋体"/>
          <w:color w:val="auto"/>
          <w:szCs w:val="21"/>
          <w:highlight w:val="none"/>
          <w:lang w:val="zh-CN"/>
        </w:rPr>
        <w:t>中标服务费</w:t>
      </w:r>
      <w:bookmarkEnd w:id="376"/>
      <w:bookmarkEnd w:id="377"/>
      <w:bookmarkEnd w:id="378"/>
      <w:bookmarkEnd w:id="379"/>
      <w:bookmarkEnd w:id="380"/>
      <w:bookmarkEnd w:id="381"/>
      <w:bookmarkEnd w:id="382"/>
      <w:bookmarkEnd w:id="383"/>
    </w:p>
    <w:p w14:paraId="72615094">
      <w:pPr>
        <w:autoSpaceDE w:val="0"/>
        <w:autoSpaceDN w:val="0"/>
        <w:adjustRightInd w:val="0"/>
        <w:spacing w:line="360" w:lineRule="auto"/>
        <w:ind w:left="357" w:leftChars="-100" w:hanging="567" w:hangingChars="27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.1 中标人应按3</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.2款规定在领取《中标通知书》原件之前向招标代理机构一次性交纳中标服务费，</w:t>
      </w:r>
      <w:r>
        <w:rPr>
          <w:rFonts w:hint="eastAsia" w:ascii="宋体" w:hAnsi="宋体" w:eastAsia="宋体" w:cs="宋体"/>
          <w:color w:val="auto"/>
          <w:szCs w:val="21"/>
          <w:highlight w:val="none"/>
        </w:rPr>
        <w:t>本项目每个中标人须缴纳的中标服务费金额为人民币贰仟元整</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¥2000.00元</w:t>
      </w:r>
      <w:r>
        <w:rPr>
          <w:rFonts w:hint="eastAsia" w:ascii="宋体" w:hAnsi="宋体" w:eastAsia="宋体" w:cs="宋体"/>
          <w:color w:val="auto"/>
          <w:szCs w:val="21"/>
          <w:highlight w:val="none"/>
          <w:lang w:val="zh-CN"/>
        </w:rPr>
        <w:t>）。</w:t>
      </w:r>
    </w:p>
    <w:p w14:paraId="43A81558">
      <w:pPr>
        <w:autoSpaceDE w:val="0"/>
        <w:autoSpaceDN w:val="0"/>
        <w:adjustRightInd w:val="0"/>
        <w:spacing w:line="360" w:lineRule="auto"/>
        <w:ind w:left="357" w:leftChars="-100" w:hanging="567" w:hangingChars="270"/>
        <w:jc w:val="left"/>
        <w:rPr>
          <w:rFonts w:hint="eastAsia" w:ascii="宋体" w:hAnsi="宋体" w:eastAsia="宋体" w:cs="宋体"/>
          <w:color w:val="auto"/>
          <w:highlight w:val="none"/>
        </w:rPr>
      </w:pPr>
      <w:r>
        <w:rPr>
          <w:rFonts w:hint="eastAsia" w:ascii="宋体" w:hAnsi="宋体" w:eastAsia="宋体" w:cs="宋体"/>
          <w:color w:val="auto"/>
          <w:szCs w:val="21"/>
          <w:highlight w:val="none"/>
        </w:rPr>
        <w:t xml:space="preserve">39.2 </w:t>
      </w:r>
      <w:r>
        <w:rPr>
          <w:rFonts w:hint="eastAsia" w:ascii="宋体" w:hAnsi="宋体" w:eastAsia="宋体" w:cs="宋体"/>
          <w:color w:val="auto"/>
          <w:highlight w:val="none"/>
        </w:rPr>
        <w:t>中标人收到中标通知后，须在15日内向招标代理机构交纳中标服务费用及领取《中标通知书》原件，否则视为放弃中标权利和义务。</w:t>
      </w:r>
    </w:p>
    <w:p w14:paraId="21D3E8E3">
      <w:pPr>
        <w:autoSpaceDE w:val="0"/>
        <w:autoSpaceDN w:val="0"/>
        <w:adjustRightInd w:val="0"/>
        <w:spacing w:line="360" w:lineRule="auto"/>
        <w:ind w:left="357" w:leftChars="-100" w:hanging="567" w:hangingChars="27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 xml:space="preserve">39.3 </w:t>
      </w:r>
      <w:r>
        <w:rPr>
          <w:rFonts w:hint="eastAsia" w:ascii="宋体" w:hAnsi="宋体" w:eastAsia="宋体" w:cs="宋体"/>
          <w:color w:val="auto"/>
          <w:szCs w:val="21"/>
          <w:highlight w:val="none"/>
          <w:lang w:val="zh-CN"/>
        </w:rPr>
        <w:t>中标服务费只接受以银行转账、电汇方式交纳。</w:t>
      </w:r>
    </w:p>
    <w:p w14:paraId="6FA3EB27">
      <w:pPr>
        <w:autoSpaceDE w:val="0"/>
        <w:autoSpaceDN w:val="0"/>
        <w:adjustRightInd w:val="0"/>
        <w:spacing w:line="360" w:lineRule="auto"/>
        <w:ind w:left="357" w:leftChars="-100" w:hanging="567" w:hangingChars="27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中标服务费汇入账号</w:t>
      </w:r>
      <w:r>
        <w:rPr>
          <w:rFonts w:hint="eastAsia" w:ascii="宋体" w:hAnsi="宋体" w:eastAsia="宋体" w:cs="宋体"/>
          <w:b/>
          <w:bCs/>
          <w:color w:val="auto"/>
          <w:szCs w:val="21"/>
          <w:highlight w:val="none"/>
          <w:lang w:val="zh-CN"/>
        </w:rPr>
        <w:t>（特别提醒，本账户非投标保证金汇入账户</w:t>
      </w:r>
      <w:r>
        <w:rPr>
          <w:rFonts w:hint="eastAsia" w:ascii="宋体" w:hAnsi="宋体" w:eastAsia="宋体" w:cs="宋体"/>
          <w:b/>
          <w:bCs/>
          <w:color w:val="auto"/>
          <w:szCs w:val="21"/>
          <w:highlight w:val="none"/>
          <w:lang w:eastAsia="zh-CN"/>
        </w:rPr>
        <w:t>）</w:t>
      </w:r>
      <w:r>
        <w:rPr>
          <w:rFonts w:hint="eastAsia" w:ascii="宋体" w:hAnsi="宋体" w:eastAsia="宋体" w:cs="宋体"/>
          <w:color w:val="auto"/>
          <w:szCs w:val="21"/>
          <w:highlight w:val="none"/>
        </w:rPr>
        <w:t>：</w:t>
      </w:r>
    </w:p>
    <w:p w14:paraId="5488D76E">
      <w:pPr>
        <w:autoSpaceDE w:val="0"/>
        <w:autoSpaceDN w:val="0"/>
        <w:adjustRightInd w:val="0"/>
        <w:spacing w:line="360" w:lineRule="auto"/>
        <w:ind w:left="357" w:leftChars="-100" w:hanging="567" w:hangingChars="27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开户名称：广州宏达工程顾问集团有限公司东莞分公司</w:t>
      </w:r>
    </w:p>
    <w:p w14:paraId="0D0680F0">
      <w:pPr>
        <w:autoSpaceDE w:val="0"/>
        <w:autoSpaceDN w:val="0"/>
        <w:adjustRightInd w:val="0"/>
        <w:spacing w:line="360" w:lineRule="auto"/>
        <w:ind w:left="357" w:leftChars="-100" w:hanging="567" w:hangingChars="270"/>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     银行帐号：769911939210000</w:t>
      </w:r>
    </w:p>
    <w:p w14:paraId="1BBEFFD0">
      <w:pPr>
        <w:autoSpaceDE w:val="0"/>
        <w:autoSpaceDN w:val="0"/>
        <w:adjustRightInd w:val="0"/>
        <w:spacing w:line="360" w:lineRule="auto"/>
        <w:ind w:left="357" w:leftChars="-100" w:hanging="567" w:hangingChars="27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开户银行：招商银行东莞分行营业部</w:t>
      </w:r>
    </w:p>
    <w:p w14:paraId="69A46614">
      <w:pPr>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 xml:space="preserve">39.4 </w:t>
      </w:r>
      <w:r>
        <w:rPr>
          <w:rFonts w:ascii="宋体" w:hAnsi="宋体" w:eastAsia="宋体" w:cs="宋体"/>
          <w:color w:val="auto"/>
          <w:szCs w:val="21"/>
          <w:highlight w:val="none"/>
        </w:rPr>
        <w:t>中标人如未按第3</w:t>
      </w:r>
      <w:r>
        <w:rPr>
          <w:rFonts w:hint="eastAsia" w:ascii="宋体" w:hAnsi="宋体" w:eastAsia="宋体" w:cs="宋体"/>
          <w:color w:val="auto"/>
          <w:szCs w:val="21"/>
          <w:highlight w:val="none"/>
        </w:rPr>
        <w:t>9</w:t>
      </w:r>
      <w:r>
        <w:rPr>
          <w:rFonts w:ascii="宋体" w:hAnsi="宋体" w:eastAsia="宋体" w:cs="宋体"/>
          <w:color w:val="auto"/>
          <w:szCs w:val="21"/>
          <w:highlight w:val="none"/>
        </w:rPr>
        <w:t>.1款、第3</w:t>
      </w:r>
      <w:r>
        <w:rPr>
          <w:rFonts w:hint="eastAsia" w:ascii="宋体" w:hAnsi="宋体" w:eastAsia="宋体" w:cs="宋体"/>
          <w:color w:val="auto"/>
          <w:szCs w:val="21"/>
          <w:highlight w:val="none"/>
        </w:rPr>
        <w:t>9</w:t>
      </w:r>
      <w:r>
        <w:rPr>
          <w:rFonts w:ascii="宋体" w:hAnsi="宋体" w:eastAsia="宋体" w:cs="宋体"/>
          <w:color w:val="auto"/>
          <w:szCs w:val="21"/>
          <w:highlight w:val="none"/>
        </w:rPr>
        <w:t>.2款规定办理，将不予退还其投标保证金</w:t>
      </w:r>
      <w:r>
        <w:rPr>
          <w:rFonts w:hint="eastAsia" w:ascii="宋体" w:hAnsi="宋体" w:eastAsia="宋体" w:cs="宋体"/>
          <w:color w:val="auto"/>
          <w:szCs w:val="21"/>
          <w:highlight w:val="none"/>
        </w:rPr>
        <w:t>。</w:t>
      </w:r>
    </w:p>
    <w:p w14:paraId="0BF9A50F">
      <w:pPr>
        <w:autoSpaceDE w:val="0"/>
        <w:autoSpaceDN w:val="0"/>
        <w:adjustRightInd w:val="0"/>
        <w:snapToGrid w:val="0"/>
        <w:spacing w:line="360" w:lineRule="auto"/>
        <w:ind w:left="315" w:leftChars="-100" w:hanging="525" w:hangingChars="250"/>
        <w:jc w:val="left"/>
        <w:rPr>
          <w:rFonts w:hint="eastAsia" w:ascii="宋体" w:hAnsi="宋体" w:eastAsia="宋体" w:cs="宋体"/>
          <w:color w:val="auto"/>
          <w:szCs w:val="21"/>
          <w:highlight w:val="none"/>
          <w:lang w:val="zh-CN"/>
        </w:rPr>
      </w:pPr>
      <w:bookmarkStart w:id="384" w:name="_Toc450662889"/>
    </w:p>
    <w:p w14:paraId="30ACB45E">
      <w:pPr>
        <w:tabs>
          <w:tab w:val="left" w:pos="360"/>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385" w:name="_Toc21985"/>
      <w:bookmarkStart w:id="386" w:name="_Toc6764_WPSOffice_Level3"/>
      <w:bookmarkStart w:id="387" w:name="_Toc28315"/>
      <w:bookmarkStart w:id="388" w:name="_Toc486167704"/>
      <w:bookmarkStart w:id="389" w:name="_Toc142508355"/>
      <w:bookmarkStart w:id="390" w:name="_Toc21757"/>
      <w:bookmarkStart w:id="391" w:name="_Toc6796"/>
      <w:r>
        <w:rPr>
          <w:rFonts w:hint="eastAsia" w:ascii="宋体" w:hAnsi="宋体" w:eastAsia="宋体" w:cs="宋体"/>
          <w:color w:val="auto"/>
          <w:szCs w:val="21"/>
          <w:highlight w:val="none"/>
        </w:rPr>
        <w:t>40</w:t>
      </w:r>
      <w:r>
        <w:rPr>
          <w:rFonts w:hint="eastAsia" w:ascii="宋体" w:hAnsi="宋体" w:eastAsia="宋体" w:cs="宋体"/>
          <w:color w:val="auto"/>
          <w:szCs w:val="21"/>
          <w:highlight w:val="none"/>
          <w:lang w:val="zh-CN"/>
        </w:rPr>
        <w:t xml:space="preserve"> 发票</w:t>
      </w:r>
      <w:bookmarkEnd w:id="384"/>
      <w:bookmarkEnd w:id="385"/>
      <w:bookmarkEnd w:id="386"/>
      <w:bookmarkEnd w:id="387"/>
      <w:bookmarkEnd w:id="388"/>
      <w:bookmarkEnd w:id="389"/>
      <w:bookmarkEnd w:id="390"/>
      <w:bookmarkEnd w:id="391"/>
    </w:p>
    <w:p w14:paraId="629D70C6">
      <w:pPr>
        <w:autoSpaceDE w:val="0"/>
        <w:autoSpaceDN w:val="0"/>
        <w:adjustRightInd w:val="0"/>
        <w:snapToGrid w:val="0"/>
        <w:spacing w:line="360" w:lineRule="auto"/>
        <w:ind w:left="315" w:leftChars="-100" w:hanging="525" w:hangingChars="250"/>
        <w:jc w:val="left"/>
        <w:rPr>
          <w:rFonts w:hint="eastAsia" w:ascii="宋体" w:hAnsi="宋体" w:eastAsia="宋体" w:cs="Times New Roman"/>
          <w:color w:val="auto"/>
          <w:szCs w:val="21"/>
          <w:highlight w:val="none"/>
          <w:lang w:val="zh-CN"/>
        </w:rPr>
      </w:pPr>
      <w:r>
        <w:rPr>
          <w:rFonts w:hint="eastAsia" w:ascii="宋体" w:hAnsi="宋体" w:eastAsia="宋体" w:cs="宋体"/>
          <w:color w:val="auto"/>
          <w:szCs w:val="21"/>
          <w:highlight w:val="none"/>
        </w:rPr>
        <w:t>40</w:t>
      </w:r>
      <w:r>
        <w:rPr>
          <w:rFonts w:hint="eastAsia" w:ascii="宋体" w:hAnsi="宋体" w:eastAsia="宋体" w:cs="宋体"/>
          <w:color w:val="auto"/>
          <w:szCs w:val="21"/>
          <w:highlight w:val="none"/>
          <w:lang w:val="zh-CN"/>
        </w:rPr>
        <w:t>.1</w:t>
      </w:r>
      <w:bookmarkStart w:id="392" w:name="_Toc31106_WPSOffice_Level3"/>
      <w:bookmarkStart w:id="393" w:name="_Toc486167705"/>
      <w:r>
        <w:rPr>
          <w:rFonts w:hint="eastAsia" w:ascii="宋体" w:hAnsi="宋体" w:eastAsia="宋体" w:cs="Times New Roman"/>
          <w:color w:val="auto"/>
          <w:szCs w:val="21"/>
          <w:highlight w:val="none"/>
          <w:lang w:val="zh-CN"/>
        </w:rPr>
        <w:t>该项目获得中标的中标人在执行合同过程中，向招标人出具的发票必须是由中标人开具，不得以其他单位或个人名义出具，本项目中标人向招标人出具的发票类型为增值税专用发票。</w:t>
      </w:r>
    </w:p>
    <w:p w14:paraId="3B9E1105">
      <w:pPr>
        <w:autoSpaceDE w:val="0"/>
        <w:autoSpaceDN w:val="0"/>
        <w:adjustRightInd w:val="0"/>
        <w:snapToGrid w:val="0"/>
        <w:spacing w:line="360" w:lineRule="auto"/>
        <w:ind w:left="315" w:leftChars="-100" w:hanging="525" w:hangingChars="250"/>
        <w:jc w:val="left"/>
        <w:rPr>
          <w:rFonts w:hint="eastAsia" w:ascii="宋体" w:hAnsi="宋体" w:eastAsia="宋体" w:cs="Times New Roman"/>
          <w:color w:val="auto"/>
          <w:szCs w:val="21"/>
          <w:highlight w:val="none"/>
        </w:rPr>
      </w:pPr>
    </w:p>
    <w:p w14:paraId="5A78DECD">
      <w:pPr>
        <w:tabs>
          <w:tab w:val="left" w:pos="360"/>
        </w:tabs>
        <w:autoSpaceDE w:val="0"/>
        <w:autoSpaceDN w:val="0"/>
        <w:adjustRightInd w:val="0"/>
        <w:spacing w:line="360" w:lineRule="auto"/>
        <w:ind w:left="357" w:leftChars="-100" w:hanging="567"/>
        <w:jc w:val="left"/>
        <w:outlineLvl w:val="2"/>
        <w:rPr>
          <w:rFonts w:hint="eastAsia" w:ascii="宋体" w:hAnsi="宋体" w:eastAsia="宋体" w:cs="宋体"/>
          <w:b/>
          <w:color w:val="auto"/>
          <w:szCs w:val="21"/>
          <w:highlight w:val="none"/>
        </w:rPr>
      </w:pPr>
      <w:bookmarkStart w:id="394" w:name="_Toc24547"/>
      <w:bookmarkStart w:id="395" w:name="_Toc27075"/>
      <w:bookmarkStart w:id="396" w:name="_Toc4377"/>
      <w:bookmarkStart w:id="397" w:name="_Toc142508356"/>
      <w:bookmarkStart w:id="398" w:name="_Toc8619"/>
      <w:r>
        <w:rPr>
          <w:rFonts w:hint="eastAsia" w:ascii="宋体" w:hAnsi="宋体" w:eastAsia="宋体" w:cs="宋体"/>
          <w:b/>
          <w:color w:val="auto"/>
          <w:szCs w:val="21"/>
          <w:highlight w:val="none"/>
        </w:rPr>
        <w:t>41</w:t>
      </w:r>
      <w:r>
        <w:rPr>
          <w:rFonts w:ascii="宋体" w:hAnsi="宋体" w:eastAsia="宋体" w:cs="宋体"/>
          <w:b/>
          <w:color w:val="auto"/>
          <w:szCs w:val="21"/>
          <w:highlight w:val="none"/>
        </w:rPr>
        <w:t xml:space="preserve"> 招标相关补充约定</w:t>
      </w:r>
      <w:bookmarkEnd w:id="394"/>
      <w:bookmarkEnd w:id="395"/>
      <w:bookmarkEnd w:id="396"/>
      <w:bookmarkEnd w:id="397"/>
      <w:bookmarkEnd w:id="398"/>
    </w:p>
    <w:p w14:paraId="20DF2C7C">
      <w:pPr>
        <w:autoSpaceDE w:val="0"/>
        <w:autoSpaceDN w:val="0"/>
        <w:adjustRightInd w:val="0"/>
        <w:snapToGrid w:val="0"/>
        <w:spacing w:line="360" w:lineRule="auto"/>
        <w:ind w:left="317" w:leftChars="-100" w:hanging="527" w:hangingChars="250"/>
        <w:jc w:val="left"/>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41</w:t>
      </w:r>
      <w:r>
        <w:rPr>
          <w:rFonts w:ascii="宋体" w:hAnsi="宋体" w:eastAsia="宋体" w:cs="Times New Roman"/>
          <w:b/>
          <w:color w:val="auto"/>
          <w:szCs w:val="21"/>
          <w:highlight w:val="none"/>
        </w:rPr>
        <w:t>.1</w:t>
      </w:r>
      <w:r>
        <w:rPr>
          <w:rFonts w:ascii="宋体" w:hAnsi="宋体" w:eastAsia="宋体" w:cs="Times New Roman"/>
          <w:b/>
          <w:color w:val="auto"/>
          <w:szCs w:val="21"/>
          <w:highlight w:val="none"/>
        </w:rPr>
        <w:tab/>
      </w:r>
      <w:r>
        <w:rPr>
          <w:rFonts w:ascii="宋体" w:hAnsi="宋体" w:eastAsia="宋体" w:cs="Times New Roman"/>
          <w:b/>
          <w:color w:val="auto"/>
          <w:szCs w:val="21"/>
          <w:highlight w:val="none"/>
        </w:rPr>
        <w:t>本项目投标人须知第2条所述行政处罚信息，以开标</w:t>
      </w:r>
      <w:r>
        <w:rPr>
          <w:rFonts w:hint="eastAsia" w:ascii="宋体" w:hAnsi="宋体" w:eastAsia="宋体" w:cs="Times New Roman"/>
          <w:b/>
          <w:color w:val="auto"/>
          <w:szCs w:val="21"/>
          <w:highlight w:val="none"/>
        </w:rPr>
        <w:t>当天</w:t>
      </w:r>
      <w:r>
        <w:rPr>
          <w:rFonts w:ascii="宋体" w:hAnsi="宋体" w:eastAsia="宋体" w:cs="Times New Roman"/>
          <w:b/>
          <w:color w:val="auto"/>
          <w:szCs w:val="21"/>
          <w:highlight w:val="none"/>
        </w:rPr>
        <w:t>在“信用中国”网站（www.creditchina.gov.cn）查询结果为准</w:t>
      </w:r>
      <w:r>
        <w:rPr>
          <w:rFonts w:hint="eastAsia" w:ascii="宋体" w:hAnsi="宋体" w:eastAsia="宋体" w:cs="Times New Roman"/>
          <w:b/>
          <w:color w:val="auto"/>
          <w:szCs w:val="21"/>
          <w:highlight w:val="none"/>
        </w:rPr>
        <w:t>，或以司法、仲裁机构等出具的生效文件予以认定,时间以认定文件的落款时间为准</w:t>
      </w:r>
      <w:r>
        <w:rPr>
          <w:rFonts w:ascii="宋体" w:hAnsi="宋体" w:eastAsia="宋体" w:cs="Times New Roman"/>
          <w:b/>
          <w:color w:val="auto"/>
          <w:szCs w:val="21"/>
          <w:highlight w:val="none"/>
        </w:rPr>
        <w:t>。开标结束后，有关投标单位的行政处罚信息，以</w:t>
      </w:r>
      <w:r>
        <w:rPr>
          <w:rFonts w:hint="eastAsia" w:ascii="宋体" w:hAnsi="宋体" w:eastAsia="宋体" w:cs="Times New Roman"/>
          <w:b/>
          <w:color w:val="auto"/>
          <w:szCs w:val="21"/>
          <w:highlight w:val="none"/>
        </w:rPr>
        <w:t>开标当天查询</w:t>
      </w:r>
      <w:r>
        <w:rPr>
          <w:rFonts w:ascii="宋体" w:hAnsi="宋体" w:eastAsia="宋体" w:cs="Times New Roman"/>
          <w:b/>
          <w:color w:val="auto"/>
          <w:szCs w:val="21"/>
          <w:highlight w:val="none"/>
        </w:rPr>
        <w:t>结果为准；结果公示期间，如投标人对有关投标单位的行政处罚信息存在异议，但不涉及第一中标候选人的，视为对中标结果没有造成实质影响。</w:t>
      </w:r>
    </w:p>
    <w:p w14:paraId="3BACD6B0">
      <w:pPr>
        <w:autoSpaceDE w:val="0"/>
        <w:autoSpaceDN w:val="0"/>
        <w:adjustRightInd w:val="0"/>
        <w:snapToGrid w:val="0"/>
        <w:spacing w:line="360" w:lineRule="auto"/>
        <w:ind w:left="315" w:leftChars="-100" w:hanging="525" w:hangingChars="250"/>
        <w:jc w:val="left"/>
        <w:rPr>
          <w:rFonts w:hint="eastAsia" w:ascii="宋体" w:hAnsi="宋体" w:eastAsia="宋体" w:cs="Times New Roman"/>
          <w:color w:val="auto"/>
          <w:szCs w:val="21"/>
          <w:highlight w:val="none"/>
        </w:rPr>
      </w:pPr>
    </w:p>
    <w:p w14:paraId="2435FEAC">
      <w:pPr>
        <w:tabs>
          <w:tab w:val="left" w:pos="360"/>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rPr>
      </w:pPr>
      <w:bookmarkStart w:id="399" w:name="_Toc29758"/>
      <w:bookmarkStart w:id="400" w:name="_Toc26594"/>
      <w:bookmarkStart w:id="401" w:name="_Toc5205"/>
      <w:bookmarkStart w:id="402" w:name="_Toc142508357"/>
      <w:bookmarkStart w:id="403" w:name="_Toc31216"/>
      <w:r>
        <w:rPr>
          <w:rFonts w:ascii="宋体" w:hAnsi="宋体" w:eastAsia="宋体" w:cs="宋体"/>
          <w:color w:val="auto"/>
          <w:szCs w:val="21"/>
          <w:highlight w:val="none"/>
        </w:rPr>
        <w:t>4</w:t>
      </w:r>
      <w:r>
        <w:rPr>
          <w:rFonts w:hint="eastAsia" w:ascii="宋体" w:hAnsi="宋体" w:eastAsia="宋体" w:cs="宋体"/>
          <w:color w:val="auto"/>
          <w:szCs w:val="21"/>
          <w:highlight w:val="none"/>
        </w:rPr>
        <w:t>2 本次招标活动的最终解释权归招标代理机构及招标人所有。</w:t>
      </w:r>
      <w:bookmarkEnd w:id="392"/>
      <w:bookmarkEnd w:id="393"/>
      <w:bookmarkEnd w:id="399"/>
      <w:bookmarkEnd w:id="400"/>
      <w:bookmarkEnd w:id="401"/>
      <w:bookmarkEnd w:id="402"/>
      <w:bookmarkEnd w:id="403"/>
    </w:p>
    <w:p w14:paraId="75896062">
      <w:pPr>
        <w:pageBreakBefore/>
        <w:tabs>
          <w:tab w:val="left" w:pos="1080"/>
        </w:tabs>
        <w:autoSpaceDE w:val="0"/>
        <w:autoSpaceDN w:val="0"/>
        <w:adjustRightInd w:val="0"/>
        <w:spacing w:line="360" w:lineRule="auto"/>
        <w:ind w:left="357" w:leftChars="-100" w:hanging="567"/>
        <w:jc w:val="center"/>
        <w:outlineLvl w:val="0"/>
        <w:rPr>
          <w:rFonts w:hint="eastAsia" w:ascii="宋体" w:hAnsi="宋体" w:eastAsia="宋体" w:cs="宋体"/>
          <w:b/>
          <w:bCs/>
          <w:color w:val="auto"/>
          <w:kern w:val="44"/>
          <w:sz w:val="32"/>
          <w:szCs w:val="32"/>
          <w:highlight w:val="none"/>
          <w:lang w:val="zh-CN"/>
        </w:rPr>
      </w:pPr>
      <w:bookmarkStart w:id="404" w:name="_Toc4386"/>
      <w:bookmarkStart w:id="405" w:name="_Toc142508358"/>
      <w:bookmarkStart w:id="406" w:name="_Toc486167706"/>
      <w:bookmarkStart w:id="407" w:name="_Toc450662891"/>
      <w:bookmarkStart w:id="408" w:name="_Toc27939_WPSOffice_Level1"/>
      <w:bookmarkStart w:id="409" w:name="_Toc25828"/>
      <w:bookmarkStart w:id="410" w:name="_Toc14879"/>
      <w:bookmarkStart w:id="411" w:name="_Toc21446"/>
      <w:r>
        <w:rPr>
          <w:rFonts w:hint="eastAsia" w:ascii="宋体" w:hAnsi="宋体" w:eastAsia="宋体" w:cs="宋体"/>
          <w:b/>
          <w:bCs/>
          <w:color w:val="auto"/>
          <w:kern w:val="44"/>
          <w:sz w:val="32"/>
          <w:szCs w:val="32"/>
          <w:highlight w:val="none"/>
          <w:lang w:val="zh-CN"/>
        </w:rPr>
        <w:t>第三篇</w:t>
      </w:r>
      <w:r>
        <w:rPr>
          <w:rFonts w:ascii="宋体" w:hAnsi="宋体" w:eastAsia="宋体" w:cs="宋体"/>
          <w:b/>
          <w:bCs/>
          <w:color w:val="auto"/>
          <w:kern w:val="44"/>
          <w:sz w:val="32"/>
          <w:szCs w:val="32"/>
          <w:highlight w:val="none"/>
          <w:lang w:val="zh-CN"/>
        </w:rPr>
        <w:t xml:space="preserve"> </w:t>
      </w:r>
      <w:r>
        <w:rPr>
          <w:rFonts w:hint="eastAsia" w:ascii="宋体" w:hAnsi="宋体" w:eastAsia="宋体" w:cs="宋体"/>
          <w:b/>
          <w:bCs/>
          <w:color w:val="auto"/>
          <w:kern w:val="44"/>
          <w:sz w:val="32"/>
          <w:szCs w:val="32"/>
          <w:highlight w:val="none"/>
          <w:lang w:val="zh-CN"/>
        </w:rPr>
        <w:t>用户需求书</w:t>
      </w:r>
      <w:bookmarkEnd w:id="404"/>
      <w:bookmarkEnd w:id="405"/>
      <w:bookmarkEnd w:id="406"/>
      <w:bookmarkEnd w:id="407"/>
      <w:bookmarkEnd w:id="408"/>
      <w:bookmarkEnd w:id="409"/>
      <w:bookmarkEnd w:id="410"/>
      <w:bookmarkEnd w:id="411"/>
    </w:p>
    <w:p w14:paraId="69BD4C8E">
      <w:pPr>
        <w:adjustRightInd w:val="0"/>
        <w:spacing w:line="360" w:lineRule="auto"/>
        <w:ind w:firstLine="422" w:firstLineChars="200"/>
        <w:outlineLvl w:val="0"/>
        <w:rPr>
          <w:rFonts w:hint="eastAsia" w:ascii="宋体" w:hAnsi="宋体" w:eastAsia="宋体" w:cs="宋体"/>
          <w:b/>
          <w:bCs/>
          <w:color w:val="auto"/>
          <w:szCs w:val="21"/>
          <w:highlight w:val="none"/>
        </w:rPr>
      </w:pPr>
      <w:bookmarkStart w:id="412" w:name="_Toc31645"/>
      <w:bookmarkStart w:id="413" w:name="_Toc12368"/>
      <w:bookmarkStart w:id="414" w:name="_Toc30268"/>
      <w:r>
        <w:rPr>
          <w:rFonts w:hint="eastAsia" w:ascii="宋体" w:hAnsi="宋体" w:eastAsia="宋体" w:cs="宋体"/>
          <w:b/>
          <w:bCs/>
          <w:color w:val="auto"/>
          <w:szCs w:val="21"/>
          <w:highlight w:val="none"/>
        </w:rPr>
        <w:t>一、项目概况</w:t>
      </w:r>
      <w:bookmarkEnd w:id="412"/>
      <w:bookmarkEnd w:id="413"/>
      <w:bookmarkEnd w:id="414"/>
    </w:p>
    <w:p w14:paraId="73F85289">
      <w:pPr>
        <w:numPr>
          <w:ilvl w:val="255"/>
          <w:numId w:val="0"/>
        </w:num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项目名称：东莞市碧水信息科技有限公司施工劳务分包供应商库采购项目</w:t>
      </w:r>
    </w:p>
    <w:p w14:paraId="3E93DD11">
      <w:pPr>
        <w:numPr>
          <w:ilvl w:val="255"/>
          <w:numId w:val="0"/>
        </w:numPr>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服务范围：合同期内由招标人</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Cs w:val="21"/>
          <w:highlight w:val="none"/>
          <w:u w:val="none"/>
          <w:lang w:val="en-US" w:eastAsia="zh-CN"/>
        </w:rPr>
        <w:t>其下属企业</w:t>
      </w:r>
      <w:r>
        <w:rPr>
          <w:rFonts w:hint="eastAsia" w:ascii="宋体" w:hAnsi="宋体" w:eastAsia="宋体" w:cs="宋体"/>
          <w:color w:val="auto"/>
          <w:szCs w:val="21"/>
          <w:highlight w:val="none"/>
        </w:rPr>
        <w:t>承接的包括但不限于管网维修、水厂、泵站（房）、管网等水系统的施工项目及</w:t>
      </w:r>
      <w:r>
        <w:rPr>
          <w:rFonts w:hint="eastAsia" w:ascii="宋体" w:hAnsi="宋体" w:eastAsia="宋体" w:cs="宋体"/>
          <w:color w:val="auto"/>
          <w:szCs w:val="21"/>
          <w:highlight w:val="none"/>
          <w:lang w:val="en-US" w:eastAsia="zh-CN"/>
        </w:rPr>
        <w:t>各类</w:t>
      </w:r>
      <w:r>
        <w:rPr>
          <w:rFonts w:hint="eastAsia" w:ascii="宋体" w:hAnsi="宋体" w:eastAsia="宋体" w:cs="宋体"/>
          <w:color w:val="auto"/>
          <w:szCs w:val="21"/>
          <w:highlight w:val="none"/>
        </w:rPr>
        <w:t>项目的</w:t>
      </w:r>
      <w:r>
        <w:rPr>
          <w:rFonts w:hint="eastAsia" w:ascii="宋体" w:hAnsi="宋体" w:eastAsia="宋体" w:cs="宋体"/>
          <w:color w:val="auto"/>
          <w:szCs w:val="21"/>
          <w:highlight w:val="none"/>
          <w:lang w:val="en-US" w:eastAsia="zh-CN"/>
        </w:rPr>
        <w:t>劳务分包</w:t>
      </w:r>
      <w:r>
        <w:rPr>
          <w:rFonts w:hint="eastAsia" w:ascii="宋体" w:hAnsi="宋体" w:eastAsia="宋体" w:cs="宋体"/>
          <w:color w:val="auto"/>
          <w:szCs w:val="21"/>
          <w:highlight w:val="none"/>
        </w:rPr>
        <w:t>工作，以及招标人</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Cs w:val="21"/>
          <w:highlight w:val="none"/>
          <w:u w:val="none"/>
          <w:lang w:val="en-US" w:eastAsia="zh-CN"/>
        </w:rPr>
        <w:t>其下属企业</w:t>
      </w:r>
      <w:r>
        <w:rPr>
          <w:rFonts w:hint="eastAsia" w:ascii="宋体" w:hAnsi="宋体" w:eastAsia="宋体" w:cs="宋体"/>
          <w:color w:val="auto"/>
          <w:szCs w:val="21"/>
          <w:highlight w:val="none"/>
        </w:rPr>
        <w:t>自主投资建设的项目。其中派单项目范围为：供水抢修项目单项劳务费用不设限，应急类、抢修类、抢险类的无图无预算项目单项劳务费用不设限，零星工程单项劳务费用（暂定）100万元（不含）以下，</w:t>
      </w:r>
      <w:r>
        <w:rPr>
          <w:rFonts w:hint="eastAsia" w:ascii="宋体" w:hAnsi="宋体" w:eastAsia="宋体" w:cs="宋体"/>
          <w:color w:val="auto"/>
          <w:szCs w:val="21"/>
          <w:highlight w:val="none"/>
          <w:lang w:val="en-US" w:eastAsia="zh-CN"/>
        </w:rPr>
        <w:t>招标人或其下属企业</w:t>
      </w:r>
      <w:r>
        <w:rPr>
          <w:rFonts w:hint="eastAsia" w:ascii="宋体" w:hAnsi="宋体" w:eastAsia="宋体" w:cs="宋体"/>
          <w:color w:val="auto"/>
          <w:szCs w:val="21"/>
          <w:highlight w:val="none"/>
        </w:rPr>
        <w:t>有权通过书面通知的方式调整派单项目范围，</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对此无异议且不得以此为由解除合同。具体劳务服务发包的工程范围及内容将由招标人或其下属企业</w:t>
      </w:r>
      <w:r>
        <w:rPr>
          <w:rFonts w:hint="eastAsia" w:ascii="宋体" w:hAnsi="宋体" w:eastAsia="宋体" w:cs="宋体"/>
          <w:color w:val="auto"/>
          <w:szCs w:val="21"/>
          <w:highlight w:val="none"/>
          <w:lang w:val="en-US" w:eastAsia="zh-CN"/>
        </w:rPr>
        <w:t>业务部门根据本需求书附件1：东莞市碧水信息科技有限公司施工劳务分包业务委派工作指引</w:t>
      </w:r>
      <w:r>
        <w:rPr>
          <w:rFonts w:hint="eastAsia" w:ascii="宋体" w:hAnsi="宋体" w:eastAsia="宋体" w:cs="宋体"/>
          <w:color w:val="auto"/>
          <w:szCs w:val="21"/>
          <w:highlight w:val="none"/>
        </w:rPr>
        <w:t>派发的书面通知为准，中标人不得以任何理由拒绝承接或转让招标人或其下属企业派发的劳务分包任务。</w:t>
      </w:r>
    </w:p>
    <w:p w14:paraId="451A42C0">
      <w:pPr>
        <w:numPr>
          <w:ilvl w:val="255"/>
          <w:numId w:val="0"/>
        </w:numPr>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服务期限：暂定合同期限为自合同签订之日起2年</w:t>
      </w:r>
    </w:p>
    <w:p w14:paraId="3D2D44DA">
      <w:pPr>
        <w:adjustRightInd w:val="0"/>
        <w:spacing w:line="360" w:lineRule="auto"/>
        <w:ind w:firstLine="420" w:firstLineChars="200"/>
        <w:outlineLvl w:val="9"/>
        <w:rPr>
          <w:rFonts w:hint="eastAsia" w:ascii="宋体" w:hAnsi="宋体" w:eastAsia="宋体" w:cs="宋体"/>
          <w:b w:val="0"/>
          <w:bCs w:val="0"/>
          <w:color w:val="auto"/>
          <w:szCs w:val="21"/>
          <w:highlight w:val="none"/>
          <w:lang w:val="en-US" w:eastAsia="zh-CN"/>
        </w:rPr>
      </w:pPr>
      <w:bookmarkStart w:id="415" w:name="_Toc31345"/>
      <w:bookmarkStart w:id="416" w:name="_Toc11328"/>
      <w:r>
        <w:rPr>
          <w:rFonts w:hint="eastAsia" w:ascii="宋体" w:hAnsi="宋体" w:eastAsia="宋体" w:cs="宋体"/>
          <w:b w:val="0"/>
          <w:bCs w:val="0"/>
          <w:color w:val="auto"/>
          <w:szCs w:val="21"/>
          <w:highlight w:val="none"/>
          <w:lang w:val="en-US" w:eastAsia="zh-CN"/>
        </w:rPr>
        <w:t>4、全市劳务分包业务区域划分表及区域划分图</w:t>
      </w:r>
    </w:p>
    <w:p w14:paraId="428A6B5D">
      <w:pPr>
        <w:adjustRightInd w:val="0"/>
        <w:spacing w:line="360" w:lineRule="auto"/>
        <w:ind w:firstLine="420" w:firstLineChars="200"/>
        <w:outlineLvl w:val="9"/>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4.1全市劳务分包业务区域划分表</w:t>
      </w:r>
    </w:p>
    <w:tbl>
      <w:tblPr>
        <w:tblStyle w:val="3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1"/>
        <w:gridCol w:w="7829"/>
        <w:gridCol w:w="898"/>
      </w:tblGrid>
      <w:tr w14:paraId="2041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91" w:type="pct"/>
            <w:tcBorders>
              <w:top w:val="single" w:color="auto" w:sz="4" w:space="0"/>
              <w:left w:val="single" w:color="auto" w:sz="4" w:space="0"/>
              <w:bottom w:val="single" w:color="auto" w:sz="4" w:space="0"/>
              <w:right w:val="single" w:color="auto" w:sz="4" w:space="0"/>
            </w:tcBorders>
            <w:vAlign w:val="center"/>
          </w:tcPr>
          <w:p w14:paraId="7C11C55B">
            <w:pPr>
              <w:keepNext w:val="0"/>
              <w:keepLines w:val="0"/>
              <w:suppressLineNumbers w:val="0"/>
              <w:spacing w:before="0" w:beforeAutospacing="0" w:after="0" w:afterAutospacing="0"/>
              <w:ind w:left="0" w:right="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片区</w:t>
            </w:r>
          </w:p>
        </w:tc>
        <w:tc>
          <w:tcPr>
            <w:tcW w:w="3774" w:type="pct"/>
            <w:tcBorders>
              <w:top w:val="single" w:color="auto" w:sz="4" w:space="0"/>
              <w:left w:val="single" w:color="auto" w:sz="4" w:space="0"/>
              <w:bottom w:val="single" w:color="auto" w:sz="4" w:space="0"/>
              <w:right w:val="single" w:color="auto" w:sz="4" w:space="0"/>
            </w:tcBorders>
            <w:vAlign w:val="center"/>
          </w:tcPr>
          <w:p w14:paraId="73C667FC">
            <w:pPr>
              <w:keepNext w:val="0"/>
              <w:keepLines w:val="0"/>
              <w:suppressLineNumbers w:val="0"/>
              <w:autoSpaceDE w:val="0"/>
              <w:autoSpaceDN w:val="0"/>
              <w:adjustRightInd w:val="0"/>
              <w:spacing w:before="0" w:beforeAutospacing="0" w:after="0" w:afterAutospacing="0"/>
              <w:ind w:left="0" w:right="0" w:firstLine="422" w:firstLineChars="200"/>
              <w:jc w:val="center"/>
              <w:rPr>
                <w:rFonts w:hint="eastAsia" w:ascii="宋体" w:hAnsi="宋体" w:eastAsia="宋体"/>
                <w:b/>
                <w:color w:val="auto"/>
                <w:szCs w:val="21"/>
                <w:highlight w:val="none"/>
              </w:rPr>
            </w:pPr>
            <w:r>
              <w:rPr>
                <w:rFonts w:hint="default" w:ascii="宋体" w:hAnsi="宋体" w:eastAsia="宋体"/>
                <w:b/>
                <w:color w:val="auto"/>
                <w:szCs w:val="21"/>
                <w:highlight w:val="none"/>
              </w:rPr>
              <w:t>涉及镇街</w:t>
            </w:r>
          </w:p>
        </w:tc>
        <w:tc>
          <w:tcPr>
            <w:tcW w:w="433" w:type="pct"/>
            <w:tcBorders>
              <w:top w:val="single" w:color="auto" w:sz="4" w:space="0"/>
              <w:left w:val="single" w:color="auto" w:sz="4" w:space="0"/>
              <w:bottom w:val="single" w:color="auto" w:sz="4" w:space="0"/>
              <w:right w:val="single" w:color="auto" w:sz="4" w:space="0"/>
            </w:tcBorders>
            <w:vAlign w:val="center"/>
          </w:tcPr>
          <w:p w14:paraId="13BB5675">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b/>
                <w:color w:val="auto"/>
                <w:szCs w:val="21"/>
                <w:highlight w:val="none"/>
              </w:rPr>
            </w:pPr>
            <w:r>
              <w:rPr>
                <w:rFonts w:hint="default" w:ascii="宋体" w:hAnsi="宋体" w:eastAsia="宋体"/>
                <w:b/>
                <w:color w:val="auto"/>
                <w:szCs w:val="21"/>
                <w:highlight w:val="none"/>
              </w:rPr>
              <w:t>备注</w:t>
            </w:r>
          </w:p>
        </w:tc>
      </w:tr>
      <w:tr w14:paraId="1ACC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1" w:type="pct"/>
            <w:tcBorders>
              <w:top w:val="single" w:color="auto" w:sz="4" w:space="0"/>
              <w:left w:val="single" w:color="auto" w:sz="4" w:space="0"/>
              <w:bottom w:val="single" w:color="auto" w:sz="4" w:space="0"/>
              <w:right w:val="single" w:color="auto" w:sz="4" w:space="0"/>
            </w:tcBorders>
            <w:shd w:val="clear" w:color="auto" w:fill="auto"/>
            <w:vAlign w:val="center"/>
          </w:tcPr>
          <w:p w14:paraId="57B69FFC">
            <w:pPr>
              <w:pStyle w:val="180"/>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A</w:t>
            </w:r>
            <w:r>
              <w:rPr>
                <w:rFonts w:hint="eastAsia" w:ascii="宋体" w:hAnsi="宋体" w:cs="宋体"/>
                <w:color w:val="auto"/>
                <w:szCs w:val="21"/>
                <w:highlight w:val="none"/>
                <w:lang w:val="en-US" w:eastAsia="zh-CN"/>
              </w:rPr>
              <w:t>区</w:t>
            </w:r>
          </w:p>
        </w:tc>
        <w:tc>
          <w:tcPr>
            <w:tcW w:w="3774" w:type="pct"/>
            <w:tcBorders>
              <w:top w:val="single" w:color="auto" w:sz="4" w:space="0"/>
              <w:left w:val="single" w:color="auto" w:sz="4" w:space="0"/>
              <w:bottom w:val="single" w:color="auto" w:sz="4" w:space="0"/>
              <w:right w:val="single" w:color="auto" w:sz="4" w:space="0"/>
            </w:tcBorders>
            <w:shd w:val="clear" w:color="auto" w:fill="auto"/>
            <w:vAlign w:val="center"/>
          </w:tcPr>
          <w:p w14:paraId="33A9360A">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olor w:val="auto"/>
                <w:szCs w:val="21"/>
                <w:highlight w:val="none"/>
              </w:rPr>
            </w:pPr>
            <w:r>
              <w:rPr>
                <w:rFonts w:hint="eastAsia" w:ascii="宋体" w:hAnsi="宋体" w:eastAsia="宋体"/>
                <w:color w:val="auto"/>
                <w:szCs w:val="21"/>
                <w:highlight w:val="none"/>
              </w:rPr>
              <w:t>莞城街道、南城街道、万江街道、东城街道、松山湖园区、高埗镇、石碣镇、石龙镇、石排镇、茶山镇、寮步镇、大岭山镇、大朗镇；</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14:paraId="402ADC2C">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olor w:val="auto"/>
                <w:szCs w:val="21"/>
                <w:highlight w:val="none"/>
              </w:rPr>
            </w:pPr>
          </w:p>
        </w:tc>
      </w:tr>
      <w:tr w14:paraId="297D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1" w:type="pct"/>
            <w:tcBorders>
              <w:top w:val="single" w:color="auto" w:sz="4" w:space="0"/>
              <w:left w:val="single" w:color="auto" w:sz="4" w:space="0"/>
              <w:bottom w:val="single" w:color="auto" w:sz="4" w:space="0"/>
              <w:right w:val="single" w:color="auto" w:sz="4" w:space="0"/>
            </w:tcBorders>
            <w:shd w:val="clear" w:color="auto" w:fill="auto"/>
            <w:vAlign w:val="center"/>
          </w:tcPr>
          <w:p w14:paraId="7C5C5FA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B</w:t>
            </w:r>
            <w:r>
              <w:rPr>
                <w:rFonts w:hint="eastAsia" w:ascii="宋体" w:hAnsi="宋体" w:eastAsia="宋体" w:cs="宋体"/>
                <w:color w:val="auto"/>
                <w:szCs w:val="21"/>
                <w:highlight w:val="none"/>
                <w:lang w:val="en-US" w:eastAsia="zh-CN"/>
              </w:rPr>
              <w:t>区</w:t>
            </w:r>
          </w:p>
        </w:tc>
        <w:tc>
          <w:tcPr>
            <w:tcW w:w="3774" w:type="pct"/>
            <w:tcBorders>
              <w:top w:val="single" w:color="auto" w:sz="4" w:space="0"/>
              <w:left w:val="single" w:color="auto" w:sz="4" w:space="0"/>
              <w:bottom w:val="single" w:color="auto" w:sz="4" w:space="0"/>
              <w:right w:val="single" w:color="auto" w:sz="4" w:space="0"/>
            </w:tcBorders>
            <w:shd w:val="clear" w:color="auto" w:fill="auto"/>
            <w:vAlign w:val="center"/>
          </w:tcPr>
          <w:p w14:paraId="3CA49022">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olor w:val="auto"/>
                <w:szCs w:val="21"/>
                <w:highlight w:val="none"/>
              </w:rPr>
            </w:pPr>
            <w:r>
              <w:rPr>
                <w:rFonts w:hint="eastAsia" w:ascii="宋体" w:hAnsi="宋体" w:eastAsia="宋体"/>
                <w:color w:val="auto"/>
                <w:szCs w:val="21"/>
                <w:highlight w:val="none"/>
              </w:rPr>
              <w:t>滨海湾新区、长安镇、虎门镇、厚街镇、沙田镇、道滘镇、洪梅镇、麻涌镇、望牛墩镇、中堂镇；</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14:paraId="1A26B13B">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olor w:val="auto"/>
                <w:szCs w:val="21"/>
                <w:highlight w:val="none"/>
              </w:rPr>
            </w:pPr>
          </w:p>
        </w:tc>
      </w:tr>
      <w:tr w14:paraId="7D02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1" w:type="pct"/>
            <w:tcBorders>
              <w:top w:val="single" w:color="auto" w:sz="4" w:space="0"/>
              <w:left w:val="single" w:color="auto" w:sz="4" w:space="0"/>
              <w:bottom w:val="single" w:color="auto" w:sz="4" w:space="0"/>
              <w:right w:val="single" w:color="auto" w:sz="4" w:space="0"/>
            </w:tcBorders>
            <w:shd w:val="clear" w:color="auto" w:fill="auto"/>
            <w:vAlign w:val="center"/>
          </w:tcPr>
          <w:p w14:paraId="47A4524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C</w:t>
            </w:r>
            <w:r>
              <w:rPr>
                <w:rFonts w:hint="eastAsia" w:ascii="宋体" w:hAnsi="宋体" w:eastAsia="宋体" w:cs="宋体"/>
                <w:color w:val="auto"/>
                <w:szCs w:val="21"/>
                <w:highlight w:val="none"/>
                <w:lang w:val="en-US" w:eastAsia="zh-CN"/>
              </w:rPr>
              <w:t>区</w:t>
            </w:r>
          </w:p>
        </w:tc>
        <w:tc>
          <w:tcPr>
            <w:tcW w:w="3774" w:type="pct"/>
            <w:tcBorders>
              <w:top w:val="single" w:color="auto" w:sz="4" w:space="0"/>
              <w:left w:val="single" w:color="auto" w:sz="4" w:space="0"/>
              <w:bottom w:val="single" w:color="auto" w:sz="4" w:space="0"/>
              <w:right w:val="single" w:color="auto" w:sz="4" w:space="0"/>
            </w:tcBorders>
            <w:shd w:val="clear" w:color="auto" w:fill="auto"/>
            <w:vAlign w:val="center"/>
          </w:tcPr>
          <w:p w14:paraId="3C051022">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olor w:val="auto"/>
                <w:szCs w:val="21"/>
                <w:highlight w:val="none"/>
              </w:rPr>
            </w:pPr>
            <w:r>
              <w:rPr>
                <w:rFonts w:hint="eastAsia" w:ascii="宋体" w:hAnsi="宋体" w:eastAsia="宋体"/>
                <w:color w:val="auto"/>
                <w:szCs w:val="21"/>
                <w:highlight w:val="none"/>
              </w:rPr>
              <w:t>横沥镇、东坑镇、企石镇、桥头镇、谢岗镇、常平镇、黄江镇、樟木头镇、塘厦镇、清溪镇、凤岗镇。</w:t>
            </w: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14:paraId="54A6C302">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olor w:val="auto"/>
                <w:szCs w:val="21"/>
                <w:highlight w:val="none"/>
              </w:rPr>
            </w:pPr>
          </w:p>
        </w:tc>
      </w:tr>
    </w:tbl>
    <w:p w14:paraId="6A696269">
      <w:pPr>
        <w:adjustRightInd w:val="0"/>
        <w:spacing w:line="360" w:lineRule="auto"/>
        <w:ind w:firstLine="420" w:firstLineChars="200"/>
        <w:outlineLvl w:val="9"/>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4.2全市劳务分包业务区域划分图</w:t>
      </w:r>
    </w:p>
    <w:p w14:paraId="6FA9B797">
      <w:pPr>
        <w:adjustRightInd w:val="0"/>
        <w:spacing w:line="360" w:lineRule="auto"/>
        <w:ind w:firstLine="0" w:firstLineChars="0"/>
        <w:jc w:val="center"/>
        <w:outlineLvl w:val="9"/>
        <w:rPr>
          <w:rFonts w:hint="default" w:ascii="宋体" w:hAnsi="宋体" w:eastAsia="宋体" w:cs="宋体"/>
          <w:b w:val="0"/>
          <w:bCs w:val="0"/>
          <w:color w:val="auto"/>
          <w:szCs w:val="21"/>
          <w:highlight w:val="none"/>
          <w:lang w:val="en-US" w:eastAsia="zh-CN"/>
        </w:rPr>
      </w:pPr>
      <w:r>
        <w:rPr>
          <w:color w:val="auto"/>
          <w:highlight w:val="none"/>
        </w:rPr>
        <w:drawing>
          <wp:inline distT="0" distB="0" distL="114300" distR="114300">
            <wp:extent cx="3602990" cy="2533015"/>
            <wp:effectExtent l="0" t="0" r="16510" b="6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3602990" cy="2533015"/>
                    </a:xfrm>
                    <a:prstGeom prst="rect">
                      <a:avLst/>
                    </a:prstGeom>
                    <a:noFill/>
                    <a:ln>
                      <a:noFill/>
                    </a:ln>
                  </pic:spPr>
                </pic:pic>
              </a:graphicData>
            </a:graphic>
          </wp:inline>
        </w:drawing>
      </w:r>
    </w:p>
    <w:p w14:paraId="25D4DA78">
      <w:pPr>
        <w:adjustRightInd w:val="0"/>
        <w:spacing w:line="360" w:lineRule="auto"/>
        <w:ind w:firstLine="422" w:firstLineChars="200"/>
        <w:outlineLvl w:val="0"/>
        <w:rPr>
          <w:rFonts w:hint="eastAsia" w:ascii="宋体" w:hAnsi="宋体" w:eastAsia="宋体" w:cs="宋体"/>
          <w:b/>
          <w:bCs/>
          <w:color w:val="auto"/>
          <w:szCs w:val="21"/>
          <w:highlight w:val="none"/>
        </w:rPr>
      </w:pPr>
      <w:bookmarkStart w:id="417" w:name="_Toc29472"/>
      <w:r>
        <w:rPr>
          <w:rFonts w:hint="eastAsia" w:ascii="宋体" w:hAnsi="宋体" w:eastAsia="宋体" w:cs="宋体"/>
          <w:b/>
          <w:bCs/>
          <w:color w:val="auto"/>
          <w:szCs w:val="21"/>
          <w:highlight w:val="none"/>
        </w:rPr>
        <w:t>二、服务内容及要求</w:t>
      </w:r>
      <w:bookmarkEnd w:id="415"/>
      <w:bookmarkEnd w:id="416"/>
      <w:bookmarkEnd w:id="417"/>
    </w:p>
    <w:p w14:paraId="6AE52A83">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（一）供水抢修项目</w:t>
      </w:r>
    </w:p>
    <w:p w14:paraId="064FF01A">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中标人的工作内容包括但不限于：路面开挖、路面清洗、管道修复、余泥外运、基坑支护（如有必要）、基坑回填、路面修复（含地面标线修复）、人行道修复；因抢修引起的市政设施的拆除、修复，包括但不限于：路灯、路牌、交通灯、监控、护栏、隔音屏、排水管、雨水管、电缆槽等；因抢修引起的乔木、灌木、草皮、观赏植物等绿化修复</w:t>
      </w:r>
      <w:r>
        <w:rPr>
          <w:rFonts w:hint="eastAsia" w:ascii="宋体" w:hAnsi="宋体" w:eastAsia="宋体" w:cs="宋体"/>
          <w:color w:val="auto"/>
          <w:szCs w:val="21"/>
          <w:highlight w:val="none"/>
          <w:lang w:val="en-US" w:eastAsia="zh-CN"/>
        </w:rPr>
        <w:t>的劳务服务</w:t>
      </w:r>
      <w:r>
        <w:rPr>
          <w:rFonts w:hint="eastAsia" w:ascii="宋体" w:hAnsi="宋体" w:eastAsia="宋体" w:cs="宋体"/>
          <w:color w:val="auto"/>
          <w:szCs w:val="21"/>
          <w:highlight w:val="none"/>
        </w:rPr>
        <w:t>。上述工作须符合招标人</w:t>
      </w:r>
      <w:r>
        <w:rPr>
          <w:rFonts w:hint="eastAsia" w:ascii="宋体" w:hAnsi="宋体" w:eastAsia="宋体" w:cs="宋体"/>
          <w:color w:val="auto"/>
          <w:szCs w:val="21"/>
          <w:highlight w:val="none"/>
          <w:lang w:val="en-US" w:eastAsia="zh-CN"/>
        </w:rPr>
        <w:t>或其下属企业</w:t>
      </w:r>
      <w:r>
        <w:rPr>
          <w:rFonts w:hint="eastAsia" w:ascii="宋体" w:hAnsi="宋体" w:eastAsia="宋体" w:cs="宋体"/>
          <w:color w:val="auto"/>
          <w:szCs w:val="21"/>
          <w:highlight w:val="none"/>
        </w:rPr>
        <w:t>、业主单位及市政等主管部门的验收要求。</w:t>
      </w:r>
    </w:p>
    <w:p w14:paraId="2D38607E">
      <w:pPr>
        <w:widowControl/>
        <w:adjustRightIn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2、服务界限：一般情况管道抢修全过程</w:t>
      </w:r>
      <w:r>
        <w:rPr>
          <w:rFonts w:hint="eastAsia" w:ascii="宋体" w:hAnsi="宋体" w:eastAsia="宋体" w:cs="宋体"/>
          <w:color w:val="auto"/>
          <w:szCs w:val="21"/>
          <w:highlight w:val="none"/>
          <w:lang w:val="en-US" w:eastAsia="zh-CN"/>
        </w:rPr>
        <w:t>的劳务服务</w:t>
      </w:r>
      <w:r>
        <w:rPr>
          <w:rFonts w:hint="eastAsia" w:ascii="宋体" w:hAnsi="宋体" w:eastAsia="宋体" w:cs="宋体"/>
          <w:color w:val="auto"/>
          <w:szCs w:val="21"/>
          <w:highlight w:val="none"/>
        </w:rPr>
        <w:t>由中标人实施，包括但不限于路面开挖、路面清洗、管道修复、余泥外运、基坑回填、基坑支护（如有必要）、路面修复（含地面标线修复）、人行道修复、市政设施的拆除和修复、绿化修复等</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如遇突发情况中标人无法实施</w:t>
      </w:r>
      <w:r>
        <w:rPr>
          <w:rFonts w:hint="eastAsia" w:ascii="宋体" w:hAnsi="宋体" w:eastAsia="宋体" w:cs="宋体"/>
          <w:color w:val="auto"/>
          <w:szCs w:val="21"/>
          <w:highlight w:val="none"/>
          <w:lang w:val="en-US" w:eastAsia="zh-CN"/>
        </w:rPr>
        <w:t>的</w:t>
      </w:r>
      <w:r>
        <w:rPr>
          <w:rFonts w:hint="eastAsia" w:ascii="宋体" w:hAnsi="宋体" w:eastAsia="宋体" w:cs="宋体"/>
          <w:color w:val="auto"/>
          <w:szCs w:val="21"/>
          <w:highlight w:val="none"/>
        </w:rPr>
        <w:t>技术部分，由招标人</w:t>
      </w:r>
      <w:r>
        <w:rPr>
          <w:rFonts w:hint="eastAsia" w:ascii="宋体" w:hAnsi="宋体" w:eastAsia="宋体" w:cs="宋体"/>
          <w:color w:val="auto"/>
          <w:szCs w:val="21"/>
          <w:highlight w:val="none"/>
          <w:lang w:val="en-US" w:eastAsia="zh-CN"/>
        </w:rPr>
        <w:t>或其下属企业</w:t>
      </w:r>
      <w:r>
        <w:rPr>
          <w:rFonts w:hint="eastAsia" w:ascii="宋体" w:hAnsi="宋体" w:eastAsia="宋体" w:cs="宋体"/>
          <w:color w:val="auto"/>
          <w:szCs w:val="21"/>
          <w:highlight w:val="none"/>
        </w:rPr>
        <w:t>应急派遣技术人员</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自有人员或第三方人员</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修复的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则需按中标人实际实施的工程量进行签证</w:t>
      </w:r>
      <w:r>
        <w:rPr>
          <w:rFonts w:hint="eastAsia" w:ascii="宋体" w:hAnsi="宋体" w:eastAsia="宋体" w:cs="宋体"/>
          <w:color w:val="auto"/>
          <w:szCs w:val="21"/>
          <w:highlight w:val="none"/>
          <w:lang w:eastAsia="zh-CN"/>
        </w:rPr>
        <w:t>；如遇招标人或其下属企业部分委托的，也需按中标人实际实施的工程量进行签证</w:t>
      </w:r>
      <w:r>
        <w:rPr>
          <w:rFonts w:hint="eastAsia" w:ascii="宋体" w:hAnsi="宋体" w:eastAsia="宋体" w:cs="宋体"/>
          <w:color w:val="auto"/>
          <w:szCs w:val="21"/>
          <w:highlight w:val="none"/>
        </w:rPr>
        <w:t>。</w:t>
      </w:r>
    </w:p>
    <w:p w14:paraId="72B259B0">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3、中标人自备抢修项目所涉及的人员、作业车辆、设备和材料（如修复</w:t>
      </w:r>
      <w:r>
        <w:rPr>
          <w:rFonts w:hint="eastAsia" w:ascii="宋体" w:hAnsi="宋体" w:eastAsia="宋体" w:cs="宋体"/>
          <w:color w:val="auto"/>
          <w:szCs w:val="21"/>
          <w:highlight w:val="none"/>
          <w:lang w:val="en-US" w:eastAsia="zh-CN"/>
        </w:rPr>
        <w:t>现状</w:t>
      </w:r>
      <w:r>
        <w:rPr>
          <w:rFonts w:hint="eastAsia" w:ascii="宋体" w:hAnsi="宋体" w:eastAsia="宋体" w:cs="宋体"/>
          <w:color w:val="auto"/>
          <w:szCs w:val="21"/>
          <w:highlight w:val="none"/>
        </w:rPr>
        <w:t>用的水泥</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石粉等）。</w:t>
      </w:r>
    </w:p>
    <w:p w14:paraId="62A90FC1">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4、若供水管道爆漏导致路面积聚泥水，中标人须及时安排作业车（如铲车、自卸车、吸污车、洒水车等），开展清洗路面和指挥交通等工作，避免泥水排到雨水管或附近水体造成环境污染。</w:t>
      </w:r>
    </w:p>
    <w:p w14:paraId="2F17C96A">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5、若涉及市政路面修复工作，路面修复后的平整度、硬度、颜色、标线和观感等方面须满足招标人</w:t>
      </w:r>
      <w:r>
        <w:rPr>
          <w:rFonts w:hint="eastAsia" w:ascii="宋体" w:hAnsi="宋体" w:eastAsia="宋体" w:cs="宋体"/>
          <w:color w:val="auto"/>
          <w:szCs w:val="21"/>
          <w:highlight w:val="none"/>
          <w:lang w:val="en-US" w:eastAsia="zh-CN"/>
        </w:rPr>
        <w:t>或其下属企业</w:t>
      </w:r>
      <w:r>
        <w:rPr>
          <w:rFonts w:hint="eastAsia" w:ascii="宋体" w:hAnsi="宋体" w:eastAsia="宋体" w:cs="宋体"/>
          <w:color w:val="auto"/>
          <w:szCs w:val="21"/>
          <w:highlight w:val="none"/>
        </w:rPr>
        <w:t>、业主单位、行政主管部门及管养单位的验收要求。</w:t>
      </w:r>
    </w:p>
    <w:p w14:paraId="67EAC47B">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6、中标人的劳务作业及施工受招标人</w:t>
      </w:r>
      <w:r>
        <w:rPr>
          <w:rFonts w:hint="eastAsia" w:ascii="宋体" w:hAnsi="宋体" w:eastAsia="宋体" w:cs="宋体"/>
          <w:color w:val="auto"/>
          <w:szCs w:val="21"/>
          <w:highlight w:val="none"/>
          <w:lang w:val="en-US" w:eastAsia="zh-CN"/>
        </w:rPr>
        <w:t>或其下属企业</w:t>
      </w:r>
      <w:r>
        <w:rPr>
          <w:rFonts w:hint="eastAsia" w:ascii="宋体" w:hAnsi="宋体" w:eastAsia="宋体" w:cs="宋体"/>
          <w:color w:val="auto"/>
          <w:szCs w:val="21"/>
          <w:highlight w:val="none"/>
        </w:rPr>
        <w:t>及业主单位的监督，需满足招标人</w:t>
      </w:r>
      <w:r>
        <w:rPr>
          <w:rFonts w:hint="eastAsia" w:ascii="宋体" w:hAnsi="宋体" w:eastAsia="宋体" w:cs="宋体"/>
          <w:color w:val="auto"/>
          <w:szCs w:val="21"/>
          <w:highlight w:val="none"/>
          <w:lang w:val="en-US" w:eastAsia="zh-CN"/>
        </w:rPr>
        <w:t>或其下属企业</w:t>
      </w:r>
      <w:r>
        <w:rPr>
          <w:rFonts w:hint="eastAsia" w:ascii="宋体" w:hAnsi="宋体" w:eastAsia="宋体" w:cs="宋体"/>
          <w:color w:val="auto"/>
          <w:szCs w:val="21"/>
          <w:highlight w:val="none"/>
        </w:rPr>
        <w:t>及业主单位的要求。</w:t>
      </w:r>
    </w:p>
    <w:p w14:paraId="04047040">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（二）零星工程</w:t>
      </w:r>
    </w:p>
    <w:p w14:paraId="199CE8E5">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1、中标人的工作内容包括但不限于水厂、泵站（房）、管网等供水系统的施工项目，污水处理（含水质净化）项目、提标项目及其他项目的装修、维修、扩建、应急抢险工作等</w:t>
      </w:r>
      <w:r>
        <w:rPr>
          <w:rFonts w:hint="eastAsia" w:ascii="宋体" w:hAnsi="宋体" w:eastAsia="宋体" w:cs="宋体"/>
          <w:color w:val="auto"/>
          <w:szCs w:val="21"/>
          <w:highlight w:val="none"/>
          <w:lang w:val="en-US" w:eastAsia="zh-CN"/>
        </w:rPr>
        <w:t>的劳务服务</w:t>
      </w:r>
      <w:r>
        <w:rPr>
          <w:rFonts w:hint="eastAsia" w:ascii="宋体" w:hAnsi="宋体" w:eastAsia="宋体" w:cs="宋体"/>
          <w:color w:val="auto"/>
          <w:szCs w:val="21"/>
          <w:highlight w:val="none"/>
        </w:rPr>
        <w:t>。中标人须按合同有关质量的约定、国家现行的标准进行劳务作业，满足招标人</w:t>
      </w:r>
      <w:r>
        <w:rPr>
          <w:rFonts w:hint="eastAsia" w:ascii="宋体" w:hAnsi="宋体" w:eastAsia="宋体" w:cs="宋体"/>
          <w:color w:val="auto"/>
          <w:szCs w:val="21"/>
          <w:highlight w:val="none"/>
          <w:lang w:val="en-US" w:eastAsia="zh-CN"/>
        </w:rPr>
        <w:t>或其下属企业</w:t>
      </w:r>
      <w:r>
        <w:rPr>
          <w:rFonts w:hint="eastAsia" w:ascii="宋体" w:hAnsi="宋体" w:eastAsia="宋体" w:cs="宋体"/>
          <w:color w:val="auto"/>
          <w:szCs w:val="21"/>
          <w:highlight w:val="none"/>
        </w:rPr>
        <w:t>的质量要求以及招标人</w:t>
      </w:r>
      <w:r>
        <w:rPr>
          <w:rFonts w:hint="eastAsia" w:ascii="宋体" w:hAnsi="宋体" w:eastAsia="宋体" w:cs="宋体"/>
          <w:color w:val="auto"/>
          <w:szCs w:val="21"/>
          <w:highlight w:val="none"/>
          <w:lang w:val="en-US" w:eastAsia="zh-CN"/>
        </w:rPr>
        <w:t>或其下属企业</w:t>
      </w:r>
      <w:r>
        <w:rPr>
          <w:rFonts w:hint="eastAsia" w:ascii="宋体" w:hAnsi="宋体" w:eastAsia="宋体" w:cs="宋体"/>
          <w:color w:val="auto"/>
          <w:szCs w:val="21"/>
          <w:highlight w:val="none"/>
        </w:rPr>
        <w:t>对业主单位的质量承诺。</w:t>
      </w:r>
    </w:p>
    <w:p w14:paraId="6F5EB8DB">
      <w:pPr>
        <w:autoSpaceDE w:val="0"/>
        <w:autoSpaceDN w:val="0"/>
        <w:adjustRightIn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为便于项目管理，单个项目开工前，中标人应协助招标人或其下属企业根据项目具体的施工内容完成总施工组织设计（具体内容包括但不限于：编制依据、工程概述、重点难点和解决方案、工程施工技术措施、交通导行方案、工程质量保障措施、工期保证措施、紧急情况处理措施及预案等）、专项施工方案及施工计划等。项目如涉及危大专项施工作业的，还应配合招标人或其下属企业完成专项施工方案的编制以及专家论证审查。</w:t>
      </w:r>
    </w:p>
    <w:p w14:paraId="64411DA3">
      <w:pPr>
        <w:autoSpaceDE w:val="0"/>
        <w:autoSpaceDN w:val="0"/>
        <w:adjustRightIn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中标人应在项目开工前主动配合招标人或其下属企业、项目业主单位联系施工范围内存在或可能存在的相关管线权属单位到现场进行管线交底。施工作业可能涉及重要管线时（包括但不限于国防光缆、高压燃气、输油管道、通讯电缆、供电电缆等），除应提前探明具体位置外，还应配合招标人或其下属企业制定管线保护方案。</w:t>
      </w:r>
    </w:p>
    <w:p w14:paraId="78DF3158">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、零星工程的主材（如管道、阀门等）由招标人</w:t>
      </w:r>
      <w:r>
        <w:rPr>
          <w:rFonts w:hint="eastAsia" w:ascii="宋体" w:hAnsi="宋体" w:eastAsia="宋体" w:cs="宋体"/>
          <w:color w:val="auto"/>
          <w:szCs w:val="21"/>
          <w:highlight w:val="none"/>
          <w:lang w:val="en-US" w:eastAsia="zh-CN"/>
        </w:rPr>
        <w:t>或其下属企业</w:t>
      </w:r>
      <w:r>
        <w:rPr>
          <w:rFonts w:hint="eastAsia" w:ascii="宋体" w:hAnsi="宋体" w:eastAsia="宋体" w:cs="宋体"/>
          <w:color w:val="auto"/>
          <w:szCs w:val="21"/>
          <w:highlight w:val="none"/>
        </w:rPr>
        <w:t>提供。若由于项目紧急，需委托中标人提供，则中标人提供的</w:t>
      </w:r>
      <w:r>
        <w:rPr>
          <w:rFonts w:hint="eastAsia" w:ascii="宋体" w:hAnsi="宋体" w:eastAsia="宋体" w:cs="宋体"/>
          <w:color w:val="auto"/>
          <w:szCs w:val="21"/>
          <w:highlight w:val="none"/>
          <w:lang w:val="en-US" w:eastAsia="zh-CN"/>
        </w:rPr>
        <w:t>材料</w:t>
      </w:r>
      <w:r>
        <w:rPr>
          <w:rFonts w:hint="eastAsia" w:ascii="宋体" w:hAnsi="宋体" w:eastAsia="宋体" w:cs="宋体"/>
          <w:color w:val="auto"/>
          <w:szCs w:val="21"/>
          <w:highlight w:val="none"/>
        </w:rPr>
        <w:t>或相关辅材、设备、构配件、成品或半成品，须具有质量合格证，并经招标人</w:t>
      </w:r>
      <w:r>
        <w:rPr>
          <w:rFonts w:hint="eastAsia" w:ascii="宋体" w:hAnsi="宋体" w:eastAsia="宋体" w:cs="宋体"/>
          <w:color w:val="auto"/>
          <w:szCs w:val="21"/>
          <w:highlight w:val="none"/>
          <w:lang w:val="en-US" w:eastAsia="zh-CN"/>
        </w:rPr>
        <w:t>或其下属企业</w:t>
      </w:r>
      <w:r>
        <w:rPr>
          <w:rFonts w:hint="eastAsia" w:ascii="宋体" w:hAnsi="宋体" w:eastAsia="宋体" w:cs="宋体"/>
          <w:color w:val="auto"/>
          <w:szCs w:val="21"/>
          <w:highlight w:val="none"/>
        </w:rPr>
        <w:t>检验合格后方可用于零星工程中。中标人对材料改变或替换必须经招标人</w:t>
      </w:r>
      <w:r>
        <w:rPr>
          <w:rFonts w:hint="eastAsia" w:ascii="宋体" w:hAnsi="宋体" w:eastAsia="宋体" w:cs="宋体"/>
          <w:color w:val="auto"/>
          <w:szCs w:val="21"/>
          <w:highlight w:val="none"/>
          <w:lang w:val="en-US" w:eastAsia="zh-CN"/>
        </w:rPr>
        <w:t>或其下属企业</w:t>
      </w:r>
      <w:r>
        <w:rPr>
          <w:rFonts w:hint="eastAsia" w:ascii="宋体" w:hAnsi="宋体" w:eastAsia="宋体" w:cs="宋体"/>
          <w:color w:val="auto"/>
          <w:szCs w:val="21"/>
          <w:highlight w:val="none"/>
        </w:rPr>
        <w:t>项目管理人员同意并签发正式书面通知书后，方可用于零星工程中。</w:t>
      </w:r>
    </w:p>
    <w:p w14:paraId="78322EB5">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、隐蔽工程须经监理（如有）、招标人</w:t>
      </w:r>
      <w:r>
        <w:rPr>
          <w:rFonts w:hint="eastAsia" w:ascii="宋体" w:hAnsi="宋体" w:eastAsia="宋体" w:cs="宋体"/>
          <w:color w:val="auto"/>
          <w:szCs w:val="21"/>
          <w:highlight w:val="none"/>
          <w:lang w:val="en-US" w:eastAsia="zh-CN"/>
        </w:rPr>
        <w:t>或其下属企业</w:t>
      </w:r>
      <w:r>
        <w:rPr>
          <w:rFonts w:hint="eastAsia" w:ascii="宋体" w:hAnsi="宋体" w:eastAsia="宋体" w:cs="宋体"/>
          <w:color w:val="auto"/>
          <w:szCs w:val="21"/>
          <w:highlight w:val="none"/>
        </w:rPr>
        <w:t>项目管理人员等</w:t>
      </w:r>
      <w:r>
        <w:rPr>
          <w:rFonts w:hint="eastAsia" w:ascii="宋体" w:hAnsi="宋体" w:eastAsia="宋体" w:cs="宋体"/>
          <w:color w:val="auto"/>
          <w:szCs w:val="21"/>
          <w:highlight w:val="none"/>
          <w:lang w:val="en-US" w:eastAsia="zh-CN"/>
        </w:rPr>
        <w:t>验收</w:t>
      </w:r>
      <w:r>
        <w:rPr>
          <w:rFonts w:hint="eastAsia" w:ascii="宋体" w:hAnsi="宋体" w:eastAsia="宋体" w:cs="宋体"/>
          <w:color w:val="auto"/>
          <w:szCs w:val="21"/>
          <w:highlight w:val="none"/>
        </w:rPr>
        <w:t>合格后，方可进行下道工序施工。如果中标人未按照招标人或其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要求私自进行下道工序施工，事后招标人或其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有权要求对已隐蔽的工程进行检查，中标人应当按照招标人或其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要求进行剥露，并在检查后重新隐蔽或者修复后隐蔽。如果经检查隐蔽工程不符合要求的，中标人应当在甲方限定的时间内返工，重新进行隐蔽。由此产生的一切费用，包括但不限于检查、返工、材料费用等均由中标人全部承担，中标人还应承担工期延误的违约责任。</w:t>
      </w:r>
    </w:p>
    <w:p w14:paraId="1A5F13E4">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、施工中对于由中标人原因造成或未达到合同约定质量标准的，招标人或其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有权责令中标人停工或返工，其费用由中标人承担，工期不予顺延。</w:t>
      </w:r>
    </w:p>
    <w:p w14:paraId="1F9ADF1D">
      <w:pPr>
        <w:pStyle w:val="206"/>
        <w:adjustRightInd w:val="0"/>
        <w:spacing w:line="360" w:lineRule="auto"/>
        <w:ind w:firstLine="420" w:firstLineChars="200"/>
        <w:rPr>
          <w:rFonts w:hint="eastAsia"/>
          <w:color w:val="auto"/>
          <w:sz w:val="21"/>
          <w:szCs w:val="21"/>
          <w:highlight w:val="none"/>
          <w:lang w:val="en-US" w:eastAsia="zh-CN" w:bidi="ar-SA"/>
        </w:rPr>
      </w:pPr>
      <w:r>
        <w:rPr>
          <w:rFonts w:hint="eastAsia"/>
          <w:color w:val="auto"/>
          <w:sz w:val="21"/>
          <w:szCs w:val="21"/>
          <w:highlight w:val="none"/>
          <w:lang w:val="en-US" w:eastAsia="zh-CN" w:bidi="ar-SA"/>
        </w:rPr>
        <w:t>7、</w:t>
      </w:r>
      <w:r>
        <w:rPr>
          <w:rFonts w:hint="eastAsia"/>
          <w:color w:val="auto"/>
          <w:sz w:val="21"/>
          <w:szCs w:val="21"/>
          <w:highlight w:val="none"/>
          <w:lang w:val="en-US" w:eastAsia="zh-CN"/>
        </w:rPr>
        <w:t>中标人</w:t>
      </w:r>
      <w:r>
        <w:rPr>
          <w:rFonts w:hint="eastAsia"/>
          <w:color w:val="auto"/>
          <w:sz w:val="21"/>
          <w:szCs w:val="21"/>
          <w:highlight w:val="none"/>
          <w:lang w:val="en-US" w:eastAsia="zh-CN" w:bidi="ar-SA"/>
        </w:rPr>
        <w:t>须在</w:t>
      </w:r>
      <w:r>
        <w:rPr>
          <w:rFonts w:hint="eastAsia"/>
          <w:color w:val="auto"/>
          <w:sz w:val="21"/>
          <w:szCs w:val="21"/>
          <w:highlight w:val="none"/>
          <w:lang w:val="en-US" w:eastAsia="zh-CN"/>
        </w:rPr>
        <w:t>招标人或其下属企业</w:t>
      </w:r>
      <w:r>
        <w:rPr>
          <w:rFonts w:hint="eastAsia"/>
          <w:color w:val="auto"/>
          <w:sz w:val="21"/>
          <w:szCs w:val="21"/>
          <w:highlight w:val="none"/>
          <w:lang w:val="en-US" w:eastAsia="zh-CN" w:bidi="ar-SA"/>
        </w:rPr>
        <w:t>规定的时间内按时完工，如非</w:t>
      </w:r>
      <w:r>
        <w:rPr>
          <w:rFonts w:hint="eastAsia"/>
          <w:color w:val="auto"/>
          <w:sz w:val="21"/>
          <w:szCs w:val="21"/>
          <w:highlight w:val="none"/>
          <w:lang w:val="en-US" w:eastAsia="zh-CN"/>
        </w:rPr>
        <w:t>中标人</w:t>
      </w:r>
      <w:r>
        <w:rPr>
          <w:rFonts w:hint="eastAsia"/>
          <w:color w:val="auto"/>
          <w:sz w:val="21"/>
          <w:szCs w:val="21"/>
          <w:highlight w:val="none"/>
          <w:lang w:val="en-US" w:eastAsia="zh-CN" w:bidi="ar-SA"/>
        </w:rPr>
        <w:t>原因导致工期延误，</w:t>
      </w:r>
      <w:r>
        <w:rPr>
          <w:rFonts w:hint="eastAsia"/>
          <w:color w:val="auto"/>
          <w:sz w:val="21"/>
          <w:szCs w:val="21"/>
          <w:highlight w:val="none"/>
          <w:lang w:val="en-US" w:eastAsia="zh-CN"/>
        </w:rPr>
        <w:t>中标人</w:t>
      </w:r>
      <w:r>
        <w:rPr>
          <w:rFonts w:hint="eastAsia"/>
          <w:color w:val="auto"/>
          <w:sz w:val="21"/>
          <w:szCs w:val="21"/>
          <w:highlight w:val="none"/>
          <w:lang w:val="en-US" w:eastAsia="zh-CN" w:bidi="ar-SA"/>
        </w:rPr>
        <w:t>需提交书面延期申请，延期时间以</w:t>
      </w:r>
      <w:r>
        <w:rPr>
          <w:rFonts w:hint="eastAsia"/>
          <w:color w:val="auto"/>
          <w:sz w:val="21"/>
          <w:szCs w:val="21"/>
          <w:highlight w:val="none"/>
          <w:lang w:val="en-US" w:eastAsia="zh-CN"/>
        </w:rPr>
        <w:t>招标人或其下属企业书面</w:t>
      </w:r>
      <w:r>
        <w:rPr>
          <w:rFonts w:hint="eastAsia"/>
          <w:color w:val="auto"/>
          <w:sz w:val="21"/>
          <w:szCs w:val="21"/>
          <w:highlight w:val="none"/>
          <w:lang w:val="en-US" w:eastAsia="zh-CN" w:bidi="ar-SA"/>
        </w:rPr>
        <w:t>批准的时间为准。如因</w:t>
      </w:r>
      <w:r>
        <w:rPr>
          <w:rFonts w:hint="eastAsia"/>
          <w:color w:val="auto"/>
          <w:sz w:val="21"/>
          <w:szCs w:val="21"/>
          <w:highlight w:val="none"/>
          <w:lang w:val="en-US" w:eastAsia="zh-CN"/>
        </w:rPr>
        <w:t>中标人</w:t>
      </w:r>
      <w:r>
        <w:rPr>
          <w:rFonts w:hint="eastAsia"/>
          <w:color w:val="auto"/>
          <w:sz w:val="21"/>
          <w:szCs w:val="21"/>
          <w:highlight w:val="none"/>
          <w:lang w:val="en-US" w:eastAsia="zh-CN" w:bidi="ar-SA"/>
        </w:rPr>
        <w:t>原因导致工期延误，造成监理、业主、主管部门对</w:t>
      </w:r>
      <w:r>
        <w:rPr>
          <w:rFonts w:hint="eastAsia"/>
          <w:color w:val="auto"/>
          <w:sz w:val="21"/>
          <w:szCs w:val="21"/>
          <w:highlight w:val="none"/>
          <w:lang w:val="en-US" w:eastAsia="zh-CN"/>
        </w:rPr>
        <w:t>招标人或其下属企业</w:t>
      </w:r>
      <w:r>
        <w:rPr>
          <w:rFonts w:hint="eastAsia"/>
          <w:color w:val="auto"/>
          <w:sz w:val="21"/>
          <w:szCs w:val="21"/>
          <w:highlight w:val="none"/>
          <w:lang w:val="en-US" w:eastAsia="zh-CN" w:bidi="ar-SA"/>
        </w:rPr>
        <w:t>进行的罚款（或收取违约金）由</w:t>
      </w:r>
      <w:r>
        <w:rPr>
          <w:rFonts w:hint="eastAsia"/>
          <w:color w:val="auto"/>
          <w:sz w:val="21"/>
          <w:szCs w:val="21"/>
          <w:highlight w:val="none"/>
          <w:lang w:val="en-US" w:eastAsia="zh-CN"/>
        </w:rPr>
        <w:t>中标人</w:t>
      </w:r>
      <w:r>
        <w:rPr>
          <w:rFonts w:hint="eastAsia"/>
          <w:color w:val="auto"/>
          <w:sz w:val="21"/>
          <w:szCs w:val="21"/>
          <w:highlight w:val="none"/>
          <w:lang w:val="en-US" w:eastAsia="zh-CN" w:bidi="ar-SA"/>
        </w:rPr>
        <w:t>全额承担。</w:t>
      </w:r>
    </w:p>
    <w:p w14:paraId="3BF20CD3">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、单项项目缺陷责任期：自项目竣工验收合格之日起</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年，如单项</w:t>
      </w:r>
      <w:r>
        <w:rPr>
          <w:rFonts w:hint="eastAsia" w:ascii="宋体" w:hAnsi="宋体" w:eastAsia="宋体" w:cs="宋体"/>
          <w:color w:val="auto"/>
          <w:szCs w:val="21"/>
          <w:highlight w:val="none"/>
          <w:lang w:val="en-US" w:eastAsia="zh-CN"/>
        </w:rPr>
        <w:t>项目</w:t>
      </w:r>
      <w:r>
        <w:rPr>
          <w:rFonts w:hint="eastAsia" w:ascii="宋体" w:hAnsi="宋体" w:eastAsia="宋体" w:cs="宋体"/>
          <w:color w:val="auto"/>
          <w:szCs w:val="21"/>
          <w:highlight w:val="none"/>
        </w:rPr>
        <w:t>另有约定的，从其约定。</w:t>
      </w:r>
    </w:p>
    <w:p w14:paraId="3FA43508">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质量保修期自项目竣工验收合格之日起计算。项目质量保修期的约定：</w:t>
      </w:r>
    </w:p>
    <w:p w14:paraId="46D1D619">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①地基基础工程和主体结构工程为设计文件规定的该工程合理使用年限；</w:t>
      </w:r>
    </w:p>
    <w:p w14:paraId="47049D78">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②屋面防水工程、有防水要求的卫生间、房间和外墙面的防渗漏，为5年；</w:t>
      </w:r>
    </w:p>
    <w:p w14:paraId="56EF816D">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③供热与供冷系统，为2个采暖期、供冷期；</w:t>
      </w:r>
    </w:p>
    <w:p w14:paraId="0A581A20">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④电气管线、给排水管道、设备安装和装修工程，为2年；</w:t>
      </w:r>
    </w:p>
    <w:p w14:paraId="2DB5CC4C">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⑤室外的上下水和小区道路等市政公用工程为2年；</w:t>
      </w:r>
    </w:p>
    <w:p w14:paraId="08582F5F">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⑥绿化养护期为6个月（含成活期3个月）；</w:t>
      </w:r>
    </w:p>
    <w:p w14:paraId="3CD2C03C">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⑦白蚁防治为15年；</w:t>
      </w:r>
    </w:p>
    <w:p w14:paraId="422E5EF8">
      <w:pPr>
        <w:autoSpaceDE w:val="0"/>
        <w:autoSpaceDN w:val="0"/>
        <w:adjustRightIn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⑧其他项目按照国家《建设工程质量管理条例》执行，但不得少于2年。</w:t>
      </w:r>
    </w:p>
    <w:p w14:paraId="5B1EFABC">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单项项目另有要求的，以劳务分包派单表</w:t>
      </w:r>
      <w:r>
        <w:rPr>
          <w:rFonts w:hint="eastAsia" w:ascii="宋体" w:hAnsi="宋体" w:eastAsia="宋体" w:cs="宋体"/>
          <w:color w:val="auto"/>
          <w:szCs w:val="21"/>
          <w:highlight w:val="none"/>
          <w:lang w:val="en-US" w:eastAsia="zh-CN"/>
        </w:rPr>
        <w:t>约定</w:t>
      </w:r>
      <w:r>
        <w:rPr>
          <w:rFonts w:hint="eastAsia" w:ascii="宋体" w:hAnsi="宋体" w:eastAsia="宋体" w:cs="宋体"/>
          <w:color w:val="auto"/>
          <w:szCs w:val="21"/>
          <w:highlight w:val="none"/>
        </w:rPr>
        <w:t>或招标人或其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书面通知为准。项目在质量保修期内出现维修等情况，质量保修期自维修并经招标人或其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验收合格后重新计算。在质量保修期发生的质量问题，中标人须无条件修复。</w:t>
      </w:r>
    </w:p>
    <w:p w14:paraId="13AAD836">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、中标人的安全管理必须纳入招标人或其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安全管理控制体系下统一监管和控制。</w:t>
      </w:r>
    </w:p>
    <w:p w14:paraId="02908FE2">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、中标人应遵守工程建设安全生产有关管理规定，严格按安全标准进行劳务作业，并随时接受招标人或其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招标人的</w:t>
      </w:r>
      <w:r>
        <w:rPr>
          <w:rFonts w:hint="eastAsia" w:ascii="宋体" w:hAnsi="宋体" w:eastAsia="宋体" w:cs="宋体"/>
          <w:color w:val="auto"/>
          <w:szCs w:val="21"/>
          <w:highlight w:val="none"/>
        </w:rPr>
        <w:t>业主单位、</w:t>
      </w:r>
      <w:r>
        <w:rPr>
          <w:rFonts w:hint="eastAsia" w:ascii="宋体" w:hAnsi="宋体" w:eastAsia="宋体" w:cs="宋体"/>
          <w:color w:val="auto"/>
          <w:szCs w:val="21"/>
          <w:highlight w:val="none"/>
          <w:lang w:val="en-US" w:eastAsia="zh-CN"/>
        </w:rPr>
        <w:t>招标人的</w:t>
      </w:r>
      <w:r>
        <w:rPr>
          <w:rFonts w:hint="eastAsia" w:ascii="宋体" w:hAnsi="宋体" w:eastAsia="宋体" w:cs="宋体"/>
          <w:color w:val="auto"/>
          <w:szCs w:val="21"/>
          <w:highlight w:val="none"/>
        </w:rPr>
        <w:t>集团公司安全检查人员依法实施的监督检查，采取必要的安全防护措施，消除事故隐患。由于中标人安全措施不力造成事故的责任和因此发生的费用，由中标人承担。</w:t>
      </w:r>
    </w:p>
    <w:p w14:paraId="03ED36C6">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、中标人应对派驻在现场的施工人员进行安全教育，并对其的安全负责，招标人或其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不得违反安全管理的规定</w:t>
      </w:r>
      <w:r>
        <w:rPr>
          <w:rFonts w:hint="eastAsia" w:ascii="宋体" w:hAnsi="宋体" w:eastAsia="宋体" w:cs="宋体"/>
          <w:color w:val="auto"/>
          <w:szCs w:val="21"/>
          <w:highlight w:val="none"/>
          <w:lang w:val="en-US" w:eastAsia="zh-CN"/>
        </w:rPr>
        <w:t>要求中标人</w:t>
      </w:r>
      <w:r>
        <w:rPr>
          <w:rFonts w:hint="eastAsia" w:ascii="宋体" w:hAnsi="宋体" w:eastAsia="宋体" w:cs="宋体"/>
          <w:color w:val="auto"/>
          <w:szCs w:val="21"/>
          <w:highlight w:val="none"/>
        </w:rPr>
        <w:t>提供劳务。</w:t>
      </w:r>
    </w:p>
    <w:p w14:paraId="216270D9">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13</w:t>
      </w:r>
      <w:r>
        <w:rPr>
          <w:rFonts w:hint="eastAsia" w:ascii="宋体" w:hAnsi="宋体" w:eastAsia="宋体" w:cs="宋体"/>
          <w:color w:val="auto"/>
          <w:szCs w:val="21"/>
          <w:highlight w:val="none"/>
        </w:rPr>
        <w:t>、中标人进入施工现场时，必须向招标人或其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报告安全技术措施，施工过程中应自觉接受招标人或其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安全代表的监督。招标人或其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现场管理人员有权对中标人施工过程中存在的安全隐患和违规操作提出整改要求，中标人应在招标人或其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现场管理人员限定期限内无条件进行整改或纠正。</w:t>
      </w:r>
    </w:p>
    <w:p w14:paraId="71169E00">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、中标人应自行保管好招标人或其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提供和自行配备的施工机具、材料的安全，做好防火、防洪、</w:t>
      </w:r>
      <w:r>
        <w:rPr>
          <w:rFonts w:hint="eastAsia" w:ascii="宋体" w:hAnsi="宋体" w:eastAsia="宋体" w:cs="宋体"/>
          <w:color w:val="auto"/>
          <w:szCs w:val="21"/>
          <w:highlight w:val="none"/>
          <w:lang w:val="en-US" w:eastAsia="zh-CN"/>
        </w:rPr>
        <w:t>防潮及</w:t>
      </w:r>
      <w:r>
        <w:rPr>
          <w:rFonts w:hint="eastAsia" w:ascii="宋体" w:hAnsi="宋体" w:eastAsia="宋体" w:cs="宋体"/>
          <w:color w:val="auto"/>
          <w:szCs w:val="21"/>
          <w:highlight w:val="none"/>
        </w:rPr>
        <w:t>防盗工作。如因中标人管理不善，或因第三者的原因造成的材料、设备损坏、</w:t>
      </w:r>
      <w:r>
        <w:rPr>
          <w:rFonts w:hint="eastAsia" w:ascii="宋体" w:hAnsi="宋体" w:eastAsia="宋体" w:cs="宋体"/>
          <w:color w:val="auto"/>
          <w:szCs w:val="21"/>
          <w:highlight w:val="none"/>
          <w:lang w:val="en-US" w:eastAsia="zh-CN"/>
        </w:rPr>
        <w:t>丢失</w:t>
      </w:r>
      <w:r>
        <w:rPr>
          <w:rFonts w:hint="eastAsia" w:ascii="宋体" w:hAnsi="宋体" w:eastAsia="宋体" w:cs="宋体"/>
          <w:color w:val="auto"/>
          <w:szCs w:val="21"/>
          <w:highlight w:val="none"/>
        </w:rPr>
        <w:t>或工程质量事故以及其他人为事故，由中标人承担全部责任和费用损失。</w:t>
      </w:r>
    </w:p>
    <w:p w14:paraId="68F8B2D1">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rPr>
        <w:t>、中标人应做到科学化、规范化作业，不得干扰其他工程部位或其他工序的施工作业，作业面生产材料堆放整齐，施工通道、工作面无积水，并配合招标人或其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按业主总体要求进行文明工地创建，做到文明施工、工完场清。</w:t>
      </w:r>
    </w:p>
    <w:p w14:paraId="1F29B1B2">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16</w:t>
      </w:r>
      <w:r>
        <w:rPr>
          <w:rFonts w:hint="eastAsia" w:ascii="宋体" w:hAnsi="宋体" w:eastAsia="宋体" w:cs="宋体"/>
          <w:color w:val="auto"/>
          <w:szCs w:val="21"/>
          <w:highlight w:val="none"/>
        </w:rPr>
        <w:t>、中标人应加强对噪声、粉尘、废气、废水和废油的控制，努力降低噪声、控制粉尘和废气浓度，做好废水和废油的治理和排放，达到环保部门的相关要求。中标人还应接受环境保护部门的检查和监督，并按相关规定做好各项环境及植被保护工作。</w:t>
      </w:r>
    </w:p>
    <w:p w14:paraId="050ED750">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17</w:t>
      </w:r>
      <w:r>
        <w:rPr>
          <w:rFonts w:hint="eastAsia" w:ascii="宋体" w:hAnsi="宋体" w:eastAsia="宋体" w:cs="宋体"/>
          <w:color w:val="auto"/>
          <w:szCs w:val="21"/>
          <w:highlight w:val="none"/>
        </w:rPr>
        <w:t>、中标人应按照《中华人民共和国安全生产法》、《中华人民共和国职业病防治法》、《中华人民共和国安全生产行业标准》和其他有关安全生产的法律、法规，加强安全生产管理，在工地建立安全生产管理机构，并建立、健全安全生产责任制度与规章，认真履行其安全生产管理职责，完善安全生产条件，确保安全生产达到三级及以上安全标准。中标人安全工作应符合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或监理有关工程安全管理规章制度的规定。中标人职业病防护设施应符合国家职业卫生标准和卫生要求，满足工程建设需要和合同相关约定。</w:t>
      </w:r>
    </w:p>
    <w:p w14:paraId="33038B9A">
      <w:pPr>
        <w:pStyle w:val="2"/>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eastAsia="zh-CN"/>
        </w:rPr>
        <w:t>18</w:t>
      </w:r>
      <w:r>
        <w:rPr>
          <w:rFonts w:hint="eastAsia" w:hAnsi="宋体" w:cs="宋体"/>
          <w:b w:val="0"/>
          <w:bCs w:val="0"/>
          <w:color w:val="auto"/>
          <w:sz w:val="21"/>
          <w:szCs w:val="21"/>
          <w:highlight w:val="none"/>
          <w:lang w:val="en-US"/>
        </w:rPr>
        <w:t>、因中标人原因在本</w:t>
      </w:r>
      <w:r>
        <w:rPr>
          <w:rFonts w:hint="eastAsia" w:hAnsi="宋体" w:cs="宋体"/>
          <w:b w:val="0"/>
          <w:bCs w:val="0"/>
          <w:color w:val="auto"/>
          <w:sz w:val="21"/>
          <w:szCs w:val="21"/>
          <w:highlight w:val="none"/>
          <w:lang w:val="en-US" w:eastAsia="zh-CN"/>
        </w:rPr>
        <w:t>项目</w:t>
      </w:r>
      <w:r>
        <w:rPr>
          <w:rFonts w:hint="eastAsia" w:hAnsi="宋体" w:cs="宋体"/>
          <w:b w:val="0"/>
          <w:bCs w:val="0"/>
          <w:color w:val="auto"/>
          <w:sz w:val="21"/>
          <w:szCs w:val="21"/>
          <w:highlight w:val="none"/>
          <w:lang w:val="en-US"/>
        </w:rPr>
        <w:t>劳务作业过程中造成监理、业主、主管部门对招标人或其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进行的安全、文明施工、环境保护罚款由中标人全额承担，造成招标人或其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其他损失的，由中标人承担全部费用，且招标人或其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保留追究中标人法律责任的权利。</w:t>
      </w:r>
    </w:p>
    <w:p w14:paraId="7CA2EDE5">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19</w:t>
      </w:r>
      <w:r>
        <w:rPr>
          <w:rFonts w:hint="eastAsia" w:ascii="宋体" w:hAnsi="宋体" w:eastAsia="宋体" w:cs="宋体"/>
          <w:color w:val="auto"/>
          <w:szCs w:val="21"/>
          <w:highlight w:val="none"/>
        </w:rPr>
        <w:t>、中标人在动力设备、输电线路、地下管道线路、易燃易爆、高空临边地段以及临街交通要道附近作业时，应严格按照</w:t>
      </w:r>
      <w:r>
        <w:rPr>
          <w:rFonts w:hint="eastAsia" w:ascii="宋体" w:hAnsi="宋体" w:eastAsia="宋体" w:cs="宋体"/>
          <w:color w:val="auto"/>
          <w:szCs w:val="21"/>
          <w:highlight w:val="none"/>
          <w:lang w:val="en-US" w:eastAsia="zh-CN"/>
        </w:rPr>
        <w:t>做好</w:t>
      </w:r>
      <w:r>
        <w:rPr>
          <w:rFonts w:hint="eastAsia" w:ascii="宋体" w:hAnsi="宋体" w:eastAsia="宋体" w:cs="宋体"/>
          <w:color w:val="auto"/>
          <w:szCs w:val="21"/>
          <w:highlight w:val="none"/>
        </w:rPr>
        <w:t>安全防护措施作业，若招标人或其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提出安全防护措施作业意见的，中标人应予以接受。因安全防护措施作业问题或中标人原因造成的损毁、破坏，由中标人承担责任及相关费用。</w:t>
      </w:r>
    </w:p>
    <w:p w14:paraId="055BF4A5">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、中标人须为劳务作业人员配备符合国家规范标准的、可靠</w:t>
      </w:r>
      <w:r>
        <w:rPr>
          <w:rFonts w:hint="eastAsia" w:ascii="宋体" w:hAnsi="宋体" w:eastAsia="宋体" w:cs="宋体"/>
          <w:color w:val="auto"/>
          <w:szCs w:val="21"/>
          <w:highlight w:val="none"/>
          <w:lang w:val="en-US" w:eastAsia="zh-CN"/>
        </w:rPr>
        <w:t>的、</w:t>
      </w:r>
      <w:r>
        <w:rPr>
          <w:rFonts w:hint="eastAsia" w:ascii="宋体" w:hAnsi="宋体" w:eastAsia="宋体" w:cs="宋体"/>
          <w:color w:val="auto"/>
          <w:szCs w:val="21"/>
          <w:highlight w:val="none"/>
        </w:rPr>
        <w:t>统一的安全保护用品，并按招标人或其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要求规格为其提供必须的劳动防护用品（如安全帽、安全带、手套、口罩及其他保护用品），相应的费用已包含在合同价格中。</w:t>
      </w:r>
    </w:p>
    <w:p w14:paraId="1DC9CA20">
      <w:pPr>
        <w:autoSpaceDE w:val="0"/>
        <w:autoSpaceDN w:val="0"/>
        <w:adjustRightInd w:val="0"/>
        <w:spacing w:line="360" w:lineRule="auto"/>
        <w:ind w:firstLine="422" w:firstLineChars="200"/>
        <w:outlineLvl w:val="0"/>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三、其他履约要求</w:t>
      </w:r>
    </w:p>
    <w:p w14:paraId="5CA065F2">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一</w:t>
      </w:r>
      <w:r>
        <w:rPr>
          <w:rFonts w:hint="eastAsia" w:ascii="宋体" w:hAnsi="宋体" w:eastAsia="宋体" w:cs="宋体"/>
          <w:color w:val="auto"/>
          <w:szCs w:val="21"/>
          <w:highlight w:val="none"/>
        </w:rPr>
        <w:t>）人员要求</w:t>
      </w:r>
    </w:p>
    <w:p w14:paraId="0EB3F7F8">
      <w:pPr>
        <w:autoSpaceDE w:val="0"/>
        <w:autoSpaceDN w:val="0"/>
        <w:adjustRightInd w:val="0"/>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kern w:val="0"/>
          <w:szCs w:val="21"/>
          <w:highlight w:val="none"/>
        </w:rPr>
        <w:t>★1、</w:t>
      </w:r>
      <w:r>
        <w:rPr>
          <w:rFonts w:hint="eastAsia" w:ascii="宋体" w:hAnsi="宋体" w:eastAsia="宋体" w:cs="宋体"/>
          <w:b/>
          <w:bCs/>
          <w:color w:val="auto"/>
          <w:szCs w:val="21"/>
          <w:highlight w:val="none"/>
        </w:rPr>
        <w:t>中标人的驻点须配备足够的项目管理人员及各类工种的施工人员</w:t>
      </w:r>
      <w:r>
        <w:rPr>
          <w:rFonts w:hint="eastAsia" w:ascii="宋体" w:hAnsi="宋体" w:eastAsia="宋体" w:cs="宋体"/>
          <w:b/>
          <w:bCs/>
          <w:color w:val="auto"/>
          <w:szCs w:val="21"/>
          <w:highlight w:val="none"/>
          <w:lang w:eastAsia="zh-CN"/>
        </w:rPr>
        <w:t>（要求年龄在18周岁以上，男性不能超过55岁、女性不能超过50岁）</w:t>
      </w:r>
      <w:r>
        <w:rPr>
          <w:rFonts w:hint="eastAsia" w:ascii="宋体" w:hAnsi="宋体" w:eastAsia="宋体" w:cs="宋体"/>
          <w:b/>
          <w:bCs/>
          <w:color w:val="auto"/>
          <w:szCs w:val="21"/>
          <w:highlight w:val="none"/>
        </w:rPr>
        <w:t>，最低人员配置标准如下：</w:t>
      </w:r>
    </w:p>
    <w:p w14:paraId="60D71A47">
      <w:pPr>
        <w:autoSpaceDE w:val="0"/>
        <w:autoSpaceDN w:val="0"/>
        <w:adjustRightInd w:val="0"/>
        <w:spacing w:line="360" w:lineRule="auto"/>
        <w:ind w:firstLine="422" w:firstLineChars="200"/>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rPr>
        <w:t>（1）</w:t>
      </w:r>
      <w:r>
        <w:rPr>
          <w:rFonts w:hint="default" w:ascii="宋体" w:hAnsi="宋体" w:eastAsia="宋体" w:cs="宋体"/>
          <w:b/>
          <w:bCs/>
          <w:color w:val="auto"/>
          <w:szCs w:val="21"/>
          <w:highlight w:val="none"/>
          <w:lang w:val="en-US"/>
        </w:rPr>
        <w:t>5</w:t>
      </w:r>
      <w:r>
        <w:rPr>
          <w:rFonts w:hint="eastAsia" w:ascii="宋体" w:hAnsi="宋体" w:eastAsia="宋体" w:cs="宋体"/>
          <w:b/>
          <w:bCs/>
          <w:color w:val="auto"/>
          <w:szCs w:val="21"/>
          <w:highlight w:val="none"/>
        </w:rPr>
        <w:t>名项目管理人员</w:t>
      </w:r>
      <w:r>
        <w:rPr>
          <w:rFonts w:hint="eastAsia" w:ascii="宋体" w:hAnsi="宋体" w:eastAsia="宋体" w:cs="宋体"/>
          <w:b/>
          <w:bCs/>
          <w:color w:val="auto"/>
          <w:szCs w:val="21"/>
          <w:highlight w:val="none"/>
          <w:lang w:eastAsia="zh-CN"/>
        </w:rPr>
        <w:t>：</w:t>
      </w:r>
    </w:p>
    <w:p w14:paraId="07DC1B5D">
      <w:pPr>
        <w:autoSpaceDE w:val="0"/>
        <w:autoSpaceDN w:val="0"/>
        <w:adjustRightInd w:val="0"/>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①</w:t>
      </w:r>
      <w:r>
        <w:rPr>
          <w:rFonts w:hint="eastAsia" w:ascii="宋体" w:hAnsi="宋体" w:eastAsia="宋体" w:cs="宋体"/>
          <w:b/>
          <w:bCs/>
          <w:color w:val="auto"/>
          <w:szCs w:val="21"/>
          <w:highlight w:val="none"/>
        </w:rPr>
        <w:t>项目负责人</w:t>
      </w:r>
      <w:r>
        <w:rPr>
          <w:rFonts w:hint="eastAsia" w:ascii="宋体" w:hAnsi="宋体" w:eastAsia="宋体" w:cs="宋体"/>
          <w:b/>
          <w:bCs/>
          <w:color w:val="auto"/>
          <w:szCs w:val="21"/>
          <w:highlight w:val="none"/>
          <w:lang w:val="en-US" w:eastAsia="zh-CN"/>
        </w:rPr>
        <w:t>1名，具备工程类中级或以上工程师职称证书；</w:t>
      </w:r>
    </w:p>
    <w:p w14:paraId="4C946A25">
      <w:pPr>
        <w:autoSpaceDE w:val="0"/>
        <w:autoSpaceDN w:val="0"/>
        <w:adjustRightInd w:val="0"/>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②</w:t>
      </w:r>
      <w:r>
        <w:rPr>
          <w:rFonts w:hint="eastAsia" w:ascii="宋体" w:hAnsi="宋体" w:eastAsia="宋体" w:cs="宋体"/>
          <w:b/>
          <w:bCs/>
          <w:color w:val="auto"/>
          <w:szCs w:val="21"/>
          <w:highlight w:val="none"/>
        </w:rPr>
        <w:t>技术负责人</w:t>
      </w:r>
      <w:r>
        <w:rPr>
          <w:rFonts w:hint="eastAsia" w:ascii="宋体" w:hAnsi="宋体" w:eastAsia="宋体" w:cs="宋体"/>
          <w:b/>
          <w:bCs/>
          <w:color w:val="auto"/>
          <w:szCs w:val="21"/>
          <w:highlight w:val="none"/>
          <w:lang w:val="en-US" w:eastAsia="zh-CN"/>
        </w:rPr>
        <w:t>1名；</w:t>
      </w:r>
    </w:p>
    <w:p w14:paraId="06F64944">
      <w:pPr>
        <w:autoSpaceDE w:val="0"/>
        <w:autoSpaceDN w:val="0"/>
        <w:adjustRightInd w:val="0"/>
        <w:spacing w:line="360" w:lineRule="auto"/>
        <w:ind w:firstLine="422" w:firstLineChars="200"/>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val="en-US" w:eastAsia="zh-CN"/>
        </w:rPr>
        <w:t>③</w:t>
      </w:r>
      <w:r>
        <w:rPr>
          <w:rFonts w:hint="eastAsia" w:ascii="宋体" w:hAnsi="宋体" w:eastAsia="宋体" w:cs="宋体"/>
          <w:b/>
          <w:bCs/>
          <w:color w:val="auto"/>
          <w:szCs w:val="21"/>
          <w:highlight w:val="none"/>
        </w:rPr>
        <w:t>安全负责人</w:t>
      </w:r>
      <w:r>
        <w:rPr>
          <w:rFonts w:hint="eastAsia" w:ascii="宋体" w:hAnsi="宋体" w:eastAsia="宋体" w:cs="宋体"/>
          <w:b/>
          <w:bCs/>
          <w:color w:val="auto"/>
          <w:szCs w:val="21"/>
          <w:highlight w:val="none"/>
          <w:lang w:val="en-US" w:eastAsia="zh-CN"/>
        </w:rPr>
        <w:t>1名，具备专职安全生产管理人员安全生产考核合格证书（“建安C”类证）</w:t>
      </w:r>
      <w:r>
        <w:rPr>
          <w:rFonts w:hint="eastAsia" w:ascii="宋体" w:hAnsi="宋体" w:eastAsia="宋体" w:cs="宋体"/>
          <w:b/>
          <w:bCs/>
          <w:color w:val="auto"/>
          <w:szCs w:val="21"/>
          <w:highlight w:val="none"/>
          <w:lang w:eastAsia="zh-CN"/>
        </w:rPr>
        <w:t>；</w:t>
      </w:r>
    </w:p>
    <w:p w14:paraId="39AD11D6">
      <w:pPr>
        <w:autoSpaceDE w:val="0"/>
        <w:autoSpaceDN w:val="0"/>
        <w:adjustRightInd w:val="0"/>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④</w:t>
      </w:r>
      <w:r>
        <w:rPr>
          <w:rFonts w:hint="eastAsia" w:ascii="宋体" w:hAnsi="宋体" w:eastAsia="宋体" w:cs="宋体"/>
          <w:b/>
          <w:bCs/>
          <w:color w:val="auto"/>
          <w:szCs w:val="21"/>
          <w:highlight w:val="none"/>
        </w:rPr>
        <w:t>质量负责人</w:t>
      </w:r>
      <w:r>
        <w:rPr>
          <w:rFonts w:hint="eastAsia" w:ascii="宋体" w:hAnsi="宋体" w:eastAsia="宋体" w:cs="宋体"/>
          <w:b/>
          <w:bCs/>
          <w:color w:val="auto"/>
          <w:szCs w:val="21"/>
          <w:highlight w:val="none"/>
          <w:lang w:val="en-US" w:eastAsia="zh-CN"/>
        </w:rPr>
        <w:t>1名；</w:t>
      </w:r>
    </w:p>
    <w:p w14:paraId="226B6A33">
      <w:pPr>
        <w:autoSpaceDE w:val="0"/>
        <w:autoSpaceDN w:val="0"/>
        <w:adjustRightInd w:val="0"/>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⑤</w:t>
      </w:r>
      <w:r>
        <w:rPr>
          <w:rFonts w:hint="eastAsia" w:ascii="宋体" w:hAnsi="宋体" w:eastAsia="宋体" w:cs="宋体"/>
          <w:b/>
          <w:bCs/>
          <w:color w:val="auto"/>
          <w:szCs w:val="21"/>
          <w:highlight w:val="none"/>
        </w:rPr>
        <w:t>资料负责人</w:t>
      </w:r>
      <w:r>
        <w:rPr>
          <w:rFonts w:hint="eastAsia" w:ascii="宋体" w:hAnsi="宋体" w:eastAsia="宋体" w:cs="宋体"/>
          <w:b/>
          <w:bCs/>
          <w:color w:val="auto"/>
          <w:szCs w:val="21"/>
          <w:highlight w:val="none"/>
          <w:lang w:val="en-US" w:eastAsia="zh-CN"/>
        </w:rPr>
        <w:t>1名，具备资料员上岗证</w:t>
      </w:r>
      <w:r>
        <w:rPr>
          <w:rFonts w:hint="eastAsia" w:ascii="宋体" w:hAnsi="宋体" w:eastAsia="宋体" w:cs="宋体"/>
          <w:b/>
          <w:bCs/>
          <w:color w:val="auto"/>
          <w:szCs w:val="21"/>
          <w:highlight w:val="none"/>
        </w:rPr>
        <w:t>；</w:t>
      </w:r>
    </w:p>
    <w:p w14:paraId="1C0A783C">
      <w:pPr>
        <w:autoSpaceDE w:val="0"/>
        <w:autoSpaceDN w:val="0"/>
        <w:adjustRightInd w:val="0"/>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注：以上人员须提供以下证明材料原件扫描件：①</w:t>
      </w:r>
      <w:r>
        <w:rPr>
          <w:rFonts w:hint="eastAsia" w:ascii="宋体" w:hAnsi="宋体" w:eastAsia="宋体" w:cs="宋体"/>
          <w:b/>
          <w:bCs/>
          <w:color w:val="auto"/>
          <w:szCs w:val="21"/>
          <w:highlight w:val="none"/>
          <w:lang w:bidi="ar"/>
        </w:rPr>
        <w:t>人员身份证</w:t>
      </w:r>
      <w:r>
        <w:rPr>
          <w:rFonts w:hint="eastAsia" w:ascii="宋体" w:hAnsi="宋体" w:eastAsia="宋体" w:cs="宋体"/>
          <w:b/>
          <w:bCs/>
          <w:color w:val="auto"/>
          <w:szCs w:val="21"/>
          <w:highlight w:val="none"/>
          <w:lang w:eastAsia="zh-CN" w:bidi="ar"/>
        </w:rPr>
        <w:t>；</w:t>
      </w:r>
      <w:r>
        <w:rPr>
          <w:rFonts w:hint="eastAsia" w:ascii="宋体" w:hAnsi="宋体" w:eastAsia="宋体" w:cs="宋体"/>
          <w:b/>
          <w:bCs/>
          <w:color w:val="auto"/>
          <w:szCs w:val="21"/>
          <w:highlight w:val="none"/>
          <w:lang w:val="en-US" w:eastAsia="zh-CN" w:bidi="ar"/>
        </w:rPr>
        <w:t>②</w:t>
      </w:r>
      <w:r>
        <w:rPr>
          <w:rFonts w:hint="eastAsia" w:ascii="宋体" w:hAnsi="宋体" w:eastAsia="宋体" w:cs="宋体"/>
          <w:b/>
          <w:bCs/>
          <w:color w:val="auto"/>
          <w:szCs w:val="21"/>
          <w:highlight w:val="none"/>
          <w:lang w:val="en-US" w:eastAsia="zh-CN"/>
        </w:rPr>
        <w:t>职称证书（如有）、安全生产考核合格证书（“建安C”类证）（如有）、资料员上岗证（如有）；③社会保障部门出具的</w:t>
      </w:r>
      <w:r>
        <w:rPr>
          <w:rFonts w:hint="eastAsia" w:ascii="宋体" w:hAnsi="宋体" w:eastAsia="宋体" w:cs="宋体"/>
          <w:b/>
          <w:bCs/>
          <w:color w:val="auto"/>
          <w:szCs w:val="21"/>
          <w:highlight w:val="none"/>
          <w:lang w:val="en-US" w:eastAsia="zh-CN" w:bidi="ar"/>
        </w:rPr>
        <w:t>开标当月</w:t>
      </w:r>
      <w:r>
        <w:rPr>
          <w:rFonts w:hint="eastAsia" w:ascii="宋体" w:hAnsi="宋体" w:eastAsia="宋体" w:cs="宋体"/>
          <w:b/>
          <w:bCs/>
          <w:color w:val="auto"/>
          <w:szCs w:val="21"/>
          <w:highlight w:val="none"/>
          <w:lang w:val="en-US" w:eastAsia="zh-CN"/>
        </w:rPr>
        <w:t>在投标人单位缴纳社保的证明材料</w:t>
      </w:r>
      <w:r>
        <w:rPr>
          <w:rFonts w:hint="eastAsia" w:ascii="宋体" w:hAnsi="宋体" w:eastAsia="宋体" w:cs="宋体"/>
          <w:b/>
          <w:bCs/>
          <w:color w:val="auto"/>
          <w:szCs w:val="21"/>
          <w:highlight w:val="none"/>
          <w:lang w:val="en-US" w:eastAsia="zh-CN" w:bidi="ar"/>
        </w:rPr>
        <w:t>，或开标当月前一个月在投标人单位缴纳社保的证明材料及相关人员与投标人签订的劳动合同</w:t>
      </w:r>
      <w:r>
        <w:rPr>
          <w:rFonts w:hint="eastAsia" w:ascii="宋体" w:hAnsi="宋体" w:eastAsia="宋体" w:cs="宋体"/>
          <w:b/>
          <w:bCs/>
          <w:color w:val="auto"/>
          <w:szCs w:val="21"/>
          <w:highlight w:val="none"/>
          <w:lang w:val="en-US" w:eastAsia="zh-CN"/>
        </w:rPr>
        <w:t>。</w:t>
      </w:r>
    </w:p>
    <w:p w14:paraId="232A77DB">
      <w:pPr>
        <w:autoSpaceDE w:val="0"/>
        <w:autoSpaceDN w:val="0"/>
        <w:adjustRightInd w:val="0"/>
        <w:spacing w:line="360" w:lineRule="auto"/>
        <w:ind w:firstLine="422" w:firstLineChars="200"/>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rPr>
        <w:t>（2）10名劳务工</w:t>
      </w:r>
      <w:r>
        <w:rPr>
          <w:rFonts w:hint="eastAsia" w:ascii="宋体" w:hAnsi="宋体" w:eastAsia="宋体" w:cs="宋体"/>
          <w:b/>
          <w:bCs/>
          <w:color w:val="auto"/>
          <w:szCs w:val="21"/>
          <w:highlight w:val="none"/>
          <w:lang w:eastAsia="zh-CN"/>
        </w:rPr>
        <w:t>：</w:t>
      </w:r>
    </w:p>
    <w:p w14:paraId="334B09F3">
      <w:pPr>
        <w:autoSpaceDE w:val="0"/>
        <w:autoSpaceDN w:val="0"/>
        <w:adjustRightInd w:val="0"/>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如：</w:t>
      </w:r>
      <w:r>
        <w:rPr>
          <w:rFonts w:hint="eastAsia" w:ascii="宋体" w:hAnsi="宋体" w:eastAsia="宋体" w:cs="宋体"/>
          <w:b/>
          <w:bCs/>
          <w:color w:val="auto"/>
          <w:szCs w:val="21"/>
          <w:highlight w:val="none"/>
        </w:rPr>
        <w:t>焊工、电工、砌筑工、混凝土工、钢筋工、木工（模版工）、工程机械操作员等</w:t>
      </w:r>
      <w:r>
        <w:rPr>
          <w:rFonts w:hint="eastAsia" w:ascii="宋体" w:hAnsi="宋体" w:eastAsia="宋体" w:cs="宋体"/>
          <w:b/>
          <w:bCs/>
          <w:color w:val="auto"/>
          <w:szCs w:val="21"/>
          <w:highlight w:val="none"/>
          <w:lang w:val="en-US" w:eastAsia="zh-CN"/>
        </w:rPr>
        <w:t>工种共10人</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其中：</w:t>
      </w:r>
    </w:p>
    <w:p w14:paraId="64213A53">
      <w:pPr>
        <w:autoSpaceDE w:val="0"/>
        <w:autoSpaceDN w:val="0"/>
        <w:adjustRightInd w:val="0"/>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2名焊工应持有住房和城乡建设部门或住房和城乡建设部门委托的考核机构颁发的《建筑施工特种作业操作资格证》（操作类别：建筑焊工），或应急管理部门颁发的《特种作业操作证》（作业类别：焊接与热切割作业）；上述证书需在官方指定的合法的、合规的平台上可查询；</w:t>
      </w:r>
    </w:p>
    <w:p w14:paraId="6FCD6BB1">
      <w:pPr>
        <w:autoSpaceDE w:val="0"/>
        <w:autoSpaceDN w:val="0"/>
        <w:adjustRightInd w:val="0"/>
        <w:spacing w:line="360" w:lineRule="auto"/>
        <w:ind w:firstLine="422" w:firstLineChars="200"/>
        <w:rPr>
          <w:rStyle w:val="46"/>
          <w:rFonts w:hint="eastAsia" w:ascii="宋体" w:hAnsi="宋体" w:eastAsia="宋体" w:cs="宋体"/>
          <w:b/>
          <w:bCs/>
          <w:color w:val="auto"/>
          <w:highlight w:val="none"/>
          <w:lang w:eastAsia="zh-CN"/>
        </w:rPr>
      </w:pPr>
      <w:r>
        <w:rPr>
          <w:rFonts w:hint="eastAsia" w:ascii="宋体" w:hAnsi="宋体" w:eastAsia="宋体" w:cs="宋体"/>
          <w:b/>
          <w:bCs/>
          <w:color w:val="auto"/>
          <w:szCs w:val="21"/>
          <w:highlight w:val="none"/>
          <w:lang w:val="en-US" w:eastAsia="zh-CN"/>
        </w:rPr>
        <w:t>1名电工应持有住房和城乡建设部门或住房和城乡建设部门委托的考核机构颁发的《建筑施工特种作业操作资格证》（操作类别：建筑电工），或应急管理部门颁发的《特种作业操作证》（作业类别：电工作业）；上述证书需在官方指定的合法的、合规的平台上可查询；</w:t>
      </w:r>
    </w:p>
    <w:p w14:paraId="7A07F922">
      <w:pPr>
        <w:autoSpaceDE w:val="0"/>
        <w:autoSpaceDN w:val="0"/>
        <w:adjustRightInd w:val="0"/>
        <w:spacing w:line="360" w:lineRule="auto"/>
        <w:ind w:firstLine="422" w:firstLineChars="200"/>
        <w:rPr>
          <w:rStyle w:val="46"/>
          <w:rFonts w:hint="eastAsia" w:ascii="宋体" w:hAnsi="宋体" w:eastAsia="宋体" w:cs="宋体"/>
          <w:b/>
          <w:bCs/>
          <w:color w:val="auto"/>
          <w:highlight w:val="none"/>
          <w:lang w:val="en-US" w:eastAsia="zh-CN"/>
        </w:rPr>
      </w:pPr>
      <w:r>
        <w:rPr>
          <w:rFonts w:hint="eastAsia" w:ascii="宋体" w:hAnsi="宋体" w:eastAsia="宋体" w:cs="宋体"/>
          <w:b/>
          <w:bCs/>
          <w:color w:val="auto"/>
          <w:szCs w:val="21"/>
          <w:highlight w:val="none"/>
          <w:lang w:val="en-US" w:eastAsia="zh-CN"/>
        </w:rPr>
        <w:t>1名工</w:t>
      </w:r>
      <w:r>
        <w:rPr>
          <w:rFonts w:hint="eastAsia" w:ascii="宋体" w:hAnsi="宋体" w:eastAsia="宋体" w:cs="宋体"/>
          <w:b/>
          <w:bCs/>
          <w:color w:val="auto"/>
          <w:szCs w:val="21"/>
          <w:highlight w:val="none"/>
        </w:rPr>
        <w:t>程机械操作员</w:t>
      </w:r>
      <w:r>
        <w:rPr>
          <w:rFonts w:hint="eastAsia" w:ascii="宋体" w:hAnsi="宋体" w:eastAsia="宋体" w:cs="宋体"/>
          <w:b/>
          <w:bCs/>
          <w:color w:val="auto"/>
          <w:szCs w:val="21"/>
          <w:highlight w:val="none"/>
          <w:lang w:val="en-US" w:eastAsia="zh-CN"/>
        </w:rPr>
        <w:t>应持有</w:t>
      </w:r>
      <w:r>
        <w:rPr>
          <w:rStyle w:val="46"/>
          <w:rFonts w:hint="eastAsia" w:ascii="宋体" w:hAnsi="宋体" w:eastAsia="宋体" w:cs="宋体"/>
          <w:b/>
          <w:bCs/>
          <w:color w:val="auto"/>
          <w:highlight w:val="none"/>
          <w:lang w:val="en-US" w:eastAsia="zh-CN"/>
        </w:rPr>
        <w:t>挖掘机操作证。</w:t>
      </w:r>
    </w:p>
    <w:p w14:paraId="377E59C4">
      <w:pPr>
        <w:autoSpaceDE w:val="0"/>
        <w:autoSpaceDN w:val="0"/>
        <w:adjustRightInd w:val="0"/>
        <w:spacing w:line="360" w:lineRule="auto"/>
        <w:ind w:firstLine="422" w:firstLineChars="200"/>
        <w:rPr>
          <w:rStyle w:val="46"/>
          <w:rFonts w:hint="default" w:ascii="宋体" w:hAnsi="宋体" w:eastAsia="宋体" w:cs="宋体"/>
          <w:b/>
          <w:bCs/>
          <w:color w:val="auto"/>
          <w:highlight w:val="none"/>
          <w:lang w:val="en-US" w:eastAsia="zh-CN"/>
        </w:rPr>
      </w:pPr>
      <w:r>
        <w:rPr>
          <w:rStyle w:val="46"/>
          <w:rFonts w:hint="eastAsia" w:ascii="宋体" w:hAnsi="宋体" w:eastAsia="宋体" w:cs="宋体"/>
          <w:b/>
          <w:bCs/>
          <w:color w:val="auto"/>
          <w:highlight w:val="none"/>
          <w:lang w:val="en-US" w:eastAsia="zh-CN"/>
        </w:rPr>
        <w:t>注：</w:t>
      </w:r>
      <w:r>
        <w:rPr>
          <w:rFonts w:hint="eastAsia" w:ascii="宋体" w:hAnsi="宋体" w:eastAsia="宋体" w:cs="宋体"/>
          <w:b/>
          <w:bCs/>
          <w:color w:val="auto"/>
          <w:szCs w:val="21"/>
          <w:highlight w:val="none"/>
          <w:lang w:val="en-US" w:eastAsia="zh-CN"/>
        </w:rPr>
        <w:t>以上10名劳务工须提供以下证明材料原件扫描件：①</w:t>
      </w:r>
      <w:r>
        <w:rPr>
          <w:rFonts w:hint="eastAsia" w:ascii="宋体" w:hAnsi="宋体" w:eastAsia="宋体" w:cs="宋体"/>
          <w:b/>
          <w:bCs/>
          <w:color w:val="auto"/>
          <w:szCs w:val="21"/>
          <w:highlight w:val="none"/>
          <w:lang w:bidi="ar"/>
        </w:rPr>
        <w:t>人员身份证</w:t>
      </w:r>
      <w:r>
        <w:rPr>
          <w:rFonts w:hint="eastAsia" w:ascii="宋体" w:hAnsi="宋体" w:eastAsia="宋体" w:cs="宋体"/>
          <w:b/>
          <w:bCs/>
          <w:color w:val="auto"/>
          <w:szCs w:val="21"/>
          <w:highlight w:val="none"/>
          <w:lang w:eastAsia="zh-CN" w:bidi="ar"/>
        </w:rPr>
        <w:t>；</w:t>
      </w:r>
      <w:r>
        <w:rPr>
          <w:rFonts w:hint="eastAsia" w:ascii="宋体" w:hAnsi="宋体" w:eastAsia="宋体" w:cs="宋体"/>
          <w:b/>
          <w:bCs/>
          <w:color w:val="auto"/>
          <w:szCs w:val="21"/>
          <w:highlight w:val="none"/>
          <w:lang w:val="en-US" w:eastAsia="zh-CN" w:bidi="ar"/>
        </w:rPr>
        <w:t>②建筑施工特种作业操作资格证及证书查询截图（如有）、</w:t>
      </w:r>
      <w:r>
        <w:rPr>
          <w:rStyle w:val="46"/>
          <w:rFonts w:hint="eastAsia" w:ascii="宋体" w:hAnsi="宋体" w:eastAsia="宋体" w:cs="宋体"/>
          <w:b/>
          <w:bCs/>
          <w:color w:val="auto"/>
          <w:highlight w:val="none"/>
        </w:rPr>
        <w:t>特种作业操作证</w:t>
      </w:r>
      <w:r>
        <w:rPr>
          <w:rFonts w:hint="eastAsia" w:ascii="宋体" w:hAnsi="宋体" w:eastAsia="宋体" w:cs="宋体"/>
          <w:b/>
          <w:bCs/>
          <w:color w:val="auto"/>
          <w:szCs w:val="21"/>
          <w:highlight w:val="none"/>
          <w:lang w:val="en-US" w:eastAsia="zh-CN" w:bidi="ar"/>
        </w:rPr>
        <w:t>及证书查询截图</w:t>
      </w:r>
      <w:r>
        <w:rPr>
          <w:rStyle w:val="46"/>
          <w:rFonts w:hint="eastAsia" w:ascii="宋体" w:hAnsi="宋体" w:eastAsia="宋体" w:cs="宋体"/>
          <w:b/>
          <w:bCs/>
          <w:color w:val="auto"/>
          <w:highlight w:val="none"/>
          <w:lang w:eastAsia="zh-CN"/>
        </w:rPr>
        <w:t>（</w:t>
      </w:r>
      <w:r>
        <w:rPr>
          <w:rStyle w:val="46"/>
          <w:rFonts w:hint="eastAsia" w:ascii="宋体" w:hAnsi="宋体" w:eastAsia="宋体" w:cs="宋体"/>
          <w:b/>
          <w:bCs/>
          <w:color w:val="auto"/>
          <w:highlight w:val="none"/>
          <w:lang w:val="en-US" w:eastAsia="zh-CN"/>
        </w:rPr>
        <w:t>如有</w:t>
      </w:r>
      <w:r>
        <w:rPr>
          <w:rStyle w:val="46"/>
          <w:rFonts w:hint="eastAsia" w:ascii="宋体" w:hAnsi="宋体" w:eastAsia="宋体" w:cs="宋体"/>
          <w:b/>
          <w:bCs/>
          <w:color w:val="auto"/>
          <w:highlight w:val="none"/>
          <w:lang w:eastAsia="zh-CN"/>
        </w:rPr>
        <w:t>）、</w:t>
      </w:r>
      <w:r>
        <w:rPr>
          <w:rStyle w:val="46"/>
          <w:rFonts w:hint="eastAsia" w:ascii="宋体" w:hAnsi="宋体" w:eastAsia="宋体" w:cs="宋体"/>
          <w:b/>
          <w:bCs/>
          <w:color w:val="auto"/>
          <w:highlight w:val="none"/>
          <w:lang w:val="en-US" w:eastAsia="zh-CN"/>
        </w:rPr>
        <w:t>挖掘机操作证（如有）；③上述劳务工与投标人签订的劳动合同。</w:t>
      </w:r>
    </w:p>
    <w:p w14:paraId="032F51E0">
      <w:pPr>
        <w:autoSpaceDE w:val="0"/>
        <w:autoSpaceDN w:val="0"/>
        <w:adjustRightInd w:val="0"/>
        <w:spacing w:line="360" w:lineRule="auto"/>
        <w:ind w:firstLine="422"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3</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上述</w:t>
      </w:r>
      <w:r>
        <w:rPr>
          <w:rFonts w:hint="default" w:ascii="宋体" w:hAnsi="宋体" w:eastAsia="宋体" w:cs="宋体"/>
          <w:b/>
          <w:bCs/>
          <w:color w:val="auto"/>
          <w:szCs w:val="21"/>
          <w:highlight w:val="none"/>
          <w:lang w:val="en-US" w:eastAsia="zh-CN"/>
        </w:rPr>
        <w:t>5</w:t>
      </w:r>
      <w:r>
        <w:rPr>
          <w:rFonts w:hint="eastAsia" w:ascii="宋体" w:hAnsi="宋体" w:eastAsia="宋体" w:cs="宋体"/>
          <w:b/>
          <w:bCs/>
          <w:color w:val="auto"/>
          <w:szCs w:val="21"/>
          <w:highlight w:val="none"/>
          <w:lang w:val="en-US" w:eastAsia="zh-CN"/>
        </w:rPr>
        <w:t>名项目管理人员及10名劳务工须在</w:t>
      </w:r>
      <w:r>
        <w:rPr>
          <w:rFonts w:hint="eastAsia" w:ascii="宋体" w:hAnsi="宋体" w:eastAsia="宋体" w:cs="宋体"/>
          <w:b/>
          <w:bCs/>
          <w:color w:val="auto"/>
          <w:szCs w:val="21"/>
          <w:highlight w:val="none"/>
        </w:rPr>
        <w:t>中标后向招标人或其</w:t>
      </w:r>
      <w:r>
        <w:rPr>
          <w:rFonts w:hint="eastAsia" w:ascii="宋体" w:hAnsi="宋体" w:eastAsia="宋体" w:cs="宋体"/>
          <w:b/>
          <w:bCs/>
          <w:color w:val="auto"/>
          <w:szCs w:val="21"/>
          <w:highlight w:val="none"/>
          <w:lang w:eastAsia="zh-CN"/>
        </w:rPr>
        <w:t>下属企业</w:t>
      </w:r>
      <w:r>
        <w:rPr>
          <w:rFonts w:hint="eastAsia" w:ascii="宋体" w:hAnsi="宋体" w:eastAsia="宋体" w:cs="宋体"/>
          <w:b/>
          <w:bCs/>
          <w:color w:val="auto"/>
          <w:szCs w:val="21"/>
          <w:highlight w:val="none"/>
        </w:rPr>
        <w:t>实名制报备</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其中，中标人应在签订合同前向招标人或其下属企业提供上述10名劳务工的2025年身体健康检查合格报告，如发现身体检查不合格的，中标人应按投标文件中承诺的同等条件更换相应劳务工</w:t>
      </w:r>
      <w:r>
        <w:rPr>
          <w:rFonts w:hint="eastAsia" w:ascii="宋体" w:hAnsi="宋体" w:eastAsia="宋体" w:cs="宋体"/>
          <w:b/>
          <w:bCs/>
          <w:color w:val="auto"/>
          <w:szCs w:val="21"/>
          <w:highlight w:val="none"/>
        </w:rPr>
        <w:t>。</w:t>
      </w:r>
    </w:p>
    <w:p w14:paraId="37524568">
      <w:pPr>
        <w:pStyle w:val="2"/>
        <w:numPr>
          <w:ilvl w:val="255"/>
          <w:numId w:val="0"/>
        </w:numPr>
        <w:spacing w:line="360" w:lineRule="auto"/>
        <w:ind w:right="0" w:firstLine="420" w:firstLineChars="200"/>
        <w:jc w:val="left"/>
        <w:rPr>
          <w:rFonts w:hint="eastAsia" w:hAnsi="宋体" w:eastAsia="宋体" w:cs="宋体"/>
          <w:b w:val="0"/>
          <w:bCs w:val="0"/>
          <w:color w:val="auto"/>
          <w:sz w:val="21"/>
          <w:szCs w:val="21"/>
          <w:highlight w:val="none"/>
          <w:lang w:val="en-US" w:eastAsia="zh-CN"/>
        </w:rPr>
      </w:pPr>
      <w:r>
        <w:rPr>
          <w:rFonts w:hint="eastAsia" w:hAnsi="宋体" w:cs="宋体"/>
          <w:b w:val="0"/>
          <w:bCs w:val="0"/>
          <w:color w:val="auto"/>
          <w:sz w:val="21"/>
          <w:szCs w:val="21"/>
          <w:highlight w:val="none"/>
          <w:lang w:val="en-US" w:eastAsia="zh-CN"/>
        </w:rPr>
        <w:t>2、合同履行期间，合同基本人员数量不得少于上述数量要求；如招标人或其下属企业结合单个委派项目的具体情况要求增加人员的（含合同履行过程中，根据阶段性实际需求增加的），中标人须无条件、无偿服从招标人或其下属企业的管理要求。</w:t>
      </w:r>
    </w:p>
    <w:p w14:paraId="48E58EA6">
      <w:pPr>
        <w:pStyle w:val="2"/>
        <w:numPr>
          <w:ilvl w:val="255"/>
          <w:numId w:val="0"/>
        </w:numPr>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3、</w:t>
      </w:r>
      <w:r>
        <w:rPr>
          <w:rFonts w:hint="eastAsia" w:hAnsi="宋体" w:cs="宋体"/>
          <w:b w:val="0"/>
          <w:bCs w:val="0"/>
          <w:color w:val="auto"/>
          <w:sz w:val="21"/>
          <w:szCs w:val="21"/>
          <w:highlight w:val="none"/>
          <w:lang w:val="en-US" w:eastAsia="zh-CN"/>
        </w:rPr>
        <w:t>中标人</w:t>
      </w:r>
      <w:r>
        <w:rPr>
          <w:rFonts w:hint="eastAsia" w:hAnsi="宋体" w:cs="宋体"/>
          <w:b w:val="0"/>
          <w:bCs w:val="0"/>
          <w:color w:val="auto"/>
          <w:sz w:val="21"/>
          <w:szCs w:val="21"/>
          <w:highlight w:val="none"/>
          <w:lang w:val="en-US"/>
        </w:rPr>
        <w:t>现场管理及作业人员的管理水平和职业技能需满足招标人或其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的要求，特种作业人员须持有</w:t>
      </w:r>
      <w:r>
        <w:rPr>
          <w:rFonts w:hint="eastAsia" w:hAnsi="宋体" w:cs="宋体"/>
          <w:b w:val="0"/>
          <w:bCs w:val="0"/>
          <w:color w:val="auto"/>
          <w:sz w:val="21"/>
          <w:szCs w:val="21"/>
          <w:highlight w:val="none"/>
          <w:lang w:val="en-US" w:eastAsia="zh-CN"/>
        </w:rPr>
        <w:t>合法的、合规的</w:t>
      </w:r>
      <w:r>
        <w:rPr>
          <w:rFonts w:hint="eastAsia" w:hAnsi="宋体" w:cs="宋体"/>
          <w:b w:val="0"/>
          <w:bCs w:val="0"/>
          <w:color w:val="auto"/>
          <w:sz w:val="21"/>
          <w:szCs w:val="21"/>
          <w:highlight w:val="none"/>
          <w:lang w:val="en-US"/>
        </w:rPr>
        <w:t>特种作业操作证、管理人员应具备岗位资格证书并持证上岗，其中特种作业人员持证率应达到100%。</w:t>
      </w:r>
    </w:p>
    <w:p w14:paraId="5675F858">
      <w:pPr>
        <w:pStyle w:val="2"/>
        <w:numPr>
          <w:ilvl w:val="255"/>
          <w:numId w:val="0"/>
        </w:numPr>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eastAsia="zh-CN"/>
        </w:rPr>
        <w:t>4</w:t>
      </w:r>
      <w:r>
        <w:rPr>
          <w:rFonts w:hint="eastAsia" w:hAnsi="宋体" w:cs="宋体"/>
          <w:b w:val="0"/>
          <w:bCs w:val="0"/>
          <w:color w:val="auto"/>
          <w:sz w:val="21"/>
          <w:szCs w:val="21"/>
          <w:highlight w:val="none"/>
          <w:lang w:val="en-US"/>
        </w:rPr>
        <w:t>、中标人进</w:t>
      </w:r>
      <w:r>
        <w:rPr>
          <w:rFonts w:hint="eastAsia" w:hAnsi="宋体" w:cs="宋体"/>
          <w:b w:val="0"/>
          <w:bCs w:val="0"/>
          <w:color w:val="auto"/>
          <w:sz w:val="21"/>
          <w:szCs w:val="21"/>
          <w:highlight w:val="none"/>
          <w:lang w:val="en-US" w:eastAsia="zh-CN"/>
        </w:rPr>
        <w:t>入现</w:t>
      </w:r>
      <w:r>
        <w:rPr>
          <w:rFonts w:hint="eastAsia" w:hAnsi="宋体" w:cs="宋体"/>
          <w:b w:val="0"/>
          <w:bCs w:val="0"/>
          <w:color w:val="auto"/>
          <w:sz w:val="21"/>
          <w:szCs w:val="21"/>
          <w:highlight w:val="none"/>
          <w:lang w:val="en-US"/>
        </w:rPr>
        <w:t>场施工</w:t>
      </w:r>
      <w:r>
        <w:rPr>
          <w:rFonts w:hint="eastAsia" w:hAnsi="宋体" w:cs="宋体"/>
          <w:b w:val="0"/>
          <w:bCs w:val="0"/>
          <w:color w:val="auto"/>
          <w:sz w:val="21"/>
          <w:szCs w:val="21"/>
          <w:highlight w:val="none"/>
          <w:lang w:val="en-US" w:eastAsia="zh-CN"/>
        </w:rPr>
        <w:t>作业</w:t>
      </w:r>
      <w:r>
        <w:rPr>
          <w:rFonts w:hint="eastAsia" w:hAnsi="宋体" w:cs="宋体"/>
          <w:b w:val="0"/>
          <w:bCs w:val="0"/>
          <w:color w:val="auto"/>
          <w:sz w:val="21"/>
          <w:szCs w:val="21"/>
          <w:highlight w:val="none"/>
          <w:lang w:val="en-US"/>
        </w:rPr>
        <w:t>的所有</w:t>
      </w:r>
      <w:r>
        <w:rPr>
          <w:rFonts w:hint="eastAsia" w:hAnsi="宋体" w:cs="宋体"/>
          <w:b w:val="0"/>
          <w:bCs w:val="0"/>
          <w:color w:val="auto"/>
          <w:sz w:val="21"/>
          <w:szCs w:val="21"/>
          <w:highlight w:val="none"/>
          <w:lang w:val="en-US" w:eastAsia="zh-CN"/>
        </w:rPr>
        <w:t>劳务</w:t>
      </w:r>
      <w:r>
        <w:rPr>
          <w:rFonts w:hint="eastAsia" w:hAnsi="宋体" w:cs="宋体"/>
          <w:b w:val="0"/>
          <w:bCs w:val="0"/>
          <w:color w:val="auto"/>
          <w:sz w:val="21"/>
          <w:szCs w:val="21"/>
          <w:highlight w:val="none"/>
          <w:lang w:val="en-US"/>
        </w:rPr>
        <w:t>人员、</w:t>
      </w:r>
      <w:r>
        <w:rPr>
          <w:rFonts w:hint="eastAsia" w:hAnsi="宋体" w:cs="宋体"/>
          <w:b w:val="0"/>
          <w:bCs w:val="0"/>
          <w:color w:val="auto"/>
          <w:sz w:val="21"/>
          <w:szCs w:val="21"/>
          <w:highlight w:val="none"/>
          <w:lang w:val="en-US" w:eastAsia="zh-CN"/>
        </w:rPr>
        <w:t>施工管理</w:t>
      </w:r>
      <w:r>
        <w:rPr>
          <w:rFonts w:hint="eastAsia" w:hAnsi="宋体" w:cs="宋体"/>
          <w:b w:val="0"/>
          <w:bCs w:val="0"/>
          <w:color w:val="auto"/>
          <w:sz w:val="21"/>
          <w:szCs w:val="21"/>
          <w:highlight w:val="none"/>
          <w:lang w:val="en-US"/>
        </w:rPr>
        <w:t>人员必须落实实名制</w:t>
      </w:r>
      <w:r>
        <w:rPr>
          <w:rFonts w:hint="eastAsia" w:hAnsi="宋体" w:cs="宋体"/>
          <w:b w:val="0"/>
          <w:bCs w:val="0"/>
          <w:color w:val="auto"/>
          <w:sz w:val="21"/>
          <w:szCs w:val="21"/>
          <w:highlight w:val="none"/>
          <w:lang w:val="en-US" w:eastAsia="zh-CN"/>
        </w:rPr>
        <w:t>管理。在项目开工前</w:t>
      </w:r>
      <w:r>
        <w:rPr>
          <w:rFonts w:hint="eastAsia" w:hAnsi="宋体" w:cs="宋体"/>
          <w:b w:val="0"/>
          <w:bCs w:val="0"/>
          <w:color w:val="auto"/>
          <w:sz w:val="21"/>
          <w:szCs w:val="21"/>
          <w:highlight w:val="none"/>
          <w:lang w:val="en-US"/>
        </w:rPr>
        <w:t>，中标人</w:t>
      </w:r>
      <w:r>
        <w:rPr>
          <w:rFonts w:hint="eastAsia" w:hAnsi="宋体" w:cs="宋体"/>
          <w:b w:val="0"/>
          <w:bCs w:val="0"/>
          <w:color w:val="auto"/>
          <w:sz w:val="21"/>
          <w:szCs w:val="21"/>
          <w:highlight w:val="none"/>
          <w:lang w:val="en-US" w:eastAsia="zh-CN"/>
        </w:rPr>
        <w:t>须</w:t>
      </w:r>
      <w:r>
        <w:rPr>
          <w:rFonts w:hint="eastAsia" w:hAnsi="宋体" w:cs="宋体"/>
          <w:b w:val="0"/>
          <w:bCs w:val="0"/>
          <w:color w:val="auto"/>
          <w:sz w:val="21"/>
          <w:szCs w:val="21"/>
          <w:highlight w:val="none"/>
          <w:lang w:val="en-US"/>
        </w:rPr>
        <w:t>向招标人或其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提供人员身份证、对应作业资格证进行备案，未备案人员不得入场施工。若抽查发现项目管理人员、作业人员未备案的，按考评管理约定进行扣分处罚。</w:t>
      </w:r>
    </w:p>
    <w:p w14:paraId="5A34D7F1">
      <w:pPr>
        <w:pStyle w:val="2"/>
        <w:numPr>
          <w:ilvl w:val="255"/>
          <w:numId w:val="0"/>
        </w:numPr>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eastAsia="zh-CN"/>
        </w:rPr>
        <w:t>5、如中标人</w:t>
      </w:r>
      <w:r>
        <w:rPr>
          <w:rFonts w:hint="eastAsia" w:hAnsi="宋体" w:cs="宋体"/>
          <w:b w:val="0"/>
          <w:bCs w:val="0"/>
          <w:color w:val="auto"/>
          <w:sz w:val="21"/>
          <w:szCs w:val="21"/>
          <w:highlight w:val="none"/>
          <w:lang w:val="en-US"/>
        </w:rPr>
        <w:t>需变更已报备</w:t>
      </w:r>
      <w:r>
        <w:rPr>
          <w:rFonts w:hint="eastAsia" w:hAnsi="宋体" w:cs="宋体"/>
          <w:b w:val="0"/>
          <w:bCs w:val="0"/>
          <w:color w:val="auto"/>
          <w:sz w:val="21"/>
          <w:szCs w:val="21"/>
          <w:highlight w:val="none"/>
          <w:lang w:val="en-US" w:eastAsia="zh-CN"/>
        </w:rPr>
        <w:t>的合同</w:t>
      </w:r>
      <w:r>
        <w:rPr>
          <w:rFonts w:hint="eastAsia" w:hAnsi="宋体" w:cs="宋体"/>
          <w:b w:val="0"/>
          <w:bCs w:val="0"/>
          <w:color w:val="auto"/>
          <w:sz w:val="21"/>
          <w:szCs w:val="21"/>
          <w:highlight w:val="none"/>
          <w:lang w:val="en-US"/>
        </w:rPr>
        <w:t>人员，</w:t>
      </w:r>
      <w:r>
        <w:rPr>
          <w:rFonts w:hint="eastAsia" w:hAnsi="宋体" w:cs="宋体"/>
          <w:b w:val="0"/>
          <w:bCs w:val="0"/>
          <w:color w:val="auto"/>
          <w:sz w:val="21"/>
          <w:szCs w:val="21"/>
          <w:highlight w:val="none"/>
          <w:lang w:val="en-US" w:eastAsia="zh-CN"/>
        </w:rPr>
        <w:t>需及时</w:t>
      </w:r>
      <w:r>
        <w:rPr>
          <w:rFonts w:hint="eastAsia" w:hAnsi="宋体" w:cs="宋体"/>
          <w:b w:val="0"/>
          <w:bCs w:val="0"/>
          <w:color w:val="auto"/>
          <w:sz w:val="21"/>
          <w:szCs w:val="21"/>
          <w:highlight w:val="none"/>
          <w:lang w:val="en-US"/>
        </w:rPr>
        <w:t>向招标人或其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提出书面申请，经招标人或其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同意后方可变更人员。变更合同人员的，中标人须按合同约定向招标人或其下属企业支付违约金。</w:t>
      </w:r>
    </w:p>
    <w:p w14:paraId="29980663">
      <w:pPr>
        <w:pStyle w:val="2"/>
        <w:widowControl/>
        <w:numPr>
          <w:ilvl w:val="255"/>
          <w:numId w:val="0"/>
        </w:numPr>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6、</w:t>
      </w:r>
      <w:r>
        <w:rPr>
          <w:rFonts w:hint="eastAsia" w:hAnsi="宋体" w:cs="宋体"/>
          <w:b w:val="0"/>
          <w:bCs w:val="0"/>
          <w:color w:val="auto"/>
          <w:sz w:val="21"/>
          <w:szCs w:val="21"/>
          <w:highlight w:val="none"/>
          <w:lang w:val="en-US" w:eastAsia="zh-CN"/>
        </w:rPr>
        <w:t>中标人</w:t>
      </w:r>
      <w:r>
        <w:rPr>
          <w:rFonts w:hint="eastAsia" w:hAnsi="宋体" w:cs="宋体"/>
          <w:b w:val="0"/>
          <w:bCs w:val="0"/>
          <w:color w:val="auto"/>
          <w:sz w:val="21"/>
          <w:szCs w:val="21"/>
          <w:highlight w:val="none"/>
          <w:lang w:val="en-US"/>
        </w:rPr>
        <w:t>如需增加报备人员的，须及时向招标人或其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办理报备手续。</w:t>
      </w:r>
    </w:p>
    <w:p w14:paraId="5499DB2A">
      <w:pPr>
        <w:pStyle w:val="2"/>
        <w:widowControl/>
        <w:numPr>
          <w:ilvl w:val="255"/>
          <w:numId w:val="0"/>
        </w:numPr>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7、合同履行期间，</w:t>
      </w:r>
      <w:r>
        <w:rPr>
          <w:rFonts w:hint="eastAsia" w:hAnsi="宋体" w:cs="宋体"/>
          <w:b w:val="0"/>
          <w:bCs w:val="0"/>
          <w:color w:val="auto"/>
          <w:sz w:val="21"/>
          <w:szCs w:val="21"/>
          <w:highlight w:val="none"/>
          <w:lang w:val="en-US" w:eastAsia="zh-CN"/>
        </w:rPr>
        <w:t>中标人</w:t>
      </w:r>
      <w:r>
        <w:rPr>
          <w:rFonts w:hint="eastAsia" w:hAnsi="宋体" w:cs="宋体"/>
          <w:b w:val="0"/>
          <w:bCs w:val="0"/>
          <w:color w:val="auto"/>
          <w:sz w:val="21"/>
          <w:szCs w:val="21"/>
          <w:highlight w:val="none"/>
          <w:lang w:val="en-US"/>
        </w:rPr>
        <w:t>须全年为供水抢修项目配备足够的、长期稳定的抢修人员，并根据项目紧急程度、要求修复的时间等（含节假日期间），按照招标人或其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要求配置足够的抢修人员。若</w:t>
      </w:r>
      <w:r>
        <w:rPr>
          <w:rFonts w:hint="eastAsia" w:hAnsi="宋体" w:cs="宋体"/>
          <w:b w:val="0"/>
          <w:bCs w:val="0"/>
          <w:color w:val="auto"/>
          <w:sz w:val="21"/>
          <w:szCs w:val="21"/>
          <w:highlight w:val="none"/>
          <w:lang w:val="en-US" w:eastAsia="zh-CN"/>
        </w:rPr>
        <w:t>中标人</w:t>
      </w:r>
      <w:r>
        <w:rPr>
          <w:rFonts w:hint="eastAsia" w:hAnsi="宋体" w:cs="宋体"/>
          <w:b w:val="0"/>
          <w:bCs w:val="0"/>
          <w:color w:val="auto"/>
          <w:sz w:val="21"/>
          <w:szCs w:val="21"/>
          <w:highlight w:val="none"/>
          <w:lang w:val="en-US"/>
        </w:rPr>
        <w:t>没有按招标人或其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要求配置足够抢修人员的，</w:t>
      </w:r>
      <w:r>
        <w:rPr>
          <w:rFonts w:hint="eastAsia" w:hAnsi="宋体" w:cs="宋体"/>
          <w:b w:val="0"/>
          <w:bCs w:val="0"/>
          <w:color w:val="auto"/>
          <w:sz w:val="21"/>
          <w:szCs w:val="21"/>
          <w:highlight w:val="none"/>
          <w:lang w:val="en-US" w:eastAsia="zh-CN"/>
        </w:rPr>
        <w:t>中标人</w:t>
      </w:r>
      <w:r>
        <w:rPr>
          <w:rFonts w:hint="eastAsia" w:hAnsi="宋体" w:cs="宋体"/>
          <w:b w:val="0"/>
          <w:bCs w:val="0"/>
          <w:color w:val="auto"/>
          <w:sz w:val="21"/>
          <w:szCs w:val="21"/>
          <w:highlight w:val="none"/>
          <w:lang w:val="en-US"/>
        </w:rPr>
        <w:t>应在招标人或其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要求的限期内完成整改，逾期未完成整改的，</w:t>
      </w:r>
      <w:r>
        <w:rPr>
          <w:rFonts w:hint="eastAsia" w:hAnsi="宋体" w:cs="宋体"/>
          <w:b w:val="0"/>
          <w:bCs w:val="0"/>
          <w:color w:val="auto"/>
          <w:sz w:val="21"/>
          <w:szCs w:val="21"/>
          <w:highlight w:val="none"/>
          <w:lang w:val="en-US" w:eastAsia="zh-CN"/>
        </w:rPr>
        <w:t>中标人</w:t>
      </w:r>
      <w:r>
        <w:rPr>
          <w:rFonts w:hint="eastAsia" w:hAnsi="宋体" w:cs="宋体"/>
          <w:b w:val="0"/>
          <w:bCs w:val="0"/>
          <w:color w:val="auto"/>
          <w:sz w:val="21"/>
          <w:szCs w:val="21"/>
          <w:highlight w:val="none"/>
          <w:lang w:val="en-US"/>
        </w:rPr>
        <w:t>须按合同约定向招标人或其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支付违约金。</w:t>
      </w:r>
    </w:p>
    <w:p w14:paraId="0ACF9FBA">
      <w:pPr>
        <w:pStyle w:val="2"/>
        <w:widowControl/>
        <w:numPr>
          <w:ilvl w:val="255"/>
          <w:numId w:val="0"/>
        </w:numPr>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8、在所有委派项目实施全过程中，包括现场作业、安全管理、资料整理、结算对接等环节，招标人或其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有权对</w:t>
      </w:r>
      <w:r>
        <w:rPr>
          <w:rFonts w:hint="eastAsia" w:hAnsi="宋体" w:cs="宋体"/>
          <w:b w:val="0"/>
          <w:bCs w:val="0"/>
          <w:color w:val="auto"/>
          <w:sz w:val="21"/>
          <w:szCs w:val="21"/>
          <w:highlight w:val="none"/>
          <w:lang w:val="en-US" w:eastAsia="zh-CN"/>
        </w:rPr>
        <w:t>中标人</w:t>
      </w:r>
      <w:r>
        <w:rPr>
          <w:rFonts w:hint="eastAsia" w:hAnsi="宋体" w:cs="宋体"/>
          <w:b w:val="0"/>
          <w:bCs w:val="0"/>
          <w:color w:val="auto"/>
          <w:sz w:val="21"/>
          <w:szCs w:val="21"/>
          <w:highlight w:val="none"/>
          <w:lang w:val="en-US"/>
        </w:rPr>
        <w:t>已报备人员的管理情况进行抽查，若抽查发现项目管理人员、作业人员未按要求到位或人员未备案的，按考评管理约定进行扣分处罚，且</w:t>
      </w:r>
      <w:r>
        <w:rPr>
          <w:rFonts w:hint="eastAsia" w:hAnsi="宋体" w:cs="宋体"/>
          <w:b w:val="0"/>
          <w:bCs w:val="0"/>
          <w:color w:val="auto"/>
          <w:sz w:val="21"/>
          <w:szCs w:val="21"/>
          <w:highlight w:val="none"/>
          <w:lang w:val="en-US" w:eastAsia="zh-CN"/>
        </w:rPr>
        <w:t>中标人</w:t>
      </w:r>
      <w:r>
        <w:rPr>
          <w:rFonts w:hint="eastAsia" w:hAnsi="宋体" w:cs="宋体"/>
          <w:b w:val="0"/>
          <w:bCs w:val="0"/>
          <w:color w:val="auto"/>
          <w:sz w:val="21"/>
          <w:szCs w:val="21"/>
          <w:highlight w:val="none"/>
          <w:lang w:val="en-US"/>
        </w:rPr>
        <w:t>须按合同约定向招标人或其下属企业支付违约金。</w:t>
      </w:r>
    </w:p>
    <w:p w14:paraId="0553F043">
      <w:pPr>
        <w:pStyle w:val="2"/>
        <w:widowControl/>
        <w:numPr>
          <w:ilvl w:val="255"/>
          <w:numId w:val="0"/>
        </w:numPr>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9、在所有委派项目实施全过程中，招标人或其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有权对</w:t>
      </w:r>
      <w:r>
        <w:rPr>
          <w:rFonts w:hint="eastAsia" w:hAnsi="宋体" w:cs="宋体"/>
          <w:b w:val="0"/>
          <w:bCs w:val="0"/>
          <w:color w:val="auto"/>
          <w:sz w:val="21"/>
          <w:szCs w:val="21"/>
          <w:highlight w:val="none"/>
          <w:lang w:val="en-US" w:eastAsia="zh-CN"/>
        </w:rPr>
        <w:t>中标人</w:t>
      </w:r>
      <w:r>
        <w:rPr>
          <w:rFonts w:hint="eastAsia" w:hAnsi="宋体" w:cs="宋体"/>
          <w:b w:val="0"/>
          <w:bCs w:val="0"/>
          <w:color w:val="auto"/>
          <w:sz w:val="21"/>
          <w:szCs w:val="21"/>
          <w:highlight w:val="none"/>
          <w:lang w:val="en-US"/>
        </w:rPr>
        <w:t>现场施工作业人员持证情况进行抽查，若抽查发现未持证上岗或持证不合规的情况，按考评管理约定进行扣分处罚，且</w:t>
      </w:r>
      <w:r>
        <w:rPr>
          <w:rFonts w:hint="eastAsia" w:hAnsi="宋体" w:cs="宋体"/>
          <w:b w:val="0"/>
          <w:bCs w:val="0"/>
          <w:color w:val="auto"/>
          <w:sz w:val="21"/>
          <w:szCs w:val="21"/>
          <w:highlight w:val="none"/>
          <w:lang w:val="en-US" w:eastAsia="zh-CN"/>
        </w:rPr>
        <w:t>中标人</w:t>
      </w:r>
      <w:r>
        <w:rPr>
          <w:rFonts w:hint="eastAsia" w:hAnsi="宋体" w:cs="宋体"/>
          <w:b w:val="0"/>
          <w:bCs w:val="0"/>
          <w:color w:val="auto"/>
          <w:sz w:val="21"/>
          <w:szCs w:val="21"/>
          <w:highlight w:val="none"/>
          <w:lang w:val="en-US"/>
        </w:rPr>
        <w:t>须按合同约定向招标人或其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支付违约金。</w:t>
      </w:r>
    </w:p>
    <w:p w14:paraId="10855187">
      <w:pPr>
        <w:pStyle w:val="2"/>
        <w:widowControl/>
        <w:numPr>
          <w:ilvl w:val="255"/>
          <w:numId w:val="0"/>
        </w:numPr>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10、在所有委派项目实施全过程中，如发现2家（含2家）以上</w:t>
      </w:r>
      <w:r>
        <w:rPr>
          <w:rFonts w:hint="eastAsia" w:hAnsi="宋体" w:cs="宋体"/>
          <w:b w:val="0"/>
          <w:bCs w:val="0"/>
          <w:color w:val="auto"/>
          <w:sz w:val="21"/>
          <w:szCs w:val="21"/>
          <w:highlight w:val="none"/>
          <w:lang w:val="en-US" w:eastAsia="zh-CN"/>
        </w:rPr>
        <w:t>中标人</w:t>
      </w:r>
      <w:r>
        <w:rPr>
          <w:rFonts w:hint="eastAsia" w:hAnsi="宋体" w:cs="宋体"/>
          <w:b w:val="0"/>
          <w:bCs w:val="0"/>
          <w:color w:val="auto"/>
          <w:sz w:val="21"/>
          <w:szCs w:val="21"/>
          <w:highlight w:val="none"/>
          <w:lang w:val="en-US"/>
        </w:rPr>
        <w:t>共用相同的项目管理人员（包括但不限于项目负责人、技术负责人、</w:t>
      </w:r>
      <w:r>
        <w:rPr>
          <w:rFonts w:hint="eastAsia" w:hAnsi="宋体" w:cs="宋体"/>
          <w:b w:val="0"/>
          <w:color w:val="auto"/>
          <w:sz w:val="21"/>
          <w:szCs w:val="21"/>
          <w:highlight w:val="none"/>
          <w:lang w:val="en-US"/>
        </w:rPr>
        <w:t>安全负责人</w:t>
      </w:r>
      <w:r>
        <w:rPr>
          <w:rFonts w:hint="eastAsia" w:hAnsi="宋体" w:cs="宋体"/>
          <w:b w:val="0"/>
          <w:color w:val="auto"/>
          <w:sz w:val="21"/>
          <w:szCs w:val="21"/>
          <w:highlight w:val="none"/>
          <w:lang w:val="en-US" w:eastAsia="zh-CN"/>
        </w:rPr>
        <w:t>、质量负责人、资料负责人</w:t>
      </w:r>
      <w:r>
        <w:rPr>
          <w:rFonts w:hint="eastAsia" w:hAnsi="宋体" w:cs="宋体"/>
          <w:b w:val="0"/>
          <w:bCs w:val="0"/>
          <w:color w:val="auto"/>
          <w:sz w:val="21"/>
          <w:szCs w:val="21"/>
          <w:highlight w:val="none"/>
          <w:lang w:val="en-US"/>
        </w:rPr>
        <w:t>等关键岗位人员），视为</w:t>
      </w:r>
      <w:r>
        <w:rPr>
          <w:rFonts w:hint="eastAsia" w:hAnsi="宋体" w:cs="宋体"/>
          <w:b w:val="0"/>
          <w:bCs w:val="0"/>
          <w:color w:val="auto"/>
          <w:sz w:val="21"/>
          <w:szCs w:val="21"/>
          <w:highlight w:val="none"/>
          <w:lang w:val="en-US" w:eastAsia="zh-CN"/>
        </w:rPr>
        <w:t>中标人</w:t>
      </w:r>
      <w:r>
        <w:rPr>
          <w:rFonts w:hint="eastAsia" w:hAnsi="宋体" w:cs="宋体"/>
          <w:b w:val="0"/>
          <w:bCs w:val="0"/>
          <w:color w:val="auto"/>
          <w:sz w:val="21"/>
          <w:szCs w:val="21"/>
          <w:highlight w:val="none"/>
          <w:lang w:val="en-US"/>
        </w:rPr>
        <w:t>违反合同约定，</w:t>
      </w:r>
      <w:r>
        <w:rPr>
          <w:rFonts w:hint="eastAsia" w:hAnsi="宋体" w:cs="宋体"/>
          <w:b w:val="0"/>
          <w:bCs w:val="0"/>
          <w:color w:val="auto"/>
          <w:sz w:val="21"/>
          <w:szCs w:val="21"/>
          <w:highlight w:val="none"/>
          <w:lang w:val="en-US" w:eastAsia="zh-CN"/>
        </w:rPr>
        <w:t>中标人</w:t>
      </w:r>
      <w:r>
        <w:rPr>
          <w:rFonts w:hint="eastAsia" w:hAnsi="宋体" w:cs="宋体"/>
          <w:b w:val="0"/>
          <w:bCs w:val="0"/>
          <w:color w:val="auto"/>
          <w:sz w:val="21"/>
          <w:szCs w:val="21"/>
          <w:highlight w:val="none"/>
          <w:lang w:val="en-US"/>
        </w:rPr>
        <w:t>须按合同约定向</w:t>
      </w:r>
      <w:r>
        <w:rPr>
          <w:rFonts w:hint="eastAsia" w:hAnsi="宋体" w:cs="宋体"/>
          <w:b w:val="0"/>
          <w:bCs w:val="0"/>
          <w:color w:val="auto"/>
          <w:sz w:val="21"/>
          <w:szCs w:val="21"/>
          <w:highlight w:val="none"/>
          <w:lang w:val="en-US" w:eastAsia="zh-CN"/>
        </w:rPr>
        <w:t>招标人或其下属企业</w:t>
      </w:r>
      <w:r>
        <w:rPr>
          <w:rFonts w:hint="eastAsia" w:hAnsi="宋体" w:cs="宋体"/>
          <w:b w:val="0"/>
          <w:bCs w:val="0"/>
          <w:color w:val="auto"/>
          <w:sz w:val="21"/>
          <w:szCs w:val="21"/>
          <w:highlight w:val="none"/>
          <w:lang w:val="en-US"/>
        </w:rPr>
        <w:t>支付违约金。</w:t>
      </w:r>
    </w:p>
    <w:p w14:paraId="53575A22">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二</w:t>
      </w:r>
      <w:r>
        <w:rPr>
          <w:rFonts w:hint="eastAsia" w:ascii="宋体" w:hAnsi="宋体" w:eastAsia="宋体" w:cs="宋体"/>
          <w:color w:val="auto"/>
          <w:szCs w:val="21"/>
          <w:highlight w:val="none"/>
        </w:rPr>
        <w:t>）机械设备配置要求</w:t>
      </w:r>
    </w:p>
    <w:p w14:paraId="32FE2D30">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中标人的驻点须配置必要的机械设备，以确保能够随时响应招标人或其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供水抢修和零星工程项目的实施。</w:t>
      </w:r>
    </w:p>
    <w:p w14:paraId="13BF2F34">
      <w:pPr>
        <w:autoSpaceDE w:val="0"/>
        <w:autoSpaceDN w:val="0"/>
        <w:adjustRightInd w:val="0"/>
        <w:spacing w:line="360" w:lineRule="auto"/>
        <w:ind w:firstLine="422" w:firstLineChars="200"/>
        <w:rPr>
          <w:rFonts w:hint="eastAsia" w:ascii="宋体" w:hAnsi="宋体" w:eastAsia="宋体" w:cs="宋体"/>
          <w:color w:val="auto"/>
          <w:szCs w:val="21"/>
          <w:highlight w:val="none"/>
          <w:lang w:eastAsia="zh-CN"/>
        </w:rPr>
      </w:pP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1</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中标人应为本项目同时投入1台</w:t>
      </w:r>
      <w:r>
        <w:rPr>
          <w:rFonts w:hint="eastAsia" w:ascii="宋体" w:hAnsi="宋体" w:eastAsia="宋体" w:cs="宋体"/>
          <w:b/>
          <w:bCs/>
          <w:color w:val="auto"/>
          <w:szCs w:val="21"/>
          <w:highlight w:val="none"/>
        </w:rPr>
        <w:t>挖掘机、1台抢修用的发电车</w:t>
      </w:r>
      <w:r>
        <w:rPr>
          <w:rFonts w:hint="eastAsia" w:ascii="宋体" w:hAnsi="宋体" w:eastAsia="宋体" w:cs="宋体"/>
          <w:b/>
          <w:bCs/>
          <w:color w:val="auto"/>
          <w:szCs w:val="21"/>
          <w:highlight w:val="none"/>
        </w:rPr>
        <w:t>或移动发电设备</w:t>
      </w:r>
      <w:r>
        <w:rPr>
          <w:rFonts w:hint="eastAsia" w:ascii="宋体" w:hAnsi="宋体" w:eastAsia="宋体" w:cs="宋体"/>
          <w:b/>
          <w:bCs/>
          <w:color w:val="auto"/>
          <w:szCs w:val="21"/>
          <w:highlight w:val="none"/>
        </w:rPr>
        <w:t>（发电机功率不少于30kw）、1台潜污泵（流量参数不少于1000立方米每小时）</w:t>
      </w:r>
      <w:r>
        <w:rPr>
          <w:rFonts w:hint="eastAsia" w:ascii="宋体" w:hAnsi="宋体" w:eastAsia="宋体" w:cs="宋体"/>
          <w:b/>
          <w:bCs/>
          <w:color w:val="auto"/>
          <w:szCs w:val="21"/>
          <w:highlight w:val="none"/>
          <w:lang w:val="en-US" w:eastAsia="zh-CN"/>
        </w:rPr>
        <w:t>作为本项目的基础机械设备配置</w:t>
      </w:r>
      <w:r>
        <w:rPr>
          <w:rFonts w:hint="eastAsia" w:ascii="宋体" w:hAnsi="宋体" w:eastAsia="宋体" w:cs="宋体"/>
          <w:b/>
          <w:bCs/>
          <w:color w:val="auto"/>
          <w:szCs w:val="21"/>
          <w:highlight w:val="none"/>
          <w:lang w:eastAsia="zh-CN"/>
        </w:rPr>
        <w:t>。</w:t>
      </w:r>
    </w:p>
    <w:p w14:paraId="789CD1AB">
      <w:pPr>
        <w:autoSpaceDE w:val="0"/>
        <w:autoSpaceDN w:val="0"/>
        <w:adjustRightInd w:val="0"/>
        <w:spacing w:line="360" w:lineRule="auto"/>
        <w:ind w:firstLine="422" w:firstLineChars="200"/>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eastAsia="zh-CN"/>
        </w:rPr>
        <w:t>注：</w:t>
      </w:r>
      <w:r>
        <w:rPr>
          <w:rFonts w:hint="eastAsia" w:ascii="宋体" w:hAnsi="宋体" w:eastAsia="宋体" w:cs="宋体"/>
          <w:b/>
          <w:bCs/>
          <w:color w:val="auto"/>
          <w:szCs w:val="21"/>
          <w:highlight w:val="none"/>
          <w:lang w:val="en-US" w:eastAsia="zh-CN"/>
        </w:rPr>
        <w:t>①</w:t>
      </w:r>
      <w:r>
        <w:rPr>
          <w:rFonts w:hint="eastAsia" w:ascii="宋体" w:hAnsi="宋体" w:eastAsia="宋体" w:cs="宋体"/>
          <w:b/>
          <w:bCs/>
          <w:color w:val="auto"/>
          <w:szCs w:val="21"/>
          <w:highlight w:val="none"/>
          <w:lang w:eastAsia="zh-CN"/>
        </w:rPr>
        <w:t>上述设备为投标人自有时，须提供相关设备的照片及设备购买发票原件扫描件；上述设备为投标人租赁时，须提供相关设备的照片及设备租赁合同原件扫描件。</w:t>
      </w:r>
      <w:r>
        <w:rPr>
          <w:rFonts w:hint="eastAsia" w:ascii="宋体" w:hAnsi="宋体" w:eastAsia="宋体" w:cs="宋体"/>
          <w:b/>
          <w:bCs/>
          <w:color w:val="auto"/>
          <w:szCs w:val="21"/>
          <w:highlight w:val="none"/>
          <w:lang w:val="en-US" w:eastAsia="zh-CN"/>
        </w:rPr>
        <w:t>②抢修用的发电车</w:t>
      </w:r>
      <w:r>
        <w:rPr>
          <w:rFonts w:hint="eastAsia" w:ascii="宋体" w:hAnsi="宋体" w:eastAsia="宋体" w:cs="宋体"/>
          <w:b/>
          <w:bCs/>
          <w:color w:val="auto"/>
          <w:szCs w:val="21"/>
          <w:highlight w:val="none"/>
        </w:rPr>
        <w:t>或移动发电设备</w:t>
      </w:r>
      <w:r>
        <w:rPr>
          <w:rFonts w:hint="eastAsia" w:ascii="宋体" w:hAnsi="宋体" w:eastAsia="宋体" w:cs="宋体"/>
          <w:b/>
          <w:bCs/>
          <w:color w:val="auto"/>
          <w:szCs w:val="21"/>
          <w:highlight w:val="none"/>
          <w:lang w:val="en-US" w:eastAsia="zh-CN"/>
        </w:rPr>
        <w:t>、潜污泵须提供铭牌或出厂合格证或产品说明书等参数证明材料。</w:t>
      </w:r>
    </w:p>
    <w:p w14:paraId="1864F7F6">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铲车、自卸车、吸污车、货吊车、牵引车、洒水车、各类口径水泵、鼓风机、PE热熔机等设备按具体委派项目要求配置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上述设备为中标人自有或租赁均可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p>
    <w:p w14:paraId="1B8DA79E">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实施抢修项目时，机械设备需在招标人或其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规定时间内到达抢修现场；实施零星工程时，中标人需根据工程施工进度安排机械设备进场，派出的机械设备需具备合格证并满足国家环保要求。</w:t>
      </w:r>
    </w:p>
    <w:p w14:paraId="4351C820">
      <w:pPr>
        <w:autoSpaceDE w:val="0"/>
        <w:autoSpaceDN w:val="0"/>
        <w:adjustRightIn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2、涉及有限空间作业工器具，中标人应按照国家、省市及招标人的集团公司、招标人或其下属企业的业主单位、招标人或其下属企业相关有限空间作业管理办法及要求配备齐全。</w:t>
      </w:r>
    </w:p>
    <w:p w14:paraId="0A47DA12">
      <w:pPr>
        <w:autoSpaceDE w:val="0"/>
        <w:autoSpaceDN w:val="0"/>
        <w:adjustRightIn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除满足履约要求外，中标人必须在现场配置满足单个项目所需的施工机械设备（包括涉及有限空间作业工器具），其性能应良好并符合国家有关规定。若招标人或其下属企业认为中标人现场配置的施工机械设备不能满足项目施工需求（包括进度需求等）的，中标人须无条件、无偿服从按招标人或其下属企业要求予以增加（或更换）相关设备。</w:t>
      </w:r>
    </w:p>
    <w:p w14:paraId="1E5F7206">
      <w:pPr>
        <w:autoSpaceDE w:val="0"/>
        <w:autoSpaceDN w:val="0"/>
        <w:adjustRightIn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中标人在现场配置的各类施工设备，在进场、安装、使用前必须按规定出具相关证明资料（包括由合法的设备检验检测机构出具的有效期内设备合格检测报告、机械设备合格证书、安装单位资质证明材料、设备使用登记证等），严禁使用未经检测或检测不合格的施工机械设备。</w:t>
      </w:r>
    </w:p>
    <w:p w14:paraId="0F833FAF">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）驻地要求</w:t>
      </w:r>
    </w:p>
    <w:p w14:paraId="6FD4AAEA">
      <w:pPr>
        <w:numPr>
          <w:ilvl w:val="0"/>
          <w:numId w:val="2"/>
        </w:num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办公场所：中标人应在东莞市范围内设立固定的一处专门办公场所（租赁及自有均可），相关费用由中标人自行承担。</w:t>
      </w:r>
    </w:p>
    <w:p w14:paraId="128A8A54">
      <w:pPr>
        <w:numPr>
          <w:ilvl w:val="0"/>
          <w:numId w:val="2"/>
        </w:num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仓储要求：中标人应在东莞市范围内设立一处专门仓储场地（租赁及自有均可），用以停置机械设备及存放必要的材料物资等，应具备相应的设备维修条件、物质存储条件，具有配套的专业维修工器具，相关费用由中标人自行承担。</w:t>
      </w:r>
    </w:p>
    <w:p w14:paraId="23C2DB1B">
      <w:pPr>
        <w:autoSpaceDE w:val="0"/>
        <w:autoSpaceDN w:val="0"/>
        <w:adjustRightInd w:val="0"/>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★3、中标人应在合同签订后1个月内设立满足前述要求的办公场所及仓储场地（注：须按第五篇投标文件格式 第二部分 技术标格式 用户需求偏离表所附承诺书格式要求提供承诺书）。</w:t>
      </w:r>
    </w:p>
    <w:p w14:paraId="4976EB20">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合同履行期间，</w:t>
      </w:r>
      <w:r>
        <w:rPr>
          <w:rFonts w:hint="eastAsia" w:ascii="宋体" w:hAnsi="宋体" w:eastAsia="宋体" w:cs="宋体"/>
          <w:color w:val="auto"/>
          <w:szCs w:val="21"/>
          <w:highlight w:val="none"/>
          <w:lang w:val="en-US" w:eastAsia="zh-CN"/>
        </w:rPr>
        <w:t>招标人或其下属企业</w:t>
      </w:r>
      <w:r>
        <w:rPr>
          <w:rFonts w:hint="eastAsia" w:ascii="宋体" w:hAnsi="宋体" w:eastAsia="宋体" w:cs="宋体"/>
          <w:color w:val="auto"/>
          <w:szCs w:val="21"/>
          <w:highlight w:val="none"/>
        </w:rPr>
        <w:t>发现</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办公场所或仓储场地不满足</w:t>
      </w:r>
      <w:r>
        <w:rPr>
          <w:rFonts w:hint="eastAsia" w:ascii="宋体" w:hAnsi="宋体" w:eastAsia="宋体" w:cs="宋体"/>
          <w:color w:val="auto"/>
          <w:szCs w:val="21"/>
          <w:highlight w:val="none"/>
          <w:lang w:val="en-US" w:eastAsia="zh-CN"/>
        </w:rPr>
        <w:t>招标人或其下属企业</w:t>
      </w:r>
      <w:r>
        <w:rPr>
          <w:rFonts w:hint="eastAsia" w:ascii="宋体" w:hAnsi="宋体" w:eastAsia="宋体" w:cs="宋体"/>
          <w:color w:val="auto"/>
          <w:szCs w:val="21"/>
          <w:highlight w:val="none"/>
        </w:rPr>
        <w:t>要求且未能在</w:t>
      </w:r>
      <w:r>
        <w:rPr>
          <w:rFonts w:hint="eastAsia" w:ascii="宋体" w:hAnsi="宋体" w:eastAsia="宋体" w:cs="宋体"/>
          <w:color w:val="auto"/>
          <w:szCs w:val="21"/>
          <w:highlight w:val="none"/>
          <w:lang w:val="en-US" w:eastAsia="zh-CN"/>
        </w:rPr>
        <w:t>招标人或其下属企业</w:t>
      </w:r>
      <w:r>
        <w:rPr>
          <w:rFonts w:hint="eastAsia" w:ascii="宋体" w:hAnsi="宋体" w:eastAsia="宋体" w:cs="宋体"/>
          <w:color w:val="auto"/>
          <w:szCs w:val="21"/>
          <w:highlight w:val="none"/>
        </w:rPr>
        <w:t>要求的期限内完成整改的，</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须按合同约定向</w:t>
      </w:r>
      <w:r>
        <w:rPr>
          <w:rFonts w:hint="eastAsia" w:ascii="宋体" w:hAnsi="宋体" w:eastAsia="宋体" w:cs="宋体"/>
          <w:color w:val="auto"/>
          <w:szCs w:val="21"/>
          <w:highlight w:val="none"/>
          <w:lang w:val="en-US" w:eastAsia="zh-CN"/>
        </w:rPr>
        <w:t>招标人或其下属企业</w:t>
      </w:r>
      <w:r>
        <w:rPr>
          <w:rFonts w:hint="eastAsia" w:ascii="宋体" w:hAnsi="宋体" w:eastAsia="宋体" w:cs="宋体"/>
          <w:color w:val="auto"/>
          <w:szCs w:val="21"/>
          <w:highlight w:val="none"/>
        </w:rPr>
        <w:t>支付违约金。</w:t>
      </w:r>
    </w:p>
    <w:p w14:paraId="6A30DFB5">
      <w:pPr>
        <w:autoSpaceDE w:val="0"/>
        <w:autoSpaceDN w:val="0"/>
        <w:adjustRightInd w:val="0"/>
        <w:spacing w:line="360" w:lineRule="auto"/>
        <w:ind w:firstLine="420" w:firstLineChars="200"/>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（四）其他</w:t>
      </w:r>
    </w:p>
    <w:p w14:paraId="7BC523E4">
      <w:pPr>
        <w:autoSpaceDE w:val="0"/>
        <w:autoSpaceDN w:val="0"/>
        <w:adjustRightInd w:val="0"/>
        <w:spacing w:line="360" w:lineRule="auto"/>
        <w:ind w:firstLine="422" w:firstLineChars="200"/>
        <w:rPr>
          <w:rFonts w:hint="eastAsia" w:ascii="宋体" w:hAnsi="宋体" w:eastAsia="宋体" w:cs="宋体"/>
          <w:b w:val="0"/>
          <w:bCs w:val="0"/>
          <w:color w:val="auto"/>
          <w:szCs w:val="21"/>
          <w:highlight w:val="none"/>
          <w:lang w:val="en-US" w:eastAsia="zh-CN"/>
        </w:rPr>
      </w:pP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如本项目所有片区最终的劳务分包单位总数量不足15家的，招标人或其下属企业有权根据项目实际情况及中标人投标时填报的意向区域情况委派中标人到劳务分包单位不足5家的片区实施劳务分包工作，中标人须服从招标人或其下属企业的委派任务</w:t>
      </w:r>
      <w:r>
        <w:rPr>
          <w:rFonts w:hint="eastAsia" w:ascii="宋体" w:hAnsi="宋体" w:eastAsia="宋体" w:cs="宋体"/>
          <w:b/>
          <w:bCs/>
          <w:color w:val="auto"/>
          <w:szCs w:val="21"/>
          <w:highlight w:val="none"/>
        </w:rPr>
        <w:t>（注：须按第五篇投标文件格式 第二部分 技术标格式 用户需求偏离表所附承诺书格式要求提供承诺书）</w:t>
      </w:r>
      <w:r>
        <w:rPr>
          <w:rFonts w:hint="eastAsia" w:ascii="宋体" w:hAnsi="宋体" w:eastAsia="宋体" w:cs="宋体"/>
          <w:b/>
          <w:bCs/>
          <w:color w:val="auto"/>
          <w:szCs w:val="21"/>
          <w:highlight w:val="none"/>
          <w:lang w:eastAsia="zh-CN"/>
        </w:rPr>
        <w:t>。</w:t>
      </w:r>
    </w:p>
    <w:p w14:paraId="534D834E">
      <w:pPr>
        <w:autoSpaceDE w:val="0"/>
        <w:autoSpaceDN w:val="0"/>
        <w:adjustRightInd w:val="0"/>
        <w:spacing w:line="360" w:lineRule="auto"/>
        <w:ind w:firstLine="422" w:firstLineChars="200"/>
        <w:outlineLvl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四、</w:t>
      </w:r>
      <w:r>
        <w:rPr>
          <w:rFonts w:hint="eastAsia" w:ascii="宋体" w:hAnsi="宋体" w:eastAsia="宋体" w:cs="宋体"/>
          <w:b/>
          <w:bCs/>
          <w:color w:val="auto"/>
          <w:szCs w:val="21"/>
          <w:highlight w:val="none"/>
        </w:rPr>
        <w:t>派单原则</w:t>
      </w:r>
    </w:p>
    <w:p w14:paraId="483F3FD8">
      <w:pPr>
        <w:numPr>
          <w:ilvl w:val="255"/>
          <w:numId w:val="0"/>
        </w:num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直接选定：适用的业务范围为单项劳务费用预（估）算100万以下或涉及应急类、抢修类、抢险类的无图无预算项目，其计价按约定的下浮率和固定单价进行结算。</w:t>
      </w:r>
    </w:p>
    <w:p w14:paraId="462AA715">
      <w:pPr>
        <w:numPr>
          <w:ilvl w:val="255"/>
          <w:numId w:val="0"/>
        </w:num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二次竞价：适用的业务范围为直接选定范围外项目，</w:t>
      </w:r>
      <w:r>
        <w:rPr>
          <w:rFonts w:ascii="宋体" w:hAnsi="宋体" w:eastAsia="宋体" w:cs="Times New Roman"/>
          <w:bCs/>
          <w:color w:val="auto"/>
          <w:szCs w:val="21"/>
          <w:highlight w:val="none"/>
        </w:rPr>
        <w:t>将面向施工劳务分包供应商库内上一季度考核周期所有考评合格或以上的供应商开展询价活动，一般以合理低价法产生成交供应商。对于涉及国家、省、市级主管部门等督导的重点工程项目，以最新两次（季度）考核周期考核结果排名前三的施工劳务分包供应商，纳入重点工程优先邀请询价范围对象。</w:t>
      </w:r>
    </w:p>
    <w:p w14:paraId="7948EA62">
      <w:pPr>
        <w:numPr>
          <w:ilvl w:val="255"/>
          <w:numId w:val="0"/>
        </w:num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招标人或其下属企业有权通过书面通知的方式调整派单原则，中标人对此无异议且不得以此为由解除合同。</w:t>
      </w:r>
    </w:p>
    <w:p w14:paraId="2E16DB4C">
      <w:pPr>
        <w:adjustRightInd w:val="0"/>
        <w:spacing w:line="360" w:lineRule="auto"/>
        <w:ind w:firstLine="422" w:firstLineChars="200"/>
        <w:outlineLvl w:val="0"/>
        <w:rPr>
          <w:rFonts w:hint="eastAsia" w:ascii="宋体" w:hAnsi="宋体" w:eastAsia="宋体" w:cs="宋体"/>
          <w:b/>
          <w:bCs/>
          <w:color w:val="auto"/>
          <w:szCs w:val="21"/>
          <w:highlight w:val="none"/>
        </w:rPr>
      </w:pPr>
      <w:bookmarkStart w:id="418" w:name="_Toc3982"/>
      <w:bookmarkStart w:id="419" w:name="_Toc7592"/>
      <w:bookmarkStart w:id="420" w:name="_Toc16245"/>
      <w:r>
        <w:rPr>
          <w:rFonts w:hint="eastAsia" w:ascii="宋体" w:hAnsi="宋体" w:eastAsia="宋体" w:cs="宋体"/>
          <w:b/>
          <w:bCs/>
          <w:color w:val="auto"/>
          <w:szCs w:val="21"/>
          <w:highlight w:val="none"/>
          <w:lang w:val="en-US" w:eastAsia="zh-CN"/>
        </w:rPr>
        <w:t>五</w:t>
      </w:r>
      <w:r>
        <w:rPr>
          <w:rFonts w:hint="eastAsia" w:ascii="宋体" w:hAnsi="宋体" w:eastAsia="宋体" w:cs="宋体"/>
          <w:b/>
          <w:bCs/>
          <w:color w:val="auto"/>
          <w:szCs w:val="21"/>
          <w:highlight w:val="none"/>
        </w:rPr>
        <w:t>、结算及付款方式</w:t>
      </w:r>
      <w:bookmarkEnd w:id="418"/>
      <w:bookmarkEnd w:id="419"/>
      <w:bookmarkEnd w:id="420"/>
    </w:p>
    <w:p w14:paraId="434666BB">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（一）结算方式</w:t>
      </w:r>
    </w:p>
    <w:p w14:paraId="0C8F0FD2">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1、零星工程项目结算方式</w:t>
      </w:r>
    </w:p>
    <w:p w14:paraId="281C58FB">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表务类零星工程项目：按照《东莞市碧水信息科技有限公司表务类小型项目劳务分包清单价目表》（以下简称“《表务类小型项目劳务分包清单价目表》”）有关约定办理结算，结算时不进行下浮。对于适用于《表务类小型项目劳务分包清单价目表》但未涵盖的情况，参照《表务类小型项目劳务分包清单价目表》中类似项目的单价或按招标人修订后的单价执行。对于不适用于《表务类小型项目劳务分包清单价目表》的情况，参照非表务零星工程项目的结算方式。如遇</w:t>
      </w:r>
      <w:r>
        <w:rPr>
          <w:rFonts w:hint="eastAsia" w:ascii="宋体" w:hAnsi="宋体" w:eastAsia="宋体" w:cs="宋体"/>
          <w:color w:val="auto"/>
          <w:szCs w:val="21"/>
          <w:highlight w:val="none"/>
          <w:lang w:val="en-US" w:eastAsia="zh-CN"/>
        </w:rPr>
        <w:t>招标人或其下属企业</w:t>
      </w:r>
      <w:r>
        <w:rPr>
          <w:rFonts w:hint="eastAsia" w:ascii="宋体" w:hAnsi="宋体" w:eastAsia="宋体" w:cs="宋体"/>
          <w:color w:val="auto"/>
          <w:szCs w:val="21"/>
          <w:highlight w:val="none"/>
        </w:rPr>
        <w:t>总包结算模式有调整的，</w:t>
      </w:r>
      <w:r>
        <w:rPr>
          <w:rFonts w:hint="eastAsia" w:ascii="宋体" w:hAnsi="宋体" w:eastAsia="宋体" w:cs="宋体"/>
          <w:color w:val="auto"/>
          <w:szCs w:val="21"/>
          <w:highlight w:val="none"/>
          <w:lang w:val="en-US" w:eastAsia="zh-CN"/>
        </w:rPr>
        <w:t>招标人或其下属企业</w:t>
      </w:r>
      <w:r>
        <w:rPr>
          <w:rFonts w:hint="eastAsia" w:ascii="宋体" w:hAnsi="宋体" w:eastAsia="宋体" w:cs="宋体"/>
          <w:color w:val="auto"/>
          <w:szCs w:val="21"/>
          <w:highlight w:val="none"/>
        </w:rPr>
        <w:t>有权结合实际情况调整结算模式，具体以</w:t>
      </w:r>
      <w:r>
        <w:rPr>
          <w:rFonts w:hint="eastAsia" w:ascii="宋体" w:hAnsi="宋体" w:eastAsia="宋体" w:cs="宋体"/>
          <w:color w:val="auto"/>
          <w:szCs w:val="21"/>
          <w:highlight w:val="none"/>
          <w:lang w:val="en-US" w:eastAsia="zh-CN"/>
        </w:rPr>
        <w:t>招标人或其下属企业</w:t>
      </w:r>
      <w:r>
        <w:rPr>
          <w:rFonts w:hint="eastAsia" w:ascii="宋体" w:hAnsi="宋体" w:eastAsia="宋体" w:cs="宋体"/>
          <w:color w:val="auto"/>
          <w:szCs w:val="21"/>
          <w:highlight w:val="none"/>
        </w:rPr>
        <w:t>书面通知为准。</w:t>
      </w:r>
    </w:p>
    <w:p w14:paraId="513D3A86">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（2）非表务类零星工程项目：下浮率：</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13</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合同期内，各单项项目结算费用按照该下浮率进行下浮。结算时计量以双方确认的现场签证工程量为准；结算计价方式参考总包结算方式，分为人材机结算方式和清单计价结算方式，结算单价以招标人或其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审定为准（招标人或其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主要</w:t>
      </w:r>
      <w:r>
        <w:rPr>
          <w:rFonts w:hint="eastAsia" w:ascii="宋体" w:hAnsi="宋体" w:eastAsia="宋体" w:cs="宋体"/>
          <w:color w:val="auto"/>
          <w:szCs w:val="21"/>
          <w:highlight w:val="none"/>
          <w:lang w:val="en-US" w:eastAsia="zh-CN"/>
        </w:rPr>
        <w:t>参考</w:t>
      </w:r>
      <w:r>
        <w:rPr>
          <w:rFonts w:hint="eastAsia" w:ascii="宋体" w:hAnsi="宋体" w:eastAsia="宋体" w:cs="宋体"/>
          <w:color w:val="auto"/>
          <w:szCs w:val="21"/>
          <w:highlight w:val="none"/>
        </w:rPr>
        <w:t>广东省现行综合定额相关计价规则进行审定，具体以单个项目审核情况为准），不含税结算总价=未下浮的不含税总价*（1-下浮率）。</w:t>
      </w:r>
    </w:p>
    <w:p w14:paraId="03488030">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水抢修项目结算方式：执行《东莞市碧水信息科技有限公司供水管网及附属设备抢修业务劳务分包清单价目表》（以下简称“《抢修劳务清单价目表》”），结算时不进行下浮。对于《抢修劳务清单价目表》未涵盖的情况，参照《抢修劳务清单价目表》中类似项目的单价、或按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修订后的单价、或招标人或其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审定的单价（招标人或其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主要</w:t>
      </w:r>
      <w:r>
        <w:rPr>
          <w:rFonts w:hint="eastAsia" w:ascii="宋体" w:hAnsi="宋体" w:eastAsia="宋体" w:cs="宋体"/>
          <w:color w:val="auto"/>
          <w:szCs w:val="21"/>
          <w:highlight w:val="none"/>
          <w:lang w:val="en-US" w:eastAsia="zh-CN"/>
        </w:rPr>
        <w:t>参考</w:t>
      </w:r>
      <w:r>
        <w:rPr>
          <w:rFonts w:hint="eastAsia" w:ascii="宋体" w:hAnsi="宋体" w:eastAsia="宋体" w:cs="宋体"/>
          <w:color w:val="auto"/>
          <w:szCs w:val="21"/>
          <w:highlight w:val="none"/>
        </w:rPr>
        <w:t>广东省现行综合定额相关计价规则并参照零星工程项目下浮率进行审定）执行。对于整单以劳务分包方式实施的DN400以下口径抢修劳务分包项目，按固定单价进行结算，即单个项目的“抢修结算总价=固定综合单价”；对于DN400及以上口径或部分以劳务分包方式实施的DN400以下口径抢修劳务分包项目，依据实际发生的工作量，按清单单价组价结算，即单个项目的“抢修结算总价=Σ（现场签证工程量×清单项目全费用综合单价）”。对于以抢修方式委托实施的零星工程项目不适用《抢修劳务清单价目表》，结算时由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lang w:val="en-US" w:eastAsia="zh-CN"/>
        </w:rPr>
        <w:t>参考</w:t>
      </w:r>
      <w:r>
        <w:rPr>
          <w:rFonts w:hint="eastAsia" w:ascii="宋体" w:hAnsi="宋体" w:eastAsia="宋体" w:cs="宋体"/>
          <w:color w:val="auto"/>
          <w:szCs w:val="21"/>
          <w:highlight w:val="none"/>
        </w:rPr>
        <w:t>广东省现行综合定额相关计价规则并参照零星工程项目下浮率进行组价，具体以单个项目审核情况为准。如遇</w:t>
      </w:r>
      <w:r>
        <w:rPr>
          <w:rFonts w:hint="eastAsia" w:ascii="宋体" w:hAnsi="宋体" w:eastAsia="宋体" w:cs="宋体"/>
          <w:color w:val="auto"/>
          <w:szCs w:val="21"/>
          <w:highlight w:val="none"/>
          <w:lang w:val="en-US" w:eastAsia="zh-CN"/>
        </w:rPr>
        <w:t>招标人或其下属企业</w:t>
      </w:r>
      <w:r>
        <w:rPr>
          <w:rFonts w:hint="eastAsia" w:ascii="宋体" w:hAnsi="宋体" w:eastAsia="宋体" w:cs="宋体"/>
          <w:color w:val="auto"/>
          <w:szCs w:val="21"/>
          <w:highlight w:val="none"/>
        </w:rPr>
        <w:t>总包结算模式有调整的，</w:t>
      </w:r>
      <w:r>
        <w:rPr>
          <w:rFonts w:hint="eastAsia" w:ascii="宋体" w:hAnsi="宋体" w:eastAsia="宋体" w:cs="宋体"/>
          <w:color w:val="auto"/>
          <w:szCs w:val="21"/>
          <w:highlight w:val="none"/>
          <w:lang w:val="en-US" w:eastAsia="zh-CN"/>
        </w:rPr>
        <w:t>招标人或其下属企业</w:t>
      </w:r>
      <w:r>
        <w:rPr>
          <w:rFonts w:hint="eastAsia" w:ascii="宋体" w:hAnsi="宋体" w:eastAsia="宋体" w:cs="宋体"/>
          <w:color w:val="auto"/>
          <w:szCs w:val="21"/>
          <w:highlight w:val="none"/>
        </w:rPr>
        <w:t>有权结合实际情况调整结算模式，具体以</w:t>
      </w:r>
      <w:r>
        <w:rPr>
          <w:rFonts w:hint="eastAsia" w:ascii="宋体" w:hAnsi="宋体" w:eastAsia="宋体" w:cs="宋体"/>
          <w:color w:val="auto"/>
          <w:szCs w:val="21"/>
          <w:highlight w:val="none"/>
          <w:lang w:val="en-US" w:eastAsia="zh-CN"/>
        </w:rPr>
        <w:t>招标人或其下属企业</w:t>
      </w:r>
      <w:r>
        <w:rPr>
          <w:rFonts w:hint="eastAsia" w:ascii="宋体" w:hAnsi="宋体" w:eastAsia="宋体" w:cs="宋体"/>
          <w:color w:val="auto"/>
          <w:szCs w:val="21"/>
          <w:highlight w:val="none"/>
        </w:rPr>
        <w:t>书面通知为准。</w:t>
      </w:r>
    </w:p>
    <w:p w14:paraId="55A6C585">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上述结算方式计算所得的结算总价均已包含完成约定工作内容的一切费用，包含但不限于中标人提供的人工费、零星材料费、机具费、安全生产费、文明施工费（含统一着装费）、夜间施工费、施工干扰费、交通疏解费、按照国家及地方有关规定应交纳的税费、规费、中标人为中标人的人员和机具购买的各种保险费用、进退场费以及本</w:t>
      </w:r>
      <w:r>
        <w:rPr>
          <w:rFonts w:hint="eastAsia" w:ascii="宋体" w:hAnsi="宋体" w:eastAsia="宋体" w:cs="宋体"/>
          <w:color w:val="auto"/>
          <w:szCs w:val="21"/>
          <w:highlight w:val="none"/>
          <w:lang w:val="en-US" w:eastAsia="zh-CN"/>
        </w:rPr>
        <w:t>项目</w:t>
      </w:r>
      <w:r>
        <w:rPr>
          <w:rFonts w:hint="eastAsia" w:ascii="宋体" w:hAnsi="宋体" w:eastAsia="宋体" w:cs="宋体"/>
          <w:color w:val="auto"/>
          <w:szCs w:val="21"/>
          <w:highlight w:val="none"/>
        </w:rPr>
        <w:t>合同明示或暗示的风险及中标人实际实施的绿色施工安全防护措施费。税费按劳务分包派单表约定的增值税税率计算，若税收政策变动，增值税税率按照税收政策规定对应调整。</w:t>
      </w:r>
    </w:p>
    <w:p w14:paraId="62087CB3">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招标人有权结合实际情况对《东莞市碧水信息科技有限公司表务类小型项目劳务分包清单价目表》和《东莞市碧水信息科技有限公司供水管网及附属设备抢修业务劳务分包清单价目表》进行修订，招标人应提前2个工作日将修改后的清单价目表书面通知中标人，中标人应在2个工作日内予以书面确认，双方再办理结算工作，中标人对此表示同意且无异议。</w:t>
      </w:r>
    </w:p>
    <w:p w14:paraId="71E9CED4">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、合同履约过程中，单个项目的劳务分包暂定价可按上述约定的结算方式进行预估，或在扣除总包供应费用后的总包项目价基础上下浮所得，或由招标人或其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结合资料编制所得。但单个项目的劳务分包暂定价并非劳务结算价，且与劳务结算价无必然的关系，单项劳务结算价按本项目合同约定的结算方式进行计算。</w:t>
      </w:r>
    </w:p>
    <w:p w14:paraId="50E6F73E">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（二）支付方式</w:t>
      </w:r>
    </w:p>
    <w:p w14:paraId="2DC5210A">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1、供水抢修项目劳务分包项目及表务类零星工程项目劳务分包项目</w:t>
      </w:r>
    </w:p>
    <w:p w14:paraId="63F6D341">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项目完工且验收合格后，双方确认签证和确认结算价后，中标人按照招标人或其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要求提供相关请款资料，经招标人或其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确认无误后支付至结算价款的100%。</w:t>
      </w:r>
    </w:p>
    <w:p w14:paraId="35DC53AC">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2、非表务类零星工程项目单项劳务分包项目</w:t>
      </w:r>
    </w:p>
    <w:p w14:paraId="5C64E348">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bCs/>
          <w:color w:val="auto"/>
          <w:szCs w:val="21"/>
          <w:highlight w:val="none"/>
        </w:rPr>
        <w:t>劳务派单暂定价20万元（不含）以下或无劳务派单暂定价的项目</w:t>
      </w:r>
    </w:p>
    <w:p w14:paraId="1D528026">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不设进度款。项目全部劳务工作完成后30个日历天内，中标人向招标人或其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递交完整的竣工资料。招标人或其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收到中标人递交的竣工资料后14个工作日内</w:t>
      </w:r>
      <w:r>
        <w:rPr>
          <w:rFonts w:hint="eastAsia" w:ascii="宋体" w:hAnsi="宋体" w:eastAsia="宋体" w:cs="宋体"/>
          <w:color w:val="auto"/>
          <w:szCs w:val="21"/>
          <w:highlight w:val="none"/>
          <w:lang w:val="en-US" w:eastAsia="zh-CN"/>
        </w:rPr>
        <w:t>完成</w:t>
      </w:r>
      <w:r>
        <w:rPr>
          <w:rFonts w:hint="eastAsia" w:ascii="宋体" w:hAnsi="宋体" w:eastAsia="宋体" w:cs="宋体"/>
          <w:color w:val="auto"/>
          <w:szCs w:val="21"/>
          <w:highlight w:val="none"/>
        </w:rPr>
        <w:t>审核，给予确认或提出修改意见。项目竣工验收合格后，中标人按照招标人或其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要求递交完整的结算资料，对已完成且无争议部分的工程量进行结算，支付至经招标人或其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审定的劳务结算价款的100%。</w:t>
      </w:r>
    </w:p>
    <w:p w14:paraId="100BD29B">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bCs/>
          <w:color w:val="auto"/>
          <w:szCs w:val="21"/>
          <w:highlight w:val="none"/>
        </w:rPr>
        <w:t>劳务派单暂定价20万元（含）以上的项目</w:t>
      </w:r>
    </w:p>
    <w:p w14:paraId="0070A3B7">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①进度款：项目完工后，按已完成且无争议部分工程量对应劳务费用的80%支付。若</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最新两次（季度）考核周期考核结果均为优良且连续排名前三，则在本季度办理请款事宜时（以发起请款流程时间为准），该</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享有优先权</w:t>
      </w:r>
      <w:r>
        <w:rPr>
          <w:rFonts w:hint="eastAsia" w:ascii="宋体" w:hAnsi="宋体" w:eastAsia="宋体" w:cs="宋体"/>
          <w:color w:val="auto"/>
          <w:szCs w:val="21"/>
          <w:highlight w:val="none"/>
          <w:lang w:val="en-US" w:eastAsia="zh-CN"/>
        </w:rPr>
        <w:t>利</w:t>
      </w:r>
      <w:r>
        <w:rPr>
          <w:rFonts w:hint="eastAsia" w:ascii="宋体" w:hAnsi="宋体" w:eastAsia="宋体" w:cs="宋体"/>
          <w:color w:val="auto"/>
          <w:szCs w:val="21"/>
          <w:highlight w:val="none"/>
        </w:rPr>
        <w:t>。具体表现为，针对单项分包费用为50万元（含）以上的项目，其进度款支付比例提高至85%；若</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在办理请款时未同步附上相关凭证，则视为放弃该权利，后续不得追加申请。</w:t>
      </w:r>
    </w:p>
    <w:p w14:paraId="4A29642C">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②结算款：项目全部劳务工作完成后30个日历天内，中标人向招标人或其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递交完整的竣工资料。招标人或其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收到中标人递交的竣工资料后14个工作日内</w:t>
      </w:r>
      <w:r>
        <w:rPr>
          <w:rFonts w:hint="eastAsia" w:ascii="宋体" w:hAnsi="宋体" w:eastAsia="宋体" w:cs="宋体"/>
          <w:color w:val="auto"/>
          <w:szCs w:val="21"/>
          <w:highlight w:val="none"/>
          <w:lang w:val="en-US" w:eastAsia="zh-CN"/>
        </w:rPr>
        <w:t>完成</w:t>
      </w:r>
      <w:r>
        <w:rPr>
          <w:rFonts w:hint="eastAsia" w:ascii="宋体" w:hAnsi="宋体" w:eastAsia="宋体" w:cs="宋体"/>
          <w:color w:val="auto"/>
          <w:szCs w:val="21"/>
          <w:highlight w:val="none"/>
        </w:rPr>
        <w:t>审核，给予确认或提出修改意见。项目竣工验收合格后，中标人按照招标人或其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要求递交完整的结算资料，对已完成且无争议部分的工程量进行结算。对于最终劳务结算价为100万元（不含）以下的项目，支付至经招标人或其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审定的劳务结算价款的100%；对于最终劳务结算价为100万元（含）以上的项目，支付至经招标人或其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审定的劳务结算价款的97%，保留劳务结算价款的3%作为质量保证金。</w:t>
      </w:r>
    </w:p>
    <w:p w14:paraId="424F5318">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③质量保证金：质量缺陷责任期（自工程竣工验收合格之日起</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年，如单项工程另有约定的，从其约定）满后28个日历天内，中标人应向招标人或其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递交完整的请款资料。招标人或其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收到中标人递交的请款资料后14个工作日内</w:t>
      </w:r>
      <w:r>
        <w:rPr>
          <w:rFonts w:hint="eastAsia" w:ascii="宋体" w:hAnsi="宋体" w:eastAsia="宋体" w:cs="宋体"/>
          <w:color w:val="auto"/>
          <w:szCs w:val="21"/>
          <w:highlight w:val="none"/>
          <w:lang w:val="en-US" w:eastAsia="zh-CN"/>
        </w:rPr>
        <w:t>完成</w:t>
      </w:r>
      <w:r>
        <w:rPr>
          <w:rFonts w:hint="eastAsia" w:ascii="宋体" w:hAnsi="宋体" w:eastAsia="宋体" w:cs="宋体"/>
          <w:color w:val="auto"/>
          <w:szCs w:val="21"/>
          <w:highlight w:val="none"/>
        </w:rPr>
        <w:t>核实，给予确认或者提出修改意见。经招标人或其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相关部门核实后，在扣除应扣款项（若有）后将剩余的质量保证金一次性无息支付给中标人。</w:t>
      </w:r>
    </w:p>
    <w:p w14:paraId="1D7B134A">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、每次付款前，中标人应向招标人或其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提供与劳务分包项目内容相关且符合招标人或其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要求的与付款金额等额有效合法增值税专用发票及请款资料，付款至结算款时，中标人需提供与该劳务分包项目结算价款对应的全部费用的等额有效合法增值税专用发票（若为非表务类零星工程项目劳务分包项目且设有质量保证金，为包含质量保证金费用的发票），经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审核无误后通过银行转账</w:t>
      </w:r>
      <w:r>
        <w:rPr>
          <w:rFonts w:hint="eastAsia" w:ascii="宋体" w:hAnsi="宋体" w:eastAsia="宋体" w:cs="宋体"/>
          <w:color w:val="auto"/>
          <w:szCs w:val="21"/>
          <w:highlight w:val="none"/>
          <w:lang w:val="en-US" w:eastAsia="zh-CN"/>
        </w:rPr>
        <w:t>或银行转账支票的</w:t>
      </w:r>
      <w:r>
        <w:rPr>
          <w:rFonts w:hint="eastAsia" w:ascii="宋体" w:hAnsi="宋体" w:eastAsia="宋体" w:cs="宋体"/>
          <w:color w:val="auto"/>
          <w:szCs w:val="21"/>
          <w:highlight w:val="none"/>
        </w:rPr>
        <w:t>方式向中标人支付劳务款，否则招标人或其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有权延期付款且无须承担逾期付款责任，中标人不得以此为由拒绝履行劳务分包合同项下全部义务。由于中标人提供的发票不符合税法规定，给招标人或其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造成损失的，由中标人承担赔偿责任。</w:t>
      </w:r>
    </w:p>
    <w:p w14:paraId="6160B801">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（三）结算资料管理</w:t>
      </w:r>
    </w:p>
    <w:p w14:paraId="167A8AD7">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1、项目竣工验收后1个月内，</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须配合招标人或其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完成结算资料的编制。项目业主单位或业主委托的咨询单位在审核结算资料过程中，发现存在问题或缺少资料的，</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须配合招标人或其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在5</w:t>
      </w:r>
      <w:r>
        <w:rPr>
          <w:rFonts w:hint="eastAsia" w:ascii="宋体" w:hAnsi="宋体" w:eastAsia="宋体" w:cs="宋体"/>
          <w:color w:val="auto"/>
          <w:szCs w:val="21"/>
          <w:highlight w:val="none"/>
          <w:lang w:val="en-US" w:eastAsia="zh-CN"/>
        </w:rPr>
        <w:t>个日历天</w:t>
      </w:r>
      <w:r>
        <w:rPr>
          <w:rFonts w:hint="eastAsia" w:ascii="宋体" w:hAnsi="宋体" w:eastAsia="宋体" w:cs="宋体"/>
          <w:color w:val="auto"/>
          <w:szCs w:val="21"/>
          <w:highlight w:val="none"/>
        </w:rPr>
        <w:t>内修正或补齐资料，未在限期内修正或补齐资料的，</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承担由此产生的一切违约责任。</w:t>
      </w:r>
    </w:p>
    <w:p w14:paraId="7B2B3F90">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须配合招标人或其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完成总包结算复核工作，若需对数的，</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须配合招标人或其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参加对数。</w:t>
      </w:r>
    </w:p>
    <w:p w14:paraId="5A7A38C3">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）单方面结算</w:t>
      </w:r>
    </w:p>
    <w:p w14:paraId="7653C6EA">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若中标人存在以下行为之一的，招标人或其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有权启动单方结算程序，中标人对此表示同意且对单方结算结果无异议：</w:t>
      </w:r>
    </w:p>
    <w:p w14:paraId="2C73C291">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1、单项劳务分包项目完工后，因中标人自身原因未能在招标人或其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规定的时限内提交结算资料,且经招标人或其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二次催促后，仍未提交符合要求的结算资料的；</w:t>
      </w:r>
    </w:p>
    <w:p w14:paraId="732BA6C7">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完成劳务分包结算初步审核结果后，通过包括但不限于电子文件等方式向中标人发出初步审核结果，因中标人自身原因未在15个日历天内对初步审核结果提出反馈意见且经招标人或其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通过包括但不限于发函、工作联系单、约谈等方式催促，仍未回复意见的；</w:t>
      </w:r>
    </w:p>
    <w:p w14:paraId="2A3C509B">
      <w:pPr>
        <w:autoSpaceDE w:val="0"/>
        <w:autoSpaceDN w:val="0"/>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3、中标人对招标人或其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的审核结果有异议，但未在招标人或其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发出初步审核结果后15个日历天内提交异议材料等有效依据，经招标人或其</w:t>
      </w:r>
      <w:r>
        <w:rPr>
          <w:rFonts w:hint="eastAsia" w:ascii="宋体" w:hAnsi="宋体" w:eastAsia="宋体" w:cs="宋体"/>
          <w:color w:val="auto"/>
          <w:szCs w:val="21"/>
          <w:highlight w:val="none"/>
          <w:lang w:eastAsia="zh-CN"/>
        </w:rPr>
        <w:t>下属企业</w:t>
      </w:r>
      <w:r>
        <w:rPr>
          <w:rFonts w:hint="eastAsia" w:ascii="宋体" w:hAnsi="宋体" w:eastAsia="宋体" w:cs="宋体"/>
          <w:color w:val="auto"/>
          <w:szCs w:val="21"/>
          <w:highlight w:val="none"/>
        </w:rPr>
        <w:t>通过包括但不限于发函、工作联系单、约谈等方式催促，仍未确认结算审核结果的。</w:t>
      </w:r>
    </w:p>
    <w:p w14:paraId="4C297966">
      <w:pPr>
        <w:adjustRightInd w:val="0"/>
        <w:spacing w:line="360" w:lineRule="auto"/>
        <w:ind w:firstLine="422" w:firstLineChars="200"/>
        <w:outlineLvl w:val="0"/>
        <w:rPr>
          <w:rFonts w:hint="eastAsia" w:ascii="宋体" w:hAnsi="宋体" w:eastAsia="宋体" w:cs="宋体"/>
          <w:b/>
          <w:bCs/>
          <w:color w:val="auto"/>
          <w:szCs w:val="21"/>
          <w:highlight w:val="none"/>
        </w:rPr>
      </w:pPr>
      <w:bookmarkStart w:id="421" w:name="_Toc24216"/>
      <w:bookmarkStart w:id="422" w:name="_Toc26094"/>
      <w:bookmarkStart w:id="423" w:name="_Toc2283"/>
      <w:r>
        <w:rPr>
          <w:rFonts w:hint="eastAsia" w:ascii="宋体" w:hAnsi="宋体" w:eastAsia="宋体" w:cs="宋体"/>
          <w:b/>
          <w:bCs/>
          <w:color w:val="auto"/>
          <w:szCs w:val="21"/>
          <w:highlight w:val="none"/>
          <w:lang w:val="en-US" w:eastAsia="zh-CN"/>
        </w:rPr>
        <w:t>六</w:t>
      </w:r>
      <w:r>
        <w:rPr>
          <w:rFonts w:hint="eastAsia" w:ascii="宋体" w:hAnsi="宋体" w:eastAsia="宋体" w:cs="宋体"/>
          <w:b/>
          <w:bCs/>
          <w:color w:val="auto"/>
          <w:szCs w:val="21"/>
          <w:highlight w:val="none"/>
        </w:rPr>
        <w:t>、履约保证金</w:t>
      </w:r>
      <w:bookmarkEnd w:id="421"/>
      <w:bookmarkEnd w:id="422"/>
      <w:bookmarkEnd w:id="423"/>
    </w:p>
    <w:p w14:paraId="7AF275E6">
      <w:pPr>
        <w:pStyle w:val="2"/>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1、本项目履约保证金为人民币20万元。</w:t>
      </w:r>
    </w:p>
    <w:p w14:paraId="6884B577">
      <w:pPr>
        <w:pStyle w:val="2"/>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2、中标人应在签订合同</w:t>
      </w:r>
      <w:r>
        <w:rPr>
          <w:rFonts w:hint="eastAsia" w:hAnsi="宋体" w:cs="宋体"/>
          <w:b w:val="0"/>
          <w:bCs w:val="0"/>
          <w:color w:val="auto"/>
          <w:sz w:val="21"/>
          <w:szCs w:val="21"/>
          <w:highlight w:val="none"/>
          <w:lang w:val="en-US" w:eastAsia="zh-CN"/>
        </w:rPr>
        <w:t>前</w:t>
      </w:r>
      <w:r>
        <w:rPr>
          <w:rFonts w:hint="eastAsia" w:hAnsi="宋体" w:cs="宋体"/>
          <w:b w:val="0"/>
          <w:bCs w:val="0"/>
          <w:color w:val="auto"/>
          <w:sz w:val="21"/>
          <w:szCs w:val="21"/>
          <w:highlight w:val="none"/>
          <w:lang w:val="en-US"/>
        </w:rPr>
        <w:t>，通过银行转账方式向招标人指定账号缴纳履约保证金，招标人账号信息详见招标文件第二章 投标人须知 37.</w:t>
      </w:r>
      <w:r>
        <w:rPr>
          <w:rFonts w:hint="eastAsia" w:hAnsi="宋体" w:cs="宋体"/>
          <w:b w:val="0"/>
          <w:bCs w:val="0"/>
          <w:color w:val="auto"/>
          <w:sz w:val="21"/>
          <w:szCs w:val="21"/>
          <w:highlight w:val="none"/>
          <w:lang w:val="en-US" w:eastAsia="zh-CN"/>
        </w:rPr>
        <w:t>4</w:t>
      </w:r>
      <w:r>
        <w:rPr>
          <w:rFonts w:hint="eastAsia" w:hAnsi="宋体" w:cs="宋体"/>
          <w:b w:val="0"/>
          <w:bCs w:val="0"/>
          <w:color w:val="auto"/>
          <w:sz w:val="21"/>
          <w:szCs w:val="21"/>
          <w:highlight w:val="none"/>
          <w:lang w:val="en-US"/>
        </w:rPr>
        <w:t>款；未按时缴纳的，招标人可取消中标人的服务资格。</w:t>
      </w:r>
    </w:p>
    <w:p w14:paraId="425C5DE9">
      <w:pPr>
        <w:pStyle w:val="2"/>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3、履约保证金用于补偿招标人或其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因中标人不能完全履行其合同义务而蒙受的损失或其他合同约定的事项。如发生下列任一情况时，招标人除有权依合同追究中标人违约责任外，还有权提取履约保证金并进行相应处理：</w:t>
      </w:r>
    </w:p>
    <w:p w14:paraId="5ABB8264">
      <w:pPr>
        <w:pStyle w:val="2"/>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（1）中标人将合同项下中标人的权利义务全部转让给第三方，或未经招标人或其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书面同意将部分权利义务转让给第三方的，招标人有权没收其履约</w:t>
      </w:r>
      <w:r>
        <w:rPr>
          <w:rFonts w:hint="eastAsia" w:hAnsi="宋体" w:cs="宋体"/>
          <w:b w:val="0"/>
          <w:bCs w:val="0"/>
          <w:color w:val="auto"/>
          <w:sz w:val="21"/>
          <w:szCs w:val="21"/>
          <w:highlight w:val="none"/>
          <w:lang w:val="en-US" w:eastAsia="zh-CN"/>
        </w:rPr>
        <w:t>保证金</w:t>
      </w:r>
      <w:r>
        <w:rPr>
          <w:rFonts w:hint="eastAsia" w:hAnsi="宋体" w:cs="宋体"/>
          <w:b w:val="0"/>
          <w:bCs w:val="0"/>
          <w:color w:val="auto"/>
          <w:sz w:val="21"/>
          <w:szCs w:val="21"/>
          <w:highlight w:val="none"/>
          <w:lang w:val="en-US"/>
        </w:rPr>
        <w:t>。</w:t>
      </w:r>
    </w:p>
    <w:p w14:paraId="3543EA97">
      <w:pPr>
        <w:pStyle w:val="2"/>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（2）在合同履行期间，中标人怠于履行合同义务，经招标人或其</w:t>
      </w:r>
      <w:r>
        <w:rPr>
          <w:rFonts w:hint="eastAsia" w:hAnsi="宋体" w:cs="宋体"/>
          <w:b w:val="0"/>
          <w:bCs w:val="0"/>
          <w:color w:val="auto"/>
          <w:sz w:val="21"/>
          <w:szCs w:val="21"/>
          <w:highlight w:val="none"/>
          <w:lang w:val="en-US" w:eastAsia="zh-CN"/>
        </w:rPr>
        <w:t>下属企业书面</w:t>
      </w:r>
      <w:r>
        <w:rPr>
          <w:rFonts w:hint="eastAsia" w:hAnsi="宋体" w:cs="宋体"/>
          <w:b w:val="0"/>
          <w:bCs w:val="0"/>
          <w:color w:val="auto"/>
          <w:sz w:val="21"/>
          <w:szCs w:val="21"/>
          <w:highlight w:val="none"/>
          <w:lang w:val="en-US"/>
        </w:rPr>
        <w:t>通知或要求承担违约金后仍拒不改正的，招标人可依法没收或适当扣除其履约</w:t>
      </w:r>
      <w:r>
        <w:rPr>
          <w:rFonts w:hint="eastAsia" w:hAnsi="宋体" w:cs="宋体"/>
          <w:b w:val="0"/>
          <w:bCs w:val="0"/>
          <w:color w:val="auto"/>
          <w:sz w:val="21"/>
          <w:szCs w:val="21"/>
          <w:highlight w:val="none"/>
          <w:lang w:val="en-US" w:eastAsia="zh-CN"/>
        </w:rPr>
        <w:t>保证金</w:t>
      </w:r>
      <w:r>
        <w:rPr>
          <w:rFonts w:hint="eastAsia" w:hAnsi="宋体" w:cs="宋体"/>
          <w:b w:val="0"/>
          <w:bCs w:val="0"/>
          <w:color w:val="auto"/>
          <w:sz w:val="21"/>
          <w:szCs w:val="21"/>
          <w:highlight w:val="none"/>
          <w:lang w:val="en-US"/>
        </w:rPr>
        <w:t>。</w:t>
      </w:r>
    </w:p>
    <w:p w14:paraId="09D416AE">
      <w:pPr>
        <w:pStyle w:val="2"/>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（3）在合同履行期间，因中标人货物、服务质量问题造成损害、侵权损失(包括但不限于招标人或其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(含其人员)经济损失、中标人所雇人员及第三人人身财产损失等)、拖欠原材料供应商货款或与其所雇用员工发生劳资纠纷、上访、闹事或其他影响招标人或其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生产经营等情况而其未及时妥善处理的，招标人有权使用履约保证金予以支付或作出相应处理，由此产生的一切法律后果由中标人承担。</w:t>
      </w:r>
    </w:p>
    <w:p w14:paraId="63CB6027">
      <w:pPr>
        <w:pStyle w:val="2"/>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（4）在合同履行期间，中标人违约产生的违约金、赔偿、罚款或其他应付费用等款项，招标人或其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有权直接从未付款项中直接扣除或使用履约保证金予以支付。</w:t>
      </w:r>
    </w:p>
    <w:p w14:paraId="51E6BF2F">
      <w:pPr>
        <w:pStyle w:val="2"/>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（5）合同期内，中标人不能及时完成合同</w:t>
      </w:r>
      <w:r>
        <w:rPr>
          <w:rFonts w:hint="eastAsia" w:hAnsi="宋体" w:cs="宋体"/>
          <w:b w:val="0"/>
          <w:bCs w:val="0"/>
          <w:color w:val="auto"/>
          <w:sz w:val="21"/>
          <w:szCs w:val="21"/>
          <w:highlight w:val="none"/>
          <w:lang w:val="en-US" w:eastAsia="zh-CN"/>
        </w:rPr>
        <w:t>约定</w:t>
      </w:r>
      <w:r>
        <w:rPr>
          <w:rFonts w:hint="eastAsia" w:hAnsi="宋体" w:cs="宋体"/>
          <w:b w:val="0"/>
          <w:bCs w:val="0"/>
          <w:color w:val="auto"/>
          <w:sz w:val="21"/>
          <w:szCs w:val="21"/>
          <w:highlight w:val="none"/>
          <w:lang w:val="en-US"/>
        </w:rPr>
        <w:t>某项义务的</w:t>
      </w:r>
      <w:r>
        <w:rPr>
          <w:rFonts w:hint="eastAsia" w:hAnsi="宋体" w:cs="宋体"/>
          <w:b w:val="0"/>
          <w:bCs w:val="0"/>
          <w:color w:val="auto"/>
          <w:sz w:val="21"/>
          <w:szCs w:val="21"/>
          <w:highlight w:val="none"/>
          <w:lang w:val="en-US" w:eastAsia="zh-CN"/>
        </w:rPr>
        <w:t>，需招标人另行支付费用来完成</w:t>
      </w:r>
      <w:r>
        <w:rPr>
          <w:rFonts w:hint="eastAsia" w:hAnsi="宋体" w:cs="宋体"/>
          <w:b w:val="0"/>
          <w:bCs w:val="0"/>
          <w:color w:val="auto"/>
          <w:sz w:val="21"/>
          <w:szCs w:val="21"/>
          <w:highlight w:val="none"/>
          <w:lang w:val="en-US"/>
        </w:rPr>
        <w:t>的招标人有权提取履约</w:t>
      </w:r>
      <w:r>
        <w:rPr>
          <w:rFonts w:hint="eastAsia" w:hAnsi="宋体" w:cs="宋体"/>
          <w:b w:val="0"/>
          <w:bCs w:val="0"/>
          <w:color w:val="auto"/>
          <w:sz w:val="21"/>
          <w:szCs w:val="21"/>
          <w:highlight w:val="none"/>
          <w:lang w:val="en-US" w:eastAsia="zh-CN"/>
        </w:rPr>
        <w:t>保证金</w:t>
      </w:r>
      <w:r>
        <w:rPr>
          <w:rFonts w:hint="eastAsia" w:hAnsi="宋体" w:cs="宋体"/>
          <w:b w:val="0"/>
          <w:bCs w:val="0"/>
          <w:color w:val="auto"/>
          <w:sz w:val="21"/>
          <w:szCs w:val="21"/>
          <w:highlight w:val="none"/>
          <w:lang w:val="en-US"/>
        </w:rPr>
        <w:t>用于处理该项工作。</w:t>
      </w:r>
    </w:p>
    <w:p w14:paraId="2A8E2521">
      <w:pPr>
        <w:pStyle w:val="2"/>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（6）中标人应及时足额向工人发放工资待遇以及其他劳动待遇等，不得拖欠或克扣，如有违反的，由中标人全部负责。如对招标人或其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工作造成影响的，根据工人诉求及拖欠实际情况金额，招标人有权直接启用履约保证金或从未付服务费用中直接扣除予以支付，由此导致的法律后果由中标人全部承担。</w:t>
      </w:r>
    </w:p>
    <w:p w14:paraId="053ACE84">
      <w:pPr>
        <w:pStyle w:val="2"/>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color w:val="auto"/>
          <w:sz w:val="21"/>
          <w:szCs w:val="21"/>
          <w:highlight w:val="none"/>
          <w:lang w:val="en-US"/>
        </w:rPr>
        <w:t>（7）</w:t>
      </w:r>
      <w:r>
        <w:rPr>
          <w:rFonts w:hint="eastAsia" w:hAnsi="宋体" w:cs="宋体"/>
          <w:b w:val="0"/>
          <w:bCs w:val="0"/>
          <w:color w:val="auto"/>
          <w:sz w:val="21"/>
          <w:szCs w:val="21"/>
          <w:highlight w:val="none"/>
          <w:lang w:val="en-US"/>
        </w:rPr>
        <w:t>中标人</w:t>
      </w:r>
      <w:r>
        <w:rPr>
          <w:rFonts w:hint="eastAsia" w:hAnsi="宋体" w:cs="宋体"/>
          <w:b w:val="0"/>
          <w:color w:val="auto"/>
          <w:sz w:val="21"/>
          <w:szCs w:val="21"/>
          <w:highlight w:val="none"/>
          <w:lang w:val="en-US"/>
        </w:rPr>
        <w:t>实施的项目在质量保修期发生质量问题且拒不履行保修义务的，招标人</w:t>
      </w:r>
      <w:r>
        <w:rPr>
          <w:rFonts w:hint="eastAsia" w:hAnsi="宋体" w:cs="宋体"/>
          <w:b w:val="0"/>
          <w:bCs w:val="0"/>
          <w:color w:val="auto"/>
          <w:sz w:val="21"/>
          <w:szCs w:val="21"/>
          <w:highlight w:val="none"/>
          <w:lang w:val="en-US"/>
        </w:rPr>
        <w:t>或其</w:t>
      </w:r>
      <w:r>
        <w:rPr>
          <w:rFonts w:hint="eastAsia" w:hAnsi="宋体" w:cs="宋体"/>
          <w:b w:val="0"/>
          <w:bCs w:val="0"/>
          <w:color w:val="auto"/>
          <w:sz w:val="21"/>
          <w:szCs w:val="21"/>
          <w:highlight w:val="none"/>
          <w:lang w:val="en-US" w:eastAsia="zh-CN"/>
        </w:rPr>
        <w:t>下属企业</w:t>
      </w:r>
      <w:r>
        <w:rPr>
          <w:rFonts w:hint="eastAsia" w:hAnsi="宋体" w:cs="宋体"/>
          <w:b w:val="0"/>
          <w:color w:val="auto"/>
          <w:sz w:val="21"/>
          <w:szCs w:val="21"/>
          <w:highlight w:val="none"/>
          <w:lang w:val="en-US"/>
        </w:rPr>
        <w:t>有权直接</w:t>
      </w:r>
      <w:r>
        <w:rPr>
          <w:rFonts w:hint="eastAsia" w:hAnsi="宋体" w:cs="宋体"/>
          <w:b w:val="0"/>
          <w:color w:val="auto"/>
          <w:sz w:val="21"/>
          <w:szCs w:val="21"/>
          <w:highlight w:val="none"/>
          <w:lang w:val="en-US" w:eastAsia="zh-CN"/>
        </w:rPr>
        <w:t>委托</w:t>
      </w:r>
      <w:r>
        <w:rPr>
          <w:rFonts w:hint="eastAsia" w:hAnsi="宋体" w:cs="宋体"/>
          <w:b w:val="0"/>
          <w:color w:val="auto"/>
          <w:sz w:val="21"/>
          <w:szCs w:val="21"/>
          <w:highlight w:val="none"/>
          <w:lang w:val="en-US"/>
        </w:rPr>
        <w:t>第三方进行保修，且招标人有权直接启用履约保证金或从未付服务费用中直接扣除予以支付，由此导致的法律后果由</w:t>
      </w:r>
      <w:r>
        <w:rPr>
          <w:rFonts w:hint="eastAsia" w:hAnsi="宋体" w:cs="宋体"/>
          <w:b w:val="0"/>
          <w:bCs w:val="0"/>
          <w:color w:val="auto"/>
          <w:sz w:val="21"/>
          <w:szCs w:val="21"/>
          <w:highlight w:val="none"/>
          <w:lang w:val="en-US"/>
        </w:rPr>
        <w:t>中标人</w:t>
      </w:r>
      <w:r>
        <w:rPr>
          <w:rFonts w:hint="eastAsia" w:hAnsi="宋体" w:cs="宋体"/>
          <w:b w:val="0"/>
          <w:color w:val="auto"/>
          <w:sz w:val="21"/>
          <w:szCs w:val="21"/>
          <w:highlight w:val="none"/>
          <w:lang w:val="en-US"/>
        </w:rPr>
        <w:t>全部承担。</w:t>
      </w:r>
    </w:p>
    <w:p w14:paraId="11903219">
      <w:pPr>
        <w:pStyle w:val="2"/>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（8）其他根据合同约定或法律规定，招标人可使用履约保证金的情形。</w:t>
      </w:r>
    </w:p>
    <w:p w14:paraId="75EAE990">
      <w:pPr>
        <w:pStyle w:val="2"/>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4、在合同期限届满，且中标人已完成本项目合同下委派的所有项目</w:t>
      </w:r>
      <w:r>
        <w:rPr>
          <w:rFonts w:hint="eastAsia" w:hAnsi="宋体" w:cs="宋体"/>
          <w:b w:val="0"/>
          <w:bCs w:val="0"/>
          <w:color w:val="auto"/>
          <w:sz w:val="21"/>
          <w:szCs w:val="21"/>
          <w:highlight w:val="none"/>
          <w:lang w:val="en-US" w:eastAsia="zh-CN"/>
        </w:rPr>
        <w:t>的</w:t>
      </w:r>
      <w:r>
        <w:rPr>
          <w:rFonts w:hint="eastAsia" w:hAnsi="宋体" w:cs="宋体"/>
          <w:b w:val="0"/>
          <w:bCs w:val="0"/>
          <w:color w:val="auto"/>
          <w:sz w:val="21"/>
          <w:szCs w:val="21"/>
          <w:highlight w:val="none"/>
          <w:lang w:val="en-US"/>
        </w:rPr>
        <w:t>结算工作28个日历天后，经招标人确认，中标人可向招标人提交退回履约</w:t>
      </w:r>
      <w:r>
        <w:rPr>
          <w:rFonts w:hint="eastAsia" w:hAnsi="宋体" w:cs="宋体"/>
          <w:b w:val="0"/>
          <w:bCs w:val="0"/>
          <w:color w:val="auto"/>
          <w:sz w:val="21"/>
          <w:szCs w:val="21"/>
          <w:highlight w:val="none"/>
          <w:lang w:val="en-US" w:eastAsia="zh-CN"/>
        </w:rPr>
        <w:t>保证金</w:t>
      </w:r>
      <w:r>
        <w:rPr>
          <w:rFonts w:hint="eastAsia" w:hAnsi="宋体" w:cs="宋体"/>
          <w:b w:val="0"/>
          <w:bCs w:val="0"/>
          <w:color w:val="auto"/>
          <w:sz w:val="21"/>
          <w:szCs w:val="21"/>
          <w:highlight w:val="none"/>
          <w:lang w:val="en-US"/>
        </w:rPr>
        <w:t>的申请。招标人审核无异议后，</w:t>
      </w:r>
      <w:r>
        <w:rPr>
          <w:rFonts w:hint="eastAsia" w:hAnsi="宋体" w:cs="宋体"/>
          <w:b w:val="0"/>
          <w:bCs w:val="0"/>
          <w:color w:val="auto"/>
          <w:sz w:val="21"/>
          <w:szCs w:val="21"/>
          <w:highlight w:val="none"/>
          <w:lang w:val="en-US" w:eastAsia="zh-CN"/>
        </w:rPr>
        <w:t>为中标人</w:t>
      </w:r>
      <w:r>
        <w:rPr>
          <w:rFonts w:hint="eastAsia" w:hAnsi="宋体" w:cs="宋体"/>
          <w:b w:val="0"/>
          <w:bCs w:val="0"/>
          <w:color w:val="auto"/>
          <w:sz w:val="21"/>
          <w:szCs w:val="21"/>
          <w:highlight w:val="none"/>
          <w:lang w:val="en-US"/>
        </w:rPr>
        <w:t>办理履约</w:t>
      </w:r>
      <w:r>
        <w:rPr>
          <w:rFonts w:hint="eastAsia" w:hAnsi="宋体" w:cs="宋体"/>
          <w:b w:val="0"/>
          <w:bCs w:val="0"/>
          <w:color w:val="auto"/>
          <w:sz w:val="21"/>
          <w:szCs w:val="21"/>
          <w:highlight w:val="none"/>
          <w:lang w:val="en-US" w:eastAsia="zh-CN"/>
        </w:rPr>
        <w:t>保证金</w:t>
      </w:r>
      <w:r>
        <w:rPr>
          <w:rFonts w:hint="eastAsia" w:hAnsi="宋体" w:cs="宋体"/>
          <w:b w:val="0"/>
          <w:bCs w:val="0"/>
          <w:color w:val="auto"/>
          <w:sz w:val="21"/>
          <w:szCs w:val="21"/>
          <w:highlight w:val="none"/>
          <w:lang w:val="en-US"/>
        </w:rPr>
        <w:t>退还手续，退回时一律以银行转账的形式无息退回到中标人的</w:t>
      </w:r>
      <w:r>
        <w:rPr>
          <w:rFonts w:hint="eastAsia" w:hAnsi="宋体" w:cs="宋体"/>
          <w:b w:val="0"/>
          <w:bCs w:val="0"/>
          <w:color w:val="auto"/>
          <w:sz w:val="21"/>
          <w:szCs w:val="21"/>
          <w:highlight w:val="none"/>
          <w:lang w:val="en-US" w:eastAsia="zh-CN"/>
        </w:rPr>
        <w:t>账</w:t>
      </w:r>
      <w:r>
        <w:rPr>
          <w:rFonts w:hint="eastAsia" w:hAnsi="宋体" w:cs="宋体"/>
          <w:b w:val="0"/>
          <w:bCs w:val="0"/>
          <w:color w:val="auto"/>
          <w:sz w:val="21"/>
          <w:szCs w:val="21"/>
          <w:highlight w:val="none"/>
          <w:lang w:val="en-US"/>
        </w:rPr>
        <w:t>户。</w:t>
      </w:r>
    </w:p>
    <w:p w14:paraId="6669FC23">
      <w:pPr>
        <w:pStyle w:val="2"/>
        <w:spacing w:line="360" w:lineRule="auto"/>
        <w:ind w:right="0" w:firstLine="420" w:firstLineChars="200"/>
        <w:jc w:val="left"/>
        <w:rPr>
          <w:rFonts w:hint="eastAsia" w:hAnsi="宋体" w:cs="宋体"/>
          <w:color w:val="auto"/>
          <w:sz w:val="21"/>
          <w:szCs w:val="21"/>
          <w:highlight w:val="none"/>
          <w:lang w:val="en-US"/>
        </w:rPr>
      </w:pPr>
      <w:r>
        <w:rPr>
          <w:rFonts w:hint="eastAsia" w:hAnsi="宋体" w:cs="宋体"/>
          <w:b w:val="0"/>
          <w:bCs w:val="0"/>
          <w:color w:val="auto"/>
          <w:sz w:val="21"/>
          <w:szCs w:val="21"/>
          <w:highlight w:val="none"/>
          <w:lang w:val="en-US"/>
        </w:rPr>
        <w:t>5、在合同履行过程中，不论何种原因导致履约保证金数额不足人民币20万元的，中标人应当在10个日历天内予以补足。逾期不予补足的，招标人有权按需补足的金额要求中标人承担违约金，并要求限期补足。如中标人仍不补足的，招标人有权单方解除合同。</w:t>
      </w:r>
    </w:p>
    <w:p w14:paraId="4251DDB1">
      <w:pPr>
        <w:adjustRightInd w:val="0"/>
        <w:spacing w:line="360" w:lineRule="auto"/>
        <w:ind w:firstLine="422" w:firstLineChars="200"/>
        <w:outlineLvl w:val="0"/>
        <w:rPr>
          <w:rFonts w:hint="eastAsia" w:ascii="宋体" w:hAnsi="宋体" w:eastAsia="宋体" w:cs="宋体"/>
          <w:b/>
          <w:bCs/>
          <w:color w:val="auto"/>
          <w:szCs w:val="21"/>
          <w:highlight w:val="none"/>
        </w:rPr>
      </w:pPr>
      <w:bookmarkStart w:id="424" w:name="_Toc543"/>
      <w:bookmarkStart w:id="425" w:name="_Toc31411"/>
      <w:bookmarkStart w:id="426" w:name="_Toc19932"/>
      <w:r>
        <w:rPr>
          <w:rFonts w:hint="eastAsia" w:ascii="宋体" w:hAnsi="宋体" w:eastAsia="宋体" w:cs="宋体"/>
          <w:b/>
          <w:bCs/>
          <w:color w:val="auto"/>
          <w:szCs w:val="21"/>
          <w:highlight w:val="none"/>
          <w:lang w:val="en-US" w:eastAsia="zh-CN"/>
        </w:rPr>
        <w:t>七</w:t>
      </w:r>
      <w:r>
        <w:rPr>
          <w:rFonts w:hint="eastAsia" w:ascii="宋体" w:hAnsi="宋体" w:eastAsia="宋体" w:cs="宋体"/>
          <w:b/>
          <w:bCs/>
          <w:color w:val="auto"/>
          <w:szCs w:val="21"/>
          <w:highlight w:val="none"/>
        </w:rPr>
        <w:t>、中标人考核</w:t>
      </w:r>
      <w:bookmarkEnd w:id="424"/>
      <w:bookmarkEnd w:id="425"/>
      <w:bookmarkEnd w:id="426"/>
    </w:p>
    <w:p w14:paraId="21E76F47">
      <w:pPr>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完成合同约定内容后，</w:t>
      </w:r>
      <w:r>
        <w:rPr>
          <w:rFonts w:hint="eastAsia" w:ascii="宋体" w:hAnsi="宋体" w:eastAsia="宋体" w:cs="宋体"/>
          <w:color w:val="auto"/>
          <w:szCs w:val="21"/>
          <w:highlight w:val="none"/>
          <w:lang w:val="en-US" w:eastAsia="zh-CN"/>
        </w:rPr>
        <w:t>招标人或其下属企业</w:t>
      </w:r>
      <w:r>
        <w:rPr>
          <w:rFonts w:hint="eastAsia" w:ascii="宋体" w:hAnsi="宋体" w:eastAsia="宋体" w:cs="宋体"/>
          <w:color w:val="auto"/>
          <w:szCs w:val="21"/>
          <w:highlight w:val="none"/>
        </w:rPr>
        <w:t>将通过《东莞市碧水信息科技有限公司分包单位履约考评工作指引》（详见</w:t>
      </w:r>
      <w:r>
        <w:rPr>
          <w:rFonts w:hint="eastAsia" w:ascii="宋体" w:hAnsi="宋体" w:eastAsia="宋体" w:cs="宋体"/>
          <w:color w:val="auto"/>
          <w:szCs w:val="21"/>
          <w:highlight w:val="none"/>
          <w:lang w:val="en-US" w:eastAsia="zh-CN"/>
        </w:rPr>
        <w:t>第四篇 合同条款格式 附件</w:t>
      </w:r>
      <w:r>
        <w:rPr>
          <w:rFonts w:hint="eastAsia" w:ascii="宋体" w:hAnsi="宋体" w:eastAsia="宋体" w:cs="宋体"/>
          <w:color w:val="auto"/>
          <w:szCs w:val="21"/>
          <w:highlight w:val="none"/>
        </w:rPr>
        <w:t>5）项目的进度控制、质量控制、安全文明管理、民工劳动报酬支付情况等内容开展考评工作，考评结果将作为</w:t>
      </w:r>
      <w:r>
        <w:rPr>
          <w:rFonts w:hint="eastAsia" w:ascii="宋体" w:hAnsi="宋体" w:eastAsia="宋体" w:cs="宋体"/>
          <w:color w:val="auto"/>
          <w:szCs w:val="21"/>
          <w:highlight w:val="none"/>
          <w:lang w:val="en-US" w:eastAsia="zh-CN"/>
        </w:rPr>
        <w:t>招标人或其下属企业</w:t>
      </w:r>
      <w:r>
        <w:rPr>
          <w:rFonts w:hint="eastAsia" w:ascii="宋体" w:hAnsi="宋体" w:eastAsia="宋体" w:cs="宋体"/>
          <w:color w:val="auto"/>
          <w:szCs w:val="21"/>
          <w:highlight w:val="none"/>
        </w:rPr>
        <w:t>日后项目管理依据之一。</w:t>
      </w:r>
    </w:p>
    <w:p w14:paraId="706F7E6A">
      <w:pPr>
        <w:adjustRightIn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招标人或其下属企业</w:t>
      </w:r>
      <w:r>
        <w:rPr>
          <w:rFonts w:hint="eastAsia" w:ascii="宋体" w:hAnsi="宋体" w:eastAsia="宋体" w:cs="宋体"/>
          <w:color w:val="auto"/>
          <w:szCs w:val="21"/>
          <w:highlight w:val="none"/>
        </w:rPr>
        <w:t>有权调整劳务分包服务考核评价表，调整后书面通知</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对此无任何异议。</w:t>
      </w:r>
    </w:p>
    <w:p w14:paraId="5EF54201">
      <w:pPr>
        <w:adjustRightInd w:val="0"/>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招标人或其下属企业</w:t>
      </w:r>
      <w:r>
        <w:rPr>
          <w:rFonts w:hint="eastAsia" w:ascii="宋体" w:hAnsi="宋体" w:eastAsia="宋体" w:cs="宋体"/>
          <w:color w:val="auto"/>
          <w:szCs w:val="21"/>
          <w:highlight w:val="none"/>
        </w:rPr>
        <w:t>将按照《东莞市碧水信息科技有限公司分包单位履约考评工作指引》</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详见第四篇 合同条款格式 附件5</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相关内容定期组织考评工作，并根据考评结果落实应用工作，中标人对此无任何异议。</w:t>
      </w:r>
    </w:p>
    <w:p w14:paraId="6369ED43">
      <w:pP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br w:type="page"/>
      </w:r>
    </w:p>
    <w:p w14:paraId="3CB1C9DC">
      <w:pPr>
        <w:spacing w:line="360" w:lineRule="auto"/>
        <w:outlineLvl w:val="0"/>
        <w:rPr>
          <w:rFonts w:hint="eastAsia" w:ascii="宋体" w:hAnsi="宋体" w:eastAsia="宋体" w:cs="Times New Roman"/>
          <w:b/>
          <w:color w:val="auto"/>
          <w:szCs w:val="21"/>
          <w:highlight w:val="none"/>
        </w:rPr>
      </w:pPr>
      <w:bookmarkStart w:id="427" w:name="_Toc20163"/>
      <w:r>
        <w:rPr>
          <w:rFonts w:hint="eastAsia" w:ascii="宋体" w:hAnsi="宋体" w:eastAsia="宋体" w:cs="Times New Roman"/>
          <w:b/>
          <w:color w:val="auto"/>
          <w:szCs w:val="21"/>
          <w:highlight w:val="none"/>
        </w:rPr>
        <w:t>附件1：东莞市碧水信息科技有限公司施工劳务分包业务委派工作指引</w:t>
      </w:r>
      <w:bookmarkEnd w:id="427"/>
    </w:p>
    <w:p w14:paraId="495234CC">
      <w:pPr>
        <w:pStyle w:val="2"/>
        <w:jc w:val="left"/>
        <w:rPr>
          <w:rFonts w:hint="eastAsia" w:hAnsi="宋体" w:eastAsia="宋体" w:cs="Times New Roman"/>
          <w:bCs w:val="0"/>
          <w:color w:val="auto"/>
          <w:sz w:val="21"/>
          <w:szCs w:val="21"/>
          <w:highlight w:val="none"/>
          <w:lang w:val="en-US" w:eastAsia="zh-CN"/>
        </w:rPr>
      </w:pPr>
      <w:r>
        <w:rPr>
          <w:rFonts w:hint="eastAsia" w:hAnsi="宋体" w:cs="Times New Roman"/>
          <w:b/>
          <w:bCs w:val="0"/>
          <w:color w:val="auto"/>
          <w:sz w:val="21"/>
          <w:szCs w:val="21"/>
          <w:highlight w:val="none"/>
          <w:lang w:val="en-US" w:eastAsia="zh-CN"/>
        </w:rPr>
        <w:t>（本指引同样适用于招标人下属企业委派业务给中标人的情形）</w:t>
      </w:r>
    </w:p>
    <w:p w14:paraId="710B11FB">
      <w:pPr>
        <w:spacing w:line="360" w:lineRule="auto"/>
        <w:jc w:val="center"/>
        <w:rPr>
          <w:rFonts w:hint="eastAsia" w:ascii="宋体" w:hAnsi="宋体" w:eastAsia="宋体" w:cs="Times New Roman"/>
          <w:b/>
          <w:color w:val="auto"/>
          <w:sz w:val="28"/>
          <w:szCs w:val="28"/>
          <w:highlight w:val="none"/>
        </w:rPr>
      </w:pPr>
    </w:p>
    <w:p w14:paraId="788FB364">
      <w:pPr>
        <w:spacing w:line="360" w:lineRule="auto"/>
        <w:jc w:val="center"/>
        <w:rPr>
          <w:rFonts w:hint="eastAsia" w:ascii="宋体" w:hAnsi="宋体" w:eastAsia="宋体" w:cs="Times New Roman"/>
          <w:b/>
          <w:color w:val="auto"/>
          <w:sz w:val="28"/>
          <w:szCs w:val="28"/>
          <w:highlight w:val="none"/>
        </w:rPr>
      </w:pPr>
      <w:r>
        <w:rPr>
          <w:rFonts w:ascii="宋体" w:hAnsi="宋体" w:eastAsia="宋体" w:cs="Times New Roman"/>
          <w:b/>
          <w:color w:val="auto"/>
          <w:sz w:val="28"/>
          <w:szCs w:val="28"/>
          <w:highlight w:val="none"/>
        </w:rPr>
        <w:t>东莞市碧水信息科技有限公司施工劳务分包业务委派工作指引</w:t>
      </w:r>
    </w:p>
    <w:p w14:paraId="6512D03A">
      <w:pPr>
        <w:spacing w:line="360" w:lineRule="auto"/>
        <w:ind w:firstLine="422" w:firstLineChars="200"/>
        <w:jc w:val="left"/>
        <w:rPr>
          <w:rFonts w:hint="eastAsia" w:ascii="宋体" w:hAnsi="宋体" w:eastAsia="宋体" w:cs="Times New Roman"/>
          <w:b/>
          <w:color w:val="auto"/>
          <w:szCs w:val="21"/>
          <w:highlight w:val="none"/>
        </w:rPr>
      </w:pPr>
      <w:r>
        <w:rPr>
          <w:rFonts w:ascii="宋体" w:hAnsi="宋体" w:eastAsia="宋体" w:cs="Times New Roman"/>
          <w:b/>
          <w:color w:val="auto"/>
          <w:szCs w:val="21"/>
          <w:highlight w:val="none"/>
        </w:rPr>
        <w:t>一、总则</w:t>
      </w:r>
    </w:p>
    <w:p w14:paraId="7D2A4030">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（一）目的</w:t>
      </w:r>
    </w:p>
    <w:p w14:paraId="50152C53">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为进一步规范公司施工劳务分包委派工作，在确保公平、公正、公开的基础上提高劳务委派的效率，现结合公司实际情况，特制定本工作指引。</w:t>
      </w:r>
    </w:p>
    <w:p w14:paraId="3F619EAC">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（二）适用范围</w:t>
      </w:r>
    </w:p>
    <w:p w14:paraId="4F1D3F66">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本工作指引适用于公司在施工劳务分包供应商库内以直接指定或二次竞价方式开展的劳务分包委派工作。</w:t>
      </w:r>
    </w:p>
    <w:p w14:paraId="6721850F">
      <w:pPr>
        <w:spacing w:line="360" w:lineRule="auto"/>
        <w:ind w:firstLine="422" w:firstLineChars="200"/>
        <w:jc w:val="left"/>
        <w:rPr>
          <w:rFonts w:hint="eastAsia" w:ascii="宋体" w:hAnsi="宋体" w:eastAsia="宋体" w:cs="Times New Roman"/>
          <w:b/>
          <w:color w:val="auto"/>
          <w:szCs w:val="21"/>
          <w:highlight w:val="none"/>
        </w:rPr>
      </w:pPr>
      <w:r>
        <w:rPr>
          <w:rFonts w:ascii="宋体" w:hAnsi="宋体" w:eastAsia="宋体" w:cs="Times New Roman"/>
          <w:b/>
          <w:color w:val="auto"/>
          <w:szCs w:val="21"/>
          <w:highlight w:val="none"/>
        </w:rPr>
        <w:t>二、定义及解释</w:t>
      </w:r>
    </w:p>
    <w:p w14:paraId="6E075FB3">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（一）施工劳务分包供应商库</w:t>
      </w:r>
    </w:p>
    <w:p w14:paraId="758837F6">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施工劳务分包供应商库是指通过框架协议采购程序确定第一阶段两家或以上入围的施工劳务分包供应商，并订立框架协议。</w:t>
      </w:r>
    </w:p>
    <w:p w14:paraId="6569940D">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（二）区域供应商</w:t>
      </w:r>
    </w:p>
    <w:p w14:paraId="13ADE0ED">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区域供应商是指全市施工劳务分包业务按3大区域（采购按</w:t>
      </w:r>
      <w:r>
        <w:rPr>
          <w:rFonts w:hint="eastAsia" w:ascii="宋体" w:hAnsi="宋体" w:eastAsia="宋体" w:cs="Times New Roman"/>
          <w:bCs/>
          <w:color w:val="auto"/>
          <w:szCs w:val="21"/>
          <w:highlight w:val="none"/>
          <w:lang w:val="en-US" w:eastAsia="zh-CN"/>
        </w:rPr>
        <w:t>A区</w:t>
      </w:r>
      <w:r>
        <w:rPr>
          <w:rFonts w:ascii="宋体" w:hAnsi="宋体" w:eastAsia="宋体" w:cs="Times New Roman"/>
          <w:bCs/>
          <w:color w:val="auto"/>
          <w:szCs w:val="21"/>
          <w:highlight w:val="none"/>
        </w:rPr>
        <w:t>、</w:t>
      </w:r>
      <w:r>
        <w:rPr>
          <w:rFonts w:hint="eastAsia" w:ascii="宋体" w:hAnsi="宋体" w:eastAsia="宋体" w:cs="Times New Roman"/>
          <w:bCs/>
          <w:color w:val="auto"/>
          <w:szCs w:val="21"/>
          <w:highlight w:val="none"/>
          <w:lang w:val="en-US" w:eastAsia="zh-CN"/>
        </w:rPr>
        <w:t>B区</w:t>
      </w:r>
      <w:r>
        <w:rPr>
          <w:rFonts w:ascii="宋体" w:hAnsi="宋体" w:eastAsia="宋体" w:cs="Times New Roman"/>
          <w:bCs/>
          <w:color w:val="auto"/>
          <w:szCs w:val="21"/>
          <w:highlight w:val="none"/>
        </w:rPr>
        <w:t>和</w:t>
      </w:r>
      <w:r>
        <w:rPr>
          <w:rFonts w:hint="eastAsia" w:ascii="宋体" w:hAnsi="宋体" w:eastAsia="宋体" w:cs="Times New Roman"/>
          <w:bCs/>
          <w:color w:val="auto"/>
          <w:szCs w:val="21"/>
          <w:highlight w:val="none"/>
          <w:lang w:val="en-US" w:eastAsia="zh-CN"/>
        </w:rPr>
        <w:t>C区</w:t>
      </w:r>
      <w:r>
        <w:rPr>
          <w:rFonts w:ascii="宋体" w:hAnsi="宋体" w:eastAsia="宋体" w:cs="Times New Roman"/>
          <w:bCs/>
          <w:color w:val="auto"/>
          <w:szCs w:val="21"/>
          <w:highlight w:val="none"/>
        </w:rPr>
        <w:t>）划分，各大区域细化成若干小区域，每个小区域以直接选定方式确定的固定供应商。</w:t>
      </w:r>
    </w:p>
    <w:p w14:paraId="0BD5714D">
      <w:pPr>
        <w:spacing w:line="360" w:lineRule="auto"/>
        <w:ind w:firstLine="420" w:firstLineChars="200"/>
        <w:jc w:val="left"/>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rPr>
        <w:t>（三）</w:t>
      </w:r>
      <w:r>
        <w:rPr>
          <w:rFonts w:ascii="宋体" w:hAnsi="宋体" w:eastAsia="宋体" w:cs="Times New Roman"/>
          <w:bCs/>
          <w:color w:val="auto"/>
          <w:szCs w:val="21"/>
          <w:highlight w:val="none"/>
        </w:rPr>
        <w:t>直接选定</w:t>
      </w:r>
    </w:p>
    <w:p w14:paraId="38A6A26D">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直接选定是确定第二阶段成交供应商的主要方式，公司根据入围价格、质量以及服务便利性等因素，从第一阶段入围的施工劳务分包供应商中直接选定。</w:t>
      </w:r>
    </w:p>
    <w:p w14:paraId="6E366244">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（四）二次竞价</w:t>
      </w:r>
    </w:p>
    <w:p w14:paraId="7C5ECE6C">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二次竞价是指以框架协议约定的入围价格、合同文本等为参考，一般以协议价格为最高限价，公司明确第二阶段竞价需求，从入围的施工劳务分包供应商中选择所有符合竞价需求的供应商参与二次竞价，一般以合理最低法选择成交供应商。</w:t>
      </w:r>
    </w:p>
    <w:p w14:paraId="7D304638">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（五）合理低价法</w:t>
      </w:r>
    </w:p>
    <w:p w14:paraId="7412E660">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合理低价法是一种定标方式，本工作指引中的合理低价法约定为：每个供应商的报价按由低到高的顺序依次排出名次，经复核有效报价的供应商后，计算出所有有效报价的算术平均值。当采用下浮率报价时，下浮率报价最接近平均值上限的供应商即为成交价；当采用金额报价时，金额报价最接近平均值下限的供应商即为成交价。在供应商竞价中，若出现两家或以上供应商相同报价同时最靠近平均值下限，则按供应商考评分值高低排出次序；若出现两家或以上供应商相同报价同时最靠近平均值下限，以及供应商考评分值均相同，则通过摇珠方式确定成交供应商。</w:t>
      </w:r>
    </w:p>
    <w:p w14:paraId="7B3F98D7">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（六）“相邻互补”机制</w:t>
      </w:r>
    </w:p>
    <w:p w14:paraId="62CA1FBB">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“相邻互补”机制是一种快速替换原有区域供应商的规则。当任一镇街的区域供应商因故需退出镇街业务时，其替换单位从同一采购包（A，B和C）内地理相邻、上一周期考评靠前的其他区域供应商产生。</w:t>
      </w:r>
    </w:p>
    <w:p w14:paraId="6E06CE75">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（七）应急类、抢修类、抢险类的无图无预算项目</w:t>
      </w:r>
    </w:p>
    <w:p w14:paraId="199A281D">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无图无预算主要是指缺乏建设单位出具的施工图和派单预算。应急类、抢修类、抢险类主要指因突发紧急事件或不可抗力因素需立即实施、但缺乏完整前期准备的工程项目。其中，应急类项目主要指因突发事件需紧急启动的工程项目。抢修类项目主要针对突发性基础设施故障，需快速修复以恢复基本功能的项目。抢险类项目主要是直接威胁人民生命财产安全或重大公共利益，需立即处置的高危工程。一般在业主方的业务派单中出现“应急”“抢修”“抢险”等字样，可纳入应急类、抢修类、抢险类项目；对于未能明确的项目类型报公司招标采购委员会认定。</w:t>
      </w:r>
    </w:p>
    <w:p w14:paraId="70BECDBA">
      <w:pPr>
        <w:spacing w:line="360" w:lineRule="auto"/>
        <w:ind w:firstLine="422" w:firstLineChars="200"/>
        <w:jc w:val="left"/>
        <w:rPr>
          <w:rFonts w:hint="eastAsia" w:ascii="宋体" w:hAnsi="宋体" w:eastAsia="宋体" w:cs="Times New Roman"/>
          <w:b/>
          <w:color w:val="auto"/>
          <w:szCs w:val="21"/>
          <w:highlight w:val="none"/>
        </w:rPr>
      </w:pPr>
      <w:r>
        <w:rPr>
          <w:rFonts w:ascii="宋体" w:hAnsi="宋体" w:eastAsia="宋体" w:cs="Times New Roman"/>
          <w:b/>
          <w:color w:val="auto"/>
          <w:szCs w:val="21"/>
          <w:highlight w:val="none"/>
        </w:rPr>
        <w:t>三、职责分工</w:t>
      </w:r>
    </w:p>
    <w:p w14:paraId="33C2A074">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（一）管理机构</w:t>
      </w:r>
    </w:p>
    <w:p w14:paraId="3890E600">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公司领导班子会授权设立招标采购委员会，负责对招标采购活动的日常管理工作。其中对劳务分包采购的管理主要包括：研究审核劳务分包采购相关的工作细则；审核施工劳务分包供应商出库情况；处理施工劳务委派工作实施过程中的重大、特殊、复杂情况。</w:t>
      </w:r>
    </w:p>
    <w:p w14:paraId="06161608">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（二）采购部门</w:t>
      </w:r>
    </w:p>
    <w:p w14:paraId="2CF960A7">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公司合同管理组</w:t>
      </w:r>
      <w:r>
        <w:rPr>
          <w:rFonts w:hint="eastAsia" w:ascii="宋体" w:hAnsi="宋体" w:eastAsia="宋体" w:cs="Times New Roman"/>
          <w:bCs/>
          <w:color w:val="auto"/>
          <w:szCs w:val="21"/>
          <w:highlight w:val="none"/>
          <w:vertAlign w:val="superscript"/>
        </w:rPr>
        <w:t>1</w:t>
      </w:r>
      <w:r>
        <w:rPr>
          <w:rFonts w:ascii="宋体" w:hAnsi="宋体" w:eastAsia="宋体" w:cs="Times New Roman"/>
          <w:bCs/>
          <w:color w:val="auto"/>
          <w:szCs w:val="21"/>
          <w:highlight w:val="none"/>
        </w:rPr>
        <w:t>[本工作指引提及的部门是针对当前组织架构情况，后续如有调整，由对应职能的部门承接相应工作内</w:t>
      </w:r>
      <w:r>
        <w:rPr>
          <w:rFonts w:hint="eastAsia" w:ascii="宋体" w:hAnsi="宋体" w:eastAsia="宋体" w:cs="Times New Roman"/>
          <w:bCs/>
          <w:color w:val="auto"/>
          <w:szCs w:val="21"/>
          <w:highlight w:val="none"/>
        </w:rPr>
        <w:t>容。</w:t>
      </w:r>
      <w:r>
        <w:rPr>
          <w:rFonts w:ascii="宋体" w:hAnsi="宋体" w:eastAsia="宋体" w:cs="Times New Roman"/>
          <w:bCs/>
          <w:color w:val="auto"/>
          <w:szCs w:val="21"/>
          <w:highlight w:val="none"/>
        </w:rPr>
        <w:t>]是施工劳务分包的采购部门，负责组织制定并落实公司施工劳务分包业务委派工作指引；负责组织通过以直接指定或二次竞价方式产生施工劳务分包供应商；负责办理施工劳务分包业务委派的采购结果呈批和移交；负责采购全过程资料的整理与归档工作；负责答复施工劳务分包供应商在业务委派方面的询问或异议，但答复的内容不得涉及商业秘密；负责接受和配合相关部门的监督检查和投诉调查；配合参与对施工劳务分包供应商的考评。</w:t>
      </w:r>
    </w:p>
    <w:p w14:paraId="490E0547">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（三）需求部门</w:t>
      </w:r>
    </w:p>
    <w:p w14:paraId="2FE1C917">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公司工程技术组是施工劳务分包的需求统筹和考核部门，负责制定施工劳务分包供应商库的用户需求书、合同和考核评价相关制度或文件；负责组织对施工劳务分包供应商考核评价等相关工作。</w:t>
      </w:r>
    </w:p>
    <w:p w14:paraId="31BD1958">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公司业务组（项目部）是单项施工劳务分包的需求部门，负责制定每个建设工程项目的施工劳务分包业务需求，办理施工劳务分包的派单或采购申请工作；负责发出《施工劳务分包业务派单表》，并与施工劳务分包供应商对接开展相关业务工作；做好相应的派单录入、合同签订和台账记录；负责组织项目实施、验收和结算付款办理工作等；配合参与对施工劳务分包供应商的考评。</w:t>
      </w:r>
    </w:p>
    <w:p w14:paraId="276F2F3F">
      <w:pPr>
        <w:spacing w:line="360" w:lineRule="auto"/>
        <w:ind w:firstLine="422" w:firstLineChars="200"/>
        <w:jc w:val="left"/>
        <w:rPr>
          <w:rFonts w:hint="eastAsia" w:ascii="宋体" w:hAnsi="宋体" w:eastAsia="宋体" w:cs="Times New Roman"/>
          <w:b/>
          <w:color w:val="auto"/>
          <w:szCs w:val="21"/>
          <w:highlight w:val="none"/>
        </w:rPr>
      </w:pPr>
      <w:r>
        <w:rPr>
          <w:rFonts w:ascii="宋体" w:hAnsi="宋体" w:eastAsia="宋体" w:cs="Times New Roman"/>
          <w:b/>
          <w:color w:val="auto"/>
          <w:szCs w:val="21"/>
          <w:highlight w:val="none"/>
        </w:rPr>
        <w:t>四、业务委派</w:t>
      </w:r>
    </w:p>
    <w:p w14:paraId="1625AA40">
      <w:pPr>
        <w:spacing w:line="360" w:lineRule="auto"/>
        <w:ind w:firstLine="422" w:firstLineChars="200"/>
        <w:jc w:val="left"/>
        <w:rPr>
          <w:rFonts w:hint="eastAsia" w:ascii="宋体" w:hAnsi="宋体" w:eastAsia="宋体" w:cs="Times New Roman"/>
          <w:b/>
          <w:color w:val="auto"/>
          <w:szCs w:val="21"/>
          <w:highlight w:val="none"/>
        </w:rPr>
      </w:pPr>
      <w:r>
        <w:rPr>
          <w:rFonts w:ascii="宋体" w:hAnsi="宋体" w:eastAsia="宋体" w:cs="Times New Roman"/>
          <w:b/>
          <w:color w:val="auto"/>
          <w:szCs w:val="21"/>
          <w:highlight w:val="none"/>
        </w:rPr>
        <w:t>（一）委派分类</w:t>
      </w:r>
    </w:p>
    <w:p w14:paraId="287400FB">
      <w:pPr>
        <w:spacing w:line="360" w:lineRule="auto"/>
        <w:ind w:firstLine="422" w:firstLineChars="200"/>
        <w:jc w:val="left"/>
        <w:rPr>
          <w:rFonts w:hint="eastAsia" w:ascii="宋体" w:hAnsi="宋体" w:eastAsia="宋体" w:cs="Times New Roman"/>
          <w:bCs/>
          <w:color w:val="auto"/>
          <w:szCs w:val="21"/>
          <w:highlight w:val="none"/>
        </w:rPr>
      </w:pPr>
      <w:r>
        <w:rPr>
          <w:rFonts w:ascii="宋体" w:hAnsi="宋体" w:eastAsia="宋体" w:cs="Times New Roman"/>
          <w:b/>
          <w:color w:val="auto"/>
          <w:szCs w:val="21"/>
          <w:highlight w:val="none"/>
        </w:rPr>
        <w:t>1.直接选定：</w:t>
      </w:r>
      <w:r>
        <w:rPr>
          <w:rFonts w:ascii="宋体" w:hAnsi="宋体" w:eastAsia="宋体" w:cs="Times New Roman"/>
          <w:bCs/>
          <w:color w:val="auto"/>
          <w:szCs w:val="21"/>
          <w:highlight w:val="none"/>
        </w:rPr>
        <w:t>主要针对区域供应商，</w:t>
      </w:r>
      <w:r>
        <w:rPr>
          <w:rFonts w:ascii="宋体" w:hAnsi="宋体" w:eastAsia="宋体" w:cs="Times New Roman"/>
          <w:b/>
          <w:color w:val="auto"/>
          <w:szCs w:val="21"/>
          <w:highlight w:val="none"/>
        </w:rPr>
        <w:t>适用的业务范围为单项劳务费用预（估）算100万</w:t>
      </w:r>
      <w:r>
        <w:rPr>
          <w:rFonts w:hint="eastAsia" w:ascii="宋体" w:hAnsi="宋体" w:eastAsia="宋体" w:cs="Times New Roman"/>
          <w:b/>
          <w:color w:val="auto"/>
          <w:szCs w:val="21"/>
          <w:highlight w:val="none"/>
          <w:vertAlign w:val="superscript"/>
        </w:rPr>
        <w:t>2</w:t>
      </w:r>
      <w:r>
        <w:rPr>
          <w:rFonts w:ascii="宋体" w:hAnsi="宋体" w:eastAsia="宋体" w:cs="Times New Roman"/>
          <w:b/>
          <w:color w:val="auto"/>
          <w:szCs w:val="21"/>
          <w:highlight w:val="none"/>
        </w:rPr>
        <w:t>[本工作指引提及的预（估）算均指含税。]以下或涉及应急类、抢修类、抢险类的无图无预算项目，</w:t>
      </w:r>
      <w:r>
        <w:rPr>
          <w:rFonts w:ascii="宋体" w:hAnsi="宋体" w:eastAsia="宋体" w:cs="Times New Roman"/>
          <w:bCs/>
          <w:color w:val="auto"/>
          <w:szCs w:val="21"/>
          <w:highlight w:val="none"/>
        </w:rPr>
        <w:t>其计价按采购文件中约定的下浮率和固定单价进行结算。</w:t>
      </w:r>
    </w:p>
    <w:p w14:paraId="6C78FCB9">
      <w:pPr>
        <w:spacing w:line="360" w:lineRule="auto"/>
        <w:ind w:firstLine="422" w:firstLineChars="200"/>
        <w:jc w:val="left"/>
        <w:rPr>
          <w:rFonts w:hint="eastAsia" w:ascii="宋体" w:hAnsi="宋体" w:eastAsia="宋体" w:cs="Times New Roman"/>
          <w:bCs/>
          <w:color w:val="auto"/>
          <w:szCs w:val="21"/>
          <w:highlight w:val="none"/>
        </w:rPr>
      </w:pPr>
      <w:r>
        <w:rPr>
          <w:rFonts w:ascii="宋体" w:hAnsi="宋体" w:eastAsia="宋体" w:cs="Times New Roman"/>
          <w:b/>
          <w:color w:val="auto"/>
          <w:szCs w:val="21"/>
          <w:highlight w:val="none"/>
        </w:rPr>
        <w:t>2.二次竞价：适用的业务范围为直接选定范围外项目，</w:t>
      </w:r>
      <w:r>
        <w:rPr>
          <w:rFonts w:ascii="宋体" w:hAnsi="宋体" w:eastAsia="宋体" w:cs="Times New Roman"/>
          <w:bCs/>
          <w:color w:val="auto"/>
          <w:szCs w:val="21"/>
          <w:highlight w:val="none"/>
        </w:rPr>
        <w:t>将面向施工劳务分包供应商库内上一季度考核周期所有考评合格或以上的供应商开展询价活动，一般以合理低价法产生成交供应商。</w:t>
      </w:r>
    </w:p>
    <w:p w14:paraId="365C5304">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对于涉及国家、省、市级主管部门等督导的重点工程项目，包括但不限于重大基础设施、民生保障等类别，优先选用考评等级优良、履约能力突出的施工劳务分包供应商参与重点工程建设。优选原则实行“优质优选、动态管理”机制，以最新两次（季度）考核周期考核结果排名前三的施工劳务分包供应商，纳入重点工程优先邀请询价范围对象。</w:t>
      </w:r>
    </w:p>
    <w:p w14:paraId="47430403">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（二）委派流程</w:t>
      </w:r>
    </w:p>
    <w:p w14:paraId="2166EBE9">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施工劳务分包供应商在考评获得合格或以上才具备业务承接资格（具体按公司考核评价相关制度或合同执行）。施工劳务分包业务根据上述范围，按照直接选定和二次竞价不同流程执行。</w:t>
      </w:r>
    </w:p>
    <w:p w14:paraId="3F96CAA9">
      <w:pPr>
        <w:spacing w:line="360" w:lineRule="auto"/>
        <w:ind w:firstLine="422" w:firstLineChars="200"/>
        <w:jc w:val="left"/>
        <w:rPr>
          <w:rFonts w:hint="eastAsia" w:ascii="宋体" w:hAnsi="宋体" w:eastAsia="宋体" w:cs="Times New Roman"/>
          <w:b/>
          <w:color w:val="auto"/>
          <w:szCs w:val="21"/>
          <w:highlight w:val="none"/>
        </w:rPr>
      </w:pPr>
      <w:r>
        <w:rPr>
          <w:rFonts w:ascii="宋体" w:hAnsi="宋体" w:eastAsia="宋体" w:cs="Times New Roman"/>
          <w:b/>
          <w:color w:val="auto"/>
          <w:szCs w:val="21"/>
          <w:highlight w:val="none"/>
        </w:rPr>
        <w:t>1.直接选定的业务委派</w:t>
      </w:r>
    </w:p>
    <w:p w14:paraId="2AE10CE3">
      <w:pPr>
        <w:spacing w:line="360" w:lineRule="auto"/>
        <w:ind w:firstLine="422" w:firstLineChars="200"/>
        <w:jc w:val="left"/>
        <w:rPr>
          <w:rFonts w:hint="eastAsia" w:ascii="宋体" w:hAnsi="宋体" w:eastAsia="宋体" w:cs="Times New Roman"/>
          <w:b/>
          <w:color w:val="auto"/>
          <w:szCs w:val="21"/>
          <w:highlight w:val="none"/>
        </w:rPr>
      </w:pPr>
      <w:r>
        <w:rPr>
          <w:rFonts w:ascii="宋体" w:hAnsi="宋体" w:eastAsia="宋体" w:cs="Times New Roman"/>
          <w:b/>
          <w:color w:val="auto"/>
          <w:szCs w:val="21"/>
          <w:highlight w:val="none"/>
        </w:rPr>
        <w:t>（1）前期选定</w:t>
      </w:r>
    </w:p>
    <w:p w14:paraId="0B720F64">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根据各入库供应商的企业实力、企业信誉、类似项目业绩、拟投入人员情况与区域资源情况，同时参考各供应商的服务区域意愿情况，由公司班子会商定区域供应商。采购部门再以书面方式通知区域供应商各自承接的范围。</w:t>
      </w:r>
    </w:p>
    <w:p w14:paraId="5CD28AF5">
      <w:pPr>
        <w:spacing w:line="360" w:lineRule="auto"/>
        <w:ind w:firstLine="422" w:firstLineChars="200"/>
        <w:jc w:val="left"/>
        <w:rPr>
          <w:rFonts w:hint="eastAsia" w:ascii="宋体" w:hAnsi="宋体" w:eastAsia="宋体" w:cs="Times New Roman"/>
          <w:b/>
          <w:color w:val="auto"/>
          <w:szCs w:val="21"/>
          <w:highlight w:val="none"/>
        </w:rPr>
      </w:pPr>
      <w:r>
        <w:rPr>
          <w:rFonts w:ascii="宋体" w:hAnsi="宋体" w:eastAsia="宋体" w:cs="Times New Roman"/>
          <w:b/>
          <w:color w:val="auto"/>
          <w:szCs w:val="21"/>
          <w:highlight w:val="none"/>
        </w:rPr>
        <w:t>（2）直接派单</w:t>
      </w:r>
    </w:p>
    <w:p w14:paraId="32F656D4">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对于适用于直接选定的业务委派项目，由需求部门根据业务所对应区域供应商，在OA上发起办理《施工劳务分包业务派单表》的签发流程，签发流程审批至分管副总经理，并做好相应的业务委派登记工作。</w:t>
      </w:r>
    </w:p>
    <w:p w14:paraId="2FF58CC7">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对于无法预判劳务费用或能预判劳务费用在100万元及以上的应急类、抢修类、抢险类的无图无预算项目，需求部门应在一周内将有关情况向公司领导班子会报备。</w:t>
      </w:r>
    </w:p>
    <w:p w14:paraId="60A80AD7">
      <w:pPr>
        <w:spacing w:line="360" w:lineRule="auto"/>
        <w:ind w:firstLine="422" w:firstLineChars="200"/>
        <w:jc w:val="left"/>
        <w:rPr>
          <w:rFonts w:hint="eastAsia" w:ascii="宋体" w:hAnsi="宋体" w:eastAsia="宋体" w:cs="Times New Roman"/>
          <w:b/>
          <w:color w:val="auto"/>
          <w:szCs w:val="21"/>
          <w:highlight w:val="none"/>
        </w:rPr>
      </w:pPr>
      <w:r>
        <w:rPr>
          <w:rFonts w:ascii="宋体" w:hAnsi="宋体" w:eastAsia="宋体" w:cs="Times New Roman"/>
          <w:b/>
          <w:color w:val="auto"/>
          <w:szCs w:val="21"/>
          <w:highlight w:val="none"/>
        </w:rPr>
        <w:t>（3）期中调整</w:t>
      </w:r>
    </w:p>
    <w:p w14:paraId="63FBB2B2">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当前期选定的区域供应商主动退出或达到退出镇街业务处罚时，由需求部门通过“相邻互补”原则，快速产生替换供应商。即需求部门以工作请示方式，逐级审批至公司执行董事，阐明原区域供应商退出镇街业务的原由，根据“相邻互补”机制，提出替换供应商。在审批完成后转采购部门以书面方式通知原区域供应商和替换供应商的业务范围变更情况。</w:t>
      </w:r>
    </w:p>
    <w:p w14:paraId="1BF78E47">
      <w:pPr>
        <w:spacing w:line="360" w:lineRule="auto"/>
        <w:ind w:firstLine="422" w:firstLineChars="200"/>
        <w:jc w:val="left"/>
        <w:rPr>
          <w:rFonts w:hint="eastAsia" w:ascii="宋体" w:hAnsi="宋体" w:eastAsia="宋体" w:cs="Times New Roman"/>
          <w:b/>
          <w:color w:val="auto"/>
          <w:szCs w:val="21"/>
          <w:highlight w:val="none"/>
        </w:rPr>
      </w:pPr>
      <w:r>
        <w:rPr>
          <w:rFonts w:ascii="宋体" w:hAnsi="宋体" w:eastAsia="宋体" w:cs="Times New Roman"/>
          <w:b/>
          <w:color w:val="auto"/>
          <w:szCs w:val="21"/>
          <w:highlight w:val="none"/>
        </w:rPr>
        <w:t>2.二次竞价的业务委派</w:t>
      </w:r>
    </w:p>
    <w:p w14:paraId="5715DFAB">
      <w:pPr>
        <w:spacing w:line="360" w:lineRule="auto"/>
        <w:ind w:firstLine="422" w:firstLineChars="200"/>
        <w:jc w:val="left"/>
        <w:rPr>
          <w:rFonts w:hint="eastAsia" w:ascii="宋体" w:hAnsi="宋体" w:eastAsia="宋体" w:cs="Times New Roman"/>
          <w:b/>
          <w:color w:val="auto"/>
          <w:szCs w:val="21"/>
          <w:highlight w:val="none"/>
        </w:rPr>
      </w:pPr>
      <w:r>
        <w:rPr>
          <w:rFonts w:ascii="宋体" w:hAnsi="宋体" w:eastAsia="宋体" w:cs="Times New Roman"/>
          <w:b/>
          <w:color w:val="auto"/>
          <w:szCs w:val="21"/>
          <w:highlight w:val="none"/>
        </w:rPr>
        <w:t>（1）采购结果的产生</w:t>
      </w:r>
    </w:p>
    <w:p w14:paraId="0776405B">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对于适用二次竞价的业务委派项目，由需求部门向公司班子会报审采购立项，在公司班子会同意后在OA上发起采购申请。</w:t>
      </w:r>
    </w:p>
    <w:p w14:paraId="35011992">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采购部门通过询价（密封报价）方式，邀请施工劳务分包供应商库在上一季度考核周期内取得合格或以上评价的所有供应商进行报价，一般根据合理低价法确定成交供应商。在完成采购结果呈批后，采购部门将采购结果移交至需求部门。</w:t>
      </w:r>
    </w:p>
    <w:p w14:paraId="60E56159">
      <w:pPr>
        <w:spacing w:line="360" w:lineRule="auto"/>
        <w:ind w:firstLine="422" w:firstLineChars="200"/>
        <w:jc w:val="left"/>
        <w:rPr>
          <w:rFonts w:hint="eastAsia" w:ascii="宋体" w:hAnsi="宋体" w:eastAsia="宋体" w:cs="Times New Roman"/>
          <w:b/>
          <w:color w:val="auto"/>
          <w:szCs w:val="21"/>
          <w:highlight w:val="none"/>
        </w:rPr>
      </w:pPr>
      <w:r>
        <w:rPr>
          <w:rFonts w:ascii="宋体" w:hAnsi="宋体" w:eastAsia="宋体" w:cs="Times New Roman"/>
          <w:b/>
          <w:color w:val="auto"/>
          <w:szCs w:val="21"/>
          <w:highlight w:val="none"/>
        </w:rPr>
        <w:t>（2）项目委派</w:t>
      </w:r>
    </w:p>
    <w:p w14:paraId="33651A27">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需求部门在接受采购部门转来的二次竞价采购结果后，在OA上发起办理《施工劳务分包业务派单表》的签发流程，签发流程审批至分管副总经理，并做好相应的合同签订和业务委派登记工作。</w:t>
      </w:r>
    </w:p>
    <w:p w14:paraId="6F447EC1">
      <w:pPr>
        <w:spacing w:line="360" w:lineRule="auto"/>
        <w:ind w:firstLine="422" w:firstLineChars="200"/>
        <w:jc w:val="left"/>
        <w:rPr>
          <w:rFonts w:hint="eastAsia" w:ascii="宋体" w:hAnsi="宋体" w:eastAsia="宋体" w:cs="Times New Roman"/>
          <w:b/>
          <w:color w:val="auto"/>
          <w:szCs w:val="21"/>
          <w:highlight w:val="none"/>
        </w:rPr>
      </w:pPr>
      <w:r>
        <w:rPr>
          <w:rFonts w:ascii="宋体" w:hAnsi="宋体" w:eastAsia="宋体" w:cs="Times New Roman"/>
          <w:b/>
          <w:color w:val="auto"/>
          <w:szCs w:val="21"/>
          <w:highlight w:val="none"/>
        </w:rPr>
        <w:t>（3）中途退出的替换机制</w:t>
      </w:r>
    </w:p>
    <w:p w14:paraId="2E85CB75">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对于二次竞价产生的供应商未按合同约定实施，中途被终止合同的，可由需求部门提出替换申请。即需求部门以工作请示方式，逐级审批至公司执行董事，阐明原供应商达到终止合同的事实，提出与原供应商终止合同的申请，同时可以直接选定项目所在镇街区域供应商实施剩余部分，剩余部分由需求部门与区域供应商按该区域约定的下浮率和固定单价计价标准进行项目委派并签订单项合同。因剩余部分工程更换实施主体导致费用增加的，增加部分费用由原施工劳务分包供应商承担并在未付工程款中予以抵扣。</w:t>
      </w:r>
    </w:p>
    <w:p w14:paraId="1DBE41EE">
      <w:pPr>
        <w:spacing w:line="360" w:lineRule="auto"/>
        <w:ind w:firstLine="422" w:firstLineChars="200"/>
        <w:jc w:val="left"/>
        <w:rPr>
          <w:rFonts w:hint="eastAsia" w:ascii="宋体" w:hAnsi="宋体" w:eastAsia="宋体" w:cs="Times New Roman"/>
          <w:b/>
          <w:color w:val="auto"/>
          <w:szCs w:val="21"/>
          <w:highlight w:val="none"/>
        </w:rPr>
      </w:pPr>
      <w:r>
        <w:rPr>
          <w:rFonts w:ascii="宋体" w:hAnsi="宋体" w:eastAsia="宋体" w:cs="Times New Roman"/>
          <w:b/>
          <w:color w:val="auto"/>
          <w:szCs w:val="21"/>
          <w:highlight w:val="none"/>
        </w:rPr>
        <w:t>五、附则</w:t>
      </w:r>
    </w:p>
    <w:p w14:paraId="240C3693">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1.本工作指引与公司此前发布的其他规章制度存在冲突的，冲突部分以本工作指引为准。</w:t>
      </w:r>
    </w:p>
    <w:p w14:paraId="0F726107">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2.本工作指引由采购部门负责编制、修订和解释。</w:t>
      </w:r>
    </w:p>
    <w:p w14:paraId="7B1F77C0">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3.直选选定和二次竞价的适用范围可根据实际情况进行调整，以公司书面通知为准。</w:t>
      </w:r>
    </w:p>
    <w:p w14:paraId="3C9C321C">
      <w:pPr>
        <w:spacing w:line="360" w:lineRule="auto"/>
        <w:ind w:firstLine="420" w:firstLineChars="200"/>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4.本工作指引自发布且施工劳务分包供应商建成之日起执行。</w:t>
      </w:r>
    </w:p>
    <w:p w14:paraId="4AD14EDB">
      <w:pPr>
        <w:spacing w:line="360" w:lineRule="auto"/>
        <w:jc w:val="left"/>
        <w:rPr>
          <w:rFonts w:hint="eastAsia" w:ascii="宋体" w:hAnsi="宋体" w:eastAsia="宋体" w:cs="Times New Roman"/>
          <w:bCs/>
          <w:color w:val="auto"/>
          <w:szCs w:val="21"/>
          <w:highlight w:val="none"/>
        </w:rPr>
      </w:pPr>
    </w:p>
    <w:p w14:paraId="032AEF57">
      <w:pPr>
        <w:spacing w:line="360" w:lineRule="auto"/>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附件：</w:t>
      </w:r>
    </w:p>
    <w:p w14:paraId="2A788787">
      <w:pPr>
        <w:spacing w:line="360" w:lineRule="auto"/>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1.施工劳务分包业务委派流程图</w:t>
      </w:r>
    </w:p>
    <w:p w14:paraId="15021935">
      <w:pPr>
        <w:spacing w:line="360" w:lineRule="auto"/>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2.东莞市碧水信息科技有限公司劳务分包派单表（参考样式）</w:t>
      </w:r>
    </w:p>
    <w:p w14:paraId="5A552ACC">
      <w:pPr>
        <w:spacing w:line="360" w:lineRule="auto"/>
        <w:jc w:val="left"/>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t>3.东莞市碧水信息科技有限公司劳务分包业务委派台账（参考样式）</w:t>
      </w:r>
    </w:p>
    <w:p w14:paraId="6F35DC00">
      <w:pPr>
        <w:rPr>
          <w:rFonts w:hint="eastAsia" w:ascii="宋体" w:hAnsi="宋体" w:eastAsia="宋体" w:cs="Times New Roman"/>
          <w:bCs/>
          <w:color w:val="auto"/>
          <w:szCs w:val="21"/>
          <w:highlight w:val="none"/>
        </w:rPr>
      </w:pPr>
      <w:r>
        <w:rPr>
          <w:rFonts w:ascii="宋体" w:hAnsi="宋体" w:eastAsia="宋体" w:cs="Times New Roman"/>
          <w:bCs/>
          <w:color w:val="auto"/>
          <w:szCs w:val="21"/>
          <w:highlight w:val="none"/>
        </w:rPr>
        <w:br w:type="page"/>
      </w:r>
    </w:p>
    <w:p w14:paraId="03E5E33A">
      <w:pPr>
        <w:spacing w:before="62" w:line="364" w:lineRule="auto"/>
        <w:ind w:right="60"/>
        <w:rPr>
          <w:rFonts w:hint="eastAsia" w:ascii="宋体" w:hAnsi="宋体" w:eastAsia="宋体" w:cs="宋体"/>
          <w:b/>
          <w:bCs/>
          <w:color w:val="auto"/>
          <w:spacing w:val="16"/>
          <w:szCs w:val="21"/>
          <w:highlight w:val="none"/>
          <w:lang w:eastAsia="zh"/>
        </w:rPr>
      </w:pPr>
      <w:r>
        <w:rPr>
          <w:rFonts w:hint="eastAsia" w:ascii="宋体" w:hAnsi="宋体" w:eastAsia="宋体" w:cs="宋体"/>
          <w:b/>
          <w:bCs/>
          <w:color w:val="auto"/>
          <w:spacing w:val="16"/>
          <w:szCs w:val="21"/>
          <w:highlight w:val="none"/>
          <w:lang w:eastAsia="zh"/>
        </w:rPr>
        <w:t>附件1</w:t>
      </w:r>
    </w:p>
    <w:p w14:paraId="0A85E659">
      <w:pPr>
        <w:spacing w:before="62" w:line="364" w:lineRule="auto"/>
        <w:ind w:right="60" w:firstLine="295" w:firstLineChars="100"/>
        <w:jc w:val="center"/>
        <w:rPr>
          <w:rFonts w:hint="eastAsia" w:ascii="宋体" w:hAnsi="宋体" w:eastAsia="宋体" w:cs="宋体"/>
          <w:b/>
          <w:bCs/>
          <w:color w:val="auto"/>
          <w:spacing w:val="7"/>
          <w:szCs w:val="21"/>
          <w:highlight w:val="none"/>
          <w:lang w:eastAsia="zh"/>
        </w:rPr>
      </w:pPr>
      <w:r>
        <w:rPr>
          <w:rFonts w:hint="eastAsia" w:ascii="宋体" w:hAnsi="宋体" w:eastAsia="宋体" w:cs="宋体"/>
          <w:b/>
          <w:bCs/>
          <w:color w:val="auto"/>
          <w:spacing w:val="7"/>
          <w:sz w:val="28"/>
          <w:szCs w:val="28"/>
          <w:highlight w:val="none"/>
        </w:rPr>
        <w:t>施工劳务分包业务委派流程图</w:t>
      </w:r>
    </w:p>
    <w:p w14:paraId="075DD760">
      <w:pPr>
        <w:spacing w:line="360" w:lineRule="auto"/>
        <w:jc w:val="center"/>
        <w:rPr>
          <w:rFonts w:hint="eastAsia" w:ascii="宋体" w:hAnsi="宋体" w:eastAsia="宋体" w:cs="Times New Roman"/>
          <w:bCs/>
          <w:color w:val="auto"/>
          <w:szCs w:val="21"/>
          <w:highlight w:val="none"/>
        </w:rPr>
      </w:pPr>
      <w:r>
        <w:rPr>
          <w:color w:val="auto"/>
          <w:highlight w:val="none"/>
        </w:rPr>
        <w:drawing>
          <wp:inline distT="0" distB="0" distL="114300" distR="114300">
            <wp:extent cx="5831840" cy="6649085"/>
            <wp:effectExtent l="0" t="0" r="16510" b="184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831840" cy="6649085"/>
                    </a:xfrm>
                    <a:prstGeom prst="rect">
                      <a:avLst/>
                    </a:prstGeom>
                    <a:noFill/>
                    <a:ln>
                      <a:noFill/>
                    </a:ln>
                  </pic:spPr>
                </pic:pic>
              </a:graphicData>
            </a:graphic>
          </wp:inline>
        </w:drawing>
      </w:r>
    </w:p>
    <w:p w14:paraId="4A68A85B">
      <w:pPr>
        <w:rPr>
          <w:rFonts w:hint="eastAsia" w:ascii="宋体" w:hAnsi="宋体" w:eastAsia="宋体" w:cs="Times New Roman"/>
          <w:b/>
          <w:color w:val="auto"/>
          <w:szCs w:val="21"/>
          <w:highlight w:val="none"/>
        </w:rPr>
      </w:pPr>
      <w:r>
        <w:rPr>
          <w:rFonts w:ascii="宋体" w:hAnsi="宋体" w:eastAsia="宋体" w:cs="Times New Roman"/>
          <w:b/>
          <w:color w:val="auto"/>
          <w:szCs w:val="21"/>
          <w:highlight w:val="none"/>
        </w:rPr>
        <w:br w:type="page"/>
      </w:r>
    </w:p>
    <w:p w14:paraId="570EE473">
      <w:pPr>
        <w:spacing w:line="360" w:lineRule="auto"/>
        <w:rPr>
          <w:rFonts w:hint="eastAsia" w:ascii="宋体" w:hAnsi="宋体" w:eastAsia="宋体" w:cs="Times New Roman"/>
          <w:b/>
          <w:color w:val="auto"/>
          <w:szCs w:val="21"/>
          <w:highlight w:val="none"/>
        </w:rPr>
      </w:pPr>
      <w:r>
        <w:rPr>
          <w:rFonts w:hint="eastAsia" w:ascii="宋体" w:hAnsi="宋体" w:eastAsia="宋体" w:cs="宋体"/>
          <w:b/>
          <w:bCs/>
          <w:color w:val="auto"/>
          <w:spacing w:val="16"/>
          <w:szCs w:val="21"/>
          <w:highlight w:val="none"/>
          <w:lang w:eastAsia="zh"/>
        </w:rPr>
        <w:t>附件</w:t>
      </w:r>
      <w:r>
        <w:rPr>
          <w:rFonts w:hint="eastAsia" w:ascii="宋体" w:hAnsi="宋体" w:eastAsia="宋体" w:cs="宋体"/>
          <w:b/>
          <w:bCs/>
          <w:color w:val="auto"/>
          <w:spacing w:val="16"/>
          <w:szCs w:val="21"/>
          <w:highlight w:val="none"/>
        </w:rPr>
        <w:t>2</w:t>
      </w:r>
    </w:p>
    <w:p w14:paraId="531A57D5">
      <w:pPr>
        <w:pStyle w:val="33"/>
        <w:shd w:val="clear" w:color="auto" w:fill="FFFFFF"/>
        <w:jc w:val="center"/>
        <w:rPr>
          <w:rFonts w:hint="eastAsia" w:ascii="方正小标宋简体" w:hAnsi="方正小标宋简体" w:eastAsia="方正小标宋简体" w:cs="方正小标宋简体"/>
          <w:color w:val="auto"/>
          <w:sz w:val="32"/>
          <w:szCs w:val="32"/>
          <w:highlight w:val="none"/>
          <w:shd w:val="clear" w:color="auto" w:fill="FFFFFF"/>
        </w:rPr>
      </w:pPr>
      <w:r>
        <w:rPr>
          <w:rFonts w:hint="eastAsia" w:ascii="方正小标宋简体" w:hAnsi="方正小标宋简体" w:eastAsia="方正小标宋简体" w:cs="方正小标宋简体"/>
          <w:color w:val="auto"/>
          <w:sz w:val="32"/>
          <w:szCs w:val="32"/>
          <w:highlight w:val="none"/>
          <w:shd w:val="clear" w:color="auto" w:fill="FFFFFF"/>
        </w:rPr>
        <w:t>东莞市碧水信息科技有限公司劳务分包派单表</w:t>
      </w:r>
    </w:p>
    <w:p w14:paraId="4F4F90FA">
      <w:pPr>
        <w:pStyle w:val="33"/>
        <w:shd w:val="clear" w:color="auto" w:fill="FFFFFF"/>
        <w:ind w:firstLine="210" w:firstLineChars="100"/>
        <w:rPr>
          <w:rFonts w:ascii="Times New Roman" w:hAnsi="Times New Roman" w:eastAsia="仿宋_GB2312" w:cs="Times New Roman"/>
          <w:color w:val="auto"/>
          <w:highlight w:val="none"/>
          <w:shd w:val="clear" w:color="auto" w:fill="FFFFFF"/>
        </w:rPr>
      </w:pPr>
      <w:r>
        <w:rPr>
          <w:rFonts w:ascii="Times New Roman" w:hAnsi="Times New Roman" w:eastAsia="仿宋_GB2312" w:cs="Times New Roman"/>
          <w:color w:val="auto"/>
          <w:highlight w:val="none"/>
          <w:shd w:val="clear" w:color="auto" w:fill="FFFFFF"/>
        </w:rPr>
        <w:t xml:space="preserve">申请时间：          </w:t>
      </w:r>
      <w:r>
        <w:rPr>
          <w:rFonts w:hint="eastAsia" w:ascii="Times New Roman" w:hAnsi="Times New Roman" w:eastAsia="仿宋_GB2312" w:cs="Times New Roman"/>
          <w:color w:val="auto"/>
          <w:highlight w:val="none"/>
          <w:shd w:val="clear" w:color="auto" w:fill="FFFFFF"/>
        </w:rPr>
        <w:t xml:space="preserve">   </w:t>
      </w:r>
      <w:r>
        <w:rPr>
          <w:rFonts w:ascii="Times New Roman" w:hAnsi="Times New Roman" w:eastAsia="仿宋_GB2312" w:cs="Times New Roman"/>
          <w:color w:val="auto"/>
          <w:highlight w:val="none"/>
          <w:shd w:val="clear" w:color="auto" w:fill="FFFFFF"/>
        </w:rPr>
        <w:t xml:space="preserve">      派单编号：       </w:t>
      </w:r>
      <w:r>
        <w:rPr>
          <w:rFonts w:hint="eastAsia" w:ascii="Times New Roman" w:hAnsi="Times New Roman" w:eastAsia="仿宋_GB2312" w:cs="Times New Roman"/>
          <w:color w:val="auto"/>
          <w:highlight w:val="none"/>
          <w:shd w:val="clear" w:color="auto" w:fill="FFFFFF"/>
        </w:rPr>
        <w:t xml:space="preserve">   </w:t>
      </w:r>
      <w:r>
        <w:rPr>
          <w:rFonts w:ascii="Times New Roman" w:hAnsi="Times New Roman" w:eastAsia="仿宋_GB2312" w:cs="Times New Roman"/>
          <w:color w:val="auto"/>
          <w:highlight w:val="none"/>
          <w:shd w:val="clear" w:color="auto" w:fill="FFFFFF"/>
        </w:rPr>
        <w:t xml:space="preserve">    状态：正常/取消</w:t>
      </w:r>
    </w:p>
    <w:tbl>
      <w:tblPr>
        <w:tblStyle w:val="39"/>
        <w:tblW w:w="10747" w:type="dxa"/>
        <w:jc w:val="center"/>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Layout w:type="fixed"/>
        <w:tblCellMar>
          <w:top w:w="0" w:type="dxa"/>
          <w:left w:w="0" w:type="dxa"/>
          <w:bottom w:w="0" w:type="dxa"/>
          <w:right w:w="0" w:type="dxa"/>
        </w:tblCellMar>
      </w:tblPr>
      <w:tblGrid>
        <w:gridCol w:w="747"/>
        <w:gridCol w:w="1257"/>
        <w:gridCol w:w="1023"/>
        <w:gridCol w:w="1159"/>
        <w:gridCol w:w="960"/>
        <w:gridCol w:w="1016"/>
        <w:gridCol w:w="1950"/>
        <w:gridCol w:w="319"/>
        <w:gridCol w:w="1481"/>
        <w:gridCol w:w="835"/>
      </w:tblGrid>
      <w:tr w14:paraId="3268ED7F">
        <w:tblPrEx>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CellMar>
            <w:top w:w="0" w:type="dxa"/>
            <w:left w:w="0" w:type="dxa"/>
            <w:bottom w:w="0" w:type="dxa"/>
            <w:right w:w="0" w:type="dxa"/>
          </w:tblCellMar>
        </w:tblPrEx>
        <w:trPr>
          <w:trHeight w:val="595" w:hRule="atLeast"/>
          <w:jc w:val="center"/>
        </w:trPr>
        <w:tc>
          <w:tcPr>
            <w:tcW w:w="10747" w:type="dxa"/>
            <w:gridSpan w:val="10"/>
            <w:vAlign w:val="center"/>
          </w:tcPr>
          <w:p w14:paraId="2DE8FE77">
            <w:pPr>
              <w:pStyle w:val="209"/>
              <w:keepNext w:val="0"/>
              <w:keepLines w:val="0"/>
              <w:suppressLineNumbers w:val="0"/>
              <w:spacing w:before="41" w:beforeAutospacing="0" w:after="0" w:afterAutospacing="0"/>
              <w:ind w:left="4153" w:right="4139"/>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项目信息</w:t>
            </w:r>
          </w:p>
        </w:tc>
      </w:tr>
      <w:tr w14:paraId="0FA0CA52">
        <w:tblPrEx>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CellMar>
            <w:top w:w="0" w:type="dxa"/>
            <w:left w:w="0" w:type="dxa"/>
            <w:bottom w:w="0" w:type="dxa"/>
            <w:right w:w="0" w:type="dxa"/>
          </w:tblCellMar>
        </w:tblPrEx>
        <w:trPr>
          <w:trHeight w:val="638" w:hRule="atLeast"/>
          <w:jc w:val="center"/>
        </w:trPr>
        <w:tc>
          <w:tcPr>
            <w:tcW w:w="2004" w:type="dxa"/>
            <w:gridSpan w:val="2"/>
            <w:vAlign w:val="center"/>
          </w:tcPr>
          <w:p w14:paraId="28CEF5CA">
            <w:pPr>
              <w:pStyle w:val="209"/>
              <w:keepNext w:val="0"/>
              <w:keepLines w:val="0"/>
              <w:suppressLineNumbers w:val="0"/>
              <w:spacing w:before="55" w:beforeAutospacing="0" w:after="0" w:afterAutospacing="0"/>
              <w:ind w:left="141" w:right="128"/>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项目名称</w:t>
            </w:r>
          </w:p>
        </w:tc>
        <w:tc>
          <w:tcPr>
            <w:tcW w:w="8743" w:type="dxa"/>
            <w:gridSpan w:val="8"/>
            <w:vAlign w:val="center"/>
          </w:tcPr>
          <w:p w14:paraId="5A1ADAD9">
            <w:pPr>
              <w:pStyle w:val="209"/>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**公司**分公司*年*月表务类零星工程/非表务类零星工程/DN400及以上或以下供水管道抢修项目/装修工程/污水管网工程劳务分包</w:t>
            </w:r>
          </w:p>
        </w:tc>
      </w:tr>
      <w:tr w14:paraId="5B1CA780">
        <w:tblPrEx>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CellMar>
            <w:top w:w="0" w:type="dxa"/>
            <w:left w:w="0" w:type="dxa"/>
            <w:bottom w:w="0" w:type="dxa"/>
            <w:right w:w="0" w:type="dxa"/>
          </w:tblCellMar>
        </w:tblPrEx>
        <w:trPr>
          <w:trHeight w:val="613" w:hRule="atLeast"/>
          <w:jc w:val="center"/>
        </w:trPr>
        <w:tc>
          <w:tcPr>
            <w:tcW w:w="2004" w:type="dxa"/>
            <w:gridSpan w:val="2"/>
            <w:vAlign w:val="center"/>
          </w:tcPr>
          <w:p w14:paraId="1A21E039">
            <w:pPr>
              <w:pStyle w:val="209"/>
              <w:keepNext w:val="0"/>
              <w:keepLines w:val="0"/>
              <w:suppressLineNumbers w:val="0"/>
              <w:spacing w:before="0" w:beforeAutospacing="0" w:after="0" w:afterAutospacing="0"/>
              <w:ind w:left="141" w:right="128"/>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施工组织主体</w:t>
            </w:r>
          </w:p>
        </w:tc>
        <w:tc>
          <w:tcPr>
            <w:tcW w:w="4158" w:type="dxa"/>
            <w:gridSpan w:val="4"/>
            <w:vAlign w:val="center"/>
          </w:tcPr>
          <w:p w14:paraId="1128DFEB">
            <w:pPr>
              <w:pStyle w:val="209"/>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highlight w:val="none"/>
              </w:rPr>
            </w:pPr>
          </w:p>
        </w:tc>
        <w:tc>
          <w:tcPr>
            <w:tcW w:w="1950" w:type="dxa"/>
            <w:vAlign w:val="center"/>
          </w:tcPr>
          <w:p w14:paraId="07398FE7">
            <w:pPr>
              <w:pStyle w:val="209"/>
              <w:keepNext w:val="0"/>
              <w:keepLines w:val="0"/>
              <w:suppressLineNumbers w:val="0"/>
              <w:spacing w:before="0" w:beforeAutospacing="0" w:after="0" w:afterAutospacing="0"/>
              <w:ind w:left="214" w:right="201"/>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委派</w:t>
            </w:r>
            <w:r>
              <w:rPr>
                <w:rFonts w:hint="default" w:ascii="Times New Roman" w:hAnsi="Times New Roman" w:eastAsia="仿宋_GB2312" w:cs="Times New Roman"/>
                <w:color w:val="auto"/>
                <w:highlight w:val="none"/>
                <w:lang w:val="en-US"/>
              </w:rPr>
              <w:t>方式</w:t>
            </w:r>
          </w:p>
        </w:tc>
        <w:tc>
          <w:tcPr>
            <w:tcW w:w="2635" w:type="dxa"/>
            <w:gridSpan w:val="3"/>
            <w:vAlign w:val="center"/>
          </w:tcPr>
          <w:p w14:paraId="5342BB77">
            <w:pPr>
              <w:pStyle w:val="209"/>
              <w:keepNext w:val="0"/>
              <w:keepLines w:val="0"/>
              <w:suppressLineNumbers w:val="0"/>
              <w:tabs>
                <w:tab w:val="left" w:pos="812"/>
              </w:tabs>
              <w:spacing w:before="101" w:beforeAutospacing="0" w:after="0" w:afterAutospacing="0" w:line="220" w:lineRule="auto"/>
              <w:ind w:left="46" w:right="232"/>
              <w:jc w:val="left"/>
              <w:rPr>
                <w:rFonts w:hint="default" w:ascii="Times New Roman" w:hAnsi="Times New Roman" w:eastAsia="仿宋_GB2312" w:cs="Times New Roman"/>
                <w:color w:val="auto"/>
                <w:highlight w:val="none"/>
                <w:lang w:val="en-US"/>
              </w:rPr>
            </w:pPr>
          </w:p>
        </w:tc>
      </w:tr>
      <w:tr w14:paraId="210F4780">
        <w:tblPrEx>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CellMar>
            <w:top w:w="0" w:type="dxa"/>
            <w:left w:w="0" w:type="dxa"/>
            <w:bottom w:w="0" w:type="dxa"/>
            <w:right w:w="0" w:type="dxa"/>
          </w:tblCellMar>
        </w:tblPrEx>
        <w:trPr>
          <w:trHeight w:val="703" w:hRule="atLeast"/>
          <w:jc w:val="center"/>
        </w:trPr>
        <w:tc>
          <w:tcPr>
            <w:tcW w:w="2004" w:type="dxa"/>
            <w:gridSpan w:val="2"/>
            <w:vAlign w:val="center"/>
          </w:tcPr>
          <w:p w14:paraId="3C15F582">
            <w:pPr>
              <w:pStyle w:val="209"/>
              <w:keepNext w:val="0"/>
              <w:keepLines w:val="0"/>
              <w:suppressLineNumbers w:val="0"/>
              <w:spacing w:before="55" w:beforeAutospacing="0" w:after="0" w:afterAutospacing="0"/>
              <w:ind w:left="141" w:right="128"/>
              <w:jc w:val="center"/>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rPr>
              <w:t>委派劳务公司</w:t>
            </w:r>
          </w:p>
        </w:tc>
        <w:tc>
          <w:tcPr>
            <w:tcW w:w="4158" w:type="dxa"/>
            <w:gridSpan w:val="4"/>
            <w:vAlign w:val="center"/>
          </w:tcPr>
          <w:p w14:paraId="7F2DBE18">
            <w:pPr>
              <w:pStyle w:val="209"/>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highlight w:val="none"/>
              </w:rPr>
            </w:pPr>
          </w:p>
        </w:tc>
        <w:tc>
          <w:tcPr>
            <w:tcW w:w="1950" w:type="dxa"/>
            <w:vAlign w:val="center"/>
          </w:tcPr>
          <w:p w14:paraId="5EF0B308">
            <w:pPr>
              <w:pStyle w:val="209"/>
              <w:keepNext w:val="0"/>
              <w:keepLines w:val="0"/>
              <w:suppressLineNumbers w:val="0"/>
              <w:spacing w:before="55" w:beforeAutospacing="0" w:after="0" w:afterAutospacing="0"/>
              <w:ind w:left="214" w:right="201"/>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项目类型</w:t>
            </w:r>
          </w:p>
        </w:tc>
        <w:tc>
          <w:tcPr>
            <w:tcW w:w="2635" w:type="dxa"/>
            <w:gridSpan w:val="3"/>
            <w:vAlign w:val="center"/>
          </w:tcPr>
          <w:p w14:paraId="39431CE8">
            <w:pPr>
              <w:pStyle w:val="209"/>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Cs w:val="21"/>
                <w:highlight w:val="none"/>
              </w:rPr>
            </w:pPr>
          </w:p>
        </w:tc>
      </w:tr>
      <w:tr w14:paraId="04EBBFB7">
        <w:tblPrEx>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CellMar>
            <w:top w:w="0" w:type="dxa"/>
            <w:left w:w="0" w:type="dxa"/>
            <w:bottom w:w="0" w:type="dxa"/>
            <w:right w:w="0" w:type="dxa"/>
          </w:tblCellMar>
        </w:tblPrEx>
        <w:trPr>
          <w:trHeight w:val="703" w:hRule="atLeast"/>
          <w:jc w:val="center"/>
        </w:trPr>
        <w:tc>
          <w:tcPr>
            <w:tcW w:w="2004" w:type="dxa"/>
            <w:gridSpan w:val="2"/>
            <w:vAlign w:val="center"/>
          </w:tcPr>
          <w:p w14:paraId="078F5E0C">
            <w:pPr>
              <w:pStyle w:val="209"/>
              <w:keepNext w:val="0"/>
              <w:keepLines w:val="0"/>
              <w:suppressLineNumbers w:val="0"/>
              <w:spacing w:before="55" w:beforeAutospacing="0" w:after="0" w:afterAutospacing="0"/>
              <w:ind w:left="141" w:right="128"/>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项目资料概况</w:t>
            </w:r>
          </w:p>
        </w:tc>
        <w:tc>
          <w:tcPr>
            <w:tcW w:w="4158" w:type="dxa"/>
            <w:gridSpan w:val="4"/>
            <w:vAlign w:val="center"/>
          </w:tcPr>
          <w:p w14:paraId="39345511">
            <w:pPr>
              <w:pStyle w:val="209"/>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highlight w:val="none"/>
              </w:rPr>
            </w:pPr>
          </w:p>
        </w:tc>
        <w:tc>
          <w:tcPr>
            <w:tcW w:w="1950" w:type="dxa"/>
            <w:vAlign w:val="center"/>
          </w:tcPr>
          <w:p w14:paraId="0D720433">
            <w:pPr>
              <w:pStyle w:val="209"/>
              <w:keepNext w:val="0"/>
              <w:keepLines w:val="0"/>
              <w:suppressLineNumbers w:val="0"/>
              <w:spacing w:before="55" w:beforeAutospacing="0" w:after="0" w:afterAutospacing="0"/>
              <w:ind w:left="214" w:right="201"/>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紧急程度</w:t>
            </w:r>
          </w:p>
        </w:tc>
        <w:tc>
          <w:tcPr>
            <w:tcW w:w="2635" w:type="dxa"/>
            <w:gridSpan w:val="3"/>
            <w:vAlign w:val="center"/>
          </w:tcPr>
          <w:p w14:paraId="3F9B6F7B">
            <w:pPr>
              <w:pStyle w:val="209"/>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highlight w:val="none"/>
              </w:rPr>
            </w:pPr>
          </w:p>
        </w:tc>
      </w:tr>
      <w:tr w14:paraId="69FCC019">
        <w:tblPrEx>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CellMar>
            <w:top w:w="0" w:type="dxa"/>
            <w:left w:w="0" w:type="dxa"/>
            <w:bottom w:w="0" w:type="dxa"/>
            <w:right w:w="0" w:type="dxa"/>
          </w:tblCellMar>
        </w:tblPrEx>
        <w:trPr>
          <w:trHeight w:val="703" w:hRule="atLeast"/>
          <w:jc w:val="center"/>
        </w:trPr>
        <w:tc>
          <w:tcPr>
            <w:tcW w:w="2004" w:type="dxa"/>
            <w:gridSpan w:val="2"/>
            <w:vAlign w:val="center"/>
          </w:tcPr>
          <w:p w14:paraId="5636C543">
            <w:pPr>
              <w:pStyle w:val="209"/>
              <w:keepNext w:val="0"/>
              <w:keepLines w:val="0"/>
              <w:suppressLineNumbers w:val="0"/>
              <w:spacing w:before="55" w:beforeAutospacing="0" w:after="0" w:afterAutospacing="0"/>
              <w:ind w:left="141" w:right="128"/>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项目派单金额</w:t>
            </w:r>
          </w:p>
        </w:tc>
        <w:tc>
          <w:tcPr>
            <w:tcW w:w="8743" w:type="dxa"/>
            <w:gridSpan w:val="8"/>
            <w:vAlign w:val="center"/>
          </w:tcPr>
          <w:p w14:paraId="741826D3">
            <w:pPr>
              <w:pStyle w:val="209"/>
              <w:keepNext w:val="0"/>
              <w:keepLines w:val="0"/>
              <w:suppressLineNumbers w:val="0"/>
              <w:spacing w:before="55" w:beforeAutospacing="0" w:after="0" w:afterAutospacing="0"/>
              <w:ind w:left="0" w:right="353"/>
              <w:jc w:val="center"/>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rPr>
              <w:t>该信息</w:t>
            </w:r>
            <w:r>
              <w:rPr>
                <w:rFonts w:hint="default" w:ascii="Times New Roman" w:hAnsi="Times New Roman" w:eastAsia="仿宋_GB2312" w:cs="Times New Roman"/>
                <w:color w:val="auto"/>
                <w:highlight w:val="none"/>
                <w:lang w:val="en-US"/>
              </w:rPr>
              <w:t>仅甲方内部</w:t>
            </w:r>
            <w:r>
              <w:rPr>
                <w:rFonts w:hint="default" w:ascii="Times New Roman" w:hAnsi="Times New Roman" w:eastAsia="仿宋_GB2312" w:cs="Times New Roman"/>
                <w:color w:val="auto"/>
                <w:highlight w:val="none"/>
              </w:rPr>
              <w:t>显示</w:t>
            </w:r>
          </w:p>
        </w:tc>
      </w:tr>
      <w:tr w14:paraId="13811813">
        <w:tblPrEx>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CellMar>
            <w:top w:w="0" w:type="dxa"/>
            <w:left w:w="0" w:type="dxa"/>
            <w:bottom w:w="0" w:type="dxa"/>
            <w:right w:w="0" w:type="dxa"/>
          </w:tblCellMar>
        </w:tblPrEx>
        <w:trPr>
          <w:trHeight w:val="469" w:hRule="atLeast"/>
          <w:jc w:val="center"/>
        </w:trPr>
        <w:tc>
          <w:tcPr>
            <w:tcW w:w="2004" w:type="dxa"/>
            <w:gridSpan w:val="2"/>
            <w:vAlign w:val="center"/>
          </w:tcPr>
          <w:p w14:paraId="059E2BA7">
            <w:pPr>
              <w:pStyle w:val="209"/>
              <w:keepNext w:val="0"/>
              <w:keepLines w:val="0"/>
              <w:suppressLineNumbers w:val="0"/>
              <w:spacing w:before="68" w:beforeAutospacing="0" w:after="0" w:afterAutospacing="0"/>
              <w:ind w:left="141" w:right="128"/>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暂定</w:t>
            </w:r>
            <w:r>
              <w:rPr>
                <w:rFonts w:hint="default" w:ascii="Times New Roman" w:hAnsi="Times New Roman" w:eastAsia="仿宋_GB2312" w:cs="Times New Roman"/>
                <w:color w:val="auto"/>
                <w:highlight w:val="none"/>
              </w:rPr>
              <w:t>劳务</w:t>
            </w:r>
            <w:r>
              <w:rPr>
                <w:rFonts w:hint="default" w:ascii="Times New Roman" w:hAnsi="Times New Roman" w:eastAsia="仿宋_GB2312" w:cs="Times New Roman"/>
                <w:color w:val="auto"/>
                <w:highlight w:val="none"/>
                <w:lang w:val="en-US"/>
              </w:rPr>
              <w:t>总价</w:t>
            </w:r>
          </w:p>
          <w:p w14:paraId="19C51A0F">
            <w:pPr>
              <w:pStyle w:val="209"/>
              <w:keepNext w:val="0"/>
              <w:keepLines w:val="0"/>
              <w:suppressLineNumbers w:val="0"/>
              <w:spacing w:before="68" w:beforeAutospacing="0" w:after="0" w:afterAutospacing="0"/>
              <w:ind w:left="141" w:right="128"/>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highlight w:val="none"/>
                <w:lang w:val="en-US"/>
              </w:rPr>
              <w:t>不含税，元</w:t>
            </w:r>
            <w:r>
              <w:rPr>
                <w:rFonts w:hint="default" w:ascii="Times New Roman" w:hAnsi="Times New Roman" w:eastAsia="仿宋_GB2312" w:cs="Times New Roman"/>
                <w:color w:val="auto"/>
                <w:highlight w:val="none"/>
              </w:rPr>
              <w:t>）</w:t>
            </w:r>
          </w:p>
        </w:tc>
        <w:tc>
          <w:tcPr>
            <w:tcW w:w="2182" w:type="dxa"/>
            <w:gridSpan w:val="2"/>
            <w:tcBorders>
              <w:right w:val="single" w:color="auto" w:sz="4" w:space="0"/>
            </w:tcBorders>
            <w:vAlign w:val="center"/>
          </w:tcPr>
          <w:p w14:paraId="0B62E28B">
            <w:pPr>
              <w:pStyle w:val="209"/>
              <w:keepNext w:val="0"/>
              <w:keepLines w:val="0"/>
              <w:suppressLineNumbers w:val="0"/>
              <w:spacing w:before="68" w:beforeAutospacing="0" w:after="0" w:afterAutospacing="0"/>
              <w:ind w:left="46" w:right="0"/>
              <w:jc w:val="center"/>
              <w:rPr>
                <w:rFonts w:hint="default" w:ascii="Times New Roman" w:hAnsi="Times New Roman" w:eastAsia="仿宋_GB2312" w:cs="Times New Roman"/>
                <w:color w:val="auto"/>
                <w:highlight w:val="none"/>
                <w:lang w:val="en-US"/>
              </w:rPr>
            </w:pPr>
          </w:p>
        </w:tc>
        <w:tc>
          <w:tcPr>
            <w:tcW w:w="960" w:type="dxa"/>
            <w:tcBorders>
              <w:left w:val="single" w:color="auto" w:sz="4" w:space="0"/>
              <w:right w:val="single" w:color="auto" w:sz="4" w:space="0"/>
            </w:tcBorders>
            <w:vAlign w:val="center"/>
          </w:tcPr>
          <w:p w14:paraId="14E30A0D">
            <w:pPr>
              <w:pStyle w:val="209"/>
              <w:keepNext w:val="0"/>
              <w:keepLines w:val="0"/>
              <w:suppressLineNumbers w:val="0"/>
              <w:spacing w:before="68" w:beforeAutospacing="0" w:after="0" w:afterAutospacing="0"/>
              <w:ind w:left="46" w:right="0"/>
              <w:jc w:val="center"/>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税率</w:t>
            </w:r>
          </w:p>
        </w:tc>
        <w:tc>
          <w:tcPr>
            <w:tcW w:w="1016" w:type="dxa"/>
            <w:tcBorders>
              <w:left w:val="single" w:color="auto" w:sz="4" w:space="0"/>
              <w:right w:val="single" w:color="auto" w:sz="4" w:space="0"/>
            </w:tcBorders>
            <w:vAlign w:val="center"/>
          </w:tcPr>
          <w:p w14:paraId="24E7D923">
            <w:pPr>
              <w:pStyle w:val="209"/>
              <w:keepNext w:val="0"/>
              <w:keepLines w:val="0"/>
              <w:suppressLineNumbers w:val="0"/>
              <w:spacing w:before="68" w:beforeAutospacing="0" w:after="0" w:afterAutospacing="0"/>
              <w:ind w:left="46" w:right="0"/>
              <w:jc w:val="center"/>
              <w:rPr>
                <w:rFonts w:hint="default" w:ascii="Times New Roman" w:hAnsi="Times New Roman" w:eastAsia="仿宋_GB2312" w:cs="Times New Roman"/>
                <w:color w:val="auto"/>
                <w:highlight w:val="none"/>
                <w:lang w:val="en-US"/>
              </w:rPr>
            </w:pPr>
          </w:p>
        </w:tc>
        <w:tc>
          <w:tcPr>
            <w:tcW w:w="2269" w:type="dxa"/>
            <w:gridSpan w:val="2"/>
            <w:tcBorders>
              <w:left w:val="single" w:color="auto" w:sz="4" w:space="0"/>
              <w:right w:val="single" w:color="auto" w:sz="4" w:space="0"/>
            </w:tcBorders>
            <w:vAlign w:val="center"/>
          </w:tcPr>
          <w:p w14:paraId="52C8036F">
            <w:pPr>
              <w:pStyle w:val="209"/>
              <w:keepNext w:val="0"/>
              <w:keepLines w:val="0"/>
              <w:suppressLineNumbers w:val="0"/>
              <w:spacing w:before="68" w:beforeAutospacing="0" w:after="0" w:afterAutospacing="0"/>
              <w:ind w:left="141" w:right="128"/>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暂定</w:t>
            </w:r>
            <w:r>
              <w:rPr>
                <w:rFonts w:hint="default" w:ascii="Times New Roman" w:hAnsi="Times New Roman" w:eastAsia="仿宋_GB2312" w:cs="Times New Roman"/>
                <w:color w:val="auto"/>
                <w:highlight w:val="none"/>
              </w:rPr>
              <w:t>劳务</w:t>
            </w:r>
            <w:r>
              <w:rPr>
                <w:rFonts w:hint="default" w:ascii="Times New Roman" w:hAnsi="Times New Roman" w:eastAsia="仿宋_GB2312" w:cs="Times New Roman"/>
                <w:color w:val="auto"/>
                <w:highlight w:val="none"/>
                <w:lang w:val="en-US"/>
              </w:rPr>
              <w:t>总价</w:t>
            </w:r>
          </w:p>
          <w:p w14:paraId="6FD4A8BA">
            <w:pPr>
              <w:pStyle w:val="209"/>
              <w:keepNext w:val="0"/>
              <w:keepLines w:val="0"/>
              <w:suppressLineNumbers w:val="0"/>
              <w:spacing w:before="68" w:beforeAutospacing="0" w:after="0" w:afterAutospacing="0"/>
              <w:ind w:left="46" w:right="0"/>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highlight w:val="none"/>
                <w:lang w:val="en-US"/>
              </w:rPr>
              <w:t>含税，元</w:t>
            </w:r>
            <w:r>
              <w:rPr>
                <w:rFonts w:hint="default" w:ascii="Times New Roman" w:hAnsi="Times New Roman" w:eastAsia="仿宋_GB2312" w:cs="Times New Roman"/>
                <w:color w:val="auto"/>
                <w:highlight w:val="none"/>
              </w:rPr>
              <w:t>）</w:t>
            </w:r>
          </w:p>
        </w:tc>
        <w:tc>
          <w:tcPr>
            <w:tcW w:w="2316" w:type="dxa"/>
            <w:gridSpan w:val="2"/>
            <w:tcBorders>
              <w:left w:val="single" w:color="auto" w:sz="4" w:space="0"/>
            </w:tcBorders>
            <w:vAlign w:val="center"/>
          </w:tcPr>
          <w:p w14:paraId="21EFFB32">
            <w:pPr>
              <w:pStyle w:val="209"/>
              <w:keepNext w:val="0"/>
              <w:keepLines w:val="0"/>
              <w:suppressLineNumbers w:val="0"/>
              <w:spacing w:before="68" w:beforeAutospacing="0" w:after="0" w:afterAutospacing="0"/>
              <w:ind w:left="46" w:right="0"/>
              <w:jc w:val="center"/>
              <w:rPr>
                <w:rFonts w:hint="default" w:ascii="Times New Roman" w:hAnsi="Times New Roman" w:eastAsia="仿宋_GB2312" w:cs="Times New Roman"/>
                <w:color w:val="auto"/>
                <w:highlight w:val="none"/>
              </w:rPr>
            </w:pPr>
          </w:p>
        </w:tc>
      </w:tr>
      <w:tr w14:paraId="740839A7">
        <w:tblPrEx>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CellMar>
            <w:top w:w="0" w:type="dxa"/>
            <w:left w:w="0" w:type="dxa"/>
            <w:bottom w:w="0" w:type="dxa"/>
            <w:right w:w="0" w:type="dxa"/>
          </w:tblCellMar>
        </w:tblPrEx>
        <w:trPr>
          <w:trHeight w:val="428" w:hRule="atLeast"/>
          <w:jc w:val="center"/>
        </w:trPr>
        <w:tc>
          <w:tcPr>
            <w:tcW w:w="2004" w:type="dxa"/>
            <w:gridSpan w:val="2"/>
            <w:vAlign w:val="center"/>
          </w:tcPr>
          <w:p w14:paraId="13D50450">
            <w:pPr>
              <w:pStyle w:val="209"/>
              <w:keepNext w:val="0"/>
              <w:keepLines w:val="0"/>
              <w:suppressLineNumbers w:val="0"/>
              <w:spacing w:before="55" w:beforeAutospacing="0" w:after="0" w:afterAutospacing="0"/>
              <w:ind w:left="141" w:right="128"/>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要求开工时间</w:t>
            </w:r>
          </w:p>
          <w:p w14:paraId="269AA79B">
            <w:pPr>
              <w:pStyle w:val="209"/>
              <w:keepNext w:val="0"/>
              <w:keepLines w:val="0"/>
              <w:suppressLineNumbers w:val="0"/>
              <w:spacing w:before="55" w:beforeAutospacing="0" w:after="0" w:afterAutospacing="0"/>
              <w:ind w:left="141" w:right="128"/>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highlight w:val="none"/>
                <w:lang w:val="en-US"/>
              </w:rPr>
              <w:t>暂定</w:t>
            </w:r>
            <w:r>
              <w:rPr>
                <w:rFonts w:hint="default" w:ascii="Times New Roman" w:hAnsi="Times New Roman" w:eastAsia="仿宋_GB2312" w:cs="Times New Roman"/>
                <w:color w:val="auto"/>
                <w:highlight w:val="none"/>
              </w:rPr>
              <w:t>）</w:t>
            </w:r>
          </w:p>
        </w:tc>
        <w:tc>
          <w:tcPr>
            <w:tcW w:w="4158" w:type="dxa"/>
            <w:gridSpan w:val="4"/>
            <w:vAlign w:val="center"/>
          </w:tcPr>
          <w:p w14:paraId="7744FA13">
            <w:pPr>
              <w:pStyle w:val="209"/>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合并派单不填</w:t>
            </w:r>
          </w:p>
        </w:tc>
        <w:tc>
          <w:tcPr>
            <w:tcW w:w="1950" w:type="dxa"/>
            <w:vAlign w:val="center"/>
          </w:tcPr>
          <w:p w14:paraId="5F594F8E">
            <w:pPr>
              <w:pStyle w:val="209"/>
              <w:keepNext w:val="0"/>
              <w:keepLines w:val="0"/>
              <w:suppressLineNumbers w:val="0"/>
              <w:spacing w:before="55" w:beforeAutospacing="0" w:after="0" w:afterAutospacing="0"/>
              <w:ind w:left="214" w:right="201"/>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工期要求</w:t>
            </w:r>
          </w:p>
          <w:p w14:paraId="1AD7FC1E">
            <w:pPr>
              <w:pStyle w:val="209"/>
              <w:keepNext w:val="0"/>
              <w:keepLines w:val="0"/>
              <w:suppressLineNumbers w:val="0"/>
              <w:spacing w:before="55" w:beforeAutospacing="0" w:after="0" w:afterAutospacing="0"/>
              <w:ind w:left="214" w:right="201"/>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highlight w:val="none"/>
                <w:lang w:val="en-US"/>
              </w:rPr>
              <w:t>日历天</w:t>
            </w:r>
            <w:r>
              <w:rPr>
                <w:rFonts w:hint="default" w:ascii="Times New Roman" w:hAnsi="Times New Roman" w:eastAsia="仿宋_GB2312" w:cs="Times New Roman"/>
                <w:color w:val="auto"/>
                <w:highlight w:val="none"/>
              </w:rPr>
              <w:t>）</w:t>
            </w:r>
          </w:p>
        </w:tc>
        <w:tc>
          <w:tcPr>
            <w:tcW w:w="2635" w:type="dxa"/>
            <w:gridSpan w:val="3"/>
            <w:vAlign w:val="center"/>
          </w:tcPr>
          <w:p w14:paraId="19218FEC">
            <w:pPr>
              <w:pStyle w:val="209"/>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合并派单不填</w:t>
            </w:r>
          </w:p>
        </w:tc>
      </w:tr>
      <w:tr w14:paraId="07EE567D">
        <w:tblPrEx>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CellMar>
            <w:top w:w="0" w:type="dxa"/>
            <w:left w:w="0" w:type="dxa"/>
            <w:bottom w:w="0" w:type="dxa"/>
            <w:right w:w="0" w:type="dxa"/>
          </w:tblCellMar>
        </w:tblPrEx>
        <w:trPr>
          <w:trHeight w:val="703" w:hRule="atLeast"/>
          <w:jc w:val="center"/>
        </w:trPr>
        <w:tc>
          <w:tcPr>
            <w:tcW w:w="2004" w:type="dxa"/>
            <w:gridSpan w:val="2"/>
            <w:vAlign w:val="center"/>
          </w:tcPr>
          <w:p w14:paraId="12E33A6B">
            <w:pPr>
              <w:pStyle w:val="209"/>
              <w:keepNext w:val="0"/>
              <w:keepLines w:val="0"/>
              <w:suppressLineNumbers w:val="0"/>
              <w:spacing w:before="55" w:beforeAutospacing="0" w:after="0" w:afterAutospacing="0"/>
              <w:ind w:left="141" w:right="128"/>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相关附件</w:t>
            </w:r>
          </w:p>
        </w:tc>
        <w:tc>
          <w:tcPr>
            <w:tcW w:w="8743" w:type="dxa"/>
            <w:gridSpan w:val="8"/>
            <w:vAlign w:val="center"/>
          </w:tcPr>
          <w:p w14:paraId="635DD920">
            <w:pPr>
              <w:pStyle w:val="209"/>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highlight w:val="none"/>
              </w:rPr>
            </w:pPr>
          </w:p>
        </w:tc>
      </w:tr>
      <w:tr w14:paraId="40B411B5">
        <w:tblPrEx>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CellMar>
            <w:top w:w="0" w:type="dxa"/>
            <w:left w:w="0" w:type="dxa"/>
            <w:bottom w:w="0" w:type="dxa"/>
            <w:right w:w="0" w:type="dxa"/>
          </w:tblCellMar>
        </w:tblPrEx>
        <w:trPr>
          <w:trHeight w:val="703" w:hRule="atLeast"/>
          <w:jc w:val="center"/>
        </w:trPr>
        <w:tc>
          <w:tcPr>
            <w:tcW w:w="2004" w:type="dxa"/>
            <w:gridSpan w:val="2"/>
            <w:vAlign w:val="center"/>
          </w:tcPr>
          <w:p w14:paraId="0EF13EDF">
            <w:pPr>
              <w:pStyle w:val="209"/>
              <w:keepNext w:val="0"/>
              <w:keepLines w:val="0"/>
              <w:suppressLineNumbers w:val="0"/>
              <w:spacing w:before="55" w:beforeAutospacing="0" w:after="0" w:afterAutospacing="0"/>
              <w:ind w:left="141" w:right="128"/>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关联文档</w:t>
            </w:r>
          </w:p>
        </w:tc>
        <w:tc>
          <w:tcPr>
            <w:tcW w:w="8743" w:type="dxa"/>
            <w:gridSpan w:val="8"/>
            <w:vAlign w:val="center"/>
          </w:tcPr>
          <w:p w14:paraId="608EE929">
            <w:pPr>
              <w:pStyle w:val="209"/>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highlight w:val="none"/>
              </w:rPr>
            </w:pPr>
          </w:p>
        </w:tc>
      </w:tr>
      <w:tr w14:paraId="4474FD98">
        <w:tblPrEx>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CellMar>
            <w:top w:w="0" w:type="dxa"/>
            <w:left w:w="0" w:type="dxa"/>
            <w:bottom w:w="0" w:type="dxa"/>
            <w:right w:w="0" w:type="dxa"/>
          </w:tblCellMar>
        </w:tblPrEx>
        <w:trPr>
          <w:trHeight w:val="703" w:hRule="atLeast"/>
          <w:jc w:val="center"/>
        </w:trPr>
        <w:tc>
          <w:tcPr>
            <w:tcW w:w="2004" w:type="dxa"/>
            <w:gridSpan w:val="2"/>
            <w:vAlign w:val="center"/>
          </w:tcPr>
          <w:p w14:paraId="230547E0">
            <w:pPr>
              <w:pStyle w:val="209"/>
              <w:keepNext w:val="0"/>
              <w:keepLines w:val="0"/>
              <w:suppressLineNumbers w:val="0"/>
              <w:spacing w:before="55" w:beforeAutospacing="0" w:after="0" w:afterAutospacing="0"/>
              <w:ind w:left="141" w:right="128"/>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是否合并派单</w:t>
            </w:r>
          </w:p>
        </w:tc>
        <w:tc>
          <w:tcPr>
            <w:tcW w:w="8743" w:type="dxa"/>
            <w:gridSpan w:val="8"/>
            <w:vAlign w:val="center"/>
          </w:tcPr>
          <w:p w14:paraId="5943B8A4">
            <w:pPr>
              <w:pStyle w:val="209"/>
              <w:keepNext w:val="0"/>
              <w:keepLines w:val="0"/>
              <w:suppressLineNumbers w:val="0"/>
              <w:spacing w:before="0" w:beforeAutospacing="0" w:after="0" w:afterAutospacing="0"/>
              <w:ind w:left="0" w:right="0" w:firstLine="210" w:firstLineChars="100"/>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sym w:font="Wingdings 2" w:char="00A3"/>
            </w:r>
            <w:r>
              <w:rPr>
                <w:rFonts w:hint="default" w:ascii="Times New Roman" w:hAnsi="Times New Roman" w:eastAsia="仿宋_GB2312" w:cs="Times New Roman"/>
                <w:color w:val="auto"/>
                <w:highlight w:val="none"/>
                <w:lang w:val="en-US"/>
              </w:rPr>
              <w:t xml:space="preserve">是      </w:t>
            </w:r>
            <w:r>
              <w:rPr>
                <w:rFonts w:hint="default" w:ascii="Times New Roman" w:hAnsi="Times New Roman" w:eastAsia="仿宋_GB2312" w:cs="Times New Roman"/>
                <w:color w:val="auto"/>
                <w:highlight w:val="none"/>
                <w:lang w:val="en-US"/>
              </w:rPr>
              <w:sym w:font="Wingdings 2" w:char="00A3"/>
            </w:r>
            <w:r>
              <w:rPr>
                <w:rFonts w:hint="default" w:ascii="Times New Roman" w:hAnsi="Times New Roman" w:eastAsia="仿宋_GB2312" w:cs="Times New Roman"/>
                <w:color w:val="auto"/>
                <w:highlight w:val="none"/>
                <w:lang w:val="en-US"/>
              </w:rPr>
              <w:t>否</w:t>
            </w:r>
          </w:p>
        </w:tc>
      </w:tr>
      <w:tr w14:paraId="4171D90F">
        <w:tblPrEx>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CellMar>
            <w:top w:w="0" w:type="dxa"/>
            <w:left w:w="0" w:type="dxa"/>
            <w:bottom w:w="0" w:type="dxa"/>
            <w:right w:w="0" w:type="dxa"/>
          </w:tblCellMar>
        </w:tblPrEx>
        <w:trPr>
          <w:trHeight w:val="703" w:hRule="atLeast"/>
          <w:jc w:val="center"/>
        </w:trPr>
        <w:tc>
          <w:tcPr>
            <w:tcW w:w="10747" w:type="dxa"/>
            <w:gridSpan w:val="10"/>
            <w:vAlign w:val="center"/>
          </w:tcPr>
          <w:p w14:paraId="26DF87C7">
            <w:pPr>
              <w:pStyle w:val="209"/>
              <w:keepNext w:val="0"/>
              <w:keepLines w:val="0"/>
              <w:suppressLineNumbers w:val="0"/>
              <w:spacing w:before="0" w:beforeAutospacing="0" w:after="0" w:afterAutospacing="0"/>
              <w:ind w:left="0" w:right="0" w:firstLine="210" w:firstLineChars="100"/>
              <w:jc w:val="center"/>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szCs w:val="21"/>
                <w:highlight w:val="none"/>
                <w:lang w:val="en-US"/>
              </w:rPr>
              <w:t>工程清单</w:t>
            </w:r>
          </w:p>
        </w:tc>
      </w:tr>
      <w:tr w14:paraId="53CC8036">
        <w:tblPrEx>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CellMar>
            <w:top w:w="0" w:type="dxa"/>
            <w:left w:w="0" w:type="dxa"/>
            <w:bottom w:w="0" w:type="dxa"/>
            <w:right w:w="0" w:type="dxa"/>
          </w:tblCellMar>
        </w:tblPrEx>
        <w:trPr>
          <w:trHeight w:val="703" w:hRule="atLeast"/>
          <w:jc w:val="center"/>
        </w:trPr>
        <w:tc>
          <w:tcPr>
            <w:tcW w:w="747" w:type="dxa"/>
          </w:tcPr>
          <w:p w14:paraId="22A42414">
            <w:pPr>
              <w:pStyle w:val="209"/>
              <w:keepNext w:val="0"/>
              <w:keepLines w:val="0"/>
              <w:suppressLineNumbers w:val="0"/>
              <w:spacing w:before="55" w:beforeAutospacing="0" w:after="0" w:afterAutospacing="0"/>
              <w:ind w:left="141" w:right="128"/>
              <w:jc w:val="center"/>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序号</w:t>
            </w:r>
          </w:p>
        </w:tc>
        <w:tc>
          <w:tcPr>
            <w:tcW w:w="2280" w:type="dxa"/>
            <w:gridSpan w:val="2"/>
            <w:tcBorders>
              <w:right w:val="single" w:color="auto" w:sz="4" w:space="0"/>
            </w:tcBorders>
            <w:vAlign w:val="center"/>
          </w:tcPr>
          <w:p w14:paraId="7B7BC0A9">
            <w:pPr>
              <w:pStyle w:val="209"/>
              <w:keepNext w:val="0"/>
              <w:keepLines w:val="0"/>
              <w:suppressLineNumbers w:val="0"/>
              <w:spacing w:before="55" w:beforeAutospacing="0" w:after="0" w:afterAutospacing="0"/>
              <w:ind w:left="214" w:right="201"/>
              <w:jc w:val="center"/>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项目编号</w:t>
            </w:r>
          </w:p>
        </w:tc>
        <w:tc>
          <w:tcPr>
            <w:tcW w:w="3135" w:type="dxa"/>
            <w:gridSpan w:val="3"/>
            <w:tcBorders>
              <w:right w:val="single" w:color="auto" w:sz="4" w:space="0"/>
            </w:tcBorders>
            <w:vAlign w:val="center"/>
          </w:tcPr>
          <w:p w14:paraId="6B6A30B5">
            <w:pPr>
              <w:pStyle w:val="209"/>
              <w:keepNext w:val="0"/>
              <w:keepLines w:val="0"/>
              <w:suppressLineNumbers w:val="0"/>
              <w:spacing w:before="55" w:beforeAutospacing="0" w:after="0" w:afterAutospacing="0"/>
              <w:ind w:left="214" w:right="201"/>
              <w:jc w:val="center"/>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建设单位</w:t>
            </w:r>
          </w:p>
        </w:tc>
        <w:tc>
          <w:tcPr>
            <w:tcW w:w="1950" w:type="dxa"/>
            <w:tcBorders>
              <w:right w:val="single" w:color="auto" w:sz="4" w:space="0"/>
            </w:tcBorders>
            <w:vAlign w:val="center"/>
          </w:tcPr>
          <w:p w14:paraId="5E7C59FD">
            <w:pPr>
              <w:pStyle w:val="209"/>
              <w:keepNext w:val="0"/>
              <w:keepLines w:val="0"/>
              <w:suppressLineNumbers w:val="0"/>
              <w:spacing w:before="55" w:beforeAutospacing="0" w:after="0" w:afterAutospacing="0"/>
              <w:ind w:left="214" w:right="201"/>
              <w:jc w:val="center"/>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开工时间要求</w:t>
            </w:r>
          </w:p>
        </w:tc>
        <w:tc>
          <w:tcPr>
            <w:tcW w:w="1800" w:type="dxa"/>
            <w:gridSpan w:val="2"/>
            <w:tcBorders>
              <w:right w:val="single" w:color="auto" w:sz="4" w:space="0"/>
            </w:tcBorders>
            <w:vAlign w:val="center"/>
          </w:tcPr>
          <w:p w14:paraId="1DCB7270">
            <w:pPr>
              <w:pStyle w:val="209"/>
              <w:keepNext w:val="0"/>
              <w:keepLines w:val="0"/>
              <w:suppressLineNumbers w:val="0"/>
              <w:spacing w:before="55" w:beforeAutospacing="0" w:after="0" w:afterAutospacing="0"/>
              <w:ind w:left="214" w:right="201"/>
              <w:jc w:val="center"/>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rPr>
              <w:t>工期要求</w:t>
            </w:r>
          </w:p>
        </w:tc>
        <w:tc>
          <w:tcPr>
            <w:tcW w:w="835" w:type="dxa"/>
            <w:tcBorders>
              <w:left w:val="single" w:color="auto" w:sz="4" w:space="0"/>
            </w:tcBorders>
            <w:vAlign w:val="center"/>
          </w:tcPr>
          <w:p w14:paraId="3E4F92A4">
            <w:pPr>
              <w:pStyle w:val="209"/>
              <w:keepNext w:val="0"/>
              <w:keepLines w:val="0"/>
              <w:suppressLineNumbers w:val="0"/>
              <w:spacing w:before="0" w:beforeAutospacing="0" w:after="0" w:afterAutospacing="0"/>
              <w:ind w:left="0" w:right="0" w:firstLine="210" w:firstLineChars="1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备注</w:t>
            </w:r>
          </w:p>
        </w:tc>
      </w:tr>
      <w:tr w14:paraId="59400A88">
        <w:tblPrEx>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CellMar>
            <w:top w:w="0" w:type="dxa"/>
            <w:left w:w="0" w:type="dxa"/>
            <w:bottom w:w="0" w:type="dxa"/>
            <w:right w:w="0" w:type="dxa"/>
          </w:tblCellMar>
        </w:tblPrEx>
        <w:trPr>
          <w:trHeight w:val="541" w:hRule="atLeast"/>
          <w:jc w:val="center"/>
        </w:trPr>
        <w:tc>
          <w:tcPr>
            <w:tcW w:w="747" w:type="dxa"/>
          </w:tcPr>
          <w:p w14:paraId="11B280CB">
            <w:pPr>
              <w:pStyle w:val="209"/>
              <w:keepNext w:val="0"/>
              <w:keepLines w:val="0"/>
              <w:suppressLineNumbers w:val="0"/>
              <w:spacing w:before="55" w:beforeAutospacing="0" w:after="0" w:afterAutospacing="0"/>
              <w:ind w:left="141" w:right="128"/>
              <w:jc w:val="center"/>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1</w:t>
            </w:r>
          </w:p>
        </w:tc>
        <w:tc>
          <w:tcPr>
            <w:tcW w:w="2280" w:type="dxa"/>
            <w:gridSpan w:val="2"/>
            <w:tcBorders>
              <w:right w:val="single" w:color="auto" w:sz="4" w:space="0"/>
            </w:tcBorders>
            <w:vAlign w:val="center"/>
          </w:tcPr>
          <w:p w14:paraId="75236EFD">
            <w:pPr>
              <w:pStyle w:val="209"/>
              <w:keepNext w:val="0"/>
              <w:keepLines w:val="0"/>
              <w:suppressLineNumbers w:val="0"/>
              <w:spacing w:before="55" w:beforeAutospacing="0" w:after="0" w:afterAutospacing="0"/>
              <w:ind w:left="214" w:right="201"/>
              <w:jc w:val="center"/>
              <w:rPr>
                <w:rFonts w:hint="default" w:ascii="Times New Roman" w:hAnsi="Times New Roman" w:eastAsia="仿宋_GB2312" w:cs="Times New Roman"/>
                <w:color w:val="auto"/>
                <w:highlight w:val="none"/>
                <w:lang w:val="en-US"/>
              </w:rPr>
            </w:pPr>
          </w:p>
        </w:tc>
        <w:tc>
          <w:tcPr>
            <w:tcW w:w="3135" w:type="dxa"/>
            <w:gridSpan w:val="3"/>
            <w:tcBorders>
              <w:right w:val="single" w:color="auto" w:sz="4" w:space="0"/>
            </w:tcBorders>
            <w:vAlign w:val="center"/>
          </w:tcPr>
          <w:p w14:paraId="57F25727">
            <w:pPr>
              <w:pStyle w:val="209"/>
              <w:keepNext w:val="0"/>
              <w:keepLines w:val="0"/>
              <w:suppressLineNumbers w:val="0"/>
              <w:spacing w:before="55" w:beforeAutospacing="0" w:after="0" w:afterAutospacing="0"/>
              <w:ind w:left="214" w:right="201"/>
              <w:jc w:val="center"/>
              <w:rPr>
                <w:rFonts w:hint="default" w:ascii="Times New Roman" w:hAnsi="Times New Roman" w:eastAsia="仿宋_GB2312" w:cs="Times New Roman"/>
                <w:color w:val="auto"/>
                <w:highlight w:val="none"/>
                <w:lang w:val="en-US"/>
              </w:rPr>
            </w:pPr>
          </w:p>
        </w:tc>
        <w:tc>
          <w:tcPr>
            <w:tcW w:w="1950" w:type="dxa"/>
            <w:tcBorders>
              <w:right w:val="single" w:color="auto" w:sz="4" w:space="0"/>
            </w:tcBorders>
            <w:vAlign w:val="center"/>
          </w:tcPr>
          <w:p w14:paraId="4541D980">
            <w:pPr>
              <w:pStyle w:val="209"/>
              <w:keepNext w:val="0"/>
              <w:keepLines w:val="0"/>
              <w:suppressLineNumbers w:val="0"/>
              <w:spacing w:before="55" w:beforeAutospacing="0" w:after="0" w:afterAutospacing="0"/>
              <w:ind w:left="214" w:right="201"/>
              <w:jc w:val="center"/>
              <w:rPr>
                <w:rFonts w:hint="default" w:ascii="Times New Roman" w:hAnsi="Times New Roman" w:eastAsia="仿宋_GB2312" w:cs="Times New Roman"/>
                <w:color w:val="auto"/>
                <w:highlight w:val="none"/>
                <w:lang w:val="en-US"/>
              </w:rPr>
            </w:pPr>
          </w:p>
        </w:tc>
        <w:tc>
          <w:tcPr>
            <w:tcW w:w="1800" w:type="dxa"/>
            <w:gridSpan w:val="2"/>
            <w:tcBorders>
              <w:right w:val="single" w:color="auto" w:sz="4" w:space="0"/>
            </w:tcBorders>
            <w:vAlign w:val="center"/>
          </w:tcPr>
          <w:p w14:paraId="38A68188">
            <w:pPr>
              <w:pStyle w:val="209"/>
              <w:keepNext w:val="0"/>
              <w:keepLines w:val="0"/>
              <w:suppressLineNumbers w:val="0"/>
              <w:spacing w:before="55" w:beforeAutospacing="0" w:after="0" w:afterAutospacing="0"/>
              <w:ind w:left="214" w:right="201"/>
              <w:jc w:val="center"/>
              <w:rPr>
                <w:rFonts w:hint="default" w:ascii="Times New Roman" w:hAnsi="Times New Roman" w:eastAsia="仿宋_GB2312" w:cs="Times New Roman"/>
                <w:color w:val="auto"/>
                <w:highlight w:val="none"/>
              </w:rPr>
            </w:pPr>
          </w:p>
        </w:tc>
        <w:tc>
          <w:tcPr>
            <w:tcW w:w="835" w:type="dxa"/>
            <w:tcBorders>
              <w:left w:val="single" w:color="auto" w:sz="4" w:space="0"/>
            </w:tcBorders>
            <w:vAlign w:val="center"/>
          </w:tcPr>
          <w:p w14:paraId="3B423CAF">
            <w:pPr>
              <w:pStyle w:val="209"/>
              <w:keepNext w:val="0"/>
              <w:keepLines w:val="0"/>
              <w:suppressLineNumbers w:val="0"/>
              <w:spacing w:before="0" w:beforeAutospacing="0" w:after="0" w:afterAutospacing="0"/>
              <w:ind w:left="0" w:right="0" w:firstLine="210" w:firstLineChars="100"/>
              <w:rPr>
                <w:rFonts w:hint="default" w:ascii="Times New Roman" w:hAnsi="Times New Roman" w:eastAsia="仿宋_GB2312" w:cs="Times New Roman"/>
                <w:color w:val="auto"/>
                <w:highlight w:val="none"/>
                <w:lang w:val="en-US"/>
              </w:rPr>
            </w:pPr>
          </w:p>
        </w:tc>
      </w:tr>
      <w:tr w14:paraId="04100A1E">
        <w:tblPrEx>
          <w:tblBorders>
            <w:top w:val="single" w:color="666666" w:sz="6" w:space="0"/>
            <w:left w:val="single" w:color="666666" w:sz="6" w:space="0"/>
            <w:bottom w:val="single" w:color="666666" w:sz="6" w:space="0"/>
            <w:right w:val="single" w:color="666666" w:sz="6" w:space="0"/>
            <w:insideH w:val="single" w:color="666666" w:sz="6" w:space="0"/>
            <w:insideV w:val="single" w:color="666666" w:sz="6" w:space="0"/>
          </w:tblBorders>
          <w:tblCellMar>
            <w:top w:w="0" w:type="dxa"/>
            <w:left w:w="0" w:type="dxa"/>
            <w:bottom w:w="0" w:type="dxa"/>
            <w:right w:w="0" w:type="dxa"/>
          </w:tblCellMar>
        </w:tblPrEx>
        <w:trPr>
          <w:trHeight w:val="543" w:hRule="atLeast"/>
          <w:jc w:val="center"/>
        </w:trPr>
        <w:tc>
          <w:tcPr>
            <w:tcW w:w="747" w:type="dxa"/>
          </w:tcPr>
          <w:p w14:paraId="5CFD4461">
            <w:pPr>
              <w:pStyle w:val="209"/>
              <w:keepNext w:val="0"/>
              <w:keepLines w:val="0"/>
              <w:suppressLineNumbers w:val="0"/>
              <w:spacing w:before="55" w:beforeAutospacing="0" w:after="0" w:afterAutospacing="0"/>
              <w:ind w:left="141" w:right="128"/>
              <w:jc w:val="center"/>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2</w:t>
            </w:r>
          </w:p>
        </w:tc>
        <w:tc>
          <w:tcPr>
            <w:tcW w:w="2280" w:type="dxa"/>
            <w:gridSpan w:val="2"/>
            <w:tcBorders>
              <w:right w:val="single" w:color="auto" w:sz="4" w:space="0"/>
            </w:tcBorders>
            <w:vAlign w:val="center"/>
          </w:tcPr>
          <w:p w14:paraId="4FADD09A">
            <w:pPr>
              <w:pStyle w:val="209"/>
              <w:keepNext w:val="0"/>
              <w:keepLines w:val="0"/>
              <w:suppressLineNumbers w:val="0"/>
              <w:spacing w:before="55" w:beforeAutospacing="0" w:after="0" w:afterAutospacing="0"/>
              <w:ind w:left="214" w:right="201"/>
              <w:jc w:val="center"/>
              <w:rPr>
                <w:rFonts w:hint="default" w:ascii="Times New Roman" w:hAnsi="Times New Roman" w:eastAsia="仿宋_GB2312" w:cs="Times New Roman"/>
                <w:color w:val="auto"/>
                <w:highlight w:val="none"/>
                <w:lang w:val="en-US"/>
              </w:rPr>
            </w:pPr>
          </w:p>
        </w:tc>
        <w:tc>
          <w:tcPr>
            <w:tcW w:w="3135" w:type="dxa"/>
            <w:gridSpan w:val="3"/>
            <w:tcBorders>
              <w:right w:val="single" w:color="auto" w:sz="4" w:space="0"/>
            </w:tcBorders>
            <w:vAlign w:val="center"/>
          </w:tcPr>
          <w:p w14:paraId="5BF52829">
            <w:pPr>
              <w:pStyle w:val="209"/>
              <w:keepNext w:val="0"/>
              <w:keepLines w:val="0"/>
              <w:suppressLineNumbers w:val="0"/>
              <w:spacing w:before="55" w:beforeAutospacing="0" w:after="0" w:afterAutospacing="0"/>
              <w:ind w:left="214" w:right="201"/>
              <w:jc w:val="center"/>
              <w:rPr>
                <w:rFonts w:hint="default" w:ascii="Times New Roman" w:hAnsi="Times New Roman" w:eastAsia="仿宋_GB2312" w:cs="Times New Roman"/>
                <w:color w:val="auto"/>
                <w:highlight w:val="none"/>
                <w:lang w:val="en-US"/>
              </w:rPr>
            </w:pPr>
          </w:p>
        </w:tc>
        <w:tc>
          <w:tcPr>
            <w:tcW w:w="1950" w:type="dxa"/>
            <w:tcBorders>
              <w:right w:val="single" w:color="auto" w:sz="4" w:space="0"/>
            </w:tcBorders>
            <w:vAlign w:val="center"/>
          </w:tcPr>
          <w:p w14:paraId="4F895D38">
            <w:pPr>
              <w:pStyle w:val="209"/>
              <w:keepNext w:val="0"/>
              <w:keepLines w:val="0"/>
              <w:suppressLineNumbers w:val="0"/>
              <w:spacing w:before="55" w:beforeAutospacing="0" w:after="0" w:afterAutospacing="0"/>
              <w:ind w:left="214" w:right="201"/>
              <w:jc w:val="center"/>
              <w:rPr>
                <w:rFonts w:hint="default" w:ascii="Times New Roman" w:hAnsi="Times New Roman" w:eastAsia="仿宋_GB2312" w:cs="Times New Roman"/>
                <w:color w:val="auto"/>
                <w:highlight w:val="none"/>
                <w:lang w:val="en-US"/>
              </w:rPr>
            </w:pPr>
          </w:p>
        </w:tc>
        <w:tc>
          <w:tcPr>
            <w:tcW w:w="1800" w:type="dxa"/>
            <w:gridSpan w:val="2"/>
            <w:tcBorders>
              <w:right w:val="single" w:color="auto" w:sz="4" w:space="0"/>
            </w:tcBorders>
            <w:vAlign w:val="center"/>
          </w:tcPr>
          <w:p w14:paraId="0CC0EB44">
            <w:pPr>
              <w:pStyle w:val="209"/>
              <w:keepNext w:val="0"/>
              <w:keepLines w:val="0"/>
              <w:suppressLineNumbers w:val="0"/>
              <w:spacing w:before="55" w:beforeAutospacing="0" w:after="0" w:afterAutospacing="0"/>
              <w:ind w:left="214" w:right="201"/>
              <w:jc w:val="center"/>
              <w:rPr>
                <w:rFonts w:hint="default" w:ascii="Times New Roman" w:hAnsi="Times New Roman" w:eastAsia="仿宋_GB2312" w:cs="Times New Roman"/>
                <w:color w:val="auto"/>
                <w:highlight w:val="none"/>
              </w:rPr>
            </w:pPr>
          </w:p>
        </w:tc>
        <w:tc>
          <w:tcPr>
            <w:tcW w:w="835" w:type="dxa"/>
            <w:tcBorders>
              <w:left w:val="single" w:color="auto" w:sz="4" w:space="0"/>
            </w:tcBorders>
            <w:vAlign w:val="center"/>
          </w:tcPr>
          <w:p w14:paraId="4AB3333B">
            <w:pPr>
              <w:pStyle w:val="209"/>
              <w:keepNext w:val="0"/>
              <w:keepLines w:val="0"/>
              <w:suppressLineNumbers w:val="0"/>
              <w:spacing w:before="0" w:beforeAutospacing="0" w:after="0" w:afterAutospacing="0"/>
              <w:ind w:left="0" w:right="0" w:firstLine="210" w:firstLineChars="100"/>
              <w:rPr>
                <w:rFonts w:hint="default" w:ascii="Times New Roman" w:hAnsi="Times New Roman" w:eastAsia="仿宋_GB2312" w:cs="Times New Roman"/>
                <w:color w:val="auto"/>
                <w:highlight w:val="none"/>
                <w:lang w:val="en-US"/>
              </w:rPr>
            </w:pPr>
          </w:p>
        </w:tc>
      </w:tr>
    </w:tbl>
    <w:p w14:paraId="0FE853A6">
      <w:pPr>
        <w:spacing w:line="360" w:lineRule="auto"/>
        <w:jc w:val="left"/>
        <w:rPr>
          <w:rFonts w:hint="eastAsia" w:ascii="宋体" w:hAnsi="宋体" w:eastAsia="宋体" w:cs="Times New Roman"/>
          <w:b/>
          <w:color w:val="auto"/>
          <w:szCs w:val="21"/>
          <w:highlight w:val="none"/>
        </w:rPr>
      </w:pPr>
      <w:r>
        <w:rPr>
          <w:rFonts w:ascii="Times New Roman" w:hAnsi="Times New Roman" w:eastAsia="仿宋_GB2312" w:cs="Times New Roman"/>
          <w:color w:val="auto"/>
          <w:szCs w:val="21"/>
          <w:highlight w:val="none"/>
          <w:lang w:eastAsia="zh"/>
        </w:rPr>
        <w:t>（本表仅为参考样式，可根据实际情况进行动态调整）</w:t>
      </w:r>
    </w:p>
    <w:p w14:paraId="49FAB7C8">
      <w:pPr>
        <w:spacing w:line="360" w:lineRule="auto"/>
        <w:jc w:val="center"/>
        <w:rPr>
          <w:rFonts w:hint="eastAsia" w:ascii="宋体" w:hAnsi="宋体" w:eastAsia="宋体" w:cs="Times New Roman"/>
          <w:b/>
          <w:color w:val="auto"/>
          <w:szCs w:val="21"/>
          <w:highlight w:val="none"/>
        </w:rPr>
        <w:sectPr>
          <w:footerReference r:id="rId4" w:type="first"/>
          <w:footerReference r:id="rId3" w:type="default"/>
          <w:pgSz w:w="12240" w:h="15840"/>
          <w:pgMar w:top="1191" w:right="1043" w:bottom="1191" w:left="1043" w:header="720" w:footer="720" w:gutter="0"/>
          <w:cols w:space="720" w:num="1"/>
          <w:titlePg/>
          <w:docGrid w:linePitch="326" w:charSpace="0"/>
        </w:sectPr>
      </w:pPr>
    </w:p>
    <w:p w14:paraId="5C3182EF">
      <w:pPr>
        <w:spacing w:line="360" w:lineRule="auto"/>
        <w:rPr>
          <w:rFonts w:hint="eastAsia" w:ascii="宋体" w:hAnsi="宋体" w:eastAsia="宋体" w:cs="宋体"/>
          <w:b/>
          <w:bCs/>
          <w:color w:val="auto"/>
          <w:spacing w:val="16"/>
          <w:szCs w:val="21"/>
          <w:highlight w:val="none"/>
        </w:rPr>
      </w:pPr>
      <w:r>
        <w:rPr>
          <w:rFonts w:hint="eastAsia" w:ascii="宋体" w:hAnsi="宋体" w:eastAsia="宋体" w:cs="宋体"/>
          <w:b/>
          <w:bCs/>
          <w:color w:val="auto"/>
          <w:spacing w:val="16"/>
          <w:szCs w:val="21"/>
          <w:highlight w:val="none"/>
          <w:lang w:eastAsia="zh"/>
        </w:rPr>
        <w:t>附件</w:t>
      </w:r>
      <w:r>
        <w:rPr>
          <w:rFonts w:hint="eastAsia" w:ascii="宋体" w:hAnsi="宋体" w:eastAsia="宋体" w:cs="宋体"/>
          <w:b/>
          <w:bCs/>
          <w:color w:val="auto"/>
          <w:spacing w:val="16"/>
          <w:szCs w:val="21"/>
          <w:highlight w:val="none"/>
        </w:rPr>
        <w:t>3</w:t>
      </w:r>
    </w:p>
    <w:p w14:paraId="4EDC3159">
      <w:pPr>
        <w:spacing w:before="287" w:line="219" w:lineRule="auto"/>
        <w:ind w:left="2959"/>
        <w:rPr>
          <w:rFonts w:hint="eastAsia" w:ascii="宋体" w:hAnsi="宋体" w:eastAsia="宋体" w:cs="宋体"/>
          <w:color w:val="auto"/>
          <w:sz w:val="30"/>
          <w:szCs w:val="30"/>
          <w:highlight w:val="none"/>
        </w:rPr>
      </w:pPr>
      <w:r>
        <w:rPr>
          <w:rFonts w:hint="eastAsia" w:ascii="方正小标宋简体" w:hAnsi="方正小标宋简体" w:eastAsia="方正小标宋简体" w:cs="方正小标宋简体"/>
          <w:color w:val="auto"/>
          <w:spacing w:val="5"/>
          <w:sz w:val="32"/>
          <w:szCs w:val="32"/>
          <w:highlight w:val="none"/>
        </w:rPr>
        <w:t>东莞市碧水信息科技有限公司劳务分包业务委派台账</w:t>
      </w:r>
    </w:p>
    <w:tbl>
      <w:tblPr>
        <w:tblStyle w:val="210"/>
        <w:tblW w:w="146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7"/>
        <w:gridCol w:w="956"/>
        <w:gridCol w:w="938"/>
        <w:gridCol w:w="712"/>
        <w:gridCol w:w="938"/>
        <w:gridCol w:w="1031"/>
        <w:gridCol w:w="1013"/>
        <w:gridCol w:w="937"/>
        <w:gridCol w:w="675"/>
        <w:gridCol w:w="956"/>
        <w:gridCol w:w="994"/>
        <w:gridCol w:w="900"/>
        <w:gridCol w:w="919"/>
        <w:gridCol w:w="881"/>
        <w:gridCol w:w="900"/>
        <w:gridCol w:w="938"/>
        <w:gridCol w:w="506"/>
      </w:tblGrid>
      <w:tr w14:paraId="55996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49" w:hRule="atLeast"/>
          <w:jc w:val="center"/>
        </w:trPr>
        <w:tc>
          <w:tcPr>
            <w:tcW w:w="487" w:type="dxa"/>
            <w:vMerge w:val="restart"/>
            <w:tcBorders>
              <w:bottom w:val="nil"/>
            </w:tcBorders>
          </w:tcPr>
          <w:p w14:paraId="487F619D">
            <w:pPr>
              <w:spacing w:line="255" w:lineRule="auto"/>
              <w:rPr>
                <w:rFonts w:hint="eastAsia" w:ascii="黑体" w:hAnsi="黑体" w:eastAsia="黑体" w:cs="黑体"/>
                <w:color w:val="auto"/>
                <w:highlight w:val="none"/>
              </w:rPr>
            </w:pPr>
          </w:p>
          <w:p w14:paraId="244CDB32">
            <w:pPr>
              <w:spacing w:line="256" w:lineRule="auto"/>
              <w:rPr>
                <w:rFonts w:hint="eastAsia" w:ascii="黑体" w:hAnsi="黑体" w:eastAsia="黑体" w:cs="黑体"/>
                <w:color w:val="auto"/>
                <w:highlight w:val="none"/>
              </w:rPr>
            </w:pPr>
          </w:p>
          <w:p w14:paraId="2DF3AF02">
            <w:pPr>
              <w:spacing w:line="256" w:lineRule="auto"/>
              <w:rPr>
                <w:rFonts w:hint="eastAsia" w:ascii="黑体" w:hAnsi="黑体" w:eastAsia="黑体" w:cs="黑体"/>
                <w:color w:val="auto"/>
                <w:highlight w:val="none"/>
              </w:rPr>
            </w:pPr>
          </w:p>
          <w:p w14:paraId="64F5C328">
            <w:pPr>
              <w:pStyle w:val="211"/>
              <w:spacing w:before="69" w:line="221" w:lineRule="auto"/>
              <w:ind w:left="15"/>
              <w:rPr>
                <w:rFonts w:hint="eastAsia" w:ascii="黑体" w:hAnsi="黑体" w:eastAsia="黑体" w:cs="黑体"/>
                <w:color w:val="auto"/>
                <w:sz w:val="21"/>
                <w:szCs w:val="21"/>
                <w:highlight w:val="none"/>
              </w:rPr>
            </w:pPr>
            <w:r>
              <w:rPr>
                <w:rFonts w:hint="eastAsia" w:ascii="黑体" w:hAnsi="黑体" w:eastAsia="黑体" w:cs="黑体"/>
                <w:color w:val="auto"/>
                <w:spacing w:val="6"/>
                <w:sz w:val="21"/>
                <w:szCs w:val="21"/>
                <w:highlight w:val="none"/>
              </w:rPr>
              <w:t>序号</w:t>
            </w:r>
          </w:p>
        </w:tc>
        <w:tc>
          <w:tcPr>
            <w:tcW w:w="2606" w:type="dxa"/>
            <w:gridSpan w:val="3"/>
          </w:tcPr>
          <w:p w14:paraId="1D3BA987">
            <w:pPr>
              <w:pStyle w:val="211"/>
              <w:spacing w:before="265" w:line="219" w:lineRule="auto"/>
              <w:ind w:left="643"/>
              <w:rPr>
                <w:rFonts w:hint="eastAsia" w:ascii="黑体" w:hAnsi="黑体" w:eastAsia="黑体" w:cs="黑体"/>
                <w:color w:val="auto"/>
                <w:sz w:val="21"/>
                <w:szCs w:val="21"/>
                <w:highlight w:val="none"/>
              </w:rPr>
            </w:pPr>
            <w:r>
              <w:rPr>
                <w:rFonts w:hint="eastAsia" w:ascii="黑体" w:hAnsi="黑体" w:eastAsia="黑体" w:cs="黑体"/>
                <w:color w:val="auto"/>
                <w:spacing w:val="-1"/>
                <w:sz w:val="21"/>
                <w:szCs w:val="21"/>
                <w:highlight w:val="none"/>
              </w:rPr>
              <w:t>项目基本信息</w:t>
            </w:r>
          </w:p>
        </w:tc>
        <w:tc>
          <w:tcPr>
            <w:tcW w:w="11082" w:type="dxa"/>
            <w:gridSpan w:val="12"/>
          </w:tcPr>
          <w:p w14:paraId="2295E71C">
            <w:pPr>
              <w:pStyle w:val="211"/>
              <w:spacing w:before="270" w:line="220" w:lineRule="auto"/>
              <w:ind w:left="4883"/>
              <w:rPr>
                <w:rFonts w:hint="eastAsia" w:ascii="黑体" w:hAnsi="黑体" w:eastAsia="黑体" w:cs="黑体"/>
                <w:color w:val="auto"/>
                <w:sz w:val="21"/>
                <w:szCs w:val="21"/>
                <w:highlight w:val="none"/>
              </w:rPr>
            </w:pPr>
            <w:r>
              <w:rPr>
                <w:rFonts w:hint="eastAsia" w:ascii="黑体" w:hAnsi="黑体" w:eastAsia="黑体" w:cs="黑体"/>
                <w:color w:val="auto"/>
                <w:spacing w:val="-2"/>
                <w:sz w:val="21"/>
                <w:szCs w:val="21"/>
                <w:highlight w:val="none"/>
              </w:rPr>
              <w:t>派单情况</w:t>
            </w:r>
          </w:p>
        </w:tc>
        <w:tc>
          <w:tcPr>
            <w:tcW w:w="506" w:type="dxa"/>
            <w:vMerge w:val="restart"/>
            <w:tcBorders>
              <w:bottom w:val="nil"/>
            </w:tcBorders>
          </w:tcPr>
          <w:p w14:paraId="11394072">
            <w:pPr>
              <w:spacing w:line="254" w:lineRule="auto"/>
              <w:rPr>
                <w:rFonts w:hint="eastAsia" w:ascii="Arial"/>
                <w:color w:val="auto"/>
                <w:highlight w:val="none"/>
              </w:rPr>
            </w:pPr>
          </w:p>
          <w:p w14:paraId="69FA112D">
            <w:pPr>
              <w:spacing w:line="255" w:lineRule="auto"/>
              <w:rPr>
                <w:rFonts w:hint="eastAsia" w:ascii="Arial"/>
                <w:color w:val="auto"/>
                <w:highlight w:val="none"/>
              </w:rPr>
            </w:pPr>
          </w:p>
          <w:p w14:paraId="2F4CF048">
            <w:pPr>
              <w:spacing w:line="255" w:lineRule="auto"/>
              <w:rPr>
                <w:rFonts w:hint="eastAsia" w:ascii="Arial"/>
                <w:color w:val="auto"/>
                <w:highlight w:val="none"/>
              </w:rPr>
            </w:pPr>
          </w:p>
          <w:p w14:paraId="78082776">
            <w:pPr>
              <w:pStyle w:val="211"/>
              <w:spacing w:before="69" w:line="221" w:lineRule="auto"/>
              <w:ind w:left="23"/>
              <w:rPr>
                <w:rFonts w:hint="eastAsia"/>
                <w:color w:val="auto"/>
                <w:sz w:val="21"/>
                <w:szCs w:val="21"/>
                <w:highlight w:val="none"/>
              </w:rPr>
            </w:pPr>
            <w:r>
              <w:rPr>
                <w:b/>
                <w:bCs/>
                <w:color w:val="auto"/>
                <w:spacing w:val="-5"/>
                <w:sz w:val="21"/>
                <w:szCs w:val="21"/>
                <w:highlight w:val="none"/>
              </w:rPr>
              <w:t>备注</w:t>
            </w:r>
          </w:p>
        </w:tc>
      </w:tr>
      <w:tr w14:paraId="39DAC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8" w:hRule="atLeast"/>
          <w:jc w:val="center"/>
        </w:trPr>
        <w:tc>
          <w:tcPr>
            <w:tcW w:w="487" w:type="dxa"/>
            <w:vMerge w:val="continue"/>
            <w:tcBorders>
              <w:top w:val="nil"/>
            </w:tcBorders>
          </w:tcPr>
          <w:p w14:paraId="5E9D0973">
            <w:pPr>
              <w:rPr>
                <w:rFonts w:hint="eastAsia" w:ascii="黑体" w:hAnsi="黑体" w:eastAsia="黑体" w:cs="黑体"/>
                <w:color w:val="auto"/>
                <w:highlight w:val="none"/>
              </w:rPr>
            </w:pPr>
          </w:p>
        </w:tc>
        <w:tc>
          <w:tcPr>
            <w:tcW w:w="956" w:type="dxa"/>
            <w:vAlign w:val="center"/>
          </w:tcPr>
          <w:p w14:paraId="70B9D2CA">
            <w:pPr>
              <w:pStyle w:val="211"/>
              <w:spacing w:before="68" w:line="220" w:lineRule="auto"/>
              <w:jc w:val="center"/>
              <w:rPr>
                <w:rFonts w:hint="eastAsia" w:ascii="黑体" w:hAnsi="黑体" w:eastAsia="黑体" w:cs="黑体"/>
                <w:color w:val="auto"/>
                <w:sz w:val="21"/>
                <w:szCs w:val="21"/>
                <w:highlight w:val="none"/>
              </w:rPr>
            </w:pPr>
            <w:r>
              <w:rPr>
                <w:rFonts w:hint="eastAsia" w:ascii="黑体" w:hAnsi="黑体" w:eastAsia="黑体" w:cs="黑体"/>
                <w:color w:val="auto"/>
                <w:spacing w:val="2"/>
                <w:sz w:val="21"/>
                <w:szCs w:val="21"/>
                <w:highlight w:val="none"/>
              </w:rPr>
              <w:t>项目名称</w:t>
            </w:r>
          </w:p>
        </w:tc>
        <w:tc>
          <w:tcPr>
            <w:tcW w:w="938" w:type="dxa"/>
            <w:vAlign w:val="center"/>
          </w:tcPr>
          <w:p w14:paraId="6EFF3BF0">
            <w:pPr>
              <w:pStyle w:val="211"/>
              <w:spacing w:before="68" w:line="219" w:lineRule="auto"/>
              <w:jc w:val="center"/>
              <w:rPr>
                <w:rFonts w:hint="eastAsia" w:ascii="黑体" w:hAnsi="黑体" w:eastAsia="黑体" w:cs="黑体"/>
                <w:color w:val="auto"/>
                <w:sz w:val="21"/>
                <w:szCs w:val="21"/>
                <w:highlight w:val="none"/>
              </w:rPr>
            </w:pPr>
            <w:r>
              <w:rPr>
                <w:rFonts w:hint="eastAsia" w:ascii="黑体" w:hAnsi="黑体" w:eastAsia="黑体" w:cs="黑体"/>
                <w:color w:val="auto"/>
                <w:spacing w:val="2"/>
                <w:sz w:val="21"/>
                <w:szCs w:val="21"/>
                <w:highlight w:val="none"/>
              </w:rPr>
              <w:t>申请部门</w:t>
            </w:r>
          </w:p>
        </w:tc>
        <w:tc>
          <w:tcPr>
            <w:tcW w:w="712" w:type="dxa"/>
            <w:vAlign w:val="center"/>
          </w:tcPr>
          <w:p w14:paraId="1B4B7372">
            <w:pPr>
              <w:pStyle w:val="211"/>
              <w:spacing w:before="68" w:line="219" w:lineRule="auto"/>
              <w:ind w:right="8"/>
              <w:jc w:val="center"/>
              <w:rPr>
                <w:rFonts w:hint="eastAsia" w:ascii="黑体" w:hAnsi="黑体" w:eastAsia="黑体" w:cs="黑体"/>
                <w:color w:val="auto"/>
                <w:sz w:val="21"/>
                <w:szCs w:val="21"/>
                <w:highlight w:val="none"/>
              </w:rPr>
            </w:pPr>
            <w:r>
              <w:rPr>
                <w:rFonts w:hint="eastAsia" w:ascii="黑体" w:hAnsi="黑体" w:eastAsia="黑体" w:cs="黑体"/>
                <w:color w:val="auto"/>
                <w:spacing w:val="3"/>
                <w:sz w:val="21"/>
                <w:szCs w:val="21"/>
                <w:highlight w:val="none"/>
              </w:rPr>
              <w:t>申请人</w:t>
            </w:r>
          </w:p>
        </w:tc>
        <w:tc>
          <w:tcPr>
            <w:tcW w:w="938" w:type="dxa"/>
            <w:vAlign w:val="center"/>
          </w:tcPr>
          <w:p w14:paraId="3EDD6C22">
            <w:pPr>
              <w:pStyle w:val="211"/>
              <w:spacing w:before="68" w:line="219" w:lineRule="auto"/>
              <w:jc w:val="center"/>
              <w:rPr>
                <w:rFonts w:hint="eastAsia" w:ascii="黑体" w:hAnsi="黑体" w:eastAsia="黑体" w:cs="黑体"/>
                <w:color w:val="auto"/>
                <w:sz w:val="21"/>
                <w:szCs w:val="21"/>
                <w:highlight w:val="none"/>
              </w:rPr>
            </w:pPr>
            <w:r>
              <w:rPr>
                <w:rFonts w:hint="eastAsia" w:ascii="黑体" w:hAnsi="黑体" w:eastAsia="黑体" w:cs="黑体"/>
                <w:color w:val="auto"/>
                <w:spacing w:val="4"/>
                <w:sz w:val="21"/>
                <w:szCs w:val="21"/>
                <w:highlight w:val="none"/>
              </w:rPr>
              <w:t>委派劳务公司</w:t>
            </w:r>
          </w:p>
        </w:tc>
        <w:tc>
          <w:tcPr>
            <w:tcW w:w="1031" w:type="dxa"/>
            <w:vAlign w:val="center"/>
          </w:tcPr>
          <w:p w14:paraId="6F8150CB">
            <w:pPr>
              <w:pStyle w:val="211"/>
              <w:spacing w:before="68" w:line="251" w:lineRule="auto"/>
              <w:ind w:right="73"/>
              <w:jc w:val="center"/>
              <w:rPr>
                <w:rFonts w:hint="eastAsia" w:ascii="黑体" w:hAnsi="黑体" w:eastAsia="黑体" w:cs="黑体"/>
                <w:color w:val="auto"/>
                <w:sz w:val="21"/>
                <w:szCs w:val="21"/>
                <w:highlight w:val="none"/>
              </w:rPr>
            </w:pPr>
            <w:r>
              <w:rPr>
                <w:rFonts w:hint="eastAsia" w:ascii="黑体" w:hAnsi="黑体" w:eastAsia="黑体" w:cs="黑体"/>
                <w:color w:val="auto"/>
                <w:spacing w:val="6"/>
                <w:sz w:val="21"/>
                <w:szCs w:val="21"/>
                <w:highlight w:val="none"/>
                <w:lang w:eastAsia="zh-CN"/>
              </w:rPr>
              <w:t>派单</w:t>
            </w:r>
            <w:r>
              <w:rPr>
                <w:rFonts w:hint="eastAsia" w:ascii="黑体" w:hAnsi="黑体" w:eastAsia="黑体" w:cs="黑体"/>
                <w:color w:val="auto"/>
                <w:spacing w:val="6"/>
                <w:sz w:val="21"/>
                <w:szCs w:val="21"/>
                <w:highlight w:val="none"/>
              </w:rPr>
              <w:t>编号</w:t>
            </w:r>
          </w:p>
        </w:tc>
        <w:tc>
          <w:tcPr>
            <w:tcW w:w="1013" w:type="dxa"/>
            <w:vAlign w:val="center"/>
          </w:tcPr>
          <w:p w14:paraId="07B6B4D0">
            <w:pPr>
              <w:pStyle w:val="211"/>
              <w:spacing w:before="68" w:line="251" w:lineRule="auto"/>
              <w:ind w:right="73"/>
              <w:jc w:val="center"/>
              <w:rPr>
                <w:rFonts w:hint="eastAsia" w:ascii="黑体" w:hAnsi="黑体" w:eastAsia="黑体" w:cs="黑体"/>
                <w:color w:val="auto"/>
                <w:sz w:val="21"/>
                <w:szCs w:val="21"/>
                <w:highlight w:val="none"/>
              </w:rPr>
            </w:pPr>
            <w:r>
              <w:rPr>
                <w:rFonts w:hint="eastAsia" w:ascii="黑体" w:hAnsi="黑体" w:eastAsia="黑体" w:cs="黑体"/>
                <w:color w:val="auto"/>
                <w:spacing w:val="-4"/>
                <w:sz w:val="21"/>
                <w:szCs w:val="21"/>
                <w:highlight w:val="none"/>
              </w:rPr>
              <w:t>采购</w:t>
            </w:r>
            <w:r>
              <w:rPr>
                <w:rFonts w:hint="eastAsia" w:ascii="黑体" w:hAnsi="黑体" w:eastAsia="黑体" w:cs="黑体"/>
                <w:color w:val="auto"/>
                <w:spacing w:val="6"/>
                <w:sz w:val="21"/>
                <w:szCs w:val="21"/>
                <w:highlight w:val="none"/>
              </w:rPr>
              <w:t>编号</w:t>
            </w:r>
          </w:p>
        </w:tc>
        <w:tc>
          <w:tcPr>
            <w:tcW w:w="937" w:type="dxa"/>
            <w:vAlign w:val="center"/>
          </w:tcPr>
          <w:p w14:paraId="7858F133">
            <w:pPr>
              <w:pStyle w:val="211"/>
              <w:spacing w:before="68" w:line="219" w:lineRule="auto"/>
              <w:ind w:right="1"/>
              <w:jc w:val="center"/>
              <w:rPr>
                <w:rFonts w:hint="eastAsia" w:ascii="黑体" w:hAnsi="黑体" w:eastAsia="黑体" w:cs="黑体"/>
                <w:color w:val="auto"/>
                <w:sz w:val="21"/>
                <w:szCs w:val="21"/>
                <w:highlight w:val="none"/>
              </w:rPr>
            </w:pPr>
            <w:r>
              <w:rPr>
                <w:rFonts w:hint="eastAsia" w:ascii="黑体" w:hAnsi="黑体" w:eastAsia="黑体" w:cs="黑体"/>
                <w:color w:val="auto"/>
                <w:spacing w:val="5"/>
                <w:sz w:val="21"/>
                <w:szCs w:val="21"/>
                <w:highlight w:val="none"/>
              </w:rPr>
              <w:t>经办部门</w:t>
            </w:r>
          </w:p>
        </w:tc>
        <w:tc>
          <w:tcPr>
            <w:tcW w:w="675" w:type="dxa"/>
            <w:vAlign w:val="center"/>
          </w:tcPr>
          <w:p w14:paraId="567BEA38">
            <w:pPr>
              <w:pStyle w:val="211"/>
              <w:spacing w:before="68" w:line="219" w:lineRule="auto"/>
              <w:jc w:val="center"/>
              <w:rPr>
                <w:rFonts w:hint="eastAsia" w:ascii="黑体" w:hAnsi="黑体" w:eastAsia="黑体" w:cs="黑体"/>
                <w:color w:val="auto"/>
                <w:sz w:val="21"/>
                <w:szCs w:val="21"/>
                <w:highlight w:val="none"/>
              </w:rPr>
            </w:pPr>
            <w:r>
              <w:rPr>
                <w:rFonts w:hint="eastAsia" w:ascii="黑体" w:hAnsi="黑体" w:eastAsia="黑体" w:cs="黑体"/>
                <w:color w:val="auto"/>
                <w:spacing w:val="-3"/>
                <w:sz w:val="21"/>
                <w:szCs w:val="21"/>
                <w:highlight w:val="none"/>
              </w:rPr>
              <w:t>经办人</w:t>
            </w:r>
          </w:p>
        </w:tc>
        <w:tc>
          <w:tcPr>
            <w:tcW w:w="956" w:type="dxa"/>
            <w:vAlign w:val="center"/>
          </w:tcPr>
          <w:p w14:paraId="20095319">
            <w:pPr>
              <w:pStyle w:val="211"/>
              <w:spacing w:before="281" w:line="276" w:lineRule="auto"/>
              <w:ind w:right="84"/>
              <w:jc w:val="center"/>
              <w:rPr>
                <w:rFonts w:hint="eastAsia" w:ascii="黑体" w:hAnsi="黑体" w:eastAsia="黑体" w:cs="黑体"/>
                <w:color w:val="auto"/>
                <w:sz w:val="21"/>
                <w:szCs w:val="21"/>
                <w:highlight w:val="none"/>
              </w:rPr>
            </w:pPr>
            <w:r>
              <w:rPr>
                <w:rFonts w:hint="eastAsia" w:ascii="黑体" w:hAnsi="黑体" w:eastAsia="黑体" w:cs="黑体"/>
                <w:color w:val="auto"/>
                <w:spacing w:val="3"/>
                <w:sz w:val="21"/>
                <w:szCs w:val="21"/>
                <w:highlight w:val="none"/>
              </w:rPr>
              <w:t>项目投</w:t>
            </w:r>
            <w:r>
              <w:rPr>
                <w:rFonts w:hint="eastAsia" w:ascii="黑体" w:hAnsi="黑体" w:eastAsia="黑体" w:cs="黑体"/>
                <w:color w:val="auto"/>
                <w:spacing w:val="2"/>
                <w:sz w:val="21"/>
                <w:szCs w:val="21"/>
                <w:highlight w:val="none"/>
              </w:rPr>
              <w:t>资金额</w:t>
            </w:r>
          </w:p>
        </w:tc>
        <w:tc>
          <w:tcPr>
            <w:tcW w:w="994" w:type="dxa"/>
            <w:vAlign w:val="center"/>
          </w:tcPr>
          <w:p w14:paraId="05C23679">
            <w:pPr>
              <w:pStyle w:val="211"/>
              <w:spacing w:before="281" w:line="276" w:lineRule="auto"/>
              <w:ind w:right="84"/>
              <w:jc w:val="center"/>
              <w:rPr>
                <w:rFonts w:hint="eastAsia" w:ascii="黑体" w:hAnsi="黑体" w:eastAsia="黑体" w:cs="黑体"/>
                <w:color w:val="auto"/>
                <w:sz w:val="21"/>
                <w:szCs w:val="21"/>
                <w:highlight w:val="none"/>
              </w:rPr>
            </w:pPr>
            <w:r>
              <w:rPr>
                <w:rFonts w:hint="eastAsia" w:ascii="黑体" w:hAnsi="黑体" w:eastAsia="黑体" w:cs="黑体"/>
                <w:color w:val="auto"/>
                <w:spacing w:val="3"/>
                <w:sz w:val="21"/>
                <w:szCs w:val="21"/>
                <w:highlight w:val="none"/>
                <w:lang w:eastAsia="zh-CN"/>
              </w:rPr>
              <w:t>预估劳务费用</w:t>
            </w:r>
          </w:p>
        </w:tc>
        <w:tc>
          <w:tcPr>
            <w:tcW w:w="900" w:type="dxa"/>
            <w:vAlign w:val="center"/>
          </w:tcPr>
          <w:p w14:paraId="32AD9B0E">
            <w:pPr>
              <w:pStyle w:val="211"/>
              <w:spacing w:before="68" w:line="242" w:lineRule="auto"/>
              <w:ind w:right="22"/>
              <w:jc w:val="center"/>
              <w:rPr>
                <w:rFonts w:hint="eastAsia" w:ascii="黑体" w:hAnsi="黑体" w:eastAsia="黑体" w:cs="黑体"/>
                <w:color w:val="auto"/>
                <w:sz w:val="21"/>
                <w:szCs w:val="21"/>
                <w:highlight w:val="none"/>
                <w:lang w:eastAsia="zh-CN"/>
              </w:rPr>
            </w:pPr>
            <w:r>
              <w:rPr>
                <w:rFonts w:hint="eastAsia" w:ascii="黑体" w:hAnsi="黑体" w:eastAsia="黑体" w:cs="黑体"/>
                <w:color w:val="auto"/>
                <w:spacing w:val="-4"/>
                <w:sz w:val="21"/>
                <w:szCs w:val="21"/>
                <w:highlight w:val="none"/>
              </w:rPr>
              <w:t>委派</w:t>
            </w:r>
            <w:r>
              <w:rPr>
                <w:rFonts w:hint="eastAsia" w:ascii="黑体" w:hAnsi="黑体" w:eastAsia="黑体" w:cs="黑体"/>
                <w:color w:val="auto"/>
                <w:spacing w:val="-5"/>
                <w:sz w:val="21"/>
                <w:szCs w:val="21"/>
                <w:highlight w:val="none"/>
              </w:rPr>
              <w:t>方式</w:t>
            </w:r>
          </w:p>
        </w:tc>
        <w:tc>
          <w:tcPr>
            <w:tcW w:w="919" w:type="dxa"/>
            <w:vAlign w:val="center"/>
          </w:tcPr>
          <w:p w14:paraId="4E7B5350">
            <w:pPr>
              <w:pStyle w:val="211"/>
              <w:spacing w:before="68" w:line="220" w:lineRule="auto"/>
              <w:jc w:val="center"/>
              <w:rPr>
                <w:rFonts w:hint="eastAsia" w:ascii="黑体" w:hAnsi="黑体" w:eastAsia="黑体" w:cs="黑体"/>
                <w:color w:val="auto"/>
                <w:sz w:val="21"/>
                <w:szCs w:val="21"/>
                <w:highlight w:val="none"/>
              </w:rPr>
            </w:pPr>
            <w:r>
              <w:rPr>
                <w:rFonts w:hint="eastAsia" w:ascii="黑体" w:hAnsi="黑体" w:eastAsia="黑体" w:cs="黑体"/>
                <w:color w:val="auto"/>
                <w:spacing w:val="3"/>
                <w:sz w:val="21"/>
                <w:szCs w:val="21"/>
                <w:highlight w:val="none"/>
              </w:rPr>
              <w:t>委派日期</w:t>
            </w:r>
          </w:p>
        </w:tc>
        <w:tc>
          <w:tcPr>
            <w:tcW w:w="881" w:type="dxa"/>
            <w:vAlign w:val="center"/>
          </w:tcPr>
          <w:p w14:paraId="481C9266">
            <w:pPr>
              <w:pStyle w:val="211"/>
              <w:spacing w:before="68" w:line="219" w:lineRule="auto"/>
              <w:jc w:val="center"/>
              <w:rPr>
                <w:rFonts w:hint="eastAsia" w:ascii="黑体" w:hAnsi="黑体" w:eastAsia="黑体" w:cs="黑体"/>
                <w:color w:val="auto"/>
                <w:sz w:val="21"/>
                <w:szCs w:val="21"/>
                <w:highlight w:val="none"/>
              </w:rPr>
            </w:pPr>
            <w:r>
              <w:rPr>
                <w:rFonts w:hint="eastAsia" w:ascii="黑体" w:hAnsi="黑体" w:eastAsia="黑体" w:cs="黑体"/>
                <w:color w:val="auto"/>
                <w:spacing w:val="3"/>
                <w:sz w:val="21"/>
                <w:szCs w:val="21"/>
                <w:highlight w:val="none"/>
              </w:rPr>
              <w:t>合同编号</w:t>
            </w:r>
          </w:p>
        </w:tc>
        <w:tc>
          <w:tcPr>
            <w:tcW w:w="900" w:type="dxa"/>
            <w:vAlign w:val="center"/>
          </w:tcPr>
          <w:p w14:paraId="68B5E53F">
            <w:pPr>
              <w:pStyle w:val="211"/>
              <w:spacing w:before="69" w:line="221" w:lineRule="auto"/>
              <w:jc w:val="center"/>
              <w:rPr>
                <w:rFonts w:hint="eastAsia" w:ascii="黑体" w:hAnsi="黑体" w:eastAsia="黑体" w:cs="黑体"/>
                <w:color w:val="auto"/>
                <w:sz w:val="21"/>
                <w:szCs w:val="21"/>
                <w:highlight w:val="none"/>
              </w:rPr>
            </w:pPr>
            <w:r>
              <w:rPr>
                <w:rFonts w:hint="eastAsia" w:ascii="黑体" w:hAnsi="黑体" w:eastAsia="黑体" w:cs="黑体"/>
                <w:color w:val="auto"/>
                <w:spacing w:val="-2"/>
                <w:sz w:val="21"/>
                <w:szCs w:val="21"/>
                <w:highlight w:val="none"/>
              </w:rPr>
              <w:t>合同名称</w:t>
            </w:r>
          </w:p>
        </w:tc>
        <w:tc>
          <w:tcPr>
            <w:tcW w:w="938" w:type="dxa"/>
            <w:vAlign w:val="center"/>
          </w:tcPr>
          <w:p w14:paraId="1E9D02C8">
            <w:pPr>
              <w:pStyle w:val="211"/>
              <w:spacing w:before="68" w:line="220" w:lineRule="auto"/>
              <w:jc w:val="center"/>
              <w:rPr>
                <w:rFonts w:hint="eastAsia" w:ascii="黑体" w:hAnsi="黑体" w:eastAsia="黑体" w:cs="黑体"/>
                <w:color w:val="auto"/>
                <w:sz w:val="21"/>
                <w:szCs w:val="21"/>
                <w:highlight w:val="none"/>
              </w:rPr>
            </w:pPr>
            <w:r>
              <w:rPr>
                <w:rFonts w:hint="eastAsia" w:ascii="黑体" w:hAnsi="黑体" w:eastAsia="黑体" w:cs="黑体"/>
                <w:color w:val="auto"/>
                <w:spacing w:val="2"/>
                <w:sz w:val="21"/>
                <w:szCs w:val="21"/>
                <w:highlight w:val="none"/>
              </w:rPr>
              <w:t>合同签订日期</w:t>
            </w:r>
          </w:p>
        </w:tc>
        <w:tc>
          <w:tcPr>
            <w:tcW w:w="506" w:type="dxa"/>
            <w:vMerge w:val="continue"/>
            <w:tcBorders>
              <w:top w:val="nil"/>
            </w:tcBorders>
          </w:tcPr>
          <w:p w14:paraId="5F0B3F66">
            <w:pPr>
              <w:rPr>
                <w:rFonts w:hint="eastAsia" w:ascii="Arial"/>
                <w:color w:val="auto"/>
                <w:highlight w:val="none"/>
              </w:rPr>
            </w:pPr>
          </w:p>
        </w:tc>
      </w:tr>
      <w:tr w14:paraId="7A538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487" w:type="dxa"/>
          </w:tcPr>
          <w:p w14:paraId="1AA22FB8">
            <w:pPr>
              <w:spacing w:line="365" w:lineRule="auto"/>
              <w:rPr>
                <w:rFonts w:ascii="Times New Roman" w:hAnsi="Times New Roman" w:cs="Times New Roman"/>
                <w:color w:val="auto"/>
                <w:sz w:val="24"/>
                <w:szCs w:val="24"/>
                <w:highlight w:val="none"/>
              </w:rPr>
            </w:pPr>
          </w:p>
          <w:p w14:paraId="7DED4458">
            <w:pPr>
              <w:pStyle w:val="211"/>
              <w:spacing w:before="68" w:line="184" w:lineRule="auto"/>
              <w:ind w:left="175"/>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w:t>
            </w:r>
          </w:p>
        </w:tc>
        <w:tc>
          <w:tcPr>
            <w:tcW w:w="956" w:type="dxa"/>
          </w:tcPr>
          <w:p w14:paraId="57A422D2">
            <w:pPr>
              <w:rPr>
                <w:rFonts w:ascii="Times New Roman" w:hAnsi="Times New Roman" w:cs="Times New Roman"/>
                <w:color w:val="auto"/>
                <w:sz w:val="24"/>
                <w:szCs w:val="24"/>
                <w:highlight w:val="none"/>
              </w:rPr>
            </w:pPr>
          </w:p>
        </w:tc>
        <w:tc>
          <w:tcPr>
            <w:tcW w:w="938" w:type="dxa"/>
          </w:tcPr>
          <w:p w14:paraId="2C719248">
            <w:pPr>
              <w:rPr>
                <w:rFonts w:ascii="Times New Roman" w:hAnsi="Times New Roman" w:cs="Times New Roman"/>
                <w:color w:val="auto"/>
                <w:sz w:val="24"/>
                <w:szCs w:val="24"/>
                <w:highlight w:val="none"/>
              </w:rPr>
            </w:pPr>
          </w:p>
        </w:tc>
        <w:tc>
          <w:tcPr>
            <w:tcW w:w="712" w:type="dxa"/>
          </w:tcPr>
          <w:p w14:paraId="4D357D55">
            <w:pPr>
              <w:rPr>
                <w:rFonts w:ascii="Times New Roman" w:hAnsi="Times New Roman" w:cs="Times New Roman"/>
                <w:color w:val="auto"/>
                <w:sz w:val="24"/>
                <w:szCs w:val="24"/>
                <w:highlight w:val="none"/>
              </w:rPr>
            </w:pPr>
          </w:p>
        </w:tc>
        <w:tc>
          <w:tcPr>
            <w:tcW w:w="938" w:type="dxa"/>
          </w:tcPr>
          <w:p w14:paraId="2A1B10D0">
            <w:pPr>
              <w:rPr>
                <w:rFonts w:ascii="Times New Roman" w:hAnsi="Times New Roman" w:cs="Times New Roman"/>
                <w:color w:val="auto"/>
                <w:sz w:val="24"/>
                <w:szCs w:val="24"/>
                <w:highlight w:val="none"/>
              </w:rPr>
            </w:pPr>
          </w:p>
        </w:tc>
        <w:tc>
          <w:tcPr>
            <w:tcW w:w="1031" w:type="dxa"/>
          </w:tcPr>
          <w:p w14:paraId="7A2547AD">
            <w:pPr>
              <w:rPr>
                <w:rFonts w:ascii="Times New Roman" w:hAnsi="Times New Roman" w:cs="Times New Roman"/>
                <w:color w:val="auto"/>
                <w:sz w:val="24"/>
                <w:szCs w:val="24"/>
                <w:highlight w:val="none"/>
              </w:rPr>
            </w:pPr>
          </w:p>
        </w:tc>
        <w:tc>
          <w:tcPr>
            <w:tcW w:w="1013" w:type="dxa"/>
          </w:tcPr>
          <w:p w14:paraId="0AF2EEED">
            <w:pPr>
              <w:rPr>
                <w:rFonts w:ascii="Times New Roman" w:hAnsi="Times New Roman" w:cs="Times New Roman"/>
                <w:color w:val="auto"/>
                <w:sz w:val="24"/>
                <w:szCs w:val="24"/>
                <w:highlight w:val="none"/>
              </w:rPr>
            </w:pPr>
          </w:p>
        </w:tc>
        <w:tc>
          <w:tcPr>
            <w:tcW w:w="937" w:type="dxa"/>
          </w:tcPr>
          <w:p w14:paraId="6326077A">
            <w:pPr>
              <w:rPr>
                <w:rFonts w:ascii="Times New Roman" w:hAnsi="Times New Roman" w:cs="Times New Roman"/>
                <w:color w:val="auto"/>
                <w:sz w:val="24"/>
                <w:szCs w:val="24"/>
                <w:highlight w:val="none"/>
              </w:rPr>
            </w:pPr>
          </w:p>
        </w:tc>
        <w:tc>
          <w:tcPr>
            <w:tcW w:w="675" w:type="dxa"/>
          </w:tcPr>
          <w:p w14:paraId="7770FC54">
            <w:pPr>
              <w:rPr>
                <w:rFonts w:ascii="Times New Roman" w:hAnsi="Times New Roman" w:cs="Times New Roman"/>
                <w:color w:val="auto"/>
                <w:sz w:val="24"/>
                <w:szCs w:val="24"/>
                <w:highlight w:val="none"/>
              </w:rPr>
            </w:pPr>
          </w:p>
        </w:tc>
        <w:tc>
          <w:tcPr>
            <w:tcW w:w="956" w:type="dxa"/>
          </w:tcPr>
          <w:p w14:paraId="60C7C062">
            <w:pPr>
              <w:rPr>
                <w:rFonts w:ascii="Times New Roman" w:hAnsi="Times New Roman" w:cs="Times New Roman"/>
                <w:color w:val="auto"/>
                <w:sz w:val="24"/>
                <w:szCs w:val="24"/>
                <w:highlight w:val="none"/>
              </w:rPr>
            </w:pPr>
          </w:p>
        </w:tc>
        <w:tc>
          <w:tcPr>
            <w:tcW w:w="994" w:type="dxa"/>
          </w:tcPr>
          <w:p w14:paraId="6BCFE440">
            <w:pPr>
              <w:rPr>
                <w:rFonts w:ascii="Times New Roman" w:hAnsi="Times New Roman" w:cs="Times New Roman"/>
                <w:color w:val="auto"/>
                <w:sz w:val="24"/>
                <w:szCs w:val="24"/>
                <w:highlight w:val="none"/>
              </w:rPr>
            </w:pPr>
          </w:p>
        </w:tc>
        <w:tc>
          <w:tcPr>
            <w:tcW w:w="900" w:type="dxa"/>
          </w:tcPr>
          <w:p w14:paraId="68CC78F2">
            <w:pPr>
              <w:rPr>
                <w:rFonts w:ascii="Times New Roman" w:hAnsi="Times New Roman" w:cs="Times New Roman"/>
                <w:color w:val="auto"/>
                <w:sz w:val="24"/>
                <w:szCs w:val="24"/>
                <w:highlight w:val="none"/>
              </w:rPr>
            </w:pPr>
          </w:p>
        </w:tc>
        <w:tc>
          <w:tcPr>
            <w:tcW w:w="919" w:type="dxa"/>
          </w:tcPr>
          <w:p w14:paraId="4CC8BF2E">
            <w:pPr>
              <w:rPr>
                <w:rFonts w:ascii="Times New Roman" w:hAnsi="Times New Roman" w:cs="Times New Roman"/>
                <w:color w:val="auto"/>
                <w:sz w:val="24"/>
                <w:szCs w:val="24"/>
                <w:highlight w:val="none"/>
              </w:rPr>
            </w:pPr>
          </w:p>
        </w:tc>
        <w:tc>
          <w:tcPr>
            <w:tcW w:w="881" w:type="dxa"/>
          </w:tcPr>
          <w:p w14:paraId="7D889A91">
            <w:pPr>
              <w:rPr>
                <w:rFonts w:ascii="Times New Roman" w:hAnsi="Times New Roman" w:cs="Times New Roman"/>
                <w:color w:val="auto"/>
                <w:sz w:val="24"/>
                <w:szCs w:val="24"/>
                <w:highlight w:val="none"/>
              </w:rPr>
            </w:pPr>
          </w:p>
        </w:tc>
        <w:tc>
          <w:tcPr>
            <w:tcW w:w="900" w:type="dxa"/>
          </w:tcPr>
          <w:p w14:paraId="2F72672E">
            <w:pPr>
              <w:rPr>
                <w:rFonts w:ascii="Times New Roman" w:hAnsi="Times New Roman" w:cs="Times New Roman"/>
                <w:color w:val="auto"/>
                <w:sz w:val="24"/>
                <w:szCs w:val="24"/>
                <w:highlight w:val="none"/>
              </w:rPr>
            </w:pPr>
          </w:p>
        </w:tc>
        <w:tc>
          <w:tcPr>
            <w:tcW w:w="938" w:type="dxa"/>
          </w:tcPr>
          <w:p w14:paraId="732FD5B0">
            <w:pPr>
              <w:rPr>
                <w:rFonts w:ascii="Times New Roman" w:hAnsi="Times New Roman" w:cs="Times New Roman"/>
                <w:color w:val="auto"/>
                <w:sz w:val="24"/>
                <w:szCs w:val="24"/>
                <w:highlight w:val="none"/>
              </w:rPr>
            </w:pPr>
          </w:p>
        </w:tc>
        <w:tc>
          <w:tcPr>
            <w:tcW w:w="506" w:type="dxa"/>
          </w:tcPr>
          <w:p w14:paraId="03057082">
            <w:pPr>
              <w:rPr>
                <w:rFonts w:ascii="Times New Roman" w:hAnsi="Times New Roman" w:cs="Times New Roman"/>
                <w:color w:val="auto"/>
                <w:sz w:val="24"/>
                <w:szCs w:val="24"/>
                <w:highlight w:val="none"/>
              </w:rPr>
            </w:pPr>
          </w:p>
        </w:tc>
      </w:tr>
      <w:tr w14:paraId="23CE7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487" w:type="dxa"/>
          </w:tcPr>
          <w:p w14:paraId="58151EC7">
            <w:pPr>
              <w:spacing w:line="367" w:lineRule="auto"/>
              <w:rPr>
                <w:rFonts w:ascii="Times New Roman" w:hAnsi="Times New Roman" w:cs="Times New Roman"/>
                <w:color w:val="auto"/>
                <w:sz w:val="24"/>
                <w:szCs w:val="24"/>
                <w:highlight w:val="none"/>
              </w:rPr>
            </w:pPr>
          </w:p>
          <w:p w14:paraId="1E59A2B3">
            <w:pPr>
              <w:pStyle w:val="211"/>
              <w:spacing w:before="68" w:line="183" w:lineRule="auto"/>
              <w:ind w:left="175"/>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w:t>
            </w:r>
          </w:p>
        </w:tc>
        <w:tc>
          <w:tcPr>
            <w:tcW w:w="956" w:type="dxa"/>
          </w:tcPr>
          <w:p w14:paraId="4377A6EB">
            <w:pPr>
              <w:rPr>
                <w:rFonts w:ascii="Times New Roman" w:hAnsi="Times New Roman" w:cs="Times New Roman"/>
                <w:color w:val="auto"/>
                <w:sz w:val="24"/>
                <w:szCs w:val="24"/>
                <w:highlight w:val="none"/>
              </w:rPr>
            </w:pPr>
          </w:p>
        </w:tc>
        <w:tc>
          <w:tcPr>
            <w:tcW w:w="938" w:type="dxa"/>
          </w:tcPr>
          <w:p w14:paraId="1BB47B85">
            <w:pPr>
              <w:rPr>
                <w:rFonts w:ascii="Times New Roman" w:hAnsi="Times New Roman" w:cs="Times New Roman"/>
                <w:color w:val="auto"/>
                <w:sz w:val="24"/>
                <w:szCs w:val="24"/>
                <w:highlight w:val="none"/>
              </w:rPr>
            </w:pPr>
          </w:p>
        </w:tc>
        <w:tc>
          <w:tcPr>
            <w:tcW w:w="712" w:type="dxa"/>
          </w:tcPr>
          <w:p w14:paraId="3026B4BE">
            <w:pPr>
              <w:rPr>
                <w:rFonts w:ascii="Times New Roman" w:hAnsi="Times New Roman" w:cs="Times New Roman"/>
                <w:color w:val="auto"/>
                <w:sz w:val="24"/>
                <w:szCs w:val="24"/>
                <w:highlight w:val="none"/>
              </w:rPr>
            </w:pPr>
          </w:p>
        </w:tc>
        <w:tc>
          <w:tcPr>
            <w:tcW w:w="938" w:type="dxa"/>
          </w:tcPr>
          <w:p w14:paraId="661E766E">
            <w:pPr>
              <w:rPr>
                <w:rFonts w:ascii="Times New Roman" w:hAnsi="Times New Roman" w:cs="Times New Roman"/>
                <w:color w:val="auto"/>
                <w:sz w:val="24"/>
                <w:szCs w:val="24"/>
                <w:highlight w:val="none"/>
              </w:rPr>
            </w:pPr>
          </w:p>
        </w:tc>
        <w:tc>
          <w:tcPr>
            <w:tcW w:w="1031" w:type="dxa"/>
          </w:tcPr>
          <w:p w14:paraId="67E17525">
            <w:pPr>
              <w:rPr>
                <w:rFonts w:ascii="Times New Roman" w:hAnsi="Times New Roman" w:cs="Times New Roman"/>
                <w:color w:val="auto"/>
                <w:sz w:val="24"/>
                <w:szCs w:val="24"/>
                <w:highlight w:val="none"/>
              </w:rPr>
            </w:pPr>
          </w:p>
        </w:tc>
        <w:tc>
          <w:tcPr>
            <w:tcW w:w="1013" w:type="dxa"/>
          </w:tcPr>
          <w:p w14:paraId="2C6E6D53">
            <w:pPr>
              <w:rPr>
                <w:rFonts w:ascii="Times New Roman" w:hAnsi="Times New Roman" w:cs="Times New Roman"/>
                <w:color w:val="auto"/>
                <w:sz w:val="24"/>
                <w:szCs w:val="24"/>
                <w:highlight w:val="none"/>
              </w:rPr>
            </w:pPr>
          </w:p>
        </w:tc>
        <w:tc>
          <w:tcPr>
            <w:tcW w:w="937" w:type="dxa"/>
          </w:tcPr>
          <w:p w14:paraId="37C12A2E">
            <w:pPr>
              <w:rPr>
                <w:rFonts w:ascii="Times New Roman" w:hAnsi="Times New Roman" w:cs="Times New Roman"/>
                <w:color w:val="auto"/>
                <w:sz w:val="24"/>
                <w:szCs w:val="24"/>
                <w:highlight w:val="none"/>
              </w:rPr>
            </w:pPr>
          </w:p>
        </w:tc>
        <w:tc>
          <w:tcPr>
            <w:tcW w:w="675" w:type="dxa"/>
          </w:tcPr>
          <w:p w14:paraId="5B12E471">
            <w:pPr>
              <w:rPr>
                <w:rFonts w:ascii="Times New Roman" w:hAnsi="Times New Roman" w:cs="Times New Roman"/>
                <w:color w:val="auto"/>
                <w:sz w:val="24"/>
                <w:szCs w:val="24"/>
                <w:highlight w:val="none"/>
              </w:rPr>
            </w:pPr>
          </w:p>
        </w:tc>
        <w:tc>
          <w:tcPr>
            <w:tcW w:w="956" w:type="dxa"/>
          </w:tcPr>
          <w:p w14:paraId="5744E564">
            <w:pPr>
              <w:rPr>
                <w:rFonts w:ascii="Times New Roman" w:hAnsi="Times New Roman" w:cs="Times New Roman"/>
                <w:color w:val="auto"/>
                <w:sz w:val="24"/>
                <w:szCs w:val="24"/>
                <w:highlight w:val="none"/>
              </w:rPr>
            </w:pPr>
          </w:p>
        </w:tc>
        <w:tc>
          <w:tcPr>
            <w:tcW w:w="994" w:type="dxa"/>
          </w:tcPr>
          <w:p w14:paraId="30AC8D37">
            <w:pPr>
              <w:rPr>
                <w:rFonts w:ascii="Times New Roman" w:hAnsi="Times New Roman" w:cs="Times New Roman"/>
                <w:color w:val="auto"/>
                <w:sz w:val="24"/>
                <w:szCs w:val="24"/>
                <w:highlight w:val="none"/>
              </w:rPr>
            </w:pPr>
          </w:p>
        </w:tc>
        <w:tc>
          <w:tcPr>
            <w:tcW w:w="900" w:type="dxa"/>
          </w:tcPr>
          <w:p w14:paraId="679ECC18">
            <w:pPr>
              <w:rPr>
                <w:rFonts w:ascii="Times New Roman" w:hAnsi="Times New Roman" w:cs="Times New Roman"/>
                <w:color w:val="auto"/>
                <w:sz w:val="24"/>
                <w:szCs w:val="24"/>
                <w:highlight w:val="none"/>
              </w:rPr>
            </w:pPr>
          </w:p>
        </w:tc>
        <w:tc>
          <w:tcPr>
            <w:tcW w:w="919" w:type="dxa"/>
          </w:tcPr>
          <w:p w14:paraId="404C4384">
            <w:pPr>
              <w:rPr>
                <w:rFonts w:ascii="Times New Roman" w:hAnsi="Times New Roman" w:cs="Times New Roman"/>
                <w:color w:val="auto"/>
                <w:sz w:val="24"/>
                <w:szCs w:val="24"/>
                <w:highlight w:val="none"/>
              </w:rPr>
            </w:pPr>
          </w:p>
        </w:tc>
        <w:tc>
          <w:tcPr>
            <w:tcW w:w="881" w:type="dxa"/>
          </w:tcPr>
          <w:p w14:paraId="7E3FA310">
            <w:pPr>
              <w:rPr>
                <w:rFonts w:ascii="Times New Roman" w:hAnsi="Times New Roman" w:cs="Times New Roman"/>
                <w:color w:val="auto"/>
                <w:sz w:val="24"/>
                <w:szCs w:val="24"/>
                <w:highlight w:val="none"/>
              </w:rPr>
            </w:pPr>
          </w:p>
        </w:tc>
        <w:tc>
          <w:tcPr>
            <w:tcW w:w="900" w:type="dxa"/>
          </w:tcPr>
          <w:p w14:paraId="4970FFAC">
            <w:pPr>
              <w:rPr>
                <w:rFonts w:ascii="Times New Roman" w:hAnsi="Times New Roman" w:cs="Times New Roman"/>
                <w:color w:val="auto"/>
                <w:sz w:val="24"/>
                <w:szCs w:val="24"/>
                <w:highlight w:val="none"/>
              </w:rPr>
            </w:pPr>
          </w:p>
        </w:tc>
        <w:tc>
          <w:tcPr>
            <w:tcW w:w="938" w:type="dxa"/>
          </w:tcPr>
          <w:p w14:paraId="05B21B61">
            <w:pPr>
              <w:rPr>
                <w:rFonts w:ascii="Times New Roman" w:hAnsi="Times New Roman" w:cs="Times New Roman"/>
                <w:color w:val="auto"/>
                <w:sz w:val="24"/>
                <w:szCs w:val="24"/>
                <w:highlight w:val="none"/>
              </w:rPr>
            </w:pPr>
          </w:p>
        </w:tc>
        <w:tc>
          <w:tcPr>
            <w:tcW w:w="506" w:type="dxa"/>
          </w:tcPr>
          <w:p w14:paraId="3EF975C8">
            <w:pPr>
              <w:rPr>
                <w:rFonts w:ascii="Times New Roman" w:hAnsi="Times New Roman" w:cs="Times New Roman"/>
                <w:color w:val="auto"/>
                <w:sz w:val="24"/>
                <w:szCs w:val="24"/>
                <w:highlight w:val="none"/>
              </w:rPr>
            </w:pPr>
          </w:p>
        </w:tc>
      </w:tr>
      <w:tr w14:paraId="0D292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487" w:type="dxa"/>
          </w:tcPr>
          <w:p w14:paraId="0C5BE663">
            <w:pPr>
              <w:spacing w:line="379" w:lineRule="auto"/>
              <w:rPr>
                <w:rFonts w:ascii="Times New Roman" w:hAnsi="Times New Roman" w:cs="Times New Roman"/>
                <w:color w:val="auto"/>
                <w:sz w:val="24"/>
                <w:szCs w:val="24"/>
                <w:highlight w:val="none"/>
              </w:rPr>
            </w:pPr>
          </w:p>
          <w:p w14:paraId="320E2AA7">
            <w:pPr>
              <w:pStyle w:val="211"/>
              <w:spacing w:before="68" w:line="183" w:lineRule="auto"/>
              <w:ind w:left="175"/>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3</w:t>
            </w:r>
          </w:p>
        </w:tc>
        <w:tc>
          <w:tcPr>
            <w:tcW w:w="956" w:type="dxa"/>
          </w:tcPr>
          <w:p w14:paraId="272DD64A">
            <w:pPr>
              <w:rPr>
                <w:rFonts w:ascii="Times New Roman" w:hAnsi="Times New Roman" w:cs="Times New Roman"/>
                <w:color w:val="auto"/>
                <w:sz w:val="24"/>
                <w:szCs w:val="24"/>
                <w:highlight w:val="none"/>
              </w:rPr>
            </w:pPr>
          </w:p>
        </w:tc>
        <w:tc>
          <w:tcPr>
            <w:tcW w:w="938" w:type="dxa"/>
          </w:tcPr>
          <w:p w14:paraId="2DDCDBCA">
            <w:pPr>
              <w:rPr>
                <w:rFonts w:ascii="Times New Roman" w:hAnsi="Times New Roman" w:cs="Times New Roman"/>
                <w:color w:val="auto"/>
                <w:sz w:val="24"/>
                <w:szCs w:val="24"/>
                <w:highlight w:val="none"/>
              </w:rPr>
            </w:pPr>
          </w:p>
        </w:tc>
        <w:tc>
          <w:tcPr>
            <w:tcW w:w="712" w:type="dxa"/>
          </w:tcPr>
          <w:p w14:paraId="0FCE5099">
            <w:pPr>
              <w:rPr>
                <w:rFonts w:ascii="Times New Roman" w:hAnsi="Times New Roman" w:cs="Times New Roman"/>
                <w:color w:val="auto"/>
                <w:sz w:val="24"/>
                <w:szCs w:val="24"/>
                <w:highlight w:val="none"/>
              </w:rPr>
            </w:pPr>
          </w:p>
        </w:tc>
        <w:tc>
          <w:tcPr>
            <w:tcW w:w="938" w:type="dxa"/>
          </w:tcPr>
          <w:p w14:paraId="584D1B52">
            <w:pPr>
              <w:rPr>
                <w:rFonts w:ascii="Times New Roman" w:hAnsi="Times New Roman" w:cs="Times New Roman"/>
                <w:color w:val="auto"/>
                <w:sz w:val="24"/>
                <w:szCs w:val="24"/>
                <w:highlight w:val="none"/>
              </w:rPr>
            </w:pPr>
          </w:p>
        </w:tc>
        <w:tc>
          <w:tcPr>
            <w:tcW w:w="1031" w:type="dxa"/>
          </w:tcPr>
          <w:p w14:paraId="0DB6F127">
            <w:pPr>
              <w:rPr>
                <w:rFonts w:ascii="Times New Roman" w:hAnsi="Times New Roman" w:cs="Times New Roman"/>
                <w:color w:val="auto"/>
                <w:sz w:val="24"/>
                <w:szCs w:val="24"/>
                <w:highlight w:val="none"/>
              </w:rPr>
            </w:pPr>
          </w:p>
        </w:tc>
        <w:tc>
          <w:tcPr>
            <w:tcW w:w="1013" w:type="dxa"/>
          </w:tcPr>
          <w:p w14:paraId="63BB7C4A">
            <w:pPr>
              <w:rPr>
                <w:rFonts w:ascii="Times New Roman" w:hAnsi="Times New Roman" w:cs="Times New Roman"/>
                <w:color w:val="auto"/>
                <w:sz w:val="24"/>
                <w:szCs w:val="24"/>
                <w:highlight w:val="none"/>
              </w:rPr>
            </w:pPr>
          </w:p>
        </w:tc>
        <w:tc>
          <w:tcPr>
            <w:tcW w:w="937" w:type="dxa"/>
          </w:tcPr>
          <w:p w14:paraId="525B3632">
            <w:pPr>
              <w:rPr>
                <w:rFonts w:ascii="Times New Roman" w:hAnsi="Times New Roman" w:cs="Times New Roman"/>
                <w:color w:val="auto"/>
                <w:sz w:val="24"/>
                <w:szCs w:val="24"/>
                <w:highlight w:val="none"/>
              </w:rPr>
            </w:pPr>
          </w:p>
        </w:tc>
        <w:tc>
          <w:tcPr>
            <w:tcW w:w="675" w:type="dxa"/>
          </w:tcPr>
          <w:p w14:paraId="36DD1608">
            <w:pPr>
              <w:rPr>
                <w:rFonts w:ascii="Times New Roman" w:hAnsi="Times New Roman" w:cs="Times New Roman"/>
                <w:color w:val="auto"/>
                <w:sz w:val="24"/>
                <w:szCs w:val="24"/>
                <w:highlight w:val="none"/>
              </w:rPr>
            </w:pPr>
          </w:p>
        </w:tc>
        <w:tc>
          <w:tcPr>
            <w:tcW w:w="956" w:type="dxa"/>
          </w:tcPr>
          <w:p w14:paraId="55BC82F1">
            <w:pPr>
              <w:rPr>
                <w:rFonts w:ascii="Times New Roman" w:hAnsi="Times New Roman" w:cs="Times New Roman"/>
                <w:color w:val="auto"/>
                <w:sz w:val="24"/>
                <w:szCs w:val="24"/>
                <w:highlight w:val="none"/>
              </w:rPr>
            </w:pPr>
          </w:p>
        </w:tc>
        <w:tc>
          <w:tcPr>
            <w:tcW w:w="994" w:type="dxa"/>
          </w:tcPr>
          <w:p w14:paraId="16EFF03E">
            <w:pPr>
              <w:rPr>
                <w:rFonts w:ascii="Times New Roman" w:hAnsi="Times New Roman" w:cs="Times New Roman"/>
                <w:color w:val="auto"/>
                <w:sz w:val="24"/>
                <w:szCs w:val="24"/>
                <w:highlight w:val="none"/>
              </w:rPr>
            </w:pPr>
          </w:p>
        </w:tc>
        <w:tc>
          <w:tcPr>
            <w:tcW w:w="900" w:type="dxa"/>
          </w:tcPr>
          <w:p w14:paraId="4731C9E1">
            <w:pPr>
              <w:rPr>
                <w:rFonts w:ascii="Times New Roman" w:hAnsi="Times New Roman" w:cs="Times New Roman"/>
                <w:color w:val="auto"/>
                <w:sz w:val="24"/>
                <w:szCs w:val="24"/>
                <w:highlight w:val="none"/>
              </w:rPr>
            </w:pPr>
          </w:p>
        </w:tc>
        <w:tc>
          <w:tcPr>
            <w:tcW w:w="919" w:type="dxa"/>
          </w:tcPr>
          <w:p w14:paraId="79ACC9E1">
            <w:pPr>
              <w:rPr>
                <w:rFonts w:ascii="Times New Roman" w:hAnsi="Times New Roman" w:cs="Times New Roman"/>
                <w:color w:val="auto"/>
                <w:sz w:val="24"/>
                <w:szCs w:val="24"/>
                <w:highlight w:val="none"/>
              </w:rPr>
            </w:pPr>
          </w:p>
        </w:tc>
        <w:tc>
          <w:tcPr>
            <w:tcW w:w="881" w:type="dxa"/>
          </w:tcPr>
          <w:p w14:paraId="04AAE616">
            <w:pPr>
              <w:rPr>
                <w:rFonts w:ascii="Times New Roman" w:hAnsi="Times New Roman" w:cs="Times New Roman"/>
                <w:color w:val="auto"/>
                <w:sz w:val="24"/>
                <w:szCs w:val="24"/>
                <w:highlight w:val="none"/>
              </w:rPr>
            </w:pPr>
          </w:p>
        </w:tc>
        <w:tc>
          <w:tcPr>
            <w:tcW w:w="900" w:type="dxa"/>
          </w:tcPr>
          <w:p w14:paraId="3FB0320F">
            <w:pPr>
              <w:rPr>
                <w:rFonts w:ascii="Times New Roman" w:hAnsi="Times New Roman" w:cs="Times New Roman"/>
                <w:color w:val="auto"/>
                <w:sz w:val="24"/>
                <w:szCs w:val="24"/>
                <w:highlight w:val="none"/>
              </w:rPr>
            </w:pPr>
          </w:p>
        </w:tc>
        <w:tc>
          <w:tcPr>
            <w:tcW w:w="938" w:type="dxa"/>
          </w:tcPr>
          <w:p w14:paraId="76026AC6">
            <w:pPr>
              <w:rPr>
                <w:rFonts w:ascii="Times New Roman" w:hAnsi="Times New Roman" w:cs="Times New Roman"/>
                <w:color w:val="auto"/>
                <w:sz w:val="24"/>
                <w:szCs w:val="24"/>
                <w:highlight w:val="none"/>
              </w:rPr>
            </w:pPr>
          </w:p>
        </w:tc>
        <w:tc>
          <w:tcPr>
            <w:tcW w:w="506" w:type="dxa"/>
          </w:tcPr>
          <w:p w14:paraId="5883DD2E">
            <w:pPr>
              <w:rPr>
                <w:rFonts w:ascii="Times New Roman" w:hAnsi="Times New Roman" w:cs="Times New Roman"/>
                <w:color w:val="auto"/>
                <w:sz w:val="24"/>
                <w:szCs w:val="24"/>
                <w:highlight w:val="none"/>
              </w:rPr>
            </w:pPr>
          </w:p>
        </w:tc>
      </w:tr>
      <w:tr w14:paraId="7BEA3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487" w:type="dxa"/>
          </w:tcPr>
          <w:p w14:paraId="425CDAF7">
            <w:pPr>
              <w:pStyle w:val="211"/>
              <w:spacing w:before="68" w:line="331" w:lineRule="exact"/>
              <w:rPr>
                <w:rFonts w:ascii="Times New Roman" w:hAnsi="Times New Roman" w:cs="Times New Roman"/>
                <w:color w:val="auto"/>
                <w:position w:val="2"/>
                <w:sz w:val="24"/>
                <w:szCs w:val="24"/>
                <w:highlight w:val="none"/>
              </w:rPr>
            </w:pPr>
          </w:p>
          <w:p w14:paraId="5E7221C2">
            <w:pPr>
              <w:pStyle w:val="211"/>
              <w:spacing w:before="68" w:line="331" w:lineRule="exact"/>
              <w:jc w:val="center"/>
              <w:rPr>
                <w:rFonts w:ascii="Times New Roman" w:hAnsi="Times New Roman" w:cs="Times New Roman"/>
                <w:color w:val="auto"/>
                <w:sz w:val="24"/>
                <w:szCs w:val="24"/>
                <w:highlight w:val="none"/>
              </w:rPr>
            </w:pPr>
            <w:r>
              <w:rPr>
                <w:rFonts w:ascii="Times New Roman" w:hAnsi="Times New Roman" w:cs="Times New Roman"/>
                <w:color w:val="auto"/>
                <w:position w:val="2"/>
                <w:sz w:val="24"/>
                <w:szCs w:val="24"/>
                <w:highlight w:val="none"/>
              </w:rPr>
              <w:t>…</w:t>
            </w:r>
          </w:p>
        </w:tc>
        <w:tc>
          <w:tcPr>
            <w:tcW w:w="956" w:type="dxa"/>
          </w:tcPr>
          <w:p w14:paraId="3BA56C7D">
            <w:pPr>
              <w:rPr>
                <w:rFonts w:ascii="Times New Roman" w:hAnsi="Times New Roman" w:cs="Times New Roman"/>
                <w:color w:val="auto"/>
                <w:sz w:val="24"/>
                <w:szCs w:val="24"/>
                <w:highlight w:val="none"/>
              </w:rPr>
            </w:pPr>
          </w:p>
        </w:tc>
        <w:tc>
          <w:tcPr>
            <w:tcW w:w="938" w:type="dxa"/>
          </w:tcPr>
          <w:p w14:paraId="78638630">
            <w:pPr>
              <w:rPr>
                <w:rFonts w:ascii="Times New Roman" w:hAnsi="Times New Roman" w:cs="Times New Roman"/>
                <w:color w:val="auto"/>
                <w:sz w:val="24"/>
                <w:szCs w:val="24"/>
                <w:highlight w:val="none"/>
              </w:rPr>
            </w:pPr>
          </w:p>
        </w:tc>
        <w:tc>
          <w:tcPr>
            <w:tcW w:w="712" w:type="dxa"/>
          </w:tcPr>
          <w:p w14:paraId="32EC6FC2">
            <w:pPr>
              <w:rPr>
                <w:rFonts w:ascii="Times New Roman" w:hAnsi="Times New Roman" w:cs="Times New Roman"/>
                <w:color w:val="auto"/>
                <w:sz w:val="24"/>
                <w:szCs w:val="24"/>
                <w:highlight w:val="none"/>
              </w:rPr>
            </w:pPr>
          </w:p>
        </w:tc>
        <w:tc>
          <w:tcPr>
            <w:tcW w:w="938" w:type="dxa"/>
          </w:tcPr>
          <w:p w14:paraId="27A5092E">
            <w:pPr>
              <w:rPr>
                <w:rFonts w:ascii="Times New Roman" w:hAnsi="Times New Roman" w:cs="Times New Roman"/>
                <w:color w:val="auto"/>
                <w:sz w:val="24"/>
                <w:szCs w:val="24"/>
                <w:highlight w:val="none"/>
              </w:rPr>
            </w:pPr>
          </w:p>
        </w:tc>
        <w:tc>
          <w:tcPr>
            <w:tcW w:w="1031" w:type="dxa"/>
          </w:tcPr>
          <w:p w14:paraId="4DA103C5">
            <w:pPr>
              <w:rPr>
                <w:rFonts w:ascii="Times New Roman" w:hAnsi="Times New Roman" w:cs="Times New Roman"/>
                <w:color w:val="auto"/>
                <w:sz w:val="24"/>
                <w:szCs w:val="24"/>
                <w:highlight w:val="none"/>
              </w:rPr>
            </w:pPr>
          </w:p>
        </w:tc>
        <w:tc>
          <w:tcPr>
            <w:tcW w:w="1013" w:type="dxa"/>
          </w:tcPr>
          <w:p w14:paraId="08DB5B1F">
            <w:pPr>
              <w:rPr>
                <w:rFonts w:ascii="Times New Roman" w:hAnsi="Times New Roman" w:cs="Times New Roman"/>
                <w:color w:val="auto"/>
                <w:sz w:val="24"/>
                <w:szCs w:val="24"/>
                <w:highlight w:val="none"/>
              </w:rPr>
            </w:pPr>
          </w:p>
        </w:tc>
        <w:tc>
          <w:tcPr>
            <w:tcW w:w="937" w:type="dxa"/>
          </w:tcPr>
          <w:p w14:paraId="61189AB0">
            <w:pPr>
              <w:rPr>
                <w:rFonts w:ascii="Times New Roman" w:hAnsi="Times New Roman" w:cs="Times New Roman"/>
                <w:color w:val="auto"/>
                <w:sz w:val="24"/>
                <w:szCs w:val="24"/>
                <w:highlight w:val="none"/>
              </w:rPr>
            </w:pPr>
          </w:p>
        </w:tc>
        <w:tc>
          <w:tcPr>
            <w:tcW w:w="675" w:type="dxa"/>
          </w:tcPr>
          <w:p w14:paraId="401300A8">
            <w:pPr>
              <w:rPr>
                <w:rFonts w:ascii="Times New Roman" w:hAnsi="Times New Roman" w:cs="Times New Roman"/>
                <w:color w:val="auto"/>
                <w:sz w:val="24"/>
                <w:szCs w:val="24"/>
                <w:highlight w:val="none"/>
              </w:rPr>
            </w:pPr>
          </w:p>
        </w:tc>
        <w:tc>
          <w:tcPr>
            <w:tcW w:w="956" w:type="dxa"/>
          </w:tcPr>
          <w:p w14:paraId="12765A3C">
            <w:pPr>
              <w:rPr>
                <w:rFonts w:ascii="Times New Roman" w:hAnsi="Times New Roman" w:cs="Times New Roman"/>
                <w:color w:val="auto"/>
                <w:sz w:val="24"/>
                <w:szCs w:val="24"/>
                <w:highlight w:val="none"/>
              </w:rPr>
            </w:pPr>
          </w:p>
        </w:tc>
        <w:tc>
          <w:tcPr>
            <w:tcW w:w="994" w:type="dxa"/>
          </w:tcPr>
          <w:p w14:paraId="2A79FFE6">
            <w:pPr>
              <w:rPr>
                <w:rFonts w:ascii="Times New Roman" w:hAnsi="Times New Roman" w:cs="Times New Roman"/>
                <w:color w:val="auto"/>
                <w:sz w:val="24"/>
                <w:szCs w:val="24"/>
                <w:highlight w:val="none"/>
              </w:rPr>
            </w:pPr>
          </w:p>
        </w:tc>
        <w:tc>
          <w:tcPr>
            <w:tcW w:w="900" w:type="dxa"/>
          </w:tcPr>
          <w:p w14:paraId="7538771B">
            <w:pPr>
              <w:rPr>
                <w:rFonts w:ascii="Times New Roman" w:hAnsi="Times New Roman" w:cs="Times New Roman"/>
                <w:color w:val="auto"/>
                <w:sz w:val="24"/>
                <w:szCs w:val="24"/>
                <w:highlight w:val="none"/>
              </w:rPr>
            </w:pPr>
          </w:p>
        </w:tc>
        <w:tc>
          <w:tcPr>
            <w:tcW w:w="919" w:type="dxa"/>
          </w:tcPr>
          <w:p w14:paraId="45D0C111">
            <w:pPr>
              <w:rPr>
                <w:rFonts w:ascii="Times New Roman" w:hAnsi="Times New Roman" w:cs="Times New Roman"/>
                <w:color w:val="auto"/>
                <w:sz w:val="24"/>
                <w:szCs w:val="24"/>
                <w:highlight w:val="none"/>
              </w:rPr>
            </w:pPr>
          </w:p>
        </w:tc>
        <w:tc>
          <w:tcPr>
            <w:tcW w:w="881" w:type="dxa"/>
          </w:tcPr>
          <w:p w14:paraId="5D7E4C5E">
            <w:pPr>
              <w:rPr>
                <w:rFonts w:ascii="Times New Roman" w:hAnsi="Times New Roman" w:cs="Times New Roman"/>
                <w:color w:val="auto"/>
                <w:sz w:val="24"/>
                <w:szCs w:val="24"/>
                <w:highlight w:val="none"/>
              </w:rPr>
            </w:pPr>
          </w:p>
        </w:tc>
        <w:tc>
          <w:tcPr>
            <w:tcW w:w="900" w:type="dxa"/>
          </w:tcPr>
          <w:p w14:paraId="34834F31">
            <w:pPr>
              <w:rPr>
                <w:rFonts w:ascii="Times New Roman" w:hAnsi="Times New Roman" w:cs="Times New Roman"/>
                <w:color w:val="auto"/>
                <w:sz w:val="24"/>
                <w:szCs w:val="24"/>
                <w:highlight w:val="none"/>
              </w:rPr>
            </w:pPr>
          </w:p>
        </w:tc>
        <w:tc>
          <w:tcPr>
            <w:tcW w:w="938" w:type="dxa"/>
          </w:tcPr>
          <w:p w14:paraId="785E0E86">
            <w:pPr>
              <w:rPr>
                <w:rFonts w:ascii="Times New Roman" w:hAnsi="Times New Roman" w:cs="Times New Roman"/>
                <w:color w:val="auto"/>
                <w:sz w:val="24"/>
                <w:szCs w:val="24"/>
                <w:highlight w:val="none"/>
              </w:rPr>
            </w:pPr>
          </w:p>
        </w:tc>
        <w:tc>
          <w:tcPr>
            <w:tcW w:w="506" w:type="dxa"/>
          </w:tcPr>
          <w:p w14:paraId="34E5F531">
            <w:pPr>
              <w:rPr>
                <w:rFonts w:ascii="Times New Roman" w:hAnsi="Times New Roman" w:cs="Times New Roman"/>
                <w:color w:val="auto"/>
                <w:sz w:val="24"/>
                <w:szCs w:val="24"/>
                <w:highlight w:val="none"/>
              </w:rPr>
            </w:pPr>
          </w:p>
        </w:tc>
      </w:tr>
    </w:tbl>
    <w:p w14:paraId="70ECEECE">
      <w:pPr>
        <w:spacing w:line="130" w:lineRule="exact"/>
        <w:rPr>
          <w:rFonts w:hint="eastAsia"/>
          <w:color w:val="auto"/>
          <w:highlight w:val="none"/>
        </w:rPr>
      </w:pPr>
    </w:p>
    <w:p w14:paraId="0EB53C85">
      <w:pPr>
        <w:spacing w:line="360" w:lineRule="auto"/>
        <w:rPr>
          <w:rFonts w:hint="eastAsia" w:ascii="仿宋_GB2312" w:hAnsi="仿宋_GB2312" w:eastAsia="仿宋_GB2312" w:cs="仿宋_GB2312"/>
          <w:color w:val="auto"/>
          <w:sz w:val="24"/>
          <w:szCs w:val="24"/>
          <w:highlight w:val="none"/>
          <w:lang w:eastAsia="zh"/>
        </w:rPr>
      </w:pPr>
      <w:r>
        <w:rPr>
          <w:rFonts w:hint="eastAsia" w:ascii="仿宋_GB2312" w:hAnsi="仿宋_GB2312" w:eastAsia="仿宋_GB2312" w:cs="仿宋_GB2312"/>
          <w:color w:val="auto"/>
          <w:sz w:val="24"/>
          <w:szCs w:val="24"/>
          <w:highlight w:val="none"/>
          <w:lang w:eastAsia="zh"/>
        </w:rPr>
        <w:t>（本表仅为参考样式，可根据实际情况进行动态调整）</w:t>
      </w:r>
    </w:p>
    <w:p w14:paraId="19802859">
      <w:pPr>
        <w:spacing w:line="360" w:lineRule="auto"/>
        <w:rPr>
          <w:rFonts w:hint="eastAsia" w:ascii="仿宋_GB2312" w:hAnsi="仿宋_GB2312" w:eastAsia="仿宋_GB2312" w:cs="仿宋_GB2312"/>
          <w:color w:val="auto"/>
          <w:sz w:val="24"/>
          <w:szCs w:val="24"/>
          <w:highlight w:val="none"/>
          <w:lang w:eastAsia="zh"/>
        </w:rPr>
      </w:pPr>
    </w:p>
    <w:p w14:paraId="385EC988">
      <w:pPr>
        <w:spacing w:line="360" w:lineRule="auto"/>
        <w:rPr>
          <w:rFonts w:hint="eastAsia" w:ascii="仿宋_GB2312" w:hAnsi="仿宋_GB2312" w:eastAsia="仿宋_GB2312" w:cs="仿宋_GB2312"/>
          <w:color w:val="auto"/>
          <w:sz w:val="24"/>
          <w:szCs w:val="24"/>
          <w:highlight w:val="none"/>
          <w:lang w:eastAsia="zh"/>
        </w:rPr>
        <w:sectPr>
          <w:pgSz w:w="15840" w:h="12240" w:orient="landscape"/>
          <w:pgMar w:top="1043" w:right="1191" w:bottom="1043" w:left="1191" w:header="720" w:footer="720" w:gutter="0"/>
          <w:cols w:space="720" w:num="1"/>
          <w:titlePg/>
          <w:docGrid w:linePitch="326" w:charSpace="0"/>
        </w:sectPr>
      </w:pPr>
    </w:p>
    <w:p w14:paraId="0FC215B6">
      <w:pPr>
        <w:pageBreakBefore/>
        <w:tabs>
          <w:tab w:val="left" w:pos="1080"/>
        </w:tabs>
        <w:autoSpaceDE w:val="0"/>
        <w:autoSpaceDN w:val="0"/>
        <w:adjustRightInd w:val="0"/>
        <w:spacing w:line="360" w:lineRule="auto"/>
        <w:ind w:left="357" w:leftChars="-100" w:hanging="567"/>
        <w:jc w:val="center"/>
        <w:outlineLvl w:val="0"/>
        <w:rPr>
          <w:rFonts w:hint="eastAsia" w:ascii="宋体" w:hAnsi="宋体" w:eastAsia="宋体" w:cs="宋体"/>
          <w:b/>
          <w:bCs/>
          <w:color w:val="auto"/>
          <w:kern w:val="44"/>
          <w:sz w:val="32"/>
          <w:szCs w:val="32"/>
          <w:highlight w:val="none"/>
          <w:lang w:val="zh-CN"/>
        </w:rPr>
      </w:pPr>
      <w:bookmarkStart w:id="428" w:name="_Toc450662892"/>
      <w:bookmarkStart w:id="429" w:name="_Toc142508359"/>
      <w:bookmarkStart w:id="430" w:name="_Toc25251"/>
      <w:bookmarkStart w:id="431" w:name="_Toc486167707"/>
      <w:bookmarkStart w:id="432" w:name="_Toc10015"/>
      <w:bookmarkStart w:id="433" w:name="_Toc20401"/>
      <w:bookmarkStart w:id="434" w:name="_Toc16287"/>
      <w:bookmarkStart w:id="435" w:name="_Toc11281_WPSOffice_Level1"/>
      <w:r>
        <w:rPr>
          <w:rFonts w:hint="eastAsia" w:ascii="宋体" w:hAnsi="宋体" w:eastAsia="宋体" w:cs="宋体"/>
          <w:b/>
          <w:bCs/>
          <w:color w:val="auto"/>
          <w:kern w:val="44"/>
          <w:sz w:val="32"/>
          <w:szCs w:val="32"/>
          <w:highlight w:val="none"/>
          <w:lang w:val="zh-CN"/>
        </w:rPr>
        <w:t>第四篇</w:t>
      </w:r>
      <w:r>
        <w:rPr>
          <w:rFonts w:ascii="宋体" w:hAnsi="宋体" w:eastAsia="宋体" w:cs="宋体"/>
          <w:b/>
          <w:bCs/>
          <w:color w:val="auto"/>
          <w:kern w:val="44"/>
          <w:sz w:val="32"/>
          <w:szCs w:val="32"/>
          <w:highlight w:val="none"/>
          <w:lang w:val="zh-CN"/>
        </w:rPr>
        <w:t xml:space="preserve"> </w:t>
      </w:r>
      <w:r>
        <w:rPr>
          <w:rFonts w:hint="eastAsia" w:ascii="宋体" w:hAnsi="宋体" w:eastAsia="宋体" w:cs="宋体"/>
          <w:b/>
          <w:bCs/>
          <w:color w:val="auto"/>
          <w:kern w:val="44"/>
          <w:sz w:val="32"/>
          <w:szCs w:val="32"/>
          <w:highlight w:val="none"/>
          <w:lang w:val="zh-CN"/>
        </w:rPr>
        <w:t>合同条款格式</w:t>
      </w:r>
      <w:bookmarkEnd w:id="428"/>
      <w:bookmarkEnd w:id="429"/>
      <w:bookmarkEnd w:id="430"/>
      <w:bookmarkEnd w:id="431"/>
      <w:bookmarkEnd w:id="432"/>
      <w:bookmarkEnd w:id="433"/>
      <w:bookmarkEnd w:id="434"/>
      <w:bookmarkEnd w:id="435"/>
    </w:p>
    <w:p w14:paraId="0A641B38">
      <w:pPr>
        <w:autoSpaceDE w:val="0"/>
        <w:autoSpaceDN w:val="0"/>
        <w:adjustRightInd w:val="0"/>
        <w:snapToGrid w:val="0"/>
        <w:spacing w:line="360" w:lineRule="auto"/>
        <w:jc w:val="center"/>
        <w:rPr>
          <w:rFonts w:hint="eastAsia" w:ascii="宋体" w:hAnsi="宋体" w:eastAsia="宋体" w:cs="Times New Roman"/>
          <w:color w:val="auto"/>
          <w:kern w:val="0"/>
          <w:sz w:val="24"/>
          <w:szCs w:val="24"/>
          <w:highlight w:val="none"/>
        </w:rPr>
      </w:pPr>
    </w:p>
    <w:p w14:paraId="5DE518C3">
      <w:pPr>
        <w:autoSpaceDE w:val="0"/>
        <w:autoSpaceDN w:val="0"/>
        <w:adjustRightInd w:val="0"/>
        <w:snapToGrid w:val="0"/>
        <w:spacing w:line="360" w:lineRule="auto"/>
        <w:jc w:val="center"/>
        <w:rPr>
          <w:rFonts w:hint="eastAsia" w:ascii="宋体" w:hAnsi="宋体" w:eastAsia="宋体" w:cs="Times New Roman"/>
          <w:color w:val="auto"/>
          <w:kern w:val="0"/>
          <w:sz w:val="24"/>
          <w:szCs w:val="24"/>
          <w:highlight w:val="none"/>
        </w:rPr>
      </w:pPr>
    </w:p>
    <w:p w14:paraId="0D221A6F">
      <w:pPr>
        <w:autoSpaceDE w:val="0"/>
        <w:autoSpaceDN w:val="0"/>
        <w:adjustRightInd w:val="0"/>
        <w:snapToGrid w:val="0"/>
        <w:spacing w:line="360" w:lineRule="auto"/>
        <w:jc w:val="center"/>
        <w:rPr>
          <w:rFonts w:hint="eastAsia" w:ascii="宋体" w:hAnsi="宋体" w:eastAsia="宋体" w:cs="Times New Roman"/>
          <w:color w:val="auto"/>
          <w:kern w:val="0"/>
          <w:sz w:val="24"/>
          <w:szCs w:val="24"/>
          <w:highlight w:val="none"/>
        </w:rPr>
      </w:pPr>
    </w:p>
    <w:p w14:paraId="3110ACDA">
      <w:pPr>
        <w:autoSpaceDE w:val="0"/>
        <w:autoSpaceDN w:val="0"/>
        <w:adjustRightInd w:val="0"/>
        <w:spacing w:line="360" w:lineRule="auto"/>
        <w:jc w:val="center"/>
        <w:rPr>
          <w:rFonts w:hint="eastAsia" w:ascii="宋体" w:hAnsi="宋体" w:cs="宋体" w:eastAsiaTheme="minorEastAsia"/>
          <w:b/>
          <w:bCs/>
          <w:color w:val="auto"/>
          <w:kern w:val="0"/>
          <w:sz w:val="52"/>
          <w:szCs w:val="52"/>
          <w:highlight w:val="none"/>
          <w:lang w:eastAsia="zh-CN"/>
        </w:rPr>
      </w:pPr>
      <w:r>
        <w:rPr>
          <w:rFonts w:hint="eastAsia" w:ascii="宋体" w:hAnsi="宋体" w:eastAsia="宋体" w:cs="宋体"/>
          <w:b/>
          <w:color w:val="auto"/>
          <w:sz w:val="52"/>
          <w:szCs w:val="52"/>
          <w:highlight w:val="none"/>
        </w:rPr>
        <w:t>东莞市碧水信息科技有限公司2025-2027年施工劳务分包框架合同</w:t>
      </w:r>
      <w:r>
        <w:rPr>
          <w:rFonts w:hint="eastAsia" w:ascii="宋体" w:hAnsi="宋体" w:eastAsia="宋体" w:cs="宋体"/>
          <w:b/>
          <w:color w:val="auto"/>
          <w:sz w:val="52"/>
          <w:szCs w:val="52"/>
          <w:highlight w:val="none"/>
          <w:lang w:eastAsia="zh-CN"/>
        </w:rPr>
        <w:t>（</w:t>
      </w:r>
      <w:r>
        <w:rPr>
          <w:rFonts w:hint="eastAsia" w:ascii="宋体" w:hAnsi="宋体" w:eastAsia="宋体" w:cs="宋体"/>
          <w:b/>
          <w:color w:val="auto"/>
          <w:sz w:val="52"/>
          <w:szCs w:val="52"/>
          <w:highlight w:val="none"/>
          <w:lang w:val="en-US" w:eastAsia="zh-CN"/>
        </w:rPr>
        <w:t xml:space="preserve">   区</w:t>
      </w:r>
      <w:r>
        <w:rPr>
          <w:rFonts w:hint="eastAsia" w:ascii="宋体" w:hAnsi="宋体" w:eastAsia="宋体" w:cs="宋体"/>
          <w:b/>
          <w:color w:val="auto"/>
          <w:sz w:val="52"/>
          <w:szCs w:val="52"/>
          <w:highlight w:val="none"/>
          <w:lang w:eastAsia="zh-CN"/>
        </w:rPr>
        <w:t>）</w:t>
      </w:r>
    </w:p>
    <w:p w14:paraId="64B44C4F">
      <w:pPr>
        <w:autoSpaceDE w:val="0"/>
        <w:autoSpaceDN w:val="0"/>
        <w:adjustRightInd w:val="0"/>
        <w:spacing w:line="360" w:lineRule="auto"/>
        <w:jc w:val="left"/>
        <w:rPr>
          <w:rFonts w:hint="eastAsia" w:ascii="宋体" w:hAnsi="宋体" w:eastAsia="宋体" w:cs="Times New Roman"/>
          <w:b/>
          <w:bCs/>
          <w:color w:val="auto"/>
          <w:kern w:val="0"/>
          <w:sz w:val="24"/>
          <w:szCs w:val="21"/>
          <w:highlight w:val="none"/>
        </w:rPr>
      </w:pPr>
    </w:p>
    <w:p w14:paraId="7B6E6A6F">
      <w:pPr>
        <w:autoSpaceDE w:val="0"/>
        <w:autoSpaceDN w:val="0"/>
        <w:adjustRightInd w:val="0"/>
        <w:spacing w:line="360" w:lineRule="auto"/>
        <w:jc w:val="left"/>
        <w:rPr>
          <w:rFonts w:hint="eastAsia" w:ascii="宋体" w:hAnsi="宋体" w:eastAsia="宋体" w:cs="Times New Roman"/>
          <w:b/>
          <w:bCs/>
          <w:color w:val="auto"/>
          <w:kern w:val="0"/>
          <w:sz w:val="24"/>
          <w:szCs w:val="21"/>
          <w:highlight w:val="none"/>
        </w:rPr>
      </w:pPr>
    </w:p>
    <w:p w14:paraId="655187A8">
      <w:pPr>
        <w:autoSpaceDE w:val="0"/>
        <w:autoSpaceDN w:val="0"/>
        <w:adjustRightInd w:val="0"/>
        <w:spacing w:line="360" w:lineRule="auto"/>
        <w:jc w:val="left"/>
        <w:rPr>
          <w:rFonts w:hint="eastAsia" w:ascii="宋体" w:hAnsi="宋体" w:eastAsia="宋体" w:cs="Times New Roman"/>
          <w:b/>
          <w:bCs/>
          <w:color w:val="auto"/>
          <w:kern w:val="0"/>
          <w:sz w:val="24"/>
          <w:szCs w:val="21"/>
          <w:highlight w:val="none"/>
        </w:rPr>
      </w:pPr>
    </w:p>
    <w:p w14:paraId="63699CF8">
      <w:pPr>
        <w:autoSpaceDE w:val="0"/>
        <w:autoSpaceDN w:val="0"/>
        <w:adjustRightInd w:val="0"/>
        <w:spacing w:line="360" w:lineRule="auto"/>
        <w:jc w:val="left"/>
        <w:rPr>
          <w:rFonts w:hint="eastAsia" w:ascii="宋体" w:hAnsi="宋体" w:eastAsia="宋体" w:cs="Times New Roman"/>
          <w:b/>
          <w:bCs/>
          <w:color w:val="auto"/>
          <w:kern w:val="0"/>
          <w:sz w:val="24"/>
          <w:szCs w:val="21"/>
          <w:highlight w:val="none"/>
        </w:rPr>
      </w:pPr>
    </w:p>
    <w:p w14:paraId="15AC8EF7">
      <w:pPr>
        <w:autoSpaceDE w:val="0"/>
        <w:autoSpaceDN w:val="0"/>
        <w:adjustRightInd w:val="0"/>
        <w:spacing w:line="360" w:lineRule="auto"/>
        <w:jc w:val="left"/>
        <w:rPr>
          <w:rFonts w:hint="eastAsia" w:ascii="宋体" w:hAnsi="宋体" w:eastAsia="宋体" w:cs="Times New Roman"/>
          <w:b/>
          <w:bCs/>
          <w:color w:val="auto"/>
          <w:kern w:val="0"/>
          <w:sz w:val="24"/>
          <w:szCs w:val="21"/>
          <w:highlight w:val="none"/>
        </w:rPr>
      </w:pPr>
    </w:p>
    <w:p w14:paraId="113C3425">
      <w:pPr>
        <w:autoSpaceDE w:val="0"/>
        <w:autoSpaceDN w:val="0"/>
        <w:adjustRightInd w:val="0"/>
        <w:spacing w:line="360" w:lineRule="auto"/>
        <w:jc w:val="left"/>
        <w:rPr>
          <w:rFonts w:hint="eastAsia" w:ascii="宋体" w:hAnsi="宋体" w:eastAsia="宋体" w:cs="Times New Roman"/>
          <w:b/>
          <w:bCs/>
          <w:color w:val="auto"/>
          <w:kern w:val="0"/>
          <w:sz w:val="24"/>
          <w:szCs w:val="21"/>
          <w:highlight w:val="none"/>
        </w:rPr>
      </w:pPr>
    </w:p>
    <w:p w14:paraId="48F8C02C">
      <w:pPr>
        <w:autoSpaceDE w:val="0"/>
        <w:autoSpaceDN w:val="0"/>
        <w:adjustRightInd w:val="0"/>
        <w:spacing w:line="360" w:lineRule="auto"/>
        <w:jc w:val="left"/>
        <w:rPr>
          <w:rFonts w:hint="eastAsia" w:ascii="宋体" w:hAnsi="宋体" w:eastAsia="宋体" w:cs="Times New Roman"/>
          <w:b/>
          <w:bCs/>
          <w:color w:val="auto"/>
          <w:kern w:val="0"/>
          <w:sz w:val="24"/>
          <w:szCs w:val="21"/>
          <w:highlight w:val="none"/>
        </w:rPr>
      </w:pPr>
    </w:p>
    <w:p w14:paraId="2940D0FF">
      <w:pPr>
        <w:autoSpaceDE w:val="0"/>
        <w:autoSpaceDN w:val="0"/>
        <w:adjustRightInd w:val="0"/>
        <w:spacing w:line="360" w:lineRule="auto"/>
        <w:jc w:val="left"/>
        <w:rPr>
          <w:rFonts w:hint="eastAsia" w:ascii="宋体" w:hAnsi="宋体" w:eastAsia="宋体" w:cs="Times New Roman"/>
          <w:b/>
          <w:bCs/>
          <w:color w:val="auto"/>
          <w:kern w:val="0"/>
          <w:sz w:val="24"/>
          <w:szCs w:val="21"/>
          <w:highlight w:val="none"/>
        </w:rPr>
      </w:pPr>
    </w:p>
    <w:p w14:paraId="39F203CB">
      <w:pPr>
        <w:autoSpaceDE w:val="0"/>
        <w:autoSpaceDN w:val="0"/>
        <w:adjustRightInd w:val="0"/>
        <w:spacing w:line="480" w:lineRule="auto"/>
        <w:ind w:firstLine="1102" w:firstLineChars="392"/>
        <w:jc w:val="left"/>
        <w:rPr>
          <w:rFonts w:hint="eastAsia" w:ascii="宋体" w:hAnsi="宋体" w:eastAsia="宋体" w:cs="Times New Roman"/>
          <w:b/>
          <w:bCs/>
          <w:color w:val="auto"/>
          <w:kern w:val="0"/>
          <w:sz w:val="28"/>
          <w:szCs w:val="28"/>
          <w:highlight w:val="none"/>
        </w:rPr>
      </w:pPr>
      <w:r>
        <w:rPr>
          <w:rFonts w:hint="eastAsia" w:ascii="宋体" w:hAnsi="宋体" w:eastAsia="宋体" w:cs="宋体"/>
          <w:b/>
          <w:bCs/>
          <w:color w:val="auto"/>
          <w:kern w:val="0"/>
          <w:sz w:val="28"/>
          <w:szCs w:val="28"/>
          <w:highlight w:val="none"/>
        </w:rPr>
        <w:t>甲方：</w:t>
      </w:r>
      <w:r>
        <w:rPr>
          <w:rFonts w:hint="eastAsia" w:ascii="宋体" w:hAnsi="宋体" w:eastAsia="宋体" w:cs="Times New Roman"/>
          <w:b/>
          <w:bCs/>
          <w:color w:val="auto"/>
          <w:kern w:val="0"/>
          <w:sz w:val="28"/>
          <w:szCs w:val="28"/>
          <w:highlight w:val="none"/>
          <w:u w:val="single"/>
        </w:rPr>
        <w:t xml:space="preserve">东莞市碧水信息科技有限公司 </w:t>
      </w:r>
      <w:r>
        <w:rPr>
          <w:rFonts w:ascii="宋体" w:hAnsi="宋体" w:eastAsia="宋体" w:cs="Times New Roman"/>
          <w:b/>
          <w:bCs/>
          <w:color w:val="auto"/>
          <w:kern w:val="0"/>
          <w:sz w:val="28"/>
          <w:szCs w:val="28"/>
          <w:highlight w:val="none"/>
        </w:rPr>
        <w:t xml:space="preserve"> </w:t>
      </w:r>
    </w:p>
    <w:p w14:paraId="0ACF1F9F">
      <w:pPr>
        <w:autoSpaceDE w:val="0"/>
        <w:autoSpaceDN w:val="0"/>
        <w:adjustRightInd w:val="0"/>
        <w:spacing w:line="480" w:lineRule="auto"/>
        <w:ind w:firstLine="1102" w:firstLineChars="392"/>
        <w:jc w:val="left"/>
        <w:rPr>
          <w:rFonts w:hint="eastAsia" w:ascii="宋体" w:hAnsi="宋体" w:eastAsia="宋体" w:cs="Times New Roman"/>
          <w:b/>
          <w:bCs/>
          <w:color w:val="auto"/>
          <w:kern w:val="0"/>
          <w:sz w:val="28"/>
          <w:szCs w:val="28"/>
          <w:highlight w:val="none"/>
          <w:u w:val="single"/>
        </w:rPr>
      </w:pPr>
      <w:r>
        <w:rPr>
          <w:rFonts w:hint="eastAsia" w:ascii="宋体" w:hAnsi="宋体" w:eastAsia="宋体" w:cs="宋体"/>
          <w:b/>
          <w:bCs/>
          <w:color w:val="auto"/>
          <w:kern w:val="0"/>
          <w:sz w:val="28"/>
          <w:szCs w:val="28"/>
          <w:highlight w:val="none"/>
        </w:rPr>
        <w:t>乙方：</w:t>
      </w:r>
      <w:r>
        <w:rPr>
          <w:rFonts w:hint="eastAsia" w:ascii="宋体" w:hAnsi="宋体" w:eastAsia="宋体" w:cs="宋体"/>
          <w:b/>
          <w:bCs/>
          <w:color w:val="auto"/>
          <w:kern w:val="0"/>
          <w:sz w:val="28"/>
          <w:szCs w:val="28"/>
          <w:highlight w:val="none"/>
          <w:u w:val="single"/>
        </w:rPr>
        <w:t xml:space="preserve">                          </w:t>
      </w:r>
    </w:p>
    <w:p w14:paraId="2986A0F8">
      <w:pPr>
        <w:autoSpaceDE w:val="0"/>
        <w:autoSpaceDN w:val="0"/>
        <w:adjustRightInd w:val="0"/>
        <w:spacing w:line="360" w:lineRule="auto"/>
        <w:ind w:firstLine="1102" w:firstLineChars="392"/>
        <w:jc w:val="left"/>
        <w:rPr>
          <w:rFonts w:hint="eastAsia" w:ascii="宋体" w:hAnsi="宋体" w:eastAsia="宋体" w:cs="宋体"/>
          <w:b/>
          <w:bCs/>
          <w:color w:val="auto"/>
          <w:kern w:val="0"/>
          <w:sz w:val="28"/>
          <w:szCs w:val="28"/>
          <w:highlight w:val="none"/>
        </w:rPr>
      </w:pPr>
    </w:p>
    <w:p w14:paraId="196B7F6C">
      <w:pPr>
        <w:autoSpaceDE w:val="0"/>
        <w:autoSpaceDN w:val="0"/>
        <w:adjustRightInd w:val="0"/>
        <w:spacing w:line="360" w:lineRule="auto"/>
        <w:ind w:firstLine="1102" w:firstLineChars="392"/>
        <w:jc w:val="left"/>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签订日期：   年   月   日</w:t>
      </w:r>
    </w:p>
    <w:p w14:paraId="48F88C48">
      <w:pPr>
        <w:rPr>
          <w:rFonts w:hint="eastAsia" w:ascii="宋体" w:hAnsi="宋体" w:eastAsia="宋体" w:cs="宋体"/>
          <w:b/>
          <w:bCs/>
          <w:color w:val="auto"/>
          <w:kern w:val="0"/>
          <w:sz w:val="28"/>
          <w:szCs w:val="28"/>
          <w:highlight w:val="none"/>
        </w:rPr>
      </w:pPr>
      <w:r>
        <w:rPr>
          <w:rFonts w:ascii="宋体" w:hAnsi="宋体" w:eastAsia="宋体" w:cs="宋体"/>
          <w:b/>
          <w:bCs/>
          <w:color w:val="auto"/>
          <w:kern w:val="0"/>
          <w:sz w:val="28"/>
          <w:szCs w:val="28"/>
          <w:highlight w:val="none"/>
        </w:rPr>
        <w:br w:type="page"/>
      </w:r>
    </w:p>
    <w:tbl>
      <w:tblPr>
        <w:tblStyle w:val="4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0"/>
        <w:gridCol w:w="4200"/>
      </w:tblGrid>
      <w:tr w14:paraId="33A76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40" w:type="dxa"/>
            <w:vAlign w:val="bottom"/>
          </w:tcPr>
          <w:p w14:paraId="749E9673">
            <w:pPr>
              <w:keepNext w:val="0"/>
              <w:keepLines w:val="0"/>
              <w:suppressLineNumbers w:val="0"/>
              <w:autoSpaceDE w:val="0"/>
              <w:autoSpaceDN w:val="0"/>
              <w:adjustRightInd w:val="0"/>
              <w:spacing w:before="0" w:beforeAutospacing="0" w:after="0" w:afterAutospacing="0" w:line="500" w:lineRule="exact"/>
              <w:ind w:left="0" w:right="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甲方：</w:t>
            </w:r>
          </w:p>
        </w:tc>
        <w:tc>
          <w:tcPr>
            <w:tcW w:w="4200" w:type="dxa"/>
            <w:tcBorders>
              <w:bottom w:val="single" w:color="auto" w:sz="4" w:space="0"/>
            </w:tcBorders>
            <w:vAlign w:val="bottom"/>
          </w:tcPr>
          <w:p w14:paraId="33D8F8E6">
            <w:pPr>
              <w:keepNext w:val="0"/>
              <w:keepLines w:val="0"/>
              <w:suppressLineNumbers w:val="0"/>
              <w:autoSpaceDE w:val="0"/>
              <w:autoSpaceDN w:val="0"/>
              <w:adjustRightInd w:val="0"/>
              <w:spacing w:before="0" w:beforeAutospacing="0" w:after="0" w:afterAutospacing="0" w:line="500" w:lineRule="exact"/>
              <w:ind w:left="0" w:right="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东莞市碧水信息科技有限公司</w:t>
            </w:r>
          </w:p>
        </w:tc>
      </w:tr>
      <w:tr w14:paraId="55612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40" w:type="dxa"/>
            <w:vAlign w:val="bottom"/>
          </w:tcPr>
          <w:p w14:paraId="766EAC1E">
            <w:pPr>
              <w:keepNext w:val="0"/>
              <w:keepLines w:val="0"/>
              <w:suppressLineNumbers w:val="0"/>
              <w:autoSpaceDE w:val="0"/>
              <w:autoSpaceDN w:val="0"/>
              <w:adjustRightInd w:val="0"/>
              <w:spacing w:before="0" w:beforeAutospacing="0" w:after="0" w:afterAutospacing="0" w:line="500" w:lineRule="exact"/>
              <w:ind w:left="0" w:right="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乙方：</w:t>
            </w:r>
          </w:p>
        </w:tc>
        <w:tc>
          <w:tcPr>
            <w:tcW w:w="4200" w:type="dxa"/>
            <w:tcBorders>
              <w:top w:val="single" w:color="auto" w:sz="4" w:space="0"/>
              <w:bottom w:val="single" w:color="auto" w:sz="4" w:space="0"/>
            </w:tcBorders>
            <w:vAlign w:val="bottom"/>
          </w:tcPr>
          <w:p w14:paraId="0A733D81">
            <w:pPr>
              <w:keepNext w:val="0"/>
              <w:keepLines w:val="0"/>
              <w:suppressLineNumbers w:val="0"/>
              <w:autoSpaceDE w:val="0"/>
              <w:autoSpaceDN w:val="0"/>
              <w:adjustRightInd w:val="0"/>
              <w:spacing w:before="0" w:beforeAutospacing="0" w:after="0" w:afterAutospacing="0" w:line="500" w:lineRule="exact"/>
              <w:ind w:left="0" w:right="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                 </w:t>
            </w:r>
          </w:p>
        </w:tc>
      </w:tr>
    </w:tbl>
    <w:p w14:paraId="0DF3A4F6">
      <w:pPr>
        <w:autoSpaceDE w:val="0"/>
        <w:autoSpaceDN w:val="0"/>
        <w:adjustRightInd w:val="0"/>
        <w:snapToGrid w:val="0"/>
        <w:spacing w:line="360" w:lineRule="auto"/>
        <w:ind w:firstLine="420" w:firstLineChars="200"/>
        <w:rPr>
          <w:rFonts w:hint="eastAsia" w:ascii="宋体" w:hAnsi="宋体" w:eastAsia="宋体" w:cs="宋体"/>
          <w:bCs/>
          <w:color w:val="auto"/>
          <w:szCs w:val="21"/>
          <w:highlight w:val="none"/>
        </w:rPr>
      </w:pPr>
    </w:p>
    <w:p w14:paraId="56809EE8">
      <w:pPr>
        <w:pStyle w:val="2"/>
        <w:snapToGrid w:val="0"/>
        <w:spacing w:line="360" w:lineRule="auto"/>
        <w:ind w:right="0" w:firstLine="420" w:firstLineChars="200"/>
        <w:jc w:val="both"/>
        <w:rPr>
          <w:rFonts w:hint="eastAsia" w:hAnsi="宋体" w:cs="宋体"/>
          <w:b w:val="0"/>
          <w:color w:val="auto"/>
          <w:sz w:val="21"/>
          <w:szCs w:val="21"/>
          <w:highlight w:val="none"/>
        </w:rPr>
      </w:pPr>
      <w:r>
        <w:rPr>
          <w:rFonts w:hint="eastAsia" w:hAnsi="宋体" w:cs="宋体"/>
          <w:b w:val="0"/>
          <w:color w:val="auto"/>
          <w:sz w:val="21"/>
          <w:szCs w:val="21"/>
          <w:highlight w:val="none"/>
        </w:rPr>
        <w:t>依照《中华人民共和国民法典》、《中华人民共和国建筑法》及其它有关法律、行政法规，遵循平等、自愿、公平和诚实信用的原则，就乙方获得东莞市碧水信息科技有限公司</w:t>
      </w:r>
      <w:r>
        <w:rPr>
          <w:rFonts w:hint="eastAsia" w:hAnsi="宋体" w:cs="宋体"/>
          <w:b w:val="0"/>
          <w:color w:val="auto"/>
          <w:sz w:val="21"/>
          <w:szCs w:val="21"/>
          <w:highlight w:val="none"/>
          <w:lang w:val="en-US"/>
        </w:rPr>
        <w:t>施工</w:t>
      </w:r>
      <w:r>
        <w:rPr>
          <w:rFonts w:hint="eastAsia" w:hAnsi="宋体" w:cs="宋体"/>
          <w:b w:val="0"/>
          <w:color w:val="auto"/>
          <w:sz w:val="21"/>
          <w:szCs w:val="21"/>
          <w:highlight w:val="none"/>
        </w:rPr>
        <w:t>劳务分包资格并为甲方提供劳服务之事宜达成</w:t>
      </w:r>
      <w:r>
        <w:rPr>
          <w:rFonts w:hint="eastAsia" w:hAnsi="宋体" w:cs="宋体"/>
          <w:b w:val="0"/>
          <w:color w:val="auto"/>
          <w:sz w:val="21"/>
          <w:szCs w:val="21"/>
          <w:highlight w:val="none"/>
          <w:lang w:val="en-US"/>
        </w:rPr>
        <w:t>一致，签订本合同</w:t>
      </w:r>
      <w:r>
        <w:rPr>
          <w:rFonts w:hint="eastAsia" w:hAnsi="宋体" w:cs="宋体"/>
          <w:b w:val="0"/>
          <w:color w:val="auto"/>
          <w:sz w:val="21"/>
          <w:szCs w:val="21"/>
          <w:highlight w:val="none"/>
        </w:rPr>
        <w:t>：</w:t>
      </w:r>
    </w:p>
    <w:p w14:paraId="22E19037">
      <w:pPr>
        <w:pStyle w:val="2"/>
        <w:snapToGrid w:val="0"/>
        <w:spacing w:line="360" w:lineRule="auto"/>
        <w:ind w:right="0" w:firstLine="422" w:firstLineChars="200"/>
        <w:jc w:val="both"/>
        <w:outlineLvl w:val="2"/>
        <w:rPr>
          <w:rFonts w:hint="eastAsia" w:hAnsi="宋体" w:cs="宋体"/>
          <w:bCs w:val="0"/>
          <w:color w:val="auto"/>
          <w:sz w:val="21"/>
          <w:szCs w:val="21"/>
          <w:highlight w:val="none"/>
        </w:rPr>
      </w:pPr>
      <w:bookmarkStart w:id="436" w:name="_Toc18550"/>
      <w:r>
        <w:rPr>
          <w:rFonts w:hint="eastAsia" w:hAnsi="宋体" w:cs="宋体"/>
          <w:bCs w:val="0"/>
          <w:color w:val="auto"/>
          <w:sz w:val="21"/>
          <w:szCs w:val="21"/>
          <w:highlight w:val="none"/>
        </w:rPr>
        <w:t>一、服务内容</w:t>
      </w:r>
      <w:bookmarkEnd w:id="436"/>
    </w:p>
    <w:p w14:paraId="006F074F">
      <w:pPr>
        <w:pStyle w:val="2"/>
        <w:snapToGrid w:val="0"/>
        <w:spacing w:line="360" w:lineRule="auto"/>
        <w:ind w:right="0" w:firstLine="420" w:firstLineChars="200"/>
        <w:jc w:val="both"/>
        <w:rPr>
          <w:rFonts w:hint="eastAsia" w:hAnsi="宋体" w:cs="宋体"/>
          <w:b w:val="0"/>
          <w:color w:val="auto"/>
          <w:sz w:val="21"/>
          <w:szCs w:val="21"/>
          <w:highlight w:val="none"/>
        </w:rPr>
      </w:pPr>
      <w:r>
        <w:rPr>
          <w:rFonts w:hint="eastAsia" w:hAnsi="宋体" w:cs="宋体"/>
          <w:b w:val="0"/>
          <w:color w:val="auto"/>
          <w:sz w:val="21"/>
          <w:szCs w:val="21"/>
          <w:highlight w:val="none"/>
        </w:rPr>
        <w:t>1、</w:t>
      </w:r>
      <w:r>
        <w:rPr>
          <w:rFonts w:hint="eastAsia" w:hAnsi="宋体" w:cs="宋体"/>
          <w:b w:val="0"/>
          <w:color w:val="auto"/>
          <w:sz w:val="21"/>
          <w:szCs w:val="21"/>
          <w:highlight w:val="none"/>
          <w:lang w:val="en-US"/>
        </w:rPr>
        <w:t>本合同服务内容包括合同</w:t>
      </w:r>
      <w:r>
        <w:rPr>
          <w:rFonts w:hint="eastAsia" w:hAnsi="宋体" w:cs="宋体"/>
          <w:b w:val="0"/>
          <w:color w:val="auto"/>
          <w:sz w:val="21"/>
          <w:szCs w:val="21"/>
          <w:highlight w:val="none"/>
        </w:rPr>
        <w:t>期内由甲方或其</w:t>
      </w:r>
      <w:r>
        <w:rPr>
          <w:rFonts w:hint="eastAsia" w:hAnsi="宋体" w:cs="宋体"/>
          <w:b w:val="0"/>
          <w:color w:val="auto"/>
          <w:sz w:val="21"/>
          <w:szCs w:val="21"/>
          <w:highlight w:val="none"/>
          <w:lang w:eastAsia="zh-CN"/>
        </w:rPr>
        <w:t>下属企业</w:t>
      </w:r>
      <w:r>
        <w:rPr>
          <w:rFonts w:hint="eastAsia" w:hAnsi="宋体" w:cs="宋体"/>
          <w:b w:val="0"/>
          <w:color w:val="auto"/>
          <w:sz w:val="21"/>
          <w:szCs w:val="21"/>
          <w:highlight w:val="none"/>
        </w:rPr>
        <w:t>承接的包括但不限于管网维修、水厂、泵站（房）、管网等水系统的施工项目及</w:t>
      </w:r>
      <w:r>
        <w:rPr>
          <w:rFonts w:hint="eastAsia" w:hAnsi="宋体" w:cs="宋体"/>
          <w:b w:val="0"/>
          <w:color w:val="auto"/>
          <w:sz w:val="21"/>
          <w:szCs w:val="21"/>
          <w:highlight w:val="none"/>
          <w:lang w:val="en-US" w:eastAsia="zh-CN"/>
        </w:rPr>
        <w:t>各类</w:t>
      </w:r>
      <w:r>
        <w:rPr>
          <w:rFonts w:hint="eastAsia" w:hAnsi="宋体" w:cs="宋体"/>
          <w:b w:val="0"/>
          <w:color w:val="auto"/>
          <w:sz w:val="21"/>
          <w:szCs w:val="21"/>
          <w:highlight w:val="none"/>
        </w:rPr>
        <w:t>项目的</w:t>
      </w:r>
      <w:r>
        <w:rPr>
          <w:rFonts w:hint="eastAsia" w:hAnsi="宋体" w:cs="宋体"/>
          <w:b w:val="0"/>
          <w:color w:val="auto"/>
          <w:sz w:val="21"/>
          <w:szCs w:val="21"/>
          <w:highlight w:val="none"/>
          <w:lang w:val="en-US" w:eastAsia="zh-CN"/>
        </w:rPr>
        <w:t>劳务分包</w:t>
      </w:r>
      <w:r>
        <w:rPr>
          <w:rFonts w:hint="eastAsia" w:hAnsi="宋体" w:cs="宋体"/>
          <w:b w:val="0"/>
          <w:color w:val="auto"/>
          <w:sz w:val="21"/>
          <w:szCs w:val="21"/>
          <w:highlight w:val="none"/>
        </w:rPr>
        <w:t>工作</w:t>
      </w:r>
      <w:r>
        <w:rPr>
          <w:rFonts w:hint="eastAsia" w:hAnsi="宋体" w:cs="宋体"/>
          <w:b w:val="0"/>
          <w:color w:val="auto"/>
          <w:sz w:val="21"/>
          <w:szCs w:val="21"/>
          <w:highlight w:val="none"/>
          <w:lang w:val="en-US"/>
        </w:rPr>
        <w:t>，以及甲方</w:t>
      </w:r>
      <w:r>
        <w:rPr>
          <w:rFonts w:hint="eastAsia" w:hAnsi="宋体" w:cs="宋体"/>
          <w:b w:val="0"/>
          <w:color w:val="auto"/>
          <w:sz w:val="21"/>
          <w:szCs w:val="21"/>
          <w:highlight w:val="none"/>
        </w:rPr>
        <w:t>或其</w:t>
      </w:r>
      <w:r>
        <w:rPr>
          <w:rFonts w:hint="eastAsia" w:hAnsi="宋体" w:cs="宋体"/>
          <w:b w:val="0"/>
          <w:color w:val="auto"/>
          <w:sz w:val="21"/>
          <w:szCs w:val="21"/>
          <w:highlight w:val="none"/>
          <w:lang w:eastAsia="zh-CN"/>
        </w:rPr>
        <w:t>下属企业</w:t>
      </w:r>
      <w:r>
        <w:rPr>
          <w:rFonts w:hint="eastAsia" w:hAnsi="宋体" w:cs="宋体"/>
          <w:b w:val="0"/>
          <w:color w:val="auto"/>
          <w:sz w:val="21"/>
          <w:szCs w:val="21"/>
          <w:highlight w:val="none"/>
          <w:lang w:val="en-US"/>
        </w:rPr>
        <w:t>自主投资建设的项目</w:t>
      </w:r>
      <w:r>
        <w:rPr>
          <w:rFonts w:hint="eastAsia" w:hAnsi="宋体" w:cs="宋体"/>
          <w:b w:val="0"/>
          <w:color w:val="auto"/>
          <w:sz w:val="21"/>
          <w:szCs w:val="21"/>
          <w:highlight w:val="none"/>
        </w:rPr>
        <w:t>。其中派单项目范围为：供水抢修项目单项劳务费用不设限，应急类、抢修类、抢险类的无图无预算项目单项劳务费用不设限，零星工程单项劳务费用（暂定）100万元（不含）以下，</w:t>
      </w:r>
      <w:r>
        <w:rPr>
          <w:rFonts w:hint="eastAsia" w:hAnsi="宋体" w:cs="宋体"/>
          <w:b w:val="0"/>
          <w:color w:val="auto"/>
          <w:sz w:val="21"/>
          <w:szCs w:val="21"/>
          <w:highlight w:val="none"/>
          <w:lang w:val="en-US"/>
        </w:rPr>
        <w:t>甲方或其下属企业有权通过书面通知的方式调整派单项目范围，乙方对此无异议且不得以此为由解除本合同</w:t>
      </w:r>
      <w:r>
        <w:rPr>
          <w:rFonts w:hint="eastAsia" w:hAnsi="宋体" w:cs="宋体"/>
          <w:b w:val="0"/>
          <w:color w:val="auto"/>
          <w:sz w:val="21"/>
          <w:szCs w:val="21"/>
          <w:highlight w:val="none"/>
          <w:lang w:val="en-US" w:eastAsia="zh-CN"/>
        </w:rPr>
        <w:t>。</w:t>
      </w:r>
      <w:r>
        <w:rPr>
          <w:rFonts w:hint="eastAsia" w:hAnsi="宋体" w:cs="宋体"/>
          <w:b w:val="0"/>
          <w:color w:val="auto"/>
          <w:sz w:val="21"/>
          <w:szCs w:val="21"/>
          <w:highlight w:val="none"/>
        </w:rPr>
        <w:t>具体劳务服务发包的工程范围及内容将由甲方或其下属企业业务部门根据本</w:t>
      </w:r>
      <w:r>
        <w:rPr>
          <w:rFonts w:hint="eastAsia" w:hAnsi="宋体" w:cs="宋体"/>
          <w:b w:val="0"/>
          <w:color w:val="auto"/>
          <w:sz w:val="21"/>
          <w:szCs w:val="21"/>
          <w:highlight w:val="none"/>
          <w:lang w:val="en-US" w:eastAsia="zh-CN"/>
        </w:rPr>
        <w:t>项目用户</w:t>
      </w:r>
      <w:r>
        <w:rPr>
          <w:rFonts w:hint="eastAsia" w:hAnsi="宋体" w:cs="宋体"/>
          <w:b w:val="0"/>
          <w:color w:val="auto"/>
          <w:sz w:val="21"/>
          <w:szCs w:val="21"/>
          <w:highlight w:val="none"/>
        </w:rPr>
        <w:t>需求书附件1：东莞市碧水信息科技有限公司施工劳务分包业务委派工作指引</w:t>
      </w:r>
      <w:r>
        <w:rPr>
          <w:rFonts w:hint="eastAsia" w:hAnsi="宋体" w:cs="宋体"/>
          <w:b w:val="0"/>
          <w:color w:val="auto"/>
          <w:sz w:val="21"/>
          <w:szCs w:val="21"/>
          <w:highlight w:val="none"/>
          <w:lang w:val="en-US"/>
        </w:rPr>
        <w:t>派发的书面通知</w:t>
      </w:r>
      <w:r>
        <w:rPr>
          <w:rFonts w:hint="eastAsia" w:hAnsi="宋体" w:cs="宋体"/>
          <w:b w:val="0"/>
          <w:color w:val="auto"/>
          <w:sz w:val="21"/>
          <w:szCs w:val="21"/>
          <w:highlight w:val="none"/>
        </w:rPr>
        <w:t>为准，</w:t>
      </w:r>
      <w:r>
        <w:rPr>
          <w:rFonts w:hint="eastAsia" w:hAnsi="宋体" w:cs="宋体"/>
          <w:b w:val="0"/>
          <w:color w:val="auto"/>
          <w:sz w:val="21"/>
          <w:szCs w:val="21"/>
          <w:highlight w:val="none"/>
          <w:lang w:val="en-US"/>
        </w:rPr>
        <w:t>乙方不得以任何理由拒绝承接或转让甲方或其下属企业派发的劳务分包任务</w:t>
      </w:r>
      <w:r>
        <w:rPr>
          <w:rFonts w:hint="eastAsia" w:hAnsi="宋体" w:cs="宋体"/>
          <w:b w:val="0"/>
          <w:color w:val="auto"/>
          <w:sz w:val="21"/>
          <w:szCs w:val="21"/>
          <w:highlight w:val="none"/>
        </w:rPr>
        <w:t>。</w:t>
      </w:r>
    </w:p>
    <w:p w14:paraId="0BDFE350">
      <w:pPr>
        <w:pStyle w:val="2"/>
        <w:snapToGrid w:val="0"/>
        <w:spacing w:line="360" w:lineRule="auto"/>
        <w:ind w:right="0" w:firstLine="420" w:firstLineChars="200"/>
        <w:jc w:val="both"/>
        <w:rPr>
          <w:rFonts w:hint="eastAsia" w:hAnsi="宋体" w:cs="宋体"/>
          <w:b w:val="0"/>
          <w:color w:val="auto"/>
          <w:sz w:val="21"/>
          <w:szCs w:val="21"/>
          <w:highlight w:val="none"/>
        </w:rPr>
      </w:pPr>
      <w:r>
        <w:rPr>
          <w:rFonts w:hint="eastAsia" w:hAnsi="宋体" w:cs="宋体"/>
          <w:b w:val="0"/>
          <w:color w:val="auto"/>
          <w:sz w:val="21"/>
          <w:szCs w:val="21"/>
          <w:highlight w:val="none"/>
        </w:rPr>
        <w:t>2、工作内容（详见附件</w:t>
      </w:r>
      <w:r>
        <w:rPr>
          <w:rFonts w:hint="eastAsia" w:hAnsi="宋体" w:cs="宋体"/>
          <w:b w:val="0"/>
          <w:color w:val="auto"/>
          <w:sz w:val="21"/>
          <w:szCs w:val="21"/>
          <w:highlight w:val="none"/>
          <w:lang w:val="en-US" w:eastAsia="zh-CN"/>
        </w:rPr>
        <w:t>6：</w:t>
      </w:r>
      <w:r>
        <w:rPr>
          <w:rFonts w:hint="eastAsia" w:hAnsi="宋体" w:cs="宋体"/>
          <w:b w:val="0"/>
          <w:color w:val="auto"/>
          <w:sz w:val="21"/>
          <w:szCs w:val="21"/>
          <w:highlight w:val="none"/>
        </w:rPr>
        <w:t>《用户需求书》）</w:t>
      </w:r>
    </w:p>
    <w:p w14:paraId="0A3C845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（1）供水抢修项目：</w:t>
      </w:r>
      <w:r>
        <w:rPr>
          <w:rFonts w:hint="eastAsia" w:hAnsi="宋体" w:cs="宋体"/>
          <w:b w:val="0"/>
          <w:color w:val="auto"/>
          <w:sz w:val="21"/>
          <w:szCs w:val="21"/>
          <w:highlight w:val="none"/>
        </w:rPr>
        <w:t>包括但不限于路面开挖、路面清洗、管道修复、余泥外运、基坑支护（如有必要）、基坑回填、路面修复（含地面标线修复）、人行道修复；因抢修引起的市政设施的拆除、修复，包括但不限于：路灯、路牌、交通灯、监控、护栏、隔音屏、排水管、雨水管、电缆槽等；因抢修引起的乔木、灌木、草皮、观赏植物等绿化修复</w:t>
      </w:r>
      <w:r>
        <w:rPr>
          <w:rFonts w:hint="eastAsia" w:hAnsi="宋体" w:cs="宋体"/>
          <w:b w:val="0"/>
          <w:color w:val="auto"/>
          <w:sz w:val="21"/>
          <w:szCs w:val="21"/>
          <w:highlight w:val="none"/>
          <w:lang w:val="en-US" w:eastAsia="zh-CN"/>
        </w:rPr>
        <w:t>的劳务服务</w:t>
      </w:r>
      <w:r>
        <w:rPr>
          <w:rFonts w:hint="eastAsia" w:hAnsi="宋体" w:cs="宋体"/>
          <w:b w:val="0"/>
          <w:color w:val="auto"/>
          <w:sz w:val="21"/>
          <w:szCs w:val="21"/>
          <w:highlight w:val="none"/>
        </w:rPr>
        <w:t>。上述工作须符合</w:t>
      </w:r>
      <w:r>
        <w:rPr>
          <w:rFonts w:hint="eastAsia" w:hAnsi="宋体" w:cs="宋体"/>
          <w:b w:val="0"/>
          <w:color w:val="auto"/>
          <w:sz w:val="21"/>
          <w:szCs w:val="21"/>
          <w:highlight w:val="none"/>
          <w:lang w:val="en-US"/>
        </w:rPr>
        <w:t>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、业主单位和</w:t>
      </w:r>
      <w:r>
        <w:rPr>
          <w:rFonts w:hint="eastAsia" w:hAnsi="宋体" w:cs="宋体"/>
          <w:b w:val="0"/>
          <w:color w:val="auto"/>
          <w:sz w:val="21"/>
          <w:szCs w:val="21"/>
          <w:highlight w:val="none"/>
        </w:rPr>
        <w:t>市政等主管部门的验收要求</w:t>
      </w:r>
      <w:r>
        <w:rPr>
          <w:rFonts w:hint="eastAsia" w:hAnsi="宋体" w:cs="宋体"/>
          <w:b w:val="0"/>
          <w:color w:val="auto"/>
          <w:sz w:val="21"/>
          <w:szCs w:val="21"/>
          <w:highlight w:val="none"/>
          <w:lang w:val="en-US"/>
        </w:rPr>
        <w:t>。</w:t>
      </w:r>
    </w:p>
    <w:p w14:paraId="4C508578">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（2）零星工程项目：包括但不限于水厂、泵站（房）、管网等供水系统的施工项目，污水处理（含水质净化）项目、提标项目及其他项目的装修、维修、扩建、应急抢险工作等</w:t>
      </w:r>
      <w:r>
        <w:rPr>
          <w:rFonts w:hint="eastAsia" w:hAnsi="宋体" w:cs="宋体"/>
          <w:b w:val="0"/>
          <w:color w:val="auto"/>
          <w:sz w:val="21"/>
          <w:szCs w:val="21"/>
          <w:highlight w:val="none"/>
          <w:lang w:val="en-US" w:eastAsia="zh-CN"/>
        </w:rPr>
        <w:t>的劳务服务</w:t>
      </w:r>
      <w:r>
        <w:rPr>
          <w:rFonts w:hint="eastAsia" w:hAnsi="宋体" w:cs="宋体"/>
          <w:b w:val="0"/>
          <w:color w:val="auto"/>
          <w:sz w:val="21"/>
          <w:szCs w:val="21"/>
          <w:highlight w:val="none"/>
          <w:lang w:val="en-US"/>
        </w:rPr>
        <w:t>。乙方须按合同有关质量的约定、国家现行的标准进行劳务作业，满足甲方或其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的质量要求以及甲方或其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对业主单位的质量承诺。</w:t>
      </w:r>
    </w:p>
    <w:p w14:paraId="315D663C">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3、合同签订后，甲方或其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通过书面通知确认乙方承接具体区域服务范围。合同期限内，甲方或其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对乙方承接的服务范围进行调整并委派乙方承接除本合同约定区域服务范围外的劳务分包项目，最终劳务服务费用按本合同约定的方式进行结算。在合同期内乙方不得因实际施工项目数量及服务费用的增减而要求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提供任何形式的补偿或赔偿，或只按照甲方或其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暂定的劳务服务费用提供相应的劳务服务。若因甲方或其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临时变更服务范围，乙方应无条件服从甲方或其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的要求，必须确保按甲方或其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要求匹配相应的人材机，并向甲方或其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报备。</w:t>
      </w:r>
    </w:p>
    <w:p w14:paraId="1080A4FF">
      <w:pPr>
        <w:pStyle w:val="2"/>
        <w:snapToGrid w:val="0"/>
        <w:spacing w:line="360" w:lineRule="auto"/>
        <w:ind w:right="0" w:firstLine="420" w:firstLineChars="200"/>
        <w:jc w:val="both"/>
        <w:rPr>
          <w:rFonts w:hint="eastAsia" w:hAnsi="宋体" w:cs="宋体"/>
          <w:b w:val="0"/>
          <w:color w:val="auto"/>
          <w:sz w:val="21"/>
          <w:szCs w:val="21"/>
          <w:highlight w:val="none"/>
        </w:rPr>
      </w:pPr>
      <w:r>
        <w:rPr>
          <w:rFonts w:hint="eastAsia" w:hAnsi="宋体" w:cs="宋体"/>
          <w:b w:val="0"/>
          <w:color w:val="auto"/>
          <w:sz w:val="21"/>
          <w:szCs w:val="21"/>
          <w:highlight w:val="none"/>
          <w:lang w:val="en-US"/>
        </w:rPr>
        <w:t>4</w:t>
      </w:r>
      <w:r>
        <w:rPr>
          <w:rFonts w:hint="eastAsia" w:hAnsi="宋体" w:cs="宋体"/>
          <w:b w:val="0"/>
          <w:color w:val="auto"/>
          <w:sz w:val="21"/>
          <w:szCs w:val="21"/>
          <w:highlight w:val="none"/>
        </w:rPr>
        <w:t>、</w:t>
      </w:r>
      <w:r>
        <w:rPr>
          <w:rFonts w:hint="eastAsia" w:hAnsi="宋体" w:cs="宋体"/>
          <w:b w:val="0"/>
          <w:color w:val="auto"/>
          <w:sz w:val="21"/>
          <w:szCs w:val="21"/>
          <w:highlight w:val="none"/>
          <w:lang w:val="en-US" w:eastAsia="zh-CN"/>
        </w:rPr>
        <w:t>乙方</w:t>
      </w:r>
      <w:r>
        <w:rPr>
          <w:rFonts w:hint="eastAsia" w:hAnsi="宋体" w:cs="宋体"/>
          <w:b w:val="0"/>
          <w:color w:val="auto"/>
          <w:sz w:val="21"/>
          <w:szCs w:val="21"/>
          <w:highlight w:val="none"/>
        </w:rPr>
        <w:t>的驻点须配备足够的项目管理人员及各类工种的施工人员（要求年龄在18周岁以上，男性不能超过55岁、女性不能超过50岁），最低人员配置标准如下：</w:t>
      </w:r>
    </w:p>
    <w:p w14:paraId="0740575B">
      <w:pPr>
        <w:pStyle w:val="2"/>
        <w:snapToGrid w:val="0"/>
        <w:spacing w:line="360" w:lineRule="auto"/>
        <w:ind w:right="0" w:firstLine="420" w:firstLineChars="200"/>
        <w:jc w:val="both"/>
        <w:rPr>
          <w:rFonts w:hint="eastAsia" w:hAnsi="宋体" w:cs="宋体"/>
          <w:b w:val="0"/>
          <w:color w:val="auto"/>
          <w:sz w:val="21"/>
          <w:szCs w:val="21"/>
          <w:highlight w:val="none"/>
        </w:rPr>
      </w:pPr>
      <w:r>
        <w:rPr>
          <w:rFonts w:hint="eastAsia" w:hAnsi="宋体" w:cs="宋体"/>
          <w:b w:val="0"/>
          <w:color w:val="auto"/>
          <w:sz w:val="21"/>
          <w:szCs w:val="21"/>
          <w:highlight w:val="none"/>
        </w:rPr>
        <w:t>（1）</w:t>
      </w:r>
      <w:r>
        <w:rPr>
          <w:rFonts w:hint="default" w:hAnsi="宋体" w:cs="宋体"/>
          <w:b w:val="0"/>
          <w:color w:val="auto"/>
          <w:sz w:val="21"/>
          <w:szCs w:val="21"/>
          <w:highlight w:val="none"/>
          <w:lang w:val="en-US"/>
        </w:rPr>
        <w:t>5</w:t>
      </w:r>
      <w:r>
        <w:rPr>
          <w:rFonts w:hint="eastAsia" w:hAnsi="宋体" w:cs="宋体"/>
          <w:b w:val="0"/>
          <w:color w:val="auto"/>
          <w:sz w:val="21"/>
          <w:szCs w:val="21"/>
          <w:highlight w:val="none"/>
        </w:rPr>
        <w:t>名项目管理人员：</w:t>
      </w:r>
    </w:p>
    <w:p w14:paraId="157024B5">
      <w:pPr>
        <w:pStyle w:val="2"/>
        <w:snapToGrid w:val="0"/>
        <w:spacing w:line="360" w:lineRule="auto"/>
        <w:ind w:right="0" w:firstLine="420" w:firstLineChars="200"/>
        <w:jc w:val="both"/>
        <w:rPr>
          <w:rFonts w:hint="eastAsia" w:hAnsi="宋体" w:cs="宋体"/>
          <w:b w:val="0"/>
          <w:color w:val="auto"/>
          <w:sz w:val="21"/>
          <w:szCs w:val="21"/>
          <w:highlight w:val="none"/>
        </w:rPr>
      </w:pPr>
      <w:r>
        <w:rPr>
          <w:rFonts w:hint="eastAsia" w:hAnsi="宋体" w:cs="宋体"/>
          <w:b w:val="0"/>
          <w:color w:val="auto"/>
          <w:sz w:val="21"/>
          <w:szCs w:val="21"/>
          <w:highlight w:val="none"/>
        </w:rPr>
        <w:t>①项目负责人1名，具备工程类中级或以上工程师职称证书；</w:t>
      </w:r>
    </w:p>
    <w:p w14:paraId="0EB8A7D0">
      <w:pPr>
        <w:pStyle w:val="2"/>
        <w:snapToGrid w:val="0"/>
        <w:spacing w:line="360" w:lineRule="auto"/>
        <w:ind w:right="0" w:firstLine="420" w:firstLineChars="200"/>
        <w:jc w:val="both"/>
        <w:rPr>
          <w:rFonts w:hint="eastAsia" w:hAnsi="宋体" w:cs="宋体"/>
          <w:b w:val="0"/>
          <w:color w:val="auto"/>
          <w:sz w:val="21"/>
          <w:szCs w:val="21"/>
          <w:highlight w:val="none"/>
        </w:rPr>
      </w:pPr>
      <w:r>
        <w:rPr>
          <w:rFonts w:hint="eastAsia" w:hAnsi="宋体" w:cs="宋体"/>
          <w:b w:val="0"/>
          <w:color w:val="auto"/>
          <w:sz w:val="21"/>
          <w:szCs w:val="21"/>
          <w:highlight w:val="none"/>
        </w:rPr>
        <w:t>②技术负责人1名；</w:t>
      </w:r>
    </w:p>
    <w:p w14:paraId="51D43830">
      <w:pPr>
        <w:pStyle w:val="2"/>
        <w:snapToGrid w:val="0"/>
        <w:spacing w:line="360" w:lineRule="auto"/>
        <w:ind w:right="0" w:firstLine="420" w:firstLineChars="200"/>
        <w:jc w:val="both"/>
        <w:rPr>
          <w:rFonts w:hint="eastAsia" w:hAnsi="宋体" w:cs="宋体"/>
          <w:b w:val="0"/>
          <w:color w:val="auto"/>
          <w:sz w:val="21"/>
          <w:szCs w:val="21"/>
          <w:highlight w:val="none"/>
        </w:rPr>
      </w:pPr>
      <w:r>
        <w:rPr>
          <w:rFonts w:hint="eastAsia" w:hAnsi="宋体" w:cs="宋体"/>
          <w:b w:val="0"/>
          <w:color w:val="auto"/>
          <w:sz w:val="21"/>
          <w:szCs w:val="21"/>
          <w:highlight w:val="none"/>
        </w:rPr>
        <w:t>③安全负责人1名，具备专职安全生产管理人员安全生产考核合格证书（“建安C”类证）；</w:t>
      </w:r>
    </w:p>
    <w:p w14:paraId="712C88A4">
      <w:pPr>
        <w:pStyle w:val="2"/>
        <w:snapToGrid w:val="0"/>
        <w:spacing w:line="360" w:lineRule="auto"/>
        <w:ind w:right="0" w:firstLine="420" w:firstLineChars="200"/>
        <w:jc w:val="both"/>
        <w:rPr>
          <w:rFonts w:hint="eastAsia" w:hAnsi="宋体" w:cs="宋体"/>
          <w:b w:val="0"/>
          <w:color w:val="auto"/>
          <w:sz w:val="21"/>
          <w:szCs w:val="21"/>
          <w:highlight w:val="none"/>
        </w:rPr>
      </w:pPr>
      <w:r>
        <w:rPr>
          <w:rFonts w:hint="eastAsia" w:hAnsi="宋体" w:cs="宋体"/>
          <w:b w:val="0"/>
          <w:color w:val="auto"/>
          <w:sz w:val="21"/>
          <w:szCs w:val="21"/>
          <w:highlight w:val="none"/>
        </w:rPr>
        <w:t>④质量负责人1名；</w:t>
      </w:r>
    </w:p>
    <w:p w14:paraId="69B2AE10">
      <w:pPr>
        <w:pStyle w:val="2"/>
        <w:snapToGrid w:val="0"/>
        <w:spacing w:line="360" w:lineRule="auto"/>
        <w:ind w:right="0" w:firstLine="420" w:firstLineChars="200"/>
        <w:jc w:val="both"/>
        <w:rPr>
          <w:rFonts w:hint="eastAsia" w:hAnsi="宋体" w:cs="宋体"/>
          <w:b w:val="0"/>
          <w:color w:val="auto"/>
          <w:sz w:val="21"/>
          <w:szCs w:val="21"/>
          <w:highlight w:val="none"/>
        </w:rPr>
      </w:pPr>
      <w:r>
        <w:rPr>
          <w:rFonts w:hint="eastAsia" w:hAnsi="宋体" w:cs="宋体"/>
          <w:b w:val="0"/>
          <w:color w:val="auto"/>
          <w:sz w:val="21"/>
          <w:szCs w:val="21"/>
          <w:highlight w:val="none"/>
        </w:rPr>
        <w:t>⑤资料负责人1名，具备资料员上岗证；</w:t>
      </w:r>
    </w:p>
    <w:p w14:paraId="08889DDB">
      <w:pPr>
        <w:pStyle w:val="2"/>
        <w:snapToGrid w:val="0"/>
        <w:spacing w:line="360" w:lineRule="auto"/>
        <w:ind w:right="0" w:firstLine="420" w:firstLineChars="200"/>
        <w:jc w:val="both"/>
        <w:rPr>
          <w:rFonts w:hint="eastAsia" w:hAnsi="宋体" w:eastAsia="宋体" w:cs="宋体"/>
          <w:b w:val="0"/>
          <w:color w:val="auto"/>
          <w:sz w:val="21"/>
          <w:szCs w:val="21"/>
          <w:highlight w:val="none"/>
          <w:lang w:eastAsia="zh-CN"/>
        </w:rPr>
      </w:pPr>
      <w:r>
        <w:rPr>
          <w:rFonts w:hint="eastAsia" w:hAnsi="宋体" w:cs="宋体"/>
          <w:b w:val="0"/>
          <w:color w:val="auto"/>
          <w:sz w:val="21"/>
          <w:szCs w:val="21"/>
          <w:highlight w:val="none"/>
        </w:rPr>
        <w:t>（2）10名劳务工：</w:t>
      </w:r>
    </w:p>
    <w:p w14:paraId="5D935C4F">
      <w:pPr>
        <w:pStyle w:val="2"/>
        <w:snapToGrid w:val="0"/>
        <w:spacing w:line="360" w:lineRule="auto"/>
        <w:ind w:right="0" w:firstLine="420" w:firstLineChars="200"/>
        <w:jc w:val="both"/>
        <w:rPr>
          <w:rFonts w:hint="eastAsia" w:hAnsi="宋体" w:cs="宋体"/>
          <w:b w:val="0"/>
          <w:color w:val="auto"/>
          <w:sz w:val="21"/>
          <w:szCs w:val="21"/>
          <w:highlight w:val="none"/>
        </w:rPr>
      </w:pPr>
      <w:r>
        <w:rPr>
          <w:rFonts w:hint="eastAsia" w:hAnsi="宋体" w:cs="宋体"/>
          <w:b w:val="0"/>
          <w:color w:val="auto"/>
          <w:sz w:val="21"/>
          <w:szCs w:val="21"/>
          <w:highlight w:val="none"/>
        </w:rPr>
        <w:t>如：焊工、电工、砌筑工、混凝土工、钢筋工、木工（模版工）、工程机械操作员等工种共10人，其中：</w:t>
      </w:r>
    </w:p>
    <w:p w14:paraId="2B42637A">
      <w:pPr>
        <w:pStyle w:val="2"/>
        <w:snapToGrid w:val="0"/>
        <w:spacing w:line="360" w:lineRule="auto"/>
        <w:ind w:right="0" w:firstLine="420" w:firstLineChars="200"/>
        <w:jc w:val="both"/>
        <w:rPr>
          <w:rFonts w:hint="eastAsia" w:hAnsi="宋体" w:cs="宋体"/>
          <w:b w:val="0"/>
          <w:color w:val="auto"/>
          <w:sz w:val="21"/>
          <w:szCs w:val="21"/>
          <w:highlight w:val="none"/>
        </w:rPr>
      </w:pPr>
      <w:r>
        <w:rPr>
          <w:rFonts w:hint="eastAsia" w:hAnsi="宋体" w:cs="宋体"/>
          <w:b w:val="0"/>
          <w:color w:val="auto"/>
          <w:sz w:val="21"/>
          <w:szCs w:val="21"/>
          <w:highlight w:val="none"/>
        </w:rPr>
        <w:t>2名焊工应持有住房和城乡建设部门或住房和城乡建设部门委托的考核机构颁发的《建筑施工特种作业操作资格证》（操作类别：建筑焊工），或应急管理部门颁发的《特种作业操作证》（作业类别：焊接与热切割作业）；上述证书需在官方指定的合法的、合规的平台上可查询；</w:t>
      </w:r>
    </w:p>
    <w:p w14:paraId="5F76B826">
      <w:pPr>
        <w:pStyle w:val="2"/>
        <w:snapToGrid w:val="0"/>
        <w:spacing w:line="360" w:lineRule="auto"/>
        <w:ind w:right="0" w:firstLine="420" w:firstLineChars="200"/>
        <w:jc w:val="both"/>
        <w:rPr>
          <w:rFonts w:hint="eastAsia" w:hAnsi="宋体" w:cs="宋体"/>
          <w:b w:val="0"/>
          <w:color w:val="auto"/>
          <w:sz w:val="21"/>
          <w:szCs w:val="21"/>
          <w:highlight w:val="none"/>
        </w:rPr>
      </w:pPr>
      <w:r>
        <w:rPr>
          <w:rFonts w:hint="eastAsia" w:hAnsi="宋体" w:cs="宋体"/>
          <w:b w:val="0"/>
          <w:color w:val="auto"/>
          <w:sz w:val="21"/>
          <w:szCs w:val="21"/>
          <w:highlight w:val="none"/>
        </w:rPr>
        <w:t>1名电工应持有住房和城乡建设部门或住房和城乡建设部门委托的考核机构颁发的《建筑施工特种作业操作资格证》（操作类别：建筑电工），或应急管理部门颁发的《特种作业操作证》（作业类别：电工作业）；上述证书需在官方指定的合法的、合规的平台上可查询；</w:t>
      </w:r>
    </w:p>
    <w:p w14:paraId="51357DC0">
      <w:pPr>
        <w:pStyle w:val="2"/>
        <w:snapToGrid w:val="0"/>
        <w:spacing w:line="360" w:lineRule="auto"/>
        <w:ind w:right="0" w:firstLine="420" w:firstLineChars="200"/>
        <w:jc w:val="both"/>
        <w:rPr>
          <w:color w:val="auto"/>
          <w:highlight w:val="none"/>
        </w:rPr>
      </w:pPr>
      <w:r>
        <w:rPr>
          <w:rFonts w:hint="eastAsia" w:hAnsi="宋体" w:cs="宋体"/>
          <w:b w:val="0"/>
          <w:color w:val="auto"/>
          <w:sz w:val="21"/>
          <w:szCs w:val="21"/>
          <w:highlight w:val="none"/>
        </w:rPr>
        <w:t>1名工程机械操作员应持有挖掘机操作证。</w:t>
      </w:r>
    </w:p>
    <w:p w14:paraId="09A70273">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ascii="宋体" w:hAnsi="宋体" w:eastAsia="宋体" w:cs="宋体"/>
          <w:b w:val="0"/>
          <w:color w:val="auto"/>
          <w:sz w:val="21"/>
          <w:szCs w:val="21"/>
          <w:highlight w:val="none"/>
        </w:rPr>
        <w:t>（3）上述</w:t>
      </w:r>
      <w:r>
        <w:rPr>
          <w:rFonts w:hint="default" w:ascii="宋体" w:hAnsi="宋体" w:eastAsia="宋体" w:cs="宋体"/>
          <w:b w:val="0"/>
          <w:color w:val="auto"/>
          <w:sz w:val="21"/>
          <w:szCs w:val="21"/>
          <w:highlight w:val="none"/>
          <w:lang w:val="en-US"/>
        </w:rPr>
        <w:t>5</w:t>
      </w:r>
      <w:r>
        <w:rPr>
          <w:rFonts w:hint="eastAsia" w:ascii="宋体" w:hAnsi="宋体" w:eastAsia="宋体" w:cs="宋体"/>
          <w:b w:val="0"/>
          <w:color w:val="auto"/>
          <w:sz w:val="21"/>
          <w:szCs w:val="21"/>
          <w:highlight w:val="none"/>
        </w:rPr>
        <w:t>名项目管理人员及10名劳务工须在中标后</w:t>
      </w:r>
      <w:r>
        <w:rPr>
          <w:rFonts w:hint="eastAsia" w:ascii="宋体" w:hAnsi="宋体" w:eastAsia="宋体" w:cs="宋体"/>
          <w:b w:val="0"/>
          <w:color w:val="auto"/>
          <w:sz w:val="21"/>
          <w:szCs w:val="21"/>
          <w:highlight w:val="none"/>
          <w:lang w:val="en-US" w:eastAsia="zh-CN"/>
        </w:rPr>
        <w:t>向甲方或其</w:t>
      </w:r>
      <w:r>
        <w:rPr>
          <w:rFonts w:hint="eastAsia" w:hAnsi="宋体" w:cs="宋体"/>
          <w:b w:val="0"/>
          <w:color w:val="auto"/>
          <w:sz w:val="21"/>
          <w:szCs w:val="21"/>
          <w:highlight w:val="none"/>
          <w:lang w:val="en-US" w:eastAsia="zh-CN"/>
        </w:rPr>
        <w:t>下属企业</w:t>
      </w:r>
      <w:r>
        <w:rPr>
          <w:rFonts w:hint="eastAsia" w:ascii="宋体" w:hAnsi="宋体" w:eastAsia="宋体" w:cs="宋体"/>
          <w:b w:val="0"/>
          <w:color w:val="auto"/>
          <w:sz w:val="21"/>
          <w:szCs w:val="21"/>
          <w:highlight w:val="none"/>
        </w:rPr>
        <w:t>实名制报备</w:t>
      </w:r>
      <w:r>
        <w:rPr>
          <w:rFonts w:hint="eastAsia" w:ascii="宋体" w:hAnsi="宋体" w:eastAsia="宋体" w:cs="宋体"/>
          <w:b w:val="0"/>
          <w:color w:val="auto"/>
          <w:sz w:val="21"/>
          <w:szCs w:val="21"/>
          <w:highlight w:val="none"/>
          <w:lang w:eastAsia="zh-CN"/>
        </w:rPr>
        <w:t>；</w:t>
      </w:r>
      <w:r>
        <w:rPr>
          <w:rFonts w:hint="eastAsia" w:ascii="宋体" w:hAnsi="宋体" w:eastAsia="宋体" w:cs="宋体"/>
          <w:b w:val="0"/>
          <w:color w:val="auto"/>
          <w:sz w:val="21"/>
          <w:szCs w:val="21"/>
          <w:highlight w:val="none"/>
          <w:lang w:val="en-US" w:eastAsia="zh-CN"/>
        </w:rPr>
        <w:t>其中，</w:t>
      </w:r>
      <w:r>
        <w:rPr>
          <w:rFonts w:hint="eastAsia" w:hAnsi="宋体" w:cs="宋体"/>
          <w:b w:val="0"/>
          <w:color w:val="auto"/>
          <w:sz w:val="21"/>
          <w:szCs w:val="21"/>
          <w:highlight w:val="none"/>
          <w:lang w:val="en-US" w:eastAsia="zh-CN"/>
        </w:rPr>
        <w:t>乙方</w:t>
      </w:r>
      <w:r>
        <w:rPr>
          <w:rFonts w:hint="eastAsia" w:ascii="宋体" w:hAnsi="宋体" w:eastAsia="宋体" w:cs="宋体"/>
          <w:b w:val="0"/>
          <w:color w:val="auto"/>
          <w:sz w:val="21"/>
          <w:szCs w:val="21"/>
          <w:highlight w:val="none"/>
          <w:lang w:val="en-US" w:eastAsia="zh-CN"/>
        </w:rPr>
        <w:t>应在签订合同前向</w:t>
      </w:r>
      <w:r>
        <w:rPr>
          <w:rFonts w:hint="eastAsia" w:hAnsi="宋体" w:cs="宋体"/>
          <w:b w:val="0"/>
          <w:color w:val="auto"/>
          <w:sz w:val="21"/>
          <w:szCs w:val="21"/>
          <w:highlight w:val="none"/>
          <w:lang w:val="en-US" w:eastAsia="zh-CN"/>
        </w:rPr>
        <w:t>甲方</w:t>
      </w:r>
      <w:r>
        <w:rPr>
          <w:rFonts w:hint="eastAsia" w:ascii="宋体" w:hAnsi="宋体" w:eastAsia="宋体" w:cs="宋体"/>
          <w:b w:val="0"/>
          <w:color w:val="auto"/>
          <w:sz w:val="21"/>
          <w:szCs w:val="21"/>
          <w:highlight w:val="none"/>
          <w:lang w:val="en-US" w:eastAsia="zh-CN"/>
        </w:rPr>
        <w:t>或其下属企业提供上述10名劳务工的2025年身体健康检查合格报告，如发现身体检查不合格的，</w:t>
      </w:r>
      <w:r>
        <w:rPr>
          <w:rFonts w:hint="eastAsia" w:hAnsi="宋体" w:cs="宋体"/>
          <w:b w:val="0"/>
          <w:color w:val="auto"/>
          <w:sz w:val="21"/>
          <w:szCs w:val="21"/>
          <w:highlight w:val="none"/>
          <w:lang w:val="en-US" w:eastAsia="zh-CN"/>
        </w:rPr>
        <w:t>乙方</w:t>
      </w:r>
      <w:r>
        <w:rPr>
          <w:rFonts w:hint="eastAsia" w:ascii="宋体" w:hAnsi="宋体" w:eastAsia="宋体" w:cs="宋体"/>
          <w:b w:val="0"/>
          <w:color w:val="auto"/>
          <w:sz w:val="21"/>
          <w:szCs w:val="21"/>
          <w:highlight w:val="none"/>
          <w:lang w:val="en-US" w:eastAsia="zh-CN"/>
        </w:rPr>
        <w:t>应按投标文件中承诺的同等条件更换相应劳务工</w:t>
      </w:r>
      <w:r>
        <w:rPr>
          <w:rFonts w:hint="eastAsia" w:ascii="宋体" w:hAnsi="宋体" w:eastAsia="宋体" w:cs="宋体"/>
          <w:b w:val="0"/>
          <w:color w:val="auto"/>
          <w:sz w:val="21"/>
          <w:szCs w:val="21"/>
          <w:highlight w:val="none"/>
        </w:rPr>
        <w:t>。</w:t>
      </w:r>
    </w:p>
    <w:p w14:paraId="1A20013F">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37" w:name="_Toc2735"/>
      <w:r>
        <w:rPr>
          <w:rFonts w:hint="eastAsia" w:hAnsi="宋体" w:cs="宋体"/>
          <w:bCs w:val="0"/>
          <w:color w:val="auto"/>
          <w:sz w:val="21"/>
          <w:szCs w:val="21"/>
          <w:highlight w:val="none"/>
        </w:rPr>
        <w:t>二、</w:t>
      </w:r>
      <w:r>
        <w:rPr>
          <w:rFonts w:hint="eastAsia" w:hAnsi="宋体" w:cs="宋体"/>
          <w:bCs w:val="0"/>
          <w:color w:val="auto"/>
          <w:sz w:val="21"/>
          <w:szCs w:val="21"/>
          <w:highlight w:val="none"/>
          <w:lang w:val="en-US"/>
        </w:rPr>
        <w:t>劳务费用的确定和支付</w:t>
      </w:r>
      <w:bookmarkEnd w:id="437"/>
    </w:p>
    <w:p w14:paraId="14FAE593">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1、零星工程项目结算方式</w:t>
      </w:r>
    </w:p>
    <w:p w14:paraId="310021B1">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表务类零星工程项目：按照《东莞市碧水信息科技有限公司表务类小型项目劳务分包清单价目表》（以下简称“《表务类小型项目劳务分包清单价目表》”）有关约定办理结算，结算时不进行下浮。对于适用于《表务类小型项目劳务分包清单价目表》但未涵盖的情况，参照《表务类小型项目劳务分包清单价目表》中类似项目的单价或按甲方修订后的单价执行。对于不适用于《表务类小型项目劳务分包清单价目表》的情况，参照非表务零星工程项目的结算方式。如遇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总包结算模式有调整的，甲方或其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有权结合实际情况调整结算模式，具体以甲方或其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书面通知为准。</w:t>
      </w:r>
    </w:p>
    <w:p w14:paraId="6849FFC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（2）非表务类零星工程项目：下浮率：</w:t>
      </w:r>
      <w:r>
        <w:rPr>
          <w:rFonts w:hint="eastAsia" w:hAnsi="宋体" w:cs="宋体"/>
          <w:b w:val="0"/>
          <w:color w:val="auto"/>
          <w:sz w:val="21"/>
          <w:szCs w:val="21"/>
          <w:highlight w:val="none"/>
          <w:u w:val="single"/>
          <w:lang w:val="en-US"/>
        </w:rPr>
        <w:t xml:space="preserve"> 13 % </w:t>
      </w:r>
      <w:r>
        <w:rPr>
          <w:rFonts w:hint="eastAsia" w:hAnsi="宋体" w:cs="宋体"/>
          <w:b w:val="0"/>
          <w:color w:val="auto"/>
          <w:sz w:val="21"/>
          <w:szCs w:val="21"/>
          <w:highlight w:val="none"/>
          <w:lang w:val="en-US" w:eastAsia="zh-CN"/>
        </w:rPr>
        <w:t>，</w:t>
      </w:r>
      <w:r>
        <w:rPr>
          <w:rFonts w:hint="eastAsia" w:hAnsi="宋体" w:cs="宋体"/>
          <w:b w:val="0"/>
          <w:color w:val="auto"/>
          <w:sz w:val="21"/>
          <w:szCs w:val="21"/>
          <w:highlight w:val="none"/>
          <w:lang w:val="en-US"/>
        </w:rPr>
        <w:t>合同期内，各单项项目结算费用按照该下浮率进行下浮。结算时计量以双方确认的现场签证工程量为准；结算计价方式参考总包结算方式，分为人材机结算方式和清单计价结算方式，结算单价以甲方或其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审定为准（甲方或其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主要参考广东省现行综合定额相关计价规则进行审定，具体以单个项目审核情况为准），不含税结算总价=未下浮的不含税总价*（1-下浮率）。</w:t>
      </w:r>
    </w:p>
    <w:p w14:paraId="1C57F748">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供水抢修项目结算方式：执行《东莞市碧水信息科技有限公司供水管网及附属设备抢修业务劳务分包清单价目表》（以下简称“《抢修劳务清单价目表》”），结算时不进行下浮。对于《抢修劳务清单价目表》未涵盖的情况，参照《抢修劳务清单价目表》中类似项目的单价、或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修订后的单价、或甲方或其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审定的单价（甲方或其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主要</w:t>
      </w:r>
      <w:r>
        <w:rPr>
          <w:rFonts w:hint="eastAsia" w:hAnsi="宋体" w:cs="宋体"/>
          <w:b w:val="0"/>
          <w:color w:val="auto"/>
          <w:sz w:val="21"/>
          <w:szCs w:val="21"/>
          <w:highlight w:val="none"/>
          <w:lang w:val="en-US" w:eastAsia="zh-CN"/>
        </w:rPr>
        <w:t>参考</w:t>
      </w:r>
      <w:r>
        <w:rPr>
          <w:rFonts w:hint="eastAsia" w:hAnsi="宋体" w:cs="宋体"/>
          <w:b w:val="0"/>
          <w:color w:val="auto"/>
          <w:sz w:val="21"/>
          <w:szCs w:val="21"/>
          <w:highlight w:val="none"/>
          <w:lang w:val="en-US"/>
        </w:rPr>
        <w:t>广东省现行综合定额相关计价规则并参照零星工程项目下浮率进行审定）执行。对于整单以劳务分包方式实施的DN400以下口径抢修劳务分包项目，按固定单价进行结算，即单个项目的“抢修结算总价=固定综合单价”；对于DN400及以上口径或部分以劳务分包方式实施的DN400以下口径抢修劳务分包项目，依据实际发生的工作量，按清单单价组价结算，即单个项目的“抢修结算总价=Σ（现场签证工程量×清单项目全费用综合单价）”。对于以抢修方式委托实施的零星工程项目不适用《抢修劳务清单价目表》，结算时由甲方或其</w:t>
      </w:r>
      <w:r>
        <w:rPr>
          <w:rFonts w:hint="eastAsia" w:hAnsi="宋体" w:cs="宋体"/>
          <w:b w:val="0"/>
          <w:color w:val="auto"/>
          <w:sz w:val="21"/>
          <w:szCs w:val="21"/>
          <w:highlight w:val="none"/>
          <w:lang w:val="en-US" w:eastAsia="zh-CN"/>
        </w:rPr>
        <w:t>下属企业参考</w:t>
      </w:r>
      <w:r>
        <w:rPr>
          <w:rFonts w:hint="eastAsia" w:hAnsi="宋体" w:cs="宋体"/>
          <w:b w:val="0"/>
          <w:color w:val="auto"/>
          <w:sz w:val="21"/>
          <w:szCs w:val="21"/>
          <w:highlight w:val="none"/>
          <w:lang w:val="en-US"/>
        </w:rPr>
        <w:t>广东省现行综合定额相关计价规则并参照零星工程项目下浮率进行组价，具体以单个项目审核情况为准。如遇甲方或其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总包结算模式有调整的，甲方或其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有权结合实际情况调整结算模式，具体以甲方或其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书面通知为准。</w:t>
      </w:r>
    </w:p>
    <w:p w14:paraId="3646A12A">
      <w:pPr>
        <w:pStyle w:val="2"/>
        <w:snapToGrid w:val="0"/>
        <w:spacing w:line="360" w:lineRule="auto"/>
        <w:ind w:right="0" w:firstLine="420" w:firstLineChars="200"/>
        <w:jc w:val="both"/>
        <w:rPr>
          <w:rFonts w:hint="eastAsia" w:hAnsi="宋体" w:cs="宋体"/>
          <w:color w:val="auto"/>
          <w:sz w:val="21"/>
          <w:szCs w:val="21"/>
          <w:highlight w:val="none"/>
          <w:lang w:val="en-US"/>
        </w:rPr>
      </w:pPr>
      <w:r>
        <w:rPr>
          <w:rFonts w:hint="eastAsia" w:hAnsi="宋体" w:cs="宋体"/>
          <w:b w:val="0"/>
          <w:color w:val="auto"/>
          <w:sz w:val="21"/>
          <w:szCs w:val="21"/>
          <w:highlight w:val="none"/>
          <w:lang w:val="en-US"/>
        </w:rPr>
        <w:t>按上述结算方式计算所得的结算总价均已包含完成约定工作内容的一切费用，包含但不限于乙方提供的人工费、零星材料费、机具费、安全生产费、文明施工费（含统一着装费）、夜间施工费、施工干扰费、交通疏解费、按照国家及地方有关规定应交纳的税费、规费、乙方为乙方的人员和机具购买的各种保险费用、进退场费以及本合同明示或暗示的风险及乙方实际实施的绿色施工安全防护措施费。税费按劳务分包派单表约定的增值税税率计算，若税收政策变动，增值税税率按照税收政策规定对应调整。</w:t>
      </w:r>
    </w:p>
    <w:p w14:paraId="31B4E613">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甲方有权结合实际情况对《东莞市碧水信息科技有限公司表务类小型项目劳务分包清单价目表》和《东莞市碧水信息科技有限公司供水管网及附属设备抢修业务劳务分包清单价目表》进行修订，甲方应提前2个工作日将修改后的清单价目表书面通知乙方，乙方应在2个工作日内予以书面确认，双方再办理结算工作，乙方对此表示同意且无异议。</w:t>
      </w:r>
    </w:p>
    <w:p w14:paraId="6A4B2349">
      <w:pPr>
        <w:pStyle w:val="2"/>
        <w:snapToGrid w:val="0"/>
        <w:spacing w:line="360" w:lineRule="auto"/>
        <w:ind w:right="0" w:firstLine="420" w:firstLineChars="200"/>
        <w:jc w:val="both"/>
        <w:rPr>
          <w:rFonts w:hint="eastAsia" w:hAnsi="宋体" w:cs="宋体"/>
          <w:b w:val="0"/>
          <w:color w:val="auto"/>
          <w:sz w:val="21"/>
          <w:szCs w:val="21"/>
          <w:highlight w:val="none"/>
        </w:rPr>
      </w:pPr>
      <w:r>
        <w:rPr>
          <w:rFonts w:hint="eastAsia" w:hAnsi="宋体" w:cs="宋体"/>
          <w:b w:val="0"/>
          <w:color w:val="auto"/>
          <w:sz w:val="21"/>
          <w:szCs w:val="21"/>
          <w:highlight w:val="none"/>
          <w:lang w:val="en-US"/>
        </w:rPr>
        <w:t>4、合同期</w:t>
      </w:r>
      <w:r>
        <w:rPr>
          <w:rFonts w:hint="eastAsia" w:hAnsi="宋体" w:cs="宋体"/>
          <w:b w:val="0"/>
          <w:color w:val="auto"/>
          <w:sz w:val="21"/>
          <w:szCs w:val="21"/>
          <w:highlight w:val="none"/>
        </w:rPr>
        <w:t>内，</w:t>
      </w:r>
      <w:r>
        <w:rPr>
          <w:rFonts w:hint="eastAsia" w:hAnsi="宋体" w:cs="宋体"/>
          <w:b w:val="0"/>
          <w:color w:val="auto"/>
          <w:sz w:val="21"/>
          <w:szCs w:val="21"/>
          <w:highlight w:val="none"/>
          <w:lang w:val="en-US"/>
        </w:rPr>
        <w:t>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rPr>
        <w:t>通过微信、电子邮件等通讯方式</w:t>
      </w:r>
      <w:r>
        <w:rPr>
          <w:rFonts w:hint="eastAsia" w:hAnsi="宋体" w:cs="宋体"/>
          <w:b w:val="0"/>
          <w:color w:val="auto"/>
          <w:sz w:val="21"/>
          <w:szCs w:val="21"/>
          <w:highlight w:val="none"/>
          <w:lang w:val="en-US"/>
        </w:rPr>
        <w:t>和</w:t>
      </w:r>
      <w:r>
        <w:rPr>
          <w:rFonts w:hint="eastAsia" w:hAnsi="宋体" w:cs="宋体"/>
          <w:b w:val="0"/>
          <w:color w:val="auto"/>
          <w:sz w:val="21"/>
          <w:szCs w:val="21"/>
          <w:highlight w:val="none"/>
        </w:rPr>
        <w:t>《东莞市碧水信息科技有限公司劳务分包派单表》明确项目的基本信息、工期、暂定劳务总价和甲供材料及设备等。</w:t>
      </w:r>
    </w:p>
    <w:p w14:paraId="7B97D7D5">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5、本合同项下的单项项目最终服务费用按实际发生并经双方确认的工程量结算。本合同文件、劳务分包派单表、工程预算书及工程量签证表（按甲方或其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和业主单位要求附施工过程留痕影像资料）等资料作为单项项目结算的依据。每个单项项目在完成实施并经甲方或其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、业主单位及其委托的监理单位（如有）验收合格后，按照合同约定及甲方或其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相关要求进行结算、付款。</w:t>
      </w:r>
    </w:p>
    <w:p w14:paraId="7BDEDDE2">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6、合同履约过程中，单个项目的劳务分包暂定价可按上述约定的结算方式进行预估，或在扣除总包供应费用后的总包项目价基础上下浮所得，或由甲方或其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结合资料编制所得。但单个项目的劳务分包暂定价并非劳务结算价，且与劳务结算价无必然的关系，单项劳务结算价按本合同约定的结算方式进行计算。</w:t>
      </w:r>
    </w:p>
    <w:p w14:paraId="2B234BEE">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7、合同价款已包含完成工程劳务的全部费用，包括但不限于人工费、管理费等与劳务服务相关的一切费用。未经甲方或其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书面确认，乙方无权增加任何费用。</w:t>
      </w:r>
    </w:p>
    <w:p w14:paraId="7718FA2F">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8、劳务分包项目支付方式</w:t>
      </w:r>
    </w:p>
    <w:p w14:paraId="5A3C7430">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（1）供水抢修项目劳务分包项目及表务类零星工程项目劳务分包项目</w:t>
      </w:r>
    </w:p>
    <w:p w14:paraId="17929929">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项目完工且验收合格后，双方确认签证和确认结算价后，乙方按照甲方或其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要求提供相关请款资料，经甲方或其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确认无误后支付至结算价款的100%。</w:t>
      </w:r>
    </w:p>
    <w:p w14:paraId="5EB05419">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（2）非表务类零星工程项目单项劳务分包项目</w:t>
      </w:r>
    </w:p>
    <w:p w14:paraId="4731C3BB">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1）劳务派单暂定价20万元（不含）以下或无劳务派单暂定价的项目</w:t>
      </w:r>
    </w:p>
    <w:p w14:paraId="3A505996">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不设进度款。项目全部劳务工作完成后30个日历天内，乙方向甲方或其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递交完整的竣工资料。甲方或其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收到乙方递交的竣工资料后14个工作日内完成审核，给予确认或提出修改意见。项目竣工验收合格后，乙方按照甲方或其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要求递交完整的结算资料，对已完成且无争议部分的工程量进行结算，支付至经甲方或其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审定的劳务结算价款的100%。</w:t>
      </w:r>
    </w:p>
    <w:p w14:paraId="403016DD">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2）劳务派单暂定价20万元（含）以上的项目</w:t>
      </w:r>
    </w:p>
    <w:p w14:paraId="09B456F1">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①进度款：项目完工后，按已完成且无争议部分工程量对应劳务费用的80%支付。若乙方最新两次（季度）考核周期考核结果均为优良且连续排名前三，则在本季度办理请款事宜时（以发起请款流程时间为准），乙方享有优先权</w:t>
      </w:r>
      <w:r>
        <w:rPr>
          <w:rFonts w:hint="eastAsia" w:hAnsi="宋体" w:cs="宋体"/>
          <w:b w:val="0"/>
          <w:color w:val="auto"/>
          <w:sz w:val="21"/>
          <w:szCs w:val="21"/>
          <w:highlight w:val="none"/>
          <w:lang w:val="en-US" w:eastAsia="zh-CN"/>
        </w:rPr>
        <w:t>利</w:t>
      </w:r>
      <w:r>
        <w:rPr>
          <w:rFonts w:hint="eastAsia" w:hAnsi="宋体" w:cs="宋体"/>
          <w:b w:val="0"/>
          <w:color w:val="auto"/>
          <w:sz w:val="21"/>
          <w:szCs w:val="21"/>
          <w:highlight w:val="none"/>
          <w:lang w:val="en-US"/>
        </w:rPr>
        <w:t>。具体表现为，针对单项分包费用为50万元（含）以上的项目，其进度款支付比例提高至85%；若乙方在办理请款时未同步附上相关凭证，则视为放弃该权利，后续不得追加申请。</w:t>
      </w:r>
    </w:p>
    <w:p w14:paraId="0D290EBF">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②结算款：项目全部劳务工作完成后30个日历天内，乙方向甲方或其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递交完整的竣工资料。甲方或其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收到乙方递交的竣工资料后14个工作日内完成审核，给予确认或提出修改意见。项目竣工验收合格后，乙方按照甲方或其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要求递交完整的结算资料，对已完成且无争议部分的工程量进行结算。对于最终劳务结算价为100万元（不含）以下的项目，支付至经甲方或其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审定的劳务结算价款的100%；对于最终劳务结算价为100万元（含）以上的项目，支付至经甲方或其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审定的劳务结算价款的97%，保留劳务结算价款的3%作为质量保证金。</w:t>
      </w:r>
    </w:p>
    <w:p w14:paraId="29EB555F">
      <w:pPr>
        <w:pStyle w:val="2"/>
        <w:snapToGrid w:val="0"/>
        <w:spacing w:line="360" w:lineRule="auto"/>
        <w:ind w:right="0" w:firstLine="420" w:firstLineChars="200"/>
        <w:jc w:val="both"/>
        <w:rPr>
          <w:rFonts w:hint="eastAsia" w:hAnsi="宋体" w:cs="宋体"/>
          <w:color w:val="auto"/>
          <w:sz w:val="21"/>
          <w:szCs w:val="21"/>
          <w:highlight w:val="none"/>
          <w:lang w:val="en-US"/>
        </w:rPr>
      </w:pPr>
      <w:r>
        <w:rPr>
          <w:rFonts w:hint="eastAsia" w:hAnsi="宋体" w:cs="宋体"/>
          <w:b w:val="0"/>
          <w:color w:val="auto"/>
          <w:sz w:val="21"/>
          <w:szCs w:val="21"/>
          <w:highlight w:val="none"/>
          <w:lang w:val="en-US"/>
        </w:rPr>
        <w:t>③质量保证金：质量缺陷责任期（自工程竣工验收合格之日起</w:t>
      </w:r>
      <w:r>
        <w:rPr>
          <w:rFonts w:hint="eastAsia" w:hAnsi="宋体" w:cs="宋体"/>
          <w:b w:val="0"/>
          <w:color w:val="auto"/>
          <w:sz w:val="21"/>
          <w:szCs w:val="21"/>
          <w:highlight w:val="none"/>
          <w:lang w:val="en-US" w:eastAsia="zh-CN"/>
        </w:rPr>
        <w:t>2</w:t>
      </w:r>
      <w:r>
        <w:rPr>
          <w:rFonts w:hint="eastAsia" w:hAnsi="宋体" w:cs="宋体"/>
          <w:b w:val="0"/>
          <w:color w:val="auto"/>
          <w:sz w:val="21"/>
          <w:szCs w:val="21"/>
          <w:highlight w:val="none"/>
          <w:lang w:val="en-US"/>
        </w:rPr>
        <w:t>年，如单项工程另有约定的，从其约定）满后28个日历天内，乙方应向甲方或其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递交完整的请款资料。甲方或其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收到乙方递交的请款资料后14个工作日内完成核实，给予确认或者提出修改意见。经甲方或其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相关部门核实后，在扣除应扣款项（若有）后将剩余的质量保证金一次性无息支付给乙方。</w:t>
      </w:r>
    </w:p>
    <w:p w14:paraId="1CCDDB06">
      <w:pPr>
        <w:pStyle w:val="2"/>
        <w:numPr>
          <w:ilvl w:val="255"/>
          <w:numId w:val="0"/>
        </w:numPr>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9、每次付款前，乙方应向甲方或其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提供与劳务分包项目内容相关且符合甲方或其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的与付款金额等额有效合法增值税专用发票及请款资料，付款至结算款时，乙方需提供与该劳务分包项目结算价款对应的全部费用的等额有效合法增值税专用发票（若为非表务类零星工程项目劳务分包项目且设有质量保证金，为包含质量保证金费用的发票），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审核无误后通过银行转账或银行转账支票的方式向乙方支付劳务款，否则甲方或其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有权延期付款且无须承担逾期付款责任，乙方不得以此为由拒绝履行劳务分包合同项下全部义务。由于乙方提供的发票不符合税法规定，给甲方或其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造成损失的，由乙方承担赔偿责任。</w:t>
      </w:r>
    </w:p>
    <w:p w14:paraId="5CED9417">
      <w:pPr>
        <w:pStyle w:val="2"/>
        <w:numPr>
          <w:ilvl w:val="255"/>
          <w:numId w:val="0"/>
        </w:numPr>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乙方收款账户信息：</w:t>
      </w:r>
    </w:p>
    <w:p w14:paraId="04B1F74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 xml:space="preserve">开户名称：                    </w:t>
      </w:r>
    </w:p>
    <w:p w14:paraId="2C375153">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 xml:space="preserve">银行账号：    </w:t>
      </w:r>
    </w:p>
    <w:p w14:paraId="4EC35968">
      <w:pPr>
        <w:pStyle w:val="2"/>
        <w:snapToGrid w:val="0"/>
        <w:spacing w:line="360" w:lineRule="auto"/>
        <w:ind w:right="0" w:firstLine="420" w:firstLineChars="200"/>
        <w:jc w:val="both"/>
        <w:rPr>
          <w:rFonts w:hint="eastAsia" w:hAnsi="宋体" w:cs="宋体"/>
          <w:b w:val="0"/>
          <w:color w:val="auto"/>
          <w:sz w:val="21"/>
          <w:szCs w:val="21"/>
          <w:highlight w:val="none"/>
          <w:u w:val="single"/>
          <w:lang w:val="en-US"/>
        </w:rPr>
      </w:pPr>
      <w:r>
        <w:rPr>
          <w:rFonts w:hint="eastAsia" w:hAnsi="宋体" w:cs="宋体"/>
          <w:b w:val="0"/>
          <w:color w:val="auto"/>
          <w:sz w:val="21"/>
          <w:szCs w:val="21"/>
          <w:highlight w:val="none"/>
          <w:lang w:val="en-US"/>
        </w:rPr>
        <w:t>开户银行：</w:t>
      </w:r>
    </w:p>
    <w:p w14:paraId="24D62906">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乙方收款账户信息变更的，应在变更之日起3个工作日内以书面形式告知甲方或其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。如乙方违反本条款，所造成的所有损失及责任均由乙方承担，给甲方或其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造成的损失，甲方或其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有权向乙方追偿。</w:t>
      </w:r>
    </w:p>
    <w:p w14:paraId="61AEDCFA">
      <w:pPr>
        <w:pStyle w:val="2"/>
        <w:snapToGrid w:val="0"/>
        <w:spacing w:line="360" w:lineRule="auto"/>
        <w:ind w:right="0" w:firstLine="420" w:firstLineChars="200"/>
        <w:jc w:val="both"/>
        <w:rPr>
          <w:rFonts w:hint="default" w:hAnsi="宋体" w:eastAsia="宋体" w:cs="宋体"/>
          <w:b w:val="0"/>
          <w:color w:val="auto"/>
          <w:sz w:val="21"/>
          <w:szCs w:val="21"/>
          <w:highlight w:val="none"/>
          <w:lang w:val="en-US" w:eastAsia="zh-CN"/>
        </w:rPr>
      </w:pPr>
      <w:r>
        <w:rPr>
          <w:rFonts w:hint="eastAsia" w:hAnsi="宋体" w:cs="宋体"/>
          <w:b w:val="0"/>
          <w:color w:val="auto"/>
          <w:sz w:val="21"/>
          <w:szCs w:val="21"/>
          <w:highlight w:val="none"/>
          <w:lang w:val="en-US" w:eastAsia="zh-CN"/>
        </w:rPr>
        <w:t>10、项目竣工验收后1个月内，乙方须配合甲方或其下属企业完成结算资料的编制。项目业主单位或业主委托的咨询单位在审核结算资料过程中，发现存在问题或缺少资料的，乙方须配合甲方或其下属企业在5个日历天内修正或补齐资料，未在限期内修正或补齐资料的，乙方承担由此产生的一切违约责任。</w:t>
      </w:r>
    </w:p>
    <w:p w14:paraId="0BC4FAAB">
      <w:pPr>
        <w:pStyle w:val="2"/>
        <w:snapToGrid w:val="0"/>
        <w:spacing w:line="360" w:lineRule="auto"/>
        <w:ind w:right="0" w:firstLine="420" w:firstLineChars="200"/>
        <w:jc w:val="both"/>
        <w:rPr>
          <w:rFonts w:hint="default" w:hAnsi="宋体" w:eastAsia="宋体" w:cs="宋体"/>
          <w:b w:val="0"/>
          <w:color w:val="auto"/>
          <w:sz w:val="21"/>
          <w:szCs w:val="21"/>
          <w:highlight w:val="none"/>
          <w:lang w:val="en-US" w:eastAsia="zh-CN"/>
        </w:rPr>
      </w:pPr>
      <w:r>
        <w:rPr>
          <w:rFonts w:hint="eastAsia" w:hAnsi="宋体" w:cs="宋体"/>
          <w:b w:val="0"/>
          <w:color w:val="auto"/>
          <w:sz w:val="21"/>
          <w:szCs w:val="21"/>
          <w:highlight w:val="none"/>
          <w:lang w:val="en-US" w:eastAsia="zh-CN"/>
        </w:rPr>
        <w:t>11、乙方须配合甲方或其下属企业完成总包结算复核工作，若需对数的，乙方须配合甲方或其下属企业参加对数。</w:t>
      </w:r>
    </w:p>
    <w:p w14:paraId="26E67051">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eastAsia="zh-CN"/>
        </w:rPr>
        <w:t>12</w:t>
      </w:r>
      <w:r>
        <w:rPr>
          <w:rFonts w:hint="eastAsia" w:hAnsi="宋体" w:cs="宋体"/>
          <w:b w:val="0"/>
          <w:color w:val="auto"/>
          <w:sz w:val="21"/>
          <w:szCs w:val="21"/>
          <w:highlight w:val="none"/>
          <w:lang w:val="en-US"/>
        </w:rPr>
        <w:t>、在劳务分包合同履行过程中，因税收政策变动导致增值税税率调整，依法调整销项税额及合同价税合计金额。因乙方未根据合同约定出具对应税额的增值税专用发票等原因导致甲方或其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多支付税额的，乙方必须按多支付税额金额向甲方或其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作出补偿，如给甲方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造成其他损失的，乙方仍须向甲方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赔偿相应损失。</w:t>
      </w:r>
    </w:p>
    <w:p w14:paraId="256A2F7C">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eastAsia="zh-CN"/>
        </w:rPr>
        <w:t>13</w:t>
      </w:r>
      <w:r>
        <w:rPr>
          <w:rFonts w:hint="eastAsia" w:hAnsi="宋体" w:cs="宋体"/>
          <w:b w:val="0"/>
          <w:color w:val="auto"/>
          <w:sz w:val="21"/>
          <w:szCs w:val="21"/>
          <w:highlight w:val="none"/>
          <w:lang w:val="en-US"/>
        </w:rPr>
        <w:t>、如乙方未如期支付工人工资、法定社会保险等费用，造成工人的投诉、停工、或其他影响施工等纠纷，甲方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有权从对应项目未结算劳务款中代乙方支付上述费用，并扣除因此而产生的经济损失及违约金后，再向乙方支付对应项目剩余的劳务款，不足部分由乙方向甲方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补足或甲方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从与乙方合作的其他项目未结算劳务款或履约保证金中直接扣除，乙方对此不持异议。</w:t>
      </w:r>
    </w:p>
    <w:p w14:paraId="13D5EB62">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w:t>
      </w:r>
      <w:r>
        <w:rPr>
          <w:rFonts w:hint="eastAsia" w:hAnsi="宋体" w:cs="宋体"/>
          <w:b w:val="0"/>
          <w:color w:val="auto"/>
          <w:sz w:val="21"/>
          <w:szCs w:val="21"/>
          <w:highlight w:val="none"/>
          <w:lang w:val="en-US" w:eastAsia="zh-CN"/>
        </w:rPr>
        <w:t>4</w:t>
      </w:r>
      <w:r>
        <w:rPr>
          <w:rFonts w:hint="eastAsia" w:hAnsi="宋体" w:cs="宋体"/>
          <w:b w:val="0"/>
          <w:color w:val="auto"/>
          <w:sz w:val="21"/>
          <w:szCs w:val="21"/>
          <w:highlight w:val="none"/>
          <w:lang w:val="en-US"/>
        </w:rPr>
        <w:t>、乙方在承接单项项目前应充分了解工地位置、地质情况、进出场道路、储存空间、装卸限制及任何其它足以影响合同价款的情况，任何因忽视或误解工地情况而导致的索赔或工期延长申请将不获批准。</w:t>
      </w:r>
    </w:p>
    <w:p w14:paraId="3531C308">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w:t>
      </w:r>
      <w:r>
        <w:rPr>
          <w:rFonts w:hint="eastAsia" w:hAnsi="宋体" w:cs="宋体"/>
          <w:b w:val="0"/>
          <w:color w:val="auto"/>
          <w:sz w:val="21"/>
          <w:szCs w:val="21"/>
          <w:highlight w:val="none"/>
          <w:lang w:val="en-US" w:eastAsia="zh-CN"/>
        </w:rPr>
        <w:t>5</w:t>
      </w:r>
      <w:r>
        <w:rPr>
          <w:rFonts w:hint="eastAsia" w:hAnsi="宋体" w:cs="宋体"/>
          <w:b w:val="0"/>
          <w:color w:val="auto"/>
          <w:sz w:val="21"/>
          <w:szCs w:val="21"/>
          <w:highlight w:val="none"/>
          <w:lang w:val="en-US"/>
        </w:rPr>
        <w:t>、遇下列情形（包括但不限于），乙方不得以此作为对合同价款作出调整的理由：</w:t>
      </w:r>
    </w:p>
    <w:p w14:paraId="03F04C3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（1）因图纸到位晚、征地拆迁等原因造成项目不能按时开工。</w:t>
      </w:r>
    </w:p>
    <w:p w14:paraId="1E31217E">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（2）因乙方原因发生的所有变更引起增加的辅助工作、导致的所有工程量增加的事件。</w:t>
      </w:r>
    </w:p>
    <w:p w14:paraId="036ABC3B">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（3）因变更设计、材料供应、恶劣天气影响、其他非甲方或其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原因等造成的停工。</w:t>
      </w:r>
    </w:p>
    <w:p w14:paraId="2108E426">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（4）甲方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要求调整合同工期或阶段工期。</w:t>
      </w:r>
    </w:p>
    <w:p w14:paraId="32758439">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（5）甲方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要求乙方增加劳动人员投入，以及乙方施工所必须使用的机具更换更新。</w:t>
      </w:r>
    </w:p>
    <w:p w14:paraId="5D2AA7C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（6）其他费用承担。</w:t>
      </w:r>
    </w:p>
    <w:p w14:paraId="62A5E853">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w:t>
      </w:r>
      <w:r>
        <w:rPr>
          <w:rFonts w:hint="eastAsia" w:hAnsi="宋体" w:cs="宋体"/>
          <w:b w:val="0"/>
          <w:color w:val="auto"/>
          <w:sz w:val="21"/>
          <w:szCs w:val="21"/>
          <w:highlight w:val="none"/>
          <w:lang w:val="en-US" w:eastAsia="zh-CN"/>
        </w:rPr>
        <w:t>6</w:t>
      </w:r>
      <w:r>
        <w:rPr>
          <w:rFonts w:hint="eastAsia" w:hAnsi="宋体" w:cs="宋体"/>
          <w:b w:val="0"/>
          <w:color w:val="auto"/>
          <w:sz w:val="21"/>
          <w:szCs w:val="21"/>
          <w:highlight w:val="none"/>
          <w:lang w:val="en-US"/>
        </w:rPr>
        <w:t>、乙方的人员伤亡由乙方负责协调处理，并承担费用。</w:t>
      </w:r>
    </w:p>
    <w:p w14:paraId="0E6CDE38">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w:t>
      </w:r>
      <w:r>
        <w:rPr>
          <w:rFonts w:hint="eastAsia" w:hAnsi="宋体" w:cs="宋体"/>
          <w:b w:val="0"/>
          <w:color w:val="auto"/>
          <w:sz w:val="21"/>
          <w:szCs w:val="21"/>
          <w:highlight w:val="none"/>
          <w:lang w:val="en-US" w:eastAsia="zh-CN"/>
        </w:rPr>
        <w:t>7</w:t>
      </w:r>
      <w:r>
        <w:rPr>
          <w:rFonts w:hint="eastAsia" w:hAnsi="宋体" w:cs="宋体"/>
          <w:b w:val="0"/>
          <w:color w:val="auto"/>
          <w:sz w:val="21"/>
          <w:szCs w:val="21"/>
          <w:highlight w:val="none"/>
          <w:lang w:val="en-US"/>
        </w:rPr>
        <w:t>、造成乙方设备、机械的损坏及停工等损失由乙方自行承担。</w:t>
      </w:r>
    </w:p>
    <w:p w14:paraId="09B19BFD">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w:t>
      </w:r>
      <w:r>
        <w:rPr>
          <w:rFonts w:hint="eastAsia" w:hAnsi="宋体" w:cs="宋体"/>
          <w:b w:val="0"/>
          <w:color w:val="auto"/>
          <w:sz w:val="21"/>
          <w:szCs w:val="21"/>
          <w:highlight w:val="none"/>
          <w:lang w:val="en-US" w:eastAsia="zh-CN"/>
        </w:rPr>
        <w:t>8</w:t>
      </w:r>
      <w:r>
        <w:rPr>
          <w:rFonts w:hint="eastAsia" w:hAnsi="宋体" w:cs="宋体"/>
          <w:b w:val="0"/>
          <w:color w:val="auto"/>
          <w:sz w:val="21"/>
          <w:szCs w:val="21"/>
          <w:highlight w:val="none"/>
          <w:lang w:val="en-US"/>
        </w:rPr>
        <w:t>、若乙方存在以下行为之一的，甲方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有权启动单方结算程序，乙方对此表示同意且对单方结算结果无异议：</w:t>
      </w:r>
    </w:p>
    <w:p w14:paraId="36E3CCFB">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（1）单项劳务分包项目完工后，因乙方自身原因未能在甲方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规定的时限内提交结算资料,且经甲方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二次催促后，仍未提交符合要求的结算资料的；</w:t>
      </w:r>
    </w:p>
    <w:p w14:paraId="6AB4BCEE">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完成劳务分包结算初步审核结果后，通过包括但不限于电子文件等方式向乙方发出初步审核结果，因乙方自身原因未在15个日历天内对初步审核结果提出反馈意见且经甲方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通过包括但不限于发函、工作联系单、约谈等方式催促，仍未回复意见的；</w:t>
      </w:r>
    </w:p>
    <w:p w14:paraId="49FECBD3">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（3）乙方对甲方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的审核结果有异议，但未在甲方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发出初步审核结果后15个日历天内提交异议材料等有效依据，经甲方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通过包括但不限于发函、工作联系单、约谈等方式催促，仍未确认结算审核结果的。</w:t>
      </w:r>
    </w:p>
    <w:p w14:paraId="47106B21">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38" w:name="_Toc16760"/>
      <w:r>
        <w:rPr>
          <w:rFonts w:hint="eastAsia" w:hAnsi="宋体" w:cs="宋体"/>
          <w:bCs w:val="0"/>
          <w:color w:val="auto"/>
          <w:sz w:val="21"/>
          <w:szCs w:val="21"/>
          <w:highlight w:val="none"/>
          <w:lang w:val="en-US"/>
        </w:rPr>
        <w:t>三、服务方式及服务期</w:t>
      </w:r>
      <w:bookmarkEnd w:id="438"/>
    </w:p>
    <w:p w14:paraId="2804F27F">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1、本合同暂定合同期限为自合同签订之日起2年。合同期限内，甲方有权提前3个工作日书面通知乙方解除本合同，且不承担任何责任，乙方对此无异议。</w:t>
      </w:r>
    </w:p>
    <w:p w14:paraId="0EEAF945">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2、在合同期内，对于服务范围内的项目，甲方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通过微信、电子邮件等通讯方式委派乙方确定乙方获得单项工程项目劳务服务资格，乙方收到委派项目相关信息后2个小时内回复承接意见，逾期未回复视为同意承接委派项目。甲方或其下属企业定期分类汇总已委派劳务分包项目形成对应的《东莞市碧水信息科技有限公司劳务分包派单表》给乙方书面确认后，双方按照合同约定进行结算支付。甲方或其下属企业有权根据实际情况随时调整《东莞市碧水信息科技有限公司劳务分包派单表》，调整后将及时书面通知乙方，乙方应自接到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通知之日起按甲方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要求启用新版派单表。</w:t>
      </w:r>
    </w:p>
    <w:p w14:paraId="74BCC3E1">
      <w:pPr>
        <w:pStyle w:val="2"/>
        <w:snapToGrid w:val="0"/>
        <w:spacing w:line="360" w:lineRule="auto"/>
        <w:ind w:right="0" w:firstLine="420" w:firstLineChars="200"/>
        <w:jc w:val="both"/>
        <w:rPr>
          <w:rFonts w:hint="eastAsia" w:hAnsi="宋体" w:eastAsia="宋体" w:cs="宋体"/>
          <w:b w:val="0"/>
          <w:color w:val="auto"/>
          <w:sz w:val="21"/>
          <w:szCs w:val="21"/>
          <w:highlight w:val="none"/>
          <w:lang w:val="en-US" w:eastAsia="zh-CN"/>
        </w:rPr>
      </w:pPr>
      <w:r>
        <w:rPr>
          <w:rFonts w:hint="eastAsia" w:hAnsi="宋体" w:cs="宋体"/>
          <w:b w:val="0"/>
          <w:color w:val="auto"/>
          <w:sz w:val="21"/>
          <w:szCs w:val="21"/>
          <w:highlight w:val="none"/>
          <w:lang w:val="en-US" w:eastAsia="zh-CN"/>
        </w:rPr>
        <w:t>3、如本项目所有片区最终的劳务分包单位总数量不足15家的，甲方或其下属企业有权根据项目实际情况及乙方投标时填报的意向区域情况委派乙方到劳务分包单位不足5家的片区实施劳务分包工作，乙方须服从甲方或其下属企业的委派任务。</w:t>
      </w:r>
    </w:p>
    <w:p w14:paraId="1DDE058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eastAsia="zh-CN"/>
        </w:rPr>
        <w:t>4</w:t>
      </w:r>
      <w:r>
        <w:rPr>
          <w:rFonts w:hint="eastAsia" w:hAnsi="宋体" w:cs="宋体"/>
          <w:b w:val="0"/>
          <w:color w:val="auto"/>
          <w:sz w:val="21"/>
          <w:szCs w:val="21"/>
          <w:highlight w:val="none"/>
          <w:lang w:val="en-US"/>
        </w:rPr>
        <w:t>、乙方签订本合同后并不意味着具体服务项目的获得，甲方或其下属企业不保证乙方所能获得的服务项目数量。</w:t>
      </w:r>
    </w:p>
    <w:p w14:paraId="0B11D710">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eastAsia="zh-CN"/>
        </w:rPr>
        <w:t>5</w:t>
      </w:r>
      <w:r>
        <w:rPr>
          <w:rFonts w:hint="eastAsia" w:hAnsi="宋体" w:cs="宋体"/>
          <w:b w:val="0"/>
          <w:color w:val="auto"/>
          <w:sz w:val="21"/>
          <w:szCs w:val="21"/>
          <w:highlight w:val="none"/>
          <w:lang w:val="en-US"/>
        </w:rPr>
        <w:t>、服务方式</w:t>
      </w:r>
    </w:p>
    <w:p w14:paraId="6807ADA6">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（1）当甲方或其下属企业发出抢修或零星工程业务通知后，乙方须安排专人和甲方或其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对接，按照甲方或其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提供的施工图、工程计划表等资料（如有），向甲方或其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提供作业实施计划，实施计划需包含拟投入人员、器械种类以及预计实施时长等信息，经甲方或其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书面确认后，人员、材料、机械须于甲方或其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约定时间内到达甲方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指定地点，配合甲方或其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开展抢修或零星工程业务。完工后，甲方或其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对工程量进行签证确认，按甲方或其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审定的结算价结算。</w:t>
      </w:r>
    </w:p>
    <w:p w14:paraId="0398C4E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（2）若需要甲方或其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对抢修、零星工程的工程量进行初步评估时，乙方须按要求配合相关工作，并在甲方或其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要求的时间内到达现场。</w:t>
      </w:r>
    </w:p>
    <w:p w14:paraId="4C267E8E">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39" w:name="_Toc5165"/>
      <w:r>
        <w:rPr>
          <w:rFonts w:hint="eastAsia" w:hAnsi="宋体" w:cs="宋体"/>
          <w:bCs w:val="0"/>
          <w:color w:val="auto"/>
          <w:sz w:val="21"/>
          <w:szCs w:val="21"/>
          <w:highlight w:val="none"/>
          <w:lang w:val="en-US"/>
        </w:rPr>
        <w:t>四、权利和义务</w:t>
      </w:r>
      <w:bookmarkEnd w:id="439"/>
    </w:p>
    <w:p w14:paraId="4214A1B2">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权利和义务</w:t>
      </w:r>
    </w:p>
    <w:p w14:paraId="603A0A5E">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（1）负责编制施工组织设计，统一制定各项管理目标，编制施工计划、物资需用量计划表，实施对工程质量、工期、安全生产、文明施工、计量析测、实验化验的控制、监督、检查和验收。</w:t>
      </w:r>
    </w:p>
    <w:p w14:paraId="45081227">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（2）统筹安排、协调解决非乙方独立使用的生产、生活临时设施、工作用水、用电及施工场地。</w:t>
      </w:r>
    </w:p>
    <w:p w14:paraId="510AB171">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（3）按时提供图纸，及时交付应供材料、设备，保证所提供的施工机械设备、周转材料、安全设施符合施工需要。</w:t>
      </w:r>
    </w:p>
    <w:p w14:paraId="6F0DA2E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（4）随时对乙方实施的劳务作业进行监督检查，确保乙方劳务作业质量，对存在的质量隐患及时提出整改要求。</w:t>
      </w:r>
    </w:p>
    <w:p w14:paraId="77CDC631">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（5）及时签认劳务作业变更洽商及确认乙方提供劳务质量不合格所造成的损失。</w:t>
      </w:r>
    </w:p>
    <w:p w14:paraId="3F2547FF">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（6）认真执行安全技术规范，严格遵守安全制度，制定安全防护措施，提供安全防护设备，确保施工安全。</w:t>
      </w:r>
    </w:p>
    <w:p w14:paraId="69137A53">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（7）督促乙方检查工人持证情况。甲方或其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有权随时检查乙方管理人员安全生产培训持证情况及相关操作人员持证上岗情况。</w:t>
      </w:r>
    </w:p>
    <w:p w14:paraId="6B166400">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（8）甲方或其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应组织实施施工管理的各项工作，甲方或其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在项目实际开工之日起，向乙方提供施工作业场地，协调解决施工过程所需用水用电、材料堆放地等基础条件。</w:t>
      </w:r>
    </w:p>
    <w:p w14:paraId="4002212D">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（9）甲方或其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负责与业主、监理、设计及有关部门联系，积极协调现场工作关系。</w:t>
      </w:r>
    </w:p>
    <w:p w14:paraId="0AFF8FAD">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（10）甲方或其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有权监督乙方的施工质量、施工安全等，对乙方违反合同义务的行为提出整改。</w:t>
      </w:r>
    </w:p>
    <w:p w14:paraId="6E215F96">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（11）在发现乙方存在未按照约定履行本合同行为时，有权自发现之日起3个日历天内书面告知乙方提出异议并要求乙方在甲方或其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指定期限内完成整改。</w:t>
      </w:r>
    </w:p>
    <w:p w14:paraId="3F708111">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（12）乙方按约定完成劳务作业，必须由甲方或其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或施工场地内第三方进行配合时，甲方或其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应配合乙方工作或确保乙方获得该第三方的配合。</w:t>
      </w:r>
    </w:p>
    <w:p w14:paraId="7B94A7F0">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（13）在合同履行期间，甲方有权要求终止或单方解除合同，乙方未开始工作的，甲方或其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无需支付任何费用；已开始工作的，甲方或其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应根据乙方已进行的实际工作量结算相关费用。上述情况下（指非乙方原因）本合同终止或解除的，双方互不追究责任。</w:t>
      </w:r>
    </w:p>
    <w:p w14:paraId="2A318863">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2、乙方权利和义务</w:t>
      </w:r>
    </w:p>
    <w:p w14:paraId="360BBA15">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（1）对本合同劳务分包范围内提供的劳务质量向甲方或其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负责，组织具有相应资格证书的熟练工人投入工作；未经甲方或其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授权或允许，不得擅自与业主</w:t>
      </w:r>
      <w:r>
        <w:rPr>
          <w:rFonts w:hint="eastAsia" w:hAnsi="宋体" w:cs="宋体"/>
          <w:b w:val="0"/>
          <w:color w:val="auto"/>
          <w:sz w:val="21"/>
          <w:szCs w:val="21"/>
          <w:highlight w:val="none"/>
          <w:lang w:val="en-US" w:eastAsia="zh-CN"/>
        </w:rPr>
        <w:t>单位</w:t>
      </w:r>
      <w:r>
        <w:rPr>
          <w:rFonts w:hint="eastAsia" w:hAnsi="宋体" w:cs="宋体"/>
          <w:b w:val="0"/>
          <w:color w:val="auto"/>
          <w:sz w:val="21"/>
          <w:szCs w:val="21"/>
          <w:highlight w:val="none"/>
          <w:lang w:val="en-US"/>
        </w:rPr>
        <w:t>及有关部门建立工作联系；自觉遵守法律法规及有关规章制度。</w:t>
      </w:r>
    </w:p>
    <w:p w14:paraId="38654575">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（2）按照相关法律法规的要求，按时足额支付</w:t>
      </w:r>
      <w:r>
        <w:rPr>
          <w:rFonts w:hint="eastAsia" w:hAnsi="宋体" w:cs="宋体"/>
          <w:b w:val="0"/>
          <w:color w:val="auto"/>
          <w:sz w:val="21"/>
          <w:szCs w:val="21"/>
          <w:highlight w:val="none"/>
          <w:lang w:val="en-US" w:eastAsia="zh-CN"/>
        </w:rPr>
        <w:t>工人</w:t>
      </w:r>
      <w:r>
        <w:rPr>
          <w:rFonts w:hint="eastAsia" w:hAnsi="宋体" w:cs="宋体"/>
          <w:b w:val="0"/>
          <w:color w:val="auto"/>
          <w:sz w:val="21"/>
          <w:szCs w:val="21"/>
          <w:highlight w:val="none"/>
          <w:lang w:val="en-US"/>
        </w:rPr>
        <w:t>工资，并按有关要求做好工资发放的信息登记。按规定解决劳动者午、晚餐及住宿，为劳动者办理社保登记等。</w:t>
      </w:r>
    </w:p>
    <w:p w14:paraId="7B7ED48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施工计划要求，提交与施工计划相应的劳动力安排计划，经甲方或其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批准后实施。严格按照设计图纸、施工验收规范、有关技术要求及施工组织设计精心组织劳务作业，确保工程质量达到合同约定的标准；科学落实作业计划，投入足够的人力、物力，确保工期；服从甲方或其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安全施工管理，按政府劳动保护用品配备要求自备施工人员劳动保护用品，确保劳务作业安全；加强安全教育，认真执行安全技术规范，严格遵守安全制度，落实安全措施，确保施工安全；承担由于自身责任造成的质量改进、返工、工期拖延、安全事故、现场脏乱造成的损失及各种罚款。</w:t>
      </w:r>
    </w:p>
    <w:p w14:paraId="1C73B40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（4）乙方负责提供的材料质量应达到国家相关标准，材料进场后需通知甲方或其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代表及监理单位（如有）进行检查验收，未经验收的材料不得用于本工程施工。施工过程中，对于乙方提供的材料及相关备品备件，甲方或其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或建设单位有权进行抽查，如第三方机构抽检结果合格的，由甲方或其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承担费用，抽检不合格的，复检产生的检测费用由乙方承担。如有违反相关标准的，甲方或其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有权要求乙方免费返工更换，直至符合要求为止。</w:t>
      </w:r>
    </w:p>
    <w:p w14:paraId="28144EFB">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（5）自觉接受甲方或其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及有关部门的管理、监督和检查；接受甲方或其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随时检查其设备、材料的保管、使用情况，及其操作人员的有效证件、持证上岗情况。</w:t>
      </w:r>
    </w:p>
    <w:p w14:paraId="6AED7CFB">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（6）按甲方或其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统一规划堆放材料、机具，按甲方或其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标准化工地要求设置标牌，搞好生活区的管理，做好自身责任区的治安保卫工作。</w:t>
      </w:r>
    </w:p>
    <w:p w14:paraId="0B2B281E">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（7）乙方应妥善保管、合理使用甲方或其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提供的材料、设备机具及构配件、周转材料等，以及按要求做好成品保护工作，因保管不善发生丢失、损坏的，乙方应进行赔偿，并承担因此造成的经济损失。</w:t>
      </w:r>
    </w:p>
    <w:p w14:paraId="2A235DB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（8）乙方应与施工管理、作业人员签订书面劳动合同，并每月向甲方或其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提供上月本企业在本项目上所有施工管理、作业人员的劳动合同签署情况、出勤情况及工资核算、支付情况的盖章书面纪录。</w:t>
      </w:r>
    </w:p>
    <w:p w14:paraId="3C177BA3">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（9）配合甲方或其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的业主单位或行政主管部门要求进行的涉及乙方工作内容、施工场地的检查；配合甲方或其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对隐蔽工程的验收工作。甲方或其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或施工场地内第三方的工作必须由乙方配合时，乙方应按甲方或其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的指令予以配合，相应的配合费用由甲方或其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或施工场地内第三方与乙方协商支付。</w:t>
      </w:r>
    </w:p>
    <w:p w14:paraId="0906E12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（10）乙方在劳务作业中发现古墓、古建筑遗址、文物、化石或其他有考古、地质研究价值的物品时，乙方应立即保护好现场并第一时间通知甲方或其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w:t>
      </w:r>
    </w:p>
    <w:p w14:paraId="102D8D9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（11）劳务作业全部内容经验收合格后，乙方应当按照劳务分包合同的约定及时将该劳务作业成果交付甲方或其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，不得以双方存在争议为理由拒绝将该劳务作业成果交付甲方或其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w:t>
      </w:r>
    </w:p>
    <w:p w14:paraId="75148B75">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（12）在发现甲方存在未按照约定履行本合同行为时，应自发现之日起7日内书面告知甲方并提出异议。</w:t>
      </w:r>
    </w:p>
    <w:p w14:paraId="231BD04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（13）按照行政主管部门相关规定的要求为本项目作业人员办理工伤保险和意外伤害保险。费用已含在合同价款内，相关手续由乙方负责。</w:t>
      </w:r>
    </w:p>
    <w:p w14:paraId="6A994EA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（14）如具体项目需要乙方去相关业主主管部门备案的，乙方须在接到甲方或其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通知后10个日历天内（不得影响整体项目工期）办理备案。</w:t>
      </w:r>
    </w:p>
    <w:p w14:paraId="0F96997C">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15）乙方应充分考虑现场的施工情况，包括施工场地及原有的管道预埋情况，做好施工场地周围建筑物、构筑物和地下管线和已完工工程部分的成品保护工作，因乙方原因发生的损坏情况，应自行承担由此引起的一切经济损失及各种罚款；合同整体工程或其部分工程已竣工未移交给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之前，乙方负责已完工程的照管工作。照管期间整体或部分工程发生损坏的（包括但不限于人为及自然原因），乙方应予以修复并承担所有费用。</w:t>
      </w:r>
    </w:p>
    <w:p w14:paraId="3FA987E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16）乙方保证具有履行本合同的资质条件，并承诺在合同履行期限保证资质有效。同时加强对从业人员的执业管理，保证具有履行本合同的资质能力。如因乙方人员资质丧失（包括但不限于注销、撤销、降低等）、人员缺乏导致合同无法继续履行的，甲方有权单方解除本合同，并另行委托有资质的第三方继续进行（乙方无条件配合移交相关工作），由此造成的损失由乙方承担。</w:t>
      </w:r>
    </w:p>
    <w:p w14:paraId="5810DAA6">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（17）在工程缺陷责任期、质量保修期及后续工程维护维修过程中，由于乙方施工组织及管理等方面的原因造成的相应责任和实际经济损失由乙方负责并赔偿损失。</w:t>
      </w:r>
    </w:p>
    <w:p w14:paraId="19779A87">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18）遵守国家的法律法规和当地政府的政策，乙方保证全面履行本合同各项义务和承担各项责任，若在项目实施过程中乙方出现包括但不限于拖欠工人工资或拖欠第三方材料款、工程款或工程事故等事件的，乙方应在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要求的期限内予以妥善处理。如逾期未能妥善处理，或期间导致上访、罢工等群体性事件发生的，或到甲方或其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或甲方上级单位闹事的，乙方同意甲方或其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可直接从应支付给乙方的劳务款项中扣除相应款项或履约保证金支付给有诉求的第三方。</w:t>
      </w:r>
    </w:p>
    <w:p w14:paraId="16D7DA10">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（19）在合同履行期间（包括</w:t>
      </w:r>
      <w:r>
        <w:rPr>
          <w:rFonts w:hint="eastAsia" w:hAnsi="宋体" w:cs="宋体"/>
          <w:b w:val="0"/>
          <w:color w:val="auto"/>
          <w:sz w:val="21"/>
          <w:szCs w:val="21"/>
          <w:highlight w:val="none"/>
          <w:lang w:val="en-US" w:eastAsia="zh-CN"/>
        </w:rPr>
        <w:t>质</w:t>
      </w:r>
      <w:r>
        <w:rPr>
          <w:rFonts w:hint="eastAsia" w:hAnsi="宋体" w:cs="宋体"/>
          <w:b w:val="0"/>
          <w:color w:val="auto"/>
          <w:sz w:val="21"/>
          <w:szCs w:val="21"/>
          <w:highlight w:val="none"/>
          <w:lang w:val="en-US"/>
        </w:rPr>
        <w:t>量缺陷责任期和质量保修期内），除本合同另有约定外，不论何种原因导致双方存在争议时，乙方不得消极怠工、擅自停工，影响正常施工进行或怠于履行保修、返工等义务。如有违反，甲方或其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有权书面责令立即改正，如拒不改正的，甲方有权单方解除本合同及劳务分包项目，同时，甲方或其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直接委托第三方继续进行相关工作，由此发生的实际费用或造成的实际损失由乙方全部承担，甲方或其下属企业有权在履约保证金、本项目或其他项目未支付款项中扣除，仍不足部分由乙方向甲方或其下属企业支付。</w:t>
      </w:r>
    </w:p>
    <w:p w14:paraId="00E373B0">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（20）隐蔽工程须经监理（如有）、甲方或其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项目管理人员等验收合格后，方可进行下道工序施工。如乙方未按照甲方或其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要求私自进行下道工序施工，事后甲方或其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有权要求对已隐蔽的工程进行检查，乙方应当按照甲方或其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要求进行剥露，并在检查后重新隐蔽或者修复后隐蔽。如经检查隐蔽工程不符合要求的，乙方应当在甲方或其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限定的时间内返工，重新进行隐蔽。由此产生的一切费用，包括但不限于检查、返工、材料费用等均由乙方全部承担，乙方还应承担工期延误的违约责任。</w:t>
      </w:r>
    </w:p>
    <w:p w14:paraId="3D74F967">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（21）乙方应遵循甲方制定的管理制度，包括但不限于《东莞市碧水信息科技有限公司劳务</w:t>
      </w:r>
      <w:r>
        <w:rPr>
          <w:rFonts w:hint="eastAsia" w:hAnsi="宋体" w:cs="宋体"/>
          <w:b w:val="0"/>
          <w:color w:val="auto"/>
          <w:sz w:val="21"/>
          <w:szCs w:val="21"/>
          <w:highlight w:val="none"/>
          <w:lang w:val="en-US" w:eastAsia="zh-CN"/>
        </w:rPr>
        <w:t>分包单位</w:t>
      </w:r>
      <w:r>
        <w:rPr>
          <w:rFonts w:hint="eastAsia" w:hAnsi="宋体" w:cs="宋体"/>
          <w:b w:val="0"/>
          <w:color w:val="auto"/>
          <w:sz w:val="21"/>
          <w:szCs w:val="21"/>
          <w:highlight w:val="none"/>
          <w:lang w:val="en-US"/>
        </w:rPr>
        <w:t>安全管理办法（试行）》、《东莞市碧水信息科技有限公司供应商评价管理办法（试行）》等（以下统称《管理办法》），甲方有权结合实际对《管理办法》进行修订或增加，并书面通知乙方；乙方若不接受，有权在5个工作日内申请退出并解除项目合同，否则，视为同意并遵守修订或增加后的《管理办法》约定，针对乙方的违约行为，甲方有权对其采取警告（包括但不限于发出监理整改通知单、预处罚通知单、各类通报、约谈等）、收取违约金及解除项目合同等手段。</w:t>
      </w:r>
    </w:p>
    <w:p w14:paraId="3501CB8E">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22）不论何种原因，乙方不再承接新的项目时，乙方对已承接的项目尚未履行完毕的，仍需按照合同及劳务派单表约定的权利及义务继续履行，直至已承接的项目完成结算支付工作并履行完质量保修期义务；乙方在继续履行已承接项目时存在违反本合同约定行为的，甲方或其下属企业有权按照合同约定追究乙方的违约责任。当因乙方原因无法或怠于履约情况时，甲方或其下属企业有权委托第三方实施，由此发生的实际费用</w:t>
      </w:r>
      <w:r>
        <w:rPr>
          <w:rFonts w:hint="eastAsia" w:hAnsi="宋体" w:cs="宋体"/>
          <w:b w:val="0"/>
          <w:color w:val="auto"/>
          <w:sz w:val="21"/>
          <w:szCs w:val="21"/>
          <w:highlight w:val="none"/>
          <w:lang w:val="en-US" w:eastAsia="zh-CN"/>
        </w:rPr>
        <w:t>和</w:t>
      </w:r>
      <w:r>
        <w:rPr>
          <w:rFonts w:hint="eastAsia" w:hAnsi="宋体" w:cs="宋体"/>
          <w:b w:val="0"/>
          <w:color w:val="auto"/>
          <w:sz w:val="21"/>
          <w:szCs w:val="21"/>
          <w:highlight w:val="none"/>
          <w:lang w:val="en-US"/>
        </w:rPr>
        <w:t>造成的实际损失由乙方全部承担，甲方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有权在履约保证金、本项目或其他项目未支付款项中扣除，仍不足部分由乙方向甲方或其下属企业支付。</w:t>
      </w:r>
    </w:p>
    <w:p w14:paraId="4AA3F76C">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（23）其他乙方应当承担的义务。</w:t>
      </w:r>
    </w:p>
    <w:p w14:paraId="620F4186">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40" w:name="_Toc10381"/>
      <w:r>
        <w:rPr>
          <w:rFonts w:hint="eastAsia" w:hAnsi="宋体" w:cs="宋体"/>
          <w:bCs w:val="0"/>
          <w:color w:val="auto"/>
          <w:sz w:val="21"/>
          <w:szCs w:val="21"/>
          <w:highlight w:val="none"/>
          <w:lang w:val="en-US"/>
        </w:rPr>
        <w:t>五、安全文明施工与检查</w:t>
      </w:r>
      <w:bookmarkEnd w:id="440"/>
    </w:p>
    <w:p w14:paraId="0B87DD93">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1、乙方的安全管理必须纳入甲方或其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安全管理控制体系下统一监管和控制。</w:t>
      </w:r>
    </w:p>
    <w:p w14:paraId="40FDC5C6">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2、乙方应遵守工程建设安全生产有关管理规定，严格按安全标准进行劳务作业，并随时接受甲方或其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、业主单位</w:t>
      </w:r>
      <w:r>
        <w:rPr>
          <w:rFonts w:hint="eastAsia" w:hAnsi="宋体" w:cs="宋体"/>
          <w:b w:val="0"/>
          <w:color w:val="auto"/>
          <w:sz w:val="21"/>
          <w:szCs w:val="21"/>
          <w:highlight w:val="none"/>
          <w:lang w:val="en-US" w:eastAsia="zh-CN"/>
        </w:rPr>
        <w:t>、甲方的集团公司安全检查</w:t>
      </w:r>
      <w:r>
        <w:rPr>
          <w:rFonts w:hint="eastAsia" w:hAnsi="宋体" w:cs="宋体"/>
          <w:b w:val="0"/>
          <w:color w:val="auto"/>
          <w:sz w:val="21"/>
          <w:szCs w:val="21"/>
          <w:highlight w:val="none"/>
          <w:lang w:val="en-US"/>
        </w:rPr>
        <w:t>人员依法实施的监督检查，采取必要的安全防护措施，消除事故隐患。由于乙方安全措施不力造成事故的责任和因此发生的费用，全部由乙方承担。</w:t>
      </w:r>
    </w:p>
    <w:p w14:paraId="17E855C0">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3、乙方必须对派驻在现场的施工人员进行安全教育，并对其的安全负责，甲方或其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不得违反安全管理的规定要求乙方提供劳务。</w:t>
      </w:r>
    </w:p>
    <w:p w14:paraId="21EAAF23">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4、乙方进入施工现场时，必须向甲方或其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报告安全技术措施，施工过程中应自觉接受甲方或其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安全代表的监督。甲方或其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现场管理人员有权对乙方施工过程中存在的安全隐患和违规操作提出整改要求，乙方应在甲方或其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现场管理人员限定期限内无条件进行整改或纠正。</w:t>
      </w:r>
    </w:p>
    <w:p w14:paraId="6117DAD8">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5、乙方应自行保管好甲方或其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提供和自行配备的施工机具、材料的安全，做好防火、防洪、防潮及防盗工作。如因乙方管理不善，或因第三者的原因造成的材料、设备损坏、</w:t>
      </w:r>
      <w:r>
        <w:rPr>
          <w:rFonts w:hint="eastAsia" w:hAnsi="宋体" w:cs="宋体"/>
          <w:b w:val="0"/>
          <w:color w:val="auto"/>
          <w:sz w:val="21"/>
          <w:szCs w:val="21"/>
          <w:highlight w:val="none"/>
          <w:lang w:val="en-US" w:eastAsia="zh-CN"/>
        </w:rPr>
        <w:t>丢失</w:t>
      </w:r>
      <w:r>
        <w:rPr>
          <w:rFonts w:hint="eastAsia" w:hAnsi="宋体" w:cs="宋体"/>
          <w:b w:val="0"/>
          <w:color w:val="auto"/>
          <w:sz w:val="21"/>
          <w:szCs w:val="21"/>
          <w:highlight w:val="none"/>
          <w:lang w:val="en-US"/>
        </w:rPr>
        <w:t>或工程质量事故以及其他人为事故，由乙方承担全部责任和费用损失。</w:t>
      </w:r>
    </w:p>
    <w:p w14:paraId="5C42C011">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6、乙方应做到科学化、规范化作业，不得干扰其他工程部位或其他工序的施工作业，作业面生产材料堆放整齐，施工通道、工作面无积水，并配合甲方或其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按业主总体要求进行文明工地创建，做到文明施工、工完场清。</w:t>
      </w:r>
    </w:p>
    <w:p w14:paraId="148533AE">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7、乙方应加强对噪声、粉尘、废气、废水和废油的控制，努力降低噪声、控制粉尘和废气浓度，做好废水和废油的治理和排放，达到环保部门的相关要求。乙方还应接受环境保护部门的检查和监督，并按相关规定做好各项环境及植被保护工作。</w:t>
      </w:r>
    </w:p>
    <w:p w14:paraId="2DBAE901">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8、乙方应按照《中华人民共和国安全生产法》、《中华人民共和国职业病防治法》、中华人民共和国安全生产行业标准和其他有关安全生产的法律、法规，加强安全生产管理，在工地建立安全生产管理机构，并建立、健全安全生产责任制度与规章，认真履行其安全生产管理职责，完善安全生产条件，确保安全生产达到三级及以上安全标准。乙方安全工作应符合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或监理有关工程安全管理规章制度的规定。乙方职业病防护设施应符合国家职业卫生标准和卫生要求，满足工程建设需要和合同相关约定。</w:t>
      </w:r>
    </w:p>
    <w:p w14:paraId="33D7172D">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9、因乙方原因在本项目劳务作业过程中造成监理、业主、主管部门对甲方或其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进行的安全、文明施工、环境保护罚款由乙方全额承担，造成</w:t>
      </w:r>
      <w:r>
        <w:rPr>
          <w:rFonts w:hint="eastAsia" w:hAnsi="宋体" w:cs="宋体"/>
          <w:b w:val="0"/>
          <w:color w:val="auto"/>
          <w:sz w:val="21"/>
          <w:szCs w:val="21"/>
          <w:highlight w:val="none"/>
          <w:lang w:val="en-US" w:eastAsia="zh-CN"/>
        </w:rPr>
        <w:t>甲方</w:t>
      </w:r>
      <w:r>
        <w:rPr>
          <w:rFonts w:hint="eastAsia" w:hAnsi="宋体" w:cs="宋体"/>
          <w:b w:val="0"/>
          <w:color w:val="auto"/>
          <w:sz w:val="21"/>
          <w:szCs w:val="21"/>
          <w:highlight w:val="none"/>
          <w:lang w:val="en-US"/>
        </w:rPr>
        <w:t>或其下属企业其他损失的，由</w:t>
      </w:r>
      <w:r>
        <w:rPr>
          <w:rFonts w:hint="eastAsia" w:hAnsi="宋体" w:cs="宋体"/>
          <w:b w:val="0"/>
          <w:color w:val="auto"/>
          <w:sz w:val="21"/>
          <w:szCs w:val="21"/>
          <w:highlight w:val="none"/>
          <w:lang w:val="en-US" w:eastAsia="zh-CN"/>
        </w:rPr>
        <w:t>乙方</w:t>
      </w:r>
      <w:r>
        <w:rPr>
          <w:rFonts w:hint="eastAsia" w:hAnsi="宋体" w:cs="宋体"/>
          <w:b w:val="0"/>
          <w:color w:val="auto"/>
          <w:sz w:val="21"/>
          <w:szCs w:val="21"/>
          <w:highlight w:val="none"/>
          <w:lang w:val="en-US"/>
        </w:rPr>
        <w:t>承担全部费用，且</w:t>
      </w:r>
      <w:r>
        <w:rPr>
          <w:rFonts w:hint="eastAsia" w:hAnsi="宋体" w:cs="宋体"/>
          <w:b w:val="0"/>
          <w:color w:val="auto"/>
          <w:sz w:val="21"/>
          <w:szCs w:val="21"/>
          <w:highlight w:val="none"/>
          <w:lang w:val="en-US" w:eastAsia="zh-CN"/>
        </w:rPr>
        <w:t>甲方</w:t>
      </w:r>
      <w:r>
        <w:rPr>
          <w:rFonts w:hint="eastAsia" w:hAnsi="宋体" w:cs="宋体"/>
          <w:b w:val="0"/>
          <w:color w:val="auto"/>
          <w:sz w:val="21"/>
          <w:szCs w:val="21"/>
          <w:highlight w:val="none"/>
          <w:lang w:val="en-US"/>
        </w:rPr>
        <w:t>或其下属企业保留追究</w:t>
      </w:r>
      <w:r>
        <w:rPr>
          <w:rFonts w:hint="eastAsia" w:hAnsi="宋体" w:cs="宋体"/>
          <w:b w:val="0"/>
          <w:color w:val="auto"/>
          <w:sz w:val="21"/>
          <w:szCs w:val="21"/>
          <w:highlight w:val="none"/>
          <w:lang w:val="en-US" w:eastAsia="zh-CN"/>
        </w:rPr>
        <w:t>乙方</w:t>
      </w:r>
      <w:r>
        <w:rPr>
          <w:rFonts w:hint="eastAsia" w:hAnsi="宋体" w:cs="宋体"/>
          <w:b w:val="0"/>
          <w:color w:val="auto"/>
          <w:sz w:val="21"/>
          <w:szCs w:val="21"/>
          <w:highlight w:val="none"/>
          <w:lang w:val="en-US"/>
        </w:rPr>
        <w:t>法律责任的权利。</w:t>
      </w:r>
    </w:p>
    <w:p w14:paraId="456759EB">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10、乙方在动力设备、输电线路、地下管道线路、易燃易爆、高空临边地段以及临街交通要道附近作业时，应严格做好安全防护措施作业，若甲方或其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提出安全防护措施作业意见的，乙方应予以接受。因安全防护措施作业问题或乙方原因造成的损毁、破坏，由乙方承担责任及相关费用。</w:t>
      </w:r>
    </w:p>
    <w:p w14:paraId="409F7CE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11、乙方必须为劳务作业人员配备</w:t>
      </w:r>
      <w:r>
        <w:rPr>
          <w:rFonts w:hint="eastAsia" w:hAnsi="宋体" w:cs="宋体"/>
          <w:b w:val="0"/>
          <w:color w:val="auto"/>
          <w:sz w:val="21"/>
          <w:szCs w:val="21"/>
          <w:highlight w:val="none"/>
          <w:lang w:val="en-US" w:eastAsia="zh-CN"/>
        </w:rPr>
        <w:t>符</w:t>
      </w:r>
      <w:r>
        <w:rPr>
          <w:rFonts w:hint="eastAsia" w:hAnsi="宋体" w:cs="宋体"/>
          <w:b w:val="0"/>
          <w:color w:val="auto"/>
          <w:sz w:val="21"/>
          <w:szCs w:val="21"/>
          <w:highlight w:val="none"/>
          <w:lang w:val="en-US"/>
        </w:rPr>
        <w:t>合国家规范标准的</w:t>
      </w:r>
      <w:r>
        <w:rPr>
          <w:rFonts w:hint="eastAsia" w:hAnsi="宋体" w:cs="宋体"/>
          <w:b w:val="0"/>
          <w:color w:val="auto"/>
          <w:sz w:val="21"/>
          <w:szCs w:val="21"/>
          <w:highlight w:val="none"/>
          <w:lang w:val="en-US" w:eastAsia="zh-CN"/>
        </w:rPr>
        <w:t>、</w:t>
      </w:r>
      <w:r>
        <w:rPr>
          <w:rFonts w:hint="eastAsia" w:hAnsi="宋体" w:cs="宋体"/>
          <w:b w:val="0"/>
          <w:color w:val="auto"/>
          <w:sz w:val="21"/>
          <w:szCs w:val="21"/>
          <w:highlight w:val="none"/>
          <w:lang w:val="en-US"/>
        </w:rPr>
        <w:t>可靠</w:t>
      </w:r>
      <w:r>
        <w:rPr>
          <w:rFonts w:hint="eastAsia" w:hAnsi="宋体" w:cs="宋体"/>
          <w:b w:val="0"/>
          <w:color w:val="auto"/>
          <w:sz w:val="21"/>
          <w:szCs w:val="21"/>
          <w:highlight w:val="none"/>
          <w:lang w:val="en-US" w:eastAsia="zh-CN"/>
        </w:rPr>
        <w:t>的、</w:t>
      </w:r>
      <w:r>
        <w:rPr>
          <w:rFonts w:hint="eastAsia" w:hAnsi="宋体" w:cs="宋体"/>
          <w:b w:val="0"/>
          <w:color w:val="auto"/>
          <w:sz w:val="21"/>
          <w:szCs w:val="21"/>
          <w:highlight w:val="none"/>
          <w:lang w:val="en-US"/>
        </w:rPr>
        <w:t>统一的安全保护用品，并按甲方或其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要求规格为其提供必须的劳动防护用品（如安全帽、安全带、手套、口罩及其他保护用品），相应的费用已包含在合同价格中。</w:t>
      </w:r>
    </w:p>
    <w:p w14:paraId="0917479A">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41" w:name="_Toc12515"/>
      <w:r>
        <w:rPr>
          <w:rFonts w:hint="eastAsia" w:hAnsi="宋体" w:cs="宋体"/>
          <w:bCs w:val="0"/>
          <w:color w:val="auto"/>
          <w:sz w:val="21"/>
          <w:szCs w:val="21"/>
          <w:highlight w:val="none"/>
          <w:lang w:val="en-US"/>
        </w:rPr>
        <w:t>六、人员管理及驻地要求</w:t>
      </w:r>
      <w:bookmarkEnd w:id="441"/>
    </w:p>
    <w:p w14:paraId="2FD64C1C">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1、乙方在进场施工前必须与参与项目的人员（包括农民工）签订书面劳动合同，进行用工实名登记，并按合同规定为项目人员购买保险。</w:t>
      </w:r>
    </w:p>
    <w:p w14:paraId="27F0F9DB">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有权监督乙方签订劳动合同、投保意外险及其他保险、处理劳动争议、处理工伤事故等。对乙方不依法或不按甲方或其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规定执行时，甲方或其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有权从乙方劳务款中扣除有关费用。</w:t>
      </w:r>
    </w:p>
    <w:p w14:paraId="089EA7A2">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3、乙方进入现场施工</w:t>
      </w:r>
      <w:r>
        <w:rPr>
          <w:rFonts w:hint="eastAsia" w:hAnsi="宋体" w:cs="宋体"/>
          <w:b w:val="0"/>
          <w:color w:val="auto"/>
          <w:sz w:val="21"/>
          <w:szCs w:val="21"/>
          <w:highlight w:val="none"/>
          <w:lang w:val="en-US" w:eastAsia="zh-CN"/>
        </w:rPr>
        <w:t>作业</w:t>
      </w:r>
      <w:r>
        <w:rPr>
          <w:rFonts w:hint="eastAsia" w:hAnsi="宋体" w:cs="宋体"/>
          <w:b w:val="0"/>
          <w:color w:val="auto"/>
          <w:sz w:val="21"/>
          <w:szCs w:val="21"/>
          <w:highlight w:val="none"/>
          <w:lang w:val="en-US"/>
        </w:rPr>
        <w:t>的所有劳务人员、施工管理人员必须落实实名制</w:t>
      </w:r>
      <w:r>
        <w:rPr>
          <w:rFonts w:hint="eastAsia" w:hAnsi="宋体" w:cs="宋体"/>
          <w:b w:val="0"/>
          <w:color w:val="auto"/>
          <w:sz w:val="21"/>
          <w:szCs w:val="21"/>
          <w:highlight w:val="none"/>
          <w:lang w:val="en-US" w:eastAsia="zh-CN"/>
        </w:rPr>
        <w:t>管理。在项目开工前，乙方须向甲方</w:t>
      </w:r>
      <w:r>
        <w:rPr>
          <w:rFonts w:hint="eastAsia" w:hAnsi="宋体" w:cs="宋体"/>
          <w:b w:val="0"/>
          <w:color w:val="auto"/>
          <w:sz w:val="21"/>
          <w:szCs w:val="21"/>
          <w:highlight w:val="none"/>
          <w:lang w:val="en-US"/>
        </w:rPr>
        <w:t>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提供人员的身份证、对应作业资格证进行备案，未备案人员不得入场施工。若抽查发现项目管理人员、作业人员未备案的，按考评管理约定进行扣分处罚。</w:t>
      </w:r>
    </w:p>
    <w:p w14:paraId="33406BB5">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eastAsia="zh-CN"/>
        </w:rPr>
        <w:t>4、</w:t>
      </w:r>
      <w:r>
        <w:rPr>
          <w:rFonts w:hint="eastAsia" w:hAnsi="宋体" w:cs="宋体"/>
          <w:b w:val="0"/>
          <w:color w:val="auto"/>
          <w:sz w:val="21"/>
          <w:szCs w:val="21"/>
          <w:highlight w:val="none"/>
          <w:lang w:val="en-US"/>
        </w:rPr>
        <w:t>如乙方需变更已报备人员，需</w:t>
      </w:r>
      <w:r>
        <w:rPr>
          <w:rFonts w:hint="eastAsia" w:hAnsi="宋体" w:cs="宋体"/>
          <w:b w:val="0"/>
          <w:color w:val="auto"/>
          <w:sz w:val="21"/>
          <w:szCs w:val="21"/>
          <w:highlight w:val="none"/>
          <w:lang w:val="en-US" w:eastAsia="zh-CN"/>
        </w:rPr>
        <w:t>及时</w:t>
      </w:r>
      <w:r>
        <w:rPr>
          <w:rFonts w:hint="eastAsia" w:hAnsi="宋体" w:cs="宋体"/>
          <w:b w:val="0"/>
          <w:color w:val="auto"/>
          <w:sz w:val="21"/>
          <w:szCs w:val="21"/>
          <w:highlight w:val="none"/>
          <w:lang w:val="en-US"/>
        </w:rPr>
        <w:t>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提出书面申请，经甲方或其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同意后方可变更人员。变更合同人员的，</w:t>
      </w:r>
      <w:r>
        <w:rPr>
          <w:rFonts w:hint="eastAsia" w:hAnsi="宋体" w:cs="宋体"/>
          <w:b w:val="0"/>
          <w:color w:val="auto"/>
          <w:sz w:val="21"/>
          <w:szCs w:val="21"/>
          <w:highlight w:val="none"/>
          <w:lang w:val="en-US" w:eastAsia="zh-CN"/>
        </w:rPr>
        <w:t>乙方</w:t>
      </w:r>
      <w:r>
        <w:rPr>
          <w:rFonts w:hint="eastAsia" w:hAnsi="宋体" w:cs="宋体"/>
          <w:b w:val="0"/>
          <w:color w:val="auto"/>
          <w:sz w:val="21"/>
          <w:szCs w:val="21"/>
          <w:highlight w:val="none"/>
          <w:lang w:val="en-US"/>
        </w:rPr>
        <w:t>须按合同约定向</w:t>
      </w:r>
      <w:r>
        <w:rPr>
          <w:rFonts w:hint="eastAsia" w:hAnsi="宋体" w:cs="宋体"/>
          <w:b w:val="0"/>
          <w:color w:val="auto"/>
          <w:sz w:val="21"/>
          <w:szCs w:val="21"/>
          <w:highlight w:val="none"/>
          <w:lang w:val="en-US" w:eastAsia="zh-CN"/>
        </w:rPr>
        <w:t>甲方或其下属企业</w:t>
      </w:r>
      <w:r>
        <w:rPr>
          <w:rFonts w:hint="eastAsia" w:hAnsi="宋体" w:cs="宋体"/>
          <w:b w:val="0"/>
          <w:color w:val="auto"/>
          <w:sz w:val="21"/>
          <w:szCs w:val="21"/>
          <w:highlight w:val="none"/>
          <w:lang w:val="en-US"/>
        </w:rPr>
        <w:t>支付违约金。</w:t>
      </w:r>
    </w:p>
    <w:p w14:paraId="03DE9A9F">
      <w:pPr>
        <w:pStyle w:val="2"/>
        <w:snapToGrid w:val="0"/>
        <w:spacing w:line="360" w:lineRule="auto"/>
        <w:ind w:right="0" w:firstLine="420" w:firstLineChars="200"/>
        <w:jc w:val="both"/>
        <w:rPr>
          <w:rFonts w:hint="eastAsia" w:hAnsi="宋体" w:eastAsia="宋体" w:cs="宋体"/>
          <w:b w:val="0"/>
          <w:color w:val="auto"/>
          <w:sz w:val="21"/>
          <w:szCs w:val="21"/>
          <w:highlight w:val="none"/>
          <w:lang w:val="en-US" w:eastAsia="zh-CN"/>
        </w:rPr>
      </w:pPr>
      <w:r>
        <w:rPr>
          <w:rFonts w:hint="eastAsia" w:hAnsi="宋体" w:cs="宋体"/>
          <w:b w:val="0"/>
          <w:color w:val="auto"/>
          <w:sz w:val="21"/>
          <w:szCs w:val="21"/>
          <w:highlight w:val="none"/>
          <w:lang w:val="en-US" w:eastAsia="zh-CN"/>
        </w:rPr>
        <w:t>5、乙方如需增加报备人员的，须及时向甲方</w:t>
      </w:r>
      <w:r>
        <w:rPr>
          <w:rFonts w:hint="eastAsia" w:hAnsi="宋体" w:cs="宋体"/>
          <w:b w:val="0"/>
          <w:color w:val="auto"/>
          <w:sz w:val="21"/>
          <w:szCs w:val="21"/>
          <w:highlight w:val="none"/>
          <w:lang w:val="en-US"/>
        </w:rPr>
        <w:t>或其</w:t>
      </w:r>
      <w:r>
        <w:rPr>
          <w:rFonts w:hint="eastAsia" w:hAnsi="宋体" w:cs="宋体"/>
          <w:b w:val="0"/>
          <w:color w:val="auto"/>
          <w:sz w:val="21"/>
          <w:szCs w:val="21"/>
          <w:highlight w:val="none"/>
          <w:lang w:val="en-US" w:eastAsia="zh-CN"/>
        </w:rPr>
        <w:t>下属企业办理报备手续。</w:t>
      </w:r>
    </w:p>
    <w:p w14:paraId="24D5EB0C">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eastAsia="zh-CN"/>
        </w:rPr>
        <w:t>6、合同履行期间，乙方须全年为供水抢修项目配备足够的、长期稳定的抢修人员，并根据项目紧急程度、要求修复的时间等（含节假日期间），按照甲方</w:t>
      </w:r>
      <w:r>
        <w:rPr>
          <w:rFonts w:hint="eastAsia" w:hAnsi="宋体" w:cs="宋体"/>
          <w:b w:val="0"/>
          <w:color w:val="auto"/>
          <w:sz w:val="21"/>
          <w:szCs w:val="21"/>
          <w:highlight w:val="none"/>
          <w:lang w:val="en-US"/>
        </w:rPr>
        <w:t>或其</w:t>
      </w:r>
      <w:r>
        <w:rPr>
          <w:rFonts w:hint="eastAsia" w:hAnsi="宋体" w:cs="宋体"/>
          <w:b w:val="0"/>
          <w:color w:val="auto"/>
          <w:sz w:val="21"/>
          <w:szCs w:val="21"/>
          <w:highlight w:val="none"/>
          <w:lang w:val="en-US" w:eastAsia="zh-CN"/>
        </w:rPr>
        <w:t>下属企业要求配置足够的抢修人员。若乙方没有按甲方</w:t>
      </w:r>
      <w:r>
        <w:rPr>
          <w:rFonts w:hint="eastAsia" w:hAnsi="宋体" w:cs="宋体"/>
          <w:b w:val="0"/>
          <w:color w:val="auto"/>
          <w:sz w:val="21"/>
          <w:szCs w:val="21"/>
          <w:highlight w:val="none"/>
          <w:lang w:val="en-US"/>
        </w:rPr>
        <w:t>或其</w:t>
      </w:r>
      <w:r>
        <w:rPr>
          <w:rFonts w:hint="eastAsia" w:hAnsi="宋体" w:cs="宋体"/>
          <w:b w:val="0"/>
          <w:color w:val="auto"/>
          <w:sz w:val="21"/>
          <w:szCs w:val="21"/>
          <w:highlight w:val="none"/>
          <w:lang w:val="en-US" w:eastAsia="zh-CN"/>
        </w:rPr>
        <w:t>下属企业要求配置足够抢修人员的，乙方应在甲方</w:t>
      </w:r>
      <w:r>
        <w:rPr>
          <w:rFonts w:hint="eastAsia" w:hAnsi="宋体" w:cs="宋体"/>
          <w:b w:val="0"/>
          <w:color w:val="auto"/>
          <w:sz w:val="21"/>
          <w:szCs w:val="21"/>
          <w:highlight w:val="none"/>
          <w:lang w:val="en-US"/>
        </w:rPr>
        <w:t>或其</w:t>
      </w:r>
      <w:r>
        <w:rPr>
          <w:rFonts w:hint="eastAsia" w:hAnsi="宋体" w:cs="宋体"/>
          <w:b w:val="0"/>
          <w:color w:val="auto"/>
          <w:sz w:val="21"/>
          <w:szCs w:val="21"/>
          <w:highlight w:val="none"/>
          <w:lang w:val="en-US" w:eastAsia="zh-CN"/>
        </w:rPr>
        <w:t>下属企业要求的限期内完成整改，逾期未完成整改的，乙方须按合同约定向甲方或其下属企业支付违约金。</w:t>
      </w:r>
    </w:p>
    <w:p w14:paraId="1693AB93">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eastAsia="zh-CN"/>
        </w:rPr>
        <w:t>7</w:t>
      </w:r>
      <w:r>
        <w:rPr>
          <w:rFonts w:hint="eastAsia" w:hAnsi="宋体" w:cs="宋体"/>
          <w:b w:val="0"/>
          <w:color w:val="auto"/>
          <w:sz w:val="21"/>
          <w:szCs w:val="21"/>
          <w:highlight w:val="none"/>
          <w:lang w:val="en-US"/>
        </w:rPr>
        <w:t>、乙方现场管理及作业人员</w:t>
      </w:r>
      <w:r>
        <w:rPr>
          <w:rFonts w:hint="eastAsia" w:hAnsi="宋体" w:cs="宋体"/>
          <w:b w:val="0"/>
          <w:color w:val="auto"/>
          <w:sz w:val="21"/>
          <w:szCs w:val="21"/>
          <w:highlight w:val="none"/>
          <w:lang w:val="en-US" w:eastAsia="zh-CN"/>
        </w:rPr>
        <w:t>的</w:t>
      </w:r>
      <w:r>
        <w:rPr>
          <w:rFonts w:hint="eastAsia" w:hAnsi="宋体" w:cs="宋体"/>
          <w:b w:val="0"/>
          <w:color w:val="auto"/>
          <w:sz w:val="21"/>
          <w:szCs w:val="21"/>
          <w:highlight w:val="none"/>
          <w:lang w:val="en-US"/>
        </w:rPr>
        <w:t>管理水平和职业技能需满足甲方或其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要求，特种作业人员须持有国家认可的特种作业操作证、管理人员应具备岗位资格证书并持证上岗，其中特种作业人员持证率应达到100%。</w:t>
      </w:r>
    </w:p>
    <w:p w14:paraId="1E938303">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eastAsia="zh-CN"/>
        </w:rPr>
        <w:t>8</w:t>
      </w:r>
      <w:r>
        <w:rPr>
          <w:rFonts w:hint="eastAsia" w:hAnsi="宋体" w:cs="宋体"/>
          <w:b w:val="0"/>
          <w:color w:val="auto"/>
          <w:sz w:val="21"/>
          <w:szCs w:val="21"/>
          <w:highlight w:val="none"/>
          <w:lang w:val="en-US"/>
        </w:rPr>
        <w:t>、参与项目管理的劳务管理人员必须接受甲方或其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组织的安全培训，并经考核合格后方可参与该项目的管理。</w:t>
      </w:r>
    </w:p>
    <w:p w14:paraId="557EAC39">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eastAsia="zh-CN"/>
        </w:rPr>
        <w:t>9</w:t>
      </w:r>
      <w:r>
        <w:rPr>
          <w:rFonts w:hint="eastAsia" w:hAnsi="宋体" w:cs="宋体"/>
          <w:b w:val="0"/>
          <w:color w:val="auto"/>
          <w:sz w:val="21"/>
          <w:szCs w:val="21"/>
          <w:highlight w:val="none"/>
          <w:lang w:val="en-US"/>
        </w:rPr>
        <w:t>、乙方需根据甲方或其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委派的单项项目的管理要求配备充足的专项人员，包括但不限于项目施工管理人员、施工人员和资料员、劳务人员等；为确保工期，甲方或其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要求乙方增加人员投入的，乙方需无条件、无偿服从甲方或其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管理要求。</w:t>
      </w:r>
    </w:p>
    <w:p w14:paraId="15869E6C">
      <w:pPr>
        <w:numPr>
          <w:ilvl w:val="255"/>
          <w:numId w:val="0"/>
        </w:numPr>
        <w:autoSpaceDE w:val="0"/>
        <w:autoSpaceDN w:val="0"/>
        <w:adjustRightInd w:val="0"/>
        <w:snapToGrid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10</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办公场所：</w:t>
      </w:r>
      <w:r>
        <w:rPr>
          <w:rFonts w:hint="eastAsia" w:ascii="宋体" w:hAnsi="宋体" w:eastAsia="宋体" w:cs="宋体"/>
          <w:bCs/>
          <w:color w:val="auto"/>
          <w:szCs w:val="21"/>
          <w:highlight w:val="none"/>
        </w:rPr>
        <w:t>乙方应在东莞市范围内设立固定的一处专门办公场所（租赁及自有均可），相关费用由乙方自行承担。</w:t>
      </w:r>
    </w:p>
    <w:p w14:paraId="6B86864A">
      <w:pPr>
        <w:adjustRightInd w:val="0"/>
        <w:snapToGrid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11</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仓储要求：</w:t>
      </w:r>
      <w:r>
        <w:rPr>
          <w:rFonts w:hint="eastAsia" w:ascii="宋体" w:hAnsi="宋体" w:eastAsia="宋体" w:cs="宋体"/>
          <w:bCs/>
          <w:color w:val="auto"/>
          <w:szCs w:val="21"/>
          <w:highlight w:val="none"/>
        </w:rPr>
        <w:t>乙方应在东莞市范围内设立一处专门仓储场地（租赁及自有均可），用以停置机械设备及存放必要的材料物资等，应具备相应的设备维修条件、物质存储条件，具有配套的专业维修工器具，相关费用由乙方自行承担。</w:t>
      </w:r>
    </w:p>
    <w:p w14:paraId="240F9409">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42" w:name="_Toc18094"/>
      <w:r>
        <w:rPr>
          <w:rFonts w:hint="eastAsia" w:hAnsi="宋体" w:cs="宋体"/>
          <w:bCs w:val="0"/>
          <w:color w:val="auto"/>
          <w:sz w:val="21"/>
          <w:szCs w:val="21"/>
          <w:highlight w:val="none"/>
          <w:lang w:val="en-US"/>
        </w:rPr>
        <w:t>七、事故处理</w:t>
      </w:r>
      <w:bookmarkEnd w:id="442"/>
    </w:p>
    <w:p w14:paraId="7A98CA99">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1、如施工过程中发生重大伤亡及其他安全事故，乙方应立即报告甲方或其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按照国家有关法律、法规逐级上报，乙方应在2个日历天内向甲方或其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提供详细的书面资料，并积极配合甲方或其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的后续工作。</w:t>
      </w:r>
    </w:p>
    <w:p w14:paraId="64B00C09">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2、由于乙方责任造成安全事故的，由乙方承担全部责任和费用。</w:t>
      </w:r>
    </w:p>
    <w:p w14:paraId="4BE4575D">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3、在劳务作业过程中如因非甲方或其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原因造成的安全事故，乙方应及时报告甲方或其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并提出事故处理方案，经业主单位、设计、监理、甲方或其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等单位共同研究认可后，由乙方组织实施。紧急状况下甲方或其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有权实施紧急抢救，所涉及的费用及甲方或其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的损失均由乙方全部承担，并承担相关的法律责任。无论任何原因造成工程施工过程中出现的紧急安全事故，甲方或其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与乙方的人员或设备均应无条件配合有关人员采取抢救措施。</w:t>
      </w:r>
    </w:p>
    <w:p w14:paraId="21923BB6">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43" w:name="_Toc15188"/>
      <w:r>
        <w:rPr>
          <w:rFonts w:hint="eastAsia" w:hAnsi="宋体" w:cs="宋体"/>
          <w:bCs w:val="0"/>
          <w:color w:val="auto"/>
          <w:sz w:val="21"/>
          <w:szCs w:val="21"/>
          <w:highlight w:val="none"/>
          <w:lang w:val="en-US"/>
        </w:rPr>
        <w:t>八、保险</w:t>
      </w:r>
      <w:bookmarkEnd w:id="443"/>
    </w:p>
    <w:p w14:paraId="7A4CF31C">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乙方自行投保的范围（内容）为：乙方劳务人员的意外伤害险、伤亡险、养老险、医疗险、第三者责任险等以及乙方自有小型施工机具的相关保险,其费用已包含在合同价格中，由于乙方未按合同约定购买保险，造成一切损失由乙方承担。</w:t>
      </w:r>
    </w:p>
    <w:p w14:paraId="624915B5">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2、乙方必须为本项目所属劳务人员购买人身意外伤害险，赔付额度为：人身意外伤害险不低于人民币130万元/人。其费用已包含在合同价格中，因乙方未购买人身意外伤害险造成的责任和损失全部由乙方承担。</w:t>
      </w:r>
    </w:p>
    <w:p w14:paraId="13DAA60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3、乙方自有机具应按其机具重置成本购买保险，其费用已包含在合同价格中，所购保险需交甲方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备案。乙方因未购买保险造成的有关损失等均由乙方自行承担责任与费用。</w:t>
      </w:r>
    </w:p>
    <w:p w14:paraId="2DFE094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4、乙方购买保险时，应确保保险合同有效期长于自乙方进场之日（即所购保险在进场时有效），至本合同全部权利义务履行完毕之日，且在乙方进场之日起15个日历天内，乙方必须将所购保险复印件报至甲方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备案。</w:t>
      </w:r>
    </w:p>
    <w:p w14:paraId="687F6436">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5、保险事故发生时，乙方和甲方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有责任采取必要的措施，防止或减少损失。</w:t>
      </w:r>
    </w:p>
    <w:p w14:paraId="7DB7B268">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44" w:name="_Toc13313"/>
      <w:r>
        <w:rPr>
          <w:rFonts w:hint="eastAsia" w:hAnsi="宋体" w:cs="宋体"/>
          <w:bCs w:val="0"/>
          <w:color w:val="auto"/>
          <w:sz w:val="21"/>
          <w:szCs w:val="21"/>
          <w:highlight w:val="none"/>
          <w:lang w:val="en-US"/>
        </w:rPr>
        <w:t>九、材料及设备供应</w:t>
      </w:r>
      <w:bookmarkEnd w:id="444"/>
    </w:p>
    <w:p w14:paraId="5997792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供应的材料，乙方应在接到图纸后7个日历天内，向甲方或其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提交材料、设备、构配件供应计划；经甲方或其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确认后，甲方或其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应按供应计划要求的质量、品种、规格、型号、数量和供应时间等组织货源并及时交付。如质量、品种、规格、型号不符合要求，乙方应在验收时提出，甲方或其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负责处理。</w:t>
      </w:r>
    </w:p>
    <w:p w14:paraId="294738F6">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2、乙方需提供场地存放甲供材料，对甲供材料、设备提供无偿的管理及保管工作。因保管不善发生丢失、损坏，乙方应</w:t>
      </w:r>
      <w:r>
        <w:rPr>
          <w:rFonts w:hint="eastAsia" w:hAnsi="宋体" w:cs="宋体"/>
          <w:b w:val="0"/>
          <w:color w:val="auto"/>
          <w:sz w:val="21"/>
          <w:szCs w:val="21"/>
          <w:highlight w:val="none"/>
          <w:lang w:val="en-US" w:eastAsia="zh-CN"/>
        </w:rPr>
        <w:t>作出相应</w:t>
      </w:r>
      <w:r>
        <w:rPr>
          <w:rFonts w:hint="eastAsia" w:hAnsi="宋体" w:cs="宋体"/>
          <w:b w:val="0"/>
          <w:color w:val="auto"/>
          <w:sz w:val="21"/>
          <w:szCs w:val="21"/>
          <w:highlight w:val="none"/>
          <w:lang w:val="en-US"/>
        </w:rPr>
        <w:t>赔偿，并承担因此造成的工期延误等发生的一切经济损失。甲供材料用量依据施工图纸计算，并按现行定额规定的损耗率考虑材料</w:t>
      </w:r>
      <w:r>
        <w:rPr>
          <w:rFonts w:hint="eastAsia" w:hAnsi="宋体" w:cs="宋体"/>
          <w:b w:val="0"/>
          <w:color w:val="auto"/>
          <w:sz w:val="21"/>
          <w:szCs w:val="21"/>
          <w:highlight w:val="none"/>
          <w:lang w:val="en-US" w:eastAsia="zh-CN"/>
        </w:rPr>
        <w:t>最大</w:t>
      </w:r>
      <w:r>
        <w:rPr>
          <w:rFonts w:hint="eastAsia" w:hAnsi="宋体" w:cs="宋体"/>
          <w:b w:val="0"/>
          <w:color w:val="auto"/>
          <w:sz w:val="21"/>
          <w:szCs w:val="21"/>
          <w:highlight w:val="none"/>
          <w:lang w:val="en-US"/>
        </w:rPr>
        <w:t>损耗量，即不超过现行定额计算的消耗量。除因设计变更增加数量或经甲方或其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书面确认调整实施方案的，由甲方或其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依据变更图纸或调整方案及乙方工作计划按实补足。其他一切原因导致甲供材料数量增加的，</w:t>
      </w:r>
      <w:r>
        <w:rPr>
          <w:rFonts w:hint="eastAsia" w:hAnsi="宋体" w:cs="宋体"/>
          <w:b w:val="0"/>
          <w:color w:val="auto"/>
          <w:sz w:val="21"/>
          <w:szCs w:val="21"/>
          <w:highlight w:val="none"/>
          <w:lang w:val="en-US" w:eastAsia="zh-CN"/>
        </w:rPr>
        <w:t>超过现行定额计算的损耗量对应</w:t>
      </w:r>
      <w:r>
        <w:rPr>
          <w:rFonts w:hint="eastAsia" w:hAnsi="宋体" w:cs="宋体"/>
          <w:b w:val="0"/>
          <w:color w:val="auto"/>
          <w:sz w:val="21"/>
          <w:szCs w:val="21"/>
          <w:highlight w:val="none"/>
          <w:lang w:val="en-US"/>
        </w:rPr>
        <w:t>的</w:t>
      </w:r>
      <w:r>
        <w:rPr>
          <w:rFonts w:hint="eastAsia" w:hAnsi="宋体" w:cs="宋体"/>
          <w:b w:val="0"/>
          <w:color w:val="auto"/>
          <w:sz w:val="21"/>
          <w:szCs w:val="21"/>
          <w:highlight w:val="none"/>
          <w:lang w:val="en-US" w:eastAsia="zh-CN"/>
        </w:rPr>
        <w:t>材料</w:t>
      </w:r>
      <w:r>
        <w:rPr>
          <w:rFonts w:hint="eastAsia" w:hAnsi="宋体" w:cs="宋体"/>
          <w:b w:val="0"/>
          <w:color w:val="auto"/>
          <w:sz w:val="21"/>
          <w:szCs w:val="21"/>
          <w:highlight w:val="none"/>
          <w:lang w:val="en-US"/>
        </w:rPr>
        <w:t>费用全部由乙方负责，甲方或其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有权在劳务款中扣除相关费用。</w:t>
      </w:r>
    </w:p>
    <w:p w14:paraId="2D57911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3、除甲供材料外的其余材料由乙方自购，材料费用已包含在劳务费用内。乙方自购主要材料供应前，乙方应提前7个日历天向甲方或其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提供供应计划（内容包括但不限于材料质量、品种、规格、品牌型号等要求），经甲方或其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书面确认后，方可采购并投入使用。</w:t>
      </w:r>
    </w:p>
    <w:p w14:paraId="4B969ABD">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4、乙方自购的材料应有出厂合格证和检验报告单，并经甲方或其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验收合格方可使用。甲方或其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杜绝一切不合格材料进场。一旦发现乙方所用材料品质、规格、尺寸、数量与设计不符，甲方或其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有权要求乙方立即停工改正，由此产生的一切损失及相关费用均由乙方予以承担。</w:t>
      </w:r>
    </w:p>
    <w:p w14:paraId="2C959FBE">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5、乙方的驻点须配置必要的机械设备，乙方</w:t>
      </w:r>
      <w:r>
        <w:rPr>
          <w:rFonts w:hint="eastAsia" w:hAnsi="宋体" w:cs="宋体"/>
          <w:b w:val="0"/>
          <w:color w:val="auto"/>
          <w:sz w:val="21"/>
          <w:szCs w:val="21"/>
          <w:highlight w:val="none"/>
          <w:lang w:val="en-US" w:eastAsia="zh-CN"/>
        </w:rPr>
        <w:t>确保能够</w:t>
      </w:r>
      <w:r>
        <w:rPr>
          <w:rFonts w:hint="eastAsia" w:hAnsi="宋体" w:cs="宋体"/>
          <w:b w:val="0"/>
          <w:color w:val="auto"/>
          <w:sz w:val="21"/>
          <w:szCs w:val="21"/>
          <w:highlight w:val="none"/>
          <w:lang w:val="en-US"/>
        </w:rPr>
        <w:t>随时响应甲方或其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供水抢修和零星工程项目的实施。</w:t>
      </w:r>
    </w:p>
    <w:p w14:paraId="6B43ACAE">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eastAsia="zh-CN"/>
        </w:rPr>
        <w:t>（1）乙方应为本项目同时投入1台</w:t>
      </w:r>
      <w:r>
        <w:rPr>
          <w:rFonts w:hint="eastAsia" w:hAnsi="宋体" w:cs="宋体"/>
          <w:b w:val="0"/>
          <w:color w:val="auto"/>
          <w:sz w:val="21"/>
          <w:szCs w:val="21"/>
          <w:highlight w:val="none"/>
          <w:lang w:val="en-US"/>
        </w:rPr>
        <w:t>挖掘机、</w:t>
      </w:r>
      <w:r>
        <w:rPr>
          <w:rFonts w:hint="eastAsia" w:hAnsi="宋体" w:cs="宋体"/>
          <w:b w:val="0"/>
          <w:color w:val="auto"/>
          <w:sz w:val="21"/>
          <w:szCs w:val="21"/>
          <w:highlight w:val="none"/>
          <w:lang w:val="en-US" w:eastAsia="zh-CN"/>
        </w:rPr>
        <w:t>1台</w:t>
      </w:r>
      <w:r>
        <w:rPr>
          <w:rFonts w:hint="eastAsia" w:hAnsi="宋体" w:cs="宋体"/>
          <w:b w:val="0"/>
          <w:color w:val="auto"/>
          <w:sz w:val="21"/>
          <w:szCs w:val="21"/>
          <w:highlight w:val="none"/>
          <w:lang w:val="en-US"/>
        </w:rPr>
        <w:t>抢修用的发电车</w:t>
      </w:r>
      <w:r>
        <w:rPr>
          <w:rFonts w:hint="eastAsia" w:hAnsi="宋体" w:cs="宋体"/>
          <w:b w:val="0"/>
          <w:color w:val="auto"/>
          <w:sz w:val="21"/>
          <w:szCs w:val="21"/>
          <w:highlight w:val="none"/>
          <w:lang w:val="en-US"/>
        </w:rPr>
        <w:t>或移动发电设备</w:t>
      </w:r>
      <w:r>
        <w:rPr>
          <w:rFonts w:hint="eastAsia" w:hAnsi="宋体" w:cs="宋体"/>
          <w:b w:val="0"/>
          <w:color w:val="auto"/>
          <w:sz w:val="21"/>
          <w:szCs w:val="21"/>
          <w:highlight w:val="none"/>
          <w:lang w:val="en-US"/>
        </w:rPr>
        <w:t>（发电机功率不少于30kw）、</w:t>
      </w:r>
      <w:r>
        <w:rPr>
          <w:rFonts w:hint="eastAsia" w:hAnsi="宋体" w:cs="宋体"/>
          <w:b w:val="0"/>
          <w:color w:val="auto"/>
          <w:sz w:val="21"/>
          <w:szCs w:val="21"/>
          <w:highlight w:val="none"/>
          <w:lang w:val="en-US" w:eastAsia="zh-CN"/>
        </w:rPr>
        <w:t>1台</w:t>
      </w:r>
      <w:r>
        <w:rPr>
          <w:rFonts w:hint="eastAsia" w:hAnsi="宋体" w:cs="宋体"/>
          <w:b w:val="0"/>
          <w:color w:val="auto"/>
          <w:sz w:val="21"/>
          <w:szCs w:val="21"/>
          <w:highlight w:val="none"/>
          <w:lang w:val="en-US"/>
        </w:rPr>
        <w:t>潜污泵（流量参数不少于1000立方米每小时）作为本项目的基础机械设备配置。</w:t>
      </w:r>
    </w:p>
    <w:p w14:paraId="59972CBC">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eastAsia="zh-CN"/>
        </w:rPr>
        <w:t>（2）</w:t>
      </w:r>
      <w:r>
        <w:rPr>
          <w:rFonts w:hint="eastAsia" w:hAnsi="宋体" w:cs="宋体"/>
          <w:b w:val="0"/>
          <w:color w:val="auto"/>
          <w:sz w:val="21"/>
          <w:szCs w:val="21"/>
          <w:highlight w:val="none"/>
          <w:lang w:val="en-US"/>
        </w:rPr>
        <w:t>铲车、自卸车、吸污车、货吊车、牵引车、洒水车、各类口径水泵、鼓风机、PE热熔机等设备按具体委派项目要求配置（上述设备为</w:t>
      </w:r>
      <w:r>
        <w:rPr>
          <w:rFonts w:hint="eastAsia" w:hAnsi="宋体" w:cs="宋体"/>
          <w:b w:val="0"/>
          <w:color w:val="auto"/>
          <w:sz w:val="21"/>
          <w:szCs w:val="21"/>
          <w:highlight w:val="none"/>
          <w:lang w:val="en-US" w:eastAsia="zh-CN"/>
        </w:rPr>
        <w:t>乙方</w:t>
      </w:r>
      <w:r>
        <w:rPr>
          <w:rFonts w:hint="eastAsia" w:hAnsi="宋体" w:cs="宋体"/>
          <w:b w:val="0"/>
          <w:color w:val="auto"/>
          <w:sz w:val="21"/>
          <w:szCs w:val="21"/>
          <w:highlight w:val="none"/>
          <w:lang w:val="en-US"/>
        </w:rPr>
        <w:t>自有或租赁均可）。</w:t>
      </w:r>
    </w:p>
    <w:p w14:paraId="1C5B71D2">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eastAsia="zh-CN"/>
        </w:rPr>
        <w:t>（3）</w:t>
      </w:r>
      <w:r>
        <w:rPr>
          <w:rFonts w:hint="eastAsia" w:hAnsi="宋体" w:cs="宋体"/>
          <w:b w:val="0"/>
          <w:color w:val="auto"/>
          <w:sz w:val="21"/>
          <w:szCs w:val="21"/>
          <w:highlight w:val="none"/>
          <w:lang w:val="en-US"/>
        </w:rPr>
        <w:t>实施抢修项目时，机械设备需在甲方或其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规定时间内到达抢修现场；实施零星工程时，乙方需根据工程施工进度安排机械设备进场，派出的机械设备需具备合格证并满足国家环保要求。</w:t>
      </w:r>
    </w:p>
    <w:p w14:paraId="52454D61">
      <w:pPr>
        <w:pStyle w:val="2"/>
        <w:snapToGrid w:val="0"/>
        <w:spacing w:line="360" w:lineRule="auto"/>
        <w:ind w:right="0" w:firstLine="420" w:firstLineChars="200"/>
        <w:jc w:val="both"/>
        <w:rPr>
          <w:rFonts w:hint="eastAsia" w:hAnsi="宋体" w:cs="宋体"/>
          <w:b w:val="0"/>
          <w:color w:val="auto"/>
          <w:sz w:val="21"/>
          <w:szCs w:val="21"/>
          <w:highlight w:val="none"/>
          <w:lang w:val="en-US" w:eastAsia="zh-CN"/>
        </w:rPr>
      </w:pPr>
      <w:r>
        <w:rPr>
          <w:rFonts w:hint="eastAsia" w:hAnsi="宋体" w:cs="宋体"/>
          <w:b w:val="0"/>
          <w:color w:val="auto"/>
          <w:sz w:val="21"/>
          <w:szCs w:val="21"/>
          <w:highlight w:val="none"/>
          <w:lang w:val="en-US" w:eastAsia="zh-CN"/>
        </w:rPr>
        <w:t>6、涉及有限空间作业工器具，乙方应按照国家、省市及甲方的集团公司、甲方</w:t>
      </w:r>
      <w:r>
        <w:rPr>
          <w:rFonts w:hint="eastAsia" w:hAnsi="宋体" w:cs="宋体"/>
          <w:b w:val="0"/>
          <w:color w:val="auto"/>
          <w:sz w:val="21"/>
          <w:szCs w:val="21"/>
          <w:highlight w:val="none"/>
          <w:lang w:val="en-US"/>
        </w:rPr>
        <w:t>或其</w:t>
      </w:r>
      <w:r>
        <w:rPr>
          <w:rFonts w:hint="eastAsia" w:hAnsi="宋体" w:cs="宋体"/>
          <w:b w:val="0"/>
          <w:color w:val="auto"/>
          <w:sz w:val="21"/>
          <w:szCs w:val="21"/>
          <w:highlight w:val="none"/>
          <w:lang w:val="en-US" w:eastAsia="zh-CN"/>
        </w:rPr>
        <w:t>下属企业业主单位、甲方</w:t>
      </w:r>
      <w:r>
        <w:rPr>
          <w:rFonts w:hint="eastAsia" w:hAnsi="宋体" w:cs="宋体"/>
          <w:b w:val="0"/>
          <w:color w:val="auto"/>
          <w:sz w:val="21"/>
          <w:szCs w:val="21"/>
          <w:highlight w:val="none"/>
          <w:lang w:val="en-US"/>
        </w:rPr>
        <w:t>或其</w:t>
      </w:r>
      <w:r>
        <w:rPr>
          <w:rFonts w:hint="eastAsia" w:hAnsi="宋体" w:cs="宋体"/>
          <w:b w:val="0"/>
          <w:color w:val="auto"/>
          <w:sz w:val="21"/>
          <w:szCs w:val="21"/>
          <w:highlight w:val="none"/>
          <w:lang w:val="en-US" w:eastAsia="zh-CN"/>
        </w:rPr>
        <w:t>下属企业相关有限空间作业管理办法及要求配备齐全。</w:t>
      </w:r>
    </w:p>
    <w:p w14:paraId="7EC24340">
      <w:pPr>
        <w:pStyle w:val="2"/>
        <w:snapToGrid w:val="0"/>
        <w:spacing w:line="360" w:lineRule="auto"/>
        <w:ind w:right="0" w:firstLine="420" w:firstLineChars="200"/>
        <w:jc w:val="both"/>
        <w:rPr>
          <w:rFonts w:hint="eastAsia" w:hAnsi="宋体" w:cs="宋体"/>
          <w:b w:val="0"/>
          <w:color w:val="auto"/>
          <w:sz w:val="21"/>
          <w:szCs w:val="21"/>
          <w:highlight w:val="none"/>
          <w:lang w:val="en-US" w:eastAsia="zh-CN"/>
        </w:rPr>
      </w:pPr>
      <w:r>
        <w:rPr>
          <w:rFonts w:hint="eastAsia" w:hAnsi="宋体" w:cs="宋体"/>
          <w:b w:val="0"/>
          <w:color w:val="auto"/>
          <w:sz w:val="21"/>
          <w:szCs w:val="21"/>
          <w:highlight w:val="none"/>
          <w:lang w:val="en-US" w:eastAsia="zh-CN"/>
        </w:rPr>
        <w:t>7、除满足履约要求外，乙方必须在现场配置满足单个项目所需的施工机械设备（包括涉及有限空间作业工器具），其性能应良好并符合国家有关规定。若甲方</w:t>
      </w:r>
      <w:r>
        <w:rPr>
          <w:rFonts w:hint="eastAsia" w:hAnsi="宋体" w:cs="宋体"/>
          <w:b w:val="0"/>
          <w:color w:val="auto"/>
          <w:sz w:val="21"/>
          <w:szCs w:val="21"/>
          <w:highlight w:val="none"/>
          <w:lang w:val="en-US"/>
        </w:rPr>
        <w:t>或其</w:t>
      </w:r>
      <w:r>
        <w:rPr>
          <w:rFonts w:hint="eastAsia" w:hAnsi="宋体" w:cs="宋体"/>
          <w:b w:val="0"/>
          <w:color w:val="auto"/>
          <w:sz w:val="21"/>
          <w:szCs w:val="21"/>
          <w:highlight w:val="none"/>
          <w:lang w:val="en-US" w:eastAsia="zh-CN"/>
        </w:rPr>
        <w:t>下属企业认为乙方现场配置的施工机械设备不能满足项目施工需求（包括进度需求等）的，乙方须无条件、无偿服从按甲方</w:t>
      </w:r>
      <w:r>
        <w:rPr>
          <w:rFonts w:hint="eastAsia" w:hAnsi="宋体" w:cs="宋体"/>
          <w:b w:val="0"/>
          <w:color w:val="auto"/>
          <w:sz w:val="21"/>
          <w:szCs w:val="21"/>
          <w:highlight w:val="none"/>
          <w:lang w:val="en-US"/>
        </w:rPr>
        <w:t>或其</w:t>
      </w:r>
      <w:r>
        <w:rPr>
          <w:rFonts w:hint="eastAsia" w:hAnsi="宋体" w:cs="宋体"/>
          <w:b w:val="0"/>
          <w:color w:val="auto"/>
          <w:sz w:val="21"/>
          <w:szCs w:val="21"/>
          <w:highlight w:val="none"/>
          <w:lang w:val="en-US" w:eastAsia="zh-CN"/>
        </w:rPr>
        <w:t>下属企业要求予以增加（或更换）相关设备。</w:t>
      </w:r>
    </w:p>
    <w:p w14:paraId="65DDF2C6">
      <w:pPr>
        <w:pStyle w:val="2"/>
        <w:snapToGrid w:val="0"/>
        <w:spacing w:line="360" w:lineRule="auto"/>
        <w:ind w:right="0" w:firstLine="420" w:firstLineChars="200"/>
        <w:jc w:val="both"/>
        <w:rPr>
          <w:rFonts w:hint="default" w:hAnsi="宋体" w:cs="宋体"/>
          <w:b w:val="0"/>
          <w:color w:val="auto"/>
          <w:sz w:val="21"/>
          <w:szCs w:val="21"/>
          <w:highlight w:val="none"/>
          <w:lang w:val="en-US" w:eastAsia="zh-CN"/>
        </w:rPr>
      </w:pPr>
      <w:r>
        <w:rPr>
          <w:rFonts w:hint="eastAsia" w:hAnsi="宋体" w:cs="宋体"/>
          <w:b w:val="0"/>
          <w:color w:val="auto"/>
          <w:sz w:val="21"/>
          <w:szCs w:val="21"/>
          <w:highlight w:val="none"/>
          <w:lang w:val="en-US" w:eastAsia="zh-CN"/>
        </w:rPr>
        <w:t>8、乙方在现场配置的各类施工设备，在进场、安装、使用前必须按规定出具相关证明资料（包括由合法的设备检验检测机构出具的有效期内设备合格检测报告、机械设备合格证书、安装单位资质证明材料、设备使用登记证等），严禁使用未经检测或检测不合格的施工机械设备。</w:t>
      </w:r>
    </w:p>
    <w:p w14:paraId="4019D2CD">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45" w:name="_Toc7187"/>
      <w:r>
        <w:rPr>
          <w:rFonts w:hint="eastAsia" w:hAnsi="宋体" w:cs="宋体"/>
          <w:bCs w:val="0"/>
          <w:color w:val="auto"/>
          <w:sz w:val="21"/>
          <w:szCs w:val="21"/>
          <w:highlight w:val="none"/>
          <w:lang w:val="en-US"/>
        </w:rPr>
        <w:t>十、施工变更</w:t>
      </w:r>
      <w:bookmarkEnd w:id="445"/>
    </w:p>
    <w:p w14:paraId="2A544508">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1、施工中如需对原工作内容进行变更，甲方或其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应提前5个日历天以书面形式向乙方发出变更通知，并提供变更的相应图纸和说明。乙方按照甲方或其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发出的变更通知及有关要求，办理有关变更手续：</w:t>
      </w:r>
    </w:p>
    <w:p w14:paraId="799AA8E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（1）更改工程有关部分的标高、基线、位置和尺寸；</w:t>
      </w:r>
    </w:p>
    <w:p w14:paraId="35090B3C">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（2）增减合同中约定的工作量；</w:t>
      </w:r>
    </w:p>
    <w:p w14:paraId="7443451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（3）改变有关的施工时间和顺序；</w:t>
      </w:r>
    </w:p>
    <w:p w14:paraId="406AF5B0">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（4）其他有关工程变更需要的附加工作。</w:t>
      </w:r>
    </w:p>
    <w:p w14:paraId="347EDE70">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2、变更后的结算以实际发生的工作量为准，按照本合同第二条约定进行结算。</w:t>
      </w:r>
    </w:p>
    <w:p w14:paraId="672A72BD">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3、由乙方原因造成的变更费用和由此导致甲方或其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的直接损失，由乙方承担，延误的工期不予顺延。</w:t>
      </w:r>
    </w:p>
    <w:p w14:paraId="32938506">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46" w:name="_Toc11199"/>
      <w:r>
        <w:rPr>
          <w:rFonts w:hint="eastAsia" w:hAnsi="宋体" w:cs="宋体"/>
          <w:bCs w:val="0"/>
          <w:color w:val="auto"/>
          <w:sz w:val="21"/>
          <w:szCs w:val="21"/>
          <w:highlight w:val="none"/>
          <w:lang w:val="en-US"/>
        </w:rPr>
        <w:t>十一、劳务成果验收</w:t>
      </w:r>
      <w:bookmarkEnd w:id="446"/>
    </w:p>
    <w:p w14:paraId="076EF7C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乙方应确保所完成施工的质量，应符合本项目施工设计图（如有）和相关技术文件的质量标准。全部工作完成30个日历天内，乙方向甲方或其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递交完整的竣工资料，甲方或其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收到乙方递交的竣工资料后14个日历天内</w:t>
      </w:r>
      <w:r>
        <w:rPr>
          <w:rFonts w:hint="eastAsia" w:hAnsi="宋体" w:cs="宋体"/>
          <w:b w:val="0"/>
          <w:color w:val="auto"/>
          <w:sz w:val="21"/>
          <w:szCs w:val="21"/>
          <w:highlight w:val="none"/>
          <w:lang w:val="en-US" w:eastAsia="zh-CN"/>
        </w:rPr>
        <w:t>完成</w:t>
      </w:r>
      <w:r>
        <w:rPr>
          <w:rFonts w:hint="eastAsia" w:hAnsi="宋体" w:cs="宋体"/>
          <w:b w:val="0"/>
          <w:color w:val="auto"/>
          <w:sz w:val="21"/>
          <w:szCs w:val="21"/>
          <w:highlight w:val="none"/>
          <w:lang w:val="en-US"/>
        </w:rPr>
        <w:t>审核，给予确认或提出修改意见，竣工资料经甲方或其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审核认可后，应及时组织竣工验收。竣工验收合格后，乙方应按甲方或其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要求递交完整的结算资料。若工程项目竣工验收不合格，乙方应在甲方或其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指定期限内负责无偿修复，工期不顺延，并承担由此导致的甲方或其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相关损失。</w:t>
      </w:r>
    </w:p>
    <w:p w14:paraId="04B4B3D9">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47" w:name="_Toc10882"/>
      <w:r>
        <w:rPr>
          <w:rFonts w:hint="eastAsia" w:hAnsi="宋体" w:cs="宋体"/>
          <w:bCs w:val="0"/>
          <w:color w:val="auto"/>
          <w:sz w:val="21"/>
          <w:szCs w:val="21"/>
          <w:highlight w:val="none"/>
          <w:lang w:val="en-US"/>
        </w:rPr>
        <w:t>十二、劳务成果考核</w:t>
      </w:r>
      <w:bookmarkEnd w:id="447"/>
    </w:p>
    <w:p w14:paraId="4216F396">
      <w:pPr>
        <w:pStyle w:val="2"/>
        <w:snapToGrid w:val="0"/>
        <w:spacing w:line="360" w:lineRule="auto"/>
        <w:ind w:right="0" w:firstLine="420" w:firstLineChars="20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1、乙方完成合同约定内容后，甲方或其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将通过《东莞市碧水信息科技有限公司分包单位履约考评工作指引》（详见附件5）对项目的进度控制、质量控制、安全文明管理、民工劳动报酬支付情况等内容开展考评工作，考评结果将作为甲方或其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日后项目管理依据之一。</w:t>
      </w:r>
    </w:p>
    <w:p w14:paraId="2CC86F68">
      <w:pPr>
        <w:pStyle w:val="2"/>
        <w:snapToGrid w:val="0"/>
        <w:spacing w:line="360" w:lineRule="auto"/>
        <w:ind w:right="0" w:firstLine="420" w:firstLineChars="20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2、甲方或其下属企业有权调整劳务分包服务考核评价表，调整后书面通知乙方，乙方对此无任何异议。</w:t>
      </w:r>
    </w:p>
    <w:p w14:paraId="1FFEB1A7">
      <w:pPr>
        <w:pStyle w:val="2"/>
        <w:snapToGrid w:val="0"/>
        <w:spacing w:line="360" w:lineRule="auto"/>
        <w:ind w:right="0" w:firstLine="420" w:firstLineChars="20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3、甲方或其</w:t>
      </w:r>
      <w:r>
        <w:rPr>
          <w:rFonts w:hint="eastAsia" w:hAnsi="宋体" w:cs="宋体"/>
          <w:b w:val="0"/>
          <w:bCs w:val="0"/>
          <w:color w:val="auto"/>
          <w:sz w:val="21"/>
          <w:szCs w:val="21"/>
          <w:highlight w:val="none"/>
          <w:lang w:val="en-US" w:eastAsia="zh-CN"/>
        </w:rPr>
        <w:t>下属企业</w:t>
      </w:r>
      <w:r>
        <w:rPr>
          <w:rFonts w:hint="eastAsia" w:hAnsi="宋体" w:cs="宋体"/>
          <w:b w:val="0"/>
          <w:bCs w:val="0"/>
          <w:color w:val="auto"/>
          <w:sz w:val="21"/>
          <w:szCs w:val="21"/>
          <w:highlight w:val="none"/>
          <w:lang w:val="en-US"/>
        </w:rPr>
        <w:t>将按照《东莞市碧水信息科技有限公司分包单位履约考评工作指引》（详见附件5）相关内容定期组织考评工作，并根据考评结果落实应用工作，乙方对此无任何异议。</w:t>
      </w:r>
    </w:p>
    <w:p w14:paraId="3EDC208F">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48" w:name="_Toc21650"/>
      <w:r>
        <w:rPr>
          <w:rFonts w:hint="eastAsia" w:hAnsi="宋体" w:cs="宋体"/>
          <w:bCs w:val="0"/>
          <w:color w:val="auto"/>
          <w:sz w:val="21"/>
          <w:szCs w:val="21"/>
          <w:highlight w:val="none"/>
          <w:lang w:val="en-US"/>
        </w:rPr>
        <w:t>十三、履约保证金</w:t>
      </w:r>
      <w:bookmarkEnd w:id="448"/>
    </w:p>
    <w:p w14:paraId="2D45A4DC">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1、乙方应在签订合同</w:t>
      </w:r>
      <w:r>
        <w:rPr>
          <w:rFonts w:hint="eastAsia" w:hAnsi="宋体" w:cs="宋体"/>
          <w:b w:val="0"/>
          <w:color w:val="auto"/>
          <w:sz w:val="21"/>
          <w:szCs w:val="21"/>
          <w:highlight w:val="none"/>
          <w:lang w:val="en-US" w:eastAsia="zh-CN"/>
        </w:rPr>
        <w:t>前</w:t>
      </w:r>
      <w:r>
        <w:rPr>
          <w:rFonts w:hint="eastAsia" w:hAnsi="宋体" w:cs="宋体"/>
          <w:b w:val="0"/>
          <w:color w:val="auto"/>
          <w:sz w:val="21"/>
          <w:szCs w:val="21"/>
          <w:highlight w:val="none"/>
          <w:lang w:val="en-US"/>
        </w:rPr>
        <w:t>，向甲方提交人民币20万元的履约保证金，否则甲方可取消乙方的服务资格。合同履行过程中，乙方给甲方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造成的损失超过履约保证金数额的，乙方还应当对超过部分予以赔偿，甲方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并依法追究乙方的相应责任。</w:t>
      </w:r>
    </w:p>
    <w:p w14:paraId="41FF038B">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2、双方一致同意，履约保证金由乙方通过银行转账方式向甲方指定账号缴纳，甲方履约保证金收款账号为：</w:t>
      </w:r>
    </w:p>
    <w:p w14:paraId="76771B62">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开户名称：东莞市碧水信息科技有限公司</w:t>
      </w:r>
    </w:p>
    <w:p w14:paraId="7DC17D7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银行账号：2010021309200572784</w:t>
      </w:r>
    </w:p>
    <w:p w14:paraId="78A9AC9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开户银行：中国工商银行股份有限公司东莞分行</w:t>
      </w:r>
    </w:p>
    <w:p w14:paraId="6E238EC7">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3、履约保证金用于补偿甲方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因乙方不能完全履行其合同义务而蒙受的损失</w:t>
      </w:r>
      <w:r>
        <w:rPr>
          <w:rFonts w:hint="eastAsia" w:hAnsi="宋体" w:cs="宋体"/>
          <w:b w:val="0"/>
          <w:bCs w:val="0"/>
          <w:color w:val="auto"/>
          <w:sz w:val="21"/>
          <w:szCs w:val="21"/>
          <w:highlight w:val="none"/>
          <w:lang w:val="en-US"/>
        </w:rPr>
        <w:t>或其他合同约定的事项。</w:t>
      </w:r>
      <w:r>
        <w:rPr>
          <w:rFonts w:hint="eastAsia" w:hAnsi="宋体" w:cs="宋体"/>
          <w:b w:val="0"/>
          <w:color w:val="auto"/>
          <w:sz w:val="21"/>
          <w:szCs w:val="21"/>
          <w:highlight w:val="none"/>
          <w:lang w:val="en-US"/>
        </w:rPr>
        <w:t>如发生下列任一情况时，甲方除有权依合同追究乙方违约责任外，还有权提取履约保证金并进行相应处理：</w:t>
      </w:r>
    </w:p>
    <w:p w14:paraId="04FE85A5">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w:t>
      </w:r>
      <w:r>
        <w:rPr>
          <w:rFonts w:hint="eastAsia" w:hAnsi="宋体" w:cs="宋体"/>
          <w:b w:val="0"/>
          <w:bCs w:val="0"/>
          <w:color w:val="auto"/>
          <w:sz w:val="21"/>
          <w:szCs w:val="21"/>
          <w:highlight w:val="none"/>
          <w:lang w:val="en-US"/>
        </w:rPr>
        <w:t>乙方将合同项下乙方的权利义务全部转让给第三方，或未经甲方</w:t>
      </w:r>
      <w:r>
        <w:rPr>
          <w:rFonts w:hint="eastAsia" w:hAnsi="宋体" w:cs="宋体"/>
          <w:b w:val="0"/>
          <w:color w:val="auto"/>
          <w:sz w:val="21"/>
          <w:szCs w:val="21"/>
          <w:highlight w:val="none"/>
          <w:lang w:val="en-US" w:eastAsia="zh-CN"/>
        </w:rPr>
        <w:t>或其下属企业</w:t>
      </w:r>
      <w:r>
        <w:rPr>
          <w:rFonts w:hint="eastAsia" w:hAnsi="宋体" w:cs="宋体"/>
          <w:b w:val="0"/>
          <w:bCs w:val="0"/>
          <w:color w:val="auto"/>
          <w:sz w:val="21"/>
          <w:szCs w:val="21"/>
          <w:highlight w:val="none"/>
          <w:lang w:val="en-US"/>
        </w:rPr>
        <w:t>书面同意将部分权利义务转让给第三方的，甲方有权没收其履约</w:t>
      </w:r>
      <w:r>
        <w:rPr>
          <w:rFonts w:hint="eastAsia" w:hAnsi="宋体" w:cs="宋体"/>
          <w:b w:val="0"/>
          <w:bCs w:val="0"/>
          <w:color w:val="auto"/>
          <w:sz w:val="21"/>
          <w:szCs w:val="21"/>
          <w:highlight w:val="none"/>
          <w:lang w:val="en-US" w:eastAsia="zh-CN"/>
        </w:rPr>
        <w:t>保证金</w:t>
      </w:r>
      <w:r>
        <w:rPr>
          <w:rFonts w:hint="eastAsia" w:hAnsi="宋体" w:cs="宋体"/>
          <w:b w:val="0"/>
          <w:bCs w:val="0"/>
          <w:color w:val="auto"/>
          <w:sz w:val="21"/>
          <w:szCs w:val="21"/>
          <w:highlight w:val="none"/>
          <w:lang w:val="en-US"/>
        </w:rPr>
        <w:t>。</w:t>
      </w:r>
    </w:p>
    <w:p w14:paraId="1D8235D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w:t>
      </w:r>
      <w:r>
        <w:rPr>
          <w:rFonts w:hint="eastAsia" w:hAnsi="宋体" w:cs="宋体"/>
          <w:b w:val="0"/>
          <w:bCs w:val="0"/>
          <w:color w:val="auto"/>
          <w:sz w:val="21"/>
          <w:szCs w:val="21"/>
          <w:highlight w:val="none"/>
          <w:lang w:val="en-US"/>
        </w:rPr>
        <w:t>在合同履行期间，乙方怠于履行合同义务，经甲方</w:t>
      </w:r>
      <w:r>
        <w:rPr>
          <w:rFonts w:hint="eastAsia" w:hAnsi="宋体" w:cs="宋体"/>
          <w:b w:val="0"/>
          <w:color w:val="auto"/>
          <w:sz w:val="21"/>
          <w:szCs w:val="21"/>
          <w:highlight w:val="none"/>
          <w:lang w:val="en-US" w:eastAsia="zh-CN"/>
        </w:rPr>
        <w:t>或其下属企业</w:t>
      </w:r>
      <w:r>
        <w:rPr>
          <w:rFonts w:hint="eastAsia" w:hAnsi="宋体" w:cs="宋体"/>
          <w:b w:val="0"/>
          <w:bCs w:val="0"/>
          <w:color w:val="auto"/>
          <w:sz w:val="21"/>
          <w:szCs w:val="21"/>
          <w:highlight w:val="none"/>
          <w:lang w:val="en-US"/>
        </w:rPr>
        <w:t>通知或要求承担违约金后仍拒不改正的，甲方可依法没收或适当扣除其履约</w:t>
      </w:r>
      <w:r>
        <w:rPr>
          <w:rFonts w:hint="eastAsia" w:hAnsi="宋体" w:cs="宋体"/>
          <w:b w:val="0"/>
          <w:bCs w:val="0"/>
          <w:color w:val="auto"/>
          <w:sz w:val="21"/>
          <w:szCs w:val="21"/>
          <w:highlight w:val="none"/>
          <w:lang w:val="en-US" w:eastAsia="zh-CN"/>
        </w:rPr>
        <w:t>保证金</w:t>
      </w:r>
      <w:r>
        <w:rPr>
          <w:rFonts w:hint="eastAsia" w:hAnsi="宋体" w:cs="宋体"/>
          <w:b w:val="0"/>
          <w:bCs w:val="0"/>
          <w:color w:val="auto"/>
          <w:sz w:val="21"/>
          <w:szCs w:val="21"/>
          <w:highlight w:val="none"/>
          <w:lang w:val="en-US"/>
        </w:rPr>
        <w:t>。</w:t>
      </w:r>
    </w:p>
    <w:p w14:paraId="5C8A4421">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（3）在合同履行期间，因乙方货物、服务质量问题造成损害、侵权损失(包括但不限于甲方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(含其人员)经济损失、乙方所雇人员及第三人人身财产损失等)、拖欠原材料供应商货款或与其所雇用员工发生劳资纠纷、上访、闹事或其他影响甲方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生产经营等情况而其未及时妥善处理的，甲方有权使用履约保证金予以支付或作出相应处理，由此产生的一切法律后果由乙方承担。</w:t>
      </w:r>
    </w:p>
    <w:p w14:paraId="4E8D5CE8">
      <w:pPr>
        <w:pStyle w:val="2"/>
        <w:spacing w:line="360" w:lineRule="auto"/>
        <w:ind w:right="0" w:firstLine="420" w:firstLineChars="200"/>
        <w:jc w:val="left"/>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（4）在合同履行期间，乙方违约产生的违约金、赔偿、罚款或其他应付费用等款项，甲方</w:t>
      </w:r>
      <w:r>
        <w:rPr>
          <w:rFonts w:hint="eastAsia" w:hAnsi="宋体" w:cs="宋体"/>
          <w:b w:val="0"/>
          <w:color w:val="auto"/>
          <w:sz w:val="21"/>
          <w:szCs w:val="21"/>
          <w:highlight w:val="none"/>
          <w:lang w:val="en-US" w:eastAsia="zh-CN"/>
        </w:rPr>
        <w:t>或其下属企业</w:t>
      </w:r>
      <w:r>
        <w:rPr>
          <w:rFonts w:hint="eastAsia" w:hAnsi="宋体" w:cs="宋体"/>
          <w:b w:val="0"/>
          <w:bCs w:val="0"/>
          <w:color w:val="auto"/>
          <w:sz w:val="21"/>
          <w:szCs w:val="21"/>
          <w:highlight w:val="none"/>
          <w:lang w:val="en-US"/>
        </w:rPr>
        <w:t>有权直接从未付款项中直接扣除或使用履约保证金予以支付。</w:t>
      </w:r>
    </w:p>
    <w:p w14:paraId="60CA134C">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bCs w:val="0"/>
          <w:color w:val="auto"/>
          <w:sz w:val="21"/>
          <w:szCs w:val="21"/>
          <w:highlight w:val="none"/>
          <w:lang w:val="en-US"/>
        </w:rPr>
        <w:t>（5）合同期内，乙方不能及时完成合同</w:t>
      </w:r>
      <w:r>
        <w:rPr>
          <w:rFonts w:hint="eastAsia" w:hAnsi="宋体" w:cs="宋体"/>
          <w:b w:val="0"/>
          <w:bCs w:val="0"/>
          <w:color w:val="auto"/>
          <w:sz w:val="21"/>
          <w:szCs w:val="21"/>
          <w:highlight w:val="none"/>
          <w:lang w:val="en-US" w:eastAsia="zh-CN"/>
        </w:rPr>
        <w:t>约定</w:t>
      </w:r>
      <w:r>
        <w:rPr>
          <w:rFonts w:hint="eastAsia" w:hAnsi="宋体" w:cs="宋体"/>
          <w:b w:val="0"/>
          <w:bCs w:val="0"/>
          <w:color w:val="auto"/>
          <w:sz w:val="21"/>
          <w:szCs w:val="21"/>
          <w:highlight w:val="none"/>
          <w:lang w:val="en-US"/>
        </w:rPr>
        <w:t>某项义务的</w:t>
      </w:r>
      <w:r>
        <w:rPr>
          <w:rFonts w:hint="eastAsia" w:hAnsi="宋体" w:cs="宋体"/>
          <w:b w:val="0"/>
          <w:bCs w:val="0"/>
          <w:color w:val="auto"/>
          <w:sz w:val="21"/>
          <w:szCs w:val="21"/>
          <w:highlight w:val="none"/>
          <w:lang w:val="en-US" w:eastAsia="zh-CN"/>
        </w:rPr>
        <w:t>，需甲方另行支付费用来完成</w:t>
      </w:r>
      <w:r>
        <w:rPr>
          <w:rFonts w:hint="eastAsia" w:hAnsi="宋体" w:cs="宋体"/>
          <w:b w:val="0"/>
          <w:bCs w:val="0"/>
          <w:color w:val="auto"/>
          <w:sz w:val="21"/>
          <w:szCs w:val="21"/>
          <w:highlight w:val="none"/>
          <w:lang w:val="en-US"/>
        </w:rPr>
        <w:t>的，甲方有权提取履约</w:t>
      </w:r>
      <w:r>
        <w:rPr>
          <w:rFonts w:hint="eastAsia" w:hAnsi="宋体" w:cs="宋体"/>
          <w:b w:val="0"/>
          <w:bCs w:val="0"/>
          <w:color w:val="auto"/>
          <w:sz w:val="21"/>
          <w:szCs w:val="21"/>
          <w:highlight w:val="none"/>
          <w:lang w:val="en-US" w:eastAsia="zh-CN"/>
        </w:rPr>
        <w:t>保证金</w:t>
      </w:r>
      <w:r>
        <w:rPr>
          <w:rFonts w:hint="eastAsia" w:hAnsi="宋体" w:cs="宋体"/>
          <w:b w:val="0"/>
          <w:bCs w:val="0"/>
          <w:color w:val="auto"/>
          <w:sz w:val="21"/>
          <w:szCs w:val="21"/>
          <w:highlight w:val="none"/>
          <w:lang w:val="en-US"/>
        </w:rPr>
        <w:t>用于处理该项工作。</w:t>
      </w:r>
    </w:p>
    <w:p w14:paraId="325011FF">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（6）乙方应及时足额向工人发放工资待遇以及其他劳动待遇等，不得拖欠或克扣，如有违反的，由乙方全部负责。如对甲方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工作造成影响的，根据工人诉求及拖欠实际情况金额，甲方有权直接启用履约保证金或从未付服务费用中直接扣除予以支付，由此导致的法律后果由乙方全部承担。</w:t>
      </w:r>
    </w:p>
    <w:p w14:paraId="4A3E9720">
      <w:pPr>
        <w:pStyle w:val="2"/>
        <w:snapToGrid w:val="0"/>
        <w:spacing w:line="360" w:lineRule="auto"/>
        <w:ind w:right="0" w:firstLine="420" w:firstLineChars="200"/>
        <w:jc w:val="both"/>
        <w:rPr>
          <w:rFonts w:hint="eastAsia" w:hAnsi="宋体" w:cs="宋体"/>
          <w:color w:val="auto"/>
          <w:sz w:val="21"/>
          <w:szCs w:val="21"/>
          <w:highlight w:val="none"/>
          <w:lang w:val="en-US"/>
        </w:rPr>
      </w:pPr>
      <w:r>
        <w:rPr>
          <w:rFonts w:hint="eastAsia" w:hAnsi="宋体" w:cs="宋体"/>
          <w:b w:val="0"/>
          <w:color w:val="auto"/>
          <w:sz w:val="21"/>
          <w:szCs w:val="21"/>
          <w:highlight w:val="none"/>
          <w:lang w:val="en-US"/>
        </w:rPr>
        <w:t>（7）乙方实施的项目在质量保修期发生质量问题且拒不履行保修义务的，甲方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有权直接</w:t>
      </w:r>
      <w:r>
        <w:rPr>
          <w:rFonts w:hint="eastAsia" w:hAnsi="宋体" w:cs="宋体"/>
          <w:b w:val="0"/>
          <w:color w:val="auto"/>
          <w:sz w:val="21"/>
          <w:szCs w:val="21"/>
          <w:highlight w:val="none"/>
          <w:lang w:val="en-US" w:eastAsia="zh-CN"/>
        </w:rPr>
        <w:t>委托</w:t>
      </w:r>
      <w:r>
        <w:rPr>
          <w:rFonts w:hint="eastAsia" w:hAnsi="宋体" w:cs="宋体"/>
          <w:b w:val="0"/>
          <w:color w:val="auto"/>
          <w:sz w:val="21"/>
          <w:szCs w:val="21"/>
          <w:highlight w:val="none"/>
          <w:lang w:val="en-US"/>
        </w:rPr>
        <w:t>第三方进行保修，且甲方有权直接启用履约保证金或从未付服务费用中直接扣除予以支付，由此导致的法律后果由乙方全部承担。</w:t>
      </w:r>
    </w:p>
    <w:p w14:paraId="7E36E8E2">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（8）其他根据本合同约定或法律规定，甲方可使用履约保证金的情形。</w:t>
      </w:r>
    </w:p>
    <w:p w14:paraId="398F64E5">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4、在合同期限届满，且乙方完成本合同下委派的所有项目</w:t>
      </w:r>
      <w:r>
        <w:rPr>
          <w:rFonts w:hint="eastAsia" w:hAnsi="宋体" w:cs="宋体"/>
          <w:b w:val="0"/>
          <w:color w:val="auto"/>
          <w:sz w:val="21"/>
          <w:szCs w:val="21"/>
          <w:highlight w:val="none"/>
          <w:lang w:val="en-US" w:eastAsia="zh-CN"/>
        </w:rPr>
        <w:t>的</w:t>
      </w:r>
      <w:r>
        <w:rPr>
          <w:rFonts w:hint="eastAsia" w:hAnsi="宋体" w:cs="宋体"/>
          <w:b w:val="0"/>
          <w:color w:val="auto"/>
          <w:sz w:val="21"/>
          <w:szCs w:val="21"/>
          <w:highlight w:val="none"/>
          <w:lang w:val="en-US"/>
        </w:rPr>
        <w:t>结算工作28个日历天</w:t>
      </w:r>
      <w:r>
        <w:rPr>
          <w:rFonts w:hint="eastAsia" w:hAnsi="宋体" w:cs="宋体"/>
          <w:b w:val="0"/>
          <w:bCs w:val="0"/>
          <w:color w:val="auto"/>
          <w:sz w:val="21"/>
          <w:szCs w:val="21"/>
          <w:highlight w:val="none"/>
          <w:lang w:val="en-US"/>
        </w:rPr>
        <w:t>后</w:t>
      </w:r>
      <w:r>
        <w:rPr>
          <w:rFonts w:hint="eastAsia" w:hAnsi="宋体" w:cs="宋体"/>
          <w:b w:val="0"/>
          <w:color w:val="auto"/>
          <w:sz w:val="21"/>
          <w:szCs w:val="21"/>
          <w:highlight w:val="none"/>
          <w:lang w:val="en-US"/>
        </w:rPr>
        <w:t>，</w:t>
      </w:r>
      <w:r>
        <w:rPr>
          <w:rFonts w:hint="eastAsia" w:hAnsi="宋体" w:cs="宋体"/>
          <w:b w:val="0"/>
          <w:bCs w:val="0"/>
          <w:color w:val="auto"/>
          <w:sz w:val="21"/>
          <w:szCs w:val="21"/>
          <w:highlight w:val="none"/>
          <w:lang w:val="en-US"/>
        </w:rPr>
        <w:t>经甲方确认，乙方可向甲方提交退回履约</w:t>
      </w:r>
      <w:r>
        <w:rPr>
          <w:rFonts w:hint="eastAsia" w:hAnsi="宋体" w:cs="宋体"/>
          <w:b w:val="0"/>
          <w:bCs w:val="0"/>
          <w:color w:val="auto"/>
          <w:sz w:val="21"/>
          <w:szCs w:val="21"/>
          <w:highlight w:val="none"/>
          <w:lang w:val="en-US" w:eastAsia="zh-CN"/>
        </w:rPr>
        <w:t>保证金</w:t>
      </w:r>
      <w:r>
        <w:rPr>
          <w:rFonts w:hint="eastAsia" w:hAnsi="宋体" w:cs="宋体"/>
          <w:b w:val="0"/>
          <w:bCs w:val="0"/>
          <w:color w:val="auto"/>
          <w:sz w:val="21"/>
          <w:szCs w:val="21"/>
          <w:highlight w:val="none"/>
          <w:lang w:val="en-US"/>
        </w:rPr>
        <w:t>的申请。甲方审核无异议后，办理履约</w:t>
      </w:r>
      <w:r>
        <w:rPr>
          <w:rFonts w:hint="eastAsia" w:hAnsi="宋体" w:cs="宋体"/>
          <w:b w:val="0"/>
          <w:bCs w:val="0"/>
          <w:color w:val="auto"/>
          <w:sz w:val="21"/>
          <w:szCs w:val="21"/>
          <w:highlight w:val="none"/>
          <w:lang w:val="en-US" w:eastAsia="zh-CN"/>
        </w:rPr>
        <w:t>保证金</w:t>
      </w:r>
      <w:r>
        <w:rPr>
          <w:rFonts w:hint="eastAsia" w:hAnsi="宋体" w:cs="宋体"/>
          <w:b w:val="0"/>
          <w:bCs w:val="0"/>
          <w:color w:val="auto"/>
          <w:sz w:val="21"/>
          <w:szCs w:val="21"/>
          <w:highlight w:val="none"/>
          <w:lang w:val="en-US"/>
        </w:rPr>
        <w:t>退还手续，退回时一律以银行转账的形式无息退回到乙方的</w:t>
      </w:r>
      <w:r>
        <w:rPr>
          <w:rFonts w:hint="eastAsia" w:hAnsi="宋体" w:cs="宋体"/>
          <w:b w:val="0"/>
          <w:bCs w:val="0"/>
          <w:color w:val="auto"/>
          <w:sz w:val="21"/>
          <w:szCs w:val="21"/>
          <w:highlight w:val="none"/>
          <w:lang w:val="en-US" w:eastAsia="zh-CN"/>
        </w:rPr>
        <w:t>账</w:t>
      </w:r>
      <w:r>
        <w:rPr>
          <w:rFonts w:hint="eastAsia" w:hAnsi="宋体" w:cs="宋体"/>
          <w:b w:val="0"/>
          <w:bCs w:val="0"/>
          <w:color w:val="auto"/>
          <w:sz w:val="21"/>
          <w:szCs w:val="21"/>
          <w:highlight w:val="none"/>
          <w:lang w:val="en-US"/>
        </w:rPr>
        <w:t>户。</w:t>
      </w:r>
    </w:p>
    <w:p w14:paraId="062CD28E">
      <w:pPr>
        <w:pStyle w:val="2"/>
        <w:snapToGrid w:val="0"/>
        <w:spacing w:line="360" w:lineRule="auto"/>
        <w:ind w:right="0" w:firstLine="420" w:firstLineChars="200"/>
        <w:jc w:val="both"/>
        <w:rPr>
          <w:rFonts w:hint="eastAsia" w:hAnsi="宋体" w:cs="宋体"/>
          <w:color w:val="auto"/>
          <w:sz w:val="21"/>
          <w:szCs w:val="21"/>
          <w:highlight w:val="none"/>
          <w:lang w:val="en-US"/>
        </w:rPr>
      </w:pPr>
      <w:r>
        <w:rPr>
          <w:rFonts w:hint="eastAsia" w:hAnsi="宋体" w:cs="宋体"/>
          <w:b w:val="0"/>
          <w:color w:val="auto"/>
          <w:sz w:val="21"/>
          <w:szCs w:val="21"/>
          <w:highlight w:val="none"/>
          <w:lang w:val="en-US"/>
        </w:rPr>
        <w:t>5、在合同履行过程中，不论何种原因导致履约保证金数额不足人民币20万元的，乙方应当在10个日历天内予以补足。逾期不予补足的，甲方有权按需补足的金额要求乙方承担违约金，并要求限期补足。如乙方仍不补足的，甲方有权单方解除本合同。</w:t>
      </w:r>
    </w:p>
    <w:p w14:paraId="049D8B0A">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49" w:name="_Toc5194"/>
      <w:r>
        <w:rPr>
          <w:rFonts w:hint="eastAsia" w:hAnsi="宋体" w:cs="宋体"/>
          <w:bCs w:val="0"/>
          <w:color w:val="auto"/>
          <w:sz w:val="21"/>
          <w:szCs w:val="21"/>
          <w:highlight w:val="none"/>
          <w:lang w:val="en-US"/>
        </w:rPr>
        <w:t>十四、保修服务</w:t>
      </w:r>
      <w:bookmarkEnd w:id="449"/>
    </w:p>
    <w:p w14:paraId="275EFA15">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1、单项项目缺陷责任期：自</w:t>
      </w:r>
      <w:r>
        <w:rPr>
          <w:rFonts w:hint="eastAsia" w:hAnsi="宋体" w:cs="宋体"/>
          <w:b w:val="0"/>
          <w:color w:val="auto"/>
          <w:sz w:val="21"/>
          <w:szCs w:val="21"/>
          <w:highlight w:val="none"/>
          <w:lang w:val="en-US" w:eastAsia="zh-CN"/>
        </w:rPr>
        <w:t>项目</w:t>
      </w:r>
      <w:r>
        <w:rPr>
          <w:rFonts w:hint="eastAsia" w:hAnsi="宋体" w:cs="宋体"/>
          <w:b w:val="0"/>
          <w:color w:val="auto"/>
          <w:sz w:val="21"/>
          <w:szCs w:val="21"/>
          <w:highlight w:val="none"/>
          <w:lang w:val="en-US"/>
        </w:rPr>
        <w:t>竣工验收合格之日起2年，如单项</w:t>
      </w:r>
      <w:r>
        <w:rPr>
          <w:rFonts w:hint="eastAsia" w:hAnsi="宋体" w:cs="宋体"/>
          <w:b w:val="0"/>
          <w:color w:val="auto"/>
          <w:sz w:val="21"/>
          <w:szCs w:val="21"/>
          <w:highlight w:val="none"/>
          <w:lang w:val="en-US" w:eastAsia="zh-CN"/>
        </w:rPr>
        <w:t>项目</w:t>
      </w:r>
      <w:r>
        <w:rPr>
          <w:rFonts w:hint="eastAsia" w:hAnsi="宋体" w:cs="宋体"/>
          <w:b w:val="0"/>
          <w:color w:val="auto"/>
          <w:sz w:val="21"/>
          <w:szCs w:val="21"/>
          <w:highlight w:val="none"/>
          <w:lang w:val="en-US"/>
        </w:rPr>
        <w:t>另有约定的，从其约定。</w:t>
      </w:r>
    </w:p>
    <w:p w14:paraId="141AF74D">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2、单项项目质量保修期</w:t>
      </w:r>
    </w:p>
    <w:p w14:paraId="5EF7356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质量保修期自</w:t>
      </w:r>
      <w:r>
        <w:rPr>
          <w:rFonts w:hint="eastAsia" w:hAnsi="宋体" w:cs="宋体"/>
          <w:b w:val="0"/>
          <w:bCs w:val="0"/>
          <w:color w:val="auto"/>
          <w:sz w:val="21"/>
          <w:szCs w:val="21"/>
          <w:highlight w:val="none"/>
          <w:lang w:val="en-US"/>
        </w:rPr>
        <w:t>项目</w:t>
      </w:r>
      <w:r>
        <w:rPr>
          <w:rFonts w:hint="eastAsia" w:hAnsi="宋体" w:cs="宋体"/>
          <w:b w:val="0"/>
          <w:color w:val="auto"/>
          <w:sz w:val="21"/>
          <w:szCs w:val="21"/>
          <w:highlight w:val="none"/>
          <w:lang w:val="en-US"/>
        </w:rPr>
        <w:t>竣工验收合格之日起计算。</w:t>
      </w:r>
      <w:r>
        <w:rPr>
          <w:rFonts w:hint="eastAsia" w:hAnsi="宋体" w:cs="宋体"/>
          <w:b w:val="0"/>
          <w:bCs w:val="0"/>
          <w:color w:val="auto"/>
          <w:sz w:val="21"/>
          <w:szCs w:val="21"/>
          <w:highlight w:val="none"/>
          <w:lang w:val="en-US"/>
        </w:rPr>
        <w:t>项目</w:t>
      </w:r>
      <w:r>
        <w:rPr>
          <w:rFonts w:hint="eastAsia" w:hAnsi="宋体" w:cs="宋体"/>
          <w:b w:val="0"/>
          <w:color w:val="auto"/>
          <w:sz w:val="21"/>
          <w:szCs w:val="21"/>
          <w:highlight w:val="none"/>
          <w:lang w:val="en-US"/>
        </w:rPr>
        <w:t>质量保修期的约定：</w:t>
      </w:r>
    </w:p>
    <w:p w14:paraId="2A5CDEC1">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①地基基础工程和主体结构工程为设计文件规定的该工程合理使用年限；</w:t>
      </w:r>
    </w:p>
    <w:p w14:paraId="54758DA0">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②屋面防水工程、有防水要求的卫生间、房间和外墙面的防渗漏，为5年；</w:t>
      </w:r>
    </w:p>
    <w:p w14:paraId="00E1463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③供热与供冷系统，为2个采暖期、供冷期；</w:t>
      </w:r>
    </w:p>
    <w:p w14:paraId="7DBC382B">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④电气管线、给排水管道、设备安装和装修工程，为2年；</w:t>
      </w:r>
    </w:p>
    <w:p w14:paraId="17D35142">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⑤室外的上下水和小区道路等市政公用工程为2年；</w:t>
      </w:r>
    </w:p>
    <w:p w14:paraId="277FAA2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⑥绿化养护期为6个月（含成活期3个月）；</w:t>
      </w:r>
    </w:p>
    <w:p w14:paraId="3D337B3D">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⑦白蚁防治为15年；</w:t>
      </w:r>
    </w:p>
    <w:p w14:paraId="5C0B63BD">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⑧其他项目按照国家《建设工程质量管理条例》执行，但不得少于2年。</w:t>
      </w:r>
    </w:p>
    <w:p w14:paraId="46BFB9D2">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单项项目另有要求的，以劳务分包派单表约定或甲方或其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书面通知为准。项目在质量保修期内出现维修等情况，质量保修期自维修并经甲方或其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验收合格后重新计算。在质量保修期发生的质量问题，乙方须无条件修复。</w:t>
      </w:r>
    </w:p>
    <w:p w14:paraId="462D4E9E">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eastAsia="zh-CN"/>
        </w:rPr>
        <w:t>3</w:t>
      </w:r>
      <w:r>
        <w:rPr>
          <w:rFonts w:hint="eastAsia" w:hAnsi="宋体" w:cs="宋体"/>
          <w:b w:val="0"/>
          <w:color w:val="auto"/>
          <w:sz w:val="21"/>
          <w:szCs w:val="21"/>
          <w:highlight w:val="none"/>
          <w:lang w:val="en-US"/>
        </w:rPr>
        <w:t>、单项项目质量保修期限内，乙方在接到甲方或其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通知（包括电话、电传、传真）后24小时之内应派遣有经验的技术人员到工地现场，履行其保修义务或处理紧急维修工作。</w:t>
      </w:r>
    </w:p>
    <w:p w14:paraId="1F74D2CB">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eastAsia="zh-CN"/>
        </w:rPr>
        <w:t>4</w:t>
      </w:r>
      <w:r>
        <w:rPr>
          <w:rFonts w:hint="eastAsia" w:hAnsi="宋体" w:cs="宋体"/>
          <w:b w:val="0"/>
          <w:color w:val="auto"/>
          <w:sz w:val="21"/>
          <w:szCs w:val="21"/>
          <w:highlight w:val="none"/>
          <w:lang w:val="en-US"/>
        </w:rPr>
        <w:t>、若在项目移交后，发现需要保修而乙方未按合同履行项目保修义务的，甲方或其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有权直接委托第三方进行项目保修，该费用由乙方全部承担，甲方或其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有权在质量保证金或其他项目未支付款项中直接扣除该项费用。</w:t>
      </w:r>
    </w:p>
    <w:p w14:paraId="0038DFDA">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50" w:name="_Toc18581"/>
      <w:r>
        <w:rPr>
          <w:rFonts w:hint="eastAsia" w:hAnsi="宋体" w:cs="宋体"/>
          <w:bCs w:val="0"/>
          <w:color w:val="auto"/>
          <w:sz w:val="21"/>
          <w:szCs w:val="21"/>
          <w:highlight w:val="none"/>
          <w:lang w:val="en-US"/>
        </w:rPr>
        <w:t>十五、违约责任</w:t>
      </w:r>
      <w:bookmarkEnd w:id="450"/>
    </w:p>
    <w:p w14:paraId="5A19C7A1">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1、当发生下列情况之一时，甲方或其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应承担违约责任：</w:t>
      </w:r>
    </w:p>
    <w:p w14:paraId="6911BE81">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未能按合同约定支付相应款项。</w:t>
      </w:r>
    </w:p>
    <w:p w14:paraId="75873F4D">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不履行或不按约定履行合同义务的其他情况。</w:t>
      </w:r>
    </w:p>
    <w:p w14:paraId="3C565263">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不履行或不按约定履行合同的其他义务时，甲方或其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应赔偿因其违约给乙方造成的实际经济损失，相应顺延乙方延误的工期。</w:t>
      </w:r>
    </w:p>
    <w:p w14:paraId="00D0E8E9">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2、当发生下列情况之一时，乙方应承担违约责任：</w:t>
      </w:r>
    </w:p>
    <w:p w14:paraId="32339982">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（1）因乙方自身原因导致项目无法在要求的工期内完工，造成监理、业主、主管部门对甲方或其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进行的罚款（或收取违约金）由乙方全额承担；因为工期延误导致甲方或其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其他损失的，由乙方承担全部费用，且甲方或其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保留追究乙方法律责任的权利。</w:t>
      </w:r>
    </w:p>
    <w:p w14:paraId="3EA4EBC9">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（2）因乙方自身原因导致项目无法按甲方或其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规定的时间进场施工的，造成监理、业主、主管部门对甲方或其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进行的罚款（或收取违约金）由乙方全额承担；因为延误开工导致甲方或其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其他损失的，由乙方承担全部费用，且甲方或其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保留追究乙方法律责任的权利。甲方或其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发出2次督促进场施工通知后，仍未按期进场施工的，视为一次“拒单”；进场后出现怠工行为，甲方或其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发出2次督促进场施工通知后，仍未按要求施工的，视为一次“拒单”。</w:t>
      </w:r>
    </w:p>
    <w:p w14:paraId="4B1BF6B2">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（3）因乙方自身原因拒单的，乙方第1次拒单后，甲方或其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有权取消乙方一个镇街的服务范围；乙方第2次拒单后，甲方有权单方解除本合同。其中，因乙方不积极配合甲方或其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推进项目进度，</w:t>
      </w:r>
      <w:r>
        <w:rPr>
          <w:rFonts w:hint="eastAsia" w:hAnsi="宋体" w:cs="宋体"/>
          <w:b w:val="0"/>
          <w:color w:val="auto"/>
          <w:sz w:val="21"/>
          <w:szCs w:val="21"/>
          <w:highlight w:val="none"/>
          <w:lang w:val="en-US" w:eastAsia="zh"/>
        </w:rPr>
        <w:t>中途</w:t>
      </w:r>
      <w:r>
        <w:rPr>
          <w:rFonts w:hint="eastAsia" w:hAnsi="宋体" w:cs="宋体"/>
          <w:b w:val="0"/>
          <w:color w:val="auto"/>
          <w:sz w:val="21"/>
          <w:szCs w:val="21"/>
          <w:highlight w:val="none"/>
          <w:lang w:val="en-US"/>
        </w:rPr>
        <w:t>被</w:t>
      </w:r>
      <w:r>
        <w:rPr>
          <w:rFonts w:hint="eastAsia" w:hAnsi="宋体" w:cs="宋体"/>
          <w:b w:val="0"/>
          <w:color w:val="auto"/>
          <w:sz w:val="21"/>
          <w:szCs w:val="21"/>
          <w:highlight w:val="none"/>
          <w:lang w:val="en-US" w:eastAsia="zh"/>
        </w:rPr>
        <w:t>终止</w:t>
      </w:r>
      <w:r>
        <w:rPr>
          <w:rFonts w:hint="eastAsia" w:hAnsi="宋体" w:cs="宋体"/>
          <w:b w:val="0"/>
          <w:color w:val="auto"/>
          <w:sz w:val="21"/>
          <w:szCs w:val="21"/>
          <w:highlight w:val="none"/>
          <w:lang w:val="en-US"/>
        </w:rPr>
        <w:t>单项</w:t>
      </w:r>
      <w:r>
        <w:rPr>
          <w:rFonts w:hint="eastAsia" w:hAnsi="宋体" w:cs="宋体"/>
          <w:b w:val="0"/>
          <w:color w:val="auto"/>
          <w:sz w:val="21"/>
          <w:szCs w:val="21"/>
          <w:highlight w:val="none"/>
          <w:lang w:val="en-US" w:eastAsia="zh"/>
        </w:rPr>
        <w:t>合同</w:t>
      </w:r>
      <w:r>
        <w:rPr>
          <w:rFonts w:hint="eastAsia" w:hAnsi="宋体" w:cs="宋体"/>
          <w:b w:val="0"/>
          <w:color w:val="auto"/>
          <w:sz w:val="21"/>
          <w:szCs w:val="21"/>
          <w:highlight w:val="none"/>
          <w:lang w:val="en-US"/>
        </w:rPr>
        <w:t>或单个项目实施</w:t>
      </w:r>
      <w:r>
        <w:rPr>
          <w:rFonts w:hint="eastAsia" w:hAnsi="宋体" w:cs="宋体"/>
          <w:b w:val="0"/>
          <w:color w:val="auto"/>
          <w:sz w:val="21"/>
          <w:szCs w:val="21"/>
          <w:highlight w:val="none"/>
          <w:lang w:val="en-US" w:eastAsia="zh"/>
        </w:rPr>
        <w:t>的，视为一次“拒单”</w:t>
      </w:r>
      <w:r>
        <w:rPr>
          <w:rFonts w:hint="eastAsia" w:hAnsi="宋体" w:cs="宋体"/>
          <w:b w:val="0"/>
          <w:color w:val="auto"/>
          <w:sz w:val="21"/>
          <w:szCs w:val="21"/>
          <w:highlight w:val="none"/>
          <w:lang w:val="en-US"/>
        </w:rPr>
        <w:t>；因乙方自身原因</w:t>
      </w:r>
      <w:r>
        <w:rPr>
          <w:rFonts w:hint="eastAsia" w:hAnsi="宋体" w:cs="宋体"/>
          <w:b w:val="0"/>
          <w:color w:val="auto"/>
          <w:sz w:val="21"/>
          <w:szCs w:val="21"/>
          <w:highlight w:val="none"/>
          <w:lang w:val="en-US" w:eastAsia="zh"/>
        </w:rPr>
        <w:t>中途</w:t>
      </w:r>
      <w:r>
        <w:rPr>
          <w:rFonts w:hint="eastAsia" w:hAnsi="宋体" w:cs="宋体"/>
          <w:b w:val="0"/>
          <w:color w:val="auto"/>
          <w:sz w:val="21"/>
          <w:szCs w:val="21"/>
          <w:highlight w:val="none"/>
          <w:lang w:val="en-US"/>
        </w:rPr>
        <w:t>申请</w:t>
      </w:r>
      <w:r>
        <w:rPr>
          <w:rFonts w:hint="eastAsia" w:hAnsi="宋体" w:cs="宋体"/>
          <w:b w:val="0"/>
          <w:color w:val="auto"/>
          <w:sz w:val="21"/>
          <w:szCs w:val="21"/>
          <w:highlight w:val="none"/>
          <w:lang w:val="en-US" w:eastAsia="zh"/>
        </w:rPr>
        <w:t>终止</w:t>
      </w:r>
      <w:r>
        <w:rPr>
          <w:rFonts w:hint="eastAsia" w:hAnsi="宋体" w:cs="宋体"/>
          <w:b w:val="0"/>
          <w:color w:val="auto"/>
          <w:sz w:val="21"/>
          <w:szCs w:val="21"/>
          <w:highlight w:val="none"/>
          <w:lang w:val="en-US"/>
        </w:rPr>
        <w:t>单个项目实施</w:t>
      </w:r>
      <w:r>
        <w:rPr>
          <w:rFonts w:hint="eastAsia" w:hAnsi="宋体" w:cs="宋体"/>
          <w:b w:val="0"/>
          <w:color w:val="auto"/>
          <w:sz w:val="21"/>
          <w:szCs w:val="21"/>
          <w:highlight w:val="none"/>
          <w:lang w:val="en-US" w:eastAsia="zh"/>
        </w:rPr>
        <w:t>的，视为一次“拒单”</w:t>
      </w:r>
      <w:r>
        <w:rPr>
          <w:rFonts w:hint="eastAsia" w:hAnsi="宋体" w:cs="宋体"/>
          <w:b w:val="0"/>
          <w:color w:val="auto"/>
          <w:sz w:val="21"/>
          <w:szCs w:val="21"/>
          <w:highlight w:val="none"/>
          <w:lang w:val="en-US"/>
        </w:rPr>
        <w:t>。</w:t>
      </w:r>
      <w:r>
        <w:rPr>
          <w:rFonts w:hint="eastAsia" w:hAnsi="宋体" w:cs="宋体"/>
          <w:b w:val="0"/>
          <w:color w:val="auto"/>
          <w:sz w:val="21"/>
          <w:szCs w:val="21"/>
          <w:highlight w:val="none"/>
          <w:lang w:val="en-US" w:eastAsia="zh"/>
        </w:rPr>
        <w:t>因拒单</w:t>
      </w:r>
      <w:r>
        <w:rPr>
          <w:rFonts w:hint="eastAsia" w:hAnsi="宋体" w:cs="宋体"/>
          <w:b w:val="0"/>
          <w:color w:val="auto"/>
          <w:sz w:val="21"/>
          <w:szCs w:val="21"/>
          <w:highlight w:val="none"/>
          <w:lang w:val="en-US" w:eastAsia="zh-CN"/>
        </w:rPr>
        <w:t>导致甲方产生的所有损失，包括但不限于甲方另行委托第三方产生的损失等，概由乙方承担。</w:t>
      </w:r>
    </w:p>
    <w:p w14:paraId="588F02E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（4）因乙方自身原因导致业主扣减甲方或其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工程款或服务费，甲方或其</w:t>
      </w:r>
      <w:r>
        <w:rPr>
          <w:rFonts w:hint="eastAsia" w:hAnsi="宋体" w:cs="宋体"/>
          <w:b w:val="0"/>
          <w:color w:val="auto"/>
          <w:sz w:val="21"/>
          <w:szCs w:val="21"/>
          <w:highlight w:val="none"/>
          <w:lang w:val="en-US" w:eastAsia="zh-CN"/>
        </w:rPr>
        <w:t>下属企业有权</w:t>
      </w:r>
      <w:r>
        <w:rPr>
          <w:rFonts w:hint="eastAsia" w:hAnsi="宋体" w:cs="宋体"/>
          <w:b w:val="0"/>
          <w:color w:val="auto"/>
          <w:sz w:val="21"/>
          <w:szCs w:val="21"/>
          <w:highlight w:val="none"/>
          <w:lang w:val="en-US"/>
        </w:rPr>
        <w:t>等额扣减乙方劳务费用；导致甲方或其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其他损失的，由乙方承担全部费用，且甲方或其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保留追究乙方法律责任的权利。</w:t>
      </w:r>
    </w:p>
    <w:p w14:paraId="38241F4B">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（5）因乙方实施的劳务质量不符合本项目图纸（如有）、技术文件或有关国家规范、行业约定的质量标准导致的质量问题，造成监理、业主、主管部门对甲方或其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进行的罚款（或收取违约金）由乙方全额承担；乙方应按甲方或其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要求限期完成整改，单个项目逾期未整改或整改不合格的，乙方须向甲方或其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支付人民币5000元/次违约金；或单个项目累计整改达3次（含3次）以上，甲方有权单方解除本合同；拒不整改的，甲方或其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有权直接委托第三方进行整改，对应发生的整改费用由乙方全部承担，甲方或其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有权在本项目或其他项目未支付款项中直接扣除该项费用，若上述未支付款项不足以抵扣第三方发生的整改费用的，由乙方另行补足，且单方有权解除本合同并保留追究乙方由此引发的法律责任的权利。</w:t>
      </w:r>
    </w:p>
    <w:p w14:paraId="300C03C8">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（6）乙方在实施项目过程中未达到约定的安全文明施工标准，因乙方自身原因导致的安全文明施工问题，造成监理、业主、主管部门对甲方或其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进行的罚款（或收取违约金）由乙方全额承担；乙方应按甲方或其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要求限期完成整改，单个项目逾期未整改或整改不合格的，乙方须向甲方或其下属企业支付人民币5000元/次违约金；或单个项目累计整改达3次（含3次）以上，甲方有权单方解除本合同；拒不整改的，甲方或其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有权直接委托第三方进行整改，对应发生的整改费用由乙方全部承担，甲方或其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有权在本项目或其他项目未支付款项中直接扣除该项费用，若上述未支付款项不足以抵扣第三方发生的整改费用的，由乙方另行补足，且</w:t>
      </w:r>
      <w:r>
        <w:rPr>
          <w:rFonts w:hint="eastAsia" w:hAnsi="宋体" w:cs="宋体"/>
          <w:b w:val="0"/>
          <w:color w:val="auto"/>
          <w:sz w:val="21"/>
          <w:szCs w:val="21"/>
          <w:highlight w:val="none"/>
          <w:lang w:val="en-US" w:eastAsia="zh-CN"/>
        </w:rPr>
        <w:t>甲</w:t>
      </w:r>
      <w:r>
        <w:rPr>
          <w:rFonts w:hint="eastAsia" w:hAnsi="宋体" w:cs="宋体"/>
          <w:b w:val="0"/>
          <w:color w:val="auto"/>
          <w:sz w:val="21"/>
          <w:szCs w:val="21"/>
          <w:highlight w:val="none"/>
          <w:lang w:val="en-US"/>
        </w:rPr>
        <w:t>方有权解除本合同并保留追究乙方由此引发的法律责任的权利。</w:t>
      </w:r>
    </w:p>
    <w:p w14:paraId="4B7D34E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（7）若因拖欠工人工资或赔偿金等乙方内部原因而影响工程开展，乙方须根据附件《关于及时支付工人工资的协议书》约定支付违约金，并有权向乙方追偿由此造成的损失（包括但不限于工期延误、甲方或其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重新委托劳务单位所产生和增加的费用、材料设备价格上涨等），情节严重的，甲方或其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有权单方解除劳务分包项目及本合同。</w:t>
      </w:r>
    </w:p>
    <w:p w14:paraId="360D74FC">
      <w:pPr>
        <w:pStyle w:val="2"/>
        <w:snapToGrid w:val="0"/>
        <w:spacing w:line="360" w:lineRule="auto"/>
        <w:ind w:right="0" w:firstLine="420" w:firstLineChars="200"/>
        <w:jc w:val="both"/>
        <w:rPr>
          <w:rFonts w:hint="eastAsia" w:hAnsi="宋体" w:cs="宋体"/>
          <w:color w:val="auto"/>
          <w:sz w:val="21"/>
          <w:szCs w:val="21"/>
          <w:highlight w:val="none"/>
          <w:lang w:val="en-US"/>
        </w:rPr>
      </w:pPr>
      <w:r>
        <w:rPr>
          <w:rFonts w:hint="eastAsia" w:hAnsi="宋体" w:cs="宋体"/>
          <w:b w:val="0"/>
          <w:color w:val="auto"/>
          <w:sz w:val="21"/>
          <w:szCs w:val="21"/>
          <w:highlight w:val="none"/>
          <w:lang w:val="en-US"/>
        </w:rPr>
        <w:t>（8）因乙方拖欠工人工资或合同约定的乙方自购材料款项，造成乙方管理人员、项目人员（含农民工）或供应商到项目建设单位、甲方上级单位及甲方或其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的办公场所、工程项目地点等拉横幅、堵门、静坐示威、暴力讨薪、聚众围堵、破坏</w:t>
      </w:r>
      <w:r>
        <w:rPr>
          <w:rFonts w:hint="eastAsia" w:hAnsi="宋体" w:cs="宋体"/>
          <w:b w:val="0"/>
          <w:color w:val="auto"/>
          <w:sz w:val="21"/>
          <w:szCs w:val="21"/>
          <w:highlight w:val="none"/>
          <w:lang w:val="en-US" w:eastAsia="zh-CN"/>
        </w:rPr>
        <w:t>财物</w:t>
      </w:r>
      <w:r>
        <w:rPr>
          <w:rFonts w:hint="eastAsia" w:hAnsi="宋体" w:cs="宋体"/>
          <w:b w:val="0"/>
          <w:color w:val="auto"/>
          <w:sz w:val="21"/>
          <w:szCs w:val="21"/>
          <w:highlight w:val="none"/>
          <w:lang w:val="en-US"/>
        </w:rPr>
        <w:t>、人身威胁、制造网络谣言等非理性讨薪</w:t>
      </w:r>
      <w:r>
        <w:rPr>
          <w:rFonts w:hint="eastAsia" w:hAnsi="宋体" w:cs="宋体"/>
          <w:b w:val="0"/>
          <w:color w:val="auto"/>
          <w:sz w:val="21"/>
          <w:szCs w:val="21"/>
          <w:highlight w:val="none"/>
          <w:lang w:val="en-US" w:eastAsia="zh-CN"/>
        </w:rPr>
        <w:t>、闹事行为</w:t>
      </w:r>
      <w:r>
        <w:rPr>
          <w:rFonts w:hint="eastAsia" w:hAnsi="宋体" w:cs="宋体"/>
          <w:b w:val="0"/>
          <w:color w:val="auto"/>
          <w:sz w:val="21"/>
          <w:szCs w:val="21"/>
          <w:highlight w:val="none"/>
          <w:lang w:val="en-US"/>
        </w:rPr>
        <w:t>或甲方或其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收到包括但不限于12345政府热线、东莞市阳光网、96968热线、国家信访办、劳动监察大队等单位和平台投诉的，乙方应按甲方或其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要求限期完成整改，逾期未整改或累计出现上述情况达2次以上（含2次），甲方有权单方解除本合同；出现乙方管理人员、项目人员（含农民工）或供应商骚扰、威胁项目建设单位、甲方上级单位及甲方或其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相关经办人的情况，累计出现上述情况达2次以上（含2次），甲方有权单方解除本合同。</w:t>
      </w:r>
    </w:p>
    <w:p w14:paraId="252DCD6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（9）乙方需为供水抢修项目配备足够的、长期稳定的抢修人员，并根据项目紧急程度、修复时间要求（含节假日期间），按照甲方或其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要求配置足够的抢修人员。若乙方没有按甲方或其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要求配置足够抢修人员的，乙方应按甲方或其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要求限期完成整改，逾期未完成整改的，甲方或其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有权要求乙方支付人民币</w:t>
      </w:r>
      <w:r>
        <w:rPr>
          <w:rFonts w:hint="eastAsia" w:hAnsi="宋体" w:cs="宋体"/>
          <w:b w:val="0"/>
          <w:color w:val="auto"/>
          <w:sz w:val="21"/>
          <w:szCs w:val="21"/>
          <w:highlight w:val="none"/>
          <w:lang w:val="en-US" w:eastAsia="zh-CN"/>
        </w:rPr>
        <w:t>2000</w:t>
      </w:r>
      <w:r>
        <w:rPr>
          <w:rFonts w:hint="eastAsia" w:hAnsi="宋体" w:cs="宋体"/>
          <w:b w:val="0"/>
          <w:color w:val="auto"/>
          <w:sz w:val="21"/>
          <w:szCs w:val="21"/>
          <w:highlight w:val="none"/>
          <w:lang w:val="en-US"/>
        </w:rPr>
        <w:t>元/人次的违约金。</w:t>
      </w:r>
    </w:p>
    <w:p w14:paraId="58E6E8F2">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（10）一旦发现乙方所用材料品质、规格、尺寸、数量与设计不符或使用假冒伪劣产品，甲方或其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有权要求乙方立即停工改正，由此产生的一切损失及相关费用均由乙方予以承担，且每发现一次甲方或其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有权要求乙方支付人民币2000元</w:t>
      </w:r>
      <w:r>
        <w:rPr>
          <w:rFonts w:hint="eastAsia" w:hAnsi="宋体" w:cs="宋体"/>
          <w:b w:val="0"/>
          <w:color w:val="auto"/>
          <w:sz w:val="21"/>
          <w:szCs w:val="21"/>
          <w:highlight w:val="none"/>
          <w:lang w:val="en-US" w:eastAsia="zh-CN"/>
        </w:rPr>
        <w:t>/次</w:t>
      </w:r>
      <w:r>
        <w:rPr>
          <w:rFonts w:hint="eastAsia" w:hAnsi="宋体" w:cs="宋体"/>
          <w:b w:val="0"/>
          <w:color w:val="auto"/>
          <w:sz w:val="21"/>
          <w:szCs w:val="21"/>
          <w:highlight w:val="none"/>
          <w:lang w:val="en-US"/>
        </w:rPr>
        <w:t>的违约金。逾期不予整改或累计发现达3次以上（含3次）的，甲方有权单方解除本合同、取消已委派劳务分包项目服务资格，并保留追究乙方由此引发的法律责任的权利。</w:t>
      </w:r>
    </w:p>
    <w:p w14:paraId="5256753E">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（11）单项项目全部劳务工作完成后30个日历天内，乙方未能向甲方或其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递交完整的初稿竣工资料或未按甲方或其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要求限期内完成竣工资料修改的，造成监理、业主、主管部门对甲方或其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进行的罚款（或收取违约金）由乙方全额承担；若监理、业主、主管部门未对甲方或其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进行罚款（或收取违约金）的，乙方每逾期10个日历天递交完整的初稿竣工资料或未按甲方或其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要求限期内完成竣工资料修改的，甲方</w:t>
      </w:r>
      <w:r>
        <w:rPr>
          <w:rFonts w:hint="eastAsia" w:hAnsi="宋体" w:cs="宋体"/>
          <w:b w:val="0"/>
          <w:color w:val="auto"/>
          <w:sz w:val="21"/>
          <w:szCs w:val="21"/>
          <w:highlight w:val="none"/>
          <w:lang w:val="en-US" w:eastAsia="zh-CN"/>
        </w:rPr>
        <w:t>或其下属企业</w:t>
      </w:r>
      <w:r>
        <w:rPr>
          <w:rFonts w:hint="eastAsia" w:hAnsi="宋体" w:cs="宋体"/>
          <w:b w:val="0"/>
          <w:color w:val="auto"/>
          <w:sz w:val="21"/>
          <w:szCs w:val="21"/>
          <w:highlight w:val="none"/>
          <w:lang w:val="en-US"/>
        </w:rPr>
        <w:t>有权要求乙方支付人民币1000元/次的违约金，</w:t>
      </w:r>
      <w:r>
        <w:rPr>
          <w:rFonts w:hint="eastAsia" w:hAnsi="宋体" w:cs="宋体"/>
          <w:b w:val="0"/>
          <w:color w:val="auto"/>
          <w:sz w:val="21"/>
          <w:szCs w:val="21"/>
          <w:highlight w:val="none"/>
          <w:lang w:val="en-US" w:eastAsia="zh-CN"/>
        </w:rPr>
        <w:t>单个项目违约金</w:t>
      </w:r>
      <w:r>
        <w:rPr>
          <w:rFonts w:hint="eastAsia" w:hAnsi="宋体" w:cs="宋体"/>
          <w:b w:val="0"/>
          <w:color w:val="auto"/>
          <w:sz w:val="21"/>
          <w:szCs w:val="21"/>
          <w:highlight w:val="none"/>
          <w:lang w:val="en-US"/>
        </w:rPr>
        <w:t>累计不超过人民币1万元。</w:t>
      </w:r>
    </w:p>
    <w:p w14:paraId="07E24317">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（12）在所有委派项目实施全过程中，包括现场作业、安全管理、资料整理、结算对接等环节，甲方或其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有权对乙方已报备人员的管理情况进行抽查，若抽查发现项目管理人员、作业人员未按要求到位或人员未备案的，累计发现达</w:t>
      </w:r>
      <w:r>
        <w:rPr>
          <w:rFonts w:hint="eastAsia" w:hAnsi="宋体" w:cs="宋体"/>
          <w:b w:val="0"/>
          <w:color w:val="auto"/>
          <w:sz w:val="21"/>
          <w:szCs w:val="21"/>
          <w:highlight w:val="none"/>
          <w:lang w:val="en-US" w:eastAsia="zh-CN"/>
        </w:rPr>
        <w:t>3</w:t>
      </w:r>
      <w:r>
        <w:rPr>
          <w:rFonts w:hint="eastAsia" w:hAnsi="宋体" w:cs="宋体"/>
          <w:b w:val="0"/>
          <w:color w:val="auto"/>
          <w:sz w:val="21"/>
          <w:szCs w:val="21"/>
          <w:highlight w:val="none"/>
          <w:lang w:val="en-US"/>
        </w:rPr>
        <w:t>次以上（含</w:t>
      </w:r>
      <w:r>
        <w:rPr>
          <w:rFonts w:hint="eastAsia" w:hAnsi="宋体" w:cs="宋体"/>
          <w:b w:val="0"/>
          <w:color w:val="auto"/>
          <w:sz w:val="21"/>
          <w:szCs w:val="21"/>
          <w:highlight w:val="none"/>
          <w:lang w:val="en-US" w:eastAsia="zh-CN"/>
        </w:rPr>
        <w:t>3</w:t>
      </w:r>
      <w:r>
        <w:rPr>
          <w:rFonts w:hint="eastAsia" w:hAnsi="宋体" w:cs="宋体"/>
          <w:b w:val="0"/>
          <w:color w:val="auto"/>
          <w:sz w:val="21"/>
          <w:szCs w:val="21"/>
          <w:highlight w:val="none"/>
          <w:lang w:val="en-US"/>
        </w:rPr>
        <w:t>次）的，自第</w:t>
      </w:r>
      <w:r>
        <w:rPr>
          <w:rFonts w:hint="eastAsia" w:hAnsi="宋体" w:cs="宋体"/>
          <w:b w:val="0"/>
          <w:color w:val="auto"/>
          <w:sz w:val="21"/>
          <w:szCs w:val="21"/>
          <w:highlight w:val="none"/>
          <w:lang w:val="en-US" w:eastAsia="zh-CN"/>
        </w:rPr>
        <w:t>3</w:t>
      </w:r>
      <w:r>
        <w:rPr>
          <w:rFonts w:hint="eastAsia" w:hAnsi="宋体" w:cs="宋体"/>
          <w:b w:val="0"/>
          <w:color w:val="auto"/>
          <w:sz w:val="21"/>
          <w:szCs w:val="21"/>
          <w:highlight w:val="none"/>
          <w:lang w:val="en-US"/>
        </w:rPr>
        <w:t>次起，每发现一次，乙方须向甲方或其下属企业支付违约金</w:t>
      </w:r>
      <w:r>
        <w:rPr>
          <w:rFonts w:hint="eastAsia" w:hAnsi="宋体" w:cs="宋体"/>
          <w:b w:val="0"/>
          <w:color w:val="auto"/>
          <w:sz w:val="21"/>
          <w:szCs w:val="21"/>
          <w:highlight w:val="none"/>
          <w:lang w:val="en-US" w:eastAsia="zh-CN"/>
        </w:rPr>
        <w:t>，违约金起始金额为</w:t>
      </w:r>
      <w:r>
        <w:rPr>
          <w:rFonts w:hint="eastAsia" w:hAnsi="宋体" w:cs="宋体"/>
          <w:b w:val="0"/>
          <w:color w:val="auto"/>
          <w:sz w:val="21"/>
          <w:szCs w:val="21"/>
          <w:highlight w:val="none"/>
          <w:lang w:val="en-US"/>
        </w:rPr>
        <w:t>人民币1000元，并累计计算，如：第</w:t>
      </w:r>
      <w:r>
        <w:rPr>
          <w:rFonts w:hint="eastAsia" w:hAnsi="宋体" w:cs="宋体"/>
          <w:b w:val="0"/>
          <w:color w:val="auto"/>
          <w:sz w:val="21"/>
          <w:szCs w:val="21"/>
          <w:highlight w:val="none"/>
          <w:lang w:val="en-US" w:eastAsia="zh-CN"/>
        </w:rPr>
        <w:t>3</w:t>
      </w:r>
      <w:r>
        <w:rPr>
          <w:rFonts w:hint="eastAsia" w:hAnsi="宋体" w:cs="宋体"/>
          <w:b w:val="0"/>
          <w:color w:val="auto"/>
          <w:sz w:val="21"/>
          <w:szCs w:val="21"/>
          <w:highlight w:val="none"/>
          <w:lang w:val="en-US"/>
        </w:rPr>
        <w:t>次按照1000元的标准支付违约金，第</w:t>
      </w:r>
      <w:r>
        <w:rPr>
          <w:rFonts w:hint="eastAsia" w:hAnsi="宋体" w:cs="宋体"/>
          <w:b w:val="0"/>
          <w:color w:val="auto"/>
          <w:sz w:val="21"/>
          <w:szCs w:val="21"/>
          <w:highlight w:val="none"/>
          <w:lang w:val="en-US" w:eastAsia="zh-CN"/>
        </w:rPr>
        <w:t>4</w:t>
      </w:r>
      <w:r>
        <w:rPr>
          <w:rFonts w:hint="eastAsia" w:hAnsi="宋体" w:cs="宋体"/>
          <w:b w:val="0"/>
          <w:color w:val="auto"/>
          <w:sz w:val="21"/>
          <w:szCs w:val="21"/>
          <w:highlight w:val="none"/>
          <w:lang w:val="en-US"/>
        </w:rPr>
        <w:t>次按照2000元的标准支付违约金，第</w:t>
      </w:r>
      <w:r>
        <w:rPr>
          <w:rFonts w:hint="eastAsia" w:hAnsi="宋体" w:cs="宋体"/>
          <w:b w:val="0"/>
          <w:color w:val="auto"/>
          <w:sz w:val="21"/>
          <w:szCs w:val="21"/>
          <w:highlight w:val="none"/>
          <w:lang w:val="en-US" w:eastAsia="zh-CN"/>
        </w:rPr>
        <w:t>5</w:t>
      </w:r>
      <w:r>
        <w:rPr>
          <w:rFonts w:hint="eastAsia" w:hAnsi="宋体" w:cs="宋体"/>
          <w:b w:val="0"/>
          <w:color w:val="auto"/>
          <w:sz w:val="21"/>
          <w:szCs w:val="21"/>
          <w:highlight w:val="none"/>
          <w:lang w:val="en-US"/>
        </w:rPr>
        <w:t>次按照</w:t>
      </w:r>
      <w:r>
        <w:rPr>
          <w:rFonts w:hint="eastAsia" w:hAnsi="宋体" w:cs="宋体"/>
          <w:b w:val="0"/>
          <w:color w:val="auto"/>
          <w:sz w:val="21"/>
          <w:szCs w:val="21"/>
          <w:highlight w:val="none"/>
          <w:lang w:val="en-US" w:eastAsia="zh-CN"/>
        </w:rPr>
        <w:t>3</w:t>
      </w:r>
      <w:r>
        <w:rPr>
          <w:rFonts w:hint="eastAsia" w:hAnsi="宋体" w:cs="宋体"/>
          <w:b w:val="0"/>
          <w:color w:val="auto"/>
          <w:sz w:val="21"/>
          <w:szCs w:val="21"/>
          <w:highlight w:val="none"/>
          <w:lang w:val="en-US"/>
        </w:rPr>
        <w:t>000元的标准支付违约金，如此类推</w:t>
      </w:r>
      <w:r>
        <w:rPr>
          <w:rFonts w:hint="eastAsia" w:hAnsi="宋体" w:cs="宋体"/>
          <w:b w:val="0"/>
          <w:color w:val="auto"/>
          <w:sz w:val="21"/>
          <w:szCs w:val="21"/>
          <w:highlight w:val="none"/>
          <w:lang w:val="en-US" w:eastAsia="zh-CN"/>
        </w:rPr>
        <w:t>。本条款情形下，违约金累计上限不超过人民币【5】万元</w:t>
      </w:r>
      <w:r>
        <w:rPr>
          <w:rFonts w:hint="eastAsia" w:hAnsi="宋体" w:cs="宋体"/>
          <w:b w:val="0"/>
          <w:color w:val="auto"/>
          <w:sz w:val="21"/>
          <w:szCs w:val="21"/>
          <w:highlight w:val="none"/>
          <w:lang w:val="en-US"/>
        </w:rPr>
        <w:t>。</w:t>
      </w:r>
      <w:r>
        <w:rPr>
          <w:rFonts w:hint="eastAsia" w:hAnsi="宋体" w:cs="宋体"/>
          <w:b w:val="0"/>
          <w:color w:val="auto"/>
          <w:sz w:val="21"/>
          <w:szCs w:val="21"/>
          <w:highlight w:val="none"/>
          <w:lang w:val="en-US" w:eastAsia="zh-CN"/>
        </w:rPr>
        <w:t>另外，</w:t>
      </w:r>
      <w:r>
        <w:rPr>
          <w:rFonts w:hint="eastAsia" w:hAnsi="宋体" w:cs="宋体"/>
          <w:b w:val="0"/>
          <w:color w:val="auto"/>
          <w:sz w:val="21"/>
          <w:szCs w:val="21"/>
          <w:highlight w:val="none"/>
          <w:lang w:val="en-US"/>
        </w:rPr>
        <w:t>乙方存在前述违约情形达【</w:t>
      </w:r>
      <w:r>
        <w:rPr>
          <w:rFonts w:hint="eastAsia" w:hAnsi="宋体" w:cs="宋体"/>
          <w:b w:val="0"/>
          <w:color w:val="auto"/>
          <w:sz w:val="21"/>
          <w:szCs w:val="21"/>
          <w:highlight w:val="none"/>
          <w:lang w:val="en-US" w:eastAsia="zh-CN"/>
        </w:rPr>
        <w:t>6</w:t>
      </w:r>
      <w:r>
        <w:rPr>
          <w:rFonts w:hint="eastAsia" w:hAnsi="宋体" w:cs="宋体"/>
          <w:b w:val="0"/>
          <w:color w:val="auto"/>
          <w:sz w:val="21"/>
          <w:szCs w:val="21"/>
          <w:highlight w:val="none"/>
          <w:lang w:val="en-US"/>
        </w:rPr>
        <w:t>】次以上的（含【</w:t>
      </w:r>
      <w:r>
        <w:rPr>
          <w:rFonts w:hint="eastAsia" w:hAnsi="宋体" w:cs="宋体"/>
          <w:b w:val="0"/>
          <w:color w:val="auto"/>
          <w:sz w:val="21"/>
          <w:szCs w:val="21"/>
          <w:highlight w:val="none"/>
          <w:lang w:val="en-US" w:eastAsia="zh-CN"/>
        </w:rPr>
        <w:t>6</w:t>
      </w:r>
      <w:r>
        <w:rPr>
          <w:rFonts w:hint="eastAsia" w:hAnsi="宋体" w:cs="宋体"/>
          <w:b w:val="0"/>
          <w:color w:val="auto"/>
          <w:sz w:val="21"/>
          <w:szCs w:val="21"/>
          <w:highlight w:val="none"/>
          <w:lang w:val="en-US"/>
        </w:rPr>
        <w:t>】次），甲方有权随时解除合同，乙方应承担由此产生的所有赔偿责任。</w:t>
      </w:r>
    </w:p>
    <w:p w14:paraId="4D94FE46">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（13）乙方如需变更已报备的合同项目管理人员，须及时向甲方或其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提出书面申请，</w:t>
      </w:r>
      <w:r>
        <w:rPr>
          <w:rFonts w:hint="eastAsia" w:hAnsi="宋体" w:cs="宋体"/>
          <w:b w:val="0"/>
          <w:color w:val="auto"/>
          <w:sz w:val="21"/>
          <w:szCs w:val="21"/>
          <w:highlight w:val="none"/>
          <w:lang w:val="en-US" w:eastAsia="zh-CN"/>
        </w:rPr>
        <w:t>乙方申请更换人员的执业资格、职称等级不能低于投标文件响应标准，并需要提供社保证明，</w:t>
      </w:r>
      <w:r>
        <w:rPr>
          <w:rFonts w:hint="eastAsia" w:hAnsi="宋体" w:cs="宋体"/>
          <w:b w:val="0"/>
          <w:color w:val="auto"/>
          <w:sz w:val="21"/>
          <w:szCs w:val="21"/>
          <w:highlight w:val="none"/>
          <w:lang w:val="en-US"/>
        </w:rPr>
        <w:t>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同意后方可变更人员。</w:t>
      </w:r>
      <w:r>
        <w:rPr>
          <w:rFonts w:hint="eastAsia" w:hAnsi="宋体" w:cs="宋体"/>
          <w:b w:val="0"/>
          <w:color w:val="auto"/>
          <w:sz w:val="21"/>
          <w:szCs w:val="21"/>
          <w:highlight w:val="none"/>
          <w:lang w:val="en-US" w:eastAsia="zh-CN"/>
        </w:rPr>
        <w:t>乙方已报备的合同人员</w:t>
      </w:r>
      <w:r>
        <w:rPr>
          <w:rFonts w:hint="eastAsia" w:hAnsi="宋体" w:cs="宋体"/>
          <w:b w:val="0"/>
          <w:color w:val="auto"/>
          <w:sz w:val="21"/>
          <w:szCs w:val="21"/>
          <w:highlight w:val="none"/>
          <w:lang w:val="en-US"/>
        </w:rPr>
        <w:t>发生下列情形之一</w:t>
      </w:r>
      <w:r>
        <w:rPr>
          <w:rFonts w:hint="eastAsia" w:hAnsi="宋体" w:cs="宋体"/>
          <w:b w:val="0"/>
          <w:color w:val="auto"/>
          <w:sz w:val="21"/>
          <w:szCs w:val="21"/>
          <w:highlight w:val="none"/>
          <w:lang w:val="en-US" w:eastAsia="zh-CN"/>
        </w:rPr>
        <w:t>，不属于违约范围，乙方应及时向甲方办理人员变更申请：1）</w:t>
      </w:r>
      <w:r>
        <w:rPr>
          <w:rFonts w:hint="eastAsia" w:hAnsi="宋体" w:cs="宋体"/>
          <w:b w:val="0"/>
          <w:color w:val="auto"/>
          <w:sz w:val="21"/>
          <w:szCs w:val="21"/>
          <w:highlight w:val="none"/>
          <w:lang w:val="en-US"/>
        </w:rPr>
        <w:t>因重病或重伤两个月以上不能履行职责的</w:t>
      </w:r>
      <w:r>
        <w:rPr>
          <w:rFonts w:hint="eastAsia" w:hAnsi="宋体" w:cs="宋体"/>
          <w:b w:val="0"/>
          <w:color w:val="auto"/>
          <w:sz w:val="21"/>
          <w:szCs w:val="21"/>
          <w:highlight w:val="none"/>
          <w:lang w:val="en-US" w:eastAsia="zh-CN"/>
        </w:rPr>
        <w:t>，</w:t>
      </w:r>
      <w:r>
        <w:rPr>
          <w:rFonts w:hint="eastAsia" w:hAnsi="宋体" w:cs="宋体"/>
          <w:b w:val="0"/>
          <w:color w:val="auto"/>
          <w:sz w:val="21"/>
          <w:szCs w:val="21"/>
          <w:highlight w:val="none"/>
          <w:lang w:val="en-US"/>
        </w:rPr>
        <w:t>2</w:t>
      </w:r>
      <w:r>
        <w:rPr>
          <w:rFonts w:hint="eastAsia" w:hAnsi="宋体" w:cs="宋体"/>
          <w:b w:val="0"/>
          <w:color w:val="auto"/>
          <w:sz w:val="21"/>
          <w:szCs w:val="21"/>
          <w:highlight w:val="none"/>
          <w:lang w:val="en-US" w:eastAsia="zh-CN"/>
        </w:rPr>
        <w:t>）</w:t>
      </w:r>
      <w:r>
        <w:rPr>
          <w:rFonts w:hint="eastAsia" w:hAnsi="宋体" w:cs="宋体"/>
          <w:b w:val="0"/>
          <w:color w:val="auto"/>
          <w:sz w:val="21"/>
          <w:szCs w:val="21"/>
          <w:highlight w:val="none"/>
          <w:lang w:val="en-US"/>
        </w:rPr>
        <w:t>调离原工作单位的</w:t>
      </w:r>
      <w:r>
        <w:rPr>
          <w:rFonts w:hint="eastAsia" w:hAnsi="宋体" w:cs="宋体"/>
          <w:b w:val="0"/>
          <w:color w:val="auto"/>
          <w:sz w:val="21"/>
          <w:szCs w:val="21"/>
          <w:highlight w:val="none"/>
          <w:lang w:val="en-US" w:eastAsia="zh-CN"/>
        </w:rPr>
        <w:t>，</w:t>
      </w:r>
      <w:r>
        <w:rPr>
          <w:rFonts w:hint="eastAsia" w:hAnsi="宋体" w:cs="宋体"/>
          <w:b w:val="0"/>
          <w:color w:val="auto"/>
          <w:sz w:val="21"/>
          <w:szCs w:val="21"/>
          <w:highlight w:val="none"/>
          <w:lang w:val="en-US"/>
        </w:rPr>
        <w:t>3</w:t>
      </w:r>
      <w:r>
        <w:rPr>
          <w:rFonts w:hint="eastAsia" w:hAnsi="宋体" w:cs="宋体"/>
          <w:b w:val="0"/>
          <w:color w:val="auto"/>
          <w:sz w:val="21"/>
          <w:szCs w:val="21"/>
          <w:highlight w:val="none"/>
          <w:lang w:val="en-US" w:eastAsia="zh-CN"/>
        </w:rPr>
        <w:t>）</w:t>
      </w:r>
      <w:r>
        <w:rPr>
          <w:rFonts w:hint="eastAsia" w:hAnsi="宋体" w:cs="宋体"/>
          <w:b w:val="0"/>
          <w:color w:val="auto"/>
          <w:sz w:val="21"/>
          <w:szCs w:val="21"/>
          <w:highlight w:val="none"/>
          <w:lang w:val="en-US"/>
        </w:rPr>
        <w:t>因管理原因发生重大工程质量、安全事故，</w:t>
      </w:r>
      <w:r>
        <w:rPr>
          <w:rFonts w:hint="eastAsia" w:hAnsi="宋体" w:cs="宋体"/>
          <w:b w:val="0"/>
          <w:color w:val="auto"/>
          <w:sz w:val="21"/>
          <w:szCs w:val="21"/>
          <w:highlight w:val="none"/>
          <w:lang w:val="en-US" w:eastAsia="zh-CN"/>
        </w:rPr>
        <w:t>甲方</w:t>
      </w:r>
      <w:r>
        <w:rPr>
          <w:rFonts w:hint="eastAsia" w:hAnsi="宋体" w:cs="宋体"/>
          <w:b w:val="0"/>
          <w:color w:val="auto"/>
          <w:sz w:val="21"/>
          <w:szCs w:val="21"/>
          <w:highlight w:val="none"/>
          <w:lang w:val="en-US"/>
        </w:rPr>
        <w:t>认为</w:t>
      </w:r>
      <w:r>
        <w:rPr>
          <w:rFonts w:hint="eastAsia" w:hAnsi="宋体" w:cs="宋体"/>
          <w:b w:val="0"/>
          <w:color w:val="auto"/>
          <w:sz w:val="21"/>
          <w:szCs w:val="21"/>
          <w:highlight w:val="none"/>
          <w:lang w:val="en-US" w:eastAsia="zh-CN"/>
        </w:rPr>
        <w:t>乙方人员</w:t>
      </w:r>
      <w:r>
        <w:rPr>
          <w:rFonts w:hint="eastAsia" w:hAnsi="宋体" w:cs="宋体"/>
          <w:b w:val="0"/>
          <w:color w:val="auto"/>
          <w:sz w:val="21"/>
          <w:szCs w:val="21"/>
          <w:highlight w:val="none"/>
          <w:lang w:val="en-US"/>
        </w:rPr>
        <w:t>不称职需要更换的</w:t>
      </w:r>
      <w:r>
        <w:rPr>
          <w:rFonts w:hint="eastAsia" w:hAnsi="宋体" w:cs="宋体"/>
          <w:b w:val="0"/>
          <w:color w:val="auto"/>
          <w:sz w:val="21"/>
          <w:szCs w:val="21"/>
          <w:highlight w:val="none"/>
          <w:lang w:val="en-US" w:eastAsia="zh-CN"/>
        </w:rPr>
        <w:t>，</w:t>
      </w:r>
      <w:r>
        <w:rPr>
          <w:rFonts w:hint="eastAsia" w:hAnsi="宋体" w:cs="宋体"/>
          <w:b w:val="0"/>
          <w:color w:val="auto"/>
          <w:sz w:val="21"/>
          <w:szCs w:val="21"/>
          <w:highlight w:val="none"/>
          <w:lang w:val="en-US"/>
        </w:rPr>
        <w:t>4</w:t>
      </w:r>
      <w:r>
        <w:rPr>
          <w:rFonts w:hint="eastAsia" w:hAnsi="宋体" w:cs="宋体"/>
          <w:b w:val="0"/>
          <w:color w:val="auto"/>
          <w:sz w:val="21"/>
          <w:szCs w:val="21"/>
          <w:highlight w:val="none"/>
          <w:lang w:val="en-US" w:eastAsia="zh-CN"/>
        </w:rPr>
        <w:t>）</w:t>
      </w:r>
      <w:r>
        <w:rPr>
          <w:rFonts w:hint="eastAsia" w:hAnsi="宋体" w:cs="宋体"/>
          <w:b w:val="0"/>
          <w:color w:val="auto"/>
          <w:sz w:val="21"/>
          <w:szCs w:val="21"/>
          <w:highlight w:val="none"/>
          <w:lang w:val="en-US"/>
        </w:rPr>
        <w:t>无能力履行合同的责任和义务，造成严重后果，</w:t>
      </w:r>
      <w:r>
        <w:rPr>
          <w:rFonts w:hint="eastAsia" w:hAnsi="宋体" w:cs="宋体"/>
          <w:b w:val="0"/>
          <w:color w:val="auto"/>
          <w:sz w:val="21"/>
          <w:szCs w:val="21"/>
          <w:highlight w:val="none"/>
          <w:lang w:val="en-US" w:eastAsia="zh-CN"/>
        </w:rPr>
        <w:t>甲方</w:t>
      </w:r>
      <w:r>
        <w:rPr>
          <w:rFonts w:hint="eastAsia" w:hAnsi="宋体" w:cs="宋体"/>
          <w:b w:val="0"/>
          <w:color w:val="auto"/>
          <w:sz w:val="21"/>
          <w:szCs w:val="21"/>
          <w:highlight w:val="none"/>
          <w:lang w:val="en-US"/>
        </w:rPr>
        <w:t>要求更换的</w:t>
      </w:r>
      <w:r>
        <w:rPr>
          <w:rFonts w:hint="eastAsia" w:hAnsi="宋体" w:cs="宋体"/>
          <w:b w:val="0"/>
          <w:color w:val="auto"/>
          <w:sz w:val="21"/>
          <w:szCs w:val="21"/>
          <w:highlight w:val="none"/>
          <w:lang w:val="en-US" w:eastAsia="zh-CN"/>
        </w:rPr>
        <w:t>，</w:t>
      </w:r>
      <w:r>
        <w:rPr>
          <w:rFonts w:hint="eastAsia" w:hAnsi="宋体" w:cs="宋体"/>
          <w:b w:val="0"/>
          <w:color w:val="auto"/>
          <w:sz w:val="21"/>
          <w:szCs w:val="21"/>
          <w:highlight w:val="none"/>
          <w:lang w:val="en-US"/>
        </w:rPr>
        <w:t>5</w:t>
      </w:r>
      <w:r>
        <w:rPr>
          <w:rFonts w:hint="eastAsia" w:hAnsi="宋体" w:cs="宋体"/>
          <w:b w:val="0"/>
          <w:color w:val="auto"/>
          <w:sz w:val="21"/>
          <w:szCs w:val="21"/>
          <w:highlight w:val="none"/>
          <w:lang w:val="en-US" w:eastAsia="zh-CN"/>
        </w:rPr>
        <w:t>）</w:t>
      </w:r>
      <w:r>
        <w:rPr>
          <w:rFonts w:hint="eastAsia" w:hAnsi="宋体" w:cs="宋体"/>
          <w:b w:val="0"/>
          <w:color w:val="auto"/>
          <w:sz w:val="21"/>
          <w:szCs w:val="21"/>
          <w:highlight w:val="none"/>
          <w:lang w:val="en-US"/>
        </w:rPr>
        <w:t>因违法被责令停止执业的</w:t>
      </w:r>
      <w:r>
        <w:rPr>
          <w:rFonts w:hint="eastAsia" w:hAnsi="宋体" w:cs="宋体"/>
          <w:b w:val="0"/>
          <w:color w:val="auto"/>
          <w:sz w:val="21"/>
          <w:szCs w:val="21"/>
          <w:highlight w:val="none"/>
          <w:lang w:val="en-US" w:eastAsia="zh-CN"/>
        </w:rPr>
        <w:t>，</w:t>
      </w:r>
      <w:r>
        <w:rPr>
          <w:rFonts w:hint="eastAsia" w:hAnsi="宋体" w:cs="宋体"/>
          <w:b w:val="0"/>
          <w:color w:val="auto"/>
          <w:sz w:val="21"/>
          <w:szCs w:val="21"/>
          <w:highlight w:val="none"/>
          <w:lang w:val="en-US"/>
        </w:rPr>
        <w:t>6</w:t>
      </w:r>
      <w:r>
        <w:rPr>
          <w:rFonts w:hint="eastAsia" w:hAnsi="宋体" w:cs="宋体"/>
          <w:b w:val="0"/>
          <w:color w:val="auto"/>
          <w:sz w:val="21"/>
          <w:szCs w:val="21"/>
          <w:highlight w:val="none"/>
          <w:lang w:val="en-US" w:eastAsia="zh-CN"/>
        </w:rPr>
        <w:t>）</w:t>
      </w:r>
      <w:r>
        <w:rPr>
          <w:rFonts w:hint="eastAsia" w:hAnsi="宋体" w:cs="宋体"/>
          <w:b w:val="0"/>
          <w:color w:val="auto"/>
          <w:sz w:val="21"/>
          <w:szCs w:val="21"/>
          <w:highlight w:val="none"/>
          <w:lang w:val="en-US"/>
        </w:rPr>
        <w:t>因犯罪被羁押或判刑的</w:t>
      </w:r>
      <w:r>
        <w:rPr>
          <w:rFonts w:hint="eastAsia" w:hAnsi="宋体" w:cs="宋体"/>
          <w:b w:val="0"/>
          <w:color w:val="auto"/>
          <w:sz w:val="21"/>
          <w:szCs w:val="21"/>
          <w:highlight w:val="none"/>
          <w:lang w:val="en-US" w:eastAsia="zh-CN"/>
        </w:rPr>
        <w:t>，7）</w:t>
      </w:r>
      <w:r>
        <w:rPr>
          <w:rFonts w:hint="eastAsia" w:hAnsi="宋体" w:cs="宋体"/>
          <w:b w:val="0"/>
          <w:color w:val="auto"/>
          <w:sz w:val="21"/>
          <w:szCs w:val="21"/>
          <w:highlight w:val="none"/>
          <w:lang w:val="en-US"/>
        </w:rPr>
        <w:t>死亡的</w:t>
      </w:r>
      <w:r>
        <w:rPr>
          <w:rFonts w:hint="eastAsia" w:hAnsi="宋体" w:cs="宋体"/>
          <w:b w:val="0"/>
          <w:color w:val="auto"/>
          <w:sz w:val="21"/>
          <w:szCs w:val="21"/>
          <w:highlight w:val="none"/>
          <w:lang w:val="en-US" w:eastAsia="zh-CN"/>
        </w:rPr>
        <w:t>。除上述7个情形以外，</w:t>
      </w:r>
      <w:r>
        <w:rPr>
          <w:rFonts w:hint="eastAsia" w:hAnsi="宋体" w:cs="宋体"/>
          <w:b w:val="0"/>
          <w:color w:val="auto"/>
          <w:sz w:val="21"/>
          <w:szCs w:val="21"/>
          <w:highlight w:val="none"/>
          <w:lang w:val="en-US"/>
        </w:rPr>
        <w:t>项目负责人</w:t>
      </w:r>
      <w:r>
        <w:rPr>
          <w:rFonts w:hint="eastAsia" w:hAnsi="宋体" w:cs="宋体"/>
          <w:b w:val="0"/>
          <w:color w:val="auto"/>
          <w:sz w:val="21"/>
          <w:szCs w:val="21"/>
          <w:highlight w:val="none"/>
          <w:lang w:val="en-US" w:eastAsia="zh-CN"/>
        </w:rPr>
        <w:t>或</w:t>
      </w:r>
      <w:r>
        <w:rPr>
          <w:rFonts w:hint="eastAsia" w:hAnsi="宋体" w:cs="宋体"/>
          <w:b w:val="0"/>
          <w:color w:val="auto"/>
          <w:sz w:val="21"/>
          <w:szCs w:val="21"/>
          <w:highlight w:val="none"/>
          <w:lang w:val="en-US"/>
        </w:rPr>
        <w:t>技术负责人第一次更换</w:t>
      </w:r>
      <w:r>
        <w:rPr>
          <w:rFonts w:hint="eastAsia" w:hAnsi="宋体" w:cs="宋体"/>
          <w:b w:val="0"/>
          <w:color w:val="auto"/>
          <w:sz w:val="21"/>
          <w:szCs w:val="21"/>
          <w:highlight w:val="none"/>
          <w:lang w:val="en-US" w:eastAsia="zh-CN"/>
        </w:rPr>
        <w:t>不在违约范围内；第二次更换，</w:t>
      </w:r>
      <w:r>
        <w:rPr>
          <w:rFonts w:hint="eastAsia" w:hAnsi="宋体" w:cs="宋体"/>
          <w:b w:val="0"/>
          <w:color w:val="auto"/>
          <w:sz w:val="21"/>
          <w:szCs w:val="21"/>
          <w:highlight w:val="none"/>
          <w:lang w:val="en-US"/>
        </w:rPr>
        <w:t>乙方须向甲方或其下属企业支付违约金5000元/人；第</w:t>
      </w:r>
      <w:r>
        <w:rPr>
          <w:rFonts w:hint="eastAsia" w:hAnsi="宋体" w:cs="宋体"/>
          <w:b w:val="0"/>
          <w:color w:val="auto"/>
          <w:sz w:val="21"/>
          <w:szCs w:val="21"/>
          <w:highlight w:val="none"/>
          <w:lang w:val="en-US" w:eastAsia="zh-CN"/>
        </w:rPr>
        <w:t>三</w:t>
      </w:r>
      <w:r>
        <w:rPr>
          <w:rFonts w:hint="eastAsia" w:hAnsi="宋体" w:cs="宋体"/>
          <w:b w:val="0"/>
          <w:color w:val="auto"/>
          <w:sz w:val="21"/>
          <w:szCs w:val="21"/>
          <w:highlight w:val="none"/>
          <w:lang w:val="en-US"/>
        </w:rPr>
        <w:t>次更换，乙方须向甲方或其下属企业支付违约金10000元/人；第</w:t>
      </w:r>
      <w:r>
        <w:rPr>
          <w:rFonts w:hint="eastAsia" w:hAnsi="宋体" w:cs="宋体"/>
          <w:b w:val="0"/>
          <w:color w:val="auto"/>
          <w:sz w:val="21"/>
          <w:szCs w:val="21"/>
          <w:highlight w:val="none"/>
          <w:lang w:val="en-US" w:eastAsia="zh-CN"/>
        </w:rPr>
        <w:t>四</w:t>
      </w:r>
      <w:r>
        <w:rPr>
          <w:rFonts w:hint="eastAsia" w:hAnsi="宋体" w:cs="宋体"/>
          <w:b w:val="0"/>
          <w:color w:val="auto"/>
          <w:sz w:val="21"/>
          <w:szCs w:val="21"/>
          <w:highlight w:val="none"/>
          <w:lang w:val="en-US"/>
        </w:rPr>
        <w:t>次及以上更换，乙方</w:t>
      </w:r>
      <w:r>
        <w:rPr>
          <w:rFonts w:hint="eastAsia" w:hAnsi="宋体" w:cs="宋体"/>
          <w:b w:val="0"/>
          <w:color w:val="auto"/>
          <w:sz w:val="21"/>
          <w:szCs w:val="21"/>
          <w:highlight w:val="none"/>
          <w:lang w:val="en-US" w:eastAsia="zh-CN"/>
        </w:rPr>
        <w:t>每次更换</w:t>
      </w:r>
      <w:r>
        <w:rPr>
          <w:rFonts w:hint="eastAsia" w:hAnsi="宋体" w:cs="宋体"/>
          <w:b w:val="0"/>
          <w:color w:val="auto"/>
          <w:sz w:val="21"/>
          <w:szCs w:val="21"/>
          <w:highlight w:val="none"/>
          <w:lang w:val="en-US"/>
        </w:rPr>
        <w:t>须向甲方或其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支付违约金20000元/人。</w:t>
      </w:r>
      <w:r>
        <w:rPr>
          <w:rFonts w:hint="eastAsia" w:hAnsi="宋体" w:cs="宋体"/>
          <w:b w:val="0"/>
          <w:color w:val="auto"/>
          <w:sz w:val="21"/>
          <w:szCs w:val="21"/>
          <w:highlight w:val="none"/>
          <w:lang w:val="en-US" w:eastAsia="zh-CN"/>
        </w:rPr>
        <w:t>除上述7个情形以外，</w:t>
      </w:r>
      <w:r>
        <w:rPr>
          <w:rFonts w:hint="eastAsia" w:hAnsi="宋体" w:cs="宋体"/>
          <w:b w:val="0"/>
          <w:color w:val="auto"/>
          <w:sz w:val="21"/>
          <w:szCs w:val="21"/>
          <w:highlight w:val="none"/>
          <w:lang w:val="en-US"/>
        </w:rPr>
        <w:t>其它</w:t>
      </w:r>
      <w:r>
        <w:rPr>
          <w:rFonts w:hint="eastAsia" w:hAnsi="宋体" w:cs="宋体"/>
          <w:b w:val="0"/>
          <w:color w:val="auto"/>
          <w:sz w:val="21"/>
          <w:szCs w:val="21"/>
          <w:highlight w:val="none"/>
          <w:lang w:val="en-US" w:eastAsia="zh-CN"/>
        </w:rPr>
        <w:t>项目管理</w:t>
      </w:r>
      <w:r>
        <w:rPr>
          <w:rFonts w:hint="eastAsia" w:hAnsi="宋体" w:cs="宋体"/>
          <w:b w:val="0"/>
          <w:color w:val="auto"/>
          <w:sz w:val="21"/>
          <w:szCs w:val="21"/>
          <w:highlight w:val="none"/>
          <w:lang w:val="en-US"/>
        </w:rPr>
        <w:t>人员第一次更换</w:t>
      </w:r>
      <w:r>
        <w:rPr>
          <w:rFonts w:hint="eastAsia" w:hAnsi="宋体" w:cs="宋体"/>
          <w:b w:val="0"/>
          <w:color w:val="auto"/>
          <w:sz w:val="21"/>
          <w:szCs w:val="21"/>
          <w:highlight w:val="none"/>
          <w:lang w:val="en-US" w:eastAsia="zh-CN"/>
        </w:rPr>
        <w:t>不在违约范围内；第二次更换</w:t>
      </w:r>
      <w:r>
        <w:rPr>
          <w:rFonts w:hint="eastAsia" w:hAnsi="宋体" w:cs="宋体"/>
          <w:b w:val="0"/>
          <w:color w:val="auto"/>
          <w:sz w:val="21"/>
          <w:szCs w:val="21"/>
          <w:highlight w:val="none"/>
          <w:lang w:val="en-US"/>
        </w:rPr>
        <w:t>，乙方须向甲方或其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支付违约金1000元/人，第</w:t>
      </w:r>
      <w:r>
        <w:rPr>
          <w:rFonts w:hint="eastAsia" w:hAnsi="宋体" w:cs="宋体"/>
          <w:b w:val="0"/>
          <w:color w:val="auto"/>
          <w:sz w:val="21"/>
          <w:szCs w:val="21"/>
          <w:highlight w:val="none"/>
          <w:lang w:val="en-US" w:eastAsia="zh-CN"/>
        </w:rPr>
        <w:t>三</w:t>
      </w:r>
      <w:r>
        <w:rPr>
          <w:rFonts w:hint="eastAsia" w:hAnsi="宋体" w:cs="宋体"/>
          <w:b w:val="0"/>
          <w:color w:val="auto"/>
          <w:sz w:val="21"/>
          <w:szCs w:val="21"/>
          <w:highlight w:val="none"/>
          <w:lang w:val="en-US"/>
        </w:rPr>
        <w:t>次更换，乙方须向甲方或其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支付违约金</w:t>
      </w:r>
      <w:r>
        <w:rPr>
          <w:rFonts w:hint="eastAsia" w:hAnsi="宋体" w:cs="宋体"/>
          <w:b w:val="0"/>
          <w:color w:val="auto"/>
          <w:sz w:val="21"/>
          <w:szCs w:val="21"/>
          <w:highlight w:val="none"/>
          <w:lang w:val="en-US" w:eastAsia="zh-CN"/>
        </w:rPr>
        <w:t>6</w:t>
      </w:r>
      <w:r>
        <w:rPr>
          <w:rFonts w:hint="eastAsia" w:hAnsi="宋体" w:cs="宋体"/>
          <w:b w:val="0"/>
          <w:color w:val="auto"/>
          <w:sz w:val="21"/>
          <w:szCs w:val="21"/>
          <w:highlight w:val="none"/>
          <w:lang w:val="en-US"/>
        </w:rPr>
        <w:t>000元/人，第</w:t>
      </w:r>
      <w:r>
        <w:rPr>
          <w:rFonts w:hint="eastAsia" w:hAnsi="宋体" w:cs="宋体"/>
          <w:b w:val="0"/>
          <w:color w:val="auto"/>
          <w:sz w:val="21"/>
          <w:szCs w:val="21"/>
          <w:highlight w:val="none"/>
          <w:lang w:val="en-US" w:eastAsia="zh-CN"/>
        </w:rPr>
        <w:t>四</w:t>
      </w:r>
      <w:r>
        <w:rPr>
          <w:rFonts w:hint="eastAsia" w:hAnsi="宋体" w:cs="宋体"/>
          <w:b w:val="0"/>
          <w:color w:val="auto"/>
          <w:sz w:val="21"/>
          <w:szCs w:val="21"/>
          <w:highlight w:val="none"/>
          <w:lang w:val="en-US"/>
        </w:rPr>
        <w:t>次</w:t>
      </w:r>
      <w:r>
        <w:rPr>
          <w:rFonts w:hint="eastAsia" w:hAnsi="宋体" w:cs="宋体"/>
          <w:b w:val="0"/>
          <w:color w:val="auto"/>
          <w:sz w:val="21"/>
          <w:szCs w:val="21"/>
          <w:highlight w:val="none"/>
          <w:lang w:val="en-US" w:eastAsia="zh-CN"/>
        </w:rPr>
        <w:t>及以上</w:t>
      </w:r>
      <w:r>
        <w:rPr>
          <w:rFonts w:hint="eastAsia" w:hAnsi="宋体" w:cs="宋体"/>
          <w:b w:val="0"/>
          <w:color w:val="auto"/>
          <w:sz w:val="21"/>
          <w:szCs w:val="21"/>
          <w:highlight w:val="none"/>
          <w:lang w:val="en-US"/>
        </w:rPr>
        <w:t>更换，乙方须向甲方或其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支付违约金</w:t>
      </w:r>
      <w:r>
        <w:rPr>
          <w:rFonts w:hint="eastAsia" w:hAnsi="宋体" w:cs="宋体"/>
          <w:b w:val="0"/>
          <w:color w:val="auto"/>
          <w:sz w:val="21"/>
          <w:szCs w:val="21"/>
          <w:highlight w:val="none"/>
          <w:lang w:val="en-US" w:eastAsia="zh-CN"/>
        </w:rPr>
        <w:t>11</w:t>
      </w:r>
      <w:r>
        <w:rPr>
          <w:rFonts w:hint="eastAsia" w:hAnsi="宋体" w:cs="宋体"/>
          <w:b w:val="0"/>
          <w:color w:val="auto"/>
          <w:sz w:val="21"/>
          <w:szCs w:val="21"/>
          <w:highlight w:val="none"/>
          <w:lang w:val="en-US"/>
        </w:rPr>
        <w:t>000元/人。乙方申请更换的人员，若其执业资格</w:t>
      </w:r>
      <w:r>
        <w:rPr>
          <w:rFonts w:hint="eastAsia" w:hAnsi="宋体" w:cs="宋体"/>
          <w:b w:val="0"/>
          <w:color w:val="auto"/>
          <w:sz w:val="21"/>
          <w:szCs w:val="21"/>
          <w:highlight w:val="none"/>
          <w:lang w:val="en-US" w:eastAsia="zh-CN"/>
        </w:rPr>
        <w:t>或</w:t>
      </w:r>
      <w:r>
        <w:rPr>
          <w:rFonts w:hint="eastAsia" w:hAnsi="宋体" w:cs="宋体"/>
          <w:b w:val="0"/>
          <w:color w:val="auto"/>
          <w:sz w:val="21"/>
          <w:szCs w:val="21"/>
          <w:highlight w:val="none"/>
          <w:lang w:val="en-US"/>
        </w:rPr>
        <w:t>职称等级低于投标文件响应</w:t>
      </w:r>
      <w:r>
        <w:rPr>
          <w:rFonts w:hint="eastAsia" w:hAnsi="宋体" w:cs="宋体"/>
          <w:b w:val="0"/>
          <w:color w:val="auto"/>
          <w:sz w:val="21"/>
          <w:szCs w:val="21"/>
          <w:highlight w:val="none"/>
          <w:lang w:val="en-US" w:eastAsia="zh-CN"/>
        </w:rPr>
        <w:t>标准</w:t>
      </w:r>
      <w:r>
        <w:rPr>
          <w:rFonts w:hint="eastAsia" w:hAnsi="宋体" w:cs="宋体"/>
          <w:b w:val="0"/>
          <w:color w:val="auto"/>
          <w:sz w:val="21"/>
          <w:szCs w:val="21"/>
          <w:highlight w:val="none"/>
          <w:lang w:val="en-US"/>
        </w:rPr>
        <w:t>，但满足招标文件及技术响应得分要求的，视为乙方以降低标准方式响应。在此情形下，乙方须向甲方或其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支付违约金</w:t>
      </w:r>
      <w:r>
        <w:rPr>
          <w:rFonts w:hint="eastAsia" w:hAnsi="宋体" w:cs="宋体"/>
          <w:b w:val="0"/>
          <w:color w:val="auto"/>
          <w:sz w:val="21"/>
          <w:szCs w:val="21"/>
          <w:highlight w:val="none"/>
          <w:lang w:val="en-US" w:eastAsia="zh-CN"/>
        </w:rPr>
        <w:t>50</w:t>
      </w:r>
      <w:r>
        <w:rPr>
          <w:rFonts w:hint="eastAsia" w:hAnsi="宋体" w:cs="宋体"/>
          <w:b w:val="0"/>
          <w:color w:val="auto"/>
          <w:sz w:val="21"/>
          <w:szCs w:val="21"/>
          <w:highlight w:val="none"/>
          <w:lang w:val="en-US"/>
        </w:rPr>
        <w:t>000元/人</w:t>
      </w:r>
      <w:r>
        <w:rPr>
          <w:rFonts w:hint="eastAsia" w:hAnsi="宋体" w:cs="宋体"/>
          <w:b w:val="0"/>
          <w:color w:val="auto"/>
          <w:sz w:val="21"/>
          <w:szCs w:val="21"/>
          <w:highlight w:val="none"/>
          <w:lang w:val="en-US" w:eastAsia="zh-CN"/>
        </w:rPr>
        <w:t>次。本条款情形下，违约金累计上限不超过人民币【10】万元。另外，</w:t>
      </w:r>
      <w:r>
        <w:rPr>
          <w:rFonts w:hint="eastAsia" w:hAnsi="宋体" w:cs="宋体"/>
          <w:b w:val="0"/>
          <w:color w:val="auto"/>
          <w:sz w:val="21"/>
          <w:szCs w:val="21"/>
          <w:highlight w:val="none"/>
          <w:lang w:val="en-US"/>
        </w:rPr>
        <w:t>乙方</w:t>
      </w:r>
      <w:r>
        <w:rPr>
          <w:rFonts w:hint="eastAsia" w:hAnsi="宋体" w:cs="宋体"/>
          <w:b w:val="0"/>
          <w:color w:val="auto"/>
          <w:sz w:val="21"/>
          <w:szCs w:val="21"/>
          <w:highlight w:val="none"/>
          <w:lang w:val="en-US" w:eastAsia="zh-CN"/>
        </w:rPr>
        <w:t>5名项目管理人员中其中任意1人的更换次数达</w:t>
      </w:r>
      <w:r>
        <w:rPr>
          <w:rFonts w:hint="eastAsia" w:hAnsi="宋体" w:cs="宋体"/>
          <w:b w:val="0"/>
          <w:color w:val="auto"/>
          <w:sz w:val="21"/>
          <w:szCs w:val="21"/>
          <w:highlight w:val="none"/>
          <w:lang w:val="en-US"/>
        </w:rPr>
        <w:t>【</w:t>
      </w:r>
      <w:r>
        <w:rPr>
          <w:rFonts w:hint="eastAsia" w:hAnsi="宋体" w:cs="宋体"/>
          <w:b w:val="0"/>
          <w:color w:val="auto"/>
          <w:sz w:val="21"/>
          <w:szCs w:val="21"/>
          <w:highlight w:val="none"/>
          <w:lang w:val="en-US" w:eastAsia="zh-CN"/>
        </w:rPr>
        <w:t>6</w:t>
      </w:r>
      <w:r>
        <w:rPr>
          <w:rFonts w:hint="eastAsia" w:hAnsi="宋体" w:cs="宋体"/>
          <w:b w:val="0"/>
          <w:color w:val="auto"/>
          <w:sz w:val="21"/>
          <w:szCs w:val="21"/>
          <w:highlight w:val="none"/>
          <w:lang w:val="en-US"/>
        </w:rPr>
        <w:t>】次以上的（含【</w:t>
      </w:r>
      <w:r>
        <w:rPr>
          <w:rFonts w:hint="eastAsia" w:hAnsi="宋体" w:cs="宋体"/>
          <w:b w:val="0"/>
          <w:color w:val="auto"/>
          <w:sz w:val="21"/>
          <w:szCs w:val="21"/>
          <w:highlight w:val="none"/>
          <w:lang w:val="en-US" w:eastAsia="zh-CN"/>
        </w:rPr>
        <w:t>6</w:t>
      </w:r>
      <w:r>
        <w:rPr>
          <w:rFonts w:hint="eastAsia" w:hAnsi="宋体" w:cs="宋体"/>
          <w:b w:val="0"/>
          <w:color w:val="auto"/>
          <w:sz w:val="21"/>
          <w:szCs w:val="21"/>
          <w:highlight w:val="none"/>
          <w:lang w:val="en-US"/>
        </w:rPr>
        <w:t>】次），甲方有权随时解除合同，乙方应承担由此产生的所有赔偿责任。</w:t>
      </w:r>
    </w:p>
    <w:p w14:paraId="2BC4DCA7">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（14）在所有委派项目实施全过程中，甲方或其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有权对乙方现场施工作业人员持证情况进行抽查，若抽查发现未持证上岗或持证不合规的情况，累计发现达3次以上（含3次）的，自第3次起，每发现一次，乙方须向甲方或其下属企业支付违约金</w:t>
      </w:r>
      <w:r>
        <w:rPr>
          <w:rFonts w:hint="eastAsia" w:hAnsi="宋体" w:cs="宋体"/>
          <w:b w:val="0"/>
          <w:color w:val="auto"/>
          <w:sz w:val="21"/>
          <w:szCs w:val="21"/>
          <w:highlight w:val="none"/>
          <w:lang w:val="en-US" w:eastAsia="zh-CN"/>
        </w:rPr>
        <w:t>，违约金起始金额为</w:t>
      </w:r>
      <w:r>
        <w:rPr>
          <w:rFonts w:hint="eastAsia" w:hAnsi="宋体" w:cs="宋体"/>
          <w:b w:val="0"/>
          <w:color w:val="auto"/>
          <w:sz w:val="21"/>
          <w:szCs w:val="21"/>
          <w:highlight w:val="none"/>
          <w:lang w:val="en-US"/>
        </w:rPr>
        <w:t>人民币2000元，并累计计算，如：第3次按照2000元的标准支付违约金，第4次按照4000元的标准支付违约金，第</w:t>
      </w:r>
      <w:r>
        <w:rPr>
          <w:rFonts w:hint="eastAsia" w:hAnsi="宋体" w:cs="宋体"/>
          <w:b w:val="0"/>
          <w:color w:val="auto"/>
          <w:sz w:val="21"/>
          <w:szCs w:val="21"/>
          <w:highlight w:val="none"/>
          <w:lang w:val="en-US" w:eastAsia="zh-CN"/>
        </w:rPr>
        <w:t>5</w:t>
      </w:r>
      <w:r>
        <w:rPr>
          <w:rFonts w:hint="eastAsia" w:hAnsi="宋体" w:cs="宋体"/>
          <w:b w:val="0"/>
          <w:color w:val="auto"/>
          <w:sz w:val="21"/>
          <w:szCs w:val="21"/>
          <w:highlight w:val="none"/>
          <w:lang w:val="en-US"/>
        </w:rPr>
        <w:t>次按照</w:t>
      </w:r>
      <w:r>
        <w:rPr>
          <w:rFonts w:hint="eastAsia" w:hAnsi="宋体" w:cs="宋体"/>
          <w:b w:val="0"/>
          <w:color w:val="auto"/>
          <w:sz w:val="21"/>
          <w:szCs w:val="21"/>
          <w:highlight w:val="none"/>
          <w:lang w:val="en-US" w:eastAsia="zh-CN"/>
        </w:rPr>
        <w:t>6</w:t>
      </w:r>
      <w:r>
        <w:rPr>
          <w:rFonts w:hint="eastAsia" w:hAnsi="宋体" w:cs="宋体"/>
          <w:b w:val="0"/>
          <w:color w:val="auto"/>
          <w:sz w:val="21"/>
          <w:szCs w:val="21"/>
          <w:highlight w:val="none"/>
          <w:lang w:val="en-US"/>
        </w:rPr>
        <w:t>000元的标准支付违约金，如此类推。</w:t>
      </w:r>
      <w:r>
        <w:rPr>
          <w:rFonts w:hint="eastAsia" w:hAnsi="宋体" w:cs="宋体"/>
          <w:b w:val="0"/>
          <w:color w:val="auto"/>
          <w:sz w:val="21"/>
          <w:szCs w:val="21"/>
          <w:highlight w:val="none"/>
          <w:lang w:val="en-US" w:eastAsia="zh-CN"/>
        </w:rPr>
        <w:t>本条款情形下，违约金累计上限不超过人民币【5】万元。乙方存在前述违约情形达【6】次以上的（含【6】次），甲方有权随时解除合同，乙方应承担由此产生的所有赔偿责任。</w:t>
      </w:r>
    </w:p>
    <w:p w14:paraId="447326A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（15）在所有委派项目实施全过程中，如发现2家以上（含2家）劳务分包单位共用相同的项目管理人员（包括但不限于项目负责人、技术负责人、安全负责人</w:t>
      </w:r>
      <w:r>
        <w:rPr>
          <w:rFonts w:hint="eastAsia" w:hAnsi="宋体" w:cs="宋体"/>
          <w:b w:val="0"/>
          <w:color w:val="auto"/>
          <w:sz w:val="21"/>
          <w:szCs w:val="21"/>
          <w:highlight w:val="none"/>
          <w:lang w:val="en-US" w:eastAsia="zh-CN"/>
        </w:rPr>
        <w:t>、质量负责人、资料负责人</w:t>
      </w:r>
      <w:r>
        <w:rPr>
          <w:rFonts w:hint="eastAsia" w:hAnsi="宋体" w:cs="宋体"/>
          <w:b w:val="0"/>
          <w:color w:val="auto"/>
          <w:sz w:val="21"/>
          <w:szCs w:val="21"/>
          <w:highlight w:val="none"/>
          <w:lang w:val="en-US"/>
        </w:rPr>
        <w:t>等关键岗位人员），视为乙方违反合同约定，</w:t>
      </w:r>
      <w:r>
        <w:rPr>
          <w:rFonts w:hint="eastAsia" w:hAnsi="宋体" w:cs="宋体"/>
          <w:b w:val="0"/>
          <w:color w:val="auto"/>
          <w:sz w:val="21"/>
          <w:szCs w:val="21"/>
          <w:highlight w:val="none"/>
          <w:lang w:val="en-US" w:eastAsia="zh-CN"/>
        </w:rPr>
        <w:t>每</w:t>
      </w:r>
      <w:r>
        <w:rPr>
          <w:rFonts w:hint="eastAsia" w:hAnsi="宋体" w:cs="宋体"/>
          <w:b w:val="0"/>
          <w:color w:val="auto"/>
          <w:sz w:val="21"/>
          <w:szCs w:val="21"/>
          <w:highlight w:val="none"/>
          <w:lang w:val="en-US"/>
        </w:rPr>
        <w:t>发现</w:t>
      </w:r>
      <w:r>
        <w:rPr>
          <w:rFonts w:hint="eastAsia" w:hAnsi="宋体" w:cs="宋体"/>
          <w:b w:val="0"/>
          <w:color w:val="auto"/>
          <w:sz w:val="21"/>
          <w:szCs w:val="21"/>
          <w:highlight w:val="none"/>
          <w:lang w:val="en-US" w:eastAsia="zh-CN"/>
        </w:rPr>
        <w:t>一次</w:t>
      </w:r>
      <w:r>
        <w:rPr>
          <w:rFonts w:hint="eastAsia" w:hAnsi="宋体" w:cs="宋体"/>
          <w:b w:val="0"/>
          <w:color w:val="auto"/>
          <w:sz w:val="21"/>
          <w:szCs w:val="21"/>
          <w:highlight w:val="none"/>
          <w:lang w:val="en-US"/>
        </w:rPr>
        <w:t>，相关劳务分包单位均须向甲方或其下属企业支付违约金人民币20000元/人次，并均按甲方或其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要求限期完成整改，</w:t>
      </w:r>
      <w:r>
        <w:rPr>
          <w:rFonts w:hint="eastAsia" w:hAnsi="宋体" w:cs="宋体"/>
          <w:b w:val="0"/>
          <w:color w:val="auto"/>
          <w:sz w:val="21"/>
          <w:szCs w:val="21"/>
          <w:highlight w:val="none"/>
          <w:lang w:val="en-US" w:eastAsia="zh-CN"/>
        </w:rPr>
        <w:t>本条款情形下，违约金累计上限不超过人民币【6】万元。</w:t>
      </w:r>
      <w:r>
        <w:rPr>
          <w:rFonts w:hint="eastAsia" w:hAnsi="宋体" w:cs="宋体"/>
          <w:b w:val="0"/>
          <w:color w:val="auto"/>
          <w:sz w:val="21"/>
          <w:szCs w:val="21"/>
          <w:highlight w:val="none"/>
          <w:lang w:val="en-US"/>
        </w:rPr>
        <w:t>逾期未整改或累计发现2次以上（含2次），甲方有权单方解除分包合同。</w:t>
      </w:r>
    </w:p>
    <w:p w14:paraId="463CBBDD">
      <w:pPr>
        <w:adjustRightInd w:val="0"/>
        <w:snapToGrid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（16）乙方未能在合同签订后1个月内设立满足甲方或其</w:t>
      </w:r>
      <w:r>
        <w:rPr>
          <w:rFonts w:hint="eastAsia" w:ascii="宋体" w:hAnsi="宋体" w:eastAsia="宋体" w:cs="宋体"/>
          <w:bCs/>
          <w:color w:val="auto"/>
          <w:szCs w:val="21"/>
          <w:highlight w:val="none"/>
          <w:lang w:eastAsia="zh-CN"/>
        </w:rPr>
        <w:t>下属企业</w:t>
      </w:r>
      <w:r>
        <w:rPr>
          <w:rFonts w:hint="eastAsia" w:ascii="宋体" w:hAnsi="宋体" w:eastAsia="宋体" w:cs="宋体"/>
          <w:bCs/>
          <w:color w:val="auto"/>
          <w:szCs w:val="21"/>
          <w:highlight w:val="none"/>
        </w:rPr>
        <w:t>要求的办公场所及仓储场地的，或甲方或其</w:t>
      </w:r>
      <w:r>
        <w:rPr>
          <w:rFonts w:hint="eastAsia" w:ascii="宋体" w:hAnsi="宋体" w:eastAsia="宋体" w:cs="宋体"/>
          <w:bCs/>
          <w:color w:val="auto"/>
          <w:szCs w:val="21"/>
          <w:highlight w:val="none"/>
          <w:lang w:eastAsia="zh-CN"/>
        </w:rPr>
        <w:t>下属企业</w:t>
      </w:r>
      <w:r>
        <w:rPr>
          <w:rFonts w:hint="eastAsia" w:ascii="宋体" w:hAnsi="宋体" w:eastAsia="宋体" w:cs="宋体"/>
          <w:bCs/>
          <w:color w:val="auto"/>
          <w:szCs w:val="21"/>
          <w:highlight w:val="none"/>
        </w:rPr>
        <w:t>抽查发现未设立满足甲方或其</w:t>
      </w:r>
      <w:r>
        <w:rPr>
          <w:rFonts w:hint="eastAsia" w:ascii="宋体" w:hAnsi="宋体" w:eastAsia="宋体" w:cs="宋体"/>
          <w:bCs/>
          <w:color w:val="auto"/>
          <w:szCs w:val="21"/>
          <w:highlight w:val="none"/>
          <w:lang w:eastAsia="zh-CN"/>
        </w:rPr>
        <w:t>下属企业</w:t>
      </w:r>
      <w:r>
        <w:rPr>
          <w:rFonts w:hint="eastAsia" w:ascii="宋体" w:hAnsi="宋体" w:eastAsia="宋体" w:cs="宋体"/>
          <w:bCs/>
          <w:color w:val="auto"/>
          <w:szCs w:val="21"/>
          <w:highlight w:val="none"/>
        </w:rPr>
        <w:t>要求的办公场所及仓储场地的且未按甲方或其</w:t>
      </w:r>
      <w:r>
        <w:rPr>
          <w:rFonts w:hint="eastAsia" w:ascii="宋体" w:hAnsi="宋体" w:eastAsia="宋体" w:cs="宋体"/>
          <w:bCs/>
          <w:color w:val="auto"/>
          <w:szCs w:val="21"/>
          <w:highlight w:val="none"/>
          <w:lang w:eastAsia="zh-CN"/>
        </w:rPr>
        <w:t>下属企业</w:t>
      </w:r>
      <w:r>
        <w:rPr>
          <w:rFonts w:hint="eastAsia" w:ascii="宋体" w:hAnsi="宋体" w:eastAsia="宋体" w:cs="宋体"/>
          <w:bCs/>
          <w:color w:val="auto"/>
          <w:szCs w:val="21"/>
          <w:highlight w:val="none"/>
        </w:rPr>
        <w:t>要求限期内完成整改的，甲方或其下属企业有权要求乙方支付人民币2000元/次的违约金。</w:t>
      </w:r>
    </w:p>
    <w:p w14:paraId="7C2800E3">
      <w:pPr>
        <w:adjustRightInd w:val="0"/>
        <w:snapToGrid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（17）乙方于甲方或其</w:t>
      </w:r>
      <w:r>
        <w:rPr>
          <w:rFonts w:hint="eastAsia" w:ascii="宋体" w:hAnsi="宋体" w:eastAsia="宋体" w:cs="宋体"/>
          <w:bCs/>
          <w:color w:val="auto"/>
          <w:szCs w:val="21"/>
          <w:highlight w:val="none"/>
          <w:lang w:eastAsia="zh-CN"/>
        </w:rPr>
        <w:t>下属企业</w:t>
      </w:r>
      <w:r>
        <w:rPr>
          <w:rFonts w:hint="eastAsia" w:ascii="宋体" w:hAnsi="宋体" w:eastAsia="宋体" w:cs="宋体"/>
          <w:bCs/>
          <w:color w:val="auto"/>
          <w:szCs w:val="21"/>
          <w:highlight w:val="none"/>
        </w:rPr>
        <w:t>已收到确认无误的发票并支付款项后，无正当理由红冲发票，冲红发票票面税额由乙方承担，无正当理由冲红发票，甲方或其下属企业有权要求乙方支付2000元/张的违约金。</w:t>
      </w:r>
    </w:p>
    <w:p w14:paraId="49BE952D">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（18）如乙方相关人员通过言语威胁、骚扰、辱骂项目业主和甲方或其</w:t>
      </w:r>
      <w:r>
        <w:rPr>
          <w:rFonts w:hint="eastAsia" w:ascii="宋体" w:hAnsi="宋体" w:eastAsia="宋体" w:cs="宋体"/>
          <w:bCs/>
          <w:color w:val="auto"/>
          <w:szCs w:val="21"/>
          <w:highlight w:val="none"/>
          <w:lang w:eastAsia="zh-CN"/>
        </w:rPr>
        <w:t>下属企业</w:t>
      </w:r>
      <w:r>
        <w:rPr>
          <w:rFonts w:hint="eastAsia" w:ascii="宋体" w:hAnsi="宋体" w:eastAsia="宋体" w:cs="宋体"/>
          <w:bCs/>
          <w:color w:val="auto"/>
          <w:szCs w:val="21"/>
          <w:highlight w:val="none"/>
        </w:rPr>
        <w:t>相关人员的，第一次发现后甲方或其</w:t>
      </w:r>
      <w:r>
        <w:rPr>
          <w:rFonts w:hint="eastAsia" w:ascii="宋体" w:hAnsi="宋体" w:eastAsia="宋体" w:cs="宋体"/>
          <w:bCs/>
          <w:color w:val="auto"/>
          <w:szCs w:val="21"/>
          <w:highlight w:val="none"/>
          <w:lang w:eastAsia="zh-CN"/>
        </w:rPr>
        <w:t>下属企业</w:t>
      </w:r>
      <w:r>
        <w:rPr>
          <w:rFonts w:hint="eastAsia" w:ascii="宋体" w:hAnsi="宋体" w:eastAsia="宋体" w:cs="宋体"/>
          <w:bCs/>
          <w:color w:val="auto"/>
          <w:szCs w:val="21"/>
          <w:highlight w:val="none"/>
        </w:rPr>
        <w:t>有权发出书面警告处罚，且有权要求乙方清退存在上述情况的人员，不得再聘用负责甲方或其下属企业承接的项目劳务分包作业；发生第二次上述情况时，甲方有权单方解除本合同，并保留追究乙方由此引发的法律责任的权利。</w:t>
      </w:r>
    </w:p>
    <w:p w14:paraId="481E642C">
      <w:pPr>
        <w:pStyle w:val="2"/>
        <w:snapToGrid w:val="0"/>
        <w:spacing w:line="360" w:lineRule="auto"/>
        <w:ind w:right="0" w:firstLine="420" w:firstLineChars="200"/>
        <w:jc w:val="both"/>
        <w:rPr>
          <w:rFonts w:hint="default" w:hAnsi="宋体" w:cs="宋体"/>
          <w:b w:val="0"/>
          <w:color w:val="auto"/>
          <w:sz w:val="21"/>
          <w:szCs w:val="21"/>
          <w:highlight w:val="none"/>
          <w:lang w:val="en-US" w:eastAsia="zh-CN"/>
        </w:rPr>
      </w:pPr>
      <w:r>
        <w:rPr>
          <w:rFonts w:hint="eastAsia" w:hAnsi="宋体" w:cs="宋体"/>
          <w:b w:val="0"/>
          <w:color w:val="auto"/>
          <w:sz w:val="21"/>
          <w:szCs w:val="21"/>
          <w:highlight w:val="none"/>
          <w:lang w:val="en-US" w:eastAsia="zh-CN"/>
        </w:rPr>
        <w:t>（19）在项目实施过程中，如甲方或其下属企业发现乙方的施工作业未按其提供的投标方案实施的，</w:t>
      </w:r>
      <w:r>
        <w:rPr>
          <w:rFonts w:hint="eastAsia" w:hAnsi="宋体" w:cs="宋体"/>
          <w:b w:val="0"/>
          <w:color w:val="auto"/>
          <w:sz w:val="21"/>
          <w:szCs w:val="21"/>
          <w:highlight w:val="none"/>
          <w:lang w:val="en-US"/>
        </w:rPr>
        <w:t>累计出现上述情况达2次以上（含2次），甲方有权单方解除本合同。</w:t>
      </w:r>
    </w:p>
    <w:p w14:paraId="4563C8B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3、乙方应承担因修复工作引起的一切维修费用，如乙方拒绝修理、返工的，甲方或其下属企业可直接扣除乙方的工程质量保证金，乙方应对此承担一切违约责任并承担甲方或其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因此遭受损失的费用，乙方不免除对工程造成的一般损失赔偿责任。</w:t>
      </w:r>
    </w:p>
    <w:p w14:paraId="7317C00B">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4、除合同另有约定外，因乙方原因在本工程劳务作业过程中造成监理、业主、主管部门等对甲方或其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进行罚款（或收取违约金）由乙方全额承担，乙方还应积极采取补救措施。乙方承担违约责任，并不能减轻或免除合同中约定的应由乙方继续履行的其他责任和义务。</w:t>
      </w:r>
    </w:p>
    <w:p w14:paraId="78C5A4C8">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5、因乙方原因导致甲方或其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解除劳务分包项目或本合同的，造成甲方或其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实际损失的由乙方全部承担，甲方或其下属企业有权在履约保证金、本项目或其他项目未支付款项中扣除，仍不足部分由乙方向甲方或其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支付，乙方对此无异议。</w:t>
      </w:r>
    </w:p>
    <w:p w14:paraId="2A357065">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eastAsia="zh-CN"/>
        </w:rPr>
        <w:t>6、因乙方原因导致单个项目终止实施的，</w:t>
      </w:r>
      <w:r>
        <w:rPr>
          <w:rFonts w:hint="eastAsia" w:hAnsi="宋体" w:cs="宋体"/>
          <w:b w:val="0"/>
          <w:color w:val="auto"/>
          <w:sz w:val="21"/>
          <w:szCs w:val="21"/>
          <w:highlight w:val="none"/>
          <w:lang w:val="en-US"/>
        </w:rPr>
        <w:t>甲方或其下属企业有权委托第三方实施，</w:t>
      </w:r>
      <w:r>
        <w:rPr>
          <w:rFonts w:hint="eastAsia" w:hAnsi="宋体" w:cs="宋体"/>
          <w:b w:val="0"/>
          <w:color w:val="auto"/>
          <w:sz w:val="21"/>
          <w:szCs w:val="21"/>
          <w:highlight w:val="none"/>
          <w:lang w:val="en-US" w:eastAsia="zh-CN"/>
        </w:rPr>
        <w:t>甲方或其下属企业支付给第三方的实际费用和</w:t>
      </w:r>
      <w:r>
        <w:rPr>
          <w:rFonts w:hint="eastAsia" w:hAnsi="宋体" w:cs="宋体"/>
          <w:b w:val="0"/>
          <w:color w:val="auto"/>
          <w:sz w:val="21"/>
          <w:szCs w:val="21"/>
          <w:highlight w:val="none"/>
          <w:lang w:val="en-US"/>
        </w:rPr>
        <w:t>由此造成</w:t>
      </w:r>
      <w:r>
        <w:rPr>
          <w:rFonts w:hint="eastAsia" w:hAnsi="宋体" w:cs="宋体"/>
          <w:b w:val="0"/>
          <w:color w:val="auto"/>
          <w:sz w:val="21"/>
          <w:szCs w:val="21"/>
          <w:highlight w:val="none"/>
          <w:lang w:val="en-US" w:eastAsia="zh-CN"/>
        </w:rPr>
        <w:t>甲方或其下属企业</w:t>
      </w:r>
      <w:r>
        <w:rPr>
          <w:rFonts w:hint="eastAsia" w:hAnsi="宋体" w:cs="宋体"/>
          <w:b w:val="0"/>
          <w:color w:val="auto"/>
          <w:sz w:val="21"/>
          <w:szCs w:val="21"/>
          <w:highlight w:val="none"/>
          <w:lang w:val="en-US"/>
        </w:rPr>
        <w:t>实际损失</w:t>
      </w:r>
      <w:r>
        <w:rPr>
          <w:rFonts w:hint="eastAsia" w:hAnsi="宋体" w:cs="宋体"/>
          <w:b w:val="0"/>
          <w:color w:val="auto"/>
          <w:sz w:val="21"/>
          <w:szCs w:val="21"/>
          <w:highlight w:val="none"/>
          <w:lang w:val="en-US" w:eastAsia="zh-CN"/>
        </w:rPr>
        <w:t>的</w:t>
      </w:r>
      <w:r>
        <w:rPr>
          <w:rFonts w:hint="eastAsia" w:hAnsi="宋体" w:cs="宋体"/>
          <w:b w:val="0"/>
          <w:color w:val="auto"/>
          <w:sz w:val="21"/>
          <w:szCs w:val="21"/>
          <w:highlight w:val="none"/>
          <w:lang w:val="en-US"/>
        </w:rPr>
        <w:t>由乙方全部承担，甲方或其下属企业有权在履约保证金、本项目或其他项目未支付款项中扣除，仍不足部分由乙方向甲方或其下属企业支付。</w:t>
      </w:r>
    </w:p>
    <w:p w14:paraId="7B0F3137">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51" w:name="_Toc2507"/>
      <w:r>
        <w:rPr>
          <w:rFonts w:hint="eastAsia" w:hAnsi="宋体" w:cs="宋体"/>
          <w:bCs w:val="0"/>
          <w:color w:val="auto"/>
          <w:sz w:val="21"/>
          <w:szCs w:val="21"/>
          <w:highlight w:val="none"/>
          <w:lang w:val="en-US"/>
        </w:rPr>
        <w:t>十六、争议解决</w:t>
      </w:r>
      <w:bookmarkEnd w:id="451"/>
    </w:p>
    <w:p w14:paraId="4172592C">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1、凡因履行本合同所发生的或与本合同有关的一切争议，双方应通过友好协商，如经协商后仍不能达成协议时，任何一方可以向甲方住所地有管辖权的人民法院提出诉讼。</w:t>
      </w:r>
    </w:p>
    <w:p w14:paraId="10E5148F">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2、在争议解决之前，除非出现合同确实已无法履行的情况，双方都应继续履行合同，保持工作连续，保护好已完成的工作成果。</w:t>
      </w:r>
    </w:p>
    <w:p w14:paraId="00F26622">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3、在协商、诉讼期间，乙方不得以协商、诉讼未果为由拒绝或拖延继续履行本合同。</w:t>
      </w:r>
    </w:p>
    <w:p w14:paraId="1FA46F47">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52" w:name="_Toc17049"/>
      <w:r>
        <w:rPr>
          <w:rFonts w:hint="eastAsia" w:hAnsi="宋体" w:cs="宋体"/>
          <w:bCs w:val="0"/>
          <w:color w:val="auto"/>
          <w:sz w:val="21"/>
          <w:szCs w:val="21"/>
          <w:highlight w:val="none"/>
          <w:lang w:val="en-US"/>
        </w:rPr>
        <w:t>十七、不可抗力</w:t>
      </w:r>
      <w:bookmarkEnd w:id="452"/>
    </w:p>
    <w:p w14:paraId="08279853">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1、不可抗力事件发生后，察觉或发现不可抗力事件发生的一方，有义务通知另一方，并在力所能及的条件下迅速采取措施，尽力减少损失，另一方全力协助并采取措施。甲方或其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认为乙方应当暂停工作的，乙方应暂停工作。不可抗力事件结束后48小时内乙方应向甲方或其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通报受害情况和损失情况，及预计清理和修复的费用；不可抗力事件持续发生时，乙方应每隔7天向甲方或其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通报一次受害情况。</w:t>
      </w:r>
    </w:p>
    <w:p w14:paraId="78148843">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2、因合同一方迟延履行合同后发生不可抗力的，不能免除迟延履行方的相应责任。</w:t>
      </w:r>
    </w:p>
    <w:p w14:paraId="5693A79D">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3、因不可抗力事件导致的费用和延误的工作时间由双方按以下办法分别承担：</w:t>
      </w:r>
    </w:p>
    <w:p w14:paraId="4818DDB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和乙方的人员伤亡由其所在单位负责，并承担相应费用；</w:t>
      </w:r>
    </w:p>
    <w:p w14:paraId="3B3CCC6E">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（2）乙方自有小型施工机具损坏及停工损失，由乙方自行承担；</w:t>
      </w:r>
    </w:p>
    <w:p w14:paraId="11E761AC">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提供给乙方使用的机械设备损坏，由甲方或其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承担，但停工损失由乙方自行承担，且乙方须在甲方或其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规定时间内提供符合施工要求的机械设备供甲供机械设备损坏期间使用；</w:t>
      </w:r>
    </w:p>
    <w:p w14:paraId="770E6E38">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（4）延误的工作时间相应顺延。</w:t>
      </w:r>
    </w:p>
    <w:p w14:paraId="61034F25">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53" w:name="_Toc7892"/>
      <w:r>
        <w:rPr>
          <w:rFonts w:hint="eastAsia" w:hAnsi="宋体" w:cs="宋体"/>
          <w:bCs w:val="0"/>
          <w:color w:val="auto"/>
          <w:sz w:val="21"/>
          <w:szCs w:val="21"/>
          <w:highlight w:val="none"/>
          <w:lang w:val="en-US"/>
        </w:rPr>
        <w:t>十八、禁止转包或再分包</w:t>
      </w:r>
      <w:bookmarkEnd w:id="453"/>
    </w:p>
    <w:p w14:paraId="6A5FF4A7">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乙方严禁将本合同项下的劳务作业转包、转让、拆分或再分包给任意第三方。如有违反，但劳务作业已完成无法整改或经甲方或其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书面要求限期整改后乙方拒不整改或逾期未整改的，甲方有权解除本合同及取消已承接劳务分包项目服务资格，乙方将依法承担违约责任，甲方或其下属企业有权向乙方一次性收取50000元违约金，造成甲方或其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经济损失的，乙方应当予以赔偿，同时甲方或其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保留追究乙方法律责任的权利。</w:t>
      </w:r>
    </w:p>
    <w:p w14:paraId="1CD87773">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54" w:name="_Toc16994"/>
      <w:r>
        <w:rPr>
          <w:rFonts w:hint="eastAsia" w:hAnsi="宋体" w:cs="宋体"/>
          <w:bCs w:val="0"/>
          <w:color w:val="auto"/>
          <w:sz w:val="21"/>
          <w:szCs w:val="21"/>
          <w:highlight w:val="none"/>
          <w:lang w:val="en-US"/>
        </w:rPr>
        <w:t>十九、合同解除</w:t>
      </w:r>
      <w:bookmarkEnd w:id="454"/>
    </w:p>
    <w:p w14:paraId="101D2EEE">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甲方或其下属企业将对施工劳务分包供应商库实行动态管理，定期对乙方进行考核，根据考核评价情况进行调整，乙方考核不达标的，甲方有权单方面解除本合同，并将乙方移除出施工劳务分包供应商库，乙方不得有任何异议。</w:t>
      </w:r>
    </w:p>
    <w:p w14:paraId="2562684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2、甲乙双方协商一致的，可以签订终止协议解除本合同。</w:t>
      </w:r>
    </w:p>
    <w:p w14:paraId="1F02EDD7">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与业主单位的施工总承包合同解除的，甲乙双方可以签订终止协议解除本合同，除按实际履行情况结算合同价款外，甲方或其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无须对乙方承担任何责任。</w:t>
      </w:r>
    </w:p>
    <w:p w14:paraId="7481B782">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4、乙方不按照本合同的约定提供符合施工要求的作业人员或不履行本合同约定的其他义务，甲方或其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可以书面告知乙方并要求其限期完全、恰当履行合同义务。乙方逾期不能按约定履行义务或累计整改达三次（含三次）仍不符合本合同或甲方或其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要求的，甲方有权单方解除本合同。</w:t>
      </w:r>
    </w:p>
    <w:p w14:paraId="1B0A8875">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5、如因不可抗力致使本合同无法履行，或者因业主单位的原因造成工程停建或缓建，致使本合同或劳务分包项目无法履行的，可以签订终止协议解除本合同或劳务分包项目。</w:t>
      </w:r>
    </w:p>
    <w:p w14:paraId="59F6E986">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6、本合同约定的解除条件成立时，甲方应通知乙方解除本合同并办理分包项目价款结算支付手续。乙方应在接到甲方通知解除合同之日起7个日历天内撤离现场。乙方未按时退场，给甲方或其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造成经济损失的由乙方负责赔偿。甲方或其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不按约定支付解除合同结算价款，给乙方造成实际经济损失的，由甲方或其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负责赔偿。</w:t>
      </w:r>
    </w:p>
    <w:p w14:paraId="64A63F2A">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7、合同解除后，乙方应妥善做好已完工工程和剩余材料、设备的保护和移交工作，按甲方或其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要求撤出施工场地。甲方或其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应为乙方撤出提供必要条件，乙方应在接到甲方通知解除合同之日起7个日历天内撤离现场，逾期未搬离的乙方物品，甲方或其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可视为乙方的弃置物，甲方或其</w:t>
      </w:r>
      <w:r>
        <w:rPr>
          <w:rFonts w:hint="eastAsia" w:hAnsi="宋体" w:cs="宋体"/>
          <w:b w:val="0"/>
          <w:color w:val="auto"/>
          <w:sz w:val="21"/>
          <w:szCs w:val="21"/>
          <w:highlight w:val="none"/>
          <w:lang w:val="en-US" w:eastAsia="zh-CN"/>
        </w:rPr>
        <w:t>下属企业</w:t>
      </w:r>
      <w:r>
        <w:rPr>
          <w:rFonts w:hint="eastAsia" w:hAnsi="宋体" w:cs="宋体"/>
          <w:b w:val="0"/>
          <w:color w:val="auto"/>
          <w:sz w:val="21"/>
          <w:szCs w:val="21"/>
          <w:highlight w:val="none"/>
          <w:lang w:val="en-US"/>
        </w:rPr>
        <w:t>有权自行处置，所造成的损失由乙方自行承担。</w:t>
      </w:r>
    </w:p>
    <w:p w14:paraId="7B2C08A8">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8、合同解除后，不影响双方在合同中约定的结算和清理条款的效力。有过错的一方应当承担违约责任，并赔偿因合同解除给对方造成的损失。</w:t>
      </w:r>
    </w:p>
    <w:p w14:paraId="352F9D74">
      <w:pPr>
        <w:pStyle w:val="2"/>
        <w:snapToGrid w:val="0"/>
        <w:spacing w:line="360" w:lineRule="auto"/>
        <w:ind w:right="0" w:firstLine="422" w:firstLineChars="200"/>
        <w:jc w:val="both"/>
        <w:outlineLvl w:val="2"/>
        <w:rPr>
          <w:rFonts w:hint="eastAsia" w:hAnsi="宋体" w:cs="宋体"/>
          <w:bCs w:val="0"/>
          <w:color w:val="auto"/>
          <w:sz w:val="21"/>
          <w:szCs w:val="21"/>
          <w:highlight w:val="none"/>
          <w:lang w:val="en-US"/>
        </w:rPr>
      </w:pPr>
      <w:bookmarkStart w:id="455" w:name="_Toc2664"/>
      <w:r>
        <w:rPr>
          <w:rFonts w:hint="eastAsia" w:hAnsi="宋体" w:cs="宋体"/>
          <w:bCs w:val="0"/>
          <w:color w:val="auto"/>
          <w:sz w:val="21"/>
          <w:szCs w:val="21"/>
          <w:highlight w:val="none"/>
          <w:lang w:val="en-US"/>
        </w:rPr>
        <w:t>二十、附则</w:t>
      </w:r>
      <w:bookmarkEnd w:id="455"/>
    </w:p>
    <w:p w14:paraId="4EFD6BA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1、本合同签订后，甲乙双方如需提出补充或修改时，经双方协商一致后，可以签订补充合同，补充合同与本合同同具法律效力。</w:t>
      </w:r>
    </w:p>
    <w:p w14:paraId="7CCA9054">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2、合同附件：（1）《安全生产管理协议书》、（2）《关于及时支付工人工资的协议书》、（3）《环境保护与职业健康安全协议书》、（4）《有限空间施工安全承诺书》、（5）《东莞市碧水信息科技有限公司分包单位履约考评工作指引》、（</w:t>
      </w:r>
      <w:r>
        <w:rPr>
          <w:rFonts w:hint="eastAsia" w:hAnsi="宋体" w:cs="宋体"/>
          <w:b w:val="0"/>
          <w:color w:val="auto"/>
          <w:sz w:val="21"/>
          <w:szCs w:val="21"/>
          <w:highlight w:val="none"/>
          <w:lang w:val="en-US" w:eastAsia="zh-CN"/>
        </w:rPr>
        <w:t>6</w:t>
      </w:r>
      <w:r>
        <w:rPr>
          <w:rFonts w:hint="eastAsia" w:hAnsi="宋体" w:cs="宋体"/>
          <w:b w:val="0"/>
          <w:color w:val="auto"/>
          <w:sz w:val="21"/>
          <w:szCs w:val="21"/>
          <w:highlight w:val="none"/>
          <w:lang w:val="en-US"/>
        </w:rPr>
        <w:t>）《用户需求书》、（</w:t>
      </w:r>
      <w:r>
        <w:rPr>
          <w:rFonts w:hint="eastAsia" w:hAnsi="宋体" w:cs="宋体"/>
          <w:b w:val="0"/>
          <w:color w:val="auto"/>
          <w:sz w:val="21"/>
          <w:szCs w:val="21"/>
          <w:highlight w:val="none"/>
          <w:lang w:val="en-US" w:eastAsia="zh-CN"/>
        </w:rPr>
        <w:t>7</w:t>
      </w:r>
      <w:r>
        <w:rPr>
          <w:rFonts w:hint="eastAsia" w:hAnsi="宋体" w:cs="宋体"/>
          <w:b w:val="0"/>
          <w:color w:val="auto"/>
          <w:sz w:val="21"/>
          <w:szCs w:val="21"/>
          <w:highlight w:val="none"/>
          <w:lang w:val="en-US"/>
        </w:rPr>
        <w:t>）《东莞市碧水信息科技有限公司供水管网及附属设备抢修业务劳务分包清单价目表》、（</w:t>
      </w:r>
      <w:r>
        <w:rPr>
          <w:rFonts w:hint="eastAsia" w:hAnsi="宋体" w:cs="宋体"/>
          <w:b w:val="0"/>
          <w:color w:val="auto"/>
          <w:sz w:val="21"/>
          <w:szCs w:val="21"/>
          <w:highlight w:val="none"/>
          <w:lang w:val="en-US" w:eastAsia="zh-CN"/>
        </w:rPr>
        <w:t>8</w:t>
      </w:r>
      <w:r>
        <w:rPr>
          <w:rFonts w:hint="eastAsia" w:hAnsi="宋体" w:cs="宋体"/>
          <w:b w:val="0"/>
          <w:color w:val="auto"/>
          <w:sz w:val="21"/>
          <w:szCs w:val="21"/>
          <w:highlight w:val="none"/>
          <w:lang w:val="en-US"/>
        </w:rPr>
        <w:t>）《东莞市碧水信息科技有限公司表务类小型项目劳务分包清单价目表》、（</w:t>
      </w:r>
      <w:r>
        <w:rPr>
          <w:rFonts w:hint="eastAsia" w:hAnsi="宋体" w:cs="宋体"/>
          <w:b w:val="0"/>
          <w:color w:val="auto"/>
          <w:sz w:val="21"/>
          <w:szCs w:val="21"/>
          <w:highlight w:val="none"/>
          <w:lang w:val="en-US" w:eastAsia="zh-CN"/>
        </w:rPr>
        <w:t>9</w:t>
      </w:r>
      <w:r>
        <w:rPr>
          <w:rFonts w:hint="eastAsia" w:hAnsi="宋体" w:cs="宋体"/>
          <w:b w:val="0"/>
          <w:color w:val="auto"/>
          <w:sz w:val="21"/>
          <w:szCs w:val="21"/>
          <w:highlight w:val="none"/>
          <w:lang w:val="en-US"/>
        </w:rPr>
        <w:t>）廉洁协议书</w:t>
      </w:r>
      <w:r>
        <w:rPr>
          <w:rFonts w:hint="eastAsia" w:hAnsi="宋体" w:cs="宋体"/>
          <w:b w:val="0"/>
          <w:color w:val="auto"/>
          <w:sz w:val="21"/>
          <w:szCs w:val="21"/>
          <w:highlight w:val="none"/>
          <w:lang w:val="en-US" w:eastAsia="zh-CN"/>
        </w:rPr>
        <w:t>、（10）投标文件</w:t>
      </w:r>
      <w:r>
        <w:rPr>
          <w:rFonts w:hint="eastAsia" w:hAnsi="宋体" w:cs="宋体"/>
          <w:b w:val="0"/>
          <w:color w:val="auto"/>
          <w:sz w:val="21"/>
          <w:szCs w:val="21"/>
          <w:highlight w:val="none"/>
          <w:lang w:val="en-US"/>
        </w:rPr>
        <w:t>系本合同的组成部分，双方应按其规定执行。</w:t>
      </w:r>
    </w:p>
    <w:p w14:paraId="287F1E66">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3、本合同自双方法定代表人签字并加章公盖（或合同专用章）之日起生效至双方合同权利义务履行完毕时终止。合同一式</w:t>
      </w:r>
      <w:r>
        <w:rPr>
          <w:rFonts w:hint="eastAsia" w:hAnsi="宋体" w:cs="宋体"/>
          <w:b w:val="0"/>
          <w:color w:val="auto"/>
          <w:sz w:val="21"/>
          <w:szCs w:val="21"/>
          <w:highlight w:val="none"/>
          <w:u w:val="single"/>
          <w:lang w:val="en-US"/>
        </w:rPr>
        <w:t>伍</w:t>
      </w:r>
      <w:r>
        <w:rPr>
          <w:rFonts w:hint="eastAsia" w:hAnsi="宋体" w:cs="宋体"/>
          <w:b w:val="0"/>
          <w:color w:val="auto"/>
          <w:sz w:val="21"/>
          <w:szCs w:val="21"/>
          <w:highlight w:val="none"/>
          <w:lang w:val="en-US"/>
        </w:rPr>
        <w:t>份，甲乙双方各执</w:t>
      </w:r>
      <w:r>
        <w:rPr>
          <w:rFonts w:hint="eastAsia" w:hAnsi="宋体" w:cs="宋体"/>
          <w:b w:val="0"/>
          <w:color w:val="auto"/>
          <w:sz w:val="21"/>
          <w:szCs w:val="21"/>
          <w:highlight w:val="none"/>
          <w:u w:val="single"/>
          <w:lang w:val="en-US"/>
        </w:rPr>
        <w:t>贰</w:t>
      </w:r>
      <w:r>
        <w:rPr>
          <w:rFonts w:hint="eastAsia" w:hAnsi="宋体" w:cs="宋体"/>
          <w:b w:val="0"/>
          <w:color w:val="auto"/>
          <w:sz w:val="21"/>
          <w:szCs w:val="21"/>
          <w:highlight w:val="none"/>
          <w:lang w:val="en-US"/>
        </w:rPr>
        <w:t>份，代理机构执</w:t>
      </w:r>
      <w:r>
        <w:rPr>
          <w:rFonts w:hint="eastAsia" w:hAnsi="宋体" w:cs="宋体"/>
          <w:b w:val="0"/>
          <w:color w:val="auto"/>
          <w:sz w:val="21"/>
          <w:szCs w:val="21"/>
          <w:highlight w:val="none"/>
          <w:u w:val="single"/>
          <w:lang w:val="en-US"/>
        </w:rPr>
        <w:t>壹</w:t>
      </w:r>
      <w:r>
        <w:rPr>
          <w:rFonts w:hint="eastAsia" w:hAnsi="宋体" w:cs="宋体"/>
          <w:b w:val="0"/>
          <w:color w:val="auto"/>
          <w:sz w:val="21"/>
          <w:szCs w:val="21"/>
          <w:highlight w:val="none"/>
          <w:lang w:val="en-US"/>
        </w:rPr>
        <w:t>份。</w:t>
      </w:r>
    </w:p>
    <w:p w14:paraId="515D0548">
      <w:pPr>
        <w:pStyle w:val="2"/>
        <w:snapToGrid w:val="0"/>
        <w:spacing w:line="360" w:lineRule="auto"/>
        <w:ind w:right="0" w:firstLine="420" w:firstLineChars="200"/>
        <w:jc w:val="both"/>
        <w:rPr>
          <w:rFonts w:hint="eastAsia" w:hAnsi="宋体" w:cs="宋体"/>
          <w:b w:val="0"/>
          <w:color w:val="auto"/>
          <w:sz w:val="21"/>
          <w:szCs w:val="21"/>
          <w:highlight w:val="none"/>
          <w:lang w:val="en-US"/>
        </w:rPr>
      </w:pPr>
    </w:p>
    <w:p w14:paraId="3AF62DA2">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（以下无正文内容为签字盖章页）</w:t>
      </w:r>
    </w:p>
    <w:p w14:paraId="13DF506A">
      <w:pPr>
        <w:pStyle w:val="2"/>
        <w:snapToGrid w:val="0"/>
        <w:spacing w:line="360" w:lineRule="auto"/>
        <w:ind w:right="0" w:firstLine="420" w:firstLineChars="200"/>
        <w:jc w:val="both"/>
        <w:rPr>
          <w:rFonts w:hint="eastAsia" w:hAnsi="宋体" w:cs="宋体"/>
          <w:b w:val="0"/>
          <w:color w:val="auto"/>
          <w:sz w:val="21"/>
          <w:szCs w:val="21"/>
          <w:highlight w:val="none"/>
          <w:lang w:val="en-US"/>
        </w:rPr>
      </w:pPr>
    </w:p>
    <w:p w14:paraId="3C0B2A49">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甲方（盖章）：东莞市碧水信息科技有限公司</w:t>
      </w:r>
    </w:p>
    <w:p w14:paraId="3E0A91B3">
      <w:pPr>
        <w:pStyle w:val="2"/>
        <w:snapToGrid w:val="0"/>
        <w:spacing w:line="360" w:lineRule="auto"/>
        <w:ind w:right="0" w:firstLine="420" w:firstLineChars="200"/>
        <w:jc w:val="both"/>
        <w:rPr>
          <w:rFonts w:hint="eastAsia" w:hAnsi="宋体" w:cs="宋体"/>
          <w:b w:val="0"/>
          <w:color w:val="auto"/>
          <w:sz w:val="21"/>
          <w:szCs w:val="21"/>
          <w:highlight w:val="none"/>
          <w:lang w:val="en-US"/>
        </w:rPr>
      </w:pPr>
    </w:p>
    <w:p w14:paraId="2FB3A145">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法定代表人：</w:t>
      </w:r>
    </w:p>
    <w:p w14:paraId="08550221">
      <w:pPr>
        <w:pStyle w:val="2"/>
        <w:snapToGrid w:val="0"/>
        <w:spacing w:line="360" w:lineRule="auto"/>
        <w:ind w:right="0" w:firstLine="420" w:firstLineChars="200"/>
        <w:jc w:val="both"/>
        <w:rPr>
          <w:rFonts w:hint="eastAsia" w:hAnsi="宋体" w:cs="宋体"/>
          <w:b w:val="0"/>
          <w:color w:val="auto"/>
          <w:sz w:val="21"/>
          <w:szCs w:val="21"/>
          <w:highlight w:val="none"/>
          <w:lang w:val="en-US"/>
        </w:rPr>
      </w:pPr>
    </w:p>
    <w:p w14:paraId="00C6A876">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乙方（盖章）：</w:t>
      </w:r>
    </w:p>
    <w:p w14:paraId="60B0752E">
      <w:pPr>
        <w:pStyle w:val="2"/>
        <w:snapToGrid w:val="0"/>
        <w:spacing w:line="360" w:lineRule="auto"/>
        <w:ind w:right="0" w:firstLine="420" w:firstLineChars="200"/>
        <w:jc w:val="both"/>
        <w:rPr>
          <w:rFonts w:hint="eastAsia" w:hAnsi="宋体" w:cs="宋体"/>
          <w:b w:val="0"/>
          <w:color w:val="auto"/>
          <w:sz w:val="21"/>
          <w:szCs w:val="21"/>
          <w:highlight w:val="none"/>
          <w:lang w:val="en-US"/>
        </w:rPr>
      </w:pPr>
    </w:p>
    <w:p w14:paraId="7E255B53">
      <w:pPr>
        <w:pStyle w:val="2"/>
        <w:snapToGrid w:val="0"/>
        <w:spacing w:line="360" w:lineRule="auto"/>
        <w:ind w:right="0" w:firstLine="420" w:firstLineChars="200"/>
        <w:jc w:val="both"/>
        <w:rPr>
          <w:rFonts w:hint="eastAsia" w:hAnsi="宋体" w:cs="宋体"/>
          <w:b w:val="0"/>
          <w:color w:val="auto"/>
          <w:sz w:val="21"/>
          <w:szCs w:val="21"/>
          <w:highlight w:val="none"/>
          <w:lang w:val="en-US"/>
        </w:rPr>
      </w:pPr>
      <w:r>
        <w:rPr>
          <w:rFonts w:hint="eastAsia" w:hAnsi="宋体" w:cs="宋体"/>
          <w:b w:val="0"/>
          <w:color w:val="auto"/>
          <w:sz w:val="21"/>
          <w:szCs w:val="21"/>
          <w:highlight w:val="none"/>
          <w:lang w:val="en-US"/>
        </w:rPr>
        <w:t>法定代表人：</w:t>
      </w:r>
    </w:p>
    <w:p w14:paraId="6C60733A">
      <w:pPr>
        <w:pStyle w:val="2"/>
        <w:snapToGrid w:val="0"/>
        <w:spacing w:line="360" w:lineRule="auto"/>
        <w:ind w:right="0" w:firstLine="420" w:firstLineChars="200"/>
        <w:jc w:val="both"/>
        <w:rPr>
          <w:rFonts w:hint="eastAsia" w:hAnsi="宋体" w:cs="宋体"/>
          <w:b w:val="0"/>
          <w:color w:val="auto"/>
          <w:sz w:val="21"/>
          <w:szCs w:val="21"/>
          <w:highlight w:val="none"/>
          <w:lang w:val="en-US"/>
        </w:rPr>
      </w:pPr>
    </w:p>
    <w:p w14:paraId="00303A78">
      <w:pPr>
        <w:pStyle w:val="2"/>
        <w:snapToGrid w:val="0"/>
        <w:spacing w:line="360" w:lineRule="auto"/>
        <w:ind w:right="0" w:firstLine="420" w:firstLineChars="200"/>
        <w:jc w:val="both"/>
        <w:rPr>
          <w:rFonts w:hint="eastAsia" w:hAnsi="宋体" w:cs="宋体"/>
          <w:color w:val="auto"/>
          <w:sz w:val="21"/>
          <w:szCs w:val="21"/>
          <w:highlight w:val="none"/>
          <w:lang w:val="en-US"/>
        </w:rPr>
      </w:pPr>
      <w:r>
        <w:rPr>
          <w:rFonts w:hint="eastAsia" w:hAnsi="宋体" w:cs="宋体"/>
          <w:b w:val="0"/>
          <w:color w:val="auto"/>
          <w:sz w:val="21"/>
          <w:szCs w:val="21"/>
          <w:highlight w:val="none"/>
          <w:lang w:val="en-US"/>
        </w:rPr>
        <w:t>签订日期：</w:t>
      </w:r>
    </w:p>
    <w:p w14:paraId="4FAE155E">
      <w:pPr>
        <w:pStyle w:val="2"/>
        <w:snapToGrid w:val="0"/>
        <w:spacing w:line="360" w:lineRule="auto"/>
        <w:ind w:right="0" w:firstLine="422" w:firstLineChars="200"/>
        <w:jc w:val="both"/>
        <w:rPr>
          <w:rFonts w:hint="eastAsia"/>
          <w:color w:val="auto"/>
          <w:sz w:val="21"/>
          <w:szCs w:val="21"/>
          <w:highlight w:val="none"/>
        </w:rPr>
      </w:pPr>
    </w:p>
    <w:p w14:paraId="7DD8A1F7">
      <w:pPr>
        <w:rPr>
          <w:rFonts w:hint="eastAsia" w:ascii="宋体" w:hAnsi="宋体" w:eastAsia="宋体" w:cs="宋体"/>
          <w:b/>
          <w:bCs/>
          <w:color w:val="auto"/>
          <w:kern w:val="0"/>
          <w:szCs w:val="21"/>
          <w:highlight w:val="none"/>
        </w:rPr>
      </w:pPr>
      <w:r>
        <w:rPr>
          <w:rFonts w:ascii="宋体" w:hAnsi="宋体" w:eastAsia="宋体" w:cs="宋体"/>
          <w:b/>
          <w:bCs/>
          <w:color w:val="auto"/>
          <w:kern w:val="0"/>
          <w:szCs w:val="21"/>
          <w:highlight w:val="none"/>
        </w:rPr>
        <w:br w:type="page"/>
      </w:r>
    </w:p>
    <w:p w14:paraId="2BFD6096">
      <w:pPr>
        <w:pStyle w:val="2"/>
        <w:snapToGrid w:val="0"/>
        <w:spacing w:line="360" w:lineRule="auto"/>
        <w:ind w:right="0"/>
        <w:jc w:val="left"/>
        <w:outlineLvl w:val="2"/>
        <w:rPr>
          <w:rFonts w:hint="eastAsia"/>
          <w:color w:val="auto"/>
          <w:sz w:val="21"/>
          <w:szCs w:val="21"/>
          <w:highlight w:val="none"/>
          <w:lang w:val="en-US"/>
        </w:rPr>
      </w:pPr>
      <w:bookmarkStart w:id="456" w:name="_Toc18422"/>
      <w:r>
        <w:rPr>
          <w:rFonts w:hint="eastAsia"/>
          <w:color w:val="auto"/>
          <w:sz w:val="21"/>
          <w:szCs w:val="21"/>
          <w:highlight w:val="none"/>
          <w:lang w:val="en-US"/>
        </w:rPr>
        <w:t>附件1：安全生产管理协议书</w:t>
      </w:r>
      <w:bookmarkEnd w:id="456"/>
    </w:p>
    <w:p w14:paraId="05F5C7F2">
      <w:pPr>
        <w:autoSpaceDE w:val="0"/>
        <w:autoSpaceDN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安全生产管理协议书</w:t>
      </w:r>
    </w:p>
    <w:p w14:paraId="0040D7B6">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3E32BD36">
      <w:p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甲方：东莞市碧水信息科技有限公司         </w:t>
      </w:r>
    </w:p>
    <w:p w14:paraId="74FA1419">
      <w:pPr>
        <w:pStyle w:val="21"/>
        <w:adjustRightInd w:val="0"/>
        <w:snapToGrid w:val="0"/>
        <w:spacing w:line="360" w:lineRule="auto"/>
        <w:jc w:val="left"/>
        <w:rPr>
          <w:rFonts w:hint="eastAsia" w:hAnsi="宋体" w:cs="宋体"/>
          <w:color w:val="auto"/>
          <w:szCs w:val="21"/>
          <w:highlight w:val="none"/>
        </w:rPr>
      </w:pPr>
      <w:r>
        <w:rPr>
          <w:rFonts w:hint="eastAsia" w:hAnsi="宋体" w:cs="宋体"/>
          <w:color w:val="auto"/>
          <w:szCs w:val="21"/>
          <w:highlight w:val="none"/>
        </w:rPr>
        <w:t xml:space="preserve">乙方：                              </w:t>
      </w:r>
    </w:p>
    <w:p w14:paraId="4E7A2735">
      <w:pPr>
        <w:adjustRightInd w:val="0"/>
        <w:snapToGrid w:val="0"/>
        <w:spacing w:line="360" w:lineRule="auto"/>
        <w:ind w:firstLine="420" w:firstLineChars="200"/>
        <w:rPr>
          <w:rFonts w:hint="eastAsia" w:ascii="宋体" w:hAnsi="宋体" w:eastAsia="宋体" w:cs="宋体"/>
          <w:color w:val="auto"/>
          <w:szCs w:val="21"/>
          <w:highlight w:val="none"/>
        </w:rPr>
      </w:pPr>
    </w:p>
    <w:p w14:paraId="07C1E0D0">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为在</w:t>
      </w:r>
      <w:r>
        <w:rPr>
          <w:rFonts w:hint="eastAsia" w:ascii="宋体" w:hAnsi="宋体" w:eastAsia="宋体" w:cs="宋体"/>
          <w:bCs/>
          <w:color w:val="auto"/>
          <w:szCs w:val="21"/>
          <w:highlight w:val="none"/>
        </w:rPr>
        <w:t>《东莞市碧水信息科技有限公司2025-2027年施工劳务分包框架合同（   区）》项下所有劳务分包项目</w:t>
      </w:r>
      <w:r>
        <w:rPr>
          <w:rFonts w:hint="eastAsia" w:ascii="宋体" w:hAnsi="宋体" w:eastAsia="宋体" w:cs="宋体"/>
          <w:color w:val="auto"/>
          <w:szCs w:val="21"/>
          <w:highlight w:val="none"/>
        </w:rPr>
        <w:t>的实施过程中，切实落实甲乙双方安全生产职责，强化现场安全管理，创造安全的施工环境，实现履约过程中的安全生产目标，甲乙双方签订本安全生产管理协议，以资共同遵守。</w:t>
      </w:r>
    </w:p>
    <w:p w14:paraId="55273FD6">
      <w:pPr>
        <w:adjustRightInd w:val="0"/>
        <w:snapToGrid w:val="0"/>
        <w:spacing w:line="360" w:lineRule="auto"/>
        <w:ind w:firstLine="422" w:firstLineChars="200"/>
        <w:rPr>
          <w:rFonts w:hint="eastAsia" w:ascii="宋体" w:hAnsi="宋体" w:eastAsia="宋体" w:cs="宋体"/>
          <w:b/>
          <w:color w:val="auto"/>
          <w:szCs w:val="21"/>
          <w:highlight w:val="none"/>
        </w:rPr>
      </w:pPr>
      <w:bookmarkStart w:id="457" w:name="_Toc493684465"/>
      <w:r>
        <w:rPr>
          <w:rFonts w:hint="eastAsia" w:ascii="宋体" w:hAnsi="宋体" w:eastAsia="宋体" w:cs="宋体"/>
          <w:b/>
          <w:color w:val="auto"/>
          <w:szCs w:val="21"/>
          <w:highlight w:val="none"/>
        </w:rPr>
        <w:t>一、甲方职责</w:t>
      </w:r>
      <w:bookmarkEnd w:id="457"/>
    </w:p>
    <w:p w14:paraId="58F92DA1">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1.严格遵守国家有关安全生产法律法规，认真执行甲方与业主的合同（以下简称“主合同”）中有关安全生产条款约定，及时向乙方下达安全管理目标，共同保证目标实现。</w:t>
      </w:r>
    </w:p>
    <w:p w14:paraId="13778F35">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贯彻“安全第一、预防为主、综合治理”的方针，按照“管生产必须管安全”的原则开展安全生产工作，强化红线意识，建立健全满足现场安全生产需要的安全生产组织体系（含乙方）、制定相关规章制度和操作规程，并督促乙方遵照执行。</w:t>
      </w:r>
    </w:p>
    <w:p w14:paraId="51D0E972">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3.督促乙方建立健全与分包工程相适应的安全生产组织体系、制度建设、人员到位且有效履职。</w:t>
      </w:r>
    </w:p>
    <w:p w14:paraId="7C7552D6">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4.审查乙方现场安全管理体系。建立工程项目分包人员信息库、分包人员工台账（包含姓名、性别、身份证号、电话、工种、健康状态、家庭地址及联系电话等），并动态掌握乙方所有人员名单。</w:t>
      </w:r>
    </w:p>
    <w:p w14:paraId="3D191E76">
      <w:pPr>
        <w:adjustRightInd w:val="0"/>
        <w:snapToGrid w:val="0"/>
        <w:spacing w:line="360" w:lineRule="auto"/>
        <w:ind w:firstLine="420" w:firstLineChars="200"/>
        <w:rPr>
          <w:rFonts w:hint="eastAsia" w:ascii="宋体" w:hAnsi="宋体" w:eastAsia="宋体" w:cs="宋体"/>
          <w:color w:val="auto"/>
          <w:kern w:val="6"/>
          <w:szCs w:val="21"/>
          <w:highlight w:val="none"/>
        </w:rPr>
      </w:pPr>
      <w:r>
        <w:rPr>
          <w:rFonts w:hint="eastAsia" w:ascii="宋体" w:hAnsi="宋体" w:eastAsia="宋体" w:cs="宋体"/>
          <w:color w:val="auto"/>
          <w:kern w:val="6"/>
          <w:szCs w:val="21"/>
          <w:highlight w:val="none"/>
        </w:rPr>
        <w:t>5.</w:t>
      </w:r>
      <w:r>
        <w:rPr>
          <w:rFonts w:hint="eastAsia" w:ascii="宋体" w:hAnsi="宋体" w:eastAsia="宋体" w:cs="宋体"/>
          <w:color w:val="auto"/>
          <w:szCs w:val="21"/>
          <w:highlight w:val="none"/>
        </w:rPr>
        <w:t>掌握施工现场安全生产动态并分析评估，实施改进活动。</w:t>
      </w:r>
      <w:r>
        <w:rPr>
          <w:rFonts w:hint="eastAsia" w:ascii="宋体" w:hAnsi="宋体" w:eastAsia="宋体" w:cs="宋体"/>
          <w:color w:val="auto"/>
          <w:kern w:val="6"/>
          <w:szCs w:val="21"/>
          <w:highlight w:val="none"/>
        </w:rPr>
        <w:t>督促乙方对其人员进行安全生产教育和岗位培训教育，检查乙方特殊工种持证上岗情况和开展安全活动的情况。</w:t>
      </w:r>
    </w:p>
    <w:p w14:paraId="31316BDF">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6.定期召开安全生产会议，及时传达和组织学习有关国家、地方政府、行业主管部门及甲方有关安全生产的新要求。</w:t>
      </w:r>
    </w:p>
    <w:p w14:paraId="3FFAF537">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7.依据合同约定，检查、验证应由乙方承担的安全投入落实情况，对未落实到位的，督促乙方立即纠正。</w:t>
      </w:r>
    </w:p>
    <w:p w14:paraId="3460C68D">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8.对施工现场危险源进行识别，对乙方的安全技术措施和专项方案进行审核、批准并督促落实。</w:t>
      </w:r>
    </w:p>
    <w:p w14:paraId="6E381CF0">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9.依据安全生产管理责任和目标，适时对乙方安全生产能力进行评价，不符合安全生产要求的及时整顿。</w:t>
      </w:r>
    </w:p>
    <w:p w14:paraId="568991F8">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10.按计划对乙方施工过程中安全人员配置及履职情况、违约及违章记录、安全生产绩效等内容实施检查和考核，督促乙方及时处理存在的安全生产隐患。</w:t>
      </w:r>
    </w:p>
    <w:p w14:paraId="509BCC9C">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11.对施工现场安全事故进行记录、统计、报告、调查、处理、分析改进等工作，督促乙方具体做好有关协助工作。</w:t>
      </w:r>
    </w:p>
    <w:p w14:paraId="04B15A09">
      <w:pPr>
        <w:adjustRightInd w:val="0"/>
        <w:snapToGrid w:val="0"/>
        <w:spacing w:line="360" w:lineRule="auto"/>
        <w:ind w:firstLine="422" w:firstLineChars="200"/>
        <w:rPr>
          <w:rFonts w:hint="eastAsia" w:ascii="宋体" w:hAnsi="宋体" w:eastAsia="宋体" w:cs="宋体"/>
          <w:b/>
          <w:color w:val="auto"/>
          <w:szCs w:val="21"/>
          <w:highlight w:val="none"/>
        </w:rPr>
      </w:pPr>
      <w:bookmarkStart w:id="458" w:name="_Toc493684466"/>
      <w:r>
        <w:rPr>
          <w:rFonts w:hint="eastAsia" w:ascii="宋体" w:hAnsi="宋体" w:eastAsia="宋体" w:cs="宋体"/>
          <w:b/>
          <w:color w:val="auto"/>
          <w:szCs w:val="21"/>
          <w:highlight w:val="none"/>
        </w:rPr>
        <w:t>二、乙方职责</w:t>
      </w:r>
      <w:bookmarkEnd w:id="458"/>
    </w:p>
    <w:p w14:paraId="2A82FA91">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1.严格遵守国家、地方政府、行业部门有关安全生产政策、法律法规和规定，认真执行分包合同中关于安全生产的约定，服从甲方安全监督管理，采取有效措施保证安全生产，实现甲方要求的以下安全管理目标。</w:t>
      </w:r>
    </w:p>
    <w:p w14:paraId="4D6C4391">
      <w:pPr>
        <w:pStyle w:val="207"/>
        <w:adjustRightInd w:val="0"/>
        <w:ind w:firstLine="420"/>
        <w:rPr>
          <w:rFonts w:hint="eastAsia" w:ascii="宋体" w:hAnsi="宋体" w:eastAsia="宋体" w:cs="宋体"/>
          <w:b w:val="0"/>
          <w:color w:val="auto"/>
          <w:kern w:val="2"/>
          <w:sz w:val="21"/>
          <w:szCs w:val="21"/>
          <w:highlight w:val="none"/>
        </w:rPr>
      </w:pPr>
      <w:bookmarkStart w:id="459" w:name="_Toc493684467"/>
      <w:bookmarkStart w:id="460" w:name="_Toc493685185"/>
      <w:r>
        <w:rPr>
          <w:rFonts w:hint="eastAsia" w:ascii="宋体" w:hAnsi="宋体" w:eastAsia="宋体" w:cs="宋体"/>
          <w:b w:val="0"/>
          <w:color w:val="auto"/>
          <w:kern w:val="2"/>
          <w:sz w:val="21"/>
          <w:szCs w:val="21"/>
          <w:highlight w:val="none"/>
        </w:rPr>
        <w:t>（1）安全管理目标</w:t>
      </w:r>
      <w:bookmarkEnd w:id="459"/>
      <w:bookmarkEnd w:id="460"/>
    </w:p>
    <w:p w14:paraId="42CC52A6">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1）分包工程安全评估率100%；</w:t>
      </w:r>
    </w:p>
    <w:p w14:paraId="518F5FD9">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2）从业人员岗前安全、职业健康培训、操作技能培训100%；</w:t>
      </w:r>
    </w:p>
    <w:p w14:paraId="4209CD1A">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3）在规定的时间内安全生产隐患整改率100%；</w:t>
      </w:r>
    </w:p>
    <w:p w14:paraId="40BD95C8">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4）安全负责人到位率100%、特种作业人员、特种设备操作人员持证上岗率100%；</w:t>
      </w:r>
    </w:p>
    <w:p w14:paraId="7A2B7791">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5）特种设备检验合格率100%、重要设施、重点部位的安全防护设施完好率100%；</w:t>
      </w:r>
    </w:p>
    <w:p w14:paraId="761EEDBC">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6）危险性较大的分部、分项工程专项安全技术措施编制、审批、交底率100%；</w:t>
      </w:r>
    </w:p>
    <w:p w14:paraId="117D1943">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7）职业病危害项目申报率100%；工作场所职业病危害告知率，职业病危害因素监测合格率100%；</w:t>
      </w:r>
    </w:p>
    <w:p w14:paraId="0634593A">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8）从事接触职业病危害劳动者的职业健康体检率100%；</w:t>
      </w:r>
    </w:p>
    <w:p w14:paraId="11EB923C">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9）危险作业许可管理100%；重大危险源监控100%。</w:t>
      </w:r>
    </w:p>
    <w:p w14:paraId="01F09FAA">
      <w:pPr>
        <w:adjustRightInd w:val="0"/>
        <w:snapToGrid w:val="0"/>
        <w:spacing w:line="360" w:lineRule="auto"/>
        <w:ind w:firstLine="420" w:firstLineChars="200"/>
        <w:rPr>
          <w:rFonts w:hint="eastAsia" w:ascii="宋体" w:hAnsi="宋体" w:eastAsia="宋体" w:cs="宋体"/>
          <w:color w:val="auto"/>
          <w:szCs w:val="21"/>
          <w:highlight w:val="none"/>
        </w:rPr>
      </w:pPr>
      <w:bookmarkStart w:id="461" w:name="_Toc493684468"/>
      <w:r>
        <w:rPr>
          <w:rFonts w:hint="eastAsia" w:ascii="宋体" w:hAnsi="宋体" w:eastAsia="宋体" w:cs="宋体"/>
          <w:color w:val="auto"/>
          <w:szCs w:val="21"/>
          <w:highlight w:val="none"/>
        </w:rPr>
        <w:t>（2）事故控制目标</w:t>
      </w:r>
      <w:bookmarkEnd w:id="461"/>
    </w:p>
    <w:p w14:paraId="017AD849">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1）不发生有人员死亡的生产安全事故；</w:t>
      </w:r>
    </w:p>
    <w:p w14:paraId="4DC969F1">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2）不发生负主责的较大及以上交通事故；</w:t>
      </w:r>
    </w:p>
    <w:p w14:paraId="3A458BE5">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3）不发生在自然灾害中承担管理责任的较大及以上安全事故； </w:t>
      </w:r>
    </w:p>
    <w:p w14:paraId="6DAD1967">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4）不发生重大及以上的设备事故；</w:t>
      </w:r>
    </w:p>
    <w:p w14:paraId="2EE5896C">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5）不发生造成人员死亡和直接经济损失30万元及以上的火灾事故；</w:t>
      </w:r>
    </w:p>
    <w:p w14:paraId="07F85477">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6）不发生因质量问题引发的工程安全事故；</w:t>
      </w:r>
    </w:p>
    <w:p w14:paraId="66C60E8A">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7）不发生群体性职业病危害事故。 </w:t>
      </w:r>
    </w:p>
    <w:p w14:paraId="13568B8F">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贯彻“安全第一、预防为主、综合治理”的方针，按照“管生产必须管安全”的原则开展安全生产工作。建立健全现场安全生产组织管理体系、制定和完善有关管理制度并及时报甲方备案，强化对操作人员安全意识教育，切实落实安全生产活动，对本分包工程项目的安全工作负责。</w:t>
      </w:r>
    </w:p>
    <w:p w14:paraId="445FF4E8">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现场人员配备应满足有关法律法规及分包合同约定要求，人员应及时到位、有效履职；乙方现场负责人、技术负责人、安全负责人必须与乙方保持合法劳动关系，并向甲方提供劳动合同或社保缴费证明；乙方应根据分包工程特点、施工危险程度增高、操作人数增多等情况变化（如：高边坡、高排架、深基坑等），增配满足需要的专职安全生产管理人员。</w:t>
      </w:r>
    </w:p>
    <w:p w14:paraId="05A61455">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乙方必须严格履行用工手续，并保持人员相对稳定，如更换增加新人必须向甲方及时汇报，补办相关手续（注册登记、安全培训教育等）。乙方应及时编制和更新现场人员台账并报甲方安全部门备案。台账应包括现场所有管理人员和作业人员的姓名、身份证、暂住证、流动就业证、常驻家庭住址、联系人、联系方式等信息。所有人员的身份证、暂住证、流动就业证复印件应随台账一起报送甲方安全部门备案。</w:t>
      </w:r>
    </w:p>
    <w:p w14:paraId="6C1E0B40">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乙方须持有现行有效的安全生产许可证，乙方参加施工的人员，须接受过相应安全教育和技术培训，熟知并遵守本工种各项安全要求以及安全技术操作规程。乙方作业前应针对分包工程项目特点进行再教育，提高从业人员的安全素质及自我防护意识，现场从业人员未经安全生产教育培训合格，不得上岗作业。特种作业人员（如从事电气、起重、建筑登高架设作业、锅炉、压力容器、焊接、机动车船艇驾驶、爆破、潜水、瓦斯检验等特殊工种的人员）必须持国家认可的、有效证件上岗。</w:t>
      </w:r>
    </w:p>
    <w:p w14:paraId="1B90A3DF">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乙方人员在甲方有急性中毒或窒息风险的危险场所作业时，应严格落实有限空间作业“先通风、后检测、再进入”的制度，正确穿戴好隔离式呼吸器或佩戴好防毒面具以及安全带、安全绳等防护用品，作业前应办理《有限空间作业许可证》和组织落实各项防护措施，并派专人监护。没有《有限空间作业许可证》，严禁擅自进行有限空间作业。</w:t>
      </w:r>
    </w:p>
    <w:p w14:paraId="44F12500">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乙方人员在易燃易爆部位或场所从事电焊、氧焊氧割、打磨切割等动火作业时，必须先清理干净作业现场周围易燃易爆物品，配备灭火器材、落实防火措施、派专人监护确认达到动火条件，办理《动火作业许可证》后方可进行动火作业。使用氧气瓶、乙炔瓶时要竖放并有防倾倒措施，且两瓶之间的距离不少于5米，两瓶离动火地点或其他火源至少10米。</w:t>
      </w:r>
    </w:p>
    <w:p w14:paraId="217D66C4">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乙方人员从事两米以上的高空作业，必须佩戴安全帽和安全带，在作业过程中严禁抛掷工具和其他物品，作业面垂直上下方不能同时施工作业，六级（含六级）以上大风严禁高空作业，在施工前应办理《高空作业许可证》，设定危险禁戒区，并派专人监护。</w:t>
      </w:r>
    </w:p>
    <w:p w14:paraId="0DEF6E47">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9.乙方人员起吊安装大型设备，需按照国家有关法律法规要求，提前编制专项施工（安装）方案，严格按照审批后的方案进行吊装作业，并做好起吊现场的安全防护措施，设定危险禁戒区，派专人监护。</w:t>
      </w:r>
    </w:p>
    <w:p w14:paraId="2A354F38">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乙方人员从事动土作业，施工现场应设置防护栏杆、防护盖板和安全警示标志等防护设施，夜间应挂红色警示灯，挖土方应自上而下，不能采取挖底脚的方法挖掘，施工前应办理《动土作业许可证》，并设定危险禁戒区，派专人监护，施工结束后应及时回土，恢复地面设施。</w:t>
      </w:r>
    </w:p>
    <w:p w14:paraId="7B51A50B">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11.乙方应依据合同约定，保证落实相应安全投入费用；甲方拨付的安全投入费用，乙方应负责保证费用使用符合安全投入规定要求。</w:t>
      </w:r>
    </w:p>
    <w:p w14:paraId="1639710D">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12.乙方应根据分包工程项目特点，负责编制专项安全施工方案，提交甲方审核、批准；在相应专项工程实施前，应及时组织有针对性地进行安全技术交底（交底要交到所有作业人员，并严格履行签字手续）。</w:t>
      </w:r>
    </w:p>
    <w:p w14:paraId="0AD62CEB">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13.乙方对各作业班组每天必须进行班前安全讲话，落实当班安全事项，做好施工过程中的安全巡视和检查，并留存记录。</w:t>
      </w:r>
    </w:p>
    <w:p w14:paraId="6665DE13">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14.操作人员上岗，须按规定穿戴防护用品。施工现场负责人和安全员应随时检查劳动防护用品穿戴情况，禁止不按规定穿戴防护用品的人员上岗。</w:t>
      </w:r>
    </w:p>
    <w:p w14:paraId="4B6976D2">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15.易燃易爆材料的使用和保管职责依据合同约定，存贮地点应配备足够的消防设施，所有施工人员都应熟悉消防设施的性能和使用方法。不得将任何种类的爆炸物给予、易货、转让给其他人。</w:t>
      </w:r>
    </w:p>
    <w:p w14:paraId="3087A832">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乙方应按照分包合同约定，实施相应满足安全需要的安全防护措施。对甲方的安全防护设施不得随意拆除，需拆除的必须书面报甲方批准。乙方必须保证作业场所安全防护到位，提供的防护设施及施工设备，应符合国家及行业标准，并自觉接受甲方管理人员的监督、检查，及时解决存在的隐患和问题。</w:t>
      </w:r>
    </w:p>
    <w:p w14:paraId="716C4997">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17.用于施工的自有设备和机具均应定期检查，并有安全员签字记录，保证其经常处于完好状态。严禁使用不合格的设备、机具、劳动防护用品。</w:t>
      </w:r>
    </w:p>
    <w:p w14:paraId="0621BF88">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18.负责落实与所承担施工任务有关的安全事故应急救援预案，并组织有关人员参加演练。</w:t>
      </w:r>
    </w:p>
    <w:p w14:paraId="6E028871">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19.乙方在施工过程中发现安全隐患，应立即整改；如需甲方合作才能整改到位的，应及时向甲方现场负责人汇报，双方组织消除隐患，确保施工安全。</w:t>
      </w:r>
    </w:p>
    <w:p w14:paraId="037CFB9D">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20.乙方在施工过程中发生安全事故，应立即向甲方现场负责人汇报，双方组织抢救、保护事故现场。如有人员伤亡，乙方负责通知家属，做好事故善后处理工作。</w:t>
      </w:r>
    </w:p>
    <w:p w14:paraId="5CB46618">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21.乙方应给进入现场的作业人员购买人身伤害意外保险及相关要求的保险。</w:t>
      </w:r>
    </w:p>
    <w:p w14:paraId="64FB5C06">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22.安全事故处理费用本着先从保险公司理赔，对剩余费用按甲乙双方责任认定，按责任比例进行解决。</w:t>
      </w:r>
    </w:p>
    <w:p w14:paraId="2D0B74C2">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甲方安全部门按月度对乙方的安全生产工作进行考核，若乙方安全生产责任未履行到位，被考核不合格，甲方有权扣除相应的安全文明措施费；若乙方在此后的施工过程中，按照相关要求补充和完善了相关安全管理措施且未发生承担责任的人身伤害事故及机械设备事故，经甲方考核合格，甲方可返还或部分返还已扣的安全文明措施费。</w:t>
      </w:r>
    </w:p>
    <w:p w14:paraId="3AADA121">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24.乙方应同时遵守相关的法律法规。</w:t>
      </w:r>
    </w:p>
    <w:p w14:paraId="3D7901C7">
      <w:pPr>
        <w:adjustRightInd w:val="0"/>
        <w:snapToGrid w:val="0"/>
        <w:spacing w:line="360" w:lineRule="auto"/>
        <w:ind w:firstLine="422" w:firstLineChars="200"/>
        <w:rPr>
          <w:rFonts w:hint="eastAsia" w:ascii="宋体" w:hAnsi="宋体" w:eastAsia="宋体" w:cs="宋体"/>
          <w:b/>
          <w:color w:val="auto"/>
          <w:szCs w:val="21"/>
          <w:highlight w:val="none"/>
        </w:rPr>
      </w:pPr>
      <w:bookmarkStart w:id="462" w:name="_Toc493684469"/>
      <w:r>
        <w:rPr>
          <w:rFonts w:hint="eastAsia" w:ascii="宋体" w:hAnsi="宋体" w:eastAsia="宋体" w:cs="宋体"/>
          <w:b/>
          <w:color w:val="auto"/>
          <w:szCs w:val="21"/>
          <w:highlight w:val="none"/>
        </w:rPr>
        <w:t>三、违约责任</w:t>
      </w:r>
      <w:bookmarkEnd w:id="462"/>
    </w:p>
    <w:p w14:paraId="4C413527">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在施工过程中，由于以下原因导致的安全事故，乙方应负全责:</w:t>
      </w:r>
    </w:p>
    <w:p w14:paraId="25D902D3">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（1）因个人身体健康原因造成的安全事故。乙方应在进场前，组织对所有进场的人员进行体检，保证进场人员身体健康，能够满足相应生产活动要求。</w:t>
      </w:r>
    </w:p>
    <w:p w14:paraId="253D40AA">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（2）因乙方未对其人员进行安全教育造成的安全事故。乙方应负责对其现场所有人员进行安全教育。</w:t>
      </w:r>
    </w:p>
    <w:p w14:paraId="61EE5ED0">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（3）因乙方人员擅自离开分包作业工作面发生的安全事故。</w:t>
      </w:r>
    </w:p>
    <w:p w14:paraId="36FDAACE">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（4）乙方在施工过程因违章指挥、违章作业、违反安全技术操作规程而造成安全事故。</w:t>
      </w:r>
    </w:p>
    <w:p w14:paraId="3CE2896F">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（5）由其它乙方原因造成的安全事故。</w:t>
      </w:r>
    </w:p>
    <w:p w14:paraId="6A17137E">
      <w:pPr>
        <w:pStyle w:val="207"/>
        <w:adjustRightInd w:val="0"/>
        <w:ind w:firstLine="422"/>
        <w:rPr>
          <w:rFonts w:hint="eastAsia" w:ascii="宋体" w:hAnsi="宋体" w:eastAsia="宋体" w:cs="宋体"/>
          <w:color w:val="auto"/>
          <w:sz w:val="21"/>
          <w:szCs w:val="21"/>
          <w:highlight w:val="none"/>
        </w:rPr>
      </w:pPr>
      <w:bookmarkStart w:id="463" w:name="_Toc493684470"/>
      <w:r>
        <w:rPr>
          <w:rFonts w:hint="eastAsia" w:ascii="宋体" w:hAnsi="宋体" w:eastAsia="宋体" w:cs="宋体"/>
          <w:color w:val="auto"/>
          <w:sz w:val="21"/>
          <w:szCs w:val="21"/>
          <w:highlight w:val="none"/>
        </w:rPr>
        <w:t>四、其他</w:t>
      </w:r>
      <w:bookmarkEnd w:id="463"/>
    </w:p>
    <w:p w14:paraId="7864E3E7">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1.本协议由双方法定代表人签署并盖章后生效，全部工程竣工验收后失效。</w:t>
      </w:r>
    </w:p>
    <w:p w14:paraId="1518163C">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2.本协议书一式肆份，甲乙双方各执贰份。</w:t>
      </w:r>
    </w:p>
    <w:p w14:paraId="4490D0B2">
      <w:pPr>
        <w:adjustRightInd w:val="0"/>
        <w:snapToGrid w:val="0"/>
        <w:spacing w:line="360" w:lineRule="auto"/>
        <w:rPr>
          <w:rFonts w:hint="eastAsia" w:ascii="宋体" w:hAnsi="宋体" w:eastAsia="宋体" w:cs="宋体"/>
          <w:color w:val="auto"/>
          <w:szCs w:val="21"/>
          <w:highlight w:val="none"/>
        </w:rPr>
      </w:pPr>
    </w:p>
    <w:tbl>
      <w:tblPr>
        <w:tblStyle w:val="4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6E951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261" w:type="dxa"/>
          </w:tcPr>
          <w:p w14:paraId="0706BC87">
            <w:pPr>
              <w:pStyle w:val="2"/>
              <w:keepNext w:val="0"/>
              <w:keepLines w:val="0"/>
              <w:suppressLineNumbers w:val="0"/>
              <w:snapToGrid w:val="0"/>
              <w:spacing w:before="0" w:beforeAutospacing="0" w:after="0" w:afterAutospacing="0" w:line="360" w:lineRule="auto"/>
              <w:ind w:left="0" w:right="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甲方：东莞市碧水信息科技有限公司</w:t>
            </w:r>
          </w:p>
        </w:tc>
        <w:tc>
          <w:tcPr>
            <w:tcW w:w="4261" w:type="dxa"/>
          </w:tcPr>
          <w:p w14:paraId="250526F7">
            <w:pPr>
              <w:pStyle w:val="2"/>
              <w:keepNext w:val="0"/>
              <w:keepLines w:val="0"/>
              <w:suppressLineNumbers w:val="0"/>
              <w:snapToGrid w:val="0"/>
              <w:spacing w:before="0" w:beforeAutospacing="0" w:after="0" w:afterAutospacing="0" w:line="360" w:lineRule="auto"/>
              <w:ind w:left="0" w:right="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乙方：</w:t>
            </w:r>
            <w:r>
              <w:rPr>
                <w:rFonts w:hint="eastAsia" w:hAnsi="宋体" w:cs="宋体"/>
                <w:b w:val="0"/>
                <w:color w:val="auto"/>
                <w:sz w:val="21"/>
                <w:szCs w:val="21"/>
                <w:highlight w:val="none"/>
                <w:lang w:val="en-US"/>
              </w:rPr>
              <w:t xml:space="preserve">                    </w:t>
            </w:r>
          </w:p>
        </w:tc>
      </w:tr>
      <w:tr w14:paraId="42B5B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261" w:type="dxa"/>
          </w:tcPr>
          <w:p w14:paraId="2E1E7F65">
            <w:pPr>
              <w:pStyle w:val="2"/>
              <w:keepNext w:val="0"/>
              <w:keepLines w:val="0"/>
              <w:suppressLineNumbers w:val="0"/>
              <w:snapToGrid w:val="0"/>
              <w:spacing w:before="0" w:beforeAutospacing="0" w:after="0" w:afterAutospacing="0" w:line="360" w:lineRule="auto"/>
              <w:ind w:left="0" w:right="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法定代表人：</w:t>
            </w:r>
          </w:p>
        </w:tc>
        <w:tc>
          <w:tcPr>
            <w:tcW w:w="4261" w:type="dxa"/>
          </w:tcPr>
          <w:p w14:paraId="49B16111">
            <w:pPr>
              <w:pStyle w:val="2"/>
              <w:keepNext w:val="0"/>
              <w:keepLines w:val="0"/>
              <w:suppressLineNumbers w:val="0"/>
              <w:snapToGrid w:val="0"/>
              <w:spacing w:before="0" w:beforeAutospacing="0" w:after="0" w:afterAutospacing="0" w:line="360" w:lineRule="auto"/>
              <w:ind w:left="0" w:right="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法定代表人：</w:t>
            </w:r>
          </w:p>
        </w:tc>
      </w:tr>
      <w:tr w14:paraId="0953B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8522" w:type="dxa"/>
            <w:gridSpan w:val="2"/>
          </w:tcPr>
          <w:p w14:paraId="4614B6A2">
            <w:pPr>
              <w:pStyle w:val="2"/>
              <w:keepNext w:val="0"/>
              <w:keepLines w:val="0"/>
              <w:suppressLineNumbers w:val="0"/>
              <w:spacing w:before="0" w:beforeAutospacing="0" w:after="0" w:afterAutospacing="0" w:line="360" w:lineRule="auto"/>
              <w:ind w:left="0" w:right="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签订日期：</w:t>
            </w:r>
          </w:p>
        </w:tc>
      </w:tr>
    </w:tbl>
    <w:p w14:paraId="2984CB78">
      <w:pPr>
        <w:pStyle w:val="2"/>
        <w:snapToGrid w:val="0"/>
        <w:spacing w:line="360" w:lineRule="auto"/>
        <w:ind w:right="0"/>
        <w:jc w:val="left"/>
        <w:rPr>
          <w:rFonts w:hint="eastAsia"/>
          <w:color w:val="auto"/>
          <w:sz w:val="21"/>
          <w:szCs w:val="21"/>
          <w:highlight w:val="none"/>
          <w:lang w:val="en-US"/>
        </w:rPr>
      </w:pPr>
    </w:p>
    <w:p w14:paraId="09FBDA34">
      <w:pPr>
        <w:rPr>
          <w:rFonts w:hint="eastAsia"/>
          <w:color w:val="auto"/>
          <w:szCs w:val="21"/>
          <w:highlight w:val="none"/>
        </w:rPr>
      </w:pPr>
      <w:r>
        <w:rPr>
          <w:rFonts w:hint="eastAsia"/>
          <w:color w:val="auto"/>
          <w:szCs w:val="21"/>
          <w:highlight w:val="none"/>
        </w:rPr>
        <w:br w:type="page"/>
      </w:r>
    </w:p>
    <w:p w14:paraId="154A818F">
      <w:pPr>
        <w:pStyle w:val="2"/>
        <w:snapToGrid w:val="0"/>
        <w:spacing w:line="360" w:lineRule="auto"/>
        <w:ind w:right="0"/>
        <w:jc w:val="left"/>
        <w:outlineLvl w:val="2"/>
        <w:rPr>
          <w:rFonts w:hint="eastAsia"/>
          <w:color w:val="auto"/>
          <w:sz w:val="21"/>
          <w:szCs w:val="21"/>
          <w:highlight w:val="none"/>
          <w:lang w:val="en-US"/>
        </w:rPr>
      </w:pPr>
      <w:bookmarkStart w:id="464" w:name="_Toc1371"/>
      <w:r>
        <w:rPr>
          <w:rFonts w:hint="eastAsia"/>
          <w:color w:val="auto"/>
          <w:sz w:val="21"/>
          <w:szCs w:val="21"/>
          <w:highlight w:val="none"/>
          <w:lang w:val="en-US"/>
        </w:rPr>
        <w:t>附件2：关于及时支付工人工资的协议书</w:t>
      </w:r>
      <w:bookmarkEnd w:id="464"/>
    </w:p>
    <w:p w14:paraId="52D657E9">
      <w:pPr>
        <w:pStyle w:val="37"/>
        <w:ind w:firstLine="0" w:firstLineChars="0"/>
        <w:rPr>
          <w:rFonts w:hint="eastAsia"/>
          <w:color w:val="auto"/>
          <w:highlight w:val="none"/>
        </w:rPr>
      </w:pPr>
    </w:p>
    <w:p w14:paraId="17D564EF">
      <w:pPr>
        <w:autoSpaceDE w:val="0"/>
        <w:autoSpaceDN w:val="0"/>
        <w:adjustRightInd w:val="0"/>
        <w:snapToGrid w:val="0"/>
        <w:spacing w:line="360" w:lineRule="auto"/>
        <w:ind w:firstLine="562" w:firstLineChars="200"/>
        <w:jc w:val="center"/>
        <w:rPr>
          <w:rFonts w:hint="eastAsia" w:ascii="Times New Roman" w:eastAsia="宋体"/>
          <w:color w:val="auto"/>
          <w:sz w:val="22"/>
          <w:highlight w:val="none"/>
        </w:rPr>
      </w:pPr>
      <w:r>
        <w:rPr>
          <w:rFonts w:hint="eastAsia" w:ascii="宋体" w:hAnsi="宋体" w:eastAsia="宋体" w:cs="宋体"/>
          <w:b/>
          <w:bCs/>
          <w:color w:val="auto"/>
          <w:sz w:val="28"/>
          <w:szCs w:val="28"/>
          <w:highlight w:val="none"/>
        </w:rPr>
        <w:t>关于及时支付工人工资的协议书</w:t>
      </w:r>
    </w:p>
    <w:p w14:paraId="0E135AEE">
      <w:pPr>
        <w:spacing w:line="360" w:lineRule="auto"/>
        <w:textAlignment w:val="baseline"/>
        <w:rPr>
          <w:rFonts w:hint="eastAsia" w:ascii="Times New Roman" w:eastAsia="宋体"/>
          <w:color w:val="auto"/>
          <w:szCs w:val="21"/>
          <w:highlight w:val="none"/>
        </w:rPr>
      </w:pPr>
    </w:p>
    <w:p w14:paraId="0EE06191">
      <w:pPr>
        <w:spacing w:line="360" w:lineRule="auto"/>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甲方：东莞市碧水信息科技有限公司</w:t>
      </w:r>
    </w:p>
    <w:p w14:paraId="012AB7F5">
      <w:pPr>
        <w:spacing w:line="360" w:lineRule="auto"/>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乙方：  </w:t>
      </w:r>
    </w:p>
    <w:p w14:paraId="6FBAAEE3">
      <w:pPr>
        <w:autoSpaceDE w:val="0"/>
        <w:autoSpaceDN w:val="0"/>
        <w:adjustRightInd w:val="0"/>
        <w:spacing w:line="360" w:lineRule="auto"/>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鉴于甲乙双方于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日签订《东莞市碧水信息科技有限公司2025-2027年施工劳务分包框架合同（   区）》（以下简称“框架合同”），根据相关法律法规，甲乙双方本着平等互利的原则，就框架合同项下所有劳务分包项目有关事宜进行友好协商，并共同达成以下补充协议：</w:t>
      </w:r>
    </w:p>
    <w:p w14:paraId="4F0857ED">
      <w:pPr>
        <w:spacing w:line="360" w:lineRule="auto"/>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乙方应制定切实可行的管理、监督措施，及时合理安排资金，必须确保优先发放工人（民工）、管理人员（包括加班费）的工资，决不拖欠；并保证工人工资能够不经其他环节，由乙方按月足额直接发放到工人（民工）手中。</w:t>
      </w:r>
    </w:p>
    <w:p w14:paraId="626D6DAE">
      <w:pPr>
        <w:spacing w:line="360" w:lineRule="auto"/>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单个项目完工后30个日历天内，乙方应向甲方提供工人工资结算清单，包括但不限于《工人工资结清证明表》、《工资发放情况表》，上述表格需明确工资支付时间、姓名、工作天数、应支项目和金额等。乙方必须保证工资发放情况及有关文件都是真实的、完整的、有效的，若因乙方弄虚作假等原因引起的一切后果均有乙方承担；导致甲方其他损失的，由乙方承担全部费用。同时，乙方应按甲方要求限时内完成整改。</w:t>
      </w:r>
    </w:p>
    <w:p w14:paraId="666E22AB">
      <w:pPr>
        <w:spacing w:line="360" w:lineRule="auto"/>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若在劳务分包作业实施过程中乙方发生了包括但不限于拖欠工人工资或工程事故等紧急情况时，乙方相关负责人不出现或者不配合相关部门处理的，甲方有权直接从应支付给乙方的劳务价款中扣除相应款项支付给工人（民工）或者有诉求的第三方；乙方对上述所支付工资额、工资总数予以确认，并保证当甲方垫付的工资总数超过甲方应付乙方的劳务价款时，超出部分由乙方及时清偿给甲方。</w:t>
      </w:r>
    </w:p>
    <w:p w14:paraId="1B36E2AC">
      <w:pPr>
        <w:spacing w:line="360" w:lineRule="auto"/>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四、若在实际发放工人工资的过程中，出现下列情况的任意一种，乙方在接到甲方书面通知之日起15个日历天内仍然未按要求发放或支付的，乙方每次须支付甲方单项劳务分包项目暂定价款的5％的违约金：</w:t>
      </w:r>
    </w:p>
    <w:p w14:paraId="2D48DAE9">
      <w:pPr>
        <w:spacing w:line="360" w:lineRule="auto"/>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1、当月工人工资的实际发放金额小于应发放金额80％；</w:t>
      </w:r>
    </w:p>
    <w:p w14:paraId="5C6697FF">
      <w:pPr>
        <w:spacing w:line="360" w:lineRule="auto"/>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2、当月工人工资的实际发放人数小于应发放人数80％；</w:t>
      </w:r>
    </w:p>
    <w:p w14:paraId="3B86C2F5">
      <w:pPr>
        <w:spacing w:line="360" w:lineRule="auto"/>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3、累计工人工资的实际发放金额小于应发放金额90％；</w:t>
      </w:r>
    </w:p>
    <w:p w14:paraId="04F88F37">
      <w:pPr>
        <w:spacing w:line="360" w:lineRule="auto"/>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五、因乙方违反本协议约定而须向甲方支付违约金的，该违约金甲方可在应付乙方的款项中直接扣除。</w:t>
      </w:r>
    </w:p>
    <w:p w14:paraId="6ECB9512">
      <w:pPr>
        <w:spacing w:line="360" w:lineRule="auto"/>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六、如发生争议纠纷，乙方应积极调解并尽快解决问题。若因拖欠工人工资、加班费或其他情况致使工程不能如期完工的，因此给甲方造成的损失由乙方承担，乙方不得有异议。</w:t>
      </w:r>
    </w:p>
    <w:p w14:paraId="0D19ACAB">
      <w:pPr>
        <w:spacing w:line="360" w:lineRule="auto"/>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七、本协议执行存在争端，不能解决时，双方均可向甲方所在地人民法院提起诉讼。本协议一式肆份，甲乙双方各执贰份，自双方法定代表人签字并盖章之日起生效。</w:t>
      </w:r>
    </w:p>
    <w:p w14:paraId="6317F16D">
      <w:pPr>
        <w:spacing w:line="360" w:lineRule="auto"/>
        <w:ind w:firstLine="420" w:firstLineChars="200"/>
        <w:textAlignment w:val="baseline"/>
        <w:rPr>
          <w:rFonts w:hint="eastAsia" w:ascii="宋体" w:hAnsi="宋体" w:eastAsia="宋体" w:cs="宋体"/>
          <w:color w:val="auto"/>
          <w:szCs w:val="21"/>
          <w:highlight w:val="none"/>
        </w:rPr>
      </w:pPr>
    </w:p>
    <w:tbl>
      <w:tblPr>
        <w:tblStyle w:val="4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17364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4261" w:type="dxa"/>
          </w:tcPr>
          <w:p w14:paraId="6AC65EA0">
            <w:pPr>
              <w:pStyle w:val="2"/>
              <w:keepNext w:val="0"/>
              <w:keepLines w:val="0"/>
              <w:suppressLineNumbers w:val="0"/>
              <w:spacing w:before="0" w:beforeAutospacing="0" w:after="0" w:afterAutospacing="0" w:line="360" w:lineRule="auto"/>
              <w:ind w:left="0" w:right="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甲方：东莞市碧水信息科技有限公司</w:t>
            </w:r>
          </w:p>
        </w:tc>
        <w:tc>
          <w:tcPr>
            <w:tcW w:w="4261" w:type="dxa"/>
          </w:tcPr>
          <w:p w14:paraId="54AAFB0E">
            <w:pPr>
              <w:pStyle w:val="2"/>
              <w:keepNext w:val="0"/>
              <w:keepLines w:val="0"/>
              <w:suppressLineNumbers w:val="0"/>
              <w:spacing w:before="0" w:beforeAutospacing="0" w:after="0" w:afterAutospacing="0" w:line="360" w:lineRule="auto"/>
              <w:ind w:left="0" w:right="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乙方：</w:t>
            </w:r>
            <w:r>
              <w:rPr>
                <w:rFonts w:hint="eastAsia" w:hAnsi="宋体" w:cs="宋体"/>
                <w:b w:val="0"/>
                <w:color w:val="auto"/>
                <w:sz w:val="21"/>
                <w:szCs w:val="21"/>
                <w:highlight w:val="none"/>
                <w:lang w:val="en-US"/>
              </w:rPr>
              <w:t xml:space="preserve">                    </w:t>
            </w:r>
          </w:p>
        </w:tc>
      </w:tr>
      <w:tr w14:paraId="29610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4261" w:type="dxa"/>
          </w:tcPr>
          <w:p w14:paraId="6BDD74F2">
            <w:pPr>
              <w:pStyle w:val="2"/>
              <w:keepNext w:val="0"/>
              <w:keepLines w:val="0"/>
              <w:suppressLineNumbers w:val="0"/>
              <w:spacing w:before="0" w:beforeAutospacing="0" w:after="0" w:afterAutospacing="0" w:line="360" w:lineRule="auto"/>
              <w:ind w:left="0" w:right="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法定代表人：</w:t>
            </w:r>
          </w:p>
        </w:tc>
        <w:tc>
          <w:tcPr>
            <w:tcW w:w="4261" w:type="dxa"/>
          </w:tcPr>
          <w:p w14:paraId="545EAA1E">
            <w:pPr>
              <w:pStyle w:val="2"/>
              <w:keepNext w:val="0"/>
              <w:keepLines w:val="0"/>
              <w:suppressLineNumbers w:val="0"/>
              <w:spacing w:before="0" w:beforeAutospacing="0" w:after="0" w:afterAutospacing="0" w:line="360" w:lineRule="auto"/>
              <w:ind w:left="0" w:right="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法定代表人：</w:t>
            </w:r>
          </w:p>
        </w:tc>
      </w:tr>
      <w:tr w14:paraId="78072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8522" w:type="dxa"/>
            <w:gridSpan w:val="2"/>
          </w:tcPr>
          <w:p w14:paraId="1F1D275D">
            <w:pPr>
              <w:pStyle w:val="2"/>
              <w:keepNext w:val="0"/>
              <w:keepLines w:val="0"/>
              <w:suppressLineNumbers w:val="0"/>
              <w:spacing w:before="0" w:beforeAutospacing="0" w:after="0" w:afterAutospacing="0" w:line="360" w:lineRule="auto"/>
              <w:ind w:left="0" w:right="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签订日期：</w:t>
            </w:r>
          </w:p>
        </w:tc>
      </w:tr>
    </w:tbl>
    <w:p w14:paraId="206CD701">
      <w:pPr>
        <w:pStyle w:val="2"/>
        <w:snapToGrid w:val="0"/>
        <w:spacing w:line="360" w:lineRule="auto"/>
        <w:ind w:right="0"/>
        <w:jc w:val="left"/>
        <w:rPr>
          <w:rFonts w:hint="eastAsia"/>
          <w:color w:val="auto"/>
          <w:sz w:val="21"/>
          <w:szCs w:val="21"/>
          <w:highlight w:val="none"/>
          <w:lang w:val="en-US"/>
        </w:rPr>
      </w:pPr>
    </w:p>
    <w:p w14:paraId="7C66BBC0">
      <w:pPr>
        <w:rPr>
          <w:rFonts w:hint="eastAsia"/>
          <w:color w:val="auto"/>
          <w:szCs w:val="21"/>
          <w:highlight w:val="none"/>
        </w:rPr>
      </w:pPr>
      <w:r>
        <w:rPr>
          <w:rFonts w:hint="eastAsia"/>
          <w:color w:val="auto"/>
          <w:szCs w:val="21"/>
          <w:highlight w:val="none"/>
        </w:rPr>
        <w:br w:type="page"/>
      </w:r>
    </w:p>
    <w:p w14:paraId="492159F7">
      <w:pPr>
        <w:pStyle w:val="2"/>
        <w:snapToGrid w:val="0"/>
        <w:spacing w:line="360" w:lineRule="auto"/>
        <w:ind w:right="0"/>
        <w:jc w:val="left"/>
        <w:outlineLvl w:val="2"/>
        <w:rPr>
          <w:rFonts w:hint="eastAsia"/>
          <w:color w:val="auto"/>
          <w:sz w:val="21"/>
          <w:szCs w:val="21"/>
          <w:highlight w:val="none"/>
          <w:lang w:val="en-US"/>
        </w:rPr>
      </w:pPr>
      <w:bookmarkStart w:id="465" w:name="_Toc1587"/>
      <w:r>
        <w:rPr>
          <w:rFonts w:hint="eastAsia"/>
          <w:color w:val="auto"/>
          <w:sz w:val="21"/>
          <w:szCs w:val="21"/>
          <w:highlight w:val="none"/>
          <w:lang w:val="en-US"/>
        </w:rPr>
        <w:t>附件3：环境保护与职业健康安全协议书</w:t>
      </w:r>
      <w:bookmarkEnd w:id="465"/>
    </w:p>
    <w:p w14:paraId="31272F9A">
      <w:pPr>
        <w:pStyle w:val="37"/>
        <w:ind w:firstLine="0" w:firstLineChars="0"/>
        <w:rPr>
          <w:rFonts w:hint="eastAsia"/>
          <w:color w:val="auto"/>
          <w:highlight w:val="none"/>
        </w:rPr>
      </w:pPr>
    </w:p>
    <w:p w14:paraId="38C504C7">
      <w:pPr>
        <w:spacing w:line="360" w:lineRule="auto"/>
        <w:jc w:val="center"/>
        <w:rPr>
          <w:rFonts w:hint="eastAsia" w:ascii="Times New Roman" w:eastAsia="宋体"/>
          <w:b/>
          <w:bCs/>
          <w:color w:val="auto"/>
          <w:sz w:val="30"/>
          <w:szCs w:val="30"/>
          <w:highlight w:val="none"/>
        </w:rPr>
      </w:pPr>
      <w:r>
        <w:rPr>
          <w:rFonts w:ascii="Times New Roman" w:eastAsia="宋体"/>
          <w:b/>
          <w:bCs/>
          <w:color w:val="auto"/>
          <w:sz w:val="30"/>
          <w:szCs w:val="30"/>
          <w:highlight w:val="none"/>
        </w:rPr>
        <w:t>环境保护与职业健康安全协议书</w:t>
      </w:r>
    </w:p>
    <w:p w14:paraId="195DCD8F">
      <w:pPr>
        <w:adjustRightInd w:val="0"/>
        <w:snapToGrid w:val="0"/>
        <w:spacing w:line="360" w:lineRule="auto"/>
        <w:rPr>
          <w:rFonts w:hint="eastAsia" w:ascii="宋体" w:hAnsi="宋体" w:eastAsia="宋体" w:cs="宋体"/>
          <w:color w:val="auto"/>
          <w:szCs w:val="21"/>
          <w:highlight w:val="none"/>
        </w:rPr>
      </w:pPr>
    </w:p>
    <w:p w14:paraId="2CE35CB9">
      <w:p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甲方：东莞市碧水信息科技有限公司</w:t>
      </w:r>
    </w:p>
    <w:p w14:paraId="07E7AA63">
      <w:pPr>
        <w:pStyle w:val="21"/>
        <w:adjustRightInd w:val="0"/>
        <w:snapToGrid w:val="0"/>
        <w:spacing w:line="360" w:lineRule="auto"/>
        <w:jc w:val="left"/>
        <w:rPr>
          <w:rFonts w:hint="eastAsia" w:hAnsi="宋体" w:cs="宋体"/>
          <w:color w:val="auto"/>
          <w:szCs w:val="21"/>
          <w:highlight w:val="none"/>
        </w:rPr>
      </w:pPr>
      <w:r>
        <w:rPr>
          <w:rFonts w:hint="eastAsia" w:hAnsi="宋体" w:cs="宋体"/>
          <w:color w:val="auto"/>
          <w:szCs w:val="21"/>
          <w:highlight w:val="none"/>
        </w:rPr>
        <w:t>乙方：</w:t>
      </w:r>
      <w:r>
        <w:rPr>
          <w:rFonts w:hint="eastAsia" w:hAnsi="宋体" w:cs="宋体"/>
          <w:bCs/>
          <w:color w:val="auto"/>
          <w:szCs w:val="21"/>
          <w:highlight w:val="none"/>
        </w:rPr>
        <w:t xml:space="preserve">                    </w:t>
      </w:r>
      <w:r>
        <w:rPr>
          <w:rFonts w:hint="eastAsia" w:hAnsi="宋体" w:cs="宋体"/>
          <w:color w:val="auto"/>
          <w:szCs w:val="21"/>
          <w:highlight w:val="none"/>
        </w:rPr>
        <w:t xml:space="preserve">      </w:t>
      </w:r>
    </w:p>
    <w:p w14:paraId="6ECE0BC7">
      <w:pPr>
        <w:pStyle w:val="21"/>
        <w:adjustRightInd w:val="0"/>
        <w:snapToGrid w:val="0"/>
        <w:spacing w:line="360" w:lineRule="auto"/>
        <w:ind w:firstLine="420" w:firstLineChars="200"/>
        <w:jc w:val="left"/>
        <w:rPr>
          <w:rFonts w:hint="eastAsia" w:hAnsi="宋体" w:cs="宋体"/>
          <w:color w:val="auto"/>
          <w:szCs w:val="21"/>
          <w:highlight w:val="none"/>
        </w:rPr>
      </w:pPr>
      <w:r>
        <w:rPr>
          <w:rFonts w:hint="eastAsia" w:hAnsi="宋体" w:cs="宋体"/>
          <w:color w:val="auto"/>
          <w:szCs w:val="21"/>
          <w:highlight w:val="none"/>
        </w:rPr>
        <w:t>为在</w:t>
      </w:r>
      <w:r>
        <w:rPr>
          <w:rFonts w:hint="eastAsia" w:hAnsi="宋体" w:cs="宋体"/>
          <w:bCs/>
          <w:color w:val="auto"/>
          <w:szCs w:val="21"/>
          <w:highlight w:val="none"/>
        </w:rPr>
        <w:t>《东莞市碧水信息科技有限公司2025-2027年施工劳务分包框架合同（   区）》项下所有劳务分包项目的</w:t>
      </w:r>
      <w:r>
        <w:rPr>
          <w:rFonts w:hint="eastAsia" w:hAnsi="宋体" w:cs="宋体"/>
          <w:color w:val="auto"/>
          <w:szCs w:val="21"/>
          <w:highlight w:val="none"/>
        </w:rPr>
        <w:t>实施过程中，切实落实甲乙双方环境保护与职业健康安全管理职责，强化现场管理，确保各项控制指标满足《中华人民共和国环境保护法》、《中华人民共和国职业病防治法》等法律法规和相关规章制度要求，甲、乙双方签订本环境保护与职业健康安全协议，以资共同遵守。</w:t>
      </w:r>
    </w:p>
    <w:p w14:paraId="24D60C6F">
      <w:pPr>
        <w:pStyle w:val="207"/>
        <w:adjustRightInd w:val="0"/>
        <w:ind w:firstLine="422"/>
        <w:rPr>
          <w:rFonts w:hint="eastAsia" w:ascii="宋体" w:hAnsi="宋体" w:eastAsia="宋体" w:cs="宋体"/>
          <w:color w:val="auto"/>
          <w:sz w:val="21"/>
          <w:szCs w:val="21"/>
          <w:highlight w:val="none"/>
        </w:rPr>
      </w:pPr>
      <w:bookmarkStart w:id="466" w:name="_Toc493684471"/>
      <w:r>
        <w:rPr>
          <w:rFonts w:hint="eastAsia" w:ascii="宋体" w:hAnsi="宋体" w:eastAsia="宋体" w:cs="宋体"/>
          <w:color w:val="auto"/>
          <w:sz w:val="21"/>
          <w:szCs w:val="21"/>
          <w:highlight w:val="none"/>
        </w:rPr>
        <w:t>一、甲方职责</w:t>
      </w:r>
      <w:bookmarkEnd w:id="466"/>
    </w:p>
    <w:p w14:paraId="75128D1F">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1.认真贯彻执行国家、地方环境保护与职业健康安全法律法规，确保投入的有效实施，正确处理环境与生产、职业健康安全与生产的关系。</w:t>
      </w:r>
    </w:p>
    <w:p w14:paraId="2A6CAACE">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2.建立、健全环境保护与职业健康安全管理体系，确保运行正常、管理有效。</w:t>
      </w:r>
    </w:p>
    <w:p w14:paraId="62B5F802">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3.审查乙方进场前的资格，审核合格后，方可签订分包合同和环境保护与职业健康安全相关协议。</w:t>
      </w:r>
    </w:p>
    <w:p w14:paraId="1577C95E">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4.负责对乙方进行环境保护与职业健康安全交底，应由甲方有关人员交到乙方现场管理人员并履行签字手续。</w:t>
      </w:r>
    </w:p>
    <w:p w14:paraId="0A447AEB">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5.定期召开环境保护与职业健康安全管理例会，总结、布置、监督、指导乙方环境保护、职业健康安全管理工作。</w:t>
      </w:r>
    </w:p>
    <w:p w14:paraId="736A4395">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6.监督、指导和协助乙方对职工进行环境保护与职业健康安全法律法规、规章制度、从业人员权利和义务、职业病危害因素、环境因素等方面的教育。 </w:t>
      </w:r>
    </w:p>
    <w:p w14:paraId="44AD67FE">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7.在生产过程中对乙方违章作业及其他违反职业健康安全和环境保护要求的行为进行监督、检查、指导，向乙方提出整改要求并检查整改结果。</w:t>
      </w:r>
    </w:p>
    <w:p w14:paraId="5A058A34">
      <w:pPr>
        <w:pStyle w:val="207"/>
        <w:adjustRightInd w:val="0"/>
        <w:ind w:firstLine="422"/>
        <w:rPr>
          <w:rFonts w:hint="eastAsia" w:ascii="宋体" w:hAnsi="宋体" w:eastAsia="宋体" w:cs="宋体"/>
          <w:color w:val="auto"/>
          <w:sz w:val="21"/>
          <w:szCs w:val="21"/>
          <w:highlight w:val="none"/>
        </w:rPr>
      </w:pPr>
      <w:bookmarkStart w:id="467" w:name="_Toc493684472"/>
      <w:r>
        <w:rPr>
          <w:rFonts w:hint="eastAsia" w:ascii="宋体" w:hAnsi="宋体" w:eastAsia="宋体" w:cs="宋体"/>
          <w:color w:val="auto"/>
          <w:sz w:val="21"/>
          <w:szCs w:val="21"/>
          <w:highlight w:val="none"/>
        </w:rPr>
        <w:t>二、乙方职责</w:t>
      </w:r>
      <w:bookmarkEnd w:id="467"/>
    </w:p>
    <w:p w14:paraId="0ACD255C">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1.遵守国家、地方有关环境保护、职业健康安全等方面的法律和法规。</w:t>
      </w:r>
    </w:p>
    <w:p w14:paraId="097F3B8A">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2.自觉遵守甲方有关环境保护、职业健康安全管理制度和操作规程，服从甲方有关人员的管理。</w:t>
      </w:r>
    </w:p>
    <w:p w14:paraId="15139ACD">
      <w:pPr>
        <w:widowControl/>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3.按照甲方要求，报送材料进行资质审核，审核合格后，方可签订分包合同和环境保护与职业健康安全相关协议。</w:t>
      </w:r>
    </w:p>
    <w:p w14:paraId="440A530E">
      <w:pPr>
        <w:widowControl/>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4.根据甲方环境保护与职业健康安全管理目标，确定分包项目环境保护与职业健康安全管理目标、策划及保证措施，必要时制定专项实施方案，确保环境保护与职业健康安全管理目标顺利实现。</w:t>
      </w:r>
    </w:p>
    <w:p w14:paraId="10B29DEC">
      <w:pPr>
        <w:widowControl/>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5.按要求设置专职的环境保护与职业健康安全管理机构并配置人员，定期进行检查，对发现的隐患和违章进行整改，并接受甲方的检查。</w:t>
      </w:r>
    </w:p>
    <w:p w14:paraId="1BA80863">
      <w:pPr>
        <w:widowControl/>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6.保证必要的措施资金，用于教育培训和个人防护用品等环境保护与职业健康安全投入。</w:t>
      </w:r>
    </w:p>
    <w:p w14:paraId="530F7DC8">
      <w:pPr>
        <w:widowControl/>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7.落实环境保护与职业健康安全管理的交底，由乙方的管理人员书面交到分包项目所有人员，并做好书面记录。</w:t>
      </w:r>
    </w:p>
    <w:p w14:paraId="13EAEE39">
      <w:pPr>
        <w:widowControl/>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8.定期对职工进行环境保护与职业健康安全知识培训，提升职工环境保护与职业健康安全意识。</w:t>
      </w:r>
    </w:p>
    <w:p w14:paraId="5A5E02B6">
      <w:pPr>
        <w:widowControl/>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9.在醒目位置设置公告栏，公布有关职业病防治的规章制度、操作规程、职业病危害事故应急救援措施和工作场所职业病危害因素检测结果。</w:t>
      </w:r>
    </w:p>
    <w:p w14:paraId="78183C30">
      <w:pPr>
        <w:widowControl/>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10.建立健全环境保护与职业健康安全监测体系，按照法律法规和甲方管理制度要求对污染物排放和职业危害因素进行监测，确保监测系统处于正常工作状态。</w:t>
      </w:r>
    </w:p>
    <w:p w14:paraId="545CA6CB">
      <w:pPr>
        <w:widowControl/>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11.对接触职业病危害因素的职工按《中华人民共和国职业病防治法》的有关要求进行上岗前、在岗期间和离岗后的身体检查，将检查结果如实告</w:t>
      </w:r>
      <w:r>
        <w:rPr>
          <w:rFonts w:hint="eastAsia" w:ascii="宋体" w:hAnsi="宋体" w:eastAsia="宋体" w:cs="宋体"/>
          <w:color w:val="auto"/>
          <w:szCs w:val="21"/>
          <w:highlight w:val="none"/>
          <w:lang w:val="en-US" w:eastAsia="zh-CN"/>
        </w:rPr>
        <w:t>知</w:t>
      </w:r>
      <w:r>
        <w:rPr>
          <w:rFonts w:hint="eastAsia" w:ascii="宋体" w:hAnsi="宋体" w:eastAsia="宋体" w:cs="宋体"/>
          <w:color w:val="auto"/>
          <w:szCs w:val="21"/>
          <w:highlight w:val="none"/>
        </w:rPr>
        <w:t>员工。身体健康状况不符合相关要求的，不能进场。</w:t>
      </w:r>
    </w:p>
    <w:p w14:paraId="63C9FA68">
      <w:pPr>
        <w:widowControl/>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12.配备符合国家、行业有关标准的劳动防护用品和预防职业病危害的防护用品，并监督职工正确使用。</w:t>
      </w:r>
    </w:p>
    <w:p w14:paraId="4C12F381">
      <w:pPr>
        <w:widowControl/>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13.优先采用有利于环境保护与职业健康安全的新技术、新工艺、新材料和新设备。</w:t>
      </w:r>
    </w:p>
    <w:p w14:paraId="533CDE06">
      <w:pPr>
        <w:widowControl/>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14.施工中必须采取有效措施，防止噪声超标，防止扬尘、气体对环境的污染以及机械漏油对环境的污染。</w:t>
      </w:r>
    </w:p>
    <w:p w14:paraId="138555BB">
      <w:pPr>
        <w:widowControl/>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15.施工过程中产生的废弃物按照分类或处理要求，合理处理或收集、储存，定期清理，不得在施工过程中污染或破坏环境。</w:t>
      </w:r>
    </w:p>
    <w:p w14:paraId="4C8A1933">
      <w:pPr>
        <w:widowControl/>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16.发生环境保护与职业健康安全事故，应立即组织抢救、保护好现场，并立即报告甲方，由甲方按照事故性质分级进行报告处理，乙方协助配合。</w:t>
      </w:r>
    </w:p>
    <w:p w14:paraId="5B66D138">
      <w:pPr>
        <w:widowControl/>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17.建立、健全分包项目环境保护与职业健康档案并按要求及时报送甲方备案。</w:t>
      </w:r>
    </w:p>
    <w:p w14:paraId="50173E02">
      <w:pPr>
        <w:pStyle w:val="207"/>
        <w:adjustRightInd w:val="0"/>
        <w:ind w:firstLine="42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三、违约责任</w:t>
      </w:r>
    </w:p>
    <w:p w14:paraId="2BC61C27">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如因甲方或乙方违约造成环境事故或职业病，将依法追究责任。如因乙方违约，导致甲方被有关部门罚款或被追究其他责任的，由乙方承担。</w:t>
      </w:r>
    </w:p>
    <w:p w14:paraId="3E262E6A">
      <w:pPr>
        <w:pStyle w:val="207"/>
        <w:adjustRightInd w:val="0"/>
        <w:ind w:firstLine="422"/>
        <w:rPr>
          <w:rFonts w:hint="eastAsia" w:ascii="宋体" w:hAnsi="宋体" w:eastAsia="宋体" w:cs="宋体"/>
          <w:color w:val="auto"/>
          <w:sz w:val="21"/>
          <w:szCs w:val="21"/>
          <w:highlight w:val="none"/>
        </w:rPr>
      </w:pPr>
      <w:bookmarkStart w:id="468" w:name="_Toc493684473"/>
      <w:bookmarkStart w:id="469" w:name="_Toc493685192"/>
      <w:r>
        <w:rPr>
          <w:rFonts w:hint="eastAsia" w:ascii="宋体" w:hAnsi="宋体" w:eastAsia="宋体" w:cs="宋体"/>
          <w:color w:val="auto"/>
          <w:sz w:val="21"/>
          <w:szCs w:val="21"/>
          <w:highlight w:val="none"/>
        </w:rPr>
        <w:t>四、其他</w:t>
      </w:r>
      <w:bookmarkEnd w:id="468"/>
      <w:bookmarkEnd w:id="469"/>
    </w:p>
    <w:p w14:paraId="4B1E8104">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1.本协议由双方法定代表人签字并加盖公章（或合同专用章）后生效，全部工程竣工验收后失效。</w:t>
      </w:r>
    </w:p>
    <w:p w14:paraId="5500EB12">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2.本协议书一式肆份，甲乙双方各执贰份。</w:t>
      </w:r>
    </w:p>
    <w:p w14:paraId="0200A841">
      <w:pPr>
        <w:adjustRightInd w:val="0"/>
        <w:snapToGrid w:val="0"/>
        <w:spacing w:line="360" w:lineRule="auto"/>
        <w:rPr>
          <w:rFonts w:hint="eastAsia" w:ascii="Times New Roman" w:eastAsia="宋体"/>
          <w:color w:val="auto"/>
          <w:szCs w:val="21"/>
          <w:highlight w:val="none"/>
        </w:rPr>
      </w:pPr>
    </w:p>
    <w:tbl>
      <w:tblPr>
        <w:tblStyle w:val="4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5EDB2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61" w:type="dxa"/>
          </w:tcPr>
          <w:p w14:paraId="27FBBDCE">
            <w:pPr>
              <w:pStyle w:val="2"/>
              <w:keepNext w:val="0"/>
              <w:keepLines w:val="0"/>
              <w:suppressLineNumbers w:val="0"/>
              <w:spacing w:before="0" w:beforeAutospacing="0" w:after="0" w:afterAutospacing="0" w:line="360" w:lineRule="auto"/>
              <w:ind w:left="0" w:right="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甲方：东莞市碧水信息科技有限公司</w:t>
            </w:r>
          </w:p>
        </w:tc>
        <w:tc>
          <w:tcPr>
            <w:tcW w:w="4261" w:type="dxa"/>
          </w:tcPr>
          <w:p w14:paraId="0A0A7FA6">
            <w:pPr>
              <w:pStyle w:val="2"/>
              <w:keepNext w:val="0"/>
              <w:keepLines w:val="0"/>
              <w:suppressLineNumbers w:val="0"/>
              <w:spacing w:before="0" w:beforeAutospacing="0" w:after="0" w:afterAutospacing="0" w:line="360" w:lineRule="auto"/>
              <w:ind w:left="630" w:right="0" w:hanging="630" w:hangingChars="30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 xml:space="preserve">乙方：                    </w:t>
            </w:r>
          </w:p>
        </w:tc>
      </w:tr>
      <w:tr w14:paraId="5174E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61" w:type="dxa"/>
          </w:tcPr>
          <w:p w14:paraId="073DD77A">
            <w:pPr>
              <w:pStyle w:val="2"/>
              <w:keepNext w:val="0"/>
              <w:keepLines w:val="0"/>
              <w:suppressLineNumbers w:val="0"/>
              <w:spacing w:before="0" w:beforeAutospacing="0" w:after="0" w:afterAutospacing="0" w:line="360" w:lineRule="auto"/>
              <w:ind w:left="0" w:right="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法定代表人：</w:t>
            </w:r>
          </w:p>
        </w:tc>
        <w:tc>
          <w:tcPr>
            <w:tcW w:w="4261" w:type="dxa"/>
          </w:tcPr>
          <w:p w14:paraId="2C1DD044">
            <w:pPr>
              <w:pStyle w:val="2"/>
              <w:keepNext w:val="0"/>
              <w:keepLines w:val="0"/>
              <w:suppressLineNumbers w:val="0"/>
              <w:spacing w:before="0" w:beforeAutospacing="0" w:after="0" w:afterAutospacing="0" w:line="360" w:lineRule="auto"/>
              <w:ind w:left="0" w:right="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法定代表人：</w:t>
            </w:r>
          </w:p>
        </w:tc>
      </w:tr>
      <w:tr w14:paraId="77960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22" w:type="dxa"/>
            <w:gridSpan w:val="2"/>
          </w:tcPr>
          <w:p w14:paraId="74142687">
            <w:pPr>
              <w:pStyle w:val="2"/>
              <w:keepNext w:val="0"/>
              <w:keepLines w:val="0"/>
              <w:suppressLineNumbers w:val="0"/>
              <w:spacing w:before="0" w:beforeAutospacing="0" w:after="0" w:afterAutospacing="0" w:line="360" w:lineRule="auto"/>
              <w:ind w:left="0" w:right="0"/>
              <w:jc w:val="both"/>
              <w:rPr>
                <w:rFonts w:hint="eastAsia"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签订日期：</w:t>
            </w:r>
          </w:p>
        </w:tc>
      </w:tr>
    </w:tbl>
    <w:p w14:paraId="3A25A64E">
      <w:pPr>
        <w:pStyle w:val="2"/>
        <w:snapToGrid w:val="0"/>
        <w:spacing w:line="360" w:lineRule="auto"/>
        <w:ind w:right="0"/>
        <w:jc w:val="left"/>
        <w:rPr>
          <w:rFonts w:hint="eastAsia"/>
          <w:color w:val="auto"/>
          <w:sz w:val="21"/>
          <w:szCs w:val="21"/>
          <w:highlight w:val="none"/>
          <w:lang w:val="en-US"/>
        </w:rPr>
      </w:pPr>
    </w:p>
    <w:p w14:paraId="079918A2">
      <w:pPr>
        <w:rPr>
          <w:rFonts w:hint="eastAsia"/>
          <w:color w:val="auto"/>
          <w:szCs w:val="21"/>
          <w:highlight w:val="none"/>
        </w:rPr>
      </w:pPr>
      <w:r>
        <w:rPr>
          <w:rFonts w:hint="eastAsia"/>
          <w:color w:val="auto"/>
          <w:szCs w:val="21"/>
          <w:highlight w:val="none"/>
        </w:rPr>
        <w:br w:type="page"/>
      </w:r>
    </w:p>
    <w:p w14:paraId="5B6A4766">
      <w:pPr>
        <w:pStyle w:val="2"/>
        <w:snapToGrid w:val="0"/>
        <w:spacing w:line="360" w:lineRule="auto"/>
        <w:ind w:right="0"/>
        <w:jc w:val="left"/>
        <w:outlineLvl w:val="2"/>
        <w:rPr>
          <w:rFonts w:hint="eastAsia"/>
          <w:color w:val="auto"/>
          <w:sz w:val="21"/>
          <w:szCs w:val="21"/>
          <w:highlight w:val="none"/>
          <w:lang w:val="en-US"/>
        </w:rPr>
      </w:pPr>
      <w:bookmarkStart w:id="470" w:name="_Toc18176"/>
      <w:r>
        <w:rPr>
          <w:rFonts w:hint="eastAsia"/>
          <w:color w:val="auto"/>
          <w:sz w:val="21"/>
          <w:szCs w:val="21"/>
          <w:highlight w:val="none"/>
          <w:lang w:val="en-US"/>
        </w:rPr>
        <w:t>附件4：有限空间施工安全承诺书</w:t>
      </w:r>
      <w:bookmarkEnd w:id="470"/>
    </w:p>
    <w:p w14:paraId="6C01F8C9">
      <w:pPr>
        <w:pStyle w:val="37"/>
        <w:ind w:firstLine="0" w:firstLineChars="0"/>
        <w:rPr>
          <w:rFonts w:hint="eastAsia"/>
          <w:color w:val="auto"/>
          <w:highlight w:val="none"/>
        </w:rPr>
      </w:pPr>
    </w:p>
    <w:p w14:paraId="6043E369">
      <w:pPr>
        <w:spacing w:line="360" w:lineRule="auto"/>
        <w:jc w:val="center"/>
        <w:rPr>
          <w:rFonts w:hint="eastAsia" w:ascii="宋体" w:hAnsi="宋体" w:eastAsia="宋体" w:cs="宋体"/>
          <w:color w:val="auto"/>
          <w:szCs w:val="21"/>
          <w:highlight w:val="none"/>
        </w:rPr>
      </w:pPr>
      <w:r>
        <w:rPr>
          <w:rFonts w:hint="eastAsia" w:ascii="宋体" w:hAnsi="宋体" w:eastAsia="宋体" w:cs="宋体"/>
          <w:b/>
          <w:color w:val="auto"/>
          <w:sz w:val="30"/>
          <w:szCs w:val="30"/>
          <w:highlight w:val="none"/>
        </w:rPr>
        <w:t>有限空间施工安全承诺书</w:t>
      </w:r>
    </w:p>
    <w:p w14:paraId="004C350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东莞市碧水信息科技有限公司：</w:t>
      </w:r>
    </w:p>
    <w:p w14:paraId="0F00BC65">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我方</w:t>
      </w:r>
      <w:r>
        <w:rPr>
          <w:rFonts w:hint="eastAsia" w:ascii="宋体" w:hAnsi="宋体" w:eastAsia="宋体" w:cs="宋体"/>
          <w:color w:val="auto"/>
          <w:szCs w:val="21"/>
          <w:highlight w:val="none"/>
          <w:u w:val="single"/>
        </w:rPr>
        <w:t>**公司</w:t>
      </w:r>
      <w:r>
        <w:rPr>
          <w:rFonts w:hint="eastAsia" w:ascii="宋体" w:hAnsi="宋体" w:eastAsia="宋体" w:cs="宋体"/>
          <w:color w:val="auto"/>
          <w:szCs w:val="21"/>
          <w:highlight w:val="none"/>
        </w:rPr>
        <w:t>承接贵公司的劳务分包项目，并与贵公司签订了《东莞市碧水信息科技有限公司2025-2027年施工劳务分包框架合同（   区）》及对应劳务分包项目（以下统称“合同”）。为加强安全生产及有限空间作业管理、坚决保证各项施工安全、有效开展，对于涉及有限空间施工的项目（以下简称“该项目”）我方现郑重作如下承诺：</w:t>
      </w:r>
    </w:p>
    <w:p w14:paraId="0F466616">
      <w:pPr>
        <w:numPr>
          <w:ilvl w:val="0"/>
          <w:numId w:val="3"/>
        </w:num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我方严格按照贵公司要求建立所有参与该项目的工作人员信息库，并确保所有工作人员接受贵公司的实名制登记及管理。</w:t>
      </w:r>
    </w:p>
    <w:p w14:paraId="49068C6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2、我方参与有限空间作业的所有工作人员均按其所从事的工作内容持证上岗。</w:t>
      </w:r>
    </w:p>
    <w:p w14:paraId="132E0DF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3、我方严格遵照贵公司的相关要求，安排参与有限空间作业的所有工作人员参加贵公司（包含贵公司委托的第三方机构）、建设单位组织的安全培训及考核。</w:t>
      </w:r>
    </w:p>
    <w:p w14:paraId="4C5E705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我方承诺作业涉及有限空间的，严格按照国家应急部印发的《有限空间作业安全指导手册》开展相关工作，严格遵守“先通风、再检测、后作业”的原则。作业前严格执行有限空间作业审批制度，确保作业人员正确穿戴防毒面具、安全帽、安全绳等防护用品，携带对讲机并在气体检测合格后再开展有限空间作业。作业过程中做到实时监测、持续通风、保证通讯畅通。</w:t>
      </w:r>
    </w:p>
    <w:p w14:paraId="5B04874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5、我方承诺严格遵照执行相关法律法规以及贵公司相关安全生产制度及有限空间作业操作规程。</w:t>
      </w:r>
    </w:p>
    <w:p w14:paraId="2375BC6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贵公司有权将我方违诺/违约行为视为不良/失信行为，我方自愿接受贵公司作出的向阳光网、东莞日报等媒体公开我方不良/失信行为以及上报东莞市住建局、东莞市水污染治理现场指挥部并要求取消我方参加东莞市公开招标项目的投标资格等处理，并愿意按照与贵公司签订的合同承担违约赔偿等责任。</w:t>
      </w:r>
    </w:p>
    <w:p w14:paraId="6A4E58AC">
      <w:pPr>
        <w:spacing w:line="360" w:lineRule="auto"/>
        <w:ind w:firstLine="420" w:firstLineChars="200"/>
        <w:rPr>
          <w:rFonts w:hint="eastAsia" w:ascii="宋体" w:hAnsi="宋体" w:eastAsia="宋体" w:cs="宋体"/>
          <w:color w:val="auto"/>
          <w:szCs w:val="21"/>
          <w:highlight w:val="none"/>
        </w:rPr>
      </w:pPr>
    </w:p>
    <w:p w14:paraId="582EB50A">
      <w:pPr>
        <w:wordWrap w:val="0"/>
        <w:spacing w:line="360" w:lineRule="auto"/>
        <w:ind w:firstLine="5880" w:firstLineChars="28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承包单位盖章：                     </w:t>
      </w:r>
    </w:p>
    <w:p w14:paraId="3226D26C">
      <w:pPr>
        <w:wordWrap w:val="0"/>
        <w:spacing w:line="360" w:lineRule="auto"/>
        <w:ind w:firstLine="5880" w:firstLineChars="2800"/>
        <w:rPr>
          <w:rFonts w:hint="eastAsia" w:ascii="宋体" w:hAnsi="宋体" w:eastAsia="宋体" w:cs="宋体"/>
          <w:color w:val="auto"/>
          <w:szCs w:val="21"/>
          <w:highlight w:val="none"/>
        </w:rPr>
      </w:pPr>
    </w:p>
    <w:p w14:paraId="6DCC00AE">
      <w:pPr>
        <w:wordWrap w:val="0"/>
        <w:spacing w:line="360" w:lineRule="auto"/>
        <w:ind w:firstLine="5880" w:firstLineChars="28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法定代表人：               </w:t>
      </w:r>
    </w:p>
    <w:p w14:paraId="1FAF8480">
      <w:pPr>
        <w:spacing w:line="360" w:lineRule="auto"/>
        <w:ind w:firstLine="5880" w:firstLineChars="2800"/>
        <w:jc w:val="left"/>
        <w:rPr>
          <w:rFonts w:hint="eastAsia" w:ascii="宋体" w:hAnsi="宋体" w:eastAsia="宋体" w:cs="宋体"/>
          <w:color w:val="auto"/>
          <w:szCs w:val="21"/>
          <w:highlight w:val="none"/>
        </w:rPr>
      </w:pPr>
    </w:p>
    <w:p w14:paraId="01C35377">
      <w:pPr>
        <w:spacing w:line="360" w:lineRule="auto"/>
        <w:ind w:firstLine="5880" w:firstLineChars="2800"/>
        <w:jc w:val="left"/>
        <w:rPr>
          <w:rFonts w:hint="eastAsia" w:ascii="宋体" w:hAnsi="宋体" w:eastAsia="宋体" w:cs="宋体"/>
          <w:color w:val="auto"/>
          <w:highlight w:val="none"/>
        </w:rPr>
      </w:pPr>
      <w:r>
        <w:rPr>
          <w:rFonts w:hint="eastAsia" w:ascii="宋体" w:hAnsi="宋体" w:eastAsia="宋体" w:cs="宋体"/>
          <w:color w:val="auto"/>
          <w:szCs w:val="21"/>
          <w:highlight w:val="none"/>
        </w:rPr>
        <w:t>承诺时间：     年   月   日</w:t>
      </w:r>
    </w:p>
    <w:p w14:paraId="75AFFBC9">
      <w:pPr>
        <w:pStyle w:val="2"/>
        <w:snapToGrid w:val="0"/>
        <w:spacing w:line="360" w:lineRule="auto"/>
        <w:ind w:right="0"/>
        <w:jc w:val="left"/>
        <w:rPr>
          <w:rFonts w:hint="eastAsia"/>
          <w:color w:val="auto"/>
          <w:sz w:val="21"/>
          <w:szCs w:val="21"/>
          <w:highlight w:val="none"/>
          <w:lang w:val="en-US"/>
        </w:rPr>
      </w:pPr>
    </w:p>
    <w:p w14:paraId="085B516F">
      <w:pPr>
        <w:rPr>
          <w:rFonts w:hint="eastAsia"/>
          <w:color w:val="auto"/>
          <w:szCs w:val="21"/>
          <w:highlight w:val="none"/>
        </w:rPr>
      </w:pPr>
      <w:r>
        <w:rPr>
          <w:rFonts w:hint="eastAsia"/>
          <w:color w:val="auto"/>
          <w:szCs w:val="21"/>
          <w:highlight w:val="none"/>
        </w:rPr>
        <w:br w:type="page"/>
      </w:r>
    </w:p>
    <w:p w14:paraId="1CAE52E1">
      <w:pPr>
        <w:pStyle w:val="2"/>
        <w:snapToGrid w:val="0"/>
        <w:spacing w:line="360" w:lineRule="auto"/>
        <w:ind w:right="0"/>
        <w:jc w:val="left"/>
        <w:outlineLvl w:val="2"/>
        <w:rPr>
          <w:rFonts w:hint="eastAsia"/>
          <w:color w:val="auto"/>
          <w:sz w:val="21"/>
          <w:szCs w:val="21"/>
          <w:highlight w:val="none"/>
          <w:lang w:val="en-US"/>
        </w:rPr>
      </w:pPr>
      <w:bookmarkStart w:id="471" w:name="_Toc12105"/>
      <w:r>
        <w:rPr>
          <w:rFonts w:hint="eastAsia"/>
          <w:color w:val="auto"/>
          <w:sz w:val="21"/>
          <w:szCs w:val="21"/>
          <w:highlight w:val="none"/>
          <w:lang w:val="en-US"/>
        </w:rPr>
        <w:t>附件5：</w:t>
      </w:r>
      <w:bookmarkEnd w:id="471"/>
      <w:r>
        <w:rPr>
          <w:rFonts w:hint="eastAsia"/>
          <w:color w:val="auto"/>
          <w:sz w:val="21"/>
          <w:szCs w:val="21"/>
          <w:highlight w:val="none"/>
          <w:lang w:val="en-US"/>
        </w:rPr>
        <w:t>《东莞市碧水信息科技有限公司分包单位履约考评工作指引》</w:t>
      </w:r>
    </w:p>
    <w:p w14:paraId="36971E53">
      <w:pPr>
        <w:spacing w:line="360" w:lineRule="auto"/>
        <w:jc w:val="center"/>
        <w:rPr>
          <w:rFonts w:hint="eastAsia" w:ascii="宋体" w:hAnsi="宋体" w:eastAsia="宋体" w:cs="Times New Roman"/>
          <w:b/>
          <w:color w:val="auto"/>
          <w:sz w:val="28"/>
          <w:szCs w:val="28"/>
          <w:highlight w:val="none"/>
          <w:lang w:val="en-US"/>
        </w:rPr>
      </w:pPr>
    </w:p>
    <w:p w14:paraId="079DE717">
      <w:pPr>
        <w:spacing w:line="360" w:lineRule="auto"/>
        <w:jc w:val="center"/>
        <w:rPr>
          <w:rFonts w:hint="eastAsia" w:ascii="宋体" w:hAnsi="宋体" w:eastAsia="宋体" w:cs="Times New Roman"/>
          <w:b/>
          <w:color w:val="auto"/>
          <w:sz w:val="28"/>
          <w:szCs w:val="28"/>
          <w:highlight w:val="none"/>
          <w:lang w:val="en-US"/>
        </w:rPr>
      </w:pPr>
      <w:r>
        <w:rPr>
          <w:rFonts w:hint="eastAsia" w:ascii="宋体" w:hAnsi="宋体" w:eastAsia="宋体" w:cs="Times New Roman"/>
          <w:b/>
          <w:color w:val="auto"/>
          <w:sz w:val="28"/>
          <w:szCs w:val="28"/>
          <w:highlight w:val="none"/>
          <w:lang w:val="en-US"/>
        </w:rPr>
        <w:t>东莞市碧水信息科技有限公司分包单位履约考评工作指引</w:t>
      </w:r>
    </w:p>
    <w:p w14:paraId="789E82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lang w:val="en-US"/>
        </w:rPr>
      </w:pPr>
      <w:bookmarkStart w:id="472" w:name="_Toc22608"/>
      <w:r>
        <w:rPr>
          <w:rFonts w:hint="eastAsia" w:ascii="宋体" w:hAnsi="宋体" w:eastAsia="宋体" w:cs="宋体"/>
          <w:b/>
          <w:bCs/>
          <w:color w:val="auto"/>
          <w:sz w:val="21"/>
          <w:szCs w:val="21"/>
          <w:highlight w:val="none"/>
          <w:lang w:val="en-US"/>
        </w:rPr>
        <w:t>第一章 总则</w:t>
      </w:r>
    </w:p>
    <w:p w14:paraId="6A7E26E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第一条</w:t>
      </w:r>
      <w:r>
        <w:rPr>
          <w:rFonts w:hint="eastAsia" w:ascii="宋体" w:hAnsi="宋体" w:eastAsia="宋体" w:cs="宋体"/>
          <w:color w:val="auto"/>
          <w:sz w:val="21"/>
          <w:szCs w:val="21"/>
          <w:highlight w:val="none"/>
          <w:lang w:val="en-US"/>
        </w:rPr>
        <w:t xml:space="preserve"> 为规范碧水公司对分包单位的履约考评管理工作，有效提升分包服务的质量和水平，进一步提高项目实施效率，结合碧水公司实际情况，特制定本指引。</w:t>
      </w:r>
    </w:p>
    <w:p w14:paraId="2B46C61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第二条</w:t>
      </w:r>
      <w:r>
        <w:rPr>
          <w:rFonts w:hint="eastAsia" w:ascii="宋体" w:hAnsi="宋体" w:eastAsia="宋体" w:cs="宋体"/>
          <w:color w:val="auto"/>
          <w:sz w:val="21"/>
          <w:szCs w:val="21"/>
          <w:highlight w:val="none"/>
          <w:lang w:val="en-US"/>
        </w:rPr>
        <w:t xml:space="preserve"> 本指引所称“集团”是指东莞市水务集团有限公司，“公司”、“碧水公司”是指东莞市碧水信息科技有限公司，“业主”是指东莞市碧水信息科技有限公司的项目业主单位或代建单位。</w:t>
      </w:r>
    </w:p>
    <w:p w14:paraId="6AC3AEC8">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第三条</w:t>
      </w:r>
      <w:r>
        <w:rPr>
          <w:rFonts w:hint="eastAsia" w:ascii="宋体" w:hAnsi="宋体" w:eastAsia="宋体" w:cs="宋体"/>
          <w:color w:val="auto"/>
          <w:sz w:val="21"/>
          <w:szCs w:val="21"/>
          <w:highlight w:val="none"/>
          <w:lang w:val="en-US"/>
        </w:rPr>
        <w:t xml:space="preserve"> 本指引所称分包单位是指承接碧水公司项目的劳务分包单位、专业分包单位。</w:t>
      </w:r>
    </w:p>
    <w:p w14:paraId="42503B2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第四条</w:t>
      </w:r>
      <w:r>
        <w:rPr>
          <w:rFonts w:hint="eastAsia" w:ascii="宋体" w:hAnsi="宋体" w:eastAsia="宋体" w:cs="宋体"/>
          <w:color w:val="auto"/>
          <w:sz w:val="21"/>
          <w:szCs w:val="21"/>
          <w:highlight w:val="none"/>
          <w:lang w:val="en-US"/>
        </w:rPr>
        <w:t xml:space="preserve"> 本指引适用于碧水公司及其下属企业委派分包单位实施的全部项目。</w:t>
      </w:r>
    </w:p>
    <w:p w14:paraId="540FBFA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第五条</w:t>
      </w:r>
      <w:r>
        <w:rPr>
          <w:rFonts w:hint="eastAsia" w:ascii="宋体" w:hAnsi="宋体" w:eastAsia="宋体" w:cs="宋体"/>
          <w:color w:val="auto"/>
          <w:sz w:val="21"/>
          <w:szCs w:val="21"/>
          <w:highlight w:val="none"/>
          <w:lang w:val="en-US"/>
        </w:rPr>
        <w:t xml:space="preserve"> 工程技术管理部门负责统筹相关部门及各项目部开展分包单位履约考评等相关事宜，各项目部落实分包单位履约考评的具体工作，相关部门予以配合。</w:t>
      </w:r>
    </w:p>
    <w:p w14:paraId="284B08D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rPr>
      </w:pPr>
    </w:p>
    <w:p w14:paraId="07DE2A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第二章 考评范围及周期</w:t>
      </w:r>
    </w:p>
    <w:p w14:paraId="02039F1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第六条</w:t>
      </w:r>
      <w:r>
        <w:rPr>
          <w:rFonts w:hint="eastAsia" w:ascii="宋体" w:hAnsi="宋体" w:eastAsia="宋体" w:cs="宋体"/>
          <w:color w:val="auto"/>
          <w:sz w:val="21"/>
          <w:szCs w:val="21"/>
          <w:highlight w:val="none"/>
          <w:lang w:val="en-US"/>
        </w:rPr>
        <w:t xml:space="preserve"> 结合碧水公司项目特点，考评范围按项目类型划分为供水抢修项目、单项总包派单价（总包预算价）100万元以下和应急类、抢修类、抢险类的无图无预算项目（下称“100万元以下零星及应急类无图无预算项目”）、单项总包派单价（总包预算价）100万元及以上项目（下称“100万元及以上项目”）。</w:t>
      </w:r>
    </w:p>
    <w:p w14:paraId="59A321B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第七条</w:t>
      </w:r>
      <w:r>
        <w:rPr>
          <w:rFonts w:hint="eastAsia" w:ascii="宋体" w:hAnsi="宋体" w:eastAsia="宋体" w:cs="宋体"/>
          <w:color w:val="auto"/>
          <w:sz w:val="21"/>
          <w:szCs w:val="21"/>
          <w:highlight w:val="none"/>
          <w:lang w:val="en-US"/>
        </w:rPr>
        <w:t xml:space="preserve"> 供水抢修项目、100万元以下零星及应急类无图无预算项目的考评对象为分包单位，100万元及以上项目的考评对象为单个工程项目。</w:t>
      </w:r>
    </w:p>
    <w:p w14:paraId="6B596FF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第八条</w:t>
      </w:r>
      <w:r>
        <w:rPr>
          <w:rFonts w:hint="eastAsia" w:ascii="宋体" w:hAnsi="宋体" w:eastAsia="宋体" w:cs="宋体"/>
          <w:color w:val="auto"/>
          <w:sz w:val="21"/>
          <w:szCs w:val="21"/>
          <w:highlight w:val="none"/>
          <w:lang w:val="en-US"/>
        </w:rPr>
        <w:t xml:space="preserve"> 考评工作分为月度考评、季度考评、年度考评。项目部以月度为一个考评周期，每年度开展12次考评工作；碧水公司考评小组以季度为一个考评周期，在每季度的第一个月完成上季度考评，每年度开展4次考评工作；年度考评以一年为考评周期，采用季度考评结果进行计算，不单独组织考评工作。</w:t>
      </w:r>
    </w:p>
    <w:p w14:paraId="12EF98D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rPr>
      </w:pPr>
    </w:p>
    <w:p w14:paraId="4123A7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第三章 职责分工</w:t>
      </w:r>
    </w:p>
    <w:p w14:paraId="1AA28CB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第九条</w:t>
      </w:r>
      <w:r>
        <w:rPr>
          <w:rFonts w:hint="eastAsia" w:ascii="宋体" w:hAnsi="宋体" w:eastAsia="宋体" w:cs="宋体"/>
          <w:color w:val="auto"/>
          <w:sz w:val="21"/>
          <w:szCs w:val="21"/>
          <w:highlight w:val="none"/>
          <w:lang w:val="en-US"/>
        </w:rPr>
        <w:t xml:space="preserve"> 项目部</w:t>
      </w:r>
    </w:p>
    <w:p w14:paraId="3FEB1F7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项目部组成考评小组按月度对供水抢修项目、100万元以下零星及应急类无图无预算项目、100万元及以上项目进行考评，其中100万元及以上项目的考评结果需汇总至区域分包单位的管理主体，由区域分包单位的管理主体统一汇总。项目部需在每个月的20号前完成上个月的考评，并按相应流程开展考评结果审议及应用工作。</w:t>
      </w:r>
    </w:p>
    <w:p w14:paraId="4471A11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第十条</w:t>
      </w:r>
      <w:r>
        <w:rPr>
          <w:rFonts w:hint="eastAsia" w:ascii="宋体" w:hAnsi="宋体" w:eastAsia="宋体" w:cs="宋体"/>
          <w:color w:val="auto"/>
          <w:sz w:val="21"/>
          <w:szCs w:val="21"/>
          <w:highlight w:val="none"/>
          <w:lang w:val="en-US"/>
        </w:rPr>
        <w:t xml:space="preserve"> 公司工程技术管理部门及相关职能部门</w:t>
      </w:r>
    </w:p>
    <w:p w14:paraId="5ED63A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公司工程技术管理部门会同相关职能部门组成考评小组按季度对供水抢修项目、100万元以下零星及应急类无图无预算项目、100万元及以上项目进行考评。考评小组需在每季度的第一个月完成上季度考评，并按相应流程开展考评结果审议及应用工作。</w:t>
      </w:r>
    </w:p>
    <w:p w14:paraId="1FBCC0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rPr>
      </w:pPr>
    </w:p>
    <w:p w14:paraId="174487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第四章 计分办法</w:t>
      </w:r>
    </w:p>
    <w:p w14:paraId="3692B1C9">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第十一条</w:t>
      </w:r>
      <w:r>
        <w:rPr>
          <w:rFonts w:hint="eastAsia" w:ascii="宋体" w:hAnsi="宋体" w:eastAsia="宋体" w:cs="宋体"/>
          <w:color w:val="auto"/>
          <w:sz w:val="21"/>
          <w:szCs w:val="21"/>
          <w:highlight w:val="none"/>
          <w:lang w:val="en-US"/>
        </w:rPr>
        <w:t xml:space="preserve"> 各项目类型的权重分配如下：供水抢修项目占30%、100万元以下零星及应急类无图无预算项目占40%、100万元及以上项目占30%。</w:t>
      </w:r>
    </w:p>
    <w:p w14:paraId="26E82F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若当月或季度没有100万元及以上项目的，按“应得总分为70分”计算，如：某分包单位1月份的供水抢修项目月度评分为90分、100万元以下零星及应急类无图无预算项目月度评分为85分、无100万元及以上项目，则该分包单位月度综合考评得分=（90×30%+85×40%）/70=87分。</w:t>
      </w:r>
    </w:p>
    <w:p w14:paraId="0D8E64D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100万元及以上项目的考评总得分，采用累计扣分的办法，如：某分包单位1月份共实施了3个100万元及以上项目，A项目扣3分、B项目扣5分、C项目扣5分，则该分包单位100万元及以上项目月度考评得分为87分。</w:t>
      </w:r>
    </w:p>
    <w:p w14:paraId="3FACAEB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第十二条</w:t>
      </w:r>
      <w:r>
        <w:rPr>
          <w:rFonts w:hint="eastAsia" w:ascii="宋体" w:hAnsi="宋体" w:eastAsia="宋体" w:cs="宋体"/>
          <w:color w:val="auto"/>
          <w:sz w:val="21"/>
          <w:szCs w:val="21"/>
          <w:highlight w:val="none"/>
          <w:lang w:val="en-US"/>
        </w:rPr>
        <w:t xml:space="preserve"> 月度综合考评评分</w:t>
      </w:r>
    </w:p>
    <w:p w14:paraId="5ED7737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月度综合考评得分=供水抢修项目月度考评得分×30%+100万元以下零星及应急类无图无预算项目月度考评得分×40%+100万元及以上项目月度考评得分×30%</w:t>
      </w:r>
    </w:p>
    <w:p w14:paraId="3274290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第十三条</w:t>
      </w:r>
      <w:r>
        <w:rPr>
          <w:rFonts w:hint="eastAsia" w:ascii="宋体" w:hAnsi="宋体" w:eastAsia="宋体" w:cs="宋体"/>
          <w:color w:val="auto"/>
          <w:sz w:val="21"/>
          <w:szCs w:val="21"/>
          <w:highlight w:val="none"/>
          <w:lang w:val="en-US"/>
        </w:rPr>
        <w:t xml:space="preserve"> 季度综合考评评分</w:t>
      </w:r>
    </w:p>
    <w:p w14:paraId="03B1C2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季度综合考评得分=项目部月度考评得分的算术平均分×50%+碧水公司考评小组的季度考评分值×50%</w:t>
      </w:r>
    </w:p>
    <w:p w14:paraId="67D7CFA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第十四条</w:t>
      </w:r>
      <w:r>
        <w:rPr>
          <w:rFonts w:hint="eastAsia" w:ascii="宋体" w:hAnsi="宋体" w:eastAsia="宋体" w:cs="宋体"/>
          <w:color w:val="auto"/>
          <w:sz w:val="21"/>
          <w:szCs w:val="21"/>
          <w:highlight w:val="none"/>
          <w:lang w:val="en-US"/>
        </w:rPr>
        <w:t xml:space="preserve"> 年度综合考评评分</w:t>
      </w:r>
    </w:p>
    <w:p w14:paraId="149845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年度综合考评得分=季度综合考评得分的算术平均分。</w:t>
      </w:r>
    </w:p>
    <w:p w14:paraId="1E068069">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第十五条</w:t>
      </w:r>
      <w:r>
        <w:rPr>
          <w:rFonts w:hint="eastAsia" w:ascii="宋体" w:hAnsi="宋体" w:eastAsia="宋体" w:cs="宋体"/>
          <w:color w:val="auto"/>
          <w:sz w:val="21"/>
          <w:szCs w:val="21"/>
          <w:highlight w:val="none"/>
          <w:lang w:val="en-US"/>
        </w:rPr>
        <w:t xml:space="preserve">  出现以下情况的，一票否决，且当月考评结果为不合格：</w:t>
      </w:r>
    </w:p>
    <w:p w14:paraId="429BD3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（一）因现场安全文明施工管理不到位，被上级主管部门勒令停工整改且造成社会重大影响的，如被上级主管部门警告、约谈、新闻媒体通报批评等；</w:t>
      </w:r>
    </w:p>
    <w:p w14:paraId="1EAFBD8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（二）因施工组织不当，导致施工进度滞后而不积极采取补救措施影响关键工期的；</w:t>
      </w:r>
    </w:p>
    <w:p w14:paraId="5EBC5A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（三）项目现场发生一般及以上安全或质量事故，造成不良社会影响的；</w:t>
      </w:r>
    </w:p>
    <w:p w14:paraId="20602A0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（四）对集团、业主、碧水公司信誉造成严重社会负面影响的。</w:t>
      </w:r>
    </w:p>
    <w:p w14:paraId="4BC1777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第十六条</w:t>
      </w:r>
      <w:r>
        <w:rPr>
          <w:rFonts w:hint="eastAsia" w:ascii="宋体" w:hAnsi="宋体" w:eastAsia="宋体" w:cs="宋体"/>
          <w:color w:val="auto"/>
          <w:sz w:val="21"/>
          <w:szCs w:val="21"/>
          <w:highlight w:val="none"/>
          <w:lang w:val="en-US"/>
        </w:rPr>
        <w:t xml:space="preserve">  在合同履行期内，分包单位原则上不得“拒单”。若分包单位出现“拒单”的，一次“拒单”按退出一个镇街业务处理；累计达两次“拒单”，按退出所有镇街业务处理。若分包单位出现以下行为均视为一次“拒单”：（1）分包单位在接单后，迟迟未按时进场，经两次书面督促进场无果，视为一次“拒单”行为；（2）分包单位在进场后，出现怠工行为，经两次书面督促进度无果，视为一次“拒单”行为；（3）分包单位在进场后，中途主动或被动退场的，视为一次“拒单”行为。</w:t>
      </w:r>
    </w:p>
    <w:p w14:paraId="711162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rPr>
      </w:pPr>
    </w:p>
    <w:p w14:paraId="5F050E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第五章 考评内容</w:t>
      </w:r>
    </w:p>
    <w:p w14:paraId="4F85056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第十七条</w:t>
      </w:r>
      <w:r>
        <w:rPr>
          <w:rFonts w:hint="eastAsia" w:ascii="宋体" w:hAnsi="宋体" w:eastAsia="宋体" w:cs="宋体"/>
          <w:color w:val="auto"/>
          <w:sz w:val="21"/>
          <w:szCs w:val="21"/>
          <w:highlight w:val="none"/>
          <w:lang w:val="en-US"/>
        </w:rPr>
        <w:t xml:space="preserve"> 供水抢修项目</w:t>
      </w:r>
    </w:p>
    <w:p w14:paraId="5DDFB7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考评检查内容分为5个项目，分别为抢修效率（30%）、安全环境（20%）、资料整理（20%）、结算请款（20%）、不良行为（10%），具体详见附表1。</w:t>
      </w:r>
    </w:p>
    <w:p w14:paraId="2FB1826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第十八条</w:t>
      </w:r>
      <w:r>
        <w:rPr>
          <w:rFonts w:hint="eastAsia" w:ascii="宋体" w:hAnsi="宋体" w:eastAsia="宋体" w:cs="宋体"/>
          <w:color w:val="auto"/>
          <w:sz w:val="21"/>
          <w:szCs w:val="21"/>
          <w:highlight w:val="none"/>
          <w:lang w:val="en-US"/>
        </w:rPr>
        <w:t xml:space="preserve"> 100万元以下零星及应急类无图无预算项目</w:t>
      </w:r>
    </w:p>
    <w:p w14:paraId="0E1BFDF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考评检查内容分为5个项目，分别为人员管理（5%）、施工进度（15%）、施工质量（10%）、安全环境（15%）、资料整理（20%）、结算管理（20%）、工资管理（15%）、附加分（20%），具体详见附表2。</w:t>
      </w:r>
    </w:p>
    <w:p w14:paraId="13DA68A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第十九条</w:t>
      </w:r>
      <w:r>
        <w:rPr>
          <w:rFonts w:hint="eastAsia" w:ascii="宋体" w:hAnsi="宋体" w:eastAsia="宋体" w:cs="宋体"/>
          <w:color w:val="auto"/>
          <w:sz w:val="21"/>
          <w:szCs w:val="21"/>
          <w:highlight w:val="none"/>
          <w:lang w:val="en-US"/>
        </w:rPr>
        <w:t xml:space="preserve"> 100万元及以上项目</w:t>
      </w:r>
    </w:p>
    <w:p w14:paraId="1FF08A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考评检查内容分为5个项目，分别为人员管理（10%）、施工工期（20%）、施工质量（15%）、安全环境（15%）、资料整理（15%）、结算管理（10%）、工资管理（15%）、附加分（20%），具体详见附表3。</w:t>
      </w:r>
    </w:p>
    <w:p w14:paraId="68F539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rPr>
      </w:pPr>
    </w:p>
    <w:p w14:paraId="70F448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第六章 考评结果及应用</w:t>
      </w:r>
    </w:p>
    <w:p w14:paraId="4616611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第二十条</w:t>
      </w:r>
      <w:r>
        <w:rPr>
          <w:rFonts w:hint="eastAsia" w:ascii="宋体" w:hAnsi="宋体" w:eastAsia="宋体" w:cs="宋体"/>
          <w:color w:val="auto"/>
          <w:sz w:val="21"/>
          <w:szCs w:val="21"/>
          <w:highlight w:val="none"/>
          <w:lang w:val="en-US"/>
        </w:rPr>
        <w:t xml:space="preserve"> 考评等级</w:t>
      </w:r>
    </w:p>
    <w:p w14:paraId="40CF0D7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分为优良、合格和不合格三个等级，其中：</w:t>
      </w:r>
    </w:p>
    <w:p w14:paraId="71B433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（一）得分85分（含）以上为优良；</w:t>
      </w:r>
    </w:p>
    <w:p w14:paraId="1E5B928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（二）得分65分（含）~85分（不含）为合格；</w:t>
      </w:r>
    </w:p>
    <w:p w14:paraId="63B76FC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（三）得分65分（不含）以下为不合格。</w:t>
      </w:r>
    </w:p>
    <w:p w14:paraId="20F68F9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第二十一条</w:t>
      </w:r>
      <w:r>
        <w:rPr>
          <w:rFonts w:hint="eastAsia" w:ascii="宋体" w:hAnsi="宋体" w:eastAsia="宋体" w:cs="宋体"/>
          <w:color w:val="auto"/>
          <w:sz w:val="21"/>
          <w:szCs w:val="21"/>
          <w:highlight w:val="none"/>
          <w:lang w:val="en-US"/>
        </w:rPr>
        <w:t xml:space="preserve"> 考评结果应用</w:t>
      </w:r>
    </w:p>
    <w:p w14:paraId="5F3982F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碧水公司按季度对分包单位等级评价情况进行排名通报，并执行如下奖惩方案：</w:t>
      </w:r>
    </w:p>
    <w:p w14:paraId="394E297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（一）上一个季度考评结果公示等级为优良、合格的分包单位，本季度具备参与二次竞价的资格。</w:t>
      </w:r>
    </w:p>
    <w:p w14:paraId="29B7A46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二）对于涉及国家、省、市级主管部门等督导的重点工程项目，优先选用考评等级优良、履约能力突出的分包单位参与。优选原则实行“优质优选、动态管理”机制，以最新两次（季度）考核周期考核结果排名前三的施工劳务分包供应商，纳入重点工程优先邀请询价范围对象。</w:t>
      </w:r>
    </w:p>
    <w:p w14:paraId="1FD09C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三）最新两次（季度）考核周期考核结果均为优良且连续排名前三，则在本季度办理请款事宜时（以发起请款流程时间为准），该分包单位享有优先权利。具体表现为，针对单项分包费用为50万元（含）以上的项目，其进度款支付比例提高至85%。</w:t>
      </w:r>
    </w:p>
    <w:p w14:paraId="04305CB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（四）在碧水公司后续劳务建库相关事宜中，若分包单位在过往合作期间的考评等级持续保持优良的，则此考评结果可视为后续劳务建库加分项考虑范围，具体以实际为准。</w:t>
      </w:r>
    </w:p>
    <w:p w14:paraId="773DFA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（五）月度考评等级为不合格的单位，第一次被评为不合格，按退出一个镇街业务处理；累计达两次不合格，按退出所有镇街业务处理。</w:t>
      </w:r>
    </w:p>
    <w:p w14:paraId="6BF94C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六）月度考评等级合格但连续3次排名末位的分包单位，按退出一个镇街业务处理；月度考评等级合格但连续4次排名末位的分包单位，按退出所有镇街业务处理；月度考评等级合格但累计6次（含6次）以上排名末位的分包单位，按退出所有镇街业务处理。</w:t>
      </w:r>
    </w:p>
    <w:p w14:paraId="27566C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rPr>
      </w:pPr>
    </w:p>
    <w:p w14:paraId="3A140B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第七章 罚则</w:t>
      </w:r>
    </w:p>
    <w:p w14:paraId="1301E9A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第二十二条</w:t>
      </w:r>
      <w:r>
        <w:rPr>
          <w:rFonts w:hint="eastAsia" w:ascii="宋体" w:hAnsi="宋体" w:eastAsia="宋体" w:cs="宋体"/>
          <w:color w:val="auto"/>
          <w:sz w:val="21"/>
          <w:szCs w:val="21"/>
          <w:highlight w:val="none"/>
          <w:lang w:val="en-US"/>
        </w:rPr>
        <w:t xml:space="preserve"> 若履约考评工作经办人或经办部门对分包单位考评工作履职不力、弄虚作假的，公司视情节严重程度追究相关部门和人员的责任。</w:t>
      </w:r>
    </w:p>
    <w:p w14:paraId="308E46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rPr>
      </w:pPr>
    </w:p>
    <w:p w14:paraId="309ACF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rPr>
        <w:t>第八章 附则</w:t>
      </w:r>
    </w:p>
    <w:p w14:paraId="2E2BDE3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第二十三条</w:t>
      </w:r>
      <w:r>
        <w:rPr>
          <w:rFonts w:hint="eastAsia" w:ascii="宋体" w:hAnsi="宋体" w:eastAsia="宋体" w:cs="宋体"/>
          <w:color w:val="auto"/>
          <w:sz w:val="21"/>
          <w:szCs w:val="21"/>
          <w:highlight w:val="none"/>
          <w:lang w:val="en-US"/>
        </w:rPr>
        <w:t xml:space="preserve"> 本指引中所涉及的若与相关法律法规、行业规范及相关管理办法不符，以相关法律法规、行业规范及相关管理办法为准。</w:t>
      </w:r>
    </w:p>
    <w:p w14:paraId="33E2959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第二十四条</w:t>
      </w:r>
      <w:r>
        <w:rPr>
          <w:rFonts w:hint="eastAsia" w:ascii="宋体" w:hAnsi="宋体" w:eastAsia="宋体" w:cs="宋体"/>
          <w:color w:val="auto"/>
          <w:sz w:val="21"/>
          <w:szCs w:val="21"/>
          <w:highlight w:val="none"/>
          <w:lang w:val="en-US"/>
        </w:rPr>
        <w:t xml:space="preserve"> 本指引中所涉及的若与碧水公司职能主管部门的规章制度、相关管理办法不符，以碧水公司职能主管部门的规章制度、相关管理办法为准。</w:t>
      </w:r>
    </w:p>
    <w:p w14:paraId="29C96DF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第二十五条</w:t>
      </w:r>
      <w:r>
        <w:rPr>
          <w:rFonts w:hint="eastAsia" w:ascii="宋体" w:hAnsi="宋体" w:eastAsia="宋体" w:cs="宋体"/>
          <w:color w:val="auto"/>
          <w:sz w:val="21"/>
          <w:szCs w:val="21"/>
          <w:highlight w:val="none"/>
          <w:lang w:val="en-US"/>
        </w:rPr>
        <w:t xml:space="preserve"> 本指引自发布且施工劳务分包供应商库建成之日起执行。</w:t>
      </w:r>
    </w:p>
    <w:p w14:paraId="3EE891D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第二十六条</w:t>
      </w:r>
      <w:r>
        <w:rPr>
          <w:rFonts w:hint="eastAsia" w:ascii="宋体" w:hAnsi="宋体" w:eastAsia="宋体" w:cs="宋体"/>
          <w:color w:val="auto"/>
          <w:sz w:val="21"/>
          <w:szCs w:val="21"/>
          <w:highlight w:val="none"/>
          <w:lang w:val="en-US"/>
        </w:rPr>
        <w:t xml:space="preserve"> 碧水公司有权根据实际情况调整本指引，或根据实际情况制定新的履约考评管理办法或相关制度，分包单位须无条件接受调整后的履约考评工作指引或相关管理办法、制度。</w:t>
      </w:r>
    </w:p>
    <w:p w14:paraId="3E5C77C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bCs/>
          <w:color w:val="auto"/>
          <w:sz w:val="21"/>
          <w:szCs w:val="21"/>
          <w:highlight w:val="none"/>
          <w:lang w:val="en-US"/>
        </w:rPr>
        <w:t>第二十七条</w:t>
      </w:r>
      <w:r>
        <w:rPr>
          <w:rFonts w:hint="eastAsia" w:ascii="宋体" w:hAnsi="宋体" w:eastAsia="宋体" w:cs="宋体"/>
          <w:color w:val="auto"/>
          <w:sz w:val="21"/>
          <w:szCs w:val="21"/>
          <w:highlight w:val="none"/>
          <w:lang w:val="en-US"/>
        </w:rPr>
        <w:t xml:space="preserve"> 本指引由碧水公司工程技术管理部门负责解释。</w:t>
      </w:r>
    </w:p>
    <w:p w14:paraId="3AA539E1">
      <w:pPr>
        <w:spacing w:line="360" w:lineRule="auto"/>
        <w:rPr>
          <w:rFonts w:hint="eastAsia" w:ascii="宋体" w:hAnsi="宋体" w:eastAsia="宋体" w:cs="宋体"/>
          <w:color w:val="auto"/>
          <w:sz w:val="21"/>
          <w:szCs w:val="21"/>
          <w:highlight w:val="none"/>
          <w:lang w:val="en-US"/>
        </w:rPr>
      </w:pPr>
    </w:p>
    <w:p w14:paraId="1CEA82B1">
      <w:pPr>
        <w:spacing w:line="360" w:lineRule="auto"/>
        <w:rPr>
          <w:rFonts w:hint="eastAsia" w:ascii="宋体" w:hAnsi="宋体" w:eastAsia="宋体" w:cs="宋体"/>
          <w:color w:val="auto"/>
          <w:sz w:val="21"/>
          <w:szCs w:val="21"/>
          <w:highlight w:val="none"/>
          <w:lang w:val="en-US"/>
        </w:rPr>
      </w:pPr>
    </w:p>
    <w:p w14:paraId="5D2A7D6B">
      <w:pPr>
        <w:pStyle w:val="2"/>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br w:type="page"/>
      </w:r>
    </w:p>
    <w:p w14:paraId="3579C25B">
      <w:pPr>
        <w:pStyle w:val="2"/>
        <w:keepNext w:val="0"/>
        <w:keepLines w:val="0"/>
        <w:pageBreakBefore w:val="0"/>
        <w:widowControl w:val="0"/>
        <w:kinsoku/>
        <w:wordWrap/>
        <w:overflowPunct/>
        <w:topLinePunct w:val="0"/>
        <w:autoSpaceDE w:val="0"/>
        <w:autoSpaceDN w:val="0"/>
        <w:bidi w:val="0"/>
        <w:adjustRightInd w:val="0"/>
        <w:snapToGrid/>
        <w:spacing w:line="360" w:lineRule="auto"/>
        <w:ind w:right="-28"/>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附表1：</w:t>
      </w:r>
    </w:p>
    <w:tbl>
      <w:tblPr>
        <w:tblStyle w:val="39"/>
        <w:tblW w:w="101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69"/>
        <w:gridCol w:w="6981"/>
        <w:gridCol w:w="762"/>
        <w:gridCol w:w="796"/>
      </w:tblGrid>
      <w:tr w14:paraId="58413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0108" w:type="dxa"/>
            <w:gridSpan w:val="4"/>
            <w:tcBorders>
              <w:top w:val="nil"/>
              <w:left w:val="nil"/>
              <w:bottom w:val="nil"/>
              <w:right w:val="nil"/>
            </w:tcBorders>
            <w:shd w:val="clear" w:color="auto" w:fill="auto"/>
            <w:vAlign w:val="center"/>
          </w:tcPr>
          <w:p w14:paraId="541234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东莞市碧水信息科技有限公司供水抢修项目履约考核评价表</w:t>
            </w:r>
          </w:p>
        </w:tc>
      </w:tr>
      <w:tr w14:paraId="3370F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D9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被考评对象</w:t>
            </w:r>
          </w:p>
        </w:tc>
        <w:tc>
          <w:tcPr>
            <w:tcW w:w="85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6CBBC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BDF5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222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考评主体</w:t>
            </w:r>
          </w:p>
        </w:tc>
        <w:tc>
          <w:tcPr>
            <w:tcW w:w="85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DCA71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DB47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1A7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考评时间</w:t>
            </w:r>
          </w:p>
        </w:tc>
        <w:tc>
          <w:tcPr>
            <w:tcW w:w="85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E6055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B2FF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4D4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考评内容</w:t>
            </w: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7CA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考核评分内容</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90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分值</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27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得分</w:t>
            </w:r>
          </w:p>
        </w:tc>
      </w:tr>
      <w:tr w14:paraId="65B04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D1D9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抢修效率</w:t>
            </w: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F76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1、未按要求到达抢修现场的，扣2分/项。</w:t>
            </w:r>
          </w:p>
        </w:tc>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EA7D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E1E6B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86CE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8ACC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81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2、未按要求完成抢修的，扣3分/项。</w:t>
            </w: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99B2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B374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5BBF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6801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7B4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3、维修后因工艺技术问题发生再次漏水的，扣5分/项。</w:t>
            </w: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6967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95DC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9F71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D23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安全环境</w:t>
            </w:r>
          </w:p>
        </w:tc>
        <w:tc>
          <w:tcPr>
            <w:tcW w:w="6981" w:type="dxa"/>
            <w:tcBorders>
              <w:top w:val="single" w:color="000000" w:sz="4" w:space="0"/>
              <w:left w:val="single" w:color="000000" w:sz="4" w:space="0"/>
              <w:bottom w:val="single" w:color="auto" w:sz="4" w:space="0"/>
              <w:right w:val="single" w:color="000000" w:sz="4" w:space="0"/>
            </w:tcBorders>
            <w:shd w:val="clear" w:color="auto" w:fill="auto"/>
            <w:vAlign w:val="center"/>
          </w:tcPr>
          <w:p w14:paraId="452AF1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1、检查发现有违规、违章操作行为的，扣2分/次。</w:t>
            </w:r>
          </w:p>
        </w:tc>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5A4A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79BFF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3035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CD38BB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81" w:type="dxa"/>
            <w:tcBorders>
              <w:top w:val="single" w:color="auto" w:sz="4" w:space="0"/>
              <w:left w:val="single" w:color="auto" w:sz="4" w:space="0"/>
              <w:bottom w:val="single" w:color="auto" w:sz="4" w:space="0"/>
              <w:right w:val="single" w:color="auto" w:sz="4" w:space="0"/>
            </w:tcBorders>
            <w:shd w:val="clear" w:color="auto" w:fill="auto"/>
            <w:vAlign w:val="center"/>
          </w:tcPr>
          <w:p w14:paraId="21F857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2、检查发现施工现场文明施工差的，扣2分/次。</w:t>
            </w:r>
          </w:p>
        </w:tc>
        <w:tc>
          <w:tcPr>
            <w:tcW w:w="762"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08AC67D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7A07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FDBF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B1C473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81" w:type="dxa"/>
            <w:tcBorders>
              <w:top w:val="single" w:color="auto" w:sz="4" w:space="0"/>
              <w:left w:val="single" w:color="auto" w:sz="4" w:space="0"/>
              <w:bottom w:val="single" w:color="auto" w:sz="4" w:space="0"/>
              <w:right w:val="single" w:color="auto" w:sz="4" w:space="0"/>
            </w:tcBorders>
            <w:shd w:val="clear" w:color="auto" w:fill="auto"/>
            <w:vAlign w:val="center"/>
          </w:tcPr>
          <w:p w14:paraId="7550F6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u w:val="none"/>
                <w:lang w:val="en-US" w:eastAsia="zh-CN" w:bidi="ar"/>
              </w:rPr>
              <w:t>3、</w:t>
            </w:r>
            <w:r>
              <w:rPr>
                <w:rFonts w:hint="eastAsia" w:ascii="宋体" w:hAnsi="宋体" w:eastAsia="宋体" w:cs="宋体"/>
                <w:color w:val="auto"/>
                <w:sz w:val="21"/>
                <w:szCs w:val="21"/>
                <w:highlight w:val="none"/>
                <w:u w:val="none"/>
                <w:lang w:bidi="ar"/>
              </w:rPr>
              <w:t>相关安全管理资料未按要求及时提交的</w:t>
            </w:r>
            <w:r>
              <w:rPr>
                <w:rFonts w:hint="eastAsia" w:ascii="宋体" w:hAnsi="宋体" w:eastAsia="宋体" w:cs="宋体"/>
                <w:color w:val="auto"/>
                <w:sz w:val="21"/>
                <w:szCs w:val="21"/>
                <w:highlight w:val="none"/>
                <w:u w:val="none"/>
                <w:lang w:eastAsia="zh-CN" w:bidi="ar"/>
              </w:rPr>
              <w:t>，</w:t>
            </w:r>
            <w:r>
              <w:rPr>
                <w:rFonts w:hint="eastAsia" w:ascii="宋体" w:hAnsi="宋体" w:eastAsia="宋体" w:cs="宋体"/>
                <w:color w:val="auto"/>
                <w:sz w:val="21"/>
                <w:szCs w:val="21"/>
                <w:highlight w:val="none"/>
                <w:u w:val="none"/>
                <w:lang w:val="en-US" w:eastAsia="zh-CN" w:bidi="ar"/>
              </w:rPr>
              <w:t>扣1分/次。</w:t>
            </w:r>
          </w:p>
        </w:tc>
        <w:tc>
          <w:tcPr>
            <w:tcW w:w="762"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2FEC749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99DA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1F1B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029D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81" w:type="dxa"/>
            <w:tcBorders>
              <w:top w:val="single" w:color="auto" w:sz="4" w:space="0"/>
              <w:left w:val="single" w:color="000000" w:sz="4" w:space="0"/>
              <w:bottom w:val="single" w:color="000000" w:sz="4" w:space="0"/>
              <w:right w:val="single" w:color="000000" w:sz="4" w:space="0"/>
            </w:tcBorders>
            <w:shd w:val="clear" w:color="auto" w:fill="auto"/>
            <w:vAlign w:val="center"/>
          </w:tcPr>
          <w:p w14:paraId="015E57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4、因分包单位原因，造成总包单位被上级部门（集团、业主单位、行政主管部门）通报批评的，每次扣5分。</w:t>
            </w: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4F5F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5D9F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9C92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6FC1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资料整理</w:t>
            </w: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24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1、对于DN400以下口径供水抢修项目（按固定单价结算），应在当月第5个工作日内按要求配合总包单位提交上个月的抢修资料，每逾期1个工作日扣3分。</w:t>
            </w:r>
          </w:p>
        </w:tc>
        <w:tc>
          <w:tcPr>
            <w:tcW w:w="7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176F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EFEE2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D1A4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CCBB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648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2、对于DN400及以上口径或全口径辅助类供水抢修项目（按清单综合单价结算），应在当月按要求配合总包单位提交上个月的抢修资料，每逾期1个工作日扣3分/项。</w:t>
            </w: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AC47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6D62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5AB99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FB28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C2A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3、业主在审核过程中发现存在问题或缺少资料的，须配合总包单位在5个自然日内修正或补齐资料，未在限期内修正或补齐资料的，每逾期1个自然日扣5分/项。</w:t>
            </w:r>
          </w:p>
        </w:tc>
        <w:tc>
          <w:tcPr>
            <w:tcW w:w="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8AA8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5B06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CD3A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restart"/>
            <w:tcBorders>
              <w:top w:val="single" w:color="000000" w:sz="4" w:space="0"/>
              <w:left w:val="single" w:color="000000" w:sz="4" w:space="0"/>
              <w:bottom w:val="nil"/>
              <w:right w:val="single" w:color="000000" w:sz="4" w:space="0"/>
            </w:tcBorders>
            <w:shd w:val="clear" w:color="auto" w:fill="auto"/>
            <w:vAlign w:val="center"/>
          </w:tcPr>
          <w:p w14:paraId="0ABF55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结算请款</w:t>
            </w: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E2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对于DN400以下口径供水抢修项目（按固定单价结算），当月第1个自然日统计对上第2个月劳务结算及请款资料报审率（以项目数为统计口径），逾期未报审的，扣5分/项。如：3月1日统计1月份的劳务结算资料报审率，1月份的劳务结算资料在3月1日前尚未报审至总包单位的，扣5分。</w:t>
            </w:r>
          </w:p>
        </w:tc>
        <w:tc>
          <w:tcPr>
            <w:tcW w:w="762" w:type="dxa"/>
            <w:vMerge w:val="restart"/>
            <w:tcBorders>
              <w:top w:val="single" w:color="000000" w:sz="4" w:space="0"/>
              <w:left w:val="single" w:color="000000" w:sz="4" w:space="0"/>
              <w:bottom w:val="nil"/>
              <w:right w:val="single" w:color="000000" w:sz="4" w:space="0"/>
            </w:tcBorders>
            <w:shd w:val="clear" w:color="auto" w:fill="auto"/>
            <w:vAlign w:val="center"/>
          </w:tcPr>
          <w:p w14:paraId="5BB9BB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796" w:type="dxa"/>
            <w:vMerge w:val="restart"/>
            <w:tcBorders>
              <w:top w:val="single" w:color="000000" w:sz="4" w:space="0"/>
              <w:left w:val="single" w:color="000000" w:sz="4" w:space="0"/>
              <w:bottom w:val="nil"/>
              <w:right w:val="single" w:color="000000" w:sz="4" w:space="0"/>
            </w:tcBorders>
            <w:shd w:val="clear" w:color="auto" w:fill="auto"/>
            <w:vAlign w:val="center"/>
          </w:tcPr>
          <w:p w14:paraId="591CC86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2FB3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nil"/>
              <w:right w:val="single" w:color="000000" w:sz="4" w:space="0"/>
            </w:tcBorders>
            <w:shd w:val="clear" w:color="auto" w:fill="auto"/>
            <w:vAlign w:val="center"/>
          </w:tcPr>
          <w:p w14:paraId="61F1BAB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15A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对于DN400及以上口径或全口径辅助类供水抢修项目（按清单综合单价结算），当月第1个自然日统计对上第2个月劳务结算及请款资料报审率（以项目数为统计口径），低于95%的，扣1分；低于90%的，扣2分；低于85%的，扣3分；低于80%的，扣4分；依此类推，直至扣满10分。</w:t>
            </w:r>
          </w:p>
        </w:tc>
        <w:tc>
          <w:tcPr>
            <w:tcW w:w="762" w:type="dxa"/>
            <w:vMerge w:val="continue"/>
            <w:tcBorders>
              <w:top w:val="single" w:color="000000" w:sz="4" w:space="0"/>
              <w:left w:val="single" w:color="000000" w:sz="4" w:space="0"/>
              <w:bottom w:val="nil"/>
              <w:right w:val="single" w:color="000000" w:sz="4" w:space="0"/>
            </w:tcBorders>
            <w:shd w:val="clear" w:color="auto" w:fill="auto"/>
            <w:vAlign w:val="center"/>
          </w:tcPr>
          <w:p w14:paraId="6E33ACE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96" w:type="dxa"/>
            <w:vMerge w:val="continue"/>
            <w:tcBorders>
              <w:top w:val="single" w:color="000000" w:sz="4" w:space="0"/>
              <w:left w:val="single" w:color="000000" w:sz="4" w:space="0"/>
              <w:bottom w:val="nil"/>
              <w:right w:val="single" w:color="000000" w:sz="4" w:space="0"/>
            </w:tcBorders>
            <w:shd w:val="clear" w:color="auto" w:fill="auto"/>
            <w:vAlign w:val="center"/>
          </w:tcPr>
          <w:p w14:paraId="66F71F1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46B7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446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不良行为</w:t>
            </w: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127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不服从委托方管理并因此受到委托方通报批评的，或出现过被上级部门、媒体及有政府部门通报批评的情况，视为不良记录，扣5分/次。</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EC9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08C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22FF0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restart"/>
            <w:tcBorders>
              <w:top w:val="single" w:color="000000" w:sz="4" w:space="0"/>
              <w:left w:val="single" w:color="000000" w:sz="4" w:space="0"/>
              <w:right w:val="single" w:color="000000" w:sz="4" w:space="0"/>
            </w:tcBorders>
            <w:shd w:val="clear" w:color="auto" w:fill="auto"/>
            <w:vAlign w:val="center"/>
          </w:tcPr>
          <w:p w14:paraId="49EE3A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荣誉加分</w:t>
            </w: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B48B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每收到一份业主表扬信、感谢信等荣誉类文件，加3分/次。</w:t>
            </w:r>
          </w:p>
        </w:tc>
        <w:tc>
          <w:tcPr>
            <w:tcW w:w="762" w:type="dxa"/>
            <w:vMerge w:val="restart"/>
            <w:tcBorders>
              <w:top w:val="single" w:color="000000" w:sz="4" w:space="0"/>
              <w:left w:val="single" w:color="000000" w:sz="4" w:space="0"/>
              <w:right w:val="single" w:color="000000" w:sz="4" w:space="0"/>
            </w:tcBorders>
            <w:shd w:val="clear" w:color="auto" w:fill="auto"/>
            <w:vAlign w:val="center"/>
          </w:tcPr>
          <w:p w14:paraId="56C250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796" w:type="dxa"/>
            <w:vMerge w:val="restart"/>
            <w:tcBorders>
              <w:top w:val="single" w:color="000000" w:sz="4" w:space="0"/>
              <w:left w:val="single" w:color="000000" w:sz="4" w:space="0"/>
              <w:right w:val="single" w:color="000000" w:sz="4" w:space="0"/>
            </w:tcBorders>
            <w:shd w:val="clear" w:color="auto" w:fill="auto"/>
            <w:vAlign w:val="center"/>
          </w:tcPr>
          <w:p w14:paraId="0E938F5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360C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left w:val="single" w:color="000000" w:sz="4" w:space="0"/>
              <w:bottom w:val="single" w:color="000000" w:sz="4" w:space="0"/>
              <w:right w:val="single" w:color="000000" w:sz="4" w:space="0"/>
            </w:tcBorders>
            <w:shd w:val="clear" w:color="auto" w:fill="auto"/>
            <w:vAlign w:val="center"/>
          </w:tcPr>
          <w:p w14:paraId="552A33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F6E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每收到一份有关政府职能部门、业主上级部门（如集团）的表扬信、感谢信等荣誉类文件，加10分/次。</w:t>
            </w:r>
          </w:p>
        </w:tc>
        <w:tc>
          <w:tcPr>
            <w:tcW w:w="762" w:type="dxa"/>
            <w:vMerge w:val="continue"/>
            <w:tcBorders>
              <w:left w:val="single" w:color="000000" w:sz="4" w:space="0"/>
              <w:bottom w:val="single" w:color="000000" w:sz="4" w:space="0"/>
              <w:right w:val="single" w:color="000000" w:sz="4" w:space="0"/>
            </w:tcBorders>
            <w:shd w:val="clear" w:color="auto" w:fill="auto"/>
            <w:vAlign w:val="center"/>
          </w:tcPr>
          <w:p w14:paraId="16F838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96" w:type="dxa"/>
            <w:vMerge w:val="continue"/>
            <w:tcBorders>
              <w:left w:val="single" w:color="000000" w:sz="4" w:space="0"/>
              <w:bottom w:val="single" w:color="000000" w:sz="4" w:space="0"/>
              <w:right w:val="single" w:color="000000" w:sz="4" w:space="0"/>
            </w:tcBorders>
            <w:shd w:val="clear" w:color="auto" w:fill="auto"/>
            <w:vAlign w:val="center"/>
          </w:tcPr>
          <w:p w14:paraId="1F79B8C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bl>
    <w:p w14:paraId="001901F2">
      <w:pPr>
        <w:spacing w:line="360" w:lineRule="auto"/>
        <w:outlineLvl w:val="9"/>
        <w:rPr>
          <w:rFonts w:hint="eastAsia" w:ascii="宋体" w:hAnsi="宋体" w:eastAsia="宋体" w:cs="宋体"/>
          <w:color w:val="auto"/>
          <w:sz w:val="21"/>
          <w:szCs w:val="21"/>
          <w:highlight w:val="none"/>
          <w:lang w:val="en-US"/>
        </w:rPr>
      </w:pPr>
    </w:p>
    <w:p w14:paraId="48EEC2FB">
      <w:pP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br w:type="page"/>
      </w:r>
    </w:p>
    <w:p w14:paraId="76FBE4DF">
      <w:pPr>
        <w:pStyle w:val="2"/>
        <w:keepNext w:val="0"/>
        <w:keepLines w:val="0"/>
        <w:pageBreakBefore w:val="0"/>
        <w:widowControl w:val="0"/>
        <w:kinsoku/>
        <w:wordWrap/>
        <w:overflowPunct/>
        <w:topLinePunct w:val="0"/>
        <w:autoSpaceDE w:val="0"/>
        <w:autoSpaceDN w:val="0"/>
        <w:bidi w:val="0"/>
        <w:adjustRightInd w:val="0"/>
        <w:snapToGrid/>
        <w:spacing w:line="360" w:lineRule="auto"/>
        <w:ind w:right="-28"/>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附表2：</w:t>
      </w:r>
    </w:p>
    <w:tbl>
      <w:tblPr>
        <w:tblStyle w:val="39"/>
        <w:tblW w:w="100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69"/>
        <w:gridCol w:w="6993"/>
        <w:gridCol w:w="750"/>
        <w:gridCol w:w="784"/>
      </w:tblGrid>
      <w:tr w14:paraId="60F03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0096" w:type="dxa"/>
            <w:gridSpan w:val="4"/>
            <w:tcBorders>
              <w:top w:val="nil"/>
              <w:left w:val="nil"/>
              <w:bottom w:val="nil"/>
              <w:right w:val="nil"/>
            </w:tcBorders>
            <w:shd w:val="clear" w:color="auto" w:fill="auto"/>
            <w:vAlign w:val="center"/>
          </w:tcPr>
          <w:p w14:paraId="4F6EC8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i w:val="0"/>
                <w:iCs w:val="0"/>
                <w:color w:val="auto"/>
                <w:kern w:val="0"/>
                <w:sz w:val="28"/>
                <w:szCs w:val="28"/>
                <w:highlight w:val="none"/>
                <w:u w:val="none"/>
                <w:lang w:val="en-US" w:eastAsia="zh-CN" w:bidi="ar"/>
              </w:rPr>
            </w:pPr>
            <w:r>
              <w:rPr>
                <w:rFonts w:hint="eastAsia" w:ascii="宋体" w:hAnsi="宋体" w:eastAsia="宋体" w:cs="宋体"/>
                <w:b/>
                <w:bCs/>
                <w:i w:val="0"/>
                <w:iCs w:val="0"/>
                <w:color w:val="auto"/>
                <w:kern w:val="0"/>
                <w:sz w:val="28"/>
                <w:szCs w:val="28"/>
                <w:highlight w:val="none"/>
                <w:u w:val="none"/>
                <w:lang w:val="en-US" w:eastAsia="zh-CN" w:bidi="ar"/>
              </w:rPr>
              <w:t>东莞市碧水信息科技有限公司100万元以下零星及应急类无图无预算项目</w:t>
            </w:r>
          </w:p>
          <w:p w14:paraId="55834B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履约考核评价表</w:t>
            </w:r>
          </w:p>
        </w:tc>
      </w:tr>
      <w:tr w14:paraId="007F1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2CC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被考评对象</w:t>
            </w:r>
          </w:p>
        </w:tc>
        <w:tc>
          <w:tcPr>
            <w:tcW w:w="85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FB85B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53E93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53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考评主体</w:t>
            </w:r>
          </w:p>
        </w:tc>
        <w:tc>
          <w:tcPr>
            <w:tcW w:w="85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F0610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7981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3F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考评时间</w:t>
            </w:r>
          </w:p>
        </w:tc>
        <w:tc>
          <w:tcPr>
            <w:tcW w:w="85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D6623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32E65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802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考评内容</w:t>
            </w: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50D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考核评分内容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68E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分值</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715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得分</w:t>
            </w:r>
          </w:p>
        </w:tc>
      </w:tr>
      <w:tr w14:paraId="216D8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7C55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人员管理</w:t>
            </w: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19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1、检查发现特种作业人员未持证上岗的，每次扣2分/人。</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1AD0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B9AC1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55601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386A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587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2、检查发现人员未按要求备案的，每次扣1分/人。</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D8B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AA80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2C017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B171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施工进度</w:t>
            </w: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86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1、未按要求配合委托方开展前期现场勘察、报价工作的，扣2分/次。</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E99C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F3642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361AB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7225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1F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2、月度计划完工率未达到要求，低于95%的，扣1分；低于90%的，扣2分；低于85%的，扣3分；低于80%的，扣4分；依此类推，直至扣满10分。</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DC49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4CC1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23E91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1A38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F85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3、施工进度滞后，不按要求追赶进度或增加人力投入的，扣2分/次。</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4AFF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2FC5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3CFEF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B9FF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5F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4、因进度问题，造成总包单位被业主、上级部门投诉的，扣5分/次。</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1366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E056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20026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1F21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施工质量</w:t>
            </w: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E9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eastAsia="宋体" w:cs="宋体"/>
                <w:color w:val="auto"/>
                <w:sz w:val="21"/>
                <w:szCs w:val="21"/>
                <w:highlight w:val="none"/>
                <w:u w:val="none"/>
                <w:lang w:bidi="ar"/>
              </w:rPr>
              <w:t>检查发现不符合质量要求，扣1分/处</w:t>
            </w:r>
            <w:r>
              <w:rPr>
                <w:rFonts w:hint="eastAsia" w:ascii="宋体" w:hAnsi="宋体" w:eastAsia="宋体" w:cs="宋体"/>
                <w:color w:val="auto"/>
                <w:sz w:val="21"/>
                <w:szCs w:val="21"/>
                <w:highlight w:val="none"/>
                <w:u w:val="none"/>
                <w:lang w:eastAsia="zh-CN" w:bidi="ar"/>
              </w:rPr>
              <w:t>；</w:t>
            </w:r>
            <w:r>
              <w:rPr>
                <w:rFonts w:hint="eastAsia" w:ascii="宋体" w:hAnsi="宋体" w:eastAsia="宋体" w:cs="宋体"/>
                <w:i w:val="0"/>
                <w:iCs w:val="0"/>
                <w:color w:val="auto"/>
                <w:kern w:val="0"/>
                <w:sz w:val="21"/>
                <w:szCs w:val="21"/>
                <w:highlight w:val="none"/>
                <w:u w:val="none"/>
                <w:lang w:val="en-US" w:eastAsia="zh-CN" w:bidi="ar"/>
              </w:rPr>
              <w:t>拒不整改的，增加扣分，扣5分/处；整改不及时的，增加扣分，扣2分/处。</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158F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06F62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7268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C37A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11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2、因分包单位原因，造成总包单位被上级部门（集团、业主单位、行政主管部门）通报批评的，扣5分/次。</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566A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2B41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04B9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1E0F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00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3、因分包单位的原因发生质量事故，造成不良社会影响的，本项得0分。</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88D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7D1E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663D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2960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安全环境</w:t>
            </w: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2B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1、检查发现有违规、违章操作行为的，扣2分/次。</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31F5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60AD4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A3B1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4686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98B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2、检查发现存在重大安全隐患，拒不整改的，扣5分/处；整改不及时的，扣2分/处。</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9C6A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CD4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0F00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4AE7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154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eastAsia="宋体" w:cs="宋体"/>
                <w:color w:val="auto"/>
                <w:sz w:val="21"/>
                <w:szCs w:val="21"/>
                <w:highlight w:val="none"/>
                <w:u w:val="none"/>
                <w:lang w:bidi="ar"/>
              </w:rPr>
              <w:t>相关安全管理资料未按要求及时提交的</w:t>
            </w:r>
            <w:r>
              <w:rPr>
                <w:rFonts w:hint="eastAsia" w:ascii="宋体" w:hAnsi="宋体" w:eastAsia="宋体" w:cs="宋体"/>
                <w:color w:val="auto"/>
                <w:sz w:val="21"/>
                <w:szCs w:val="21"/>
                <w:highlight w:val="none"/>
                <w:u w:val="none"/>
                <w:lang w:eastAsia="zh-CN" w:bidi="ar"/>
              </w:rPr>
              <w:t>，</w:t>
            </w:r>
            <w:r>
              <w:rPr>
                <w:rFonts w:hint="eastAsia" w:ascii="宋体" w:hAnsi="宋体" w:eastAsia="宋体" w:cs="宋体"/>
                <w:color w:val="auto"/>
                <w:sz w:val="21"/>
                <w:szCs w:val="21"/>
                <w:highlight w:val="none"/>
                <w:u w:val="none"/>
                <w:lang w:val="en-US" w:eastAsia="zh-CN" w:bidi="ar"/>
              </w:rPr>
              <w:t>扣1分/次。</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F2C4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3882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9171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2427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827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4、因分包单位安全作业的原因，造成委托方被上级部门（集团、业主单位、行政主管部门）通报批评的，每次扣5分；</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9710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A567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5B4D1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F562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A1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5、因分包单位的原因发生质量事故，造成不良社会影响的，本项得0分。</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B251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B4EC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D5A3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EE0D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资料整理</w:t>
            </w: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31CD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按要求配合总包单位在单个项目完工后30个自然日内完成竣工资料的编制及报审工作，当月第1个自然日统计一个自然年度内截至对上第2个月的竣工资料报审率，低于95%的，扣1分；低于90%的，扣2分；低于85%的，扣3分；低于80%的，扣4分；依此类推，直至扣满10分。如：3月1日统计1月31日及之前完工项目的竣工资料报审率，如1月20日完工的项目，3月1日统计时，若已报业主审核，视为已完成；若未报业主审核，视为未完成。</w:t>
            </w:r>
          </w:p>
        </w:tc>
        <w:tc>
          <w:tcPr>
            <w:tcW w:w="750" w:type="dxa"/>
            <w:vMerge w:val="restart"/>
            <w:tcBorders>
              <w:top w:val="single" w:color="000000" w:sz="4" w:space="0"/>
              <w:left w:val="single" w:color="000000" w:sz="4" w:space="0"/>
              <w:bottom w:val="nil"/>
              <w:right w:val="single" w:color="000000" w:sz="4" w:space="0"/>
            </w:tcBorders>
            <w:shd w:val="clear" w:color="auto" w:fill="auto"/>
            <w:vAlign w:val="center"/>
          </w:tcPr>
          <w:p w14:paraId="396B78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84" w:type="dxa"/>
            <w:vMerge w:val="restart"/>
            <w:tcBorders>
              <w:top w:val="single" w:color="000000" w:sz="4" w:space="0"/>
              <w:left w:val="single" w:color="000000" w:sz="4" w:space="0"/>
              <w:right w:val="single" w:color="000000" w:sz="4" w:space="0"/>
            </w:tcBorders>
            <w:shd w:val="clear" w:color="auto" w:fill="auto"/>
            <w:vAlign w:val="center"/>
          </w:tcPr>
          <w:p w14:paraId="23168787">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rPr>
            </w:pPr>
          </w:p>
        </w:tc>
      </w:tr>
      <w:tr w14:paraId="72D0B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FDE6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B0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按要求配合总包单位在单个项目完工后2个月内（约60个自然日）完成结算资料的编制及报审工作，当月第1个自然日统计一个自然年度内截至对上第3个月的结算资料报审率，低于95%的，扣1分；低于90%的，扣2分；低于85%的，扣3分；低于80%的，扣4分；依此类推，直至扣满10分。如：4月1日统计1月31日及之前完工项目的结算资料报审率，如1月20日完工的项目，4月1日统计时，若已报业主审核，视为已完成；若未报业主审核，视为未完成。</w:t>
            </w: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744F6E8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4" w:type="dxa"/>
            <w:vMerge w:val="continue"/>
            <w:tcBorders>
              <w:left w:val="single" w:color="000000" w:sz="4" w:space="0"/>
              <w:right w:val="single" w:color="000000" w:sz="4" w:space="0"/>
            </w:tcBorders>
            <w:shd w:val="clear" w:color="auto" w:fill="auto"/>
            <w:vAlign w:val="center"/>
          </w:tcPr>
          <w:p w14:paraId="34C1486C">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rPr>
            </w:pPr>
          </w:p>
        </w:tc>
      </w:tr>
      <w:tr w14:paraId="7B72D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E007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02F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3、业主在审核过程中发现存在问题或缺少资料的，须配合总包单位在5个自然日内修正或补齐资料，未在限期内修正或补齐资料的，每逾期1个自然日扣3分/项。</w:t>
            </w: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48214D5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4" w:type="dxa"/>
            <w:vMerge w:val="continue"/>
            <w:tcBorders>
              <w:left w:val="single" w:color="000000" w:sz="4" w:space="0"/>
              <w:bottom w:val="nil"/>
              <w:right w:val="single" w:color="000000" w:sz="4" w:space="0"/>
            </w:tcBorders>
            <w:shd w:val="clear" w:color="auto" w:fill="auto"/>
            <w:vAlign w:val="center"/>
          </w:tcPr>
          <w:p w14:paraId="09C5973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5FD0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5813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结算管理</w:t>
            </w: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39F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要求在单个项目完工后3个月内（约90个自然日）完成劳务结算资料报审工作，当月第1个自然日统计一个自然年度内截至对上第3个月的劳务结算资料报审率，低于95%的，扣1分；低于90%的，扣2分；低于85%的，扣3分；低于80%的，扣4分；依此类推，直至扣满10分。如：4月1日统计1月31日及之前完工项目的劳务结算资料报审率，如1月20日完工的项目，4月1日统计时，若已报业主审核，视为已完成；若未报业主审核，视为未完成。</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8BDE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84" w:type="dxa"/>
            <w:vMerge w:val="restart"/>
            <w:tcBorders>
              <w:top w:val="single" w:color="000000" w:sz="4" w:space="0"/>
              <w:left w:val="single" w:color="000000" w:sz="4" w:space="0"/>
              <w:right w:val="single" w:color="000000" w:sz="4" w:space="0"/>
            </w:tcBorders>
            <w:shd w:val="clear" w:color="auto" w:fill="auto"/>
            <w:vAlign w:val="center"/>
          </w:tcPr>
          <w:p w14:paraId="5F0CC92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027E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3AE2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76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2、劳务结算价须在收到审核成果文件后3个工作日内予以反馈意见，否则每逾期1个工作日扣2分/项；有意见的须在收到审核成果文件后5个工作日内予以反馈意见，否则每逾期1个工作日扣2分/项；直至扣满10分。</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CB6A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4" w:type="dxa"/>
            <w:vMerge w:val="continue"/>
            <w:tcBorders>
              <w:left w:val="single" w:color="000000" w:sz="4" w:space="0"/>
              <w:bottom w:val="nil"/>
              <w:right w:val="single" w:color="000000" w:sz="4" w:space="0"/>
            </w:tcBorders>
            <w:shd w:val="clear" w:color="auto" w:fill="auto"/>
            <w:vAlign w:val="center"/>
          </w:tcPr>
          <w:p w14:paraId="4D434FC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D58B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restart"/>
            <w:tcBorders>
              <w:top w:val="single" w:color="000000" w:sz="4" w:space="0"/>
              <w:left w:val="single" w:color="000000" w:sz="4" w:space="0"/>
              <w:bottom w:val="nil"/>
              <w:right w:val="single" w:color="000000" w:sz="4" w:space="0"/>
            </w:tcBorders>
            <w:shd w:val="clear" w:color="auto" w:fill="auto"/>
            <w:vAlign w:val="center"/>
          </w:tcPr>
          <w:p w14:paraId="28316A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工资管理</w:t>
            </w: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1A5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1、因分包单位原因，造成相关人员到项目建设单位、委托方上级单位及委托方办公场所、工程项目地点等</w:t>
            </w:r>
            <w:r>
              <w:rPr>
                <w:rFonts w:hint="eastAsia" w:ascii="宋体" w:hAnsi="宋体" w:eastAsia="宋体" w:cs="宋体"/>
                <w:color w:val="auto"/>
                <w:sz w:val="21"/>
                <w:szCs w:val="21"/>
                <w:highlight w:val="none"/>
                <w:u w:val="none"/>
                <w:lang w:bidi="ar"/>
              </w:rPr>
              <w:t>拉横幅、堵门、静坐示威、暴力讨薪、聚众围堵、破坏</w:t>
            </w:r>
            <w:r>
              <w:rPr>
                <w:rFonts w:hint="eastAsia" w:ascii="宋体" w:hAnsi="宋体" w:eastAsia="宋体" w:cs="宋体"/>
                <w:color w:val="auto"/>
                <w:sz w:val="21"/>
                <w:szCs w:val="21"/>
                <w:highlight w:val="none"/>
                <w:u w:val="none"/>
                <w:lang w:val="en-US" w:eastAsia="zh-CN" w:bidi="ar"/>
              </w:rPr>
              <w:t>财物</w:t>
            </w:r>
            <w:r>
              <w:rPr>
                <w:rFonts w:hint="eastAsia" w:ascii="宋体" w:hAnsi="宋体" w:eastAsia="宋体" w:cs="宋体"/>
                <w:color w:val="auto"/>
                <w:sz w:val="21"/>
                <w:szCs w:val="21"/>
                <w:highlight w:val="none"/>
                <w:u w:val="none"/>
                <w:lang w:bidi="ar"/>
              </w:rPr>
              <w:t>、人身威胁、制造网络谣言等</w:t>
            </w:r>
            <w:r>
              <w:rPr>
                <w:rFonts w:hint="eastAsia" w:ascii="宋体" w:hAnsi="宋体" w:eastAsia="宋体" w:cs="宋体"/>
                <w:i w:val="0"/>
                <w:iCs w:val="0"/>
                <w:color w:val="auto"/>
                <w:kern w:val="0"/>
                <w:sz w:val="21"/>
                <w:szCs w:val="21"/>
                <w:highlight w:val="none"/>
                <w:u w:val="none"/>
                <w:lang w:val="en-US" w:eastAsia="zh-CN" w:bidi="ar"/>
              </w:rPr>
              <w:t>非理性讨薪、闹事行为的，扣10分/次。</w:t>
            </w:r>
          </w:p>
        </w:tc>
        <w:tc>
          <w:tcPr>
            <w:tcW w:w="750" w:type="dxa"/>
            <w:vMerge w:val="restart"/>
            <w:tcBorders>
              <w:top w:val="single" w:color="000000" w:sz="4" w:space="0"/>
              <w:left w:val="single" w:color="000000" w:sz="4" w:space="0"/>
              <w:bottom w:val="nil"/>
              <w:right w:val="single" w:color="000000" w:sz="4" w:space="0"/>
            </w:tcBorders>
            <w:shd w:val="clear" w:color="auto" w:fill="auto"/>
            <w:vAlign w:val="center"/>
          </w:tcPr>
          <w:p w14:paraId="1101A4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784" w:type="dxa"/>
            <w:vMerge w:val="restart"/>
            <w:tcBorders>
              <w:top w:val="single" w:color="000000" w:sz="4" w:space="0"/>
              <w:left w:val="single" w:color="000000" w:sz="4" w:space="0"/>
              <w:bottom w:val="nil"/>
              <w:right w:val="single" w:color="000000" w:sz="4" w:space="0"/>
            </w:tcBorders>
            <w:shd w:val="clear" w:color="auto" w:fill="auto"/>
            <w:vAlign w:val="center"/>
          </w:tcPr>
          <w:p w14:paraId="1923E66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6A54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nil"/>
              <w:right w:val="single" w:color="000000" w:sz="4" w:space="0"/>
            </w:tcBorders>
            <w:shd w:val="clear" w:color="auto" w:fill="auto"/>
            <w:vAlign w:val="center"/>
          </w:tcPr>
          <w:p w14:paraId="583F4ED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7AC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2、因分包单位的原因，造成相关人员到政府信访平台上访的，扣5分/次；若在委托方限定的时间内仍未妥善处理的，再扣5分/次。</w:t>
            </w: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2C959F7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4" w:type="dxa"/>
            <w:vMerge w:val="continue"/>
            <w:tcBorders>
              <w:top w:val="single" w:color="000000" w:sz="4" w:space="0"/>
              <w:left w:val="single" w:color="000000" w:sz="4" w:space="0"/>
              <w:bottom w:val="nil"/>
              <w:right w:val="single" w:color="000000" w:sz="4" w:space="0"/>
            </w:tcBorders>
            <w:shd w:val="clear" w:color="auto" w:fill="auto"/>
            <w:vAlign w:val="center"/>
          </w:tcPr>
          <w:p w14:paraId="25648DC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58306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nil"/>
              <w:right w:val="single" w:color="000000" w:sz="4" w:space="0"/>
            </w:tcBorders>
            <w:shd w:val="clear" w:color="auto" w:fill="auto"/>
            <w:vAlign w:val="center"/>
          </w:tcPr>
          <w:p w14:paraId="60BA203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52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3、因分包单位的原因，造成相关人员到除政府信访平台外的其它平台上访的，扣2分/次；若限时内不能撤销该上访的，再扣3分/次。</w:t>
            </w: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28EB054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4" w:type="dxa"/>
            <w:vMerge w:val="continue"/>
            <w:tcBorders>
              <w:top w:val="single" w:color="000000" w:sz="4" w:space="0"/>
              <w:left w:val="single" w:color="000000" w:sz="4" w:space="0"/>
              <w:bottom w:val="nil"/>
              <w:right w:val="single" w:color="000000" w:sz="4" w:space="0"/>
            </w:tcBorders>
            <w:shd w:val="clear" w:color="auto" w:fill="auto"/>
            <w:vAlign w:val="center"/>
          </w:tcPr>
          <w:p w14:paraId="3667843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10DC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89D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不良记录</w:t>
            </w: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4FE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不服从委托方管理并因此受到委托方通报批评的，或出现过被上级部门、媒体及有政府部门通报批评的情况，视为不良记录，扣5分/次。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ED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DAE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56734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4053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荣誉加分</w:t>
            </w: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8E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1、分包单位承接的项目，每收到一份业主表扬信、感谢信等荣誉类文件，加2分/次。</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99DD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610F0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6EDD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AB74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6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EB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2、分包单位承接的项目，每收到一份有关政府职能部门、业主上级部门（如集团）的表扬信、感谢信等荣誉类文件，加5分/次。</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7204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277F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bl>
    <w:p w14:paraId="19E71279">
      <w:pPr>
        <w:pStyle w:val="2"/>
        <w:snapToGrid w:val="0"/>
        <w:spacing w:line="360" w:lineRule="auto"/>
        <w:ind w:right="0"/>
        <w:jc w:val="left"/>
        <w:outlineLvl w:val="9"/>
        <w:rPr>
          <w:rFonts w:hint="eastAsia" w:ascii="宋体" w:hAnsi="宋体" w:eastAsia="宋体" w:cs="宋体"/>
          <w:color w:val="auto"/>
          <w:sz w:val="21"/>
          <w:szCs w:val="21"/>
          <w:highlight w:val="none"/>
          <w:lang w:val="en-US"/>
        </w:rPr>
      </w:pPr>
    </w:p>
    <w:p w14:paraId="3BFD9844">
      <w:pP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br w:type="page"/>
      </w:r>
    </w:p>
    <w:p w14:paraId="5BDD8CEB">
      <w:pPr>
        <w:pStyle w:val="2"/>
        <w:keepNext w:val="0"/>
        <w:keepLines w:val="0"/>
        <w:pageBreakBefore w:val="0"/>
        <w:widowControl w:val="0"/>
        <w:kinsoku/>
        <w:wordWrap/>
        <w:overflowPunct/>
        <w:topLinePunct w:val="0"/>
        <w:autoSpaceDE w:val="0"/>
        <w:autoSpaceDN w:val="0"/>
        <w:bidi w:val="0"/>
        <w:adjustRightInd w:val="0"/>
        <w:snapToGrid/>
        <w:spacing w:line="360" w:lineRule="auto"/>
        <w:ind w:right="-28"/>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附表3：</w:t>
      </w:r>
    </w:p>
    <w:tbl>
      <w:tblPr>
        <w:tblStyle w:val="39"/>
        <w:tblW w:w="1007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57"/>
        <w:gridCol w:w="7004"/>
        <w:gridCol w:w="727"/>
        <w:gridCol w:w="785"/>
      </w:tblGrid>
      <w:tr w14:paraId="30081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0073" w:type="dxa"/>
            <w:gridSpan w:val="4"/>
            <w:tcBorders>
              <w:top w:val="nil"/>
              <w:left w:val="nil"/>
              <w:bottom w:val="nil"/>
              <w:right w:val="nil"/>
            </w:tcBorders>
            <w:shd w:val="clear" w:color="auto" w:fill="auto"/>
            <w:vAlign w:val="center"/>
          </w:tcPr>
          <w:p w14:paraId="5285DA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东莞市碧水信息科技有限公司100万元及以上项目履约考核评价表</w:t>
            </w:r>
          </w:p>
        </w:tc>
      </w:tr>
      <w:tr w14:paraId="4A0C4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93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被考评对象</w:t>
            </w:r>
          </w:p>
        </w:tc>
        <w:tc>
          <w:tcPr>
            <w:tcW w:w="85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4D091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22215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E2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考评主体</w:t>
            </w:r>
          </w:p>
        </w:tc>
        <w:tc>
          <w:tcPr>
            <w:tcW w:w="85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5D503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30F0A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74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85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06F5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3A80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1E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考评时间</w:t>
            </w:r>
          </w:p>
        </w:tc>
        <w:tc>
          <w:tcPr>
            <w:tcW w:w="851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C44C6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DC5D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DF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考评内容</w:t>
            </w: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FB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考核评分内容</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A3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分值</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682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得分</w:t>
            </w:r>
          </w:p>
        </w:tc>
      </w:tr>
      <w:tr w14:paraId="611BF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EE16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人员管理</w:t>
            </w: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C6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1、项目主要管理人员、作业人员未按要求到位的，每次扣2分/人。</w:t>
            </w: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C111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6A2E6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BE96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D8B7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7C3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2、特种作业人员未持证上岗的，每次扣2分/人。</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52E3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A0C2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D4AC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61BE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86C4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3、未按要求配置安全管理人员的，每次扣2分/人。</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02F1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13D0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6548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2F73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FC7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4、人员未按要求备案的，每次扣1分/人。</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2A43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6BD8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1474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68C4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施工工期</w:t>
            </w: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E9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1、月进度计划完成率未达到90%，每降低1%扣1分。</w:t>
            </w: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34E5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7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A23E8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2407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7C49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8D6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2、重要节点工期计划完成率未达到100%，每降低1%扣1分。</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05B0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9F38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D47D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3469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026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3、因分包商的原因，导致进度滞后，拒不按要求增加人力投入的，扣5分/次。</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674F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2D90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B469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2AA5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4F8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4、因进度问题，业主投诉到项目部的，扣3分/次。</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DD3D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067F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4B79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A250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15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5、因进度问题，业主投诉到公司的，扣5分/次。</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DFBC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5AA5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61F1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E1B4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AD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6、因进度问题，业主投诉到集团的，扣10分/次。</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AC1B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1BBE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23428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E163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施工质量</w:t>
            </w: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FF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1、存在严重质量隐患的，扣5分/处；不符合质量要求，拒不整改的，增加扣分，扣3分/处；整改不及时的，增加扣分，扣2分/处。</w:t>
            </w: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4B51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7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F384C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B08B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2B03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E79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2、工程实体观感质量差的，视情况扣1～5分。</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DFA5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C059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5B4DC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9A30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C1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3、因分包商施工质量的原因，造成委托方被上级部门（集团、业主单位、行政主管部门）通报批评的，扣5分/次。</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9BBB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7E46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376A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0CBF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83A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4、因分包单位的原因发生质量事故，造成不良社会影响的，本项得0分。</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204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1382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C97C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AB3B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安全环境</w:t>
            </w: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14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1、有违规、违章操作行为的，扣2分/次。</w:t>
            </w: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A334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7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BC7F1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56247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55AB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21F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2、存在重大安全隐患的，扣10分/处；对安全隐患拒不整改的，扣3分/处。</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4103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115C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AD81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DB49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1F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3、施工现场文明施工差的，视情况扣1～5分。</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5410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33FE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A91A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636F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900B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u w:val="none"/>
                <w:lang w:val="en-US" w:eastAsia="zh-CN" w:bidi="ar"/>
              </w:rPr>
              <w:t>4、</w:t>
            </w:r>
            <w:r>
              <w:rPr>
                <w:rFonts w:hint="eastAsia" w:ascii="宋体" w:hAnsi="宋体" w:eastAsia="宋体" w:cs="宋体"/>
                <w:color w:val="auto"/>
                <w:sz w:val="21"/>
                <w:szCs w:val="21"/>
                <w:highlight w:val="none"/>
                <w:u w:val="none"/>
                <w:lang w:bidi="ar"/>
              </w:rPr>
              <w:t>相关安全管理资料未按要求及时提交的</w:t>
            </w:r>
            <w:r>
              <w:rPr>
                <w:rFonts w:hint="eastAsia" w:ascii="宋体" w:hAnsi="宋体" w:eastAsia="宋体" w:cs="宋体"/>
                <w:color w:val="auto"/>
                <w:sz w:val="21"/>
                <w:szCs w:val="21"/>
                <w:highlight w:val="none"/>
                <w:u w:val="none"/>
                <w:lang w:eastAsia="zh-CN" w:bidi="ar"/>
              </w:rPr>
              <w:t>，</w:t>
            </w:r>
            <w:r>
              <w:rPr>
                <w:rFonts w:hint="eastAsia" w:ascii="宋体" w:hAnsi="宋体" w:eastAsia="宋体" w:cs="宋体"/>
                <w:color w:val="auto"/>
                <w:sz w:val="21"/>
                <w:szCs w:val="21"/>
                <w:highlight w:val="none"/>
                <w:u w:val="none"/>
                <w:lang w:val="en-US" w:eastAsia="zh-CN" w:bidi="ar"/>
              </w:rPr>
              <w:t>扣1分/次。</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A62D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00BC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36611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0917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9D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5、因分包商安全作业的原因，造成委托方被上级部门（集团、业主单位、行政主管部门）通报批评的，每次扣5分；</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3434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DA47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CED1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522C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046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6、因分包商的原因，发生安全事故未造成人员伤亡的，视情况扣3～8分。</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2F81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F8D9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42CD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B499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F2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7、因分包商的原因，发生死亡事故的，本项得0分。</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F52C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1DB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2CCC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restart"/>
            <w:tcBorders>
              <w:top w:val="single" w:color="000000" w:sz="4" w:space="0"/>
              <w:left w:val="single" w:color="000000" w:sz="4" w:space="0"/>
              <w:bottom w:val="nil"/>
              <w:right w:val="single" w:color="000000" w:sz="4" w:space="0"/>
            </w:tcBorders>
            <w:shd w:val="clear" w:color="auto" w:fill="auto"/>
            <w:vAlign w:val="center"/>
          </w:tcPr>
          <w:p w14:paraId="2C8176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资料整理</w:t>
            </w: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D01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1、项目完工后30个自然日内，按要求配合总包单位完成竣工资料的编制及报审工作，每逾期1个自然日扣1分。</w:t>
            </w:r>
          </w:p>
        </w:tc>
        <w:tc>
          <w:tcPr>
            <w:tcW w:w="727" w:type="dxa"/>
            <w:vMerge w:val="restart"/>
            <w:tcBorders>
              <w:top w:val="single" w:color="000000" w:sz="4" w:space="0"/>
              <w:left w:val="single" w:color="000000" w:sz="4" w:space="0"/>
              <w:bottom w:val="nil"/>
              <w:right w:val="single" w:color="000000" w:sz="4" w:space="0"/>
            </w:tcBorders>
            <w:shd w:val="clear" w:color="auto" w:fill="auto"/>
            <w:vAlign w:val="center"/>
          </w:tcPr>
          <w:p w14:paraId="47D140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785" w:type="dxa"/>
            <w:vMerge w:val="restart"/>
            <w:tcBorders>
              <w:top w:val="single" w:color="000000" w:sz="4" w:space="0"/>
              <w:left w:val="single" w:color="000000" w:sz="4" w:space="0"/>
              <w:bottom w:val="nil"/>
              <w:right w:val="single" w:color="000000" w:sz="4" w:space="0"/>
            </w:tcBorders>
            <w:shd w:val="clear" w:color="auto" w:fill="auto"/>
            <w:vAlign w:val="center"/>
          </w:tcPr>
          <w:p w14:paraId="498ABBD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BB14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nil"/>
              <w:right w:val="single" w:color="000000" w:sz="4" w:space="0"/>
            </w:tcBorders>
            <w:shd w:val="clear" w:color="auto" w:fill="auto"/>
            <w:vAlign w:val="center"/>
          </w:tcPr>
          <w:p w14:paraId="3BEAADE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1B6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2、项目竣工资料审核通过后30个自然日内，按要求配合总包单位完成结算资料的编制及报审工作，每逾期1个自然日扣1分。</w:t>
            </w:r>
          </w:p>
        </w:tc>
        <w:tc>
          <w:tcPr>
            <w:tcW w:w="727" w:type="dxa"/>
            <w:vMerge w:val="continue"/>
            <w:tcBorders>
              <w:top w:val="single" w:color="000000" w:sz="4" w:space="0"/>
              <w:left w:val="single" w:color="000000" w:sz="4" w:space="0"/>
              <w:bottom w:val="nil"/>
              <w:right w:val="single" w:color="000000" w:sz="4" w:space="0"/>
            </w:tcBorders>
            <w:shd w:val="clear" w:color="auto" w:fill="auto"/>
            <w:vAlign w:val="center"/>
          </w:tcPr>
          <w:p w14:paraId="52D736E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nil"/>
              <w:right w:val="single" w:color="000000" w:sz="4" w:space="0"/>
            </w:tcBorders>
            <w:shd w:val="clear" w:color="auto" w:fill="auto"/>
            <w:vAlign w:val="center"/>
          </w:tcPr>
          <w:p w14:paraId="1790323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0798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nil"/>
              <w:right w:val="single" w:color="000000" w:sz="4" w:space="0"/>
            </w:tcBorders>
            <w:shd w:val="clear" w:color="auto" w:fill="auto"/>
            <w:vAlign w:val="center"/>
          </w:tcPr>
          <w:p w14:paraId="520D62B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3A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3、业主在审核过程中发现存在问题或缺少资料的，须配合总包单位在5个自然日内修正或补齐资料，未在限期内修正或补齐资料的，每逾期1个自然日扣3分。</w:t>
            </w:r>
          </w:p>
        </w:tc>
        <w:tc>
          <w:tcPr>
            <w:tcW w:w="727" w:type="dxa"/>
            <w:vMerge w:val="continue"/>
            <w:tcBorders>
              <w:top w:val="single" w:color="000000" w:sz="4" w:space="0"/>
              <w:left w:val="single" w:color="000000" w:sz="4" w:space="0"/>
              <w:bottom w:val="nil"/>
              <w:right w:val="single" w:color="000000" w:sz="4" w:space="0"/>
            </w:tcBorders>
            <w:shd w:val="clear" w:color="auto" w:fill="auto"/>
            <w:vAlign w:val="center"/>
          </w:tcPr>
          <w:p w14:paraId="4F5FC6A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nil"/>
              <w:right w:val="single" w:color="000000" w:sz="4" w:space="0"/>
            </w:tcBorders>
            <w:shd w:val="clear" w:color="auto" w:fill="auto"/>
            <w:vAlign w:val="center"/>
          </w:tcPr>
          <w:p w14:paraId="14A3EA2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72E2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4533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结算管理</w:t>
            </w: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054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1、总包结算审定后30个自然日内，完成劳务结算资料报审工作，每逾期1个自然日扣1分。</w:t>
            </w:r>
          </w:p>
        </w:tc>
        <w:tc>
          <w:tcPr>
            <w:tcW w:w="727" w:type="dxa"/>
            <w:vMerge w:val="restart"/>
            <w:tcBorders>
              <w:top w:val="single" w:color="000000" w:sz="4" w:space="0"/>
              <w:left w:val="single" w:color="000000" w:sz="4" w:space="0"/>
              <w:bottom w:val="nil"/>
              <w:right w:val="single" w:color="000000" w:sz="4" w:space="0"/>
            </w:tcBorders>
            <w:shd w:val="clear" w:color="auto" w:fill="auto"/>
            <w:vAlign w:val="center"/>
          </w:tcPr>
          <w:p w14:paraId="7DC68A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85" w:type="dxa"/>
            <w:vMerge w:val="restart"/>
            <w:tcBorders>
              <w:top w:val="single" w:color="000000" w:sz="4" w:space="0"/>
              <w:left w:val="single" w:color="000000" w:sz="4" w:space="0"/>
              <w:bottom w:val="nil"/>
              <w:right w:val="single" w:color="000000" w:sz="4" w:space="0"/>
            </w:tcBorders>
            <w:shd w:val="clear" w:color="auto" w:fill="auto"/>
            <w:vAlign w:val="center"/>
          </w:tcPr>
          <w:p w14:paraId="36232DF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5A42C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7587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80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2、劳务结算价须在收到审核成果文件后3个工作日内予以反馈意见，否则每逾期1个工作日扣2分/项；有意见的须在收到审核成果文件后5个工作日内予以反馈意见，否则每逾期1个工作日扣2分/项；直至扣满10分。</w:t>
            </w:r>
          </w:p>
        </w:tc>
        <w:tc>
          <w:tcPr>
            <w:tcW w:w="727" w:type="dxa"/>
            <w:vMerge w:val="continue"/>
            <w:tcBorders>
              <w:top w:val="single" w:color="000000" w:sz="4" w:space="0"/>
              <w:left w:val="single" w:color="000000" w:sz="4" w:space="0"/>
              <w:bottom w:val="nil"/>
              <w:right w:val="single" w:color="000000" w:sz="4" w:space="0"/>
            </w:tcBorders>
            <w:shd w:val="clear" w:color="auto" w:fill="auto"/>
            <w:vAlign w:val="center"/>
          </w:tcPr>
          <w:p w14:paraId="4915960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nil"/>
              <w:right w:val="single" w:color="000000" w:sz="4" w:space="0"/>
            </w:tcBorders>
            <w:shd w:val="clear" w:color="auto" w:fill="auto"/>
            <w:vAlign w:val="center"/>
          </w:tcPr>
          <w:p w14:paraId="7EA484C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A6BA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0234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工资管理</w:t>
            </w: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AE1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1、未按要求编制《劳务人员花名册》、《工资支付台账》、《劳务人员考勤表》和《劳务人员工资表》的，扣2分/次。</w:t>
            </w: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7C69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7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4C267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C2FC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792D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C093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2、因分包商的原因，造成相关人员到项目建设单位、委托方上级单位及委托方办公场所、工程项目地点等</w:t>
            </w:r>
            <w:r>
              <w:rPr>
                <w:rFonts w:hint="eastAsia" w:ascii="宋体" w:hAnsi="宋体" w:eastAsia="宋体" w:cs="宋体"/>
                <w:color w:val="auto"/>
                <w:sz w:val="21"/>
                <w:szCs w:val="21"/>
                <w:highlight w:val="none"/>
                <w:u w:val="none"/>
                <w:lang w:bidi="ar"/>
              </w:rPr>
              <w:t>拉横幅、堵门、静坐示威、暴力讨薪、聚众围堵、破坏</w:t>
            </w:r>
            <w:r>
              <w:rPr>
                <w:rFonts w:hint="eastAsia" w:ascii="宋体" w:hAnsi="宋体" w:eastAsia="宋体" w:cs="宋体"/>
                <w:color w:val="auto"/>
                <w:sz w:val="21"/>
                <w:szCs w:val="21"/>
                <w:highlight w:val="none"/>
                <w:u w:val="none"/>
                <w:lang w:val="en-US" w:eastAsia="zh-CN" w:bidi="ar"/>
              </w:rPr>
              <w:t>财物</w:t>
            </w:r>
            <w:r>
              <w:rPr>
                <w:rFonts w:hint="eastAsia" w:ascii="宋体" w:hAnsi="宋体" w:eastAsia="宋体" w:cs="宋体"/>
                <w:color w:val="auto"/>
                <w:sz w:val="21"/>
                <w:szCs w:val="21"/>
                <w:highlight w:val="none"/>
                <w:u w:val="none"/>
                <w:lang w:bidi="ar"/>
              </w:rPr>
              <w:t>、人身威胁、制造网络谣言等非理性</w:t>
            </w:r>
            <w:r>
              <w:rPr>
                <w:rFonts w:hint="eastAsia" w:ascii="宋体" w:hAnsi="宋体" w:eastAsia="宋体" w:cs="宋体"/>
                <w:i w:val="0"/>
                <w:iCs w:val="0"/>
                <w:color w:val="auto"/>
                <w:kern w:val="0"/>
                <w:sz w:val="21"/>
                <w:szCs w:val="21"/>
                <w:highlight w:val="none"/>
                <w:u w:val="none"/>
                <w:lang w:val="en-US" w:eastAsia="zh-CN" w:bidi="ar"/>
              </w:rPr>
              <w:t>讨薪、闹事行为的，扣10分/次。</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2743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3686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37D80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E2FE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E8A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3、因分包商的原因，造成相关人员到政府信访平台上访的，扣5分/次；若在委托方限定的时间内仍未妥善处理的，再扣5分/次。</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2410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6A8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0CADF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70DA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BD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4、因分包商的原因，造成相关人员到除政府信访平台外的其它平台上访的，扣2分/次；若限时内不能撤销该上访的，再扣3分/次。</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179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692F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2AD68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026E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C22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5、因工资支付导致工人出现罢工、消极怠工的，扣5分/次。</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FDB7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1C49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495C7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E65C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E16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6、讨薪事件造成社会影响的，本项得0分。</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CA28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59D1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1C09A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505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不良记录</w:t>
            </w: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A5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不服从委托方管理并因此受到委托方通报批评的，扣5分/次。</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83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BA8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5A9B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421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荣誉加分</w:t>
            </w: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34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每收到一份业主表扬信、感谢信等荣誉类文件，加3分/次。</w:t>
            </w: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0079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522E8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722D6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0" w:hRule="atLeast"/>
          <w:jc w:val="center"/>
        </w:trPr>
        <w:tc>
          <w:tcPr>
            <w:tcW w:w="15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18E7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E7F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每收到一份有关政府职能部门、业主上级部门（如集团）的表扬信、感谢信等荣誉类文件，加10分/次。</w:t>
            </w: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45C2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1D65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bl>
    <w:p w14:paraId="3F61E7E7">
      <w:pPr>
        <w:pStyle w:val="2"/>
        <w:snapToGrid w:val="0"/>
        <w:spacing w:line="360" w:lineRule="auto"/>
        <w:ind w:right="0"/>
        <w:jc w:val="left"/>
        <w:outlineLvl w:val="9"/>
        <w:rPr>
          <w:rFonts w:hint="eastAsia" w:ascii="宋体" w:hAnsi="宋体" w:eastAsia="宋体" w:cs="宋体"/>
          <w:color w:val="auto"/>
          <w:sz w:val="21"/>
          <w:szCs w:val="21"/>
          <w:highlight w:val="none"/>
          <w:lang w:val="en-US"/>
        </w:rPr>
      </w:pPr>
    </w:p>
    <w:p w14:paraId="182A9B94">
      <w:pPr>
        <w:rPr>
          <w:rFonts w:hint="eastAsia"/>
          <w:color w:val="auto"/>
          <w:sz w:val="21"/>
          <w:szCs w:val="21"/>
          <w:highlight w:val="none"/>
          <w:lang w:val="en-US"/>
        </w:rPr>
      </w:pPr>
      <w:r>
        <w:rPr>
          <w:rFonts w:hint="eastAsia"/>
          <w:color w:val="auto"/>
          <w:sz w:val="21"/>
          <w:szCs w:val="21"/>
          <w:highlight w:val="none"/>
          <w:lang w:val="en-US"/>
        </w:rPr>
        <w:br w:type="page"/>
      </w:r>
    </w:p>
    <w:p w14:paraId="7300C873">
      <w:pPr>
        <w:pStyle w:val="2"/>
        <w:snapToGrid w:val="0"/>
        <w:spacing w:line="360" w:lineRule="auto"/>
        <w:ind w:right="0"/>
        <w:jc w:val="left"/>
        <w:outlineLvl w:val="2"/>
        <w:rPr>
          <w:rFonts w:hint="eastAsia"/>
          <w:color w:val="auto"/>
          <w:sz w:val="21"/>
          <w:szCs w:val="21"/>
          <w:highlight w:val="none"/>
          <w:lang w:val="en-US"/>
        </w:rPr>
      </w:pPr>
      <w:r>
        <w:rPr>
          <w:rFonts w:hint="eastAsia"/>
          <w:color w:val="auto"/>
          <w:sz w:val="21"/>
          <w:szCs w:val="21"/>
          <w:highlight w:val="none"/>
          <w:lang w:val="en-US"/>
        </w:rPr>
        <w:t>附件</w:t>
      </w:r>
      <w:r>
        <w:rPr>
          <w:rFonts w:hint="eastAsia"/>
          <w:color w:val="auto"/>
          <w:sz w:val="21"/>
          <w:szCs w:val="21"/>
          <w:highlight w:val="none"/>
          <w:lang w:val="en-US" w:eastAsia="zh-CN"/>
        </w:rPr>
        <w:t>7</w:t>
      </w:r>
      <w:r>
        <w:rPr>
          <w:rFonts w:hint="eastAsia"/>
          <w:color w:val="auto"/>
          <w:sz w:val="21"/>
          <w:szCs w:val="21"/>
          <w:highlight w:val="none"/>
          <w:lang w:val="en-US"/>
        </w:rPr>
        <w:t>：东莞市碧水信息科技有限公司供水管网及附属设备抢修业务劳务分包清单价目表（详见招标公告附件）</w:t>
      </w:r>
      <w:bookmarkEnd w:id="472"/>
    </w:p>
    <w:p w14:paraId="4B438688">
      <w:pPr>
        <w:pStyle w:val="2"/>
        <w:snapToGrid w:val="0"/>
        <w:spacing w:line="360" w:lineRule="auto"/>
        <w:ind w:right="0"/>
        <w:jc w:val="left"/>
        <w:rPr>
          <w:rFonts w:hint="eastAsia"/>
          <w:color w:val="auto"/>
          <w:sz w:val="21"/>
          <w:szCs w:val="21"/>
          <w:highlight w:val="none"/>
          <w:lang w:val="en-US"/>
        </w:rPr>
      </w:pPr>
    </w:p>
    <w:p w14:paraId="26395330">
      <w:pPr>
        <w:pStyle w:val="2"/>
        <w:snapToGrid w:val="0"/>
        <w:spacing w:line="360" w:lineRule="auto"/>
        <w:ind w:right="0"/>
        <w:jc w:val="left"/>
        <w:outlineLvl w:val="2"/>
        <w:rPr>
          <w:rFonts w:hint="eastAsia"/>
          <w:color w:val="auto"/>
          <w:sz w:val="21"/>
          <w:szCs w:val="21"/>
          <w:highlight w:val="none"/>
          <w:lang w:val="en-US"/>
        </w:rPr>
      </w:pPr>
      <w:bookmarkStart w:id="473" w:name="_Toc20936"/>
      <w:r>
        <w:rPr>
          <w:rFonts w:hint="eastAsia"/>
          <w:color w:val="auto"/>
          <w:sz w:val="21"/>
          <w:szCs w:val="21"/>
          <w:highlight w:val="none"/>
          <w:lang w:val="en-US"/>
        </w:rPr>
        <w:t>附件</w:t>
      </w:r>
      <w:r>
        <w:rPr>
          <w:rFonts w:hint="eastAsia"/>
          <w:color w:val="auto"/>
          <w:sz w:val="21"/>
          <w:szCs w:val="21"/>
          <w:highlight w:val="none"/>
          <w:lang w:val="en-US" w:eastAsia="zh-CN"/>
        </w:rPr>
        <w:t>8</w:t>
      </w:r>
      <w:r>
        <w:rPr>
          <w:rFonts w:hint="eastAsia"/>
          <w:color w:val="auto"/>
          <w:sz w:val="21"/>
          <w:szCs w:val="21"/>
          <w:highlight w:val="none"/>
          <w:lang w:val="en-US"/>
        </w:rPr>
        <w:t>：东莞市碧水信息科技有限公司表务类小型项目劳务分包清单价目表（详见招标公告附件）</w:t>
      </w:r>
      <w:bookmarkEnd w:id="473"/>
    </w:p>
    <w:p w14:paraId="237D9306">
      <w:pPr>
        <w:pStyle w:val="2"/>
        <w:snapToGrid w:val="0"/>
        <w:spacing w:line="360" w:lineRule="auto"/>
        <w:ind w:right="0"/>
        <w:jc w:val="left"/>
        <w:rPr>
          <w:rFonts w:hint="eastAsia"/>
          <w:color w:val="auto"/>
          <w:sz w:val="21"/>
          <w:szCs w:val="21"/>
          <w:highlight w:val="none"/>
          <w:lang w:val="en-US"/>
        </w:rPr>
      </w:pPr>
    </w:p>
    <w:p w14:paraId="585DA79E">
      <w:pPr>
        <w:rPr>
          <w:rFonts w:hint="eastAsia"/>
          <w:color w:val="auto"/>
          <w:szCs w:val="21"/>
          <w:highlight w:val="none"/>
        </w:rPr>
      </w:pPr>
      <w:r>
        <w:rPr>
          <w:rFonts w:hint="eastAsia"/>
          <w:color w:val="auto"/>
          <w:szCs w:val="21"/>
          <w:highlight w:val="none"/>
        </w:rPr>
        <w:br w:type="page"/>
      </w:r>
      <w:bookmarkStart w:id="828" w:name="_GoBack"/>
      <w:bookmarkEnd w:id="828"/>
    </w:p>
    <w:p w14:paraId="03C4B4E5">
      <w:pPr>
        <w:pStyle w:val="2"/>
        <w:snapToGrid w:val="0"/>
        <w:spacing w:line="360" w:lineRule="auto"/>
        <w:ind w:right="0"/>
        <w:jc w:val="left"/>
        <w:outlineLvl w:val="2"/>
        <w:rPr>
          <w:rFonts w:hint="eastAsia"/>
          <w:color w:val="auto"/>
          <w:sz w:val="21"/>
          <w:szCs w:val="21"/>
          <w:highlight w:val="none"/>
          <w:lang w:val="en-US"/>
        </w:rPr>
      </w:pPr>
      <w:bookmarkStart w:id="474" w:name="_Toc31015"/>
      <w:r>
        <w:rPr>
          <w:rFonts w:hint="eastAsia"/>
          <w:color w:val="auto"/>
          <w:sz w:val="21"/>
          <w:szCs w:val="21"/>
          <w:highlight w:val="none"/>
          <w:lang w:val="en-US"/>
        </w:rPr>
        <w:t>附件</w:t>
      </w:r>
      <w:r>
        <w:rPr>
          <w:rFonts w:hint="eastAsia"/>
          <w:color w:val="auto"/>
          <w:sz w:val="21"/>
          <w:szCs w:val="21"/>
          <w:highlight w:val="none"/>
          <w:lang w:val="en-US" w:eastAsia="zh-CN"/>
        </w:rPr>
        <w:t>9</w:t>
      </w:r>
      <w:r>
        <w:rPr>
          <w:rFonts w:hint="eastAsia"/>
          <w:color w:val="auto"/>
          <w:sz w:val="21"/>
          <w:szCs w:val="21"/>
          <w:highlight w:val="none"/>
          <w:lang w:val="en-US"/>
        </w:rPr>
        <w:t>：廉洁协议书</w:t>
      </w:r>
      <w:bookmarkEnd w:id="474"/>
    </w:p>
    <w:p w14:paraId="14CE177F">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30"/>
          <w:szCs w:val="30"/>
          <w:highlight w:val="none"/>
        </w:rPr>
        <w:t>廉洁协议书</w:t>
      </w:r>
    </w:p>
    <w:p w14:paraId="3F1940E7">
      <w:pPr>
        <w:spacing w:line="360" w:lineRule="auto"/>
        <w:rPr>
          <w:rFonts w:hint="eastAsia" w:ascii="宋体" w:hAnsi="宋体" w:eastAsia="宋体" w:cs="宋体"/>
          <w:b/>
          <w:bCs/>
          <w:color w:val="auto"/>
          <w:szCs w:val="21"/>
          <w:highlight w:val="none"/>
        </w:rPr>
      </w:pPr>
    </w:p>
    <w:p w14:paraId="265C83BB">
      <w:pPr>
        <w:spacing w:line="360" w:lineRule="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项目名称：东莞市碧水信息科技有限公司施工劳务分包供应商库采购项目（招标编号：</w:t>
      </w:r>
      <w:r>
        <w:rPr>
          <w:rFonts w:hint="eastAsia" w:ascii="宋体" w:hAnsi="宋体" w:eastAsia="宋体" w:cs="宋体"/>
          <w:b/>
          <w:bCs/>
          <w:color w:val="auto"/>
          <w:szCs w:val="21"/>
          <w:highlight w:val="none"/>
          <w:u w:val="single"/>
        </w:rPr>
        <w:t>SSSSSC12500950</w:t>
      </w:r>
      <w:r>
        <w:rPr>
          <w:rFonts w:hint="eastAsia" w:ascii="宋体" w:hAnsi="宋体" w:eastAsia="宋体" w:cs="宋体"/>
          <w:b/>
          <w:bCs/>
          <w:color w:val="auto"/>
          <w:szCs w:val="21"/>
          <w:highlight w:val="none"/>
        </w:rPr>
        <w:t>）</w:t>
      </w:r>
    </w:p>
    <w:p w14:paraId="6031AF25">
      <w:pPr>
        <w:spacing w:line="360" w:lineRule="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甲方（业主单位）：</w:t>
      </w:r>
    </w:p>
    <w:p w14:paraId="21F2CC2D">
      <w:pPr>
        <w:spacing w:line="360" w:lineRule="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乙方：</w:t>
      </w:r>
    </w:p>
    <w:p w14:paraId="0F7B1CF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为规范甲乙双方在订立、履行合同及经济业务往来过程中的行为，保持廉洁自律的工作作风,防止各种违法及不正当行为的发生,确保甲乙双方及其工作人员自觉遵守国家法律、法规及廉洁从业各项规定，特订立本协议。</w:t>
      </w:r>
    </w:p>
    <w:p w14:paraId="4896EC68">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第一条  甲乙双方的权利和义务</w:t>
      </w:r>
    </w:p>
    <w:p w14:paraId="6F0E161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（一）严格遵守党和国家有关法律法规等有关廉洁从业规定。</w:t>
      </w:r>
    </w:p>
    <w:p w14:paraId="6E52DE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（二）严格执行本项目的合同文件，自觉按合同办事。</w:t>
      </w:r>
    </w:p>
    <w:p w14:paraId="75D6D6D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（三）双方的业务活动坚持公开、公正、诚信、透明的原则（除法律认定的商业秘密和合同文件另有规定之外）不得损害国家和集体利益，违反工程建设管理及其他法律法规规章制度。</w:t>
      </w:r>
    </w:p>
    <w:p w14:paraId="1C2EED1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（四）建立健全廉洁制度，开展廉洁教育，设立廉洁监督公示牌，公布举报电话，监督并认真查处违法违纪行为。</w:t>
      </w:r>
    </w:p>
    <w:p w14:paraId="2090B6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（五）发现对方在业务活动中有违反廉洁规定的行为，有及时提醒对方纠正的权利和义务。</w:t>
      </w:r>
    </w:p>
    <w:p w14:paraId="45499B8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（六）发现对方严重违反本协议义务条款的行为，有向其上级有关部门举报、建议给予处理并要求告知处理结果的权利。</w:t>
      </w:r>
    </w:p>
    <w:p w14:paraId="36554A3D">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第二条  甲方的义务</w:t>
      </w:r>
    </w:p>
    <w:p w14:paraId="53DA968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（一）甲方及其工作人员不得索要或接受乙方的礼金、有价证券和贵重物品，不得在乙方报销任何应由甲方或个人支付的费用。</w:t>
      </w:r>
    </w:p>
    <w:p w14:paraId="48B1D1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（二）甲方工作人员不得参加乙方安排的高消费宴请和娱乐活动；不得接受乙方提供的通讯工具、交通工具和高档办公用品。</w:t>
      </w:r>
    </w:p>
    <w:p w14:paraId="073909A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（三）甲方及其工作人员不得要求或者接受乙方为其住房装修、婚丧嫁娶活动、家属或亲友的工作安排以及出国出境、旅游等提供方便。</w:t>
      </w:r>
    </w:p>
    <w:p w14:paraId="1779EC0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（四）甲方工作人员不得向乙方介绍其家属或者亲友（包括家属或亲友开办的公司企业）从事于本项目涉及的经济业务活动。</w:t>
      </w:r>
    </w:p>
    <w:p w14:paraId="7C6856F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（五）甲方及其工作人员不得以任何理由向乙方推荐分包单位，不得要求乙方购买合同规定外的材料和设备。</w:t>
      </w:r>
    </w:p>
    <w:p w14:paraId="7869D3B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（六）甲方及其工作人员不得进行违反廉洁规定的其他活动。</w:t>
      </w:r>
    </w:p>
    <w:p w14:paraId="2707A3C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（七）甲方应对甲方工作人员进行廉洁监督管理，如甲方工作人员违反本协议第一、第二条，甲方应依据有关法律法规、党纪规定对其进行处理；涉嫌犯罪的，甲方应将其移交司法机关追究刑事责任。</w:t>
      </w:r>
    </w:p>
    <w:p w14:paraId="6B6AC045">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第三条  乙方义务</w:t>
      </w:r>
    </w:p>
    <w:p w14:paraId="7DEBA93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（一）乙方不得以任何理由向甲方及其工作人员馈赠礼金、有价证券、贵重礼品，或报销应由甲方单位或个人支付的任何费用。</w:t>
      </w:r>
    </w:p>
    <w:p w14:paraId="533AFD2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（二）乙方及其工作人员不得以考察、参观、洽谈业务、签订合同等的借口邀请甲方及其工作人员参加高消费的宴请、娱乐和健身等活动。</w:t>
      </w:r>
    </w:p>
    <w:p w14:paraId="64168E5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（三）乙方不得为甲方单位和个人购置或提供通讯工具、交通工具和高档办公用品等。</w:t>
      </w:r>
    </w:p>
    <w:p w14:paraId="2814DDE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（四）乙方及其工作人员不得为甲方工作人员购买、装修、维修私人住房、汽车等。</w:t>
      </w:r>
    </w:p>
    <w:p w14:paraId="6652041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（五）乙方及其工作人员不得为甲方工作人员的婚丧嫁娶、家属或亲友的工作安排，及出国出境提供方便以及报销任何私人消费的费用。</w:t>
      </w:r>
    </w:p>
    <w:p w14:paraId="08C0EAE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（六）乙方及其工作人员不得进行影响甲方及其工作人员公正执行合同和履行职务的其他活动。</w:t>
      </w:r>
    </w:p>
    <w:p w14:paraId="2F5B0F4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七）乙方应对乙方工作人员进行廉洁监督管理，如乙方工作人员违反本协议第一、第三条，乙方应依据有关法律法规、党纪规定对其进行处理；乙方工作人员涉嫌犯罪的，乙方应将其移交司法机关追究刑事责任。</w:t>
      </w:r>
    </w:p>
    <w:p w14:paraId="78ABB16D">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第四条  违约责任</w:t>
      </w:r>
    </w:p>
    <w:p w14:paraId="4FEFA3C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（一）甲方违反本协议第一、第二条给乙方单位造成经济损失的，应予以赔偿。</w:t>
      </w:r>
    </w:p>
    <w:p w14:paraId="628770A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（二）乙方违反本协议第一、第三条给甲方单位造成经济损失的，应予以赔偿。</w:t>
      </w:r>
    </w:p>
    <w:p w14:paraId="73666BC1">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第五条  监督检查</w:t>
      </w:r>
    </w:p>
    <w:p w14:paraId="37FEA8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甲乙双方的廉洁从业行为由双方或双方上级单位的纪检、监察部门负责监督，对本协议履行情况进行检查。</w:t>
      </w:r>
    </w:p>
    <w:p w14:paraId="595F0336">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第六条 举报信访受理</w:t>
      </w:r>
    </w:p>
    <w:p w14:paraId="02953B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（一）举报受理部门：东莞市水务集团有限公司纪检监察部。</w:t>
      </w:r>
    </w:p>
    <w:p w14:paraId="3828D50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（二）举报电话：（0769）23076092。</w:t>
      </w:r>
    </w:p>
    <w:p w14:paraId="4D38080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（三）举报邮箱：</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"mailto:jcsj@dgswjt.cn。" </w:instrText>
      </w:r>
      <w:r>
        <w:rPr>
          <w:rFonts w:hint="eastAsia" w:ascii="宋体" w:hAnsi="宋体" w:eastAsia="宋体" w:cs="宋体"/>
          <w:color w:val="auto"/>
          <w:szCs w:val="21"/>
          <w:highlight w:val="none"/>
        </w:rPr>
        <w:fldChar w:fldCharType="separate"/>
      </w:r>
      <w:r>
        <w:rPr>
          <w:rStyle w:val="45"/>
          <w:rFonts w:hint="eastAsia" w:ascii="宋体" w:hAnsi="宋体" w:eastAsia="宋体" w:cs="宋体"/>
          <w:color w:val="auto"/>
          <w:sz w:val="21"/>
          <w:szCs w:val="21"/>
          <w:highlight w:val="none"/>
        </w:rPr>
        <w:t>jcsj@dgswjt.cn。</w:t>
      </w:r>
      <w:r>
        <w:rPr>
          <w:rFonts w:hint="eastAsia" w:ascii="宋体" w:hAnsi="宋体" w:eastAsia="宋体" w:cs="宋体"/>
          <w:color w:val="auto"/>
          <w:szCs w:val="21"/>
          <w:highlight w:val="none"/>
        </w:rPr>
        <w:fldChar w:fldCharType="end"/>
      </w:r>
    </w:p>
    <w:p w14:paraId="500A45F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（四）信访地址：广东省东莞市东城街道育华路1号。</w:t>
      </w:r>
    </w:p>
    <w:p w14:paraId="4A1F4D17">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第七条 其他</w:t>
      </w:r>
    </w:p>
    <w:p w14:paraId="7EE3C8B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本协议有效期为甲乙双方签字并加盖公章之日起至该工程/采购项目竣工验收完毕，质保期/服务期满后止。本协议一式</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份，甲、乙双方各执</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份，甲、乙双方上级主管部门各执</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份。</w:t>
      </w:r>
    </w:p>
    <w:p w14:paraId="7BC14EC1">
      <w:pPr>
        <w:spacing w:line="360" w:lineRule="auto"/>
        <w:ind w:firstLine="420" w:firstLineChars="200"/>
        <w:rPr>
          <w:rFonts w:hint="eastAsia" w:ascii="宋体" w:hAnsi="宋体" w:eastAsia="宋体" w:cs="宋体"/>
          <w:color w:val="auto"/>
          <w:szCs w:val="21"/>
          <w:highlight w:val="none"/>
        </w:rPr>
      </w:pPr>
    </w:p>
    <w:p w14:paraId="38FBA06C">
      <w:pPr>
        <w:spacing w:line="360" w:lineRule="auto"/>
        <w:ind w:firstLine="420" w:firstLineChars="200"/>
        <w:rPr>
          <w:rFonts w:hint="eastAsia" w:ascii="宋体" w:hAnsi="宋体" w:eastAsia="宋体" w:cs="宋体"/>
          <w:color w:val="auto"/>
          <w:szCs w:val="21"/>
          <w:highlight w:val="none"/>
        </w:rPr>
      </w:pPr>
    </w:p>
    <w:p w14:paraId="671B7A6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甲方（盖章）：                乙方（盖章）： </w:t>
      </w:r>
    </w:p>
    <w:p w14:paraId="59BDB526">
      <w:pPr>
        <w:spacing w:line="360" w:lineRule="auto"/>
        <w:ind w:firstLine="420" w:firstLineChars="200"/>
        <w:rPr>
          <w:rFonts w:hint="eastAsia" w:ascii="宋体" w:hAnsi="宋体" w:eastAsia="宋体" w:cs="宋体"/>
          <w:color w:val="auto"/>
          <w:szCs w:val="21"/>
          <w:highlight w:val="none"/>
        </w:rPr>
      </w:pPr>
    </w:p>
    <w:p w14:paraId="40B6BC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                 法定代表人：</w:t>
      </w:r>
    </w:p>
    <w:p w14:paraId="5EA538E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甲方代表：                   乙方代表：</w:t>
      </w:r>
    </w:p>
    <w:p w14:paraId="6D38F8EB">
      <w:pPr>
        <w:spacing w:line="360" w:lineRule="auto"/>
        <w:ind w:firstLine="420" w:firstLineChars="200"/>
        <w:rPr>
          <w:rFonts w:hint="eastAsia" w:ascii="宋体" w:hAnsi="宋体" w:eastAsia="宋体" w:cs="宋体"/>
          <w:color w:val="auto"/>
          <w:szCs w:val="21"/>
          <w:highlight w:val="none"/>
        </w:rPr>
      </w:pPr>
    </w:p>
    <w:p w14:paraId="06DD035D">
      <w:pPr>
        <w:pStyle w:val="2"/>
        <w:jc w:val="both"/>
        <w:rPr>
          <w:rFonts w:hint="eastAsia" w:hAnsi="宋体" w:cs="宋体"/>
          <w:color w:val="auto"/>
          <w:sz w:val="21"/>
          <w:szCs w:val="21"/>
          <w:highlight w:val="none"/>
        </w:rPr>
      </w:pPr>
      <w:r>
        <w:rPr>
          <w:rFonts w:hint="eastAsia" w:hAnsi="宋体" w:cs="宋体"/>
          <w:color w:val="auto"/>
          <w:sz w:val="21"/>
          <w:szCs w:val="21"/>
          <w:highlight w:val="none"/>
        </w:rPr>
        <w:t>签订日期：</w:t>
      </w:r>
      <w:r>
        <w:rPr>
          <w:rFonts w:hint="eastAsia" w:hAnsi="宋体" w:cs="宋体"/>
          <w:color w:val="auto"/>
          <w:sz w:val="21"/>
          <w:szCs w:val="21"/>
          <w:highlight w:val="none"/>
          <w:lang w:val="en-US"/>
        </w:rPr>
        <w:t xml:space="preserve">    </w:t>
      </w:r>
      <w:r>
        <w:rPr>
          <w:rFonts w:hint="eastAsia" w:hAnsi="宋体" w:cs="宋体"/>
          <w:color w:val="auto"/>
          <w:sz w:val="21"/>
          <w:szCs w:val="21"/>
          <w:highlight w:val="none"/>
        </w:rPr>
        <w:t xml:space="preserve">年  月  日      </w:t>
      </w:r>
      <w:r>
        <w:rPr>
          <w:rFonts w:hint="eastAsia" w:hAnsi="宋体" w:cs="宋体"/>
          <w:color w:val="auto"/>
          <w:sz w:val="21"/>
          <w:szCs w:val="21"/>
          <w:highlight w:val="none"/>
          <w:lang w:val="en-US"/>
        </w:rPr>
        <w:t xml:space="preserve">   </w:t>
      </w:r>
      <w:r>
        <w:rPr>
          <w:rFonts w:hint="eastAsia" w:hAnsi="宋体" w:cs="宋体"/>
          <w:color w:val="auto"/>
          <w:sz w:val="21"/>
          <w:szCs w:val="21"/>
          <w:highlight w:val="none"/>
        </w:rPr>
        <w:t>年  月  日</w:t>
      </w:r>
      <w:r>
        <w:rPr>
          <w:rFonts w:hint="eastAsia" w:hAnsi="宋体" w:cs="宋体"/>
          <w:color w:val="auto"/>
          <w:sz w:val="21"/>
          <w:szCs w:val="21"/>
          <w:highlight w:val="none"/>
        </w:rPr>
        <w:br w:type="page"/>
      </w:r>
    </w:p>
    <w:p w14:paraId="7199528A">
      <w:pPr>
        <w:pStyle w:val="2"/>
        <w:adjustRightInd/>
        <w:spacing w:line="360" w:lineRule="auto"/>
        <w:ind w:right="0" w:firstLine="0" w:firstLineChars="0"/>
        <w:jc w:val="left"/>
        <w:outlineLvl w:val="2"/>
        <w:rPr>
          <w:rFonts w:hint="default" w:eastAsia="宋体"/>
          <w:color w:val="auto"/>
          <w:sz w:val="21"/>
          <w:szCs w:val="21"/>
          <w:highlight w:val="none"/>
          <w:lang w:val="en-US" w:eastAsia="zh-CN"/>
        </w:rPr>
      </w:pPr>
      <w:bookmarkStart w:id="475" w:name="_Toc13157"/>
      <w:r>
        <w:rPr>
          <w:rFonts w:hint="eastAsia"/>
          <w:color w:val="auto"/>
          <w:sz w:val="21"/>
          <w:szCs w:val="21"/>
          <w:highlight w:val="none"/>
          <w:lang w:val="en-US"/>
        </w:rPr>
        <w:t>附件</w:t>
      </w:r>
      <w:r>
        <w:rPr>
          <w:rFonts w:hint="eastAsia"/>
          <w:color w:val="auto"/>
          <w:sz w:val="21"/>
          <w:szCs w:val="21"/>
          <w:highlight w:val="none"/>
          <w:lang w:val="en-US" w:eastAsia="zh-CN"/>
        </w:rPr>
        <w:t>10</w:t>
      </w:r>
      <w:r>
        <w:rPr>
          <w:rFonts w:hint="eastAsia"/>
          <w:color w:val="auto"/>
          <w:sz w:val="21"/>
          <w:szCs w:val="21"/>
          <w:highlight w:val="none"/>
          <w:lang w:val="en-US"/>
        </w:rPr>
        <w:t>：</w:t>
      </w:r>
      <w:r>
        <w:rPr>
          <w:rFonts w:hint="eastAsia"/>
          <w:color w:val="auto"/>
          <w:sz w:val="21"/>
          <w:szCs w:val="21"/>
          <w:highlight w:val="none"/>
          <w:lang w:val="en-US" w:eastAsia="zh-CN"/>
        </w:rPr>
        <w:t>投标文件（另附）</w:t>
      </w:r>
      <w:bookmarkEnd w:id="475"/>
    </w:p>
    <w:p w14:paraId="10DADD0E">
      <w:pPr>
        <w:pageBreakBefore/>
        <w:tabs>
          <w:tab w:val="left" w:pos="1080"/>
        </w:tabs>
        <w:autoSpaceDE w:val="0"/>
        <w:autoSpaceDN w:val="0"/>
        <w:adjustRightInd w:val="0"/>
        <w:spacing w:line="360" w:lineRule="auto"/>
        <w:ind w:left="357" w:leftChars="-100" w:hanging="567"/>
        <w:jc w:val="center"/>
        <w:outlineLvl w:val="0"/>
        <w:rPr>
          <w:rFonts w:hint="eastAsia" w:ascii="宋体" w:hAnsi="宋体" w:eastAsia="宋体" w:cs="宋体"/>
          <w:b/>
          <w:bCs/>
          <w:color w:val="auto"/>
          <w:kern w:val="44"/>
          <w:sz w:val="32"/>
          <w:szCs w:val="32"/>
          <w:highlight w:val="none"/>
        </w:rPr>
      </w:pPr>
      <w:bookmarkStart w:id="476" w:name="_Toc486167708"/>
      <w:bookmarkStart w:id="477" w:name="_Toc450662895"/>
      <w:bookmarkStart w:id="478" w:name="_Toc32761_WPSOffice_Level1"/>
      <w:bookmarkStart w:id="479" w:name="_Toc142508361"/>
      <w:bookmarkStart w:id="480" w:name="_Toc28813"/>
      <w:bookmarkStart w:id="481" w:name="_Toc14958"/>
      <w:bookmarkStart w:id="482" w:name="_Toc15817"/>
      <w:bookmarkStart w:id="483" w:name="_Toc9840"/>
      <w:r>
        <w:rPr>
          <w:rFonts w:hint="eastAsia" w:ascii="宋体" w:hAnsi="宋体" w:eastAsia="宋体" w:cs="宋体"/>
          <w:b/>
          <w:bCs/>
          <w:color w:val="auto"/>
          <w:kern w:val="44"/>
          <w:sz w:val="32"/>
          <w:szCs w:val="32"/>
          <w:highlight w:val="none"/>
          <w:lang w:val="zh-CN"/>
        </w:rPr>
        <w:t>第</w:t>
      </w:r>
      <w:r>
        <w:rPr>
          <w:rFonts w:hint="eastAsia" w:ascii="宋体" w:hAnsi="宋体" w:eastAsia="宋体" w:cs="宋体"/>
          <w:b/>
          <w:bCs/>
          <w:color w:val="auto"/>
          <w:kern w:val="44"/>
          <w:sz w:val="32"/>
          <w:szCs w:val="32"/>
          <w:highlight w:val="none"/>
          <w:lang w:val="en-US" w:eastAsia="zh-CN"/>
        </w:rPr>
        <w:t>五</w:t>
      </w:r>
      <w:r>
        <w:rPr>
          <w:rFonts w:hint="eastAsia" w:ascii="宋体" w:hAnsi="宋体" w:eastAsia="宋体" w:cs="宋体"/>
          <w:b/>
          <w:bCs/>
          <w:color w:val="auto"/>
          <w:kern w:val="44"/>
          <w:sz w:val="32"/>
          <w:szCs w:val="32"/>
          <w:highlight w:val="none"/>
          <w:lang w:val="zh-CN"/>
        </w:rPr>
        <w:t>篇 投标文件格式</w:t>
      </w:r>
      <w:bookmarkEnd w:id="476"/>
      <w:bookmarkEnd w:id="477"/>
      <w:bookmarkEnd w:id="478"/>
      <w:bookmarkEnd w:id="479"/>
      <w:bookmarkEnd w:id="480"/>
      <w:bookmarkEnd w:id="481"/>
      <w:bookmarkEnd w:id="482"/>
      <w:bookmarkEnd w:id="483"/>
    </w:p>
    <w:p w14:paraId="75456398">
      <w:pPr>
        <w:rPr>
          <w:rFonts w:hint="eastAsia" w:ascii="宋体" w:hAnsi="宋体" w:eastAsia="宋体" w:cs="宋体"/>
          <w:b/>
          <w:color w:val="auto"/>
          <w:kern w:val="0"/>
          <w:sz w:val="32"/>
          <w:szCs w:val="32"/>
          <w:highlight w:val="none"/>
        </w:rPr>
      </w:pPr>
      <w:bookmarkStart w:id="484" w:name="_Toc94107202"/>
      <w:bookmarkStart w:id="485" w:name="_Toc104991868"/>
      <w:bookmarkStart w:id="486" w:name="_Toc102860411"/>
      <w:bookmarkStart w:id="487" w:name="_Toc486167709"/>
      <w:bookmarkStart w:id="488" w:name="_Toc140596921"/>
      <w:bookmarkStart w:id="489" w:name="_Toc142508362"/>
      <w:bookmarkStart w:id="490" w:name="_Toc102860067"/>
      <w:bookmarkStart w:id="491" w:name="_Toc1977721"/>
      <w:bookmarkStart w:id="492" w:name="_Toc21133_WPSOffice_Level2"/>
      <w:bookmarkStart w:id="493" w:name="_Toc533708121"/>
    </w:p>
    <w:p w14:paraId="01D51554">
      <w:pPr>
        <w:rPr>
          <w:rFonts w:hint="eastAsia" w:ascii="宋体" w:hAnsi="宋体" w:eastAsia="宋体" w:cs="宋体"/>
          <w:b/>
          <w:color w:val="auto"/>
          <w:kern w:val="0"/>
          <w:sz w:val="32"/>
          <w:szCs w:val="32"/>
          <w:highlight w:val="none"/>
        </w:rPr>
      </w:pPr>
    </w:p>
    <w:p w14:paraId="1C468869">
      <w:pPr>
        <w:rPr>
          <w:rFonts w:hint="eastAsia" w:ascii="宋体" w:hAnsi="宋体" w:eastAsia="宋体" w:cs="宋体"/>
          <w:b/>
          <w:color w:val="auto"/>
          <w:kern w:val="0"/>
          <w:sz w:val="32"/>
          <w:szCs w:val="32"/>
          <w:highlight w:val="none"/>
        </w:rPr>
      </w:pPr>
    </w:p>
    <w:p w14:paraId="06D7B71C">
      <w:pPr>
        <w:rPr>
          <w:rFonts w:hint="eastAsia" w:ascii="宋体" w:hAnsi="宋体" w:eastAsia="宋体" w:cs="宋体"/>
          <w:b/>
          <w:color w:val="auto"/>
          <w:kern w:val="0"/>
          <w:sz w:val="32"/>
          <w:szCs w:val="32"/>
          <w:highlight w:val="none"/>
        </w:rPr>
      </w:pPr>
    </w:p>
    <w:p w14:paraId="0E3663BC">
      <w:pPr>
        <w:rPr>
          <w:rFonts w:hint="eastAsia" w:ascii="宋体" w:hAnsi="宋体" w:eastAsia="宋体" w:cs="宋体"/>
          <w:b/>
          <w:color w:val="auto"/>
          <w:kern w:val="0"/>
          <w:sz w:val="32"/>
          <w:szCs w:val="32"/>
          <w:highlight w:val="none"/>
        </w:rPr>
      </w:pPr>
    </w:p>
    <w:p w14:paraId="0974E64C">
      <w:pPr>
        <w:rPr>
          <w:rFonts w:hint="eastAsia" w:ascii="宋体" w:hAnsi="宋体" w:eastAsia="宋体" w:cs="宋体"/>
          <w:b/>
          <w:color w:val="auto"/>
          <w:kern w:val="0"/>
          <w:sz w:val="32"/>
          <w:szCs w:val="32"/>
          <w:highlight w:val="none"/>
        </w:rPr>
      </w:pPr>
    </w:p>
    <w:p w14:paraId="0ADADA3E">
      <w:pPr>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47A70665">
      <w:pPr>
        <w:jc w:val="center"/>
        <w:outlineLvl w:val="1"/>
        <w:rPr>
          <w:rFonts w:hint="eastAsia" w:ascii="宋体" w:hAnsi="宋体" w:eastAsia="宋体" w:cs="宋体"/>
          <w:b/>
          <w:color w:val="auto"/>
          <w:kern w:val="0"/>
          <w:sz w:val="32"/>
          <w:szCs w:val="32"/>
          <w:highlight w:val="none"/>
        </w:rPr>
      </w:pPr>
      <w:bookmarkStart w:id="494" w:name="_Toc27481"/>
      <w:bookmarkStart w:id="495" w:name="_Toc16035"/>
      <w:bookmarkStart w:id="496" w:name="_Toc22825"/>
      <w:r>
        <w:rPr>
          <w:rFonts w:hint="eastAsia" w:ascii="宋体" w:hAnsi="宋体" w:eastAsia="宋体" w:cs="宋体"/>
          <w:b/>
          <w:color w:val="auto"/>
          <w:kern w:val="0"/>
          <w:sz w:val="32"/>
          <w:szCs w:val="32"/>
          <w:highlight w:val="none"/>
        </w:rPr>
        <w:t>第一部分 商务标格式</w:t>
      </w:r>
      <w:bookmarkEnd w:id="494"/>
      <w:bookmarkEnd w:id="495"/>
      <w:bookmarkEnd w:id="496"/>
    </w:p>
    <w:p w14:paraId="45D6875F">
      <w:pPr>
        <w:rPr>
          <w:rFonts w:hint="eastAsia" w:ascii="宋体" w:hAnsi="宋体" w:eastAsia="宋体" w:cs="宋体"/>
          <w:color w:val="auto"/>
          <w:sz w:val="84"/>
          <w:highlight w:val="none"/>
        </w:rPr>
      </w:pPr>
      <w:r>
        <w:rPr>
          <w:rFonts w:hint="eastAsia" w:ascii="宋体" w:hAnsi="宋体" w:eastAsia="宋体" w:cs="宋体"/>
          <w:b/>
          <w:color w:val="auto"/>
          <w:kern w:val="0"/>
          <w:sz w:val="32"/>
          <w:szCs w:val="32"/>
          <w:highlight w:val="none"/>
        </w:rPr>
        <w:br w:type="page"/>
      </w:r>
    </w:p>
    <w:p w14:paraId="18D522BC">
      <w:pPr>
        <w:pStyle w:val="19"/>
        <w:spacing w:line="360" w:lineRule="auto"/>
        <w:jc w:val="center"/>
        <w:rPr>
          <w:rFonts w:hint="eastAsia" w:ascii="宋体" w:hAnsi="宋体" w:cs="宋体"/>
          <w:color w:val="auto"/>
          <w:sz w:val="84"/>
          <w:highlight w:val="none"/>
        </w:rPr>
      </w:pPr>
    </w:p>
    <w:p w14:paraId="7FE881A2">
      <w:pPr>
        <w:pStyle w:val="19"/>
        <w:spacing w:line="360" w:lineRule="auto"/>
        <w:jc w:val="center"/>
        <w:rPr>
          <w:rFonts w:hint="eastAsia" w:ascii="宋体" w:hAnsi="宋体" w:cs="宋体"/>
          <w:color w:val="auto"/>
          <w:sz w:val="84"/>
          <w:highlight w:val="none"/>
        </w:rPr>
      </w:pPr>
    </w:p>
    <w:p w14:paraId="25D341D9">
      <w:pPr>
        <w:pStyle w:val="19"/>
        <w:spacing w:line="360" w:lineRule="auto"/>
        <w:jc w:val="center"/>
        <w:rPr>
          <w:rFonts w:hint="eastAsia" w:ascii="宋体" w:hAnsi="宋体" w:cs="宋体"/>
          <w:color w:val="auto"/>
          <w:sz w:val="84"/>
          <w:highlight w:val="none"/>
        </w:rPr>
      </w:pPr>
      <w:r>
        <w:rPr>
          <w:rFonts w:hint="eastAsia" w:ascii="宋体" w:hAnsi="宋体" w:cs="宋体"/>
          <w:color w:val="auto"/>
          <w:sz w:val="84"/>
          <w:highlight w:val="none"/>
        </w:rPr>
        <w:t>投 标 文 件</w:t>
      </w:r>
    </w:p>
    <w:p w14:paraId="1078B978">
      <w:pPr>
        <w:pStyle w:val="19"/>
        <w:spacing w:line="360" w:lineRule="auto"/>
        <w:rPr>
          <w:rFonts w:hint="eastAsia" w:ascii="宋体" w:hAnsi="宋体" w:cs="宋体"/>
          <w:color w:val="auto"/>
          <w:highlight w:val="none"/>
        </w:rPr>
      </w:pPr>
    </w:p>
    <w:p w14:paraId="44EB77F2">
      <w:pPr>
        <w:pStyle w:val="19"/>
        <w:spacing w:line="360" w:lineRule="auto"/>
        <w:rPr>
          <w:rFonts w:hint="eastAsia" w:ascii="宋体" w:hAnsi="宋体" w:cs="宋体"/>
          <w:color w:val="auto"/>
          <w:highlight w:val="none"/>
        </w:rPr>
      </w:pPr>
    </w:p>
    <w:p w14:paraId="26ABC09C">
      <w:pPr>
        <w:pStyle w:val="19"/>
        <w:spacing w:line="360" w:lineRule="auto"/>
        <w:rPr>
          <w:rFonts w:hint="eastAsia" w:ascii="宋体" w:hAnsi="宋体" w:cs="宋体"/>
          <w:color w:val="auto"/>
          <w:highlight w:val="none"/>
        </w:rPr>
      </w:pPr>
    </w:p>
    <w:p w14:paraId="6F41F86F">
      <w:pPr>
        <w:pStyle w:val="19"/>
        <w:spacing w:line="360" w:lineRule="auto"/>
        <w:rPr>
          <w:rFonts w:hint="eastAsia" w:ascii="宋体" w:hAnsi="宋体" w:cs="宋体"/>
          <w:color w:val="auto"/>
          <w:highlight w:val="none"/>
        </w:rPr>
      </w:pPr>
    </w:p>
    <w:p w14:paraId="1A248D55">
      <w:pPr>
        <w:pStyle w:val="19"/>
        <w:spacing w:line="360" w:lineRule="auto"/>
        <w:rPr>
          <w:rFonts w:hint="eastAsia" w:ascii="宋体" w:hAnsi="宋体" w:cs="宋体"/>
          <w:color w:val="auto"/>
          <w:highlight w:val="none"/>
        </w:rPr>
      </w:pPr>
    </w:p>
    <w:p w14:paraId="49434A5E">
      <w:pPr>
        <w:pStyle w:val="19"/>
        <w:spacing w:line="360" w:lineRule="auto"/>
        <w:rPr>
          <w:rFonts w:hint="eastAsia" w:ascii="宋体" w:hAnsi="宋体" w:cs="宋体"/>
          <w:color w:val="auto"/>
          <w:highlight w:val="none"/>
        </w:rPr>
      </w:pPr>
    </w:p>
    <w:p w14:paraId="658B676A">
      <w:pPr>
        <w:pStyle w:val="19"/>
        <w:spacing w:line="360" w:lineRule="auto"/>
        <w:ind w:firstLine="1875" w:firstLineChars="625"/>
        <w:rPr>
          <w:rFonts w:hint="eastAsia" w:ascii="宋体" w:hAnsi="宋体" w:cs="宋体"/>
          <w:color w:val="auto"/>
          <w:sz w:val="30"/>
          <w:highlight w:val="none"/>
        </w:rPr>
      </w:pPr>
      <w:r>
        <w:rPr>
          <w:rFonts w:hint="eastAsia" w:ascii="宋体" w:hAnsi="宋体" w:cs="宋体"/>
          <w:color w:val="auto"/>
          <w:sz w:val="30"/>
          <w:highlight w:val="none"/>
        </w:rPr>
        <w:t>招标编号：</w:t>
      </w:r>
      <w:r>
        <w:rPr>
          <w:rFonts w:hint="eastAsia" w:ascii="宋体" w:hAnsi="宋体" w:cs="宋体"/>
          <w:color w:val="auto"/>
          <w:sz w:val="30"/>
          <w:highlight w:val="none"/>
          <w:u w:val="single"/>
        </w:rPr>
        <w:t xml:space="preserve">                                </w:t>
      </w:r>
    </w:p>
    <w:p w14:paraId="505728E6">
      <w:pPr>
        <w:pStyle w:val="19"/>
        <w:spacing w:line="360" w:lineRule="auto"/>
        <w:ind w:firstLine="1875" w:firstLineChars="625"/>
        <w:rPr>
          <w:rFonts w:hint="eastAsia" w:ascii="宋体" w:hAnsi="宋体" w:cs="宋体"/>
          <w:color w:val="auto"/>
          <w:sz w:val="30"/>
          <w:highlight w:val="none"/>
        </w:rPr>
      </w:pPr>
      <w:r>
        <w:rPr>
          <w:rFonts w:hint="eastAsia" w:ascii="宋体" w:hAnsi="宋体" w:cs="宋体"/>
          <w:color w:val="auto"/>
          <w:sz w:val="30"/>
          <w:highlight w:val="none"/>
        </w:rPr>
        <w:t>项目名称：</w:t>
      </w:r>
      <w:r>
        <w:rPr>
          <w:rFonts w:hint="eastAsia" w:ascii="宋体" w:hAnsi="宋体" w:cs="宋体"/>
          <w:color w:val="auto"/>
          <w:sz w:val="30"/>
          <w:highlight w:val="none"/>
          <w:u w:val="single"/>
        </w:rPr>
        <w:t xml:space="preserve">                                </w:t>
      </w:r>
    </w:p>
    <w:p w14:paraId="65D17EED">
      <w:pPr>
        <w:pStyle w:val="19"/>
        <w:spacing w:line="360" w:lineRule="auto"/>
        <w:ind w:firstLine="1875" w:firstLineChars="625"/>
        <w:rPr>
          <w:rFonts w:hint="eastAsia" w:ascii="宋体" w:hAnsi="宋体" w:cs="宋体"/>
          <w:color w:val="auto"/>
          <w:sz w:val="30"/>
          <w:highlight w:val="none"/>
          <w:u w:val="single"/>
        </w:rPr>
      </w:pPr>
      <w:r>
        <w:rPr>
          <w:rFonts w:hint="eastAsia" w:ascii="宋体" w:hAnsi="宋体" w:cs="宋体"/>
          <w:color w:val="auto"/>
          <w:sz w:val="30"/>
          <w:highlight w:val="none"/>
        </w:rPr>
        <w:t>投标文件内容：</w:t>
      </w:r>
      <w:r>
        <w:rPr>
          <w:rFonts w:hint="eastAsia" w:ascii="宋体" w:hAnsi="宋体" w:cs="宋体"/>
          <w:color w:val="auto"/>
          <w:sz w:val="30"/>
          <w:highlight w:val="none"/>
          <w:u w:val="single"/>
        </w:rPr>
        <w:t xml:space="preserve">       投标文件商务标       </w:t>
      </w:r>
    </w:p>
    <w:p w14:paraId="433DFF20">
      <w:pPr>
        <w:pStyle w:val="19"/>
        <w:spacing w:line="360" w:lineRule="auto"/>
        <w:ind w:firstLine="1875" w:firstLineChars="625"/>
        <w:rPr>
          <w:rFonts w:hint="eastAsia" w:ascii="宋体" w:hAnsi="宋体" w:cs="宋体"/>
          <w:color w:val="auto"/>
          <w:sz w:val="30"/>
          <w:highlight w:val="none"/>
        </w:rPr>
      </w:pPr>
      <w:r>
        <w:rPr>
          <w:rFonts w:hint="eastAsia" w:ascii="宋体" w:hAnsi="宋体" w:cs="宋体"/>
          <w:color w:val="auto"/>
          <w:sz w:val="30"/>
          <w:highlight w:val="none"/>
        </w:rPr>
        <w:t>招标人：</w:t>
      </w:r>
      <w:r>
        <w:rPr>
          <w:rFonts w:hint="eastAsia" w:ascii="宋体" w:hAnsi="宋体" w:cs="宋体"/>
          <w:color w:val="auto"/>
          <w:sz w:val="30"/>
          <w:highlight w:val="none"/>
          <w:u w:val="single"/>
        </w:rPr>
        <w:t xml:space="preserve">                                  </w:t>
      </w:r>
    </w:p>
    <w:p w14:paraId="1561A2B0">
      <w:pPr>
        <w:pStyle w:val="19"/>
        <w:spacing w:line="360" w:lineRule="auto"/>
        <w:ind w:firstLine="1875" w:firstLineChars="625"/>
        <w:rPr>
          <w:rFonts w:hint="eastAsia" w:ascii="宋体" w:hAnsi="宋体" w:cs="宋体"/>
          <w:color w:val="auto"/>
          <w:sz w:val="30"/>
          <w:highlight w:val="none"/>
          <w:u w:val="single"/>
        </w:rPr>
      </w:pPr>
      <w:r>
        <w:rPr>
          <w:rFonts w:hint="eastAsia" w:ascii="宋体" w:hAnsi="宋体" w:cs="宋体"/>
          <w:color w:val="auto"/>
          <w:sz w:val="30"/>
          <w:highlight w:val="none"/>
        </w:rPr>
        <w:t>投标人：</w:t>
      </w:r>
      <w:r>
        <w:rPr>
          <w:rFonts w:hint="eastAsia" w:ascii="宋体" w:hAnsi="宋体" w:cs="宋体"/>
          <w:color w:val="auto"/>
          <w:sz w:val="30"/>
          <w:highlight w:val="none"/>
          <w:u w:val="single"/>
        </w:rPr>
        <w:t xml:space="preserve">          （企业数字证书电子签名）</w:t>
      </w:r>
    </w:p>
    <w:p w14:paraId="529677DA">
      <w:pPr>
        <w:pStyle w:val="19"/>
        <w:spacing w:line="360" w:lineRule="auto"/>
        <w:ind w:firstLine="1875" w:firstLineChars="625"/>
        <w:rPr>
          <w:rFonts w:hint="eastAsia" w:ascii="宋体" w:hAnsi="宋体" w:cs="宋体"/>
          <w:color w:val="auto"/>
          <w:sz w:val="30"/>
          <w:highlight w:val="none"/>
        </w:rPr>
      </w:pPr>
      <w:r>
        <w:rPr>
          <w:rFonts w:hint="eastAsia" w:ascii="宋体" w:hAnsi="宋体" w:cs="宋体"/>
          <w:color w:val="auto"/>
          <w:sz w:val="30"/>
          <w:highlight w:val="none"/>
        </w:rPr>
        <w:t>日  期：</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年</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月</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日</w:t>
      </w:r>
    </w:p>
    <w:p w14:paraId="14D93315">
      <w:pPr>
        <w:pStyle w:val="19"/>
        <w:spacing w:line="360" w:lineRule="auto"/>
        <w:rPr>
          <w:rFonts w:hint="eastAsia" w:ascii="宋体" w:hAnsi="宋体" w:cs="宋体"/>
          <w:color w:val="auto"/>
          <w:highlight w:val="none"/>
        </w:rPr>
      </w:pPr>
    </w:p>
    <w:p w14:paraId="7FFC3A62">
      <w:pPr>
        <w:pStyle w:val="19"/>
        <w:spacing w:line="360" w:lineRule="auto"/>
        <w:jc w:val="center"/>
        <w:rPr>
          <w:rFonts w:hint="eastAsia" w:ascii="宋体" w:hAnsi="宋体" w:cs="宋体"/>
          <w:color w:val="auto"/>
          <w:highlight w:val="none"/>
        </w:rPr>
      </w:pPr>
      <w:r>
        <w:rPr>
          <w:rFonts w:hint="eastAsia" w:ascii="宋体" w:hAnsi="宋体" w:cs="宋体"/>
          <w:color w:val="auto"/>
          <w:highlight w:val="none"/>
        </w:rPr>
        <w:br w:type="page"/>
      </w:r>
    </w:p>
    <w:p w14:paraId="629B3C0F">
      <w:pPr>
        <w:ind w:left="0" w:leftChars="0"/>
        <w:jc w:val="center"/>
        <w:rPr>
          <w:rFonts w:hint="eastAsia" w:ascii="宋体" w:hAnsi="宋体" w:eastAsia="宋体" w:cs="宋体"/>
          <w:b/>
          <w:bCs/>
          <w:color w:val="auto"/>
          <w:szCs w:val="21"/>
          <w:highlight w:val="none"/>
        </w:rPr>
      </w:pPr>
    </w:p>
    <w:p w14:paraId="35BA6EB9">
      <w:pPr>
        <w:ind w:left="0" w:leftChars="0"/>
        <w:jc w:val="center"/>
        <w:rPr>
          <w:rFonts w:hint="eastAsia" w:ascii="宋体" w:hAnsi="宋体" w:eastAsia="宋体" w:cs="宋体"/>
          <w:b/>
          <w:bCs/>
          <w:color w:val="auto"/>
          <w:szCs w:val="21"/>
          <w:highlight w:val="none"/>
        </w:rPr>
      </w:pPr>
    </w:p>
    <w:p w14:paraId="76375F20">
      <w:pPr>
        <w:pStyle w:val="2"/>
        <w:ind w:left="0" w:leftChars="0" w:right="-2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投标文件商务</w:t>
      </w:r>
      <w:r>
        <w:rPr>
          <w:rFonts w:hint="eastAsia" w:ascii="宋体" w:hAnsi="宋体" w:eastAsia="宋体" w:cs="宋体"/>
          <w:b/>
          <w:bCs/>
          <w:color w:val="auto"/>
          <w:sz w:val="24"/>
          <w:szCs w:val="24"/>
          <w:highlight w:val="none"/>
          <w:lang w:val="en-US" w:eastAsia="zh-CN"/>
        </w:rPr>
        <w:t>标</w:t>
      </w:r>
      <w:r>
        <w:rPr>
          <w:rFonts w:hint="eastAsia" w:ascii="宋体" w:hAnsi="宋体" w:eastAsia="宋体" w:cs="宋体"/>
          <w:b/>
          <w:bCs/>
          <w:color w:val="auto"/>
          <w:sz w:val="24"/>
          <w:szCs w:val="24"/>
          <w:highlight w:val="none"/>
        </w:rPr>
        <w:t>部分</w:t>
      </w:r>
      <w:r>
        <w:rPr>
          <w:rFonts w:hint="eastAsia" w:ascii="宋体" w:hAnsi="宋体" w:eastAsia="宋体" w:cs="宋体"/>
          <w:b/>
          <w:bCs/>
          <w:color w:val="auto"/>
          <w:sz w:val="24"/>
          <w:szCs w:val="24"/>
          <w:highlight w:val="none"/>
          <w:lang w:val="en-US" w:eastAsia="zh-CN"/>
        </w:rPr>
        <w:t>评审</w:t>
      </w:r>
      <w:r>
        <w:rPr>
          <w:rFonts w:hint="eastAsia" w:ascii="宋体" w:hAnsi="宋体" w:eastAsia="宋体" w:cs="宋体"/>
          <w:b/>
          <w:bCs/>
          <w:color w:val="auto"/>
          <w:sz w:val="24"/>
          <w:szCs w:val="24"/>
          <w:highlight w:val="none"/>
        </w:rPr>
        <w:t>索引表</w:t>
      </w:r>
    </w:p>
    <w:p w14:paraId="55948BFE">
      <w:pPr>
        <w:pStyle w:val="2"/>
        <w:ind w:left="0" w:leftChars="0" w:right="-28"/>
        <w:jc w:val="center"/>
        <w:rPr>
          <w:rFonts w:hint="eastAsia" w:ascii="宋体" w:hAnsi="宋体" w:eastAsia="宋体" w:cs="宋体"/>
          <w:color w:val="auto"/>
          <w:sz w:val="24"/>
          <w:szCs w:val="24"/>
          <w:highlight w:val="none"/>
        </w:rPr>
      </w:pPr>
    </w:p>
    <w:tbl>
      <w:tblPr>
        <w:tblStyle w:val="39"/>
        <w:tblW w:w="4974"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1378"/>
        <w:gridCol w:w="2773"/>
        <w:gridCol w:w="2156"/>
        <w:gridCol w:w="2004"/>
        <w:gridCol w:w="2005"/>
      </w:tblGrid>
      <w:tr w14:paraId="5DB0636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204" w:hRule="atLeast"/>
          <w:jc w:val="center"/>
        </w:trPr>
        <w:tc>
          <w:tcPr>
            <w:tcW w:w="668" w:type="pct"/>
            <w:vAlign w:val="center"/>
          </w:tcPr>
          <w:p w14:paraId="55A9656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343" w:type="pct"/>
            <w:vAlign w:val="center"/>
          </w:tcPr>
          <w:p w14:paraId="2536902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评标项目</w:t>
            </w:r>
          </w:p>
        </w:tc>
        <w:tc>
          <w:tcPr>
            <w:tcW w:w="1045" w:type="pct"/>
            <w:vAlign w:val="center"/>
          </w:tcPr>
          <w:p w14:paraId="74736BE5">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招标文件上的满分值</w:t>
            </w:r>
          </w:p>
        </w:tc>
        <w:tc>
          <w:tcPr>
            <w:tcW w:w="971" w:type="pct"/>
            <w:tcBorders>
              <w:left w:val="single" w:color="auto" w:sz="4" w:space="0"/>
            </w:tcBorders>
            <w:vAlign w:val="center"/>
          </w:tcPr>
          <w:p w14:paraId="56FADE5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投标人自评分</w:t>
            </w:r>
          </w:p>
        </w:tc>
        <w:tc>
          <w:tcPr>
            <w:tcW w:w="971" w:type="pct"/>
            <w:tcBorders>
              <w:left w:val="single" w:color="auto" w:sz="4" w:space="0"/>
            </w:tcBorders>
            <w:vAlign w:val="center"/>
          </w:tcPr>
          <w:p w14:paraId="493D1D6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页码索引</w:t>
            </w:r>
          </w:p>
        </w:tc>
      </w:tr>
      <w:tr w14:paraId="5877EA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541" w:hRule="atLeast"/>
          <w:jc w:val="center"/>
        </w:trPr>
        <w:tc>
          <w:tcPr>
            <w:tcW w:w="668" w:type="pct"/>
            <w:vAlign w:val="center"/>
          </w:tcPr>
          <w:p w14:paraId="150A7D6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1343" w:type="pct"/>
            <w:vAlign w:val="center"/>
          </w:tcPr>
          <w:p w14:paraId="4DEA0F2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1045" w:type="pct"/>
            <w:vAlign w:val="center"/>
          </w:tcPr>
          <w:p w14:paraId="03A1B02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971" w:type="pct"/>
            <w:tcBorders>
              <w:left w:val="single" w:color="auto" w:sz="4" w:space="0"/>
            </w:tcBorders>
            <w:vAlign w:val="center"/>
          </w:tcPr>
          <w:p w14:paraId="1C1DAB7B">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Cs/>
                <w:color w:val="auto"/>
                <w:szCs w:val="21"/>
                <w:highlight w:val="none"/>
              </w:rPr>
            </w:pPr>
          </w:p>
        </w:tc>
        <w:tc>
          <w:tcPr>
            <w:tcW w:w="971" w:type="pct"/>
            <w:tcBorders>
              <w:left w:val="single" w:color="auto" w:sz="4" w:space="0"/>
            </w:tcBorders>
            <w:vAlign w:val="center"/>
          </w:tcPr>
          <w:p w14:paraId="1AD8F9DA">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Cs/>
                <w:color w:val="auto"/>
                <w:szCs w:val="21"/>
                <w:highlight w:val="none"/>
              </w:rPr>
            </w:pPr>
          </w:p>
        </w:tc>
      </w:tr>
      <w:tr w14:paraId="0891548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761" w:hRule="atLeast"/>
          <w:jc w:val="center"/>
        </w:trPr>
        <w:tc>
          <w:tcPr>
            <w:tcW w:w="668" w:type="pct"/>
            <w:vAlign w:val="center"/>
          </w:tcPr>
          <w:p w14:paraId="076D2594">
            <w:pPr>
              <w:keepNext w:val="0"/>
              <w:keepLines w:val="0"/>
              <w:suppressLineNumbers w:val="0"/>
              <w:spacing w:before="0" w:beforeAutospacing="0" w:after="0" w:afterAutospacing="0"/>
              <w:ind w:left="0" w:right="0"/>
              <w:rPr>
                <w:rFonts w:hint="eastAsia" w:ascii="宋体" w:hAnsi="宋体" w:eastAsia="宋体" w:cs="宋体"/>
                <w:bCs/>
                <w:color w:val="auto"/>
                <w:szCs w:val="21"/>
                <w:highlight w:val="none"/>
              </w:rPr>
            </w:pPr>
          </w:p>
        </w:tc>
        <w:tc>
          <w:tcPr>
            <w:tcW w:w="1343" w:type="pct"/>
            <w:vAlign w:val="center"/>
          </w:tcPr>
          <w:p w14:paraId="33757C94">
            <w:pPr>
              <w:keepNext w:val="0"/>
              <w:keepLines w:val="0"/>
              <w:suppressLineNumbers w:val="0"/>
              <w:spacing w:before="0" w:beforeAutospacing="0" w:after="0" w:afterAutospacing="0"/>
              <w:ind w:left="0" w:right="0"/>
              <w:rPr>
                <w:rFonts w:hint="eastAsia" w:ascii="宋体" w:hAnsi="宋体" w:eastAsia="宋体" w:cs="宋体"/>
                <w:bCs/>
                <w:color w:val="auto"/>
                <w:szCs w:val="21"/>
                <w:highlight w:val="none"/>
              </w:rPr>
            </w:pPr>
          </w:p>
        </w:tc>
        <w:tc>
          <w:tcPr>
            <w:tcW w:w="1045" w:type="pct"/>
            <w:vAlign w:val="center"/>
          </w:tcPr>
          <w:p w14:paraId="007D0151">
            <w:pPr>
              <w:keepNext w:val="0"/>
              <w:keepLines w:val="0"/>
              <w:suppressLineNumbers w:val="0"/>
              <w:spacing w:before="0" w:beforeAutospacing="0" w:after="0" w:afterAutospacing="0"/>
              <w:ind w:left="0" w:right="0"/>
              <w:rPr>
                <w:rFonts w:hint="eastAsia" w:ascii="宋体" w:hAnsi="宋体" w:eastAsia="宋体" w:cs="宋体"/>
                <w:bCs/>
                <w:color w:val="auto"/>
                <w:szCs w:val="21"/>
                <w:highlight w:val="none"/>
              </w:rPr>
            </w:pPr>
          </w:p>
        </w:tc>
        <w:tc>
          <w:tcPr>
            <w:tcW w:w="971" w:type="pct"/>
            <w:tcBorders>
              <w:left w:val="single" w:color="auto" w:sz="4" w:space="0"/>
            </w:tcBorders>
            <w:vAlign w:val="center"/>
          </w:tcPr>
          <w:p w14:paraId="2BFCBC2B">
            <w:pPr>
              <w:keepNext w:val="0"/>
              <w:keepLines w:val="0"/>
              <w:suppressLineNumbers w:val="0"/>
              <w:adjustRightInd w:val="0"/>
              <w:snapToGrid w:val="0"/>
              <w:spacing w:before="0" w:beforeAutospacing="0" w:after="0" w:afterAutospacing="0" w:line="360" w:lineRule="auto"/>
              <w:ind w:left="0" w:right="0" w:firstLine="105" w:firstLineChars="50"/>
              <w:rPr>
                <w:rFonts w:hint="eastAsia" w:ascii="宋体" w:hAnsi="宋体" w:eastAsia="宋体" w:cs="宋体"/>
                <w:bCs/>
                <w:color w:val="auto"/>
                <w:szCs w:val="21"/>
                <w:highlight w:val="none"/>
              </w:rPr>
            </w:pPr>
          </w:p>
        </w:tc>
        <w:tc>
          <w:tcPr>
            <w:tcW w:w="971" w:type="pct"/>
            <w:tcBorders>
              <w:left w:val="single" w:color="auto" w:sz="4" w:space="0"/>
            </w:tcBorders>
            <w:vAlign w:val="center"/>
          </w:tcPr>
          <w:p w14:paraId="2450A88D">
            <w:pPr>
              <w:keepNext w:val="0"/>
              <w:keepLines w:val="0"/>
              <w:suppressLineNumbers w:val="0"/>
              <w:adjustRightInd w:val="0"/>
              <w:snapToGrid w:val="0"/>
              <w:spacing w:before="0" w:beforeAutospacing="0" w:after="0" w:afterAutospacing="0" w:line="360" w:lineRule="auto"/>
              <w:ind w:left="0" w:right="0" w:firstLine="105" w:firstLineChars="50"/>
              <w:rPr>
                <w:rFonts w:hint="eastAsia" w:ascii="宋体" w:hAnsi="宋体" w:eastAsia="宋体" w:cs="宋体"/>
                <w:bCs/>
                <w:color w:val="auto"/>
                <w:szCs w:val="21"/>
                <w:highlight w:val="none"/>
              </w:rPr>
            </w:pPr>
          </w:p>
        </w:tc>
      </w:tr>
      <w:tr w14:paraId="187D032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2029" w:hRule="atLeast"/>
          <w:jc w:val="center"/>
        </w:trPr>
        <w:tc>
          <w:tcPr>
            <w:tcW w:w="668" w:type="pct"/>
            <w:vAlign w:val="center"/>
          </w:tcPr>
          <w:p w14:paraId="70CA8D2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1343" w:type="pct"/>
            <w:vAlign w:val="center"/>
          </w:tcPr>
          <w:p w14:paraId="372E07C5">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Cs/>
                <w:color w:val="auto"/>
                <w:szCs w:val="21"/>
                <w:highlight w:val="none"/>
              </w:rPr>
            </w:pPr>
          </w:p>
        </w:tc>
        <w:tc>
          <w:tcPr>
            <w:tcW w:w="1045" w:type="pct"/>
            <w:vAlign w:val="center"/>
          </w:tcPr>
          <w:p w14:paraId="3C5A451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971" w:type="pct"/>
            <w:tcBorders>
              <w:left w:val="single" w:color="auto" w:sz="4" w:space="0"/>
            </w:tcBorders>
            <w:vAlign w:val="center"/>
          </w:tcPr>
          <w:p w14:paraId="22B7CBF8">
            <w:pPr>
              <w:keepNext w:val="0"/>
              <w:keepLines w:val="0"/>
              <w:suppressLineNumbers w:val="0"/>
              <w:spacing w:before="0" w:beforeAutospacing="0" w:after="0" w:afterAutospacing="0" w:line="360" w:lineRule="auto"/>
              <w:ind w:left="0" w:right="0" w:firstLine="8" w:firstLineChars="4"/>
              <w:rPr>
                <w:rFonts w:hint="eastAsia" w:ascii="宋体" w:hAnsi="宋体" w:eastAsia="宋体" w:cs="宋体"/>
                <w:bCs/>
                <w:color w:val="auto"/>
                <w:szCs w:val="21"/>
                <w:highlight w:val="none"/>
              </w:rPr>
            </w:pPr>
          </w:p>
        </w:tc>
        <w:tc>
          <w:tcPr>
            <w:tcW w:w="971" w:type="pct"/>
            <w:tcBorders>
              <w:left w:val="single" w:color="auto" w:sz="4" w:space="0"/>
            </w:tcBorders>
            <w:vAlign w:val="center"/>
          </w:tcPr>
          <w:p w14:paraId="781B100B">
            <w:pPr>
              <w:keepNext w:val="0"/>
              <w:keepLines w:val="0"/>
              <w:suppressLineNumbers w:val="0"/>
              <w:spacing w:before="0" w:beforeAutospacing="0" w:after="0" w:afterAutospacing="0" w:line="360" w:lineRule="auto"/>
              <w:ind w:left="0" w:right="0" w:firstLine="8" w:firstLineChars="4"/>
              <w:rPr>
                <w:rFonts w:hint="eastAsia" w:ascii="宋体" w:hAnsi="宋体" w:eastAsia="宋体" w:cs="宋体"/>
                <w:bCs/>
                <w:color w:val="auto"/>
                <w:szCs w:val="21"/>
                <w:highlight w:val="none"/>
              </w:rPr>
            </w:pPr>
          </w:p>
        </w:tc>
      </w:tr>
      <w:tr w14:paraId="1EF1282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033" w:hRule="atLeast"/>
          <w:jc w:val="center"/>
        </w:trPr>
        <w:tc>
          <w:tcPr>
            <w:tcW w:w="668" w:type="pct"/>
            <w:tcBorders>
              <w:top w:val="single" w:color="auto" w:sz="6" w:space="0"/>
              <w:left w:val="single" w:color="auto" w:sz="4" w:space="0"/>
              <w:bottom w:val="outset" w:color="808080" w:sz="6" w:space="0"/>
              <w:right w:val="single" w:color="auto" w:sz="6" w:space="0"/>
            </w:tcBorders>
            <w:vAlign w:val="center"/>
          </w:tcPr>
          <w:p w14:paraId="7685D15B">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1343" w:type="pct"/>
            <w:tcBorders>
              <w:top w:val="single" w:color="auto" w:sz="6" w:space="0"/>
              <w:left w:val="single" w:color="auto" w:sz="6" w:space="0"/>
              <w:bottom w:val="outset" w:color="808080" w:sz="6" w:space="0"/>
              <w:right w:val="single" w:color="auto" w:sz="6" w:space="0"/>
            </w:tcBorders>
            <w:vAlign w:val="center"/>
          </w:tcPr>
          <w:p w14:paraId="28377C66">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Cs/>
                <w:color w:val="auto"/>
                <w:szCs w:val="21"/>
                <w:highlight w:val="none"/>
              </w:rPr>
            </w:pPr>
          </w:p>
        </w:tc>
        <w:tc>
          <w:tcPr>
            <w:tcW w:w="1045" w:type="pct"/>
            <w:tcBorders>
              <w:top w:val="single" w:color="auto" w:sz="6" w:space="0"/>
              <w:left w:val="single" w:color="auto" w:sz="6" w:space="0"/>
              <w:bottom w:val="outset" w:color="808080" w:sz="6" w:space="0"/>
              <w:right w:val="single" w:color="auto" w:sz="6" w:space="0"/>
            </w:tcBorders>
            <w:vAlign w:val="center"/>
          </w:tcPr>
          <w:p w14:paraId="4CEA7F0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971" w:type="pct"/>
            <w:tcBorders>
              <w:top w:val="single" w:color="auto" w:sz="6" w:space="0"/>
              <w:left w:val="single" w:color="auto" w:sz="4" w:space="0"/>
              <w:bottom w:val="outset" w:color="808080" w:sz="6" w:space="0"/>
              <w:right w:val="single" w:color="auto" w:sz="6" w:space="0"/>
            </w:tcBorders>
            <w:vAlign w:val="center"/>
          </w:tcPr>
          <w:p w14:paraId="02A4F44D">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Cs/>
                <w:color w:val="auto"/>
                <w:szCs w:val="21"/>
                <w:highlight w:val="none"/>
              </w:rPr>
            </w:pPr>
          </w:p>
        </w:tc>
        <w:tc>
          <w:tcPr>
            <w:tcW w:w="971" w:type="pct"/>
            <w:tcBorders>
              <w:top w:val="single" w:color="auto" w:sz="6" w:space="0"/>
              <w:left w:val="single" w:color="auto" w:sz="4" w:space="0"/>
              <w:bottom w:val="outset" w:color="808080" w:sz="6" w:space="0"/>
              <w:right w:val="single" w:color="auto" w:sz="6" w:space="0"/>
            </w:tcBorders>
            <w:vAlign w:val="center"/>
          </w:tcPr>
          <w:p w14:paraId="7296DCD3">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Cs/>
                <w:color w:val="auto"/>
                <w:szCs w:val="21"/>
                <w:highlight w:val="none"/>
              </w:rPr>
            </w:pPr>
          </w:p>
        </w:tc>
      </w:tr>
      <w:tr w14:paraId="140F492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966" w:hRule="atLeast"/>
          <w:jc w:val="center"/>
        </w:trPr>
        <w:tc>
          <w:tcPr>
            <w:tcW w:w="2012" w:type="pct"/>
            <w:gridSpan w:val="2"/>
            <w:tcBorders>
              <w:bottom w:val="single" w:color="auto" w:sz="4" w:space="0"/>
            </w:tcBorders>
            <w:vAlign w:val="center"/>
          </w:tcPr>
          <w:p w14:paraId="608EE0BA">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合计</w:t>
            </w:r>
          </w:p>
        </w:tc>
        <w:tc>
          <w:tcPr>
            <w:tcW w:w="1045" w:type="pct"/>
            <w:tcBorders>
              <w:bottom w:val="single" w:color="auto" w:sz="4" w:space="0"/>
            </w:tcBorders>
            <w:vAlign w:val="center"/>
          </w:tcPr>
          <w:p w14:paraId="0F59C73F">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971" w:type="pct"/>
            <w:tcBorders>
              <w:left w:val="single" w:color="auto" w:sz="4" w:space="0"/>
              <w:bottom w:val="single" w:color="auto" w:sz="4" w:space="0"/>
            </w:tcBorders>
            <w:vAlign w:val="center"/>
          </w:tcPr>
          <w:p w14:paraId="2D4427FC">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971" w:type="pct"/>
            <w:tcBorders>
              <w:left w:val="single" w:color="auto" w:sz="4" w:space="0"/>
              <w:bottom w:val="single" w:color="auto" w:sz="4" w:space="0"/>
            </w:tcBorders>
            <w:vAlign w:val="center"/>
          </w:tcPr>
          <w:p w14:paraId="34756DF7">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r>
    </w:tbl>
    <w:p w14:paraId="49108735">
      <w:pPr>
        <w:ind w:left="0" w:leftChars="0"/>
        <w:jc w:val="center"/>
        <w:rPr>
          <w:rFonts w:hint="eastAsia" w:ascii="宋体" w:hAnsi="宋体" w:cs="宋体"/>
          <w:b/>
          <w:bCs/>
          <w:color w:val="auto"/>
          <w:highlight w:val="none"/>
        </w:rPr>
      </w:pPr>
      <w:r>
        <w:rPr>
          <w:rFonts w:hint="eastAsia" w:ascii="宋体" w:hAnsi="宋体" w:cs="宋体"/>
          <w:b/>
          <w:bCs/>
          <w:color w:val="auto"/>
          <w:highlight w:val="none"/>
        </w:rPr>
        <w:br w:type="page"/>
      </w:r>
    </w:p>
    <w:p w14:paraId="308ECC34">
      <w:pPr>
        <w:pStyle w:val="19"/>
        <w:spacing w:line="360" w:lineRule="auto"/>
        <w:ind w:left="0" w:leftChars="0"/>
        <w:jc w:val="center"/>
        <w:rPr>
          <w:rFonts w:hint="eastAsia" w:ascii="宋体" w:hAnsi="宋体" w:cs="宋体"/>
          <w:color w:val="auto"/>
          <w:highlight w:val="none"/>
        </w:rPr>
      </w:pPr>
      <w:r>
        <w:rPr>
          <w:rFonts w:hint="eastAsia" w:ascii="宋体" w:hAnsi="宋体" w:cs="宋体"/>
          <w:b/>
          <w:bCs/>
          <w:color w:val="auto"/>
          <w:highlight w:val="none"/>
        </w:rPr>
        <w:t>目    录</w:t>
      </w:r>
    </w:p>
    <w:p w14:paraId="150FDF3A">
      <w:pPr>
        <w:pStyle w:val="19"/>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rPr>
        <w:t>一、投标函；</w:t>
      </w:r>
    </w:p>
    <w:p w14:paraId="42127462">
      <w:pPr>
        <w:pStyle w:val="19"/>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rPr>
        <w:t>二、投标承诺书；</w:t>
      </w:r>
    </w:p>
    <w:p w14:paraId="4BEECB70">
      <w:pPr>
        <w:pStyle w:val="19"/>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rPr>
        <w:t>三、供货及/或提供服务过程承诺函；</w:t>
      </w:r>
    </w:p>
    <w:p w14:paraId="1758B6EC">
      <w:pPr>
        <w:pStyle w:val="19"/>
        <w:spacing w:line="360" w:lineRule="auto"/>
        <w:ind w:left="0" w:leftChars="0" w:firstLine="420" w:firstLineChars="200"/>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四、</w:t>
      </w:r>
      <w:r>
        <w:rPr>
          <w:rFonts w:hint="eastAsia" w:ascii="宋体" w:hAnsi="宋体" w:cs="宋体"/>
          <w:color w:val="auto"/>
          <w:highlight w:val="none"/>
        </w:rPr>
        <w:t>投标意向区域表</w:t>
      </w:r>
      <w:r>
        <w:rPr>
          <w:rFonts w:hint="eastAsia" w:ascii="宋体" w:hAnsi="宋体" w:cs="宋体"/>
          <w:color w:val="auto"/>
          <w:highlight w:val="none"/>
          <w:lang w:eastAsia="zh-CN"/>
        </w:rPr>
        <w:t>；</w:t>
      </w:r>
    </w:p>
    <w:p w14:paraId="5BDD9DAC">
      <w:pPr>
        <w:pStyle w:val="19"/>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lang w:val="en-US" w:eastAsia="zh-CN"/>
        </w:rPr>
        <w:t>五</w:t>
      </w:r>
      <w:r>
        <w:rPr>
          <w:rFonts w:hint="eastAsia" w:ascii="宋体" w:hAnsi="宋体" w:cs="宋体"/>
          <w:color w:val="auto"/>
          <w:highlight w:val="none"/>
        </w:rPr>
        <w:t>、投标报价响应表；</w:t>
      </w:r>
    </w:p>
    <w:p w14:paraId="2AE0A5EB">
      <w:pPr>
        <w:pStyle w:val="19"/>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lang w:val="en-US" w:eastAsia="zh-CN"/>
        </w:rPr>
        <w:t>六</w:t>
      </w:r>
      <w:r>
        <w:rPr>
          <w:rFonts w:hint="eastAsia" w:ascii="宋体" w:hAnsi="宋体" w:cs="宋体"/>
          <w:color w:val="auto"/>
          <w:highlight w:val="none"/>
        </w:rPr>
        <w:t>、投标人资格证明文件：</w:t>
      </w:r>
    </w:p>
    <w:p w14:paraId="4A7C4555">
      <w:pPr>
        <w:pStyle w:val="19"/>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.1 多证合一营业执照（或事业单位法人证书）原件扫描件；</w:t>
      </w:r>
    </w:p>
    <w:p w14:paraId="3B8AFC3D">
      <w:pPr>
        <w:pStyle w:val="19"/>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 xml:space="preserve">.2 </w:t>
      </w:r>
      <w:r>
        <w:rPr>
          <w:rFonts w:hint="eastAsia" w:ascii="宋体" w:hAnsi="宋体"/>
          <w:color w:val="auto"/>
          <w:szCs w:val="21"/>
          <w:highlight w:val="none"/>
        </w:rPr>
        <w:t>投标人具有的建设行政主管部门核发的且在有效期内的施工劳务企业资质证书</w:t>
      </w:r>
      <w:r>
        <w:rPr>
          <w:rFonts w:hint="eastAsia" w:ascii="宋体" w:hAnsi="宋体" w:eastAsia="宋体" w:cs="Times New Roman"/>
          <w:color w:val="auto"/>
          <w:szCs w:val="21"/>
          <w:highlight w:val="none"/>
        </w:rPr>
        <w:t>原件扫描件</w:t>
      </w:r>
      <w:r>
        <w:rPr>
          <w:rFonts w:hint="eastAsia" w:ascii="宋体" w:hAnsi="宋体"/>
          <w:color w:val="auto"/>
          <w:szCs w:val="21"/>
          <w:highlight w:val="none"/>
        </w:rPr>
        <w:t>；</w:t>
      </w:r>
    </w:p>
    <w:p w14:paraId="2A03FB42">
      <w:pPr>
        <w:pStyle w:val="19"/>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 xml:space="preserve">.3 </w:t>
      </w:r>
      <w:r>
        <w:rPr>
          <w:rFonts w:hint="eastAsia" w:ascii="宋体" w:hAnsi="宋体"/>
          <w:color w:val="auto"/>
          <w:szCs w:val="21"/>
          <w:highlight w:val="none"/>
        </w:rPr>
        <w:t>投标人具有的建设行政主管部门核发的且在有效期内的安全生产许可证</w:t>
      </w:r>
      <w:r>
        <w:rPr>
          <w:rFonts w:hint="eastAsia" w:ascii="宋体" w:hAnsi="宋体" w:eastAsia="宋体" w:cs="Times New Roman"/>
          <w:color w:val="auto"/>
          <w:szCs w:val="21"/>
          <w:highlight w:val="none"/>
        </w:rPr>
        <w:t>原件扫描件</w:t>
      </w:r>
      <w:r>
        <w:rPr>
          <w:rFonts w:hint="eastAsia" w:ascii="宋体" w:hAnsi="宋体"/>
          <w:color w:val="auto"/>
          <w:szCs w:val="21"/>
          <w:highlight w:val="none"/>
        </w:rPr>
        <w:t>；</w:t>
      </w:r>
    </w:p>
    <w:p w14:paraId="4FD71378">
      <w:pPr>
        <w:pStyle w:val="19"/>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.4 开户许可证原件扫描件（基本存款账户），如投标人企业银行账户开户所在地区已取消企业银行账户许可，投标人应提供基本存款账户开户名称、开户银行、账号、编号等信息及相关备案证明（如有）或其他能证明其为基本存款账户的资料原件扫描件；</w:t>
      </w:r>
    </w:p>
    <w:p w14:paraId="486EFD7F">
      <w:pPr>
        <w:pStyle w:val="19"/>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.5 法定代表人身份证明书和法定代表人授权书（法定代表人投标时只提供法定代表人身份证明书，委托他人为投标代表时同时提供法定代表人授权书）；</w:t>
      </w:r>
    </w:p>
    <w:p w14:paraId="46CF94C7">
      <w:pPr>
        <w:pStyle w:val="19"/>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.6 资格业绩【投标人2022年1月1日以来已完成一个市政类工程施工项目劳务分包业绩（合同签订日期为2022年1月1日或以后），资格业绩证明材料提交要求详见招标文件第</w:t>
      </w:r>
      <w:r>
        <w:rPr>
          <w:rFonts w:hint="eastAsia" w:ascii="宋体" w:hAnsi="宋体" w:cs="宋体"/>
          <w:color w:val="auto"/>
          <w:highlight w:val="none"/>
          <w:lang w:val="en-US" w:eastAsia="zh-CN"/>
        </w:rPr>
        <w:t>五</w:t>
      </w:r>
      <w:r>
        <w:rPr>
          <w:rFonts w:hint="eastAsia" w:ascii="宋体" w:hAnsi="宋体" w:cs="宋体"/>
          <w:color w:val="auto"/>
          <w:highlight w:val="none"/>
        </w:rPr>
        <w:t>篇投标文件格式</w:t>
      </w:r>
      <w:r>
        <w:rPr>
          <w:rFonts w:hint="eastAsia" w:ascii="宋体" w:hAnsi="宋体" w:cs="宋体"/>
          <w:color w:val="auto"/>
          <w:highlight w:val="none"/>
          <w:lang w:val="en-US" w:eastAsia="zh-CN"/>
        </w:rPr>
        <w:t>6</w:t>
      </w:r>
      <w:r>
        <w:rPr>
          <w:rFonts w:hint="eastAsia" w:ascii="宋体" w:hAnsi="宋体" w:cs="宋体"/>
          <w:color w:val="auto"/>
          <w:highlight w:val="none"/>
        </w:rPr>
        <w:t>.6】；</w:t>
      </w:r>
    </w:p>
    <w:p w14:paraId="3F4093FC">
      <w:pPr>
        <w:pStyle w:val="19"/>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.7 最近3年投标人牵涉的其他（失信和违法）处罚说明；</w:t>
      </w:r>
    </w:p>
    <w:p w14:paraId="16B2BCAF">
      <w:pPr>
        <w:pStyle w:val="19"/>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lang w:val="en-US" w:eastAsia="zh-CN"/>
        </w:rPr>
        <w:t>七</w:t>
      </w:r>
      <w:r>
        <w:rPr>
          <w:rFonts w:hint="eastAsia" w:ascii="宋体" w:hAnsi="宋体" w:cs="宋体"/>
          <w:color w:val="auto"/>
          <w:highlight w:val="none"/>
        </w:rPr>
        <w:t>、投标人基本情况一览表；</w:t>
      </w:r>
    </w:p>
    <w:p w14:paraId="7395FF05">
      <w:pPr>
        <w:pStyle w:val="19"/>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lang w:val="en-US" w:eastAsia="zh-CN"/>
        </w:rPr>
        <w:t>八</w:t>
      </w:r>
      <w:r>
        <w:rPr>
          <w:rFonts w:hint="eastAsia" w:ascii="宋体" w:hAnsi="宋体" w:cs="宋体"/>
          <w:color w:val="auto"/>
          <w:highlight w:val="none"/>
        </w:rPr>
        <w:t>、投标人财务状况表；</w:t>
      </w:r>
    </w:p>
    <w:p w14:paraId="415AC4A9">
      <w:pPr>
        <w:pStyle w:val="19"/>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lang w:val="en-US" w:eastAsia="zh-CN"/>
        </w:rPr>
        <w:t>九</w:t>
      </w:r>
      <w:r>
        <w:rPr>
          <w:rFonts w:hint="eastAsia" w:ascii="宋体" w:hAnsi="宋体" w:cs="宋体"/>
          <w:color w:val="auto"/>
          <w:highlight w:val="none"/>
        </w:rPr>
        <w:t>、合同条款响应程度（合同条款偏离表）；</w:t>
      </w:r>
    </w:p>
    <w:p w14:paraId="22AEF2EC">
      <w:pPr>
        <w:pStyle w:val="19"/>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lang w:val="en-US" w:eastAsia="zh-CN"/>
        </w:rPr>
        <w:t>十</w:t>
      </w:r>
      <w:r>
        <w:rPr>
          <w:rFonts w:hint="eastAsia" w:ascii="宋体" w:hAnsi="宋体" w:cs="宋体"/>
          <w:color w:val="auto"/>
          <w:highlight w:val="none"/>
        </w:rPr>
        <w:t>、业绩表；</w:t>
      </w:r>
    </w:p>
    <w:p w14:paraId="7B28B587">
      <w:pPr>
        <w:pStyle w:val="19"/>
        <w:tabs>
          <w:tab w:val="left" w:pos="4620"/>
        </w:tabs>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rPr>
        <w:t>十</w:t>
      </w:r>
      <w:r>
        <w:rPr>
          <w:rFonts w:hint="eastAsia" w:ascii="宋体" w:hAnsi="宋体" w:cs="宋体"/>
          <w:color w:val="auto"/>
          <w:highlight w:val="none"/>
          <w:lang w:val="en-US" w:eastAsia="zh-CN"/>
        </w:rPr>
        <w:t>一</w:t>
      </w:r>
      <w:r>
        <w:rPr>
          <w:rFonts w:hint="eastAsia" w:ascii="宋体" w:hAnsi="宋体" w:cs="宋体"/>
          <w:color w:val="auto"/>
          <w:highlight w:val="none"/>
        </w:rPr>
        <w:t>、</w:t>
      </w:r>
      <w:r>
        <w:rPr>
          <w:rFonts w:hint="eastAsia" w:ascii="宋体" w:hAnsi="宋体" w:cs="宋体"/>
          <w:color w:val="auto"/>
          <w:szCs w:val="21"/>
          <w:highlight w:val="none"/>
          <w:lang w:val="zh-CN"/>
        </w:rPr>
        <w:t>投标保证金汇入情况说明；</w:t>
      </w:r>
    </w:p>
    <w:p w14:paraId="7ACDA334">
      <w:pPr>
        <w:pStyle w:val="19"/>
        <w:spacing w:line="360" w:lineRule="auto"/>
        <w:ind w:left="0" w:leftChars="0" w:firstLine="420" w:firstLineChars="200"/>
        <w:rPr>
          <w:rFonts w:hint="eastAsia" w:ascii="宋体" w:hAnsi="宋体" w:cs="宋体"/>
          <w:color w:val="auto"/>
          <w:highlight w:val="none"/>
        </w:rPr>
      </w:pPr>
      <w:r>
        <w:rPr>
          <w:rFonts w:hint="eastAsia" w:ascii="宋体" w:hAnsi="宋体" w:cs="宋体"/>
          <w:color w:val="auto"/>
          <w:highlight w:val="none"/>
        </w:rPr>
        <w:t>十</w:t>
      </w:r>
      <w:r>
        <w:rPr>
          <w:rFonts w:hint="eastAsia" w:ascii="宋体" w:hAnsi="宋体" w:cs="宋体"/>
          <w:color w:val="auto"/>
          <w:highlight w:val="none"/>
          <w:lang w:val="en-US" w:eastAsia="zh-CN"/>
        </w:rPr>
        <w:t>二</w:t>
      </w:r>
      <w:r>
        <w:rPr>
          <w:rFonts w:hint="eastAsia" w:ascii="宋体" w:hAnsi="宋体" w:cs="宋体"/>
          <w:color w:val="auto"/>
          <w:highlight w:val="none"/>
        </w:rPr>
        <w:t>、投标人资格证明文件以外的其他资质证书、知识产权证书及获得的相关获奖、认证证书、社会评价资料证明文件原件扫描件等投标人认为有需要证明其具备为本次招标项目提供货物及有关服务能力的有关其它商务文件（不做强制要求）。</w:t>
      </w:r>
    </w:p>
    <w:p w14:paraId="7D54DE8F">
      <w:pPr>
        <w:pStyle w:val="19"/>
        <w:spacing w:line="360" w:lineRule="auto"/>
        <w:rPr>
          <w:rFonts w:hint="eastAsia" w:ascii="宋体" w:hAnsi="宋体" w:cs="宋体"/>
          <w:color w:val="auto"/>
          <w:highlight w:val="none"/>
        </w:rPr>
      </w:pPr>
    </w:p>
    <w:p w14:paraId="436AFD4F">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717570ED">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b/>
          <w:color w:val="auto"/>
          <w:kern w:val="0"/>
          <w:sz w:val="32"/>
          <w:szCs w:val="32"/>
          <w:highlight w:val="none"/>
        </w:rPr>
      </w:pPr>
      <w:bookmarkStart w:id="497" w:name="_Toc23906"/>
      <w:bookmarkStart w:id="498" w:name="_Toc13281"/>
      <w:bookmarkStart w:id="499" w:name="_Toc10277"/>
      <w:bookmarkStart w:id="500" w:name="_Toc23782"/>
      <w:bookmarkStart w:id="501" w:name="_Toc27679"/>
      <w:bookmarkStart w:id="502" w:name="_Toc31603"/>
      <w:r>
        <w:rPr>
          <w:rFonts w:hint="eastAsia" w:ascii="宋体" w:hAnsi="宋体" w:eastAsia="宋体" w:cs="宋体"/>
          <w:b/>
          <w:color w:val="auto"/>
          <w:kern w:val="0"/>
          <w:sz w:val="32"/>
          <w:szCs w:val="32"/>
          <w:highlight w:val="none"/>
        </w:rPr>
        <w:t>一、投标函格式</w:t>
      </w:r>
      <w:bookmarkEnd w:id="484"/>
      <w:bookmarkEnd w:id="485"/>
      <w:bookmarkEnd w:id="486"/>
      <w:bookmarkEnd w:id="487"/>
      <w:bookmarkEnd w:id="488"/>
      <w:bookmarkEnd w:id="489"/>
      <w:bookmarkEnd w:id="490"/>
      <w:bookmarkEnd w:id="491"/>
      <w:bookmarkEnd w:id="492"/>
      <w:bookmarkEnd w:id="493"/>
      <w:bookmarkEnd w:id="497"/>
      <w:bookmarkEnd w:id="498"/>
      <w:bookmarkEnd w:id="499"/>
      <w:bookmarkEnd w:id="500"/>
      <w:bookmarkEnd w:id="501"/>
      <w:bookmarkEnd w:id="502"/>
    </w:p>
    <w:p w14:paraId="323C4B96">
      <w:pPr>
        <w:autoSpaceDE w:val="0"/>
        <w:autoSpaceDN w:val="0"/>
        <w:adjustRightInd w:val="0"/>
        <w:spacing w:line="360" w:lineRule="auto"/>
        <w:jc w:val="center"/>
        <w:rPr>
          <w:rFonts w:hint="eastAsia" w:ascii="宋体" w:hAnsi="宋体" w:eastAsia="宋体" w:cs="宋体"/>
          <w:b/>
          <w:bCs/>
          <w:color w:val="auto"/>
          <w:sz w:val="30"/>
          <w:szCs w:val="30"/>
          <w:highlight w:val="none"/>
        </w:rPr>
      </w:pPr>
      <w:bookmarkStart w:id="503" w:name="_Toc16695_WPSOffice_Level3"/>
      <w:r>
        <w:rPr>
          <w:rFonts w:hint="eastAsia" w:ascii="宋体" w:hAnsi="宋体" w:eastAsia="宋体" w:cs="宋体"/>
          <w:b/>
          <w:bCs/>
          <w:color w:val="auto"/>
          <w:sz w:val="30"/>
          <w:szCs w:val="30"/>
          <w:highlight w:val="none"/>
          <w:lang w:val="zh-CN"/>
        </w:rPr>
        <w:t>投 标 函</w:t>
      </w:r>
      <w:bookmarkEnd w:id="503"/>
    </w:p>
    <w:p w14:paraId="06076888">
      <w:pPr>
        <w:autoSpaceDE w:val="0"/>
        <w:autoSpaceDN w:val="0"/>
        <w:adjustRightInd w:val="0"/>
        <w:spacing w:line="360" w:lineRule="auto"/>
        <w:rPr>
          <w:rFonts w:hint="eastAsia" w:ascii="宋体" w:hAnsi="宋体" w:eastAsia="宋体" w:cs="宋体"/>
          <w:color w:val="auto"/>
          <w:szCs w:val="21"/>
          <w:highlight w:val="none"/>
          <w:lang w:val="zh-CN"/>
        </w:rPr>
      </w:pPr>
    </w:p>
    <w:p w14:paraId="3B1D4C0E">
      <w:pPr>
        <w:autoSpaceDE w:val="0"/>
        <w:autoSpaceDN w:val="0"/>
        <w:adjustRightInd w:val="0"/>
        <w:spacing w:line="360" w:lineRule="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致：</w:t>
      </w:r>
      <w:r>
        <w:rPr>
          <w:rFonts w:hint="eastAsia" w:ascii="宋体" w:hAnsi="宋体" w:eastAsia="宋体" w:cs="宋体"/>
          <w:color w:val="auto"/>
          <w:kern w:val="0"/>
          <w:szCs w:val="21"/>
          <w:highlight w:val="none"/>
          <w:u w:val="single"/>
        </w:rPr>
        <w:t>东莞市碧水信息科技有限公司</w:t>
      </w:r>
    </w:p>
    <w:p w14:paraId="5E70959F">
      <w:pPr>
        <w:autoSpaceDE w:val="0"/>
        <w:autoSpaceDN w:val="0"/>
        <w:adjustRightInd w:val="0"/>
        <w:spacing w:line="360" w:lineRule="auto"/>
        <w:rPr>
          <w:rFonts w:hint="eastAsia" w:ascii="宋体" w:hAnsi="宋体" w:eastAsia="宋体" w:cs="宋体"/>
          <w:color w:val="auto"/>
          <w:szCs w:val="21"/>
          <w:highlight w:val="none"/>
        </w:rPr>
      </w:pPr>
    </w:p>
    <w:p w14:paraId="2057DB6A">
      <w:pPr>
        <w:wordWrap w:val="0"/>
        <w:autoSpaceDE w:val="0"/>
        <w:autoSpaceDN w:val="0"/>
        <w:adjustRightInd w:val="0"/>
        <w:spacing w:line="360" w:lineRule="auto"/>
        <w:ind w:firstLine="42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根据贵方为</w:t>
      </w:r>
      <w:r>
        <w:rPr>
          <w:rFonts w:hint="eastAsia" w:ascii="宋体" w:hAnsi="宋体" w:eastAsia="宋体" w:cs="宋体"/>
          <w:color w:val="auto"/>
          <w:kern w:val="0"/>
          <w:szCs w:val="21"/>
          <w:highlight w:val="none"/>
          <w:u w:val="single"/>
        </w:rPr>
        <w:t>东莞市碧水信息科技有限公司施工劳务分包供应商库采购项目</w:t>
      </w:r>
      <w:r>
        <w:rPr>
          <w:rFonts w:hint="eastAsia" w:ascii="宋体" w:hAnsi="宋体" w:eastAsia="宋体" w:cs="宋体"/>
          <w:color w:val="auto"/>
          <w:szCs w:val="21"/>
          <w:highlight w:val="none"/>
          <w:lang w:val="zh-CN"/>
        </w:rPr>
        <w:t>(招标编号：</w:t>
      </w:r>
      <w:r>
        <w:rPr>
          <w:rFonts w:hint="eastAsia" w:ascii="宋体" w:hAnsi="宋体" w:eastAsia="宋体" w:cs="Times New Roman"/>
          <w:color w:val="auto"/>
          <w:szCs w:val="21"/>
          <w:highlight w:val="none"/>
          <w:u w:val="single"/>
          <w:lang w:val="zh-CN"/>
        </w:rPr>
        <w:t>SSSSSC12500950</w:t>
      </w:r>
      <w:r>
        <w:rPr>
          <w:rFonts w:hint="eastAsia" w:ascii="宋体" w:hAnsi="宋体" w:eastAsia="宋体" w:cs="宋体"/>
          <w:color w:val="auto"/>
          <w:szCs w:val="21"/>
          <w:highlight w:val="none"/>
          <w:lang w:val="zh-CN"/>
        </w:rPr>
        <w:t>)的投标邀请，我方（投标人名称）作为投标人正式授权</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授权代表全名，职务）代表我方进行有关本次投标的一切事宜。</w:t>
      </w:r>
    </w:p>
    <w:p w14:paraId="7549EADC">
      <w:pPr>
        <w:autoSpaceDE w:val="0"/>
        <w:autoSpaceDN w:val="0"/>
        <w:adjustRightInd w:val="0"/>
        <w:spacing w:line="360" w:lineRule="auto"/>
        <w:ind w:firstLine="42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我方已完全明白招标文件的所有条款要求，并重申以下几点：</w:t>
      </w:r>
    </w:p>
    <w:p w14:paraId="7802F263">
      <w:pPr>
        <w:autoSpaceDE w:val="0"/>
        <w:autoSpaceDN w:val="0"/>
        <w:adjustRightInd w:val="0"/>
        <w:spacing w:line="360" w:lineRule="auto"/>
        <w:ind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（—）我方</w:t>
      </w:r>
      <w:r>
        <w:rPr>
          <w:rFonts w:hint="eastAsia" w:ascii="宋体" w:hAnsi="宋体" w:eastAsia="宋体" w:cs="Times New Roman"/>
          <w:color w:val="auto"/>
          <w:szCs w:val="21"/>
          <w:highlight w:val="none"/>
          <w:lang w:val="zh-CN"/>
        </w:rPr>
        <w:t>决定</w:t>
      </w:r>
      <w:r>
        <w:rPr>
          <w:rFonts w:hint="eastAsia" w:ascii="宋体" w:hAnsi="宋体" w:eastAsia="宋体" w:cs="宋体"/>
          <w:color w:val="auto"/>
          <w:szCs w:val="21"/>
          <w:highlight w:val="none"/>
          <w:lang w:val="zh-CN"/>
        </w:rPr>
        <w:t>参加招标编号为</w:t>
      </w:r>
      <w:r>
        <w:rPr>
          <w:rFonts w:hint="eastAsia" w:ascii="宋体" w:hAnsi="宋体" w:eastAsia="宋体" w:cs="Times New Roman"/>
          <w:color w:val="auto"/>
          <w:szCs w:val="21"/>
          <w:highlight w:val="none"/>
          <w:u w:val="single"/>
          <w:lang w:val="zh-CN"/>
        </w:rPr>
        <w:t>SSSSSC12500950</w:t>
      </w:r>
      <w:r>
        <w:rPr>
          <w:rFonts w:hint="eastAsia" w:ascii="宋体" w:hAnsi="宋体" w:eastAsia="宋体" w:cs="宋体"/>
          <w:color w:val="auto"/>
          <w:szCs w:val="21"/>
          <w:highlight w:val="none"/>
          <w:lang w:val="zh-CN"/>
        </w:rPr>
        <w:t>的投标；</w:t>
      </w:r>
    </w:p>
    <w:p w14:paraId="322D3CD0">
      <w:pPr>
        <w:autoSpaceDE w:val="0"/>
        <w:autoSpaceDN w:val="0"/>
        <w:adjustRightInd w:val="0"/>
        <w:spacing w:line="360" w:lineRule="auto"/>
        <w:ind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（二）本投标文件的有效期自递交投标文件截止时间届满后90日有效，如中标，有效期将延至合同终止日为止；</w:t>
      </w:r>
    </w:p>
    <w:p w14:paraId="56215EC5">
      <w:pPr>
        <w:autoSpaceDE w:val="0"/>
        <w:autoSpaceDN w:val="0"/>
        <w:adjustRightInd w:val="0"/>
        <w:spacing w:line="360" w:lineRule="auto"/>
        <w:ind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（三）我方已详细研究了招标文件的所有内容包括修正文（如有）和所有已提供的参考资料以及有关附件并完全明白，我方放弃在此方面提出含糊意见或误解的一切权力；</w:t>
      </w:r>
    </w:p>
    <w:p w14:paraId="74B67FE5">
      <w:pPr>
        <w:autoSpaceDE w:val="0"/>
        <w:autoSpaceDN w:val="0"/>
        <w:adjustRightInd w:val="0"/>
        <w:spacing w:line="360" w:lineRule="auto"/>
        <w:ind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（四）我方明白并愿意在规定的递交投标文件截止时间和日期之后，投标有效期之内撤回投标，则不予退还我方投标保证金；</w:t>
      </w:r>
    </w:p>
    <w:p w14:paraId="2D9A24EC">
      <w:pPr>
        <w:autoSpaceDE w:val="0"/>
        <w:autoSpaceDN w:val="0"/>
        <w:adjustRightInd w:val="0"/>
        <w:spacing w:line="360" w:lineRule="auto"/>
        <w:ind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（五）我方同意按照贵方可能提出的要求而提供与投标有关的任何其它数据或信息；</w:t>
      </w:r>
    </w:p>
    <w:p w14:paraId="353E4B5A">
      <w:pPr>
        <w:autoSpaceDE w:val="0"/>
        <w:autoSpaceDN w:val="0"/>
        <w:adjustRightInd w:val="0"/>
        <w:spacing w:line="360" w:lineRule="auto"/>
        <w:ind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（六）我方理解贵方不一定接受最低报价或任何贵方可能收到的报价；</w:t>
      </w:r>
    </w:p>
    <w:p w14:paraId="02378AFE">
      <w:pPr>
        <w:autoSpaceDE w:val="0"/>
        <w:autoSpaceDN w:val="0"/>
        <w:adjustRightInd w:val="0"/>
        <w:spacing w:line="360" w:lineRule="auto"/>
        <w:ind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（七）我方如果中标，将保证履行招标文件以及招标文件修改书（如有）中的全部责任和义务，按质、按量、按期完成《合同书》中的全部任务；</w:t>
      </w:r>
    </w:p>
    <w:p w14:paraId="5AAB64FD">
      <w:pPr>
        <w:autoSpaceDE w:val="0"/>
        <w:autoSpaceDN w:val="0"/>
        <w:adjustRightInd w:val="0"/>
        <w:spacing w:line="360" w:lineRule="auto"/>
        <w:ind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（八）保证投标文件中所有资料均真实有效，否则按无效投标处理或可取消中标资格，并愿意接受按弄虚作假骗取中标的有关规定进行处理，并不予退还我方投标保证金；</w:t>
      </w:r>
    </w:p>
    <w:p w14:paraId="5198B77C">
      <w:pPr>
        <w:autoSpaceDE w:val="0"/>
        <w:autoSpaceDN w:val="0"/>
        <w:adjustRightInd w:val="0"/>
        <w:spacing w:line="360" w:lineRule="auto"/>
        <w:ind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（九）若我方中标后，我方一定按照招标文件的要求和投标文件的承诺签订和履行合同，否则贵方可取消我方中标资格，并依法不予退还我方投标保证金或履约</w:t>
      </w:r>
      <w:r>
        <w:rPr>
          <w:rFonts w:hint="eastAsia" w:ascii="宋体" w:hAnsi="宋体" w:eastAsia="宋体" w:cs="宋体"/>
          <w:color w:val="auto"/>
          <w:szCs w:val="21"/>
          <w:highlight w:val="none"/>
          <w:lang w:val="en-US" w:eastAsia="zh-CN"/>
        </w:rPr>
        <w:t>保证金</w:t>
      </w:r>
      <w:r>
        <w:rPr>
          <w:rFonts w:hint="eastAsia" w:ascii="宋体" w:hAnsi="宋体" w:eastAsia="宋体" w:cs="宋体"/>
          <w:color w:val="auto"/>
          <w:szCs w:val="21"/>
          <w:highlight w:val="none"/>
          <w:lang w:val="zh-CN"/>
        </w:rPr>
        <w:t>，我方愿意接受违约处罚；</w:t>
      </w:r>
    </w:p>
    <w:p w14:paraId="7FCCC51C">
      <w:pPr>
        <w:autoSpaceDE w:val="0"/>
        <w:autoSpaceDN w:val="0"/>
        <w:adjustRightInd w:val="0"/>
        <w:spacing w:line="360" w:lineRule="auto"/>
        <w:ind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（十）若我方中标后，核查出投标文件内容前后不一致，我方愿按最高标准的承诺履约义务；</w:t>
      </w:r>
    </w:p>
    <w:p w14:paraId="1F56FF0E">
      <w:pPr>
        <w:autoSpaceDE w:val="0"/>
        <w:autoSpaceDN w:val="0"/>
        <w:adjustRightInd w:val="0"/>
        <w:spacing w:line="360" w:lineRule="auto"/>
        <w:ind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（十一）所有与本投标有关的函件请发往下列地址：</w:t>
      </w:r>
    </w:p>
    <w:p w14:paraId="0E369863">
      <w:pPr>
        <w:autoSpaceDE w:val="0"/>
        <w:autoSpaceDN w:val="0"/>
        <w:adjustRightInd w:val="0"/>
        <w:spacing w:line="360" w:lineRule="auto"/>
        <w:ind w:left="395" w:leftChars="-12" w:hanging="420" w:hangingChars="200"/>
        <w:rPr>
          <w:rFonts w:hint="eastAsia" w:ascii="宋体" w:hAnsi="宋体" w:eastAsia="宋体" w:cs="宋体"/>
          <w:color w:val="auto"/>
          <w:szCs w:val="21"/>
          <w:highlight w:val="none"/>
          <w:u w:val="single"/>
          <w:lang w:val="zh-CN"/>
        </w:rPr>
      </w:pPr>
    </w:p>
    <w:p w14:paraId="3DC10B14">
      <w:pPr>
        <w:autoSpaceDE w:val="0"/>
        <w:autoSpaceDN w:val="0"/>
        <w:adjustRightInd w:val="0"/>
        <w:spacing w:line="360" w:lineRule="auto"/>
        <w:ind w:firstLine="420" w:firstLineChars="200"/>
        <w:rPr>
          <w:rFonts w:hint="eastAsia" w:ascii="宋体" w:hAnsi="宋体" w:eastAsia="宋体" w:cs="宋体"/>
          <w:color w:val="auto"/>
          <w:szCs w:val="21"/>
          <w:highlight w:val="none"/>
          <w:u w:val="single"/>
          <w:lang w:val="zh-CN"/>
        </w:rPr>
      </w:pPr>
      <w:r>
        <w:rPr>
          <w:rFonts w:hint="eastAsia" w:ascii="宋体" w:hAnsi="宋体" w:eastAsia="宋体" w:cs="宋体"/>
          <w:color w:val="auto"/>
          <w:szCs w:val="21"/>
          <w:highlight w:val="none"/>
          <w:lang w:val="zh-CN"/>
        </w:rPr>
        <w:t>地  　址：</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邮政编码：</w:t>
      </w:r>
      <w:r>
        <w:rPr>
          <w:rFonts w:hint="eastAsia" w:ascii="宋体" w:hAnsi="宋体" w:eastAsia="宋体" w:cs="宋体"/>
          <w:color w:val="auto"/>
          <w:szCs w:val="21"/>
          <w:highlight w:val="none"/>
          <w:u w:val="single"/>
          <w:lang w:val="zh-CN"/>
        </w:rPr>
        <w:t xml:space="preserve">　　　　　　　　　　 </w:t>
      </w:r>
    </w:p>
    <w:p w14:paraId="687594E0">
      <w:pPr>
        <w:autoSpaceDE w:val="0"/>
        <w:autoSpaceDN w:val="0"/>
        <w:adjustRightInd w:val="0"/>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电　　话：</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代表姓名：</w:t>
      </w:r>
      <w:r>
        <w:rPr>
          <w:rFonts w:hint="eastAsia" w:ascii="宋体" w:hAnsi="宋体" w:eastAsia="宋体" w:cs="宋体"/>
          <w:color w:val="auto"/>
          <w:szCs w:val="21"/>
          <w:highlight w:val="none"/>
          <w:u w:val="single"/>
          <w:lang w:val="zh-CN"/>
        </w:rPr>
        <w:t>　　　　　　　　　　　</w:t>
      </w:r>
    </w:p>
    <w:p w14:paraId="42C375ED">
      <w:pPr>
        <w:autoSpaceDE w:val="0"/>
        <w:autoSpaceDN w:val="0"/>
        <w:adjustRightInd w:val="0"/>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传　　真：</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 xml:space="preserve">        职　　务：</w:t>
      </w:r>
      <w:r>
        <w:rPr>
          <w:rFonts w:hint="eastAsia" w:ascii="宋体" w:hAnsi="宋体" w:eastAsia="宋体" w:cs="宋体"/>
          <w:color w:val="auto"/>
          <w:szCs w:val="21"/>
          <w:highlight w:val="none"/>
          <w:u w:val="single"/>
          <w:lang w:val="zh-CN"/>
        </w:rPr>
        <w:t xml:space="preserve">　　　　　　　　　　 </w:t>
      </w:r>
    </w:p>
    <w:p w14:paraId="43B8C2AA">
      <w:pPr>
        <w:autoSpaceDE w:val="0"/>
        <w:autoSpaceDN w:val="0"/>
        <w:adjustRightInd w:val="0"/>
        <w:spacing w:line="360" w:lineRule="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rPr>
        <w:t>电子邮箱：</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ab/>
      </w:r>
    </w:p>
    <w:p w14:paraId="0633C1D4">
      <w:pPr>
        <w:autoSpaceDE w:val="0"/>
        <w:autoSpaceDN w:val="0"/>
        <w:adjustRightInd w:val="0"/>
        <w:spacing w:line="360" w:lineRule="auto"/>
        <w:ind w:firstLine="4960" w:firstLineChars="2362"/>
        <w:rPr>
          <w:rFonts w:hint="eastAsia" w:ascii="宋体" w:hAnsi="宋体" w:eastAsia="宋体" w:cs="宋体"/>
          <w:color w:val="auto"/>
          <w:szCs w:val="21"/>
          <w:highlight w:val="none"/>
          <w:lang w:val="zh-CN"/>
        </w:rPr>
      </w:pPr>
    </w:p>
    <w:p w14:paraId="66FE24A5">
      <w:pPr>
        <w:autoSpaceDE w:val="0"/>
        <w:autoSpaceDN w:val="0"/>
        <w:adjustRightInd w:val="0"/>
        <w:spacing w:line="360" w:lineRule="auto"/>
        <w:ind w:firstLine="4960" w:firstLineChars="2362"/>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zh-CN"/>
        </w:rPr>
        <w:t xml:space="preserve">       （企业数字证书电子签名）</w:t>
      </w:r>
    </w:p>
    <w:p w14:paraId="33054FDC">
      <w:pPr>
        <w:autoSpaceDE w:val="0"/>
        <w:autoSpaceDN w:val="0"/>
        <w:adjustRightInd w:val="0"/>
        <w:spacing w:line="360" w:lineRule="auto"/>
        <w:ind w:firstLine="4960" w:firstLineChars="2362"/>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法定代表人或其授权代表：</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lang w:val="zh-CN"/>
        </w:rPr>
        <w:t>（电子签名）</w:t>
      </w:r>
    </w:p>
    <w:p w14:paraId="3696F5A5">
      <w:pPr>
        <w:autoSpaceDE w:val="0"/>
        <w:autoSpaceDN w:val="0"/>
        <w:adjustRightInd w:val="0"/>
        <w:spacing w:line="360" w:lineRule="auto"/>
        <w:ind w:firstLine="4960" w:firstLineChars="2362"/>
        <w:rPr>
          <w:rFonts w:hint="eastAsia" w:ascii="宋体" w:hAnsi="宋体" w:eastAsia="宋体" w:cs="Times New Roman"/>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Times New Roman"/>
          <w:color w:val="auto"/>
          <w:szCs w:val="24"/>
          <w:highlight w:val="none"/>
          <w:lang w:val="zh-CN"/>
        </w:rPr>
        <w:t>期：   年   月   日</w:t>
      </w:r>
    </w:p>
    <w:p w14:paraId="3477A3BB">
      <w:pPr>
        <w:pStyle w:val="2"/>
        <w:spacing w:line="360" w:lineRule="auto"/>
        <w:rPr>
          <w:rFonts w:hint="eastAsia" w:hAnsi="宋体" w:cs="宋体"/>
          <w:color w:val="auto"/>
          <w:sz w:val="21"/>
          <w:szCs w:val="21"/>
          <w:highlight w:val="none"/>
        </w:rPr>
      </w:pPr>
    </w:p>
    <w:p w14:paraId="37907239">
      <w:pPr>
        <w:pStyle w:val="2"/>
        <w:spacing w:line="360" w:lineRule="auto"/>
        <w:rPr>
          <w:rFonts w:hint="eastAsia" w:hAnsi="宋体" w:cs="宋体"/>
          <w:color w:val="auto"/>
          <w:sz w:val="21"/>
          <w:szCs w:val="21"/>
          <w:highlight w:val="none"/>
        </w:rPr>
      </w:pPr>
      <w:r>
        <w:rPr>
          <w:rFonts w:hint="eastAsia" w:hAnsi="宋体" w:cs="宋体"/>
          <w:color w:val="auto"/>
          <w:sz w:val="21"/>
          <w:szCs w:val="21"/>
          <w:highlight w:val="none"/>
        </w:rPr>
        <w:t>说明：由投标人使用投标人的企业数字证书，法定代表人或其授权代表数字证书电子签名。</w:t>
      </w:r>
    </w:p>
    <w:p w14:paraId="3E362A8F">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szCs w:val="24"/>
          <w:highlight w:val="none"/>
        </w:rPr>
        <w:br w:type="page"/>
      </w:r>
      <w:bookmarkStart w:id="504" w:name="_Toc486167710"/>
      <w:bookmarkStart w:id="505" w:name="_Toc24058"/>
      <w:bookmarkStart w:id="506" w:name="_Toc11583"/>
      <w:bookmarkStart w:id="507" w:name="_Toc28613_WPSOffice_Level2"/>
      <w:bookmarkStart w:id="508" w:name="_Toc102860068"/>
      <w:bookmarkStart w:id="509" w:name="_Toc30995"/>
      <w:bookmarkStart w:id="510" w:name="_Toc12417"/>
      <w:bookmarkStart w:id="511" w:name="_Toc102860412"/>
      <w:bookmarkStart w:id="512" w:name="_Toc3104"/>
      <w:bookmarkStart w:id="513" w:name="_Toc94107203"/>
      <w:bookmarkStart w:id="514" w:name="_Toc142508363"/>
      <w:bookmarkStart w:id="515" w:name="_Toc533708122"/>
      <w:bookmarkStart w:id="516" w:name="_Toc769"/>
      <w:bookmarkStart w:id="517" w:name="_Toc140596922"/>
      <w:bookmarkStart w:id="518" w:name="_Toc1977722"/>
      <w:bookmarkStart w:id="519" w:name="_Toc104991869"/>
      <w:r>
        <w:rPr>
          <w:rFonts w:hint="eastAsia" w:ascii="宋体" w:hAnsi="宋体" w:eastAsia="宋体" w:cs="宋体"/>
          <w:b/>
          <w:color w:val="auto"/>
          <w:kern w:val="0"/>
          <w:sz w:val="32"/>
          <w:szCs w:val="32"/>
          <w:highlight w:val="none"/>
        </w:rPr>
        <w:t>二、投标承诺书格式</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1DE43A1F">
      <w:pPr>
        <w:autoSpaceDE w:val="0"/>
        <w:autoSpaceDN w:val="0"/>
        <w:adjustRightInd w:val="0"/>
        <w:spacing w:line="360" w:lineRule="auto"/>
        <w:jc w:val="center"/>
        <w:rPr>
          <w:rFonts w:hint="eastAsia" w:ascii="宋体" w:hAnsi="宋体" w:eastAsia="宋体" w:cs="Times New Roman"/>
          <w:b/>
          <w:bCs/>
          <w:color w:val="auto"/>
          <w:sz w:val="30"/>
          <w:szCs w:val="30"/>
          <w:highlight w:val="none"/>
          <w:lang w:val="zh-CN"/>
        </w:rPr>
      </w:pPr>
      <w:r>
        <w:rPr>
          <w:rFonts w:hint="eastAsia" w:ascii="宋体" w:hAnsi="宋体" w:eastAsia="宋体" w:cs="Times New Roman"/>
          <w:b/>
          <w:bCs/>
          <w:color w:val="auto"/>
          <w:sz w:val="30"/>
          <w:szCs w:val="30"/>
          <w:highlight w:val="none"/>
          <w:lang w:val="zh-CN"/>
        </w:rPr>
        <w:t>投标承诺书</w:t>
      </w:r>
    </w:p>
    <w:p w14:paraId="5440E5BE">
      <w:pPr>
        <w:widowControl/>
        <w:autoSpaceDE w:val="0"/>
        <w:autoSpaceDN w:val="0"/>
        <w:adjustRightInd w:val="0"/>
        <w:spacing w:line="360" w:lineRule="auto"/>
        <w:ind w:firstLine="420" w:firstLineChars="200"/>
        <w:jc w:val="left"/>
        <w:rPr>
          <w:rFonts w:hint="eastAsia" w:ascii="宋体" w:hAnsi="宋体" w:eastAsia="宋体" w:cs="Times New Roman"/>
          <w:color w:val="auto"/>
          <w:kern w:val="0"/>
          <w:szCs w:val="21"/>
          <w:highlight w:val="none"/>
        </w:rPr>
      </w:pPr>
    </w:p>
    <w:p w14:paraId="134BAE6D">
      <w:pPr>
        <w:widowControl/>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Times New Roman"/>
          <w:color w:val="auto"/>
          <w:kern w:val="0"/>
          <w:szCs w:val="21"/>
          <w:highlight w:val="none"/>
        </w:rPr>
        <w:t>我方</w:t>
      </w:r>
      <w:r>
        <w:rPr>
          <w:rFonts w:hint="eastAsia" w:ascii="宋体" w:hAnsi="宋体" w:eastAsia="宋体" w:cs="Times New Roman"/>
          <w:color w:val="auto"/>
          <w:kern w:val="0"/>
          <w:szCs w:val="21"/>
          <w:highlight w:val="none"/>
          <w:u w:val="single"/>
        </w:rPr>
        <w:t xml:space="preserve">           </w:t>
      </w:r>
      <w:r>
        <w:rPr>
          <w:rFonts w:hint="eastAsia" w:ascii="宋体" w:hAnsi="宋体" w:eastAsia="宋体" w:cs="Times New Roman"/>
          <w:color w:val="auto"/>
          <w:kern w:val="0"/>
          <w:szCs w:val="21"/>
          <w:highlight w:val="none"/>
        </w:rPr>
        <w:t>（投标人名称）已完整阅读了</w:t>
      </w:r>
      <w:r>
        <w:rPr>
          <w:rFonts w:hint="eastAsia" w:ascii="宋体" w:hAnsi="宋体" w:eastAsia="宋体" w:cs="Times New Roman"/>
          <w:color w:val="auto"/>
          <w:kern w:val="0"/>
          <w:szCs w:val="21"/>
          <w:highlight w:val="none"/>
          <w:u w:val="single"/>
        </w:rPr>
        <w:t>东莞市碧水信息科技有限公司施工劳务分包供应商库采购项目</w:t>
      </w:r>
      <w:r>
        <w:rPr>
          <w:rFonts w:hint="eastAsia" w:ascii="宋体" w:hAnsi="宋体" w:eastAsia="宋体" w:cs="Times New Roman"/>
          <w:color w:val="auto"/>
          <w:kern w:val="0"/>
          <w:szCs w:val="21"/>
          <w:highlight w:val="none"/>
        </w:rPr>
        <w:t>（招标编号：</w:t>
      </w:r>
      <w:r>
        <w:rPr>
          <w:rFonts w:hint="eastAsia" w:ascii="宋体" w:hAnsi="宋体" w:eastAsia="宋体" w:cs="Times New Roman"/>
          <w:color w:val="auto"/>
          <w:szCs w:val="21"/>
          <w:highlight w:val="none"/>
          <w:u w:val="single"/>
          <w:lang w:val="zh-CN"/>
        </w:rPr>
        <w:t>SSSSSC12500950</w:t>
      </w:r>
      <w:r>
        <w:rPr>
          <w:rFonts w:hint="eastAsia" w:ascii="宋体" w:hAnsi="宋体" w:eastAsia="宋体" w:cs="Times New Roman"/>
          <w:color w:val="auto"/>
          <w:kern w:val="0"/>
          <w:szCs w:val="21"/>
          <w:highlight w:val="none"/>
        </w:rPr>
        <w:t>）招标文件的所有内容（包括澄清，以及所有已提供的参考资料和有关附件），并完全理解上述文件所表达的意思，该项目递交投标文件时间截止后，我方承诺不再对上述文件内容进行询问或异议。</w:t>
      </w:r>
      <w:r>
        <w:rPr>
          <w:rFonts w:hint="eastAsia" w:ascii="宋体" w:hAnsi="宋体" w:eastAsia="宋体" w:cs="Times New Roman"/>
          <w:color w:val="auto"/>
          <w:kern w:val="0"/>
          <w:szCs w:val="21"/>
          <w:highlight w:val="none"/>
        </w:rPr>
        <w:cr/>
      </w:r>
      <w:r>
        <w:rPr>
          <w:rFonts w:ascii="宋体" w:hAnsi="宋体" w:eastAsia="宋体" w:cs="Times New Roman"/>
          <w:color w:val="auto"/>
          <w:kern w:val="0"/>
          <w:szCs w:val="21"/>
          <w:highlight w:val="none"/>
        </w:rPr>
        <w:t xml:space="preserve">    </w:t>
      </w:r>
      <w:r>
        <w:rPr>
          <w:rFonts w:hint="eastAsia" w:ascii="宋体" w:hAnsi="宋体" w:eastAsia="宋体" w:cs="Times New Roman"/>
          <w:color w:val="auto"/>
          <w:kern w:val="0"/>
          <w:szCs w:val="21"/>
          <w:highlight w:val="none"/>
        </w:rPr>
        <w:t>我方</w:t>
      </w:r>
      <w:r>
        <w:rPr>
          <w:rFonts w:hint="eastAsia" w:ascii="宋体" w:hAnsi="宋体" w:eastAsia="宋体" w:cs="宋体"/>
          <w:color w:val="auto"/>
          <w:kern w:val="0"/>
          <w:szCs w:val="21"/>
          <w:highlight w:val="none"/>
        </w:rPr>
        <w:t>承诺，若我方存在通过弄虚作假、虚假响应招标文件要求等手段骗取中标的，招标人有权或协助主管部门认定我方严重失信的不良行为，纳入相关</w:t>
      </w:r>
      <w:r>
        <w:rPr>
          <w:rFonts w:ascii="宋体" w:hAnsi="宋体" w:eastAsia="宋体" w:cs="宋体"/>
          <w:color w:val="auto"/>
          <w:kern w:val="0"/>
          <w:szCs w:val="21"/>
          <w:highlight w:val="none"/>
        </w:rPr>
        <w:t>企业信用“黑名单”</w:t>
      </w:r>
      <w:r>
        <w:rPr>
          <w:rFonts w:hint="eastAsia" w:ascii="宋体" w:hAnsi="宋体" w:eastAsia="宋体" w:cs="宋体"/>
          <w:color w:val="auto"/>
          <w:kern w:val="0"/>
          <w:szCs w:val="21"/>
          <w:highlight w:val="none"/>
        </w:rPr>
        <w:t>，限制我方参与依法必须招标项目的投标，并</w:t>
      </w:r>
      <w:r>
        <w:rPr>
          <w:rFonts w:ascii="宋体" w:hAnsi="宋体" w:eastAsia="宋体" w:cs="宋体"/>
          <w:color w:val="auto"/>
          <w:kern w:val="0"/>
          <w:szCs w:val="21"/>
          <w:highlight w:val="none"/>
        </w:rPr>
        <w:t>向</w:t>
      </w:r>
      <w:r>
        <w:rPr>
          <w:rFonts w:hint="eastAsia" w:ascii="宋体" w:hAnsi="宋体" w:eastAsia="宋体" w:cs="宋体"/>
          <w:color w:val="auto"/>
          <w:kern w:val="0"/>
          <w:szCs w:val="21"/>
          <w:highlight w:val="none"/>
        </w:rPr>
        <w:t>行政主管部门报送</w:t>
      </w:r>
      <w:r>
        <w:rPr>
          <w:rFonts w:ascii="宋体" w:hAnsi="宋体" w:eastAsia="宋体" w:cs="宋体"/>
          <w:color w:val="auto"/>
          <w:kern w:val="0"/>
          <w:szCs w:val="21"/>
          <w:highlight w:val="none"/>
        </w:rPr>
        <w:t>结果。</w:t>
      </w:r>
      <w:r>
        <w:rPr>
          <w:rFonts w:hint="eastAsia" w:ascii="宋体" w:hAnsi="宋体" w:eastAsia="宋体" w:cs="宋体"/>
          <w:color w:val="auto"/>
          <w:kern w:val="0"/>
          <w:szCs w:val="21"/>
          <w:highlight w:val="none"/>
        </w:rPr>
        <w:t>同时，招标人有权根据《关于对环境保护领域失信生产经营单位及其有关人员开展联合惩戒的合作备忘录》等规定，通过“信用中国”网站向社会公示我方的失信行为，实现“一处失信、处处受限”。</w:t>
      </w:r>
    </w:p>
    <w:p w14:paraId="4654CDB0">
      <w:pPr>
        <w:widowControl/>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若我方在投标或履行本合同过程中存在提供虚假材料、虚假响应招标文件要求等弄虚作假行为，或未能根据招标文件投标人须知第31</w:t>
      </w:r>
      <w:r>
        <w:rPr>
          <w:rFonts w:ascii="宋体" w:hAnsi="宋体" w:eastAsia="宋体" w:cs="宋体"/>
          <w:color w:val="auto"/>
          <w:kern w:val="0"/>
          <w:szCs w:val="21"/>
          <w:highlight w:val="none"/>
        </w:rPr>
        <w:t>.2</w:t>
      </w:r>
      <w:r>
        <w:rPr>
          <w:rFonts w:hint="eastAsia" w:ascii="宋体" w:hAnsi="宋体" w:eastAsia="宋体" w:cs="宋体"/>
          <w:color w:val="auto"/>
          <w:kern w:val="0"/>
          <w:szCs w:val="21"/>
          <w:highlight w:val="none"/>
        </w:rPr>
        <w:t>款约定按时提供原件核查的，因此导致我方无法参与东莞市水务集团有限公司相关招标采购活动的，由我方自行承担全部后果。</w:t>
      </w:r>
    </w:p>
    <w:p w14:paraId="127EE711">
      <w:pPr>
        <w:autoSpaceDE w:val="0"/>
        <w:autoSpaceDN w:val="0"/>
        <w:adjustRightInd w:val="0"/>
        <w:spacing w:line="360" w:lineRule="auto"/>
        <w:ind w:firstLine="420" w:firstLineChars="200"/>
        <w:jc w:val="left"/>
        <w:rPr>
          <w:rFonts w:hint="eastAsia" w:ascii="宋体" w:hAnsi="宋体" w:eastAsia="宋体" w:cs="Times New Roman"/>
          <w:color w:val="auto"/>
          <w:kern w:val="0"/>
          <w:szCs w:val="21"/>
          <w:highlight w:val="none"/>
        </w:rPr>
      </w:pPr>
    </w:p>
    <w:p w14:paraId="5E19D2A3">
      <w:pPr>
        <w:autoSpaceDE w:val="0"/>
        <w:autoSpaceDN w:val="0"/>
        <w:adjustRightInd w:val="0"/>
        <w:spacing w:line="360" w:lineRule="auto"/>
        <w:jc w:val="left"/>
        <w:rPr>
          <w:rFonts w:hint="eastAsia" w:ascii="宋体" w:hAnsi="宋体" w:eastAsia="宋体" w:cs="Times New Roman"/>
          <w:color w:val="auto"/>
          <w:kern w:val="0"/>
          <w:sz w:val="24"/>
          <w:szCs w:val="24"/>
          <w:highlight w:val="none"/>
        </w:rPr>
      </w:pPr>
    </w:p>
    <w:p w14:paraId="42C9A93E">
      <w:pPr>
        <w:autoSpaceDE w:val="0"/>
        <w:autoSpaceDN w:val="0"/>
        <w:adjustRightInd w:val="0"/>
        <w:spacing w:line="360" w:lineRule="auto"/>
        <w:jc w:val="left"/>
        <w:rPr>
          <w:rFonts w:hint="eastAsia" w:ascii="宋体" w:hAnsi="宋体" w:eastAsia="宋体" w:cs="Times New Roman"/>
          <w:color w:val="auto"/>
          <w:kern w:val="0"/>
          <w:sz w:val="24"/>
          <w:szCs w:val="24"/>
          <w:highlight w:val="none"/>
        </w:rPr>
      </w:pPr>
    </w:p>
    <w:p w14:paraId="6AE34147">
      <w:pPr>
        <w:autoSpaceDE w:val="0"/>
        <w:autoSpaceDN w:val="0"/>
        <w:adjustRightInd w:val="0"/>
        <w:spacing w:line="360" w:lineRule="auto"/>
        <w:ind w:firstLine="5040"/>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662B273F">
      <w:pPr>
        <w:autoSpaceDE w:val="0"/>
        <w:autoSpaceDN w:val="0"/>
        <w:adjustRightInd w:val="0"/>
        <w:spacing w:line="360" w:lineRule="auto"/>
        <w:ind w:firstLine="5040"/>
        <w:rPr>
          <w:rFonts w:hint="eastAsia"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法定代表人或其授权代表：</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（电子签名）</w:t>
      </w:r>
    </w:p>
    <w:p w14:paraId="03731D24">
      <w:pPr>
        <w:autoSpaceDE w:val="0"/>
        <w:autoSpaceDN w:val="0"/>
        <w:adjustRightInd w:val="0"/>
        <w:spacing w:line="360" w:lineRule="auto"/>
        <w:ind w:firstLine="5040"/>
        <w:rPr>
          <w:rFonts w:hint="eastAsia" w:ascii="宋体" w:hAnsi="宋体" w:eastAsia="宋体" w:cs="Times New Roman"/>
          <w:color w:val="auto"/>
          <w:sz w:val="24"/>
          <w:szCs w:val="24"/>
          <w:highlight w:val="none"/>
          <w:lang w:val="zh-CN"/>
        </w:rPr>
      </w:pPr>
      <w:r>
        <w:rPr>
          <w:rFonts w:hint="eastAsia" w:ascii="宋体" w:hAnsi="宋体" w:eastAsia="宋体" w:cs="Times New Roman"/>
          <w:color w:val="auto"/>
          <w:szCs w:val="24"/>
          <w:highlight w:val="none"/>
          <w:lang w:val="zh-CN"/>
        </w:rPr>
        <w:t>日期：   年   月   日</w:t>
      </w:r>
    </w:p>
    <w:p w14:paraId="47F1977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p>
    <w:p w14:paraId="61E0C195">
      <w:pPr>
        <w:autoSpaceDE w:val="0"/>
        <w:autoSpaceDN w:val="0"/>
        <w:adjustRightInd w:val="0"/>
        <w:spacing w:line="360" w:lineRule="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说明：由投标人使用投标人的企业数字证书，法定代表人或其授权代表数字证书电子签名。</w:t>
      </w:r>
    </w:p>
    <w:p w14:paraId="424C86AA">
      <w:pPr>
        <w:autoSpaceDE w:val="0"/>
        <w:autoSpaceDN w:val="0"/>
        <w:adjustRightInd w:val="0"/>
        <w:spacing w:line="360" w:lineRule="auto"/>
        <w:jc w:val="left"/>
        <w:rPr>
          <w:rFonts w:hint="eastAsia" w:ascii="宋体" w:hAnsi="宋体" w:eastAsia="宋体" w:cs="宋体"/>
          <w:color w:val="auto"/>
          <w:kern w:val="0"/>
          <w:sz w:val="24"/>
          <w:szCs w:val="24"/>
          <w:highlight w:val="none"/>
        </w:rPr>
      </w:pPr>
      <w:bookmarkStart w:id="520" w:name="_Toc311032584"/>
      <w:bookmarkStart w:id="521" w:name="_Toc316896755"/>
      <w:bookmarkStart w:id="522" w:name="_Toc326768876"/>
    </w:p>
    <w:p w14:paraId="358474DF">
      <w:pPr>
        <w:pageBreakBefore/>
        <w:autoSpaceDE w:val="0"/>
        <w:autoSpaceDN w:val="0"/>
        <w:adjustRightInd w:val="0"/>
        <w:spacing w:line="360" w:lineRule="auto"/>
        <w:jc w:val="left"/>
        <w:outlineLvl w:val="2"/>
        <w:rPr>
          <w:rFonts w:hint="eastAsia" w:ascii="宋体" w:hAnsi="宋体" w:eastAsia="宋体" w:cs="宋体"/>
          <w:b/>
          <w:color w:val="auto"/>
          <w:kern w:val="44"/>
          <w:sz w:val="32"/>
          <w:szCs w:val="32"/>
          <w:highlight w:val="none"/>
        </w:rPr>
      </w:pPr>
      <w:bookmarkStart w:id="523" w:name="_Toc140596923"/>
      <w:bookmarkStart w:id="524" w:name="_Toc102860413"/>
      <w:bookmarkStart w:id="525" w:name="_Toc142508364"/>
      <w:bookmarkStart w:id="526" w:name="_Toc6108"/>
      <w:bookmarkStart w:id="527" w:name="_Toc13368"/>
      <w:bookmarkStart w:id="528" w:name="_Toc94107204"/>
      <w:bookmarkStart w:id="529" w:name="_Toc86764083"/>
      <w:bookmarkStart w:id="530" w:name="_Toc104991870"/>
      <w:bookmarkStart w:id="531" w:name="_Toc102860069"/>
      <w:bookmarkStart w:id="532" w:name="_Toc82182546"/>
      <w:bookmarkStart w:id="533" w:name="_Toc5075"/>
      <w:bookmarkStart w:id="534" w:name="_Toc24336"/>
      <w:bookmarkStart w:id="535" w:name="_Toc14211"/>
      <w:bookmarkStart w:id="536" w:name="_Toc29910"/>
      <w:bookmarkStart w:id="537" w:name="_Toc7024_WPSOffice_Level2"/>
      <w:bookmarkStart w:id="538" w:name="_Toc486167711"/>
      <w:bookmarkStart w:id="539" w:name="_Toc533708123"/>
      <w:bookmarkStart w:id="540" w:name="_Toc1977723"/>
      <w:r>
        <w:rPr>
          <w:rFonts w:hint="eastAsia" w:ascii="宋体" w:hAnsi="宋体" w:eastAsia="宋体" w:cs="宋体"/>
          <w:b/>
          <w:color w:val="auto"/>
          <w:kern w:val="44"/>
          <w:sz w:val="32"/>
          <w:szCs w:val="32"/>
          <w:highlight w:val="none"/>
        </w:rPr>
        <w:t>三、供货及/或提供服务过程承诺函格式</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243F1B29">
      <w:pPr>
        <w:autoSpaceDE w:val="0"/>
        <w:autoSpaceDN w:val="0"/>
        <w:adjustRightInd w:val="0"/>
        <w:spacing w:line="360" w:lineRule="auto"/>
        <w:jc w:val="center"/>
        <w:rPr>
          <w:rFonts w:hint="eastAsia" w:ascii="宋体" w:hAnsi="宋体" w:eastAsia="宋体" w:cs="宋体"/>
          <w:b/>
          <w:color w:val="auto"/>
          <w:kern w:val="44"/>
          <w:sz w:val="30"/>
          <w:szCs w:val="30"/>
          <w:highlight w:val="none"/>
        </w:rPr>
      </w:pPr>
      <w:r>
        <w:rPr>
          <w:rFonts w:hint="eastAsia" w:ascii="宋体" w:hAnsi="宋体" w:eastAsia="宋体" w:cs="宋体"/>
          <w:b/>
          <w:color w:val="auto"/>
          <w:kern w:val="44"/>
          <w:sz w:val="30"/>
          <w:szCs w:val="30"/>
          <w:highlight w:val="none"/>
        </w:rPr>
        <w:t>供货及/或提供服务过程承诺函</w:t>
      </w:r>
    </w:p>
    <w:p w14:paraId="60D7E5E5">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致东莞市碧水信息科技有限公司：</w:t>
      </w:r>
    </w:p>
    <w:p w14:paraId="4202D497">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我方</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（投标人名称）为招标人公开招标的</w:t>
      </w:r>
      <w:r>
        <w:rPr>
          <w:rFonts w:hint="eastAsia" w:ascii="宋体" w:hAnsi="宋体" w:eastAsia="宋体" w:cs="Times New Roman"/>
          <w:color w:val="auto"/>
          <w:kern w:val="0"/>
          <w:szCs w:val="21"/>
          <w:highlight w:val="none"/>
        </w:rPr>
        <w:t>东莞市碧水信息科技有限公司施工劳务分包供应商库采购项目</w:t>
      </w:r>
      <w:r>
        <w:rPr>
          <w:rFonts w:hint="eastAsia" w:ascii="宋体" w:hAnsi="宋体" w:eastAsia="宋体" w:cs="宋体"/>
          <w:color w:val="auto"/>
          <w:kern w:val="0"/>
          <w:szCs w:val="21"/>
          <w:highlight w:val="none"/>
        </w:rPr>
        <w:t>(招标编号：</w:t>
      </w:r>
      <w:r>
        <w:rPr>
          <w:rFonts w:hint="eastAsia" w:ascii="宋体" w:hAnsi="宋体" w:eastAsia="宋体" w:cs="Times New Roman"/>
          <w:color w:val="auto"/>
          <w:szCs w:val="21"/>
          <w:highlight w:val="none"/>
          <w:u w:val="single"/>
          <w:lang w:val="zh-CN"/>
        </w:rPr>
        <w:t>SSSSSC12500950</w:t>
      </w:r>
      <w:r>
        <w:rPr>
          <w:rFonts w:hint="eastAsia" w:ascii="宋体" w:hAnsi="宋体" w:eastAsia="宋体" w:cs="宋体"/>
          <w:color w:val="auto"/>
          <w:kern w:val="0"/>
          <w:szCs w:val="21"/>
          <w:highlight w:val="none"/>
        </w:rPr>
        <w:t>)的投标单位，为确保供货及/或提供服务过程中的人身、财产安全，我方承诺，如我方获得中标资格，将严格按照下列要求开展工作。</w:t>
      </w:r>
    </w:p>
    <w:p w14:paraId="4C1E5AD2">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1、我方承诺将严格遵守国家、地方政府有关安全生产及劳动保护的法律法规、标准、规定，贯彻执行招标人的各项安全管理规章制度。</w:t>
      </w:r>
    </w:p>
    <w:p w14:paraId="15223605">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2、我方承诺将依法参加工伤保险，为安排至招标人从事本项目的工作人员缴纳保险费，并为从事危险作业的人员办理意外伤害保险。</w:t>
      </w:r>
    </w:p>
    <w:p w14:paraId="55B5D696">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我方承诺服从招标人的安全管理，保证作业区域的现场文明安全管理达标，现场临时用电、机器设备、安全防护齐全、完好，并接受和配合招标人的安全监督检查，我方提供到招标人现场作业的所有安全装置、防护设施必须依据经招标人审批后的安全技术方案进行搭设、安装，同时我方无条件保证安全防护设施使用的搭设材料的质量安全，在用于安全防护的物资进场前将有关物资的材质证明报招标人，经招标人确认后方可使用。</w:t>
      </w:r>
    </w:p>
    <w:p w14:paraId="067D25AA">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我方承诺携带进场的机器设备、机具必须是合格产品，并对携带进场的机器设备、机具安全负责管理、维护及检查，对招标人和自查发现的安全隐患落实整改措施。如我方使用不合格机器设备、机具造成事故的，由我方自行承担责任。</w:t>
      </w:r>
    </w:p>
    <w:p w14:paraId="730F46F8">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我方人员未经许可不随意到作业区域以外的其它工作场所活动，我方作业人员擅自到作业区域以外的其它工作场所活动，出现人身损害或财产损失的，由我方自行负责一切责任。我方作业人员如需动用或作业涉及到招标人所属设备、电器、管线及其他设施等，承诺事先征得招标人代表的同意，并采取安全防护措施。</w:t>
      </w:r>
    </w:p>
    <w:p w14:paraId="33667A4D">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我方承诺在进行卸货等工作时，严格遵守相关劳动安全规定，并按要求佩戴相关安全劳动防护用具。我方承诺做好安全防护措施，在工作过程中出现的安全事故由我方自行处理并承担全部责任。我方承诺我方人员在招标人场所遵守招标人的一切规章制度和安全条例，服从招标人的监督。我方在提供服务过程中，如因违反招标人相关规章制度、安全条例，或因不服从招标人监督而发生安全事故的，其结果与责任均由我方负责，招标人无须承担任何结果与责任。</w:t>
      </w:r>
    </w:p>
    <w:p w14:paraId="32A10C29">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7、我方承诺协助和指导招标人进行货物的储存，对招标人的储存方式、方法、储存数量、仓库的安全设施设备、安全生产规章制度等是否符合国家标准或者国家有关规定提出合理的建议，并进行技术指导。</w:t>
      </w:r>
    </w:p>
    <w:p w14:paraId="68574343">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8、我方车辆在招标人场所行驶时，将严格遵守厂区道路限行，限速和限重要求，如因我方未遵守前述要求，对厂区/招标人（含其人员）、我方人员、第三方造成损失的，由我方承担赔偿责任。</w:t>
      </w:r>
    </w:p>
    <w:p w14:paraId="3F1BA0A1">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9、如我方开展服务项目需进行外出调研或现场作业的，由我方派人负责安全保卫工作，按国家有关规定，对作业的现场人员进行安全防护、劳动保护等，并承担相应的费用。若发生工作人员或第三人人身伤害等事故的，由我方全部承担责任。</w:t>
      </w:r>
    </w:p>
    <w:p w14:paraId="4D38248B">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10、因我方原因，造成我方损失，由我方自负，给招标人造成财产损失和人员伤害，我方承担全部责任，并全额赔偿招标人。</w:t>
      </w:r>
    </w:p>
    <w:p w14:paraId="30FD6B71">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11、非因招标人原因，造成我方损失的，招标人无需承担任何责任，由我方自行承担全部责任。</w:t>
      </w:r>
    </w:p>
    <w:p w14:paraId="16001AF3">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12、我方承诺严格遵守法律法规以及招标人的安全管理要求，并接受招标人的安全生产工作协调和监督，积极消除安全隐患。安全管理的基本要求包括但不限于以下条款：</w:t>
      </w:r>
    </w:p>
    <w:p w14:paraId="4B348D6E">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①禁火区内严禁吸烟、动火。有火灾危险的作业区域，我方承诺配置足够的灭火设施。</w:t>
      </w:r>
    </w:p>
    <w:p w14:paraId="4E451905">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②我方承诺焊接、气割作业时两瓶距离必须达到5M及以上，气瓶距可能产生火花的电器、设备和其它火源的间距必须达到10M及以上。</w:t>
      </w:r>
    </w:p>
    <w:p w14:paraId="17EB690F">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③我方承诺不在厂内道路、消防通道内搭建临时建筑或堆放物资。</w:t>
      </w:r>
    </w:p>
    <w:p w14:paraId="7CEDD1F5">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④我方承诺电动工具、电焊机等均具有漏电保护器和相应的安全防护装置。</w:t>
      </w:r>
    </w:p>
    <w:p w14:paraId="4585066F">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⑤我方承诺用电设施符合要求，杜绝电线乱接、乱拉，刀闸和开关无盖，在电器设施上堆放物品等行为。</w:t>
      </w:r>
    </w:p>
    <w:p w14:paraId="30335C75">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⑥我方承诺防雷、防静电设施及用电设施有良好接地。</w:t>
      </w:r>
    </w:p>
    <w:p w14:paraId="5CEF1401">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⑦我方承诺为从业人员提供符合国家标准或者行业标准的劳动防护用品，并监督、教育从业人员按照使用规则佩戴、使用，防止工伤事故的发生。我方承诺，如发生各类工伤事故，绝不隐瞒不报。发生重伤及重伤以上事故，应及时组织抢救、保护好现场，并立即报告招标人主管领导。</w:t>
      </w:r>
    </w:p>
    <w:p w14:paraId="73D799D4">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13、我方承诺接受招标人的检查与监督，并主动配合，做好安全工作，凡有违反上述条款的即视为我方违约，招标人有权视情况从货物/服务价款中扣除2000元/次作为违约金。</w:t>
      </w:r>
    </w:p>
    <w:p w14:paraId="0E8E5EB1">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如因我方违反上述条款造成安全生产事故的，我方将承担由此引发的一切责任与后果，如造成招标人损失的，我方将予以足额赔偿，同时，招标人有权没收我方提交的履约</w:t>
      </w:r>
      <w:r>
        <w:rPr>
          <w:rFonts w:hint="eastAsia" w:ascii="宋体" w:hAnsi="宋体" w:eastAsia="宋体" w:cs="宋体"/>
          <w:color w:val="auto"/>
          <w:kern w:val="0"/>
          <w:szCs w:val="21"/>
          <w:highlight w:val="none"/>
          <w:lang w:val="en-US" w:eastAsia="zh-CN"/>
        </w:rPr>
        <w:t>保证金</w:t>
      </w:r>
      <w:r>
        <w:rPr>
          <w:rFonts w:hint="eastAsia" w:ascii="宋体" w:hAnsi="宋体" w:eastAsia="宋体" w:cs="宋体"/>
          <w:color w:val="auto"/>
          <w:kern w:val="0"/>
          <w:szCs w:val="21"/>
          <w:highlight w:val="none"/>
        </w:rPr>
        <w:t>。</w:t>
      </w:r>
    </w:p>
    <w:p w14:paraId="12218D8D">
      <w:pPr>
        <w:autoSpaceDE w:val="0"/>
        <w:autoSpaceDN w:val="0"/>
        <w:adjustRightInd w:val="0"/>
        <w:spacing w:line="360" w:lineRule="auto"/>
        <w:ind w:firstLine="504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p>
    <w:p w14:paraId="54C3CAE8">
      <w:pPr>
        <w:autoSpaceDE w:val="0"/>
        <w:autoSpaceDN w:val="0"/>
        <w:adjustRightInd w:val="0"/>
        <w:spacing w:line="360" w:lineRule="auto"/>
        <w:ind w:firstLine="504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62F6C58C">
      <w:pPr>
        <w:autoSpaceDE w:val="0"/>
        <w:autoSpaceDN w:val="0"/>
        <w:adjustRightInd w:val="0"/>
        <w:spacing w:line="360" w:lineRule="auto"/>
        <w:ind w:firstLine="504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法定代表人或其授权代表：</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（电子签名）</w:t>
      </w:r>
    </w:p>
    <w:p w14:paraId="4B95A7A3">
      <w:pPr>
        <w:autoSpaceDE w:val="0"/>
        <w:autoSpaceDN w:val="0"/>
        <w:adjustRightInd w:val="0"/>
        <w:spacing w:line="360" w:lineRule="auto"/>
        <w:ind w:right="420" w:firstLine="5040" w:firstLineChars="2400"/>
        <w:jc w:val="left"/>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日期：   年   月   日</w:t>
      </w:r>
    </w:p>
    <w:p w14:paraId="0A1BB627">
      <w:pPr>
        <w:pStyle w:val="2"/>
        <w:spacing w:line="360" w:lineRule="auto"/>
        <w:rPr>
          <w:rFonts w:hint="eastAsia" w:hAnsi="宋体" w:cs="宋体"/>
          <w:b w:val="0"/>
          <w:bCs w:val="0"/>
          <w:color w:val="auto"/>
          <w:sz w:val="21"/>
          <w:szCs w:val="21"/>
          <w:highlight w:val="none"/>
        </w:rPr>
      </w:pPr>
    </w:p>
    <w:p w14:paraId="563C8242">
      <w:pPr>
        <w:pStyle w:val="37"/>
        <w:spacing w:after="0" w:line="360" w:lineRule="auto"/>
        <w:ind w:firstLine="211"/>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说明：由投标人使用投标人的企业数字证书，法定代表人或其授权代表数字证书电子签名。</w:t>
      </w:r>
    </w:p>
    <w:bookmarkEnd w:id="537"/>
    <w:bookmarkEnd w:id="538"/>
    <w:bookmarkEnd w:id="539"/>
    <w:bookmarkEnd w:id="540"/>
    <w:p w14:paraId="1FDD6967">
      <w:pPr>
        <w:numPr>
          <w:ilvl w:val="0"/>
          <w:numId w:val="0"/>
        </w:numPr>
        <w:autoSpaceDE/>
        <w:autoSpaceDN/>
        <w:adjustRightInd/>
        <w:spacing w:line="240" w:lineRule="auto"/>
        <w:ind w:left="0" w:leftChars="0" w:firstLine="0"/>
        <w:jc w:val="left"/>
        <w:outlineLvl w:val="2"/>
        <w:rPr>
          <w:rFonts w:hint="eastAsia" w:ascii="宋体" w:hAnsi="宋体" w:eastAsia="宋体" w:cs="宋体"/>
          <w:b/>
          <w:color w:val="auto"/>
          <w:kern w:val="0"/>
          <w:sz w:val="32"/>
          <w:szCs w:val="32"/>
          <w:highlight w:val="none"/>
          <w:lang w:val="en-US" w:eastAsia="zh-CN" w:bidi="ar-SA"/>
        </w:rPr>
      </w:pPr>
      <w:r>
        <w:rPr>
          <w:rFonts w:ascii="宋体" w:hAnsi="宋体" w:eastAsia="宋体" w:cs="Times New Roman"/>
          <w:color w:val="auto"/>
          <w:szCs w:val="24"/>
          <w:highlight w:val="none"/>
          <w:lang w:val="zh-CN"/>
        </w:rPr>
        <w:br w:type="page"/>
      </w:r>
      <w:bookmarkStart w:id="541" w:name="_Toc863"/>
      <w:r>
        <w:rPr>
          <w:rFonts w:hint="eastAsia" w:ascii="宋体" w:hAnsi="宋体" w:eastAsia="宋体" w:cs="宋体"/>
          <w:b/>
          <w:color w:val="auto"/>
          <w:kern w:val="0"/>
          <w:sz w:val="32"/>
          <w:szCs w:val="32"/>
          <w:highlight w:val="none"/>
          <w:lang w:val="en-US" w:eastAsia="zh-CN" w:bidi="ar-SA"/>
        </w:rPr>
        <w:t>四、投标意向区域表</w:t>
      </w:r>
    </w:p>
    <w:p w14:paraId="7789E3E3">
      <w:pPr>
        <w:pStyle w:val="21"/>
        <w:spacing w:line="360" w:lineRule="auto"/>
        <w:jc w:val="center"/>
        <w:rPr>
          <w:rFonts w:hint="eastAsia" w:hAnsi="宋体"/>
          <w:b/>
          <w:bCs/>
          <w:color w:val="auto"/>
          <w:sz w:val="30"/>
          <w:szCs w:val="30"/>
          <w:highlight w:val="none"/>
          <w:lang w:val="zh-CN"/>
        </w:rPr>
      </w:pPr>
      <w:r>
        <w:rPr>
          <w:rFonts w:hint="eastAsia" w:hAnsi="宋体"/>
          <w:b/>
          <w:bCs/>
          <w:color w:val="auto"/>
          <w:sz w:val="30"/>
          <w:szCs w:val="30"/>
          <w:highlight w:val="none"/>
          <w:lang w:val="zh-CN"/>
        </w:rPr>
        <w:t>投标意向区域表</w:t>
      </w:r>
    </w:p>
    <w:p w14:paraId="0962E0D8">
      <w:pPr>
        <w:pStyle w:val="21"/>
        <w:spacing w:line="360" w:lineRule="auto"/>
        <w:rPr>
          <w:rFonts w:hint="eastAsia" w:hAnsi="宋体"/>
          <w:color w:val="auto"/>
          <w:szCs w:val="21"/>
          <w:highlight w:val="none"/>
          <w:u w:val="single"/>
        </w:rPr>
      </w:pPr>
      <w:r>
        <w:rPr>
          <w:rFonts w:hint="eastAsia" w:hAnsi="宋体"/>
          <w:b/>
          <w:bCs/>
          <w:color w:val="auto"/>
          <w:szCs w:val="21"/>
          <w:highlight w:val="none"/>
        </w:rPr>
        <w:t>项目名称：</w:t>
      </w:r>
      <w:r>
        <w:rPr>
          <w:rFonts w:hint="eastAsia" w:hAnsi="宋体"/>
          <w:color w:val="auto"/>
          <w:szCs w:val="21"/>
          <w:highlight w:val="none"/>
        </w:rPr>
        <w:t>东莞市碧水信息科技有限公司施工劳务分包供应商库采购项目</w:t>
      </w:r>
    </w:p>
    <w:p w14:paraId="4C698D0F">
      <w:pPr>
        <w:pStyle w:val="21"/>
        <w:spacing w:line="360" w:lineRule="auto"/>
        <w:rPr>
          <w:rFonts w:hint="eastAsia" w:hAnsi="宋体" w:eastAsia="宋体" w:cs="宋体"/>
          <w:color w:val="auto"/>
          <w:szCs w:val="21"/>
          <w:highlight w:val="none"/>
          <w:u w:val="single"/>
          <w:lang w:val="zh-CN" w:eastAsia="zh-CN"/>
        </w:rPr>
      </w:pPr>
      <w:r>
        <w:rPr>
          <w:rFonts w:hint="eastAsia" w:hAnsi="宋体"/>
          <w:b/>
          <w:color w:val="auto"/>
          <w:szCs w:val="21"/>
          <w:highlight w:val="none"/>
        </w:rPr>
        <w:t>招标编号：</w:t>
      </w:r>
      <w:r>
        <w:rPr>
          <w:rFonts w:hint="eastAsia" w:hAnsi="宋体"/>
          <w:b w:val="0"/>
          <w:bCs/>
          <w:color w:val="auto"/>
          <w:szCs w:val="21"/>
          <w:highlight w:val="none"/>
        </w:rPr>
        <w:t>SSSSSC12500950</w:t>
      </w:r>
    </w:p>
    <w:tbl>
      <w:tblPr>
        <w:tblStyle w:val="39"/>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231"/>
        <w:gridCol w:w="6137"/>
      </w:tblGrid>
      <w:tr w14:paraId="5B4507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7" w:hRule="atLeast"/>
        </w:trPr>
        <w:tc>
          <w:tcPr>
            <w:tcW w:w="2040" w:type="pct"/>
            <w:tcBorders>
              <w:top w:val="single" w:color="auto" w:sz="4" w:space="0"/>
              <w:left w:val="single" w:color="auto" w:sz="4" w:space="0"/>
              <w:bottom w:val="single" w:color="auto" w:sz="4" w:space="0"/>
              <w:right w:val="single" w:color="auto" w:sz="4" w:space="0"/>
            </w:tcBorders>
            <w:vAlign w:val="center"/>
          </w:tcPr>
          <w:p w14:paraId="1CE256F6">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项目名称</w:t>
            </w:r>
          </w:p>
        </w:tc>
        <w:tc>
          <w:tcPr>
            <w:tcW w:w="2959" w:type="pct"/>
            <w:tcBorders>
              <w:top w:val="single" w:color="auto" w:sz="4" w:space="0"/>
              <w:left w:val="single" w:color="auto" w:sz="4" w:space="0"/>
              <w:bottom w:val="single" w:color="auto" w:sz="4" w:space="0"/>
              <w:right w:val="single" w:color="auto" w:sz="4" w:space="0"/>
            </w:tcBorders>
            <w:vAlign w:val="center"/>
          </w:tcPr>
          <w:p w14:paraId="5EAC4919">
            <w:pPr>
              <w:keepNext w:val="0"/>
              <w:keepLines w:val="0"/>
              <w:suppressLineNumbers w:val="0"/>
              <w:spacing w:before="0" w:beforeAutospacing="0" w:after="0" w:afterAutospacing="0" w:line="360" w:lineRule="auto"/>
              <w:ind w:left="0" w:right="0"/>
              <w:jc w:val="center"/>
              <w:rPr>
                <w:rFonts w:hint="default"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投标意向区域</w:t>
            </w:r>
          </w:p>
        </w:tc>
      </w:tr>
      <w:tr w14:paraId="046A0D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040" w:type="pct"/>
            <w:vMerge w:val="restart"/>
            <w:tcBorders>
              <w:top w:val="single" w:color="auto" w:sz="4" w:space="0"/>
              <w:left w:val="single" w:color="auto" w:sz="4" w:space="0"/>
              <w:right w:val="single" w:color="auto" w:sz="4" w:space="0"/>
            </w:tcBorders>
            <w:vAlign w:val="center"/>
          </w:tcPr>
          <w:p w14:paraId="346CE85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东莞市碧水信息科技有限公司施工劳务分包供应商库采购项目</w:t>
            </w:r>
          </w:p>
        </w:tc>
        <w:tc>
          <w:tcPr>
            <w:tcW w:w="2959" w:type="pct"/>
            <w:tcBorders>
              <w:top w:val="single" w:color="auto" w:sz="4" w:space="0"/>
              <w:left w:val="single" w:color="auto" w:sz="4" w:space="0"/>
              <w:bottom w:val="single" w:color="auto" w:sz="4" w:space="0"/>
              <w:right w:val="single" w:color="auto" w:sz="4" w:space="0"/>
            </w:tcBorders>
            <w:vAlign w:val="center"/>
          </w:tcPr>
          <w:p w14:paraId="0EB642BF">
            <w:pPr>
              <w:keepNext w:val="0"/>
              <w:keepLines w:val="0"/>
              <w:suppressLineNumbers w:val="0"/>
              <w:spacing w:before="0" w:beforeAutospacing="0" w:after="0" w:afterAutospacing="0" w:line="360" w:lineRule="auto"/>
              <w:ind w:left="0" w:right="0" w:firstLine="1680" w:firstLineChars="800"/>
              <w:jc w:val="both"/>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第一意向区域：</w:t>
            </w:r>
            <w:r>
              <w:rPr>
                <w:rFonts w:hint="eastAsia" w:ascii="宋体" w:hAnsi="宋体" w:eastAsia="宋体" w:cs="宋体"/>
                <w:color w:val="auto"/>
                <w:szCs w:val="21"/>
                <w:highlight w:val="none"/>
                <w:u w:val="single"/>
                <w:lang w:val="en-US" w:eastAsia="zh-CN"/>
              </w:rPr>
              <w:t xml:space="preserve">            </w:t>
            </w:r>
          </w:p>
        </w:tc>
      </w:tr>
      <w:tr w14:paraId="2CE3FF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040" w:type="pct"/>
            <w:vMerge w:val="continue"/>
            <w:tcBorders>
              <w:left w:val="single" w:color="auto" w:sz="4" w:space="0"/>
              <w:right w:val="single" w:color="auto" w:sz="4" w:space="0"/>
            </w:tcBorders>
            <w:vAlign w:val="center"/>
          </w:tcPr>
          <w:p w14:paraId="240D6C8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959" w:type="pct"/>
            <w:tcBorders>
              <w:top w:val="single" w:color="auto" w:sz="4" w:space="0"/>
              <w:left w:val="single" w:color="auto" w:sz="4" w:space="0"/>
              <w:bottom w:val="single" w:color="auto" w:sz="4" w:space="0"/>
              <w:right w:val="single" w:color="auto" w:sz="4" w:space="0"/>
            </w:tcBorders>
            <w:vAlign w:val="center"/>
          </w:tcPr>
          <w:p w14:paraId="7E9027E8">
            <w:pPr>
              <w:keepNext w:val="0"/>
              <w:keepLines w:val="0"/>
              <w:suppressLineNumbers w:val="0"/>
              <w:spacing w:before="0" w:beforeAutospacing="0" w:after="0" w:afterAutospacing="0" w:line="360" w:lineRule="auto"/>
              <w:ind w:left="0" w:right="0" w:firstLine="1680" w:firstLineChars="8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第二意向区域：</w:t>
            </w:r>
            <w:r>
              <w:rPr>
                <w:rFonts w:hint="eastAsia" w:ascii="宋体" w:hAnsi="宋体" w:eastAsia="宋体" w:cs="宋体"/>
                <w:color w:val="auto"/>
                <w:szCs w:val="21"/>
                <w:highlight w:val="none"/>
                <w:u w:val="single"/>
                <w:lang w:val="en-US" w:eastAsia="zh-CN"/>
              </w:rPr>
              <w:t xml:space="preserve">            </w:t>
            </w:r>
          </w:p>
        </w:tc>
      </w:tr>
      <w:tr w14:paraId="05D4C1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040" w:type="pct"/>
            <w:vMerge w:val="continue"/>
            <w:tcBorders>
              <w:left w:val="single" w:color="auto" w:sz="4" w:space="0"/>
              <w:bottom w:val="single" w:color="auto" w:sz="4" w:space="0"/>
              <w:right w:val="single" w:color="auto" w:sz="4" w:space="0"/>
            </w:tcBorders>
            <w:vAlign w:val="center"/>
          </w:tcPr>
          <w:p w14:paraId="4BBECCF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959" w:type="pct"/>
            <w:tcBorders>
              <w:top w:val="single" w:color="auto" w:sz="4" w:space="0"/>
              <w:left w:val="single" w:color="auto" w:sz="4" w:space="0"/>
              <w:bottom w:val="single" w:color="auto" w:sz="4" w:space="0"/>
              <w:right w:val="single" w:color="auto" w:sz="4" w:space="0"/>
            </w:tcBorders>
            <w:vAlign w:val="center"/>
          </w:tcPr>
          <w:p w14:paraId="54932207">
            <w:pPr>
              <w:keepNext w:val="0"/>
              <w:keepLines w:val="0"/>
              <w:suppressLineNumbers w:val="0"/>
              <w:spacing w:before="0" w:beforeAutospacing="0" w:after="0" w:afterAutospacing="0" w:line="360" w:lineRule="auto"/>
              <w:ind w:left="0" w:right="0" w:firstLine="1680" w:firstLineChars="8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第三意向区域：</w:t>
            </w:r>
            <w:r>
              <w:rPr>
                <w:rFonts w:hint="eastAsia" w:ascii="宋体" w:hAnsi="宋体" w:eastAsia="宋体" w:cs="宋体"/>
                <w:color w:val="auto"/>
                <w:szCs w:val="21"/>
                <w:highlight w:val="none"/>
                <w:u w:val="single"/>
                <w:lang w:val="en-US" w:eastAsia="zh-CN"/>
              </w:rPr>
              <w:t xml:space="preserve">            </w:t>
            </w:r>
          </w:p>
        </w:tc>
      </w:tr>
    </w:tbl>
    <w:p w14:paraId="052A7B79">
      <w:pPr>
        <w:spacing w:line="360" w:lineRule="auto"/>
        <w:ind w:firstLine="0" w:firstLineChars="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p w14:paraId="7B2735EA">
      <w:pPr>
        <w:numPr>
          <w:ilvl w:val="0"/>
          <w:numId w:val="0"/>
        </w:numPr>
        <w:spacing w:line="360" w:lineRule="auto"/>
        <w:ind w:firstLine="0" w:firstLineChars="0"/>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kern w:val="2"/>
          <w:sz w:val="21"/>
          <w:szCs w:val="21"/>
          <w:highlight w:val="none"/>
          <w:lang w:val="en-US" w:eastAsia="zh-CN" w:bidi="ar-SA"/>
        </w:rPr>
        <w:t>（1）</w:t>
      </w:r>
      <w:r>
        <w:rPr>
          <w:rFonts w:hint="eastAsia" w:ascii="宋体" w:hAnsi="宋体" w:eastAsia="宋体" w:cs="宋体"/>
          <w:b/>
          <w:bCs/>
          <w:color w:val="auto"/>
          <w:szCs w:val="21"/>
          <w:highlight w:val="none"/>
          <w:lang w:val="en-US" w:eastAsia="zh-CN"/>
        </w:rPr>
        <w:t>投标意向区域应填报“A区”“B区”“C区”；</w:t>
      </w:r>
    </w:p>
    <w:p w14:paraId="650FCD7E">
      <w:pPr>
        <w:numPr>
          <w:ilvl w:val="-1"/>
          <w:numId w:val="0"/>
        </w:numPr>
        <w:spacing w:line="360" w:lineRule="auto"/>
        <w:ind w:firstLine="0" w:firstLineChars="0"/>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（2）投标人可根据自身情况考虑填报1个或多个投标意向区域，最多可填3个；</w:t>
      </w:r>
    </w:p>
    <w:p w14:paraId="37C7124E">
      <w:pPr>
        <w:numPr>
          <w:ilvl w:val="-1"/>
          <w:numId w:val="0"/>
        </w:numPr>
        <w:spacing w:line="360" w:lineRule="auto"/>
        <w:ind w:firstLine="0" w:firstLineChars="0"/>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（3）投标人应根据自身的意向程度由高到低填报投标意向区域，第一意向区域应是投标意向程度最高的区域；</w:t>
      </w:r>
    </w:p>
    <w:p w14:paraId="09E782DF">
      <w:pPr>
        <w:numPr>
          <w:ilvl w:val="-1"/>
          <w:numId w:val="0"/>
        </w:numPr>
        <w:spacing w:line="360" w:lineRule="auto"/>
        <w:ind w:firstLine="0" w:firstLineChars="0"/>
        <w:jc w:val="left"/>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（4）如投标人仅填报1个或2个投标意向区域的，其他意向区域填报“/”；</w:t>
      </w:r>
    </w:p>
    <w:p w14:paraId="1B4628AB">
      <w:pPr>
        <w:numPr>
          <w:ilvl w:val="-1"/>
          <w:numId w:val="0"/>
        </w:numPr>
        <w:spacing w:line="360" w:lineRule="auto"/>
        <w:jc w:val="left"/>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（5）如投标人未填报投标意向区域的，投标文件将被视为无效投标。</w:t>
      </w:r>
    </w:p>
    <w:p w14:paraId="1901CAFA">
      <w:pPr>
        <w:autoSpaceDE w:val="0"/>
        <w:autoSpaceDN w:val="0"/>
        <w:adjustRightInd w:val="0"/>
        <w:spacing w:line="360" w:lineRule="auto"/>
        <w:ind w:firstLine="5040" w:firstLineChars="2400"/>
        <w:rPr>
          <w:rFonts w:hint="eastAsia" w:ascii="宋体" w:hAnsi="宋体" w:eastAsia="宋体" w:cs="Times New Roman"/>
          <w:color w:val="auto"/>
          <w:szCs w:val="24"/>
          <w:highlight w:val="none"/>
          <w:lang w:val="zh-CN"/>
        </w:rPr>
      </w:pPr>
    </w:p>
    <w:p w14:paraId="4484E78A">
      <w:pPr>
        <w:autoSpaceDE w:val="0"/>
        <w:autoSpaceDN w:val="0"/>
        <w:adjustRightInd w:val="0"/>
        <w:spacing w:line="360" w:lineRule="auto"/>
        <w:ind w:firstLine="5040" w:firstLineChars="2400"/>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3016ADA0">
      <w:pPr>
        <w:tabs>
          <w:tab w:val="left" w:pos="567"/>
        </w:tabs>
        <w:autoSpaceDE w:val="0"/>
        <w:autoSpaceDN w:val="0"/>
        <w:adjustRightInd w:val="0"/>
        <w:spacing w:line="360" w:lineRule="auto"/>
        <w:ind w:firstLine="5040" w:firstLineChars="2400"/>
        <w:jc w:val="left"/>
        <w:rPr>
          <w:rFonts w:hint="eastAsia"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日期：   年   月   日</w:t>
      </w:r>
    </w:p>
    <w:p w14:paraId="1E56E340">
      <w:pPr>
        <w:tabs>
          <w:tab w:val="left" w:pos="567"/>
        </w:tabs>
        <w:autoSpaceDE w:val="0"/>
        <w:autoSpaceDN w:val="0"/>
        <w:adjustRightInd w:val="0"/>
        <w:spacing w:line="360" w:lineRule="auto"/>
        <w:jc w:val="center"/>
        <w:rPr>
          <w:rFonts w:hint="eastAsia" w:ascii="宋体" w:hAnsi="宋体" w:eastAsia="宋体" w:cs="宋体"/>
          <w:b/>
          <w:bCs/>
          <w:color w:val="auto"/>
          <w:szCs w:val="21"/>
          <w:highlight w:val="none"/>
        </w:rPr>
      </w:pPr>
    </w:p>
    <w:p w14:paraId="688AE322">
      <w:pPr>
        <w:numPr>
          <w:ilvl w:val="0"/>
          <w:numId w:val="0"/>
        </w:numPr>
        <w:autoSpaceDE/>
        <w:autoSpaceDN/>
        <w:adjustRightInd/>
        <w:spacing w:line="240" w:lineRule="auto"/>
        <w:ind w:left="0" w:leftChars="0" w:firstLine="0"/>
        <w:jc w:val="center"/>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说明：由投标人使用投标人的企业数字证书电子签名。</w:t>
      </w:r>
    </w:p>
    <w:p w14:paraId="41CD96D6">
      <w:pPr>
        <w:numPr>
          <w:ilvl w:val="0"/>
          <w:numId w:val="0"/>
        </w:numPr>
        <w:autoSpaceDE/>
        <w:autoSpaceDN/>
        <w:adjustRightInd/>
        <w:spacing w:line="240" w:lineRule="auto"/>
        <w:ind w:left="0" w:leftChars="0" w:firstLine="0"/>
        <w:jc w:val="left"/>
        <w:outlineLvl w:val="9"/>
        <w:rPr>
          <w:rFonts w:hint="eastAsia" w:ascii="宋体" w:hAnsi="宋体" w:eastAsia="宋体" w:cs="宋体"/>
          <w:b/>
          <w:color w:val="auto"/>
          <w:kern w:val="0"/>
          <w:sz w:val="32"/>
          <w:szCs w:val="32"/>
          <w:highlight w:val="none"/>
          <w:lang w:val="en-US" w:eastAsia="zh-CN" w:bidi="ar-SA"/>
        </w:rPr>
      </w:pPr>
      <w:r>
        <w:rPr>
          <w:rFonts w:hint="eastAsia" w:ascii="宋体" w:hAnsi="宋体" w:eastAsia="宋体" w:cs="宋体"/>
          <w:b/>
          <w:color w:val="auto"/>
          <w:kern w:val="0"/>
          <w:sz w:val="32"/>
          <w:szCs w:val="32"/>
          <w:highlight w:val="none"/>
          <w:lang w:val="en-US" w:eastAsia="zh-CN" w:bidi="ar-SA"/>
        </w:rPr>
        <w:br w:type="page"/>
      </w:r>
    </w:p>
    <w:p w14:paraId="06490084">
      <w:pPr>
        <w:numPr>
          <w:ilvl w:val="0"/>
          <w:numId w:val="0"/>
        </w:num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en-US" w:eastAsia="zh-CN" w:bidi="ar-SA"/>
        </w:rPr>
        <w:t>五、</w:t>
      </w:r>
      <w:r>
        <w:rPr>
          <w:rFonts w:hint="eastAsia" w:ascii="宋体" w:hAnsi="宋体" w:eastAsia="宋体" w:cs="宋体"/>
          <w:b/>
          <w:color w:val="auto"/>
          <w:kern w:val="0"/>
          <w:sz w:val="32"/>
          <w:szCs w:val="32"/>
          <w:highlight w:val="none"/>
        </w:rPr>
        <w:t>投标报价响应表格式</w:t>
      </w:r>
      <w:bookmarkEnd w:id="541"/>
    </w:p>
    <w:p w14:paraId="075DAAA3">
      <w:pPr>
        <w:pStyle w:val="21"/>
        <w:spacing w:line="360" w:lineRule="auto"/>
        <w:jc w:val="center"/>
        <w:rPr>
          <w:rFonts w:hint="eastAsia" w:hAnsi="宋体"/>
          <w:b/>
          <w:bCs/>
          <w:color w:val="auto"/>
          <w:sz w:val="30"/>
          <w:szCs w:val="30"/>
          <w:highlight w:val="none"/>
          <w:lang w:val="zh-CN"/>
        </w:rPr>
      </w:pPr>
      <w:r>
        <w:rPr>
          <w:rFonts w:hint="eastAsia" w:hAnsi="宋体"/>
          <w:b/>
          <w:bCs/>
          <w:color w:val="auto"/>
          <w:sz w:val="30"/>
          <w:szCs w:val="30"/>
          <w:highlight w:val="none"/>
          <w:lang w:val="zh-CN"/>
        </w:rPr>
        <w:t>投标报价响应表</w:t>
      </w:r>
    </w:p>
    <w:p w14:paraId="407BC3DD">
      <w:pPr>
        <w:pStyle w:val="21"/>
        <w:spacing w:line="360" w:lineRule="auto"/>
        <w:rPr>
          <w:rFonts w:hint="eastAsia" w:hAnsi="宋体"/>
          <w:color w:val="auto"/>
          <w:szCs w:val="21"/>
          <w:highlight w:val="none"/>
          <w:u w:val="single"/>
        </w:rPr>
      </w:pPr>
      <w:r>
        <w:rPr>
          <w:rFonts w:hint="eastAsia" w:hAnsi="宋体"/>
          <w:b/>
          <w:bCs/>
          <w:color w:val="auto"/>
          <w:szCs w:val="21"/>
          <w:highlight w:val="none"/>
        </w:rPr>
        <w:t>项目名称：</w:t>
      </w:r>
      <w:r>
        <w:rPr>
          <w:rFonts w:hint="eastAsia" w:hAnsi="宋体"/>
          <w:color w:val="auto"/>
          <w:szCs w:val="21"/>
          <w:highlight w:val="none"/>
        </w:rPr>
        <w:t>东莞市碧水信息科技有限公司施工劳务分包供应商库采购项目</w:t>
      </w:r>
    </w:p>
    <w:p w14:paraId="7E6A47A0">
      <w:pPr>
        <w:pStyle w:val="21"/>
        <w:spacing w:line="360" w:lineRule="auto"/>
        <w:rPr>
          <w:rFonts w:hint="eastAsia" w:hAnsi="宋体" w:eastAsia="宋体" w:cs="宋体"/>
          <w:color w:val="auto"/>
          <w:szCs w:val="21"/>
          <w:highlight w:val="none"/>
          <w:u w:val="single"/>
          <w:lang w:val="zh-CN" w:eastAsia="zh-CN"/>
        </w:rPr>
      </w:pPr>
      <w:r>
        <w:rPr>
          <w:rFonts w:hint="eastAsia" w:hAnsi="宋体"/>
          <w:b/>
          <w:color w:val="auto"/>
          <w:szCs w:val="21"/>
          <w:highlight w:val="none"/>
        </w:rPr>
        <w:t>招标编号：</w:t>
      </w:r>
      <w:r>
        <w:rPr>
          <w:rFonts w:hint="eastAsia" w:hAnsi="宋体"/>
          <w:b w:val="0"/>
          <w:bCs/>
          <w:color w:val="auto"/>
          <w:szCs w:val="21"/>
          <w:highlight w:val="none"/>
        </w:rPr>
        <w:t>SSSSSC12500950</w:t>
      </w:r>
    </w:p>
    <w:tbl>
      <w:tblPr>
        <w:tblStyle w:val="39"/>
        <w:tblW w:w="1044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5"/>
        <w:gridCol w:w="889"/>
        <w:gridCol w:w="1114"/>
        <w:gridCol w:w="7318"/>
      </w:tblGrid>
      <w:tr w14:paraId="054156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7" w:hRule="atLeast"/>
        </w:trPr>
        <w:tc>
          <w:tcPr>
            <w:tcW w:w="1125" w:type="dxa"/>
            <w:tcBorders>
              <w:top w:val="single" w:color="auto" w:sz="4" w:space="0"/>
              <w:left w:val="single" w:color="auto" w:sz="4" w:space="0"/>
              <w:bottom w:val="single" w:color="auto" w:sz="4" w:space="0"/>
              <w:right w:val="single" w:color="auto" w:sz="4" w:space="0"/>
            </w:tcBorders>
            <w:vAlign w:val="center"/>
          </w:tcPr>
          <w:p w14:paraId="11BE556F">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项目名称</w:t>
            </w:r>
          </w:p>
        </w:tc>
        <w:tc>
          <w:tcPr>
            <w:tcW w:w="2003" w:type="dxa"/>
            <w:gridSpan w:val="2"/>
            <w:tcBorders>
              <w:top w:val="single" w:color="auto" w:sz="4" w:space="0"/>
              <w:left w:val="single" w:color="auto" w:sz="4" w:space="0"/>
              <w:bottom w:val="single" w:color="auto" w:sz="4" w:space="0"/>
              <w:right w:val="single" w:color="auto" w:sz="4" w:space="0"/>
            </w:tcBorders>
            <w:vAlign w:val="center"/>
          </w:tcPr>
          <w:p w14:paraId="0894FF8C">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结算内容</w:t>
            </w:r>
          </w:p>
        </w:tc>
        <w:tc>
          <w:tcPr>
            <w:tcW w:w="7318" w:type="dxa"/>
            <w:tcBorders>
              <w:top w:val="single" w:color="auto" w:sz="4" w:space="0"/>
              <w:left w:val="single" w:color="auto" w:sz="4" w:space="0"/>
              <w:bottom w:val="single" w:color="auto" w:sz="4" w:space="0"/>
              <w:right w:val="single" w:color="auto" w:sz="4" w:space="0"/>
            </w:tcBorders>
            <w:vAlign w:val="center"/>
          </w:tcPr>
          <w:p w14:paraId="74A2A02D">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结算方式</w:t>
            </w:r>
          </w:p>
        </w:tc>
      </w:tr>
      <w:tr w14:paraId="1976B4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1125" w:type="dxa"/>
            <w:vMerge w:val="restart"/>
            <w:tcBorders>
              <w:top w:val="single" w:color="auto" w:sz="4" w:space="0"/>
              <w:left w:val="single" w:color="auto" w:sz="4" w:space="0"/>
              <w:right w:val="single" w:color="auto" w:sz="4" w:space="0"/>
            </w:tcBorders>
            <w:vAlign w:val="center"/>
          </w:tcPr>
          <w:p w14:paraId="0708039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bookmarkStart w:id="542" w:name="OLE_LINK2"/>
            <w:r>
              <w:rPr>
                <w:rFonts w:hint="eastAsia" w:ascii="宋体" w:hAnsi="宋体" w:eastAsia="宋体" w:cs="宋体"/>
                <w:color w:val="auto"/>
                <w:szCs w:val="21"/>
                <w:highlight w:val="none"/>
              </w:rPr>
              <w:t>东莞市碧水信息科技有限公司施工劳务分包供应商库采购项目</w:t>
            </w:r>
          </w:p>
        </w:tc>
        <w:tc>
          <w:tcPr>
            <w:tcW w:w="889" w:type="dxa"/>
            <w:vMerge w:val="restart"/>
            <w:tcBorders>
              <w:top w:val="single" w:color="auto" w:sz="4" w:space="0"/>
              <w:left w:val="single" w:color="auto" w:sz="4" w:space="0"/>
              <w:right w:val="single" w:color="auto" w:sz="4" w:space="0"/>
            </w:tcBorders>
            <w:vAlign w:val="center"/>
          </w:tcPr>
          <w:p w14:paraId="4B5279C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零星工程项目</w:t>
            </w:r>
          </w:p>
        </w:tc>
        <w:tc>
          <w:tcPr>
            <w:tcW w:w="1114" w:type="dxa"/>
            <w:tcBorders>
              <w:top w:val="single" w:color="auto" w:sz="4" w:space="0"/>
              <w:left w:val="single" w:color="auto" w:sz="4" w:space="0"/>
              <w:bottom w:val="single" w:color="auto" w:sz="4" w:space="0"/>
              <w:right w:val="single" w:color="auto" w:sz="4" w:space="0"/>
            </w:tcBorders>
            <w:vAlign w:val="center"/>
          </w:tcPr>
          <w:p w14:paraId="45CEC49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表务类零星工程项目</w:t>
            </w:r>
          </w:p>
        </w:tc>
        <w:tc>
          <w:tcPr>
            <w:tcW w:w="7318" w:type="dxa"/>
            <w:tcBorders>
              <w:top w:val="single" w:color="auto" w:sz="4" w:space="0"/>
              <w:left w:val="single" w:color="auto" w:sz="4" w:space="0"/>
              <w:bottom w:val="single" w:color="auto" w:sz="4" w:space="0"/>
              <w:right w:val="single" w:color="auto" w:sz="4" w:space="0"/>
            </w:tcBorders>
            <w:vAlign w:val="center"/>
          </w:tcPr>
          <w:p w14:paraId="6296D7C5">
            <w:pPr>
              <w:pStyle w:val="66"/>
              <w:keepNext w:val="0"/>
              <w:keepLines w:val="0"/>
              <w:suppressLineNumbers w:val="0"/>
              <w:tabs>
                <w:tab w:val="left" w:pos="8610"/>
              </w:tabs>
              <w:spacing w:before="0" w:beforeAutospacing="0" w:after="0" w:afterAutospacing="0" w:line="360" w:lineRule="auto"/>
              <w:ind w:left="0" w:right="0" w:firstLine="0" w:firstLineChars="0"/>
              <w:jc w:val="center"/>
              <w:rPr>
                <w:rFonts w:hint="eastAsia" w:ascii="宋体" w:eastAsia="宋体" w:cs="宋体"/>
                <w:color w:val="auto"/>
                <w:sz w:val="21"/>
                <w:szCs w:val="21"/>
                <w:highlight w:val="none"/>
              </w:rPr>
            </w:pPr>
            <w:r>
              <w:rPr>
                <w:rFonts w:hint="eastAsia" w:ascii="宋体" w:eastAsia="宋体" w:cs="宋体"/>
                <w:color w:val="auto"/>
                <w:sz w:val="21"/>
                <w:szCs w:val="21"/>
                <w:highlight w:val="none"/>
              </w:rPr>
              <w:t>按照《东莞市碧水信息科技有限公司表务类小型项目劳务分包清单价目表》（以下简称“《表务类小型项目劳务分包清单价目表》”）有关约定办理结算，结算时不进行下浮。对于适用于《表务类小型项目劳务分包清单价目表》但未涵盖的情况，参照《表务类小型项目劳务分包清单价目表》中类似项目的单价或按招标人修订后的单价执行。对于不适用于《表务类小型项目劳务分包清单价目表》的情况，参照非表务零星工程项目的结算方式。如遇招标人或其下属企业总包结算模式有调整的，招标人或其下属企业有权结合实际情况调整结算模式，具体以招标人或其下属企业书面通知为准。</w:t>
            </w:r>
          </w:p>
        </w:tc>
      </w:tr>
      <w:bookmarkEnd w:id="542"/>
      <w:tr w14:paraId="553030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1125" w:type="dxa"/>
            <w:vMerge w:val="continue"/>
            <w:tcBorders>
              <w:left w:val="single" w:color="auto" w:sz="4" w:space="0"/>
              <w:right w:val="single" w:color="auto" w:sz="4" w:space="0"/>
            </w:tcBorders>
            <w:vAlign w:val="center"/>
          </w:tcPr>
          <w:p w14:paraId="5671AD8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889" w:type="dxa"/>
            <w:vMerge w:val="continue"/>
            <w:tcBorders>
              <w:left w:val="single" w:color="auto" w:sz="4" w:space="0"/>
              <w:bottom w:val="single" w:color="auto" w:sz="4" w:space="0"/>
              <w:right w:val="single" w:color="auto" w:sz="4" w:space="0"/>
            </w:tcBorders>
            <w:vAlign w:val="center"/>
          </w:tcPr>
          <w:p w14:paraId="638A723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1CBD81A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非表务类零星工程项目</w:t>
            </w:r>
          </w:p>
        </w:tc>
        <w:tc>
          <w:tcPr>
            <w:tcW w:w="7318" w:type="dxa"/>
            <w:tcBorders>
              <w:top w:val="single" w:color="auto" w:sz="4" w:space="0"/>
              <w:left w:val="single" w:color="auto" w:sz="4" w:space="0"/>
              <w:bottom w:val="single" w:color="auto" w:sz="4" w:space="0"/>
              <w:right w:val="single" w:color="auto" w:sz="4" w:space="0"/>
            </w:tcBorders>
            <w:vAlign w:val="center"/>
          </w:tcPr>
          <w:p w14:paraId="02870647">
            <w:pPr>
              <w:pStyle w:val="66"/>
              <w:keepNext w:val="0"/>
              <w:keepLines w:val="0"/>
              <w:suppressLineNumbers w:val="0"/>
              <w:tabs>
                <w:tab w:val="left" w:pos="8610"/>
              </w:tabs>
              <w:spacing w:before="0" w:beforeAutospacing="0" w:after="0" w:afterAutospacing="0" w:line="360" w:lineRule="auto"/>
              <w:ind w:left="0" w:right="0" w:firstLine="0" w:firstLineChars="0"/>
              <w:jc w:val="center"/>
              <w:rPr>
                <w:rFonts w:hint="eastAsia" w:ascii="宋体" w:eastAsia="宋体" w:cs="宋体"/>
                <w:color w:val="auto"/>
                <w:sz w:val="21"/>
                <w:szCs w:val="21"/>
                <w:highlight w:val="none"/>
              </w:rPr>
            </w:pPr>
            <w:r>
              <w:rPr>
                <w:rFonts w:hint="eastAsia" w:ascii="宋体" w:eastAsia="宋体" w:cs="宋体"/>
                <w:color w:val="auto"/>
                <w:sz w:val="21"/>
                <w:szCs w:val="21"/>
                <w:highlight w:val="none"/>
              </w:rPr>
              <w:t>下浮率：</w:t>
            </w:r>
            <w:r>
              <w:rPr>
                <w:rFonts w:hint="eastAsia" w:ascii="宋体" w:eastAsia="宋体" w:cs="宋体"/>
                <w:color w:val="auto"/>
                <w:sz w:val="21"/>
                <w:szCs w:val="21"/>
                <w:highlight w:val="none"/>
                <w:u w:val="single"/>
              </w:rPr>
              <w:t xml:space="preserve"> 13 %</w:t>
            </w:r>
            <w:r>
              <w:rPr>
                <w:rFonts w:hint="eastAsia" w:ascii="宋体" w:eastAsia="宋体" w:cs="宋体"/>
                <w:color w:val="auto"/>
                <w:sz w:val="21"/>
                <w:szCs w:val="21"/>
                <w:highlight w:val="none"/>
              </w:rPr>
              <w:t>，合同期内，各单项项目结算费用按照该下浮率进行下浮。结算时计量以双方确认的现场签证工程量为准；结算计价方式参考总包结算方式，分为人材机结算方式和清单计价结算方式，结算单价以招标人或其下属企业审定为准（招标人或其下属企业主要参考广东省现行综合定额相关计价规则进行审定，具体以单个项目审核情况为准），不含税结算总价=未下浮的不含税总价*（1-下浮率）。</w:t>
            </w:r>
          </w:p>
        </w:tc>
      </w:tr>
      <w:tr w14:paraId="3673E6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1125" w:type="dxa"/>
            <w:vMerge w:val="continue"/>
            <w:tcBorders>
              <w:left w:val="single" w:color="auto" w:sz="4" w:space="0"/>
              <w:bottom w:val="single" w:color="auto" w:sz="4" w:space="0"/>
              <w:right w:val="single" w:color="auto" w:sz="4" w:space="0"/>
            </w:tcBorders>
            <w:vAlign w:val="center"/>
          </w:tcPr>
          <w:p w14:paraId="1FB6F15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2003" w:type="dxa"/>
            <w:gridSpan w:val="2"/>
            <w:tcBorders>
              <w:top w:val="single" w:color="auto" w:sz="4" w:space="0"/>
              <w:left w:val="single" w:color="auto" w:sz="4" w:space="0"/>
              <w:bottom w:val="single" w:color="auto" w:sz="4" w:space="0"/>
              <w:right w:val="single" w:color="auto" w:sz="4" w:space="0"/>
            </w:tcBorders>
            <w:vAlign w:val="center"/>
          </w:tcPr>
          <w:p w14:paraId="536FEF2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供水抢修项目</w:t>
            </w:r>
          </w:p>
        </w:tc>
        <w:tc>
          <w:tcPr>
            <w:tcW w:w="7318" w:type="dxa"/>
            <w:tcBorders>
              <w:top w:val="single" w:color="auto" w:sz="4" w:space="0"/>
              <w:left w:val="single" w:color="auto" w:sz="4" w:space="0"/>
              <w:bottom w:val="single" w:color="auto" w:sz="4" w:space="0"/>
              <w:right w:val="single" w:color="auto" w:sz="4" w:space="0"/>
            </w:tcBorders>
            <w:vAlign w:val="center"/>
          </w:tcPr>
          <w:p w14:paraId="0C8066FB">
            <w:pPr>
              <w:pStyle w:val="66"/>
              <w:keepNext w:val="0"/>
              <w:keepLines w:val="0"/>
              <w:suppressLineNumbers w:val="0"/>
              <w:tabs>
                <w:tab w:val="left" w:pos="8610"/>
              </w:tabs>
              <w:spacing w:before="0" w:beforeAutospacing="0" w:after="0" w:afterAutospacing="0" w:line="360" w:lineRule="auto"/>
              <w:ind w:left="0" w:right="0" w:firstLine="0" w:firstLineChars="0"/>
              <w:jc w:val="center"/>
              <w:rPr>
                <w:rFonts w:hint="eastAsia" w:ascii="宋体" w:eastAsia="宋体" w:cs="宋体"/>
                <w:color w:val="auto"/>
                <w:sz w:val="21"/>
                <w:szCs w:val="21"/>
                <w:highlight w:val="none"/>
              </w:rPr>
            </w:pPr>
            <w:r>
              <w:rPr>
                <w:rFonts w:hint="eastAsia" w:ascii="宋体" w:eastAsia="宋体" w:cs="宋体"/>
                <w:color w:val="auto"/>
                <w:sz w:val="21"/>
                <w:szCs w:val="21"/>
                <w:highlight w:val="none"/>
              </w:rPr>
              <w:t>执行《东莞市碧水信息科技有限公司供水管网及附属设备抢修业务劳务分包清单价目表》（以下简称“《抢修劳务清单价目表》”），结算时不进行下浮。对于《抢修劳务清单价目表》未涵盖的情况，参照《抢修劳务清单价目表》中类似项目的单价、或按招标人或其下属企业修订后的单价、或招标人或其下属企业审定的单价（招标人或其下属企业主要参考广东省现行综合定额相关计价规则并参照零星工程项目下浮率进行审定）执行。对于整单以劳务分包方式实施的DN400以下口径抢修劳务分包项目，按固定单价进行结算，即单个项目的“抢修结算总价=固定综合单价”；对于DN400及以上口径或部分以劳务分包方式实施的DN400以下口径抢修劳务分包项目，依据实际发生的工作量，按清单单价组价结算，即单个项目的“抢修结算总价=Σ（现场签证工程量×清单项目全费用综合单价）”。对于以抢修方式委托实施的零星工程项目不适用《抢修劳务清单价目表》，结算时由招标人或其下属企业参考广东省现行综合定额相关计价规则并参照零星工程项目下浮率进行组价，具体以单个项目审核情况为准。如遇招标人或其下属企业总包结算模式有调整的，招标人或其下属企业有权结合实际情况调整结算模式，具体以招标人或其下属企业书面通知为准。</w:t>
            </w:r>
          </w:p>
        </w:tc>
      </w:tr>
    </w:tbl>
    <w:p w14:paraId="49EBA830">
      <w:pPr>
        <w:spacing w:line="360" w:lineRule="auto"/>
        <w:ind w:firstLine="422" w:firstLineChars="200"/>
        <w:jc w:val="left"/>
        <w:rPr>
          <w:rFonts w:hint="eastAsia" w:ascii="宋体" w:hAnsi="宋体" w:eastAsia="宋体" w:cs="宋体"/>
          <w:b/>
          <w:bCs/>
          <w:color w:val="auto"/>
          <w:highlight w:val="none"/>
          <w:lang w:val="zh-CN"/>
        </w:rPr>
      </w:pPr>
      <w:r>
        <w:rPr>
          <w:rFonts w:hint="eastAsia" w:ascii="宋体" w:hAnsi="宋体" w:eastAsia="宋体" w:cs="宋体"/>
          <w:b/>
          <w:bCs/>
          <w:color w:val="auto"/>
          <w:szCs w:val="21"/>
          <w:highlight w:val="none"/>
        </w:rPr>
        <w:t>备注：</w:t>
      </w:r>
      <w:r>
        <w:rPr>
          <w:rFonts w:hint="eastAsia" w:ascii="宋体" w:hAnsi="宋体" w:eastAsia="宋体" w:cs="宋体"/>
          <w:b/>
          <w:bCs/>
          <w:color w:val="auto"/>
          <w:szCs w:val="21"/>
          <w:highlight w:val="none"/>
          <w:u w:val="single"/>
        </w:rPr>
        <w:t>投标人未按照本投标报价响应表内容填报、确认服务期内的结算方式的，投标文件将被视为无效投标</w:t>
      </w:r>
      <w:r>
        <w:rPr>
          <w:rFonts w:hint="eastAsia" w:ascii="宋体" w:hAnsi="宋体" w:eastAsia="宋体" w:cs="宋体"/>
          <w:b/>
          <w:bCs/>
          <w:color w:val="auto"/>
          <w:szCs w:val="21"/>
          <w:highlight w:val="none"/>
        </w:rPr>
        <w:t>。</w:t>
      </w:r>
    </w:p>
    <w:p w14:paraId="53EE2CA5">
      <w:pPr>
        <w:autoSpaceDE w:val="0"/>
        <w:autoSpaceDN w:val="0"/>
        <w:adjustRightInd w:val="0"/>
        <w:spacing w:line="360" w:lineRule="auto"/>
        <w:ind w:firstLine="5040" w:firstLineChars="2400"/>
        <w:rPr>
          <w:rFonts w:hint="eastAsia" w:ascii="宋体" w:hAnsi="宋体" w:eastAsia="宋体" w:cs="Times New Roman"/>
          <w:color w:val="auto"/>
          <w:szCs w:val="24"/>
          <w:highlight w:val="none"/>
          <w:lang w:val="zh-CN"/>
        </w:rPr>
      </w:pPr>
    </w:p>
    <w:p w14:paraId="26C3541E">
      <w:pPr>
        <w:autoSpaceDE w:val="0"/>
        <w:autoSpaceDN w:val="0"/>
        <w:adjustRightInd w:val="0"/>
        <w:spacing w:line="360" w:lineRule="auto"/>
        <w:ind w:firstLine="5040" w:firstLineChars="2400"/>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2283B792">
      <w:pPr>
        <w:autoSpaceDE w:val="0"/>
        <w:autoSpaceDN w:val="0"/>
        <w:adjustRightInd w:val="0"/>
        <w:spacing w:line="360" w:lineRule="auto"/>
        <w:ind w:firstLine="5040" w:firstLineChars="2400"/>
        <w:rPr>
          <w:rFonts w:hint="eastAsia"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法定代表人或其授权代表：</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（电子签名）</w:t>
      </w:r>
    </w:p>
    <w:p w14:paraId="14D7D5A0">
      <w:pPr>
        <w:tabs>
          <w:tab w:val="left" w:pos="567"/>
        </w:tabs>
        <w:autoSpaceDE w:val="0"/>
        <w:autoSpaceDN w:val="0"/>
        <w:adjustRightInd w:val="0"/>
        <w:spacing w:line="360" w:lineRule="auto"/>
        <w:ind w:firstLine="5040" w:firstLineChars="2400"/>
        <w:jc w:val="left"/>
        <w:rPr>
          <w:rFonts w:hint="eastAsia"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日期：   年   月   日</w:t>
      </w:r>
    </w:p>
    <w:p w14:paraId="3C9C3AF7">
      <w:pPr>
        <w:tabs>
          <w:tab w:val="left" w:pos="567"/>
        </w:tabs>
        <w:autoSpaceDE w:val="0"/>
        <w:autoSpaceDN w:val="0"/>
        <w:adjustRightInd w:val="0"/>
        <w:spacing w:line="360" w:lineRule="auto"/>
        <w:jc w:val="center"/>
        <w:rPr>
          <w:rFonts w:hint="eastAsia" w:ascii="宋体" w:hAnsi="宋体" w:eastAsia="宋体" w:cs="宋体"/>
          <w:b/>
          <w:bCs/>
          <w:color w:val="auto"/>
          <w:szCs w:val="21"/>
          <w:highlight w:val="none"/>
        </w:rPr>
      </w:pPr>
    </w:p>
    <w:p w14:paraId="52EAD7A1">
      <w:pPr>
        <w:tabs>
          <w:tab w:val="left" w:pos="567"/>
        </w:tabs>
        <w:autoSpaceDE w:val="0"/>
        <w:autoSpaceDN w:val="0"/>
        <w:adjustRightInd w:val="0"/>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说明：由投标人使用投标人的企业数字证书，法定代表人或其授权代表数字证书电子签名。</w:t>
      </w:r>
    </w:p>
    <w:p w14:paraId="604D9EB7">
      <w:pPr>
        <w:tabs>
          <w:tab w:val="left" w:pos="567"/>
        </w:tabs>
        <w:autoSpaceDE w:val="0"/>
        <w:autoSpaceDN w:val="0"/>
        <w:adjustRightInd w:val="0"/>
        <w:spacing w:line="360" w:lineRule="auto"/>
        <w:jc w:val="center"/>
        <w:rPr>
          <w:rFonts w:hint="eastAsia" w:ascii="宋体" w:hAnsi="宋体" w:eastAsia="宋体" w:cs="Times New Roman"/>
          <w:color w:val="auto"/>
          <w:szCs w:val="24"/>
          <w:highlight w:val="none"/>
        </w:rPr>
      </w:pPr>
      <w:r>
        <w:rPr>
          <w:rFonts w:hint="eastAsia" w:ascii="宋体" w:hAnsi="宋体" w:eastAsia="宋体" w:cs="Times New Roman"/>
          <w:color w:val="auto"/>
          <w:szCs w:val="24"/>
          <w:highlight w:val="none"/>
          <w:lang w:val="zh-CN"/>
        </w:rPr>
        <w:br w:type="page"/>
      </w:r>
    </w:p>
    <w:p w14:paraId="24E5598B">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b/>
          <w:color w:val="auto"/>
          <w:kern w:val="0"/>
          <w:sz w:val="32"/>
          <w:szCs w:val="32"/>
          <w:highlight w:val="none"/>
        </w:rPr>
      </w:pPr>
      <w:bookmarkStart w:id="543" w:name="_Toc10229"/>
      <w:bookmarkStart w:id="544" w:name="_Toc13560"/>
      <w:bookmarkStart w:id="545" w:name="_Toc19687"/>
      <w:r>
        <w:rPr>
          <w:rFonts w:hint="eastAsia" w:ascii="宋体" w:hAnsi="宋体" w:eastAsia="宋体" w:cs="宋体"/>
          <w:b/>
          <w:color w:val="auto"/>
          <w:kern w:val="0"/>
          <w:sz w:val="32"/>
          <w:szCs w:val="32"/>
          <w:highlight w:val="none"/>
          <w:lang w:val="en-US" w:eastAsia="zh-CN"/>
        </w:rPr>
        <w:t>六</w:t>
      </w:r>
      <w:bookmarkEnd w:id="543"/>
      <w:bookmarkEnd w:id="544"/>
      <w:bookmarkEnd w:id="545"/>
      <w:bookmarkStart w:id="546" w:name="_Toc23083"/>
      <w:bookmarkStart w:id="547" w:name="_Toc11441"/>
      <w:bookmarkStart w:id="548" w:name="_Toc7763"/>
      <w:bookmarkStart w:id="549" w:name="_Toc104991875"/>
      <w:bookmarkStart w:id="550" w:name="_Toc102860074"/>
      <w:bookmarkStart w:id="551" w:name="_Toc94107209"/>
      <w:bookmarkStart w:id="552" w:name="_Toc6190"/>
      <w:bookmarkStart w:id="553" w:name="_Toc142508369"/>
      <w:bookmarkStart w:id="554" w:name="_Toc26516"/>
      <w:bookmarkStart w:id="555" w:name="_Toc140596928"/>
      <w:bookmarkStart w:id="556" w:name="_Toc1182"/>
      <w:bookmarkStart w:id="557" w:name="_Toc102860418"/>
      <w:bookmarkStart w:id="558" w:name="_Toc1977725"/>
      <w:bookmarkStart w:id="559" w:name="_Toc486167712"/>
      <w:bookmarkStart w:id="560" w:name="_Toc20759_WPSOffice_Level2"/>
      <w:bookmarkStart w:id="561" w:name="_Toc533708124"/>
      <w:r>
        <w:rPr>
          <w:rFonts w:hint="eastAsia" w:ascii="宋体" w:hAnsi="宋体" w:eastAsia="宋体" w:cs="宋体"/>
          <w:b/>
          <w:color w:val="auto"/>
          <w:kern w:val="0"/>
          <w:sz w:val="32"/>
          <w:szCs w:val="32"/>
          <w:highlight w:val="none"/>
        </w:rPr>
        <w:t>、投标人资格证明文件</w:t>
      </w:r>
      <w:bookmarkEnd w:id="546"/>
      <w:bookmarkEnd w:id="547"/>
      <w:bookmarkEnd w:id="548"/>
      <w:bookmarkEnd w:id="549"/>
      <w:bookmarkEnd w:id="550"/>
      <w:bookmarkEnd w:id="551"/>
      <w:bookmarkEnd w:id="552"/>
      <w:bookmarkEnd w:id="553"/>
      <w:bookmarkEnd w:id="554"/>
      <w:bookmarkEnd w:id="555"/>
      <w:bookmarkEnd w:id="556"/>
      <w:bookmarkEnd w:id="557"/>
      <w:bookmarkEnd w:id="558"/>
    </w:p>
    <w:p w14:paraId="60774BA9">
      <w:pPr>
        <w:tabs>
          <w:tab w:val="left" w:pos="567"/>
        </w:tabs>
        <w:autoSpaceDE w:val="0"/>
        <w:autoSpaceDN w:val="0"/>
        <w:adjustRightInd w:val="0"/>
        <w:spacing w:line="360" w:lineRule="auto"/>
        <w:ind w:leftChars="-95" w:hanging="199" w:hangingChars="66"/>
        <w:jc w:val="left"/>
        <w:outlineLvl w:val="2"/>
        <w:rPr>
          <w:rFonts w:hint="eastAsia" w:ascii="宋体" w:hAnsi="宋体" w:eastAsia="宋体" w:cs="宋体"/>
          <w:b/>
          <w:color w:val="auto"/>
          <w:kern w:val="0"/>
          <w:sz w:val="30"/>
          <w:szCs w:val="30"/>
          <w:highlight w:val="none"/>
        </w:rPr>
      </w:pPr>
      <w:bookmarkStart w:id="562" w:name="_Toc29874"/>
      <w:bookmarkStart w:id="563" w:name="_Toc17358"/>
      <w:bookmarkStart w:id="564" w:name="_Toc102860419"/>
      <w:bookmarkStart w:id="565" w:name="_Toc104991876"/>
      <w:bookmarkStart w:id="566" w:name="_Toc94107210"/>
      <w:bookmarkStart w:id="567" w:name="_Toc142508370"/>
      <w:bookmarkStart w:id="568" w:name="_Toc102860075"/>
      <w:bookmarkStart w:id="569" w:name="_Toc25267"/>
      <w:bookmarkStart w:id="570" w:name="_Toc140596929"/>
      <w:bookmarkStart w:id="571" w:name="_Toc8938"/>
      <w:bookmarkStart w:id="572" w:name="_Toc7205"/>
      <w:bookmarkStart w:id="573" w:name="_Toc17357"/>
      <w:bookmarkStart w:id="574" w:name="_Toc1977726"/>
      <w:r>
        <w:rPr>
          <w:rFonts w:hint="eastAsia" w:ascii="宋体" w:hAnsi="宋体" w:eastAsia="宋体" w:cs="宋体"/>
          <w:b/>
          <w:color w:val="auto"/>
          <w:kern w:val="0"/>
          <w:sz w:val="30"/>
          <w:szCs w:val="30"/>
          <w:highlight w:val="none"/>
          <w:lang w:val="en-US" w:eastAsia="zh-CN"/>
        </w:rPr>
        <w:t>6</w:t>
      </w:r>
      <w:r>
        <w:rPr>
          <w:rFonts w:hint="eastAsia" w:ascii="宋体" w:hAnsi="宋体" w:eastAsia="宋体" w:cs="宋体"/>
          <w:b/>
          <w:color w:val="auto"/>
          <w:kern w:val="0"/>
          <w:sz w:val="30"/>
          <w:szCs w:val="30"/>
          <w:highlight w:val="none"/>
        </w:rPr>
        <w:t>.1 多证合一营业执照（或事业单位法人证书）</w:t>
      </w:r>
      <w:bookmarkEnd w:id="562"/>
      <w:bookmarkEnd w:id="563"/>
      <w:bookmarkEnd w:id="564"/>
      <w:bookmarkEnd w:id="565"/>
      <w:bookmarkEnd w:id="566"/>
      <w:bookmarkEnd w:id="567"/>
      <w:bookmarkEnd w:id="568"/>
      <w:bookmarkEnd w:id="569"/>
      <w:bookmarkEnd w:id="570"/>
      <w:r>
        <w:rPr>
          <w:rFonts w:hint="eastAsia" w:ascii="宋体" w:hAnsi="宋体" w:eastAsia="宋体" w:cs="宋体"/>
          <w:b/>
          <w:color w:val="auto"/>
          <w:kern w:val="0"/>
          <w:sz w:val="30"/>
          <w:szCs w:val="30"/>
          <w:highlight w:val="none"/>
        </w:rPr>
        <w:t>原件扫描件</w:t>
      </w:r>
      <w:bookmarkEnd w:id="571"/>
      <w:bookmarkEnd w:id="572"/>
      <w:bookmarkEnd w:id="573"/>
    </w:p>
    <w:p w14:paraId="6233E95F">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45091016">
      <w:pPr>
        <w:tabs>
          <w:tab w:val="left" w:pos="567"/>
        </w:tabs>
        <w:autoSpaceDE w:val="0"/>
        <w:autoSpaceDN w:val="0"/>
        <w:adjustRightInd w:val="0"/>
        <w:spacing w:line="360" w:lineRule="auto"/>
        <w:ind w:firstLine="316" w:firstLineChars="150"/>
        <w:jc w:val="left"/>
        <w:outlineLvl w:val="2"/>
        <w:rPr>
          <w:rFonts w:hint="eastAsia" w:ascii="宋体" w:hAnsi="宋体" w:eastAsia="宋体" w:cs="宋体"/>
          <w:b/>
          <w:color w:val="auto"/>
          <w:kern w:val="0"/>
          <w:szCs w:val="21"/>
          <w:highlight w:val="none"/>
        </w:rPr>
        <w:sectPr>
          <w:pgSz w:w="12240" w:h="15840"/>
          <w:pgMar w:top="1191" w:right="1043" w:bottom="1191" w:left="1043" w:header="720" w:footer="720" w:gutter="0"/>
          <w:cols w:space="720" w:num="1"/>
          <w:titlePg/>
          <w:docGrid w:linePitch="326" w:charSpace="0"/>
        </w:sectPr>
      </w:pPr>
    </w:p>
    <w:p w14:paraId="38572EB6">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0"/>
          <w:szCs w:val="30"/>
          <w:highlight w:val="none"/>
        </w:rPr>
      </w:pPr>
      <w:bookmarkStart w:id="575" w:name="_Toc24387"/>
      <w:bookmarkStart w:id="576" w:name="_Toc23187"/>
      <w:bookmarkStart w:id="577" w:name="_Toc4095"/>
      <w:bookmarkStart w:id="578" w:name="_Toc7756"/>
      <w:bookmarkStart w:id="579" w:name="_Toc104991877"/>
      <w:bookmarkStart w:id="580" w:name="_Toc27861"/>
      <w:bookmarkStart w:id="581" w:name="_Toc102860076"/>
      <w:bookmarkStart w:id="582" w:name="_Toc94107211"/>
      <w:bookmarkStart w:id="583" w:name="_Toc142508371"/>
      <w:bookmarkStart w:id="584" w:name="_Toc102860420"/>
      <w:bookmarkStart w:id="585" w:name="_Toc25013"/>
      <w:bookmarkStart w:id="586" w:name="_Toc140596930"/>
      <w:r>
        <w:rPr>
          <w:rFonts w:hint="eastAsia" w:ascii="宋体" w:hAnsi="宋体" w:eastAsia="宋体" w:cs="宋体"/>
          <w:b/>
          <w:color w:val="auto"/>
          <w:kern w:val="0"/>
          <w:sz w:val="30"/>
          <w:szCs w:val="30"/>
          <w:highlight w:val="none"/>
          <w:lang w:val="en-US" w:eastAsia="zh-CN"/>
        </w:rPr>
        <w:t>6</w:t>
      </w:r>
      <w:r>
        <w:rPr>
          <w:rFonts w:hint="eastAsia" w:ascii="宋体" w:hAnsi="宋体" w:eastAsia="宋体" w:cs="宋体"/>
          <w:b/>
          <w:color w:val="auto"/>
          <w:kern w:val="0"/>
          <w:sz w:val="30"/>
          <w:szCs w:val="30"/>
          <w:highlight w:val="none"/>
        </w:rPr>
        <w:t>.2 投标人具有的建设行政主管部门核发的且在有效期内的施工劳务企业资质证书原件扫描件；</w:t>
      </w:r>
      <w:bookmarkEnd w:id="575"/>
      <w:bookmarkEnd w:id="576"/>
      <w:bookmarkEnd w:id="577"/>
    </w:p>
    <w:p w14:paraId="59EA8D6F">
      <w:pPr>
        <w:autoSpaceDE/>
        <w:autoSpaceDN/>
        <w:adjustRightInd/>
        <w:spacing w:line="240" w:lineRule="auto"/>
        <w:jc w:val="left"/>
        <w:outlineLvl w:val="9"/>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p>
    <w:p w14:paraId="5200E6C5">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0"/>
          <w:szCs w:val="30"/>
          <w:highlight w:val="none"/>
        </w:rPr>
      </w:pPr>
      <w:bookmarkStart w:id="587" w:name="_Toc25042"/>
      <w:bookmarkStart w:id="588" w:name="_Toc24015"/>
      <w:bookmarkStart w:id="589" w:name="_Toc26524"/>
      <w:r>
        <w:rPr>
          <w:rFonts w:hint="eastAsia" w:ascii="宋体" w:hAnsi="宋体" w:eastAsia="宋体" w:cs="宋体"/>
          <w:b/>
          <w:color w:val="auto"/>
          <w:kern w:val="0"/>
          <w:sz w:val="30"/>
          <w:szCs w:val="30"/>
          <w:highlight w:val="none"/>
          <w:lang w:val="en-US" w:eastAsia="zh-CN"/>
        </w:rPr>
        <w:t>6</w:t>
      </w:r>
      <w:r>
        <w:rPr>
          <w:rFonts w:hint="eastAsia" w:ascii="宋体" w:hAnsi="宋体" w:eastAsia="宋体" w:cs="宋体"/>
          <w:b/>
          <w:color w:val="auto"/>
          <w:kern w:val="0"/>
          <w:sz w:val="30"/>
          <w:szCs w:val="30"/>
          <w:highlight w:val="none"/>
        </w:rPr>
        <w:t>.3 投标人具有的建设行政主管部门核发的且在有效期内的安全生产许可证原件扫描件；</w:t>
      </w:r>
      <w:bookmarkEnd w:id="587"/>
      <w:bookmarkEnd w:id="588"/>
      <w:bookmarkEnd w:id="589"/>
    </w:p>
    <w:p w14:paraId="76225C68">
      <w:pPr>
        <w:autoSpaceDE/>
        <w:autoSpaceDN/>
        <w:adjustRightInd/>
        <w:spacing w:line="240" w:lineRule="auto"/>
        <w:jc w:val="left"/>
        <w:outlineLvl w:val="9"/>
        <w:rPr>
          <w:rFonts w:hint="eastAsia" w:ascii="宋体" w:hAnsi="宋体" w:eastAsia="宋体" w:cs="宋体"/>
          <w:b/>
          <w:color w:val="auto"/>
          <w:kern w:val="0"/>
          <w:sz w:val="30"/>
          <w:szCs w:val="30"/>
          <w:highlight w:val="none"/>
        </w:rPr>
      </w:pPr>
      <w:r>
        <w:rPr>
          <w:rFonts w:ascii="宋体" w:hAnsi="宋体" w:eastAsia="宋体" w:cs="宋体"/>
          <w:b/>
          <w:color w:val="auto"/>
          <w:kern w:val="0"/>
          <w:sz w:val="30"/>
          <w:szCs w:val="30"/>
          <w:highlight w:val="none"/>
        </w:rPr>
        <w:br w:type="page"/>
      </w:r>
    </w:p>
    <w:p w14:paraId="12F38572">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0"/>
          <w:szCs w:val="30"/>
          <w:highlight w:val="none"/>
        </w:rPr>
      </w:pPr>
      <w:bookmarkStart w:id="590" w:name="_Toc3619"/>
      <w:bookmarkStart w:id="591" w:name="_Toc1813"/>
      <w:bookmarkStart w:id="592" w:name="_Toc9694"/>
      <w:r>
        <w:rPr>
          <w:rFonts w:hint="eastAsia" w:ascii="宋体" w:hAnsi="宋体" w:eastAsia="宋体" w:cs="宋体"/>
          <w:b/>
          <w:color w:val="auto"/>
          <w:kern w:val="0"/>
          <w:sz w:val="30"/>
          <w:szCs w:val="30"/>
          <w:highlight w:val="none"/>
          <w:lang w:val="en-US" w:eastAsia="zh-CN"/>
        </w:rPr>
        <w:t>6</w:t>
      </w:r>
      <w:r>
        <w:rPr>
          <w:rFonts w:hint="eastAsia" w:ascii="宋体" w:hAnsi="宋体" w:eastAsia="宋体" w:cs="宋体"/>
          <w:b/>
          <w:color w:val="auto"/>
          <w:kern w:val="0"/>
          <w:sz w:val="30"/>
          <w:szCs w:val="30"/>
          <w:highlight w:val="none"/>
        </w:rPr>
        <w:t>.4 开户许可证原件扫描件（基本存款账户），如投标人企业银行账户开户所在地区已取消企业银行账户许可，投标人应提供基本存款账户开户名称、开户银行、账号、编号等信息及相关备案证明（如有）或其他能证明其为基本存款账户的资料</w:t>
      </w:r>
      <w:bookmarkEnd w:id="578"/>
      <w:bookmarkEnd w:id="579"/>
      <w:bookmarkEnd w:id="580"/>
      <w:bookmarkEnd w:id="581"/>
      <w:bookmarkEnd w:id="582"/>
      <w:bookmarkEnd w:id="583"/>
      <w:bookmarkEnd w:id="584"/>
      <w:bookmarkEnd w:id="585"/>
      <w:bookmarkEnd w:id="586"/>
      <w:r>
        <w:rPr>
          <w:rFonts w:hint="eastAsia" w:ascii="宋体" w:hAnsi="宋体" w:eastAsia="宋体" w:cs="宋体"/>
          <w:b/>
          <w:color w:val="auto"/>
          <w:kern w:val="0"/>
          <w:sz w:val="30"/>
          <w:szCs w:val="30"/>
          <w:highlight w:val="none"/>
        </w:rPr>
        <w:t>原件扫描件</w:t>
      </w:r>
      <w:bookmarkEnd w:id="590"/>
      <w:bookmarkEnd w:id="591"/>
      <w:bookmarkEnd w:id="592"/>
    </w:p>
    <w:p w14:paraId="3837E925">
      <w:pPr>
        <w:tabs>
          <w:tab w:val="left" w:pos="567"/>
        </w:tabs>
        <w:autoSpaceDE w:val="0"/>
        <w:autoSpaceDN w:val="0"/>
        <w:adjustRightInd w:val="0"/>
        <w:spacing w:line="360" w:lineRule="auto"/>
        <w:jc w:val="left"/>
        <w:outlineLvl w:val="2"/>
        <w:rPr>
          <w:rFonts w:hint="eastAsia" w:ascii="宋体" w:hAnsi="宋体" w:eastAsia="宋体" w:cs="宋体"/>
          <w:b/>
          <w:color w:val="auto"/>
          <w:kern w:val="0"/>
          <w:szCs w:val="21"/>
          <w:highlight w:val="none"/>
        </w:rPr>
      </w:pPr>
      <w:r>
        <w:rPr>
          <w:rFonts w:ascii="宋体" w:hAnsi="宋体" w:eastAsia="宋体" w:cs="宋体"/>
          <w:b/>
          <w:color w:val="auto"/>
          <w:kern w:val="0"/>
          <w:sz w:val="30"/>
          <w:szCs w:val="30"/>
          <w:highlight w:val="none"/>
        </w:rPr>
        <w:br w:type="page"/>
      </w:r>
      <w:bookmarkStart w:id="593" w:name="_Toc27920"/>
      <w:bookmarkStart w:id="594" w:name="_Toc142508372"/>
      <w:bookmarkStart w:id="595" w:name="_Toc26113"/>
      <w:bookmarkStart w:id="596" w:name="_Toc7441"/>
      <w:bookmarkStart w:id="597" w:name="_Toc94107212"/>
      <w:bookmarkStart w:id="598" w:name="_Toc140596931"/>
      <w:bookmarkStart w:id="599" w:name="_Toc9132"/>
      <w:bookmarkStart w:id="600" w:name="_Toc102860421"/>
      <w:bookmarkStart w:id="601" w:name="_Toc102860077"/>
      <w:bookmarkStart w:id="602" w:name="_Toc7964"/>
      <w:bookmarkStart w:id="603" w:name="_Toc17499"/>
      <w:bookmarkStart w:id="604" w:name="_Toc104991878"/>
      <w:r>
        <w:rPr>
          <w:rFonts w:hint="eastAsia" w:ascii="宋体" w:hAnsi="宋体" w:eastAsia="宋体" w:cs="宋体"/>
          <w:b/>
          <w:color w:val="auto"/>
          <w:kern w:val="0"/>
          <w:sz w:val="30"/>
          <w:szCs w:val="30"/>
          <w:highlight w:val="none"/>
          <w:lang w:val="en-US" w:eastAsia="zh-CN"/>
        </w:rPr>
        <w:t>6</w:t>
      </w:r>
      <w:r>
        <w:rPr>
          <w:rFonts w:hint="eastAsia" w:ascii="宋体" w:hAnsi="宋体" w:eastAsia="宋体" w:cs="宋体"/>
          <w:b/>
          <w:color w:val="auto"/>
          <w:kern w:val="0"/>
          <w:sz w:val="30"/>
          <w:szCs w:val="30"/>
          <w:highlight w:val="none"/>
        </w:rPr>
        <w:t>.5</w:t>
      </w:r>
      <w:r>
        <w:rPr>
          <w:rFonts w:ascii="宋体" w:hAnsi="宋体" w:eastAsia="宋体" w:cs="宋体"/>
          <w:b/>
          <w:color w:val="auto"/>
          <w:kern w:val="0"/>
          <w:sz w:val="30"/>
          <w:szCs w:val="30"/>
          <w:highlight w:val="none"/>
        </w:rPr>
        <w:t xml:space="preserve"> </w:t>
      </w:r>
      <w:r>
        <w:rPr>
          <w:rFonts w:hint="eastAsia" w:ascii="宋体" w:hAnsi="宋体" w:eastAsia="宋体" w:cs="宋体"/>
          <w:b/>
          <w:color w:val="auto"/>
          <w:kern w:val="0"/>
          <w:sz w:val="30"/>
          <w:szCs w:val="30"/>
          <w:highlight w:val="none"/>
        </w:rPr>
        <w:t>法定代表人身份证明书、法定代表人授权书格式（法定代表人投标时只需提供法定代表人身份证明书，委托他人为投标代表或签署投标文件时需同时提供法定代表人授权书）</w:t>
      </w:r>
      <w:bookmarkEnd w:id="593"/>
      <w:bookmarkEnd w:id="594"/>
      <w:bookmarkEnd w:id="595"/>
      <w:bookmarkEnd w:id="596"/>
      <w:bookmarkEnd w:id="597"/>
      <w:bookmarkEnd w:id="598"/>
      <w:bookmarkEnd w:id="599"/>
      <w:bookmarkEnd w:id="600"/>
      <w:bookmarkEnd w:id="601"/>
      <w:bookmarkEnd w:id="602"/>
      <w:bookmarkEnd w:id="603"/>
      <w:bookmarkEnd w:id="604"/>
    </w:p>
    <w:p w14:paraId="4F45E76B">
      <w:pPr>
        <w:spacing w:before="120" w:after="120" w:line="360" w:lineRule="auto"/>
        <w:ind w:firstLine="426" w:firstLineChars="202"/>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（1）法定代表人身份证明书格式</w:t>
      </w:r>
      <w:bookmarkEnd w:id="559"/>
      <w:bookmarkEnd w:id="560"/>
      <w:bookmarkEnd w:id="561"/>
      <w:bookmarkEnd w:id="574"/>
    </w:p>
    <w:p w14:paraId="137E20E0">
      <w:pPr>
        <w:spacing w:before="120" w:after="120" w:line="360" w:lineRule="auto"/>
        <w:ind w:firstLine="608" w:firstLineChars="202"/>
        <w:jc w:val="center"/>
        <w:rPr>
          <w:rFonts w:hint="eastAsia" w:ascii="宋体" w:hAnsi="宋体" w:eastAsia="宋体" w:cs="宋体"/>
          <w:b/>
          <w:color w:val="auto"/>
          <w:sz w:val="30"/>
          <w:szCs w:val="30"/>
          <w:highlight w:val="none"/>
        </w:rPr>
      </w:pPr>
    </w:p>
    <w:p w14:paraId="194D481E">
      <w:pPr>
        <w:spacing w:before="120" w:after="120" w:line="360" w:lineRule="auto"/>
        <w:ind w:firstLine="608" w:firstLineChars="202"/>
        <w:jc w:val="center"/>
        <w:rPr>
          <w:rFonts w:hint="eastAsia" w:ascii="宋体" w:hAnsi="宋体" w:eastAsia="宋体" w:cs="宋体"/>
          <w:b/>
          <w:bCs/>
          <w:color w:val="auto"/>
          <w:sz w:val="30"/>
          <w:szCs w:val="30"/>
          <w:highlight w:val="none"/>
        </w:rPr>
      </w:pPr>
      <w:bookmarkStart w:id="605" w:name="_Toc11033_WPSOffice_Level3"/>
      <w:r>
        <w:rPr>
          <w:rFonts w:hint="eastAsia" w:ascii="宋体" w:hAnsi="宋体" w:eastAsia="宋体" w:cs="宋体"/>
          <w:b/>
          <w:color w:val="auto"/>
          <w:sz w:val="30"/>
          <w:szCs w:val="30"/>
          <w:highlight w:val="none"/>
        </w:rPr>
        <w:t>法定代</w:t>
      </w:r>
      <w:bookmarkStart w:id="606" w:name="_Toc36971359"/>
      <w:bookmarkStart w:id="607" w:name="_Toc45995270"/>
      <w:r>
        <w:rPr>
          <w:rFonts w:hint="eastAsia" w:ascii="宋体" w:hAnsi="宋体" w:eastAsia="宋体" w:cs="宋体"/>
          <w:b/>
          <w:color w:val="auto"/>
          <w:sz w:val="30"/>
          <w:szCs w:val="30"/>
          <w:highlight w:val="none"/>
        </w:rPr>
        <w:t>表人身份证明书</w:t>
      </w:r>
      <w:bookmarkEnd w:id="605"/>
    </w:p>
    <w:bookmarkEnd w:id="606"/>
    <w:bookmarkEnd w:id="607"/>
    <w:p w14:paraId="1372E141">
      <w:pPr>
        <w:spacing w:before="120" w:after="120"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先生／女士：现任我单位</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职务，为法定代表人，特此证明。</w:t>
      </w:r>
    </w:p>
    <w:p w14:paraId="0B19F20F">
      <w:pPr>
        <w:spacing w:before="120" w:after="120" w:line="360" w:lineRule="auto"/>
        <w:ind w:firstLine="424" w:firstLineChars="202"/>
        <w:rPr>
          <w:rFonts w:hint="eastAsia" w:ascii="宋体" w:hAnsi="宋体" w:eastAsia="宋体" w:cs="宋体"/>
          <w:color w:val="auto"/>
          <w:szCs w:val="24"/>
          <w:highlight w:val="none"/>
        </w:rPr>
      </w:pPr>
      <w:r>
        <w:rPr>
          <w:rFonts w:hint="eastAsia" w:ascii="宋体" w:hAnsi="宋体" w:eastAsia="宋体" w:cs="宋体"/>
          <w:color w:val="auto"/>
          <w:szCs w:val="24"/>
          <w:highlight w:val="none"/>
        </w:rPr>
        <w:t>有效日期：</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签发日期：</w:t>
      </w:r>
      <w:r>
        <w:rPr>
          <w:rFonts w:hint="eastAsia" w:ascii="宋体" w:hAnsi="宋体" w:eastAsia="宋体" w:cs="宋体"/>
          <w:color w:val="auto"/>
          <w:szCs w:val="24"/>
          <w:highlight w:val="none"/>
          <w:u w:val="single"/>
        </w:rPr>
        <w:t xml:space="preserve">           </w:t>
      </w:r>
    </w:p>
    <w:p w14:paraId="7E1F3AE8">
      <w:pPr>
        <w:spacing w:before="120" w:after="120" w:line="360" w:lineRule="auto"/>
        <w:ind w:firstLine="424" w:firstLineChars="202"/>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rPr>
        <w:t>附：代表人性别：</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 xml:space="preserve"> 年龄：</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身份证号码：</w:t>
      </w:r>
      <w:r>
        <w:rPr>
          <w:rFonts w:hint="eastAsia" w:ascii="宋体" w:hAnsi="宋体" w:eastAsia="宋体" w:cs="宋体"/>
          <w:color w:val="auto"/>
          <w:szCs w:val="24"/>
          <w:highlight w:val="none"/>
          <w:u w:val="single"/>
        </w:rPr>
        <w:t xml:space="preserve">            </w:t>
      </w:r>
    </w:p>
    <w:p w14:paraId="5386E2AF">
      <w:pPr>
        <w:spacing w:before="120" w:after="120" w:line="360" w:lineRule="auto"/>
        <w:ind w:firstLine="424" w:firstLineChars="202"/>
        <w:rPr>
          <w:rFonts w:hint="eastAsia" w:ascii="宋体" w:hAnsi="宋体" w:eastAsia="宋体" w:cs="宋体"/>
          <w:color w:val="auto"/>
          <w:szCs w:val="24"/>
          <w:highlight w:val="none"/>
        </w:rPr>
      </w:pPr>
      <w:r>
        <w:rPr>
          <w:rFonts w:hint="eastAsia" w:ascii="宋体" w:hAnsi="宋体" w:eastAsia="宋体" w:cs="宋体"/>
          <w:color w:val="auto"/>
          <w:szCs w:val="24"/>
          <w:highlight w:val="none"/>
        </w:rPr>
        <w:t>营业执照号码：</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 xml:space="preserve">经济性质： </w:t>
      </w:r>
    </w:p>
    <w:p w14:paraId="669429B6">
      <w:pPr>
        <w:spacing w:before="120" w:after="120" w:line="360" w:lineRule="auto"/>
        <w:ind w:firstLine="424" w:firstLineChars="202"/>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rPr>
        <w:t>主营（产）：</w:t>
      </w:r>
    </w:p>
    <w:p w14:paraId="304DEBF8">
      <w:pPr>
        <w:spacing w:before="120" w:after="120" w:line="360" w:lineRule="auto"/>
        <w:ind w:firstLine="424" w:firstLineChars="202"/>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rPr>
        <w:t>兼营（产）：</w:t>
      </w:r>
    </w:p>
    <w:p w14:paraId="67AA000F">
      <w:pPr>
        <w:spacing w:before="120" w:after="120" w:line="360" w:lineRule="auto"/>
        <w:ind w:firstLine="424" w:firstLineChars="202"/>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附 法定代表人身份证原件扫描件 </w:t>
      </w:r>
    </w:p>
    <w:p w14:paraId="01F7FB4B">
      <w:pPr>
        <w:spacing w:before="120" w:after="120" w:line="360" w:lineRule="auto"/>
        <w:ind w:left="336" w:leftChars="160" w:firstLine="4701" w:firstLineChars="223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投标人：</w:t>
      </w:r>
      <w:r>
        <w:rPr>
          <w:rFonts w:ascii="宋体" w:hAnsi="宋体" w:eastAsia="宋体" w:cs="Times New Roman"/>
          <w:color w:val="auto"/>
          <w:kern w:val="3"/>
          <w:szCs w:val="24"/>
          <w:highlight w:val="none"/>
          <w:u w:val="single"/>
        </w:rPr>
        <w:t xml:space="preserve">             </w:t>
      </w:r>
      <w:r>
        <w:rPr>
          <w:rFonts w:hint="eastAsia" w:ascii="宋体" w:hAnsi="宋体" w:eastAsia="宋体" w:cs="Times New Roman"/>
          <w:color w:val="auto"/>
          <w:szCs w:val="21"/>
          <w:highlight w:val="none"/>
          <w:u w:val="single"/>
        </w:rPr>
        <w:t>（企业数字证书电子签名）</w:t>
      </w:r>
    </w:p>
    <w:p w14:paraId="74226FA9">
      <w:pPr>
        <w:autoSpaceDE w:val="0"/>
        <w:autoSpaceDN w:val="0"/>
        <w:adjustRightInd w:val="0"/>
        <w:spacing w:line="360" w:lineRule="auto"/>
        <w:ind w:left="336" w:leftChars="160" w:right="1010" w:rightChars="481" w:firstLine="4701" w:firstLineChars="2239"/>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日期：   年   月   日</w:t>
      </w:r>
    </w:p>
    <w:p w14:paraId="0A50C72D">
      <w:pPr>
        <w:autoSpaceDE w:val="0"/>
        <w:autoSpaceDN w:val="0"/>
        <w:adjustRightInd w:val="0"/>
        <w:jc w:val="left"/>
        <w:rPr>
          <w:rFonts w:hint="eastAsia"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109220</wp:posOffset>
                </wp:positionV>
                <wp:extent cx="2790825" cy="1962150"/>
                <wp:effectExtent l="9525" t="6985" r="9525" b="12065"/>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7065F0BB">
                            <w:pPr>
                              <w:rPr>
                                <w:rFonts w:hint="eastAsia"/>
                              </w:rPr>
                            </w:pPr>
                          </w:p>
                          <w:p w14:paraId="75306223">
                            <w:pPr>
                              <w:rPr>
                                <w:rFonts w:hint="eastAsia"/>
                              </w:rPr>
                            </w:pPr>
                          </w:p>
                          <w:p w14:paraId="67F15D7A">
                            <w:pPr>
                              <w:rPr>
                                <w:rFonts w:hint="eastAsia"/>
                              </w:rPr>
                            </w:pPr>
                          </w:p>
                          <w:p w14:paraId="542AFA1B">
                            <w:pPr>
                              <w:rPr>
                                <w:rFonts w:hint="eastAsia"/>
                              </w:rPr>
                            </w:pPr>
                          </w:p>
                          <w:p w14:paraId="16E458D2">
                            <w:pPr>
                              <w:jc w:val="center"/>
                              <w:rPr>
                                <w:rFonts w:hint="eastAsia"/>
                                <w:szCs w:val="21"/>
                              </w:rPr>
                            </w:pPr>
                            <w:r>
                              <w:rPr>
                                <w:rFonts w:hint="eastAsia"/>
                                <w:szCs w:val="21"/>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61312;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j1YWXYAAAACAEAAA8AAAAAAAAAAQAgAAAAIgAA&#10;AGRycy9kb3ducmV2LnhtbFBLAQIUABQAAAAIAIdO4kD5BGLAQQIAAIgEAAAOAAAAAAAAAAEAIAAA&#10;ACcBAABkcnMvZTJvRG9jLnhtbFBLBQYAAAAABgAGAFkBAADaBQAAAAA=&#10;">
                <v:fill on="t" focussize="0,0"/>
                <v:stroke color="#000000" miterlimit="8" joinstyle="miter"/>
                <v:imagedata o:title=""/>
                <o:lock v:ext="edit" aspectratio="f"/>
                <v:textbox>
                  <w:txbxContent>
                    <w:p w14:paraId="7065F0BB">
                      <w:pPr>
                        <w:rPr>
                          <w:rFonts w:hint="eastAsia"/>
                        </w:rPr>
                      </w:pPr>
                    </w:p>
                    <w:p w14:paraId="75306223">
                      <w:pPr>
                        <w:rPr>
                          <w:rFonts w:hint="eastAsia"/>
                        </w:rPr>
                      </w:pPr>
                    </w:p>
                    <w:p w14:paraId="67F15D7A">
                      <w:pPr>
                        <w:rPr>
                          <w:rFonts w:hint="eastAsia"/>
                        </w:rPr>
                      </w:pPr>
                    </w:p>
                    <w:p w14:paraId="542AFA1B">
                      <w:pPr>
                        <w:rPr>
                          <w:rFonts w:hint="eastAsia"/>
                        </w:rPr>
                      </w:pPr>
                    </w:p>
                    <w:p w14:paraId="16E458D2">
                      <w:pPr>
                        <w:jc w:val="center"/>
                        <w:rPr>
                          <w:rFonts w:hint="eastAsia"/>
                          <w:szCs w:val="21"/>
                        </w:rPr>
                      </w:pPr>
                      <w:r>
                        <w:rPr>
                          <w:rFonts w:hint="eastAsia"/>
                          <w:szCs w:val="21"/>
                        </w:rPr>
                        <w:t>法定代表人身份证正面</w:t>
                      </w:r>
                    </w:p>
                  </w:txbxContent>
                </v:textbox>
              </v:shape>
            </w:pict>
          </mc:Fallback>
        </mc:AlternateContent>
      </w:r>
      <w:r>
        <w:rPr>
          <w:rFonts w:ascii="宋体" w:hAnsi="宋体" w:eastAsia="宋体" w:cs="宋体"/>
          <w:color w:val="auto"/>
          <w:kern w:val="0"/>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3128645</wp:posOffset>
                </wp:positionH>
                <wp:positionV relativeFrom="paragraph">
                  <wp:posOffset>109220</wp:posOffset>
                </wp:positionV>
                <wp:extent cx="2790825" cy="1962150"/>
                <wp:effectExtent l="9525" t="6985" r="9525" b="12065"/>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5EC41C92">
                            <w:pPr>
                              <w:rPr>
                                <w:rFonts w:hint="eastAsia"/>
                              </w:rPr>
                            </w:pPr>
                          </w:p>
                          <w:p w14:paraId="58663D63">
                            <w:pPr>
                              <w:rPr>
                                <w:rFonts w:hint="eastAsia"/>
                              </w:rPr>
                            </w:pPr>
                          </w:p>
                          <w:p w14:paraId="65101F70">
                            <w:pPr>
                              <w:rPr>
                                <w:rFonts w:hint="eastAsia"/>
                              </w:rPr>
                            </w:pPr>
                          </w:p>
                          <w:p w14:paraId="59CC34A1">
                            <w:pPr>
                              <w:rPr>
                                <w:rFonts w:hint="eastAsia"/>
                              </w:rPr>
                            </w:pPr>
                          </w:p>
                          <w:p w14:paraId="114CA289">
                            <w:pPr>
                              <w:jc w:val="center"/>
                              <w:rPr>
                                <w:rFonts w:hint="eastAsia"/>
                                <w:szCs w:val="21"/>
                              </w:rPr>
                            </w:pPr>
                            <w:r>
                              <w:rPr>
                                <w:rFonts w:hint="eastAsia"/>
                                <w:szCs w:val="21"/>
                              </w:rPr>
                              <w:t>法定代表人身份证反面</w:t>
                            </w:r>
                          </w:p>
                          <w:p w14:paraId="11675E57">
                            <w:pPr>
                              <w:jc w:val="center"/>
                              <w:rPr>
                                <w:rFonts w:hint="eastAsia"/>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6.35pt;margin-top:8.6pt;height:154.5pt;width:219.75pt;z-index:251660288;mso-width-relative:page;mso-height-relative:page;" fillcolor="#FFFFFF" filled="t" stroked="t" coordsize="21600,21600" o:gfxdata="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UEWTR2QAAAAoBAAAPAAAAAAAAAAEAIAAAACIA&#10;AABkcnMvZG93bnJldi54bWxQSwECFAAUAAAACACHTuJADlLddUECAACIBAAADgAAAAAAAAABACAA&#10;AAAoAQAAZHJzL2Uyb0RvYy54bWxQSwUGAAAAAAYABgBZAQAA2wUAAAAA&#10;">
                <v:fill on="t" focussize="0,0"/>
                <v:stroke color="#000000" miterlimit="8" joinstyle="miter"/>
                <v:imagedata o:title=""/>
                <o:lock v:ext="edit" aspectratio="f"/>
                <v:textbox>
                  <w:txbxContent>
                    <w:p w14:paraId="5EC41C92">
                      <w:pPr>
                        <w:rPr>
                          <w:rFonts w:hint="eastAsia"/>
                        </w:rPr>
                      </w:pPr>
                    </w:p>
                    <w:p w14:paraId="58663D63">
                      <w:pPr>
                        <w:rPr>
                          <w:rFonts w:hint="eastAsia"/>
                        </w:rPr>
                      </w:pPr>
                    </w:p>
                    <w:p w14:paraId="65101F70">
                      <w:pPr>
                        <w:rPr>
                          <w:rFonts w:hint="eastAsia"/>
                        </w:rPr>
                      </w:pPr>
                    </w:p>
                    <w:p w14:paraId="59CC34A1">
                      <w:pPr>
                        <w:rPr>
                          <w:rFonts w:hint="eastAsia"/>
                        </w:rPr>
                      </w:pPr>
                    </w:p>
                    <w:p w14:paraId="114CA289">
                      <w:pPr>
                        <w:jc w:val="center"/>
                        <w:rPr>
                          <w:rFonts w:hint="eastAsia"/>
                          <w:szCs w:val="21"/>
                        </w:rPr>
                      </w:pPr>
                      <w:r>
                        <w:rPr>
                          <w:rFonts w:hint="eastAsia"/>
                          <w:szCs w:val="21"/>
                        </w:rPr>
                        <w:t>法定代表人身份证反面</w:t>
                      </w:r>
                    </w:p>
                    <w:p w14:paraId="11675E57">
                      <w:pPr>
                        <w:jc w:val="center"/>
                        <w:rPr>
                          <w:rFonts w:hint="eastAsia"/>
                          <w:szCs w:val="21"/>
                        </w:rPr>
                      </w:pPr>
                    </w:p>
                  </w:txbxContent>
                </v:textbox>
              </v:shape>
            </w:pict>
          </mc:Fallback>
        </mc:AlternateContent>
      </w:r>
      <w:r>
        <w:rPr>
          <w:rFonts w:ascii="宋体" w:hAnsi="宋体" w:eastAsia="宋体" w:cs="宋体"/>
          <w:color w:val="auto"/>
          <w:kern w:val="0"/>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109220</wp:posOffset>
                </wp:positionV>
                <wp:extent cx="2790825" cy="1962150"/>
                <wp:effectExtent l="9525" t="6985" r="9525" b="12065"/>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5DE57262">
                            <w:pPr>
                              <w:rPr>
                                <w:rFonts w:hint="eastAsia"/>
                              </w:rPr>
                            </w:pPr>
                          </w:p>
                          <w:p w14:paraId="40744D3A">
                            <w:pPr>
                              <w:rPr>
                                <w:rFonts w:hint="eastAsia"/>
                              </w:rPr>
                            </w:pPr>
                          </w:p>
                          <w:p w14:paraId="0B9F76C5">
                            <w:pPr>
                              <w:rPr>
                                <w:rFonts w:hint="eastAsia"/>
                              </w:rPr>
                            </w:pPr>
                          </w:p>
                          <w:p w14:paraId="64EC4C99">
                            <w:pPr>
                              <w:rPr>
                                <w:rFonts w:hint="eastAsia"/>
                              </w:rPr>
                            </w:pPr>
                          </w:p>
                          <w:p w14:paraId="21A99683">
                            <w:pPr>
                              <w:jc w:val="center"/>
                              <w:rPr>
                                <w:rFonts w:hint="eastAsia"/>
                              </w:rPr>
                            </w:pPr>
                            <w:r>
                              <w:rPr>
                                <w:rFonts w:hint="eastAsia"/>
                              </w:rPr>
                              <w:t>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59264;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PVhZdgAAAAIAQAADwAAAAAAAAABACAAAAAiAAAA&#10;ZHJzL2Rvd25yZXYueG1sUEsBAhQAFAAAAAgAh07iQFavbXBAAgAAiAQAAA4AAAAAAAAAAQAgAAAA&#10;JwEAAGRycy9lMm9Eb2MueG1sUEsFBgAAAAAGAAYAWQEAANkFAAAAAA==&#10;">
                <v:fill on="t" focussize="0,0"/>
                <v:stroke color="#000000" miterlimit="8" joinstyle="miter"/>
                <v:imagedata o:title=""/>
                <o:lock v:ext="edit" aspectratio="f"/>
                <v:textbox>
                  <w:txbxContent>
                    <w:p w14:paraId="5DE57262">
                      <w:pPr>
                        <w:rPr>
                          <w:rFonts w:hint="eastAsia"/>
                        </w:rPr>
                      </w:pPr>
                    </w:p>
                    <w:p w14:paraId="40744D3A">
                      <w:pPr>
                        <w:rPr>
                          <w:rFonts w:hint="eastAsia"/>
                        </w:rPr>
                      </w:pPr>
                    </w:p>
                    <w:p w14:paraId="0B9F76C5">
                      <w:pPr>
                        <w:rPr>
                          <w:rFonts w:hint="eastAsia"/>
                        </w:rPr>
                      </w:pPr>
                    </w:p>
                    <w:p w14:paraId="64EC4C99">
                      <w:pPr>
                        <w:rPr>
                          <w:rFonts w:hint="eastAsia"/>
                        </w:rPr>
                      </w:pPr>
                    </w:p>
                    <w:p w14:paraId="21A99683">
                      <w:pPr>
                        <w:jc w:val="center"/>
                        <w:rPr>
                          <w:rFonts w:hint="eastAsia"/>
                        </w:rPr>
                      </w:pPr>
                      <w:r>
                        <w:rPr>
                          <w:rFonts w:hint="eastAsia"/>
                        </w:rPr>
                        <w:t>身份证正面</w:t>
                      </w:r>
                    </w:p>
                  </w:txbxContent>
                </v:textbox>
              </v:shape>
            </w:pict>
          </mc:Fallback>
        </mc:AlternateContent>
      </w:r>
    </w:p>
    <w:p w14:paraId="11490A20">
      <w:pPr>
        <w:autoSpaceDE w:val="0"/>
        <w:autoSpaceDN w:val="0"/>
        <w:adjustRightInd w:val="0"/>
        <w:jc w:val="left"/>
        <w:rPr>
          <w:rFonts w:hint="eastAsia" w:ascii="宋体" w:hAnsi="宋体" w:eastAsia="宋体" w:cs="宋体"/>
          <w:color w:val="auto"/>
          <w:kern w:val="0"/>
          <w:sz w:val="24"/>
          <w:szCs w:val="24"/>
          <w:highlight w:val="none"/>
        </w:rPr>
      </w:pPr>
    </w:p>
    <w:p w14:paraId="511B1524">
      <w:pPr>
        <w:autoSpaceDE w:val="0"/>
        <w:autoSpaceDN w:val="0"/>
        <w:adjustRightInd w:val="0"/>
        <w:jc w:val="left"/>
        <w:rPr>
          <w:rFonts w:hint="eastAsia" w:ascii="宋体" w:hAnsi="宋体" w:eastAsia="宋体" w:cs="宋体"/>
          <w:color w:val="auto"/>
          <w:kern w:val="0"/>
          <w:sz w:val="24"/>
          <w:szCs w:val="24"/>
          <w:highlight w:val="none"/>
        </w:rPr>
      </w:pPr>
    </w:p>
    <w:p w14:paraId="01DEB2B8">
      <w:pPr>
        <w:autoSpaceDE w:val="0"/>
        <w:autoSpaceDN w:val="0"/>
        <w:adjustRightInd w:val="0"/>
        <w:jc w:val="left"/>
        <w:rPr>
          <w:rFonts w:hint="eastAsia" w:ascii="宋体" w:hAnsi="宋体" w:eastAsia="宋体" w:cs="宋体"/>
          <w:color w:val="auto"/>
          <w:kern w:val="0"/>
          <w:sz w:val="24"/>
          <w:szCs w:val="24"/>
          <w:highlight w:val="none"/>
        </w:rPr>
      </w:pPr>
    </w:p>
    <w:p w14:paraId="062EA4F2">
      <w:pPr>
        <w:autoSpaceDE w:val="0"/>
        <w:autoSpaceDN w:val="0"/>
        <w:adjustRightInd w:val="0"/>
        <w:jc w:val="left"/>
        <w:rPr>
          <w:rFonts w:hint="eastAsia" w:ascii="宋体" w:hAnsi="宋体" w:eastAsia="宋体" w:cs="宋体"/>
          <w:color w:val="auto"/>
          <w:kern w:val="0"/>
          <w:sz w:val="24"/>
          <w:szCs w:val="24"/>
          <w:highlight w:val="none"/>
        </w:rPr>
      </w:pPr>
    </w:p>
    <w:p w14:paraId="01E821D5">
      <w:pPr>
        <w:autoSpaceDE w:val="0"/>
        <w:autoSpaceDN w:val="0"/>
        <w:adjustRightInd w:val="0"/>
        <w:jc w:val="left"/>
        <w:rPr>
          <w:rFonts w:hint="eastAsia" w:ascii="宋体" w:hAnsi="宋体" w:eastAsia="宋体" w:cs="宋体"/>
          <w:color w:val="auto"/>
          <w:kern w:val="0"/>
          <w:sz w:val="24"/>
          <w:szCs w:val="24"/>
          <w:highlight w:val="none"/>
        </w:rPr>
      </w:pPr>
    </w:p>
    <w:p w14:paraId="7819227C">
      <w:pPr>
        <w:autoSpaceDE w:val="0"/>
        <w:autoSpaceDN w:val="0"/>
        <w:adjustRightInd w:val="0"/>
        <w:jc w:val="left"/>
        <w:rPr>
          <w:rFonts w:hint="eastAsia" w:ascii="宋体" w:hAnsi="宋体" w:eastAsia="宋体" w:cs="宋体"/>
          <w:color w:val="auto"/>
          <w:kern w:val="0"/>
          <w:sz w:val="24"/>
          <w:szCs w:val="24"/>
          <w:highlight w:val="none"/>
        </w:rPr>
      </w:pPr>
    </w:p>
    <w:p w14:paraId="5D330228">
      <w:pPr>
        <w:autoSpaceDE w:val="0"/>
        <w:autoSpaceDN w:val="0"/>
        <w:adjustRightInd w:val="0"/>
        <w:jc w:val="left"/>
        <w:rPr>
          <w:rFonts w:hint="eastAsia" w:ascii="宋体" w:hAnsi="宋体" w:eastAsia="宋体" w:cs="宋体"/>
          <w:color w:val="auto"/>
          <w:kern w:val="0"/>
          <w:sz w:val="24"/>
          <w:szCs w:val="24"/>
          <w:highlight w:val="none"/>
        </w:rPr>
      </w:pPr>
    </w:p>
    <w:p w14:paraId="78F3A117">
      <w:pPr>
        <w:autoSpaceDE w:val="0"/>
        <w:autoSpaceDN w:val="0"/>
        <w:adjustRightInd w:val="0"/>
        <w:jc w:val="left"/>
        <w:rPr>
          <w:rFonts w:hint="eastAsia" w:ascii="宋体" w:hAnsi="宋体" w:eastAsia="宋体" w:cs="宋体"/>
          <w:color w:val="auto"/>
          <w:kern w:val="0"/>
          <w:sz w:val="24"/>
          <w:szCs w:val="24"/>
          <w:highlight w:val="none"/>
        </w:rPr>
      </w:pPr>
    </w:p>
    <w:p w14:paraId="43366524">
      <w:pPr>
        <w:autoSpaceDE w:val="0"/>
        <w:autoSpaceDN w:val="0"/>
        <w:adjustRightInd w:val="0"/>
        <w:jc w:val="left"/>
        <w:rPr>
          <w:rFonts w:hint="eastAsia" w:ascii="宋体" w:hAnsi="宋体" w:eastAsia="宋体" w:cs="宋体"/>
          <w:color w:val="auto"/>
          <w:kern w:val="0"/>
          <w:sz w:val="24"/>
          <w:szCs w:val="24"/>
          <w:highlight w:val="none"/>
        </w:rPr>
      </w:pPr>
    </w:p>
    <w:p w14:paraId="049A28B4">
      <w:pPr>
        <w:autoSpaceDE w:val="0"/>
        <w:autoSpaceDN w:val="0"/>
        <w:adjustRightInd w:val="0"/>
        <w:jc w:val="left"/>
        <w:rPr>
          <w:rFonts w:hint="eastAsia" w:ascii="宋体" w:hAnsi="宋体" w:eastAsia="宋体" w:cs="宋体"/>
          <w:b/>
          <w:color w:val="auto"/>
          <w:kern w:val="0"/>
          <w:szCs w:val="21"/>
          <w:highlight w:val="none"/>
        </w:rPr>
      </w:pPr>
    </w:p>
    <w:p w14:paraId="2E96F723">
      <w:pPr>
        <w:autoSpaceDE w:val="0"/>
        <w:autoSpaceDN w:val="0"/>
        <w:adjustRightInd w:val="0"/>
        <w:jc w:val="lef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注：法定代表人身份证须在有效期限内。</w:t>
      </w:r>
    </w:p>
    <w:p w14:paraId="0C64FF0F">
      <w:pPr>
        <w:autoSpaceDE w:val="0"/>
        <w:autoSpaceDN w:val="0"/>
        <w:adjustRightInd w:val="0"/>
        <w:jc w:val="left"/>
        <w:rPr>
          <w:rFonts w:hint="eastAsia" w:ascii="宋体" w:hAnsi="宋体" w:eastAsia="宋体" w:cs="宋体"/>
          <w:color w:val="auto"/>
          <w:kern w:val="0"/>
          <w:szCs w:val="21"/>
          <w:highlight w:val="none"/>
        </w:rPr>
      </w:pPr>
    </w:p>
    <w:p w14:paraId="6C692AF1">
      <w:pPr>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说明：由投标人使用投标人的企业数字证书电子签名。</w:t>
      </w:r>
    </w:p>
    <w:p w14:paraId="3CB7CEA5">
      <w:pPr>
        <w:spacing w:before="120" w:after="120" w:line="360" w:lineRule="auto"/>
        <w:ind w:firstLine="424" w:firstLineChars="202"/>
        <w:rPr>
          <w:rFonts w:hint="eastAsia" w:ascii="宋体" w:hAnsi="宋体" w:eastAsia="宋体" w:cs="宋体"/>
          <w:b/>
          <w:color w:val="auto"/>
          <w:kern w:val="0"/>
          <w:szCs w:val="21"/>
          <w:highlight w:val="none"/>
        </w:rPr>
      </w:pPr>
      <w:r>
        <w:rPr>
          <w:rFonts w:hint="eastAsia" w:ascii="宋体" w:hAnsi="宋体" w:eastAsia="宋体" w:cs="宋体"/>
          <w:color w:val="auto"/>
          <w:szCs w:val="24"/>
          <w:highlight w:val="none"/>
          <w:lang w:val="zh-CN"/>
        </w:rPr>
        <w:br w:type="page"/>
      </w:r>
      <w:bookmarkEnd w:id="520"/>
      <w:bookmarkEnd w:id="521"/>
      <w:bookmarkEnd w:id="522"/>
      <w:bookmarkStart w:id="608" w:name="_Toc486167713"/>
      <w:bookmarkStart w:id="609" w:name="_Toc1977727"/>
      <w:bookmarkStart w:id="610" w:name="_Toc533708125"/>
      <w:bookmarkStart w:id="611" w:name="_Toc6240_WPSOffice_Level2"/>
      <w:r>
        <w:rPr>
          <w:rFonts w:hint="eastAsia" w:ascii="宋体" w:hAnsi="宋体" w:eastAsia="宋体" w:cs="宋体"/>
          <w:b/>
          <w:color w:val="auto"/>
          <w:szCs w:val="24"/>
          <w:highlight w:val="none"/>
        </w:rPr>
        <w:t>（2）法定代表人授权书格式</w:t>
      </w:r>
      <w:bookmarkEnd w:id="608"/>
      <w:bookmarkEnd w:id="609"/>
      <w:bookmarkEnd w:id="610"/>
      <w:bookmarkEnd w:id="611"/>
    </w:p>
    <w:p w14:paraId="673C7FC0">
      <w:pPr>
        <w:autoSpaceDE w:val="0"/>
        <w:autoSpaceDN w:val="0"/>
        <w:adjustRightInd w:val="0"/>
        <w:spacing w:line="360" w:lineRule="auto"/>
        <w:jc w:val="center"/>
        <w:rPr>
          <w:rFonts w:hint="eastAsia" w:ascii="宋体" w:hAnsi="宋体" w:eastAsia="宋体" w:cs="宋体"/>
          <w:b/>
          <w:bCs/>
          <w:color w:val="auto"/>
          <w:sz w:val="30"/>
          <w:szCs w:val="30"/>
          <w:highlight w:val="none"/>
          <w:lang w:val="zh-CN"/>
        </w:rPr>
      </w:pPr>
    </w:p>
    <w:p w14:paraId="7605293C">
      <w:pPr>
        <w:autoSpaceDE w:val="0"/>
        <w:autoSpaceDN w:val="0"/>
        <w:adjustRightInd w:val="0"/>
        <w:spacing w:line="360" w:lineRule="auto"/>
        <w:jc w:val="center"/>
        <w:rPr>
          <w:rFonts w:hint="eastAsia" w:ascii="宋体" w:hAnsi="宋体" w:eastAsia="宋体" w:cs="宋体"/>
          <w:b/>
          <w:bCs/>
          <w:color w:val="auto"/>
          <w:sz w:val="30"/>
          <w:szCs w:val="30"/>
          <w:highlight w:val="none"/>
          <w:lang w:val="zh-CN"/>
        </w:rPr>
      </w:pPr>
      <w:bookmarkStart w:id="612" w:name="_Toc29146_WPSOffice_Level3"/>
      <w:r>
        <w:rPr>
          <w:rFonts w:hint="eastAsia" w:ascii="宋体" w:hAnsi="宋体" w:eastAsia="宋体" w:cs="宋体"/>
          <w:b/>
          <w:bCs/>
          <w:color w:val="auto"/>
          <w:sz w:val="30"/>
          <w:szCs w:val="30"/>
          <w:highlight w:val="none"/>
          <w:lang w:val="zh-CN"/>
        </w:rPr>
        <w:t>法定代表人授权书</w:t>
      </w:r>
      <w:bookmarkEnd w:id="612"/>
    </w:p>
    <w:p w14:paraId="5E5698AC">
      <w:pPr>
        <w:autoSpaceDE w:val="0"/>
        <w:autoSpaceDN w:val="0"/>
        <w:adjustRightInd w:val="0"/>
        <w:spacing w:line="360" w:lineRule="auto"/>
        <w:jc w:val="center"/>
        <w:rPr>
          <w:rFonts w:hint="eastAsia" w:ascii="宋体" w:hAnsi="宋体" w:eastAsia="宋体" w:cs="宋体"/>
          <w:color w:val="auto"/>
          <w:szCs w:val="28"/>
          <w:highlight w:val="none"/>
          <w:lang w:val="zh-CN"/>
        </w:rPr>
      </w:pPr>
    </w:p>
    <w:p w14:paraId="739EA349">
      <w:pPr>
        <w:spacing w:before="120" w:after="120" w:line="360" w:lineRule="auto"/>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致：东莞市碧水信息科技有限公司</w:t>
      </w:r>
    </w:p>
    <w:p w14:paraId="71129F5D">
      <w:pPr>
        <w:spacing w:before="120" w:after="120" w:line="360" w:lineRule="auto"/>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4"/>
          <w:highlight w:val="none"/>
          <w:lang w:val="zh-CN"/>
        </w:rPr>
        <w:t>本授权书声明：注册于</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（投标人地址）的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（投标人名称）在下面签字或盖私章的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（法定代表人姓名、职务、身份证号码）代表本公司授权在下面签字或盖私章的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（被授权人的姓名、职务、身份证号码）为本公司的合法代表人，签署</w:t>
      </w:r>
      <w:r>
        <w:rPr>
          <w:rFonts w:hint="eastAsia" w:ascii="宋体" w:hAnsi="宋体" w:eastAsia="宋体" w:cs="宋体"/>
          <w:color w:val="auto"/>
          <w:szCs w:val="21"/>
          <w:highlight w:val="none"/>
          <w:u w:val="single"/>
        </w:rPr>
        <w:t>东莞市碧水信息科技有限公司施工劳务分包供应商库采购项目</w:t>
      </w:r>
      <w:r>
        <w:rPr>
          <w:rFonts w:hint="eastAsia" w:ascii="宋体" w:hAnsi="宋体" w:eastAsia="宋体" w:cs="宋体"/>
          <w:color w:val="auto"/>
          <w:szCs w:val="21"/>
          <w:highlight w:val="none"/>
          <w:lang w:val="zh-CN"/>
        </w:rPr>
        <w:t>（招标编号：</w:t>
      </w:r>
      <w:r>
        <w:rPr>
          <w:rFonts w:hint="eastAsia" w:ascii="宋体" w:hAnsi="宋体" w:eastAsia="宋体" w:cs="Times New Roman"/>
          <w:color w:val="auto"/>
          <w:szCs w:val="21"/>
          <w:highlight w:val="none"/>
          <w:u w:val="single"/>
          <w:lang w:val="zh-CN"/>
        </w:rPr>
        <w:t>SSSSSC12500950</w:t>
      </w:r>
      <w:r>
        <w:rPr>
          <w:rFonts w:hint="eastAsia" w:ascii="宋体" w:hAnsi="宋体" w:eastAsia="宋体" w:cs="宋体"/>
          <w:color w:val="auto"/>
          <w:szCs w:val="21"/>
          <w:highlight w:val="none"/>
          <w:lang w:val="zh-CN"/>
        </w:rPr>
        <w:t>）的投标文件，</w:t>
      </w:r>
      <w:r>
        <w:rPr>
          <w:rFonts w:hint="eastAsia" w:ascii="宋体" w:hAnsi="宋体" w:eastAsia="宋体" w:cs="宋体"/>
          <w:color w:val="auto"/>
          <w:szCs w:val="21"/>
          <w:highlight w:val="none"/>
        </w:rPr>
        <w:t>代表我公司</w:t>
      </w:r>
      <w:r>
        <w:rPr>
          <w:rFonts w:hint="eastAsia" w:ascii="宋体" w:hAnsi="宋体" w:eastAsia="宋体" w:cs="宋体"/>
          <w:color w:val="auto"/>
          <w:szCs w:val="24"/>
          <w:highlight w:val="none"/>
          <w:lang w:val="zh-CN"/>
        </w:rPr>
        <w:t>应评标委员会的要求对投标文件进行澄清、进行合同谈判和签署合同，以我公司的名义处理一切与</w:t>
      </w:r>
      <w:r>
        <w:rPr>
          <w:rFonts w:hint="eastAsia" w:ascii="宋体" w:hAnsi="宋体" w:eastAsia="宋体" w:cs="宋体"/>
          <w:color w:val="auto"/>
          <w:szCs w:val="24"/>
          <w:highlight w:val="none"/>
        </w:rPr>
        <w:t>本次投标</w:t>
      </w:r>
      <w:r>
        <w:rPr>
          <w:rFonts w:hint="eastAsia" w:ascii="宋体" w:hAnsi="宋体" w:eastAsia="宋体" w:cs="宋体"/>
          <w:color w:val="auto"/>
          <w:szCs w:val="24"/>
          <w:highlight w:val="none"/>
          <w:lang w:val="zh-CN"/>
        </w:rPr>
        <w:t>有关的事宜，</w:t>
      </w:r>
      <w:r>
        <w:rPr>
          <w:rFonts w:hint="eastAsia" w:ascii="宋体" w:hAnsi="宋体" w:eastAsia="宋体" w:cs="宋体"/>
          <w:color w:val="auto"/>
          <w:szCs w:val="21"/>
          <w:highlight w:val="none"/>
        </w:rPr>
        <w:t>我承认代理人全权代表我所签署的本项目投标文件的内容及</w:t>
      </w:r>
      <w:r>
        <w:rPr>
          <w:rFonts w:hint="eastAsia" w:ascii="宋体" w:hAnsi="宋体" w:eastAsia="宋体" w:cs="宋体"/>
          <w:color w:val="auto"/>
          <w:szCs w:val="24"/>
          <w:highlight w:val="none"/>
          <w:lang w:val="zh-CN"/>
        </w:rPr>
        <w:t>所进行的上述活动。</w:t>
      </w:r>
    </w:p>
    <w:p w14:paraId="61D07651">
      <w:pPr>
        <w:spacing w:before="120" w:after="120"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4"/>
          <w:highlight w:val="none"/>
          <w:lang w:val="zh-CN"/>
        </w:rPr>
        <w:t>本授权书于</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年</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月</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日签字生效，有效期至投标文件失效期止，</w:t>
      </w:r>
      <w:r>
        <w:rPr>
          <w:rFonts w:hint="eastAsia" w:ascii="宋体" w:hAnsi="宋体" w:eastAsia="宋体" w:cs="宋体"/>
          <w:color w:val="auto"/>
          <w:szCs w:val="21"/>
          <w:highlight w:val="none"/>
        </w:rPr>
        <w:t>代理人无转委托权，</w:t>
      </w:r>
      <w:r>
        <w:rPr>
          <w:rFonts w:hint="eastAsia" w:ascii="宋体" w:hAnsi="宋体" w:eastAsia="宋体" w:cs="宋体"/>
          <w:color w:val="auto"/>
          <w:szCs w:val="24"/>
          <w:highlight w:val="none"/>
          <w:lang w:val="zh-CN"/>
        </w:rPr>
        <w:t>特此声明。</w:t>
      </w:r>
    </w:p>
    <w:p w14:paraId="6F756DB5">
      <w:pPr>
        <w:spacing w:before="120" w:after="120" w:line="360" w:lineRule="auto"/>
        <w:ind w:left="348" w:leftChars="136" w:hanging="62"/>
        <w:rPr>
          <w:rFonts w:hint="eastAsia" w:ascii="宋体" w:hAnsi="宋体" w:eastAsia="宋体" w:cs="宋体"/>
          <w:color w:val="auto"/>
          <w:szCs w:val="24"/>
          <w:highlight w:val="none"/>
        </w:rPr>
      </w:pPr>
    </w:p>
    <w:p w14:paraId="37ACBB34">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投  标  人：（加盖投标人法人公章）</w:t>
      </w:r>
    </w:p>
    <w:p w14:paraId="0BDED356">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投标人地址：</w:t>
      </w:r>
    </w:p>
    <w:p w14:paraId="739D68C2">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法定代表人（签名或盖私章）：</w:t>
      </w:r>
    </w:p>
    <w:p w14:paraId="4EE8F528">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职　　　务：</w:t>
      </w:r>
    </w:p>
    <w:p w14:paraId="00268069">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被授权人（签名或盖私章）：</w:t>
      </w:r>
    </w:p>
    <w:p w14:paraId="2DD963F5">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职　　　务：</w:t>
      </w:r>
    </w:p>
    <w:p w14:paraId="113C1445">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被授权人联系手机：</w:t>
      </w:r>
    </w:p>
    <w:p w14:paraId="7EBD96BD">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电 子 邮 箱：</w:t>
      </w:r>
    </w:p>
    <w:p w14:paraId="656AE207">
      <w:pPr>
        <w:pStyle w:val="34"/>
        <w:widowControl w:val="0"/>
        <w:spacing w:before="0" w:beforeAutospacing="0" w:after="0" w:afterAutospacing="0" w:line="360" w:lineRule="auto"/>
        <w:jc w:val="center"/>
        <w:rPr>
          <w:rFonts w:hint="eastAsia" w:eastAsia="宋体" w:cs="宋体"/>
          <w:b/>
          <w:color w:val="auto"/>
          <w:sz w:val="21"/>
          <w:szCs w:val="21"/>
          <w:highlight w:val="none"/>
          <w:lang w:bidi="ar"/>
        </w:rPr>
      </w:pPr>
    </w:p>
    <w:p w14:paraId="510E3216">
      <w:pPr>
        <w:pStyle w:val="34"/>
        <w:widowControl w:val="0"/>
        <w:spacing w:before="0" w:beforeAutospacing="0" w:after="0" w:afterAutospacing="0" w:line="360" w:lineRule="auto"/>
        <w:jc w:val="center"/>
        <w:rPr>
          <w:rFonts w:hint="eastAsia" w:eastAsia="宋体" w:cs="Times New Roman"/>
          <w:b/>
          <w:color w:val="auto"/>
          <w:sz w:val="21"/>
          <w:szCs w:val="21"/>
          <w:highlight w:val="none"/>
        </w:rPr>
      </w:pPr>
      <w:r>
        <w:rPr>
          <w:rFonts w:hint="eastAsia" w:eastAsia="宋体" w:cs="宋体"/>
          <w:b/>
          <w:color w:val="auto"/>
          <w:sz w:val="21"/>
          <w:szCs w:val="21"/>
          <w:highlight w:val="none"/>
          <w:lang w:bidi="ar"/>
        </w:rPr>
        <w:t>[备注：法定代表人授权书必须提供原件扫描件。]</w:t>
      </w:r>
    </w:p>
    <w:p w14:paraId="5836258B">
      <w:pPr>
        <w:pStyle w:val="2"/>
        <w:autoSpaceDE/>
        <w:autoSpaceDN/>
        <w:spacing w:line="360" w:lineRule="auto"/>
        <w:rPr>
          <w:rFonts w:hint="eastAsia"/>
          <w:color w:val="auto"/>
          <w:highlight w:val="none"/>
        </w:rPr>
      </w:pPr>
      <w:r>
        <w:rPr>
          <w:rFonts w:hint="eastAsia" w:hAnsi="宋体" w:cs="宋体"/>
          <w:color w:val="auto"/>
          <w:sz w:val="21"/>
          <w:szCs w:val="21"/>
          <w:highlight w:val="none"/>
          <w:u w:val="single"/>
          <w:lang w:val="en-US" w:bidi="ar"/>
        </w:rPr>
        <w:t>说明：扫描件上传后需由投标人使用投标人的企业数字证书电子签名。</w:t>
      </w:r>
    </w:p>
    <w:p w14:paraId="4291570D">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br w:type="page"/>
      </w:r>
      <w:r>
        <w:rPr>
          <w:rFonts w:hint="eastAsia" w:ascii="宋体" w:hAnsi="宋体" w:eastAsia="宋体" w:cs="宋体"/>
          <w:color w:val="auto"/>
          <w:szCs w:val="24"/>
          <w:highlight w:val="none"/>
        </w:rPr>
        <w:t>附 法定代表人、被授权人身份证</w:t>
      </w:r>
      <w:r>
        <w:rPr>
          <w:rFonts w:hint="eastAsia" w:ascii="宋体" w:hAnsi="宋体" w:eastAsia="宋体" w:cs="Times New Roman"/>
          <w:color w:val="auto"/>
          <w:szCs w:val="21"/>
          <w:highlight w:val="none"/>
        </w:rPr>
        <w:t>原件扫描件</w:t>
      </w:r>
    </w:p>
    <w:p w14:paraId="20C4472A">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r>
        <w:rPr>
          <w:rFonts w:ascii="宋体" w:hAnsi="宋体" w:eastAsia="宋体" w:cs="宋体"/>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3366770</wp:posOffset>
                </wp:positionH>
                <wp:positionV relativeFrom="paragraph">
                  <wp:posOffset>69850</wp:posOffset>
                </wp:positionV>
                <wp:extent cx="2790825" cy="1762125"/>
                <wp:effectExtent l="9525" t="9525" r="9525" b="9525"/>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wps:spPr>
                      <wps:txbx>
                        <w:txbxContent>
                          <w:p w14:paraId="76E85EBE">
                            <w:pPr>
                              <w:rPr>
                                <w:rFonts w:hint="eastAsia"/>
                              </w:rPr>
                            </w:pPr>
                          </w:p>
                          <w:p w14:paraId="493EC253">
                            <w:pPr>
                              <w:rPr>
                                <w:rFonts w:hint="eastAsia"/>
                              </w:rPr>
                            </w:pPr>
                          </w:p>
                          <w:p w14:paraId="6A935668">
                            <w:pPr>
                              <w:rPr>
                                <w:rFonts w:hint="eastAsia"/>
                              </w:rPr>
                            </w:pPr>
                          </w:p>
                          <w:p w14:paraId="3CA72B56">
                            <w:pPr>
                              <w:rPr>
                                <w:rFonts w:hint="eastAsia"/>
                              </w:rPr>
                            </w:pPr>
                          </w:p>
                          <w:p w14:paraId="6D6AC074">
                            <w:pPr>
                              <w:jc w:val="center"/>
                              <w:rPr>
                                <w:rFonts w:hint="eastAsia" w:hAnsi="宋体"/>
                              </w:rPr>
                            </w:pPr>
                            <w:r>
                              <w:rPr>
                                <w:rFonts w:hint="eastAsia" w:hAnsi="宋体"/>
                              </w:rPr>
                              <w:t>法定代表人身份证反面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5.5pt;height:138.75pt;width:219.75pt;z-index:251664384;mso-width-relative:page;mso-height-relative:page;" fillcolor="#FFFFFF" filled="t" stroked="t" coordsize="21600,21600" o:gfxdata="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EQPedkAAAAKAQAADwAAAAAAAAABACAAAAAiAAAA&#10;ZHJzL2Rvd25yZXYueG1sUEsBAhQAFAAAAAgAh07iQA997Fg/AgAAiAQAAA4AAAAAAAAAAQAgAAAA&#10;KAEAAGRycy9lMm9Eb2MueG1sUEsFBgAAAAAGAAYAWQEAANkFAAAAAA==&#10;">
                <v:fill on="t" focussize="0,0"/>
                <v:stroke color="#000000" miterlimit="8" joinstyle="miter"/>
                <v:imagedata o:title=""/>
                <o:lock v:ext="edit" aspectratio="f"/>
                <v:textbox>
                  <w:txbxContent>
                    <w:p w14:paraId="76E85EBE">
                      <w:pPr>
                        <w:rPr>
                          <w:rFonts w:hint="eastAsia"/>
                        </w:rPr>
                      </w:pPr>
                    </w:p>
                    <w:p w14:paraId="493EC253">
                      <w:pPr>
                        <w:rPr>
                          <w:rFonts w:hint="eastAsia"/>
                        </w:rPr>
                      </w:pPr>
                    </w:p>
                    <w:p w14:paraId="6A935668">
                      <w:pPr>
                        <w:rPr>
                          <w:rFonts w:hint="eastAsia"/>
                        </w:rPr>
                      </w:pPr>
                    </w:p>
                    <w:p w14:paraId="3CA72B56">
                      <w:pPr>
                        <w:rPr>
                          <w:rFonts w:hint="eastAsia"/>
                        </w:rPr>
                      </w:pPr>
                    </w:p>
                    <w:p w14:paraId="6D6AC074">
                      <w:pPr>
                        <w:jc w:val="center"/>
                        <w:rPr>
                          <w:rFonts w:hint="eastAsia" w:hAnsi="宋体"/>
                        </w:rPr>
                      </w:pPr>
                      <w:r>
                        <w:rPr>
                          <w:rFonts w:hint="eastAsia" w:hAnsi="宋体"/>
                        </w:rPr>
                        <w:t>法定代表人身份证反面</w:t>
                      </w:r>
                    </w:p>
                  </w:txbxContent>
                </v:textbox>
              </v:shape>
            </w:pict>
          </mc:Fallback>
        </mc:AlternateContent>
      </w:r>
      <w:r>
        <w:rPr>
          <w:rFonts w:ascii="宋体" w:hAnsi="宋体" w:eastAsia="宋体" w:cs="宋体"/>
          <w:color w:val="auto"/>
          <w:szCs w:val="21"/>
          <w:highlight w:val="none"/>
        </w:rPr>
        <mc:AlternateContent>
          <mc:Choice Requires="wps">
            <w:drawing>
              <wp:anchor distT="0" distB="0" distL="114300" distR="114300" simplePos="0" relativeHeight="251662336" behindDoc="0" locked="0" layoutInCell="1" allowOverlap="1">
                <wp:simplePos x="0" y="0"/>
                <wp:positionH relativeFrom="column">
                  <wp:posOffset>309245</wp:posOffset>
                </wp:positionH>
                <wp:positionV relativeFrom="paragraph">
                  <wp:posOffset>69850</wp:posOffset>
                </wp:positionV>
                <wp:extent cx="2790825" cy="1762125"/>
                <wp:effectExtent l="9525" t="9525" r="9525" b="952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wps:spPr>
                      <wps:txbx>
                        <w:txbxContent>
                          <w:p w14:paraId="403B8E3F">
                            <w:pPr>
                              <w:rPr>
                                <w:rFonts w:hint="eastAsia"/>
                              </w:rPr>
                            </w:pPr>
                          </w:p>
                          <w:p w14:paraId="37FCBAE2">
                            <w:pPr>
                              <w:rPr>
                                <w:rFonts w:hint="eastAsia"/>
                              </w:rPr>
                            </w:pPr>
                          </w:p>
                          <w:p w14:paraId="066C586F">
                            <w:pPr>
                              <w:rPr>
                                <w:rFonts w:hint="eastAsia"/>
                              </w:rPr>
                            </w:pPr>
                          </w:p>
                          <w:p w14:paraId="5CC96C71">
                            <w:pPr>
                              <w:rPr>
                                <w:rFonts w:hint="eastAsia"/>
                              </w:rPr>
                            </w:pPr>
                          </w:p>
                          <w:p w14:paraId="4B86BAF1">
                            <w:pPr>
                              <w:jc w:val="center"/>
                              <w:rPr>
                                <w:rFonts w:hint="eastAsia" w:hAnsi="宋体"/>
                              </w:rPr>
                            </w:pPr>
                            <w:r>
                              <w:rPr>
                                <w:rFonts w:hint="eastAsia" w:hAnsi="宋体"/>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5.5pt;height:138.75pt;width:219.75pt;z-index:251662336;mso-width-relative:page;mso-height-relative:page;" fillcolor="#FFFFFF" filled="t" stroked="t" coordsize="21600,21600" o:gfxdata="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u+XY2AAAAAkBAAAPAAAAAAAAAAEAIAAAACIAAABk&#10;cnMvZG93bnJldi54bWxQSwECFAAUAAAACACHTuJASNEy5j8CAACIBAAADgAAAAAAAAABACAAAAAn&#10;AQAAZHJzL2Uyb0RvYy54bWxQSwUGAAAAAAYABgBZAQAA2AUAAAAA&#10;">
                <v:fill on="t" focussize="0,0"/>
                <v:stroke color="#000000" miterlimit="8" joinstyle="miter"/>
                <v:imagedata o:title=""/>
                <o:lock v:ext="edit" aspectratio="f"/>
                <v:textbox>
                  <w:txbxContent>
                    <w:p w14:paraId="403B8E3F">
                      <w:pPr>
                        <w:rPr>
                          <w:rFonts w:hint="eastAsia"/>
                        </w:rPr>
                      </w:pPr>
                    </w:p>
                    <w:p w14:paraId="37FCBAE2">
                      <w:pPr>
                        <w:rPr>
                          <w:rFonts w:hint="eastAsia"/>
                        </w:rPr>
                      </w:pPr>
                    </w:p>
                    <w:p w14:paraId="066C586F">
                      <w:pPr>
                        <w:rPr>
                          <w:rFonts w:hint="eastAsia"/>
                        </w:rPr>
                      </w:pPr>
                    </w:p>
                    <w:p w14:paraId="5CC96C71">
                      <w:pPr>
                        <w:rPr>
                          <w:rFonts w:hint="eastAsia"/>
                        </w:rPr>
                      </w:pPr>
                    </w:p>
                    <w:p w14:paraId="4B86BAF1">
                      <w:pPr>
                        <w:jc w:val="center"/>
                        <w:rPr>
                          <w:rFonts w:hint="eastAsia" w:hAnsi="宋体"/>
                        </w:rPr>
                      </w:pPr>
                      <w:r>
                        <w:rPr>
                          <w:rFonts w:hint="eastAsia" w:hAnsi="宋体"/>
                        </w:rPr>
                        <w:t>法定代表人身份证正面</w:t>
                      </w:r>
                    </w:p>
                  </w:txbxContent>
                </v:textbox>
              </v:shape>
            </w:pict>
          </mc:Fallback>
        </mc:AlternateContent>
      </w:r>
    </w:p>
    <w:p w14:paraId="29417BDB">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395394EF">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0AB89D2E">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32B13989">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3E4CC636">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4700A4E2">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7666BEFD">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27FF370A">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13B41A88">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r>
        <w:rPr>
          <w:rFonts w:ascii="宋体" w:hAnsi="宋体" w:eastAsia="宋体" w:cs="宋体"/>
          <w:color w:val="auto"/>
          <w:szCs w:val="21"/>
          <w:highlight w:val="none"/>
        </w:rPr>
        <mc:AlternateContent>
          <mc:Choice Requires="wps">
            <w:drawing>
              <wp:anchor distT="0" distB="0" distL="114300" distR="114300" simplePos="0" relativeHeight="251665408" behindDoc="0" locked="0" layoutInCell="1" allowOverlap="1">
                <wp:simplePos x="0" y="0"/>
                <wp:positionH relativeFrom="column">
                  <wp:posOffset>3366770</wp:posOffset>
                </wp:positionH>
                <wp:positionV relativeFrom="paragraph">
                  <wp:posOffset>102235</wp:posOffset>
                </wp:positionV>
                <wp:extent cx="2743200" cy="1771650"/>
                <wp:effectExtent l="9525" t="13970" r="9525" b="508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wps:spPr>
                      <wps:txbx>
                        <w:txbxContent>
                          <w:p w14:paraId="437AA0E6">
                            <w:pPr>
                              <w:rPr>
                                <w:rFonts w:hint="eastAsia"/>
                              </w:rPr>
                            </w:pPr>
                          </w:p>
                          <w:p w14:paraId="1D8456E3">
                            <w:pPr>
                              <w:jc w:val="center"/>
                              <w:rPr>
                                <w:rFonts w:hint="eastAsia" w:hAnsi="宋体"/>
                                <w:color w:val="FF0000"/>
                              </w:rPr>
                            </w:pPr>
                          </w:p>
                          <w:p w14:paraId="5C0A8227">
                            <w:pPr>
                              <w:jc w:val="center"/>
                              <w:rPr>
                                <w:rFonts w:hint="eastAsia" w:hAnsi="宋体"/>
                                <w:color w:val="FF0000"/>
                              </w:rPr>
                            </w:pPr>
                          </w:p>
                          <w:p w14:paraId="6C12581A">
                            <w:pPr>
                              <w:jc w:val="center"/>
                              <w:rPr>
                                <w:rFonts w:hint="eastAsia" w:hAnsi="宋体"/>
                                <w:color w:val="FF0000"/>
                              </w:rPr>
                            </w:pPr>
                          </w:p>
                          <w:p w14:paraId="1AFD78C0">
                            <w:pPr>
                              <w:jc w:val="center"/>
                              <w:rPr>
                                <w:rFonts w:hint="eastAsia"/>
                              </w:rPr>
                            </w:pPr>
                            <w:r>
                              <w:rPr>
                                <w:rFonts w:hint="eastAsia" w:hAnsi="宋体"/>
                              </w:rPr>
                              <w:t>被授权人身份证反面</w:t>
                            </w:r>
                          </w:p>
                          <w:p w14:paraId="72C72913">
                            <w:pPr>
                              <w:rPr>
                                <w:rFonts w:hint="eastAsia"/>
                              </w:rPr>
                            </w:pPr>
                          </w:p>
                          <w:p w14:paraId="14E443FB">
                            <w:pPr>
                              <w:rPr>
                                <w:rFonts w:hint="eastAsia"/>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8.05pt;height:139.5pt;width:216pt;z-index:251665408;mso-width-relative:page;mso-height-relative:page;" fillcolor="#FFFFFF" filled="t" stroked="t" coordsize="21600,21600" o:gfxdata="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HyI9kAAAAKAQAADwAAAAAAAAABACAAAAAi&#10;AAAAZHJzL2Rvd25yZXYueG1sUEsBAhQAFAAAAAgAh07iQDsUtmVCAgAAiAQAAA4AAAAAAAAAAQAg&#10;AAAAKAEAAGRycy9lMm9Eb2MueG1sUEsFBgAAAAAGAAYAWQEAANwFAAAAAA==&#10;">
                <v:fill on="t" focussize="0,0"/>
                <v:stroke color="#000000" miterlimit="8" joinstyle="miter"/>
                <v:imagedata o:title=""/>
                <o:lock v:ext="edit" aspectratio="f"/>
                <v:textbox>
                  <w:txbxContent>
                    <w:p w14:paraId="437AA0E6">
                      <w:pPr>
                        <w:rPr>
                          <w:rFonts w:hint="eastAsia"/>
                        </w:rPr>
                      </w:pPr>
                    </w:p>
                    <w:p w14:paraId="1D8456E3">
                      <w:pPr>
                        <w:jc w:val="center"/>
                        <w:rPr>
                          <w:rFonts w:hint="eastAsia" w:hAnsi="宋体"/>
                          <w:color w:val="FF0000"/>
                        </w:rPr>
                      </w:pPr>
                    </w:p>
                    <w:p w14:paraId="5C0A8227">
                      <w:pPr>
                        <w:jc w:val="center"/>
                        <w:rPr>
                          <w:rFonts w:hint="eastAsia" w:hAnsi="宋体"/>
                          <w:color w:val="FF0000"/>
                        </w:rPr>
                      </w:pPr>
                    </w:p>
                    <w:p w14:paraId="6C12581A">
                      <w:pPr>
                        <w:jc w:val="center"/>
                        <w:rPr>
                          <w:rFonts w:hint="eastAsia" w:hAnsi="宋体"/>
                          <w:color w:val="FF0000"/>
                        </w:rPr>
                      </w:pPr>
                    </w:p>
                    <w:p w14:paraId="1AFD78C0">
                      <w:pPr>
                        <w:jc w:val="center"/>
                        <w:rPr>
                          <w:rFonts w:hint="eastAsia"/>
                        </w:rPr>
                      </w:pPr>
                      <w:r>
                        <w:rPr>
                          <w:rFonts w:hint="eastAsia" w:hAnsi="宋体"/>
                        </w:rPr>
                        <w:t>被授权人身份证反面</w:t>
                      </w:r>
                    </w:p>
                    <w:p w14:paraId="72C72913">
                      <w:pPr>
                        <w:rPr>
                          <w:rFonts w:hint="eastAsia"/>
                        </w:rPr>
                      </w:pPr>
                    </w:p>
                    <w:p w14:paraId="14E443FB">
                      <w:pPr>
                        <w:rPr>
                          <w:rFonts w:hint="eastAsia"/>
                        </w:rPr>
                      </w:pPr>
                    </w:p>
                  </w:txbxContent>
                </v:textbox>
              </v:shape>
            </w:pict>
          </mc:Fallback>
        </mc:AlternateContent>
      </w:r>
      <w:r>
        <w:rPr>
          <w:rFonts w:ascii="宋体" w:hAnsi="宋体" w:eastAsia="宋体" w:cs="宋体"/>
          <w:color w:val="auto"/>
          <w:szCs w:val="21"/>
          <w:highlight w:val="none"/>
        </w:rPr>
        <mc:AlternateContent>
          <mc:Choice Requires="wps">
            <w:drawing>
              <wp:anchor distT="0" distB="0" distL="114300" distR="114300" simplePos="0" relativeHeight="251663360" behindDoc="0" locked="0" layoutInCell="1" allowOverlap="1">
                <wp:simplePos x="0" y="0"/>
                <wp:positionH relativeFrom="column">
                  <wp:posOffset>309245</wp:posOffset>
                </wp:positionH>
                <wp:positionV relativeFrom="paragraph">
                  <wp:posOffset>102235</wp:posOffset>
                </wp:positionV>
                <wp:extent cx="2743200" cy="1771650"/>
                <wp:effectExtent l="9525" t="13970" r="9525" b="508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wps:spPr>
                      <wps:txbx>
                        <w:txbxContent>
                          <w:p w14:paraId="5B146EFA">
                            <w:pPr>
                              <w:rPr>
                                <w:rFonts w:hint="eastAsia"/>
                              </w:rPr>
                            </w:pPr>
                          </w:p>
                          <w:p w14:paraId="7F9CDA12">
                            <w:pPr>
                              <w:jc w:val="center"/>
                              <w:rPr>
                                <w:rFonts w:hint="eastAsia" w:hAnsi="宋体"/>
                                <w:color w:val="FF0000"/>
                              </w:rPr>
                            </w:pPr>
                          </w:p>
                          <w:p w14:paraId="69E87457">
                            <w:pPr>
                              <w:jc w:val="center"/>
                              <w:rPr>
                                <w:rFonts w:hint="eastAsia" w:hAnsi="宋体"/>
                                <w:color w:val="FF0000"/>
                              </w:rPr>
                            </w:pPr>
                          </w:p>
                          <w:p w14:paraId="6647212C">
                            <w:pPr>
                              <w:jc w:val="center"/>
                              <w:rPr>
                                <w:rFonts w:hint="eastAsia" w:hAnsi="宋体"/>
                                <w:color w:val="FF0000"/>
                              </w:rPr>
                            </w:pPr>
                          </w:p>
                          <w:p w14:paraId="570AD800">
                            <w:pPr>
                              <w:jc w:val="center"/>
                              <w:rPr>
                                <w:rFonts w:hint="eastAsia"/>
                              </w:rPr>
                            </w:pPr>
                            <w:r>
                              <w:rPr>
                                <w:rFonts w:hint="eastAsia" w:hAnsi="宋体"/>
                              </w:rPr>
                              <w:t>被授权人身份证正面</w:t>
                            </w:r>
                          </w:p>
                          <w:p w14:paraId="673C1B0E">
                            <w:pPr>
                              <w:rPr>
                                <w:rFonts w:hint="eastAsia"/>
                              </w:rPr>
                            </w:pPr>
                          </w:p>
                          <w:p w14:paraId="1D0B0B2C">
                            <w:pPr>
                              <w:rPr>
                                <w:rFonts w:hint="eastAsia"/>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8.05pt;height:139.5pt;width:216pt;z-index:251663360;mso-width-relative:page;mso-height-relative:page;" fillcolor="#FFFFFF" filled="t" stroked="t" coordsize="21600,21600" o:gfxdata="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LFRAn2AAAAAkBAAAPAAAAAAAAAAEAIAAA&#10;ACIAAABkcnMvZG93bnJldi54bWxQSwECFAAUAAAACACHTuJAY+kGYEUCAACIBAAADgAAAAAAAAAB&#10;ACAAAAAnAQAAZHJzL2Uyb0RvYy54bWxQSwUGAAAAAAYABgBZAQAA3gUAAAAA&#10;">
                <v:fill on="t" focussize="0,0"/>
                <v:stroke color="#000000" miterlimit="8" joinstyle="miter"/>
                <v:imagedata o:title=""/>
                <o:lock v:ext="edit" aspectratio="f"/>
                <v:textbox>
                  <w:txbxContent>
                    <w:p w14:paraId="5B146EFA">
                      <w:pPr>
                        <w:rPr>
                          <w:rFonts w:hint="eastAsia"/>
                        </w:rPr>
                      </w:pPr>
                    </w:p>
                    <w:p w14:paraId="7F9CDA12">
                      <w:pPr>
                        <w:jc w:val="center"/>
                        <w:rPr>
                          <w:rFonts w:hint="eastAsia" w:hAnsi="宋体"/>
                          <w:color w:val="FF0000"/>
                        </w:rPr>
                      </w:pPr>
                    </w:p>
                    <w:p w14:paraId="69E87457">
                      <w:pPr>
                        <w:jc w:val="center"/>
                        <w:rPr>
                          <w:rFonts w:hint="eastAsia" w:hAnsi="宋体"/>
                          <w:color w:val="FF0000"/>
                        </w:rPr>
                      </w:pPr>
                    </w:p>
                    <w:p w14:paraId="6647212C">
                      <w:pPr>
                        <w:jc w:val="center"/>
                        <w:rPr>
                          <w:rFonts w:hint="eastAsia" w:hAnsi="宋体"/>
                          <w:color w:val="FF0000"/>
                        </w:rPr>
                      </w:pPr>
                    </w:p>
                    <w:p w14:paraId="570AD800">
                      <w:pPr>
                        <w:jc w:val="center"/>
                        <w:rPr>
                          <w:rFonts w:hint="eastAsia"/>
                        </w:rPr>
                      </w:pPr>
                      <w:r>
                        <w:rPr>
                          <w:rFonts w:hint="eastAsia" w:hAnsi="宋体"/>
                        </w:rPr>
                        <w:t>被授权人身份证正面</w:t>
                      </w:r>
                    </w:p>
                    <w:p w14:paraId="673C1B0E">
                      <w:pPr>
                        <w:rPr>
                          <w:rFonts w:hint="eastAsia"/>
                        </w:rPr>
                      </w:pPr>
                    </w:p>
                    <w:p w14:paraId="1D0B0B2C">
                      <w:pPr>
                        <w:rPr>
                          <w:rFonts w:hint="eastAsia"/>
                        </w:rPr>
                      </w:pPr>
                    </w:p>
                  </w:txbxContent>
                </v:textbox>
              </v:shape>
            </w:pict>
          </mc:Fallback>
        </mc:AlternateContent>
      </w:r>
    </w:p>
    <w:p w14:paraId="27A4832E">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77D0E739">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23470B3E">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5DA576F3">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17511B0A">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51158585">
      <w:pPr>
        <w:widowControl/>
        <w:autoSpaceDE w:val="0"/>
        <w:autoSpaceDN w:val="0"/>
        <w:spacing w:before="120" w:after="120" w:line="360" w:lineRule="auto"/>
        <w:ind w:right="781" w:rightChars="372" w:firstLine="422" w:firstLineChars="200"/>
        <w:textAlignment w:val="bottom"/>
        <w:rPr>
          <w:rFonts w:hint="eastAsia" w:ascii="宋体" w:hAnsi="宋体" w:eastAsia="宋体" w:cs="宋体"/>
          <w:b/>
          <w:color w:val="auto"/>
          <w:szCs w:val="24"/>
          <w:highlight w:val="none"/>
        </w:rPr>
        <w:sectPr>
          <w:footerReference r:id="rId6" w:type="first"/>
          <w:footerReference r:id="rId5" w:type="default"/>
          <w:pgSz w:w="12240" w:h="15840"/>
          <w:pgMar w:top="1191" w:right="1043" w:bottom="1191" w:left="1043" w:header="720" w:footer="720" w:gutter="0"/>
          <w:cols w:space="720" w:num="1"/>
          <w:titlePg/>
          <w:docGrid w:linePitch="326" w:charSpace="0"/>
        </w:sectPr>
      </w:pPr>
      <w:r>
        <w:rPr>
          <w:rFonts w:hint="eastAsia" w:ascii="宋体" w:hAnsi="宋体" w:eastAsia="宋体" w:cs="宋体"/>
          <w:b/>
          <w:color w:val="auto"/>
          <w:szCs w:val="24"/>
          <w:highlight w:val="none"/>
        </w:rPr>
        <w:t>注：上述所附身份证应在有效期限内。</w:t>
      </w:r>
    </w:p>
    <w:p w14:paraId="207A26F2">
      <w:pPr>
        <w:pStyle w:val="5"/>
        <w:pageBreakBefore/>
        <w:spacing w:line="360" w:lineRule="auto"/>
        <w:rPr>
          <w:rFonts w:hint="eastAsia" w:hAnsi="宋体"/>
          <w:b/>
          <w:color w:val="auto"/>
          <w:sz w:val="30"/>
          <w:szCs w:val="30"/>
          <w:highlight w:val="none"/>
          <w:lang w:val="zh-CN"/>
        </w:rPr>
      </w:pPr>
      <w:bookmarkStart w:id="613" w:name="_Toc12400"/>
      <w:bookmarkStart w:id="614" w:name="_Toc11025"/>
      <w:bookmarkStart w:id="615" w:name="_Toc15716"/>
      <w:bookmarkStart w:id="616" w:name="_Toc16743"/>
      <w:bookmarkStart w:id="617" w:name="_Toc32328"/>
      <w:bookmarkStart w:id="618" w:name="_Toc25623"/>
      <w:bookmarkStart w:id="619" w:name="_Toc140596933"/>
      <w:bookmarkStart w:id="620" w:name="_Toc1977730"/>
      <w:bookmarkStart w:id="621" w:name="_Toc94107214"/>
      <w:bookmarkStart w:id="622" w:name="_Toc104991880"/>
      <w:bookmarkStart w:id="623" w:name="_Toc142508373"/>
      <w:r>
        <w:rPr>
          <w:rFonts w:hint="eastAsia" w:hAnsi="宋体" w:cs="宋体"/>
          <w:b/>
          <w:color w:val="auto"/>
          <w:sz w:val="30"/>
          <w:szCs w:val="30"/>
          <w:highlight w:val="none"/>
          <w:lang w:val="en-US" w:eastAsia="zh-CN"/>
        </w:rPr>
        <w:t>6</w:t>
      </w:r>
      <w:r>
        <w:rPr>
          <w:rFonts w:hint="eastAsia" w:hAnsi="宋体" w:cs="宋体"/>
          <w:b/>
          <w:color w:val="auto"/>
          <w:sz w:val="30"/>
          <w:szCs w:val="30"/>
          <w:highlight w:val="none"/>
        </w:rPr>
        <w:t>.6</w:t>
      </w:r>
      <w:r>
        <w:rPr>
          <w:rFonts w:hAnsi="宋体" w:cs="宋体"/>
          <w:b/>
          <w:color w:val="auto"/>
          <w:sz w:val="30"/>
          <w:szCs w:val="30"/>
          <w:highlight w:val="none"/>
        </w:rPr>
        <w:t xml:space="preserve"> </w:t>
      </w:r>
      <w:r>
        <w:rPr>
          <w:rFonts w:hint="eastAsia" w:hAnsi="宋体"/>
          <w:b/>
          <w:bCs/>
          <w:color w:val="auto"/>
          <w:kern w:val="2"/>
          <w:sz w:val="32"/>
          <w:szCs w:val="32"/>
          <w:highlight w:val="none"/>
        </w:rPr>
        <w:t>资格业绩</w:t>
      </w:r>
      <w:r>
        <w:rPr>
          <w:rFonts w:hint="eastAsia" w:hAnsi="宋体"/>
          <w:b/>
          <w:bCs/>
          <w:color w:val="auto"/>
          <w:sz w:val="32"/>
          <w:szCs w:val="32"/>
          <w:highlight w:val="none"/>
        </w:rPr>
        <w:t>【投标人2022年1月1日以来已完成一个市政类工程施工项目劳务分包</w:t>
      </w:r>
      <w:r>
        <w:rPr>
          <w:rFonts w:hint="eastAsia" w:hAnsi="宋体" w:cs="宋体"/>
          <w:b/>
          <w:bCs/>
          <w:color w:val="auto"/>
          <w:sz w:val="32"/>
          <w:szCs w:val="32"/>
          <w:highlight w:val="none"/>
        </w:rPr>
        <w:t>业绩</w:t>
      </w:r>
      <w:r>
        <w:rPr>
          <w:rFonts w:hint="eastAsia" w:hAnsi="宋体"/>
          <w:b/>
          <w:bCs/>
          <w:color w:val="auto"/>
          <w:sz w:val="32"/>
          <w:szCs w:val="32"/>
          <w:highlight w:val="none"/>
        </w:rPr>
        <w:t>（合同签订日期为2022年1月1日或以后）</w:t>
      </w:r>
      <w:bookmarkEnd w:id="613"/>
      <w:bookmarkEnd w:id="614"/>
      <w:bookmarkEnd w:id="615"/>
      <w:bookmarkEnd w:id="616"/>
      <w:bookmarkEnd w:id="617"/>
      <w:bookmarkEnd w:id="618"/>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723"/>
        <w:gridCol w:w="1050"/>
        <w:gridCol w:w="1051"/>
        <w:gridCol w:w="1051"/>
        <w:gridCol w:w="1226"/>
        <w:gridCol w:w="1051"/>
        <w:gridCol w:w="1051"/>
        <w:gridCol w:w="1053"/>
        <w:gridCol w:w="868"/>
      </w:tblGrid>
      <w:tr w14:paraId="7E96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627" w:hRule="exact"/>
          <w:jc w:val="center"/>
        </w:trPr>
        <w:tc>
          <w:tcPr>
            <w:tcW w:w="396" w:type="pct"/>
            <w:vAlign w:val="center"/>
          </w:tcPr>
          <w:p w14:paraId="62DFBCE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575" w:type="pct"/>
            <w:vAlign w:val="center"/>
          </w:tcPr>
          <w:p w14:paraId="6EA5C2B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575" w:type="pct"/>
            <w:vAlign w:val="center"/>
          </w:tcPr>
          <w:p w14:paraId="0D85E9B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承包内容</w:t>
            </w:r>
          </w:p>
        </w:tc>
        <w:tc>
          <w:tcPr>
            <w:tcW w:w="575" w:type="pct"/>
            <w:vAlign w:val="center"/>
          </w:tcPr>
          <w:p w14:paraId="726AB61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合同期限</w:t>
            </w:r>
          </w:p>
        </w:tc>
        <w:tc>
          <w:tcPr>
            <w:tcW w:w="671" w:type="pct"/>
            <w:vAlign w:val="center"/>
          </w:tcPr>
          <w:p w14:paraId="184CC943">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签约日期</w:t>
            </w:r>
          </w:p>
        </w:tc>
        <w:tc>
          <w:tcPr>
            <w:tcW w:w="575" w:type="pct"/>
            <w:vAlign w:val="center"/>
          </w:tcPr>
          <w:p w14:paraId="621098E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default" w:ascii="Times New Roman" w:hAnsi="Times New Roman" w:eastAsia="宋体" w:cs="Times New Roman"/>
                <w:color w:val="auto"/>
                <w:szCs w:val="21"/>
                <w:highlight w:val="none"/>
              </w:rPr>
              <w:t>验收时间</w:t>
            </w:r>
          </w:p>
        </w:tc>
        <w:tc>
          <w:tcPr>
            <w:tcW w:w="575" w:type="pct"/>
            <w:vAlign w:val="center"/>
          </w:tcPr>
          <w:p w14:paraId="5F7434E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质量情况</w:t>
            </w:r>
          </w:p>
        </w:tc>
        <w:tc>
          <w:tcPr>
            <w:tcW w:w="576" w:type="pct"/>
            <w:vAlign w:val="center"/>
          </w:tcPr>
          <w:p w14:paraId="69B6B8F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业主联系人及电话</w:t>
            </w:r>
          </w:p>
        </w:tc>
        <w:tc>
          <w:tcPr>
            <w:tcW w:w="475" w:type="pct"/>
            <w:vAlign w:val="center"/>
          </w:tcPr>
          <w:p w14:paraId="0A1D262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0EA5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96" w:type="pct"/>
            <w:vAlign w:val="center"/>
          </w:tcPr>
          <w:p w14:paraId="71084AE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575" w:type="pct"/>
            <w:vAlign w:val="center"/>
          </w:tcPr>
          <w:p w14:paraId="23212BCC">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vAlign w:val="center"/>
          </w:tcPr>
          <w:p w14:paraId="5DE0579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vAlign w:val="center"/>
          </w:tcPr>
          <w:p w14:paraId="464A58A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671" w:type="pct"/>
            <w:vAlign w:val="center"/>
          </w:tcPr>
          <w:p w14:paraId="140FBE0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tcPr>
          <w:p w14:paraId="6CB8F6D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vAlign w:val="center"/>
          </w:tcPr>
          <w:p w14:paraId="566894C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6" w:type="pct"/>
            <w:vAlign w:val="center"/>
          </w:tcPr>
          <w:p w14:paraId="6DF141F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475" w:type="pct"/>
            <w:vAlign w:val="center"/>
          </w:tcPr>
          <w:p w14:paraId="2BC75E4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1355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96" w:type="pct"/>
            <w:vAlign w:val="center"/>
          </w:tcPr>
          <w:p w14:paraId="23D5F83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575" w:type="pct"/>
            <w:vAlign w:val="center"/>
          </w:tcPr>
          <w:p w14:paraId="7C17DA3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vAlign w:val="center"/>
          </w:tcPr>
          <w:p w14:paraId="626596F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vAlign w:val="center"/>
          </w:tcPr>
          <w:p w14:paraId="42F49F6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671" w:type="pct"/>
            <w:vAlign w:val="center"/>
          </w:tcPr>
          <w:p w14:paraId="47E2EA0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tcPr>
          <w:p w14:paraId="74801E9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vAlign w:val="center"/>
          </w:tcPr>
          <w:p w14:paraId="514B751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6" w:type="pct"/>
            <w:vAlign w:val="center"/>
          </w:tcPr>
          <w:p w14:paraId="7236116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475" w:type="pct"/>
            <w:vAlign w:val="center"/>
          </w:tcPr>
          <w:p w14:paraId="0849A03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346B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96" w:type="pct"/>
            <w:vAlign w:val="center"/>
          </w:tcPr>
          <w:p w14:paraId="60F1021B">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575" w:type="pct"/>
            <w:vAlign w:val="center"/>
          </w:tcPr>
          <w:p w14:paraId="62FA90E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vAlign w:val="center"/>
          </w:tcPr>
          <w:p w14:paraId="6657EE5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vAlign w:val="center"/>
          </w:tcPr>
          <w:p w14:paraId="215DCD9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671" w:type="pct"/>
            <w:vAlign w:val="center"/>
          </w:tcPr>
          <w:p w14:paraId="4CB5C46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tcPr>
          <w:p w14:paraId="52E8778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vAlign w:val="center"/>
          </w:tcPr>
          <w:p w14:paraId="3CD207B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6" w:type="pct"/>
            <w:vAlign w:val="center"/>
          </w:tcPr>
          <w:p w14:paraId="3659B87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475" w:type="pct"/>
            <w:vAlign w:val="center"/>
          </w:tcPr>
          <w:p w14:paraId="55EEFEE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4C0D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96" w:type="pct"/>
            <w:vAlign w:val="center"/>
          </w:tcPr>
          <w:p w14:paraId="173FF03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default" w:ascii="宋体" w:hAnsi="宋体" w:eastAsia="宋体" w:cs="Courier New"/>
                <w:color w:val="auto"/>
                <w:kern w:val="0"/>
                <w:szCs w:val="21"/>
                <w:highlight w:val="none"/>
              </w:rPr>
              <w:t>…</w:t>
            </w:r>
          </w:p>
        </w:tc>
        <w:tc>
          <w:tcPr>
            <w:tcW w:w="575" w:type="pct"/>
            <w:vAlign w:val="center"/>
          </w:tcPr>
          <w:p w14:paraId="768F53A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vAlign w:val="center"/>
          </w:tcPr>
          <w:p w14:paraId="534A144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vAlign w:val="center"/>
          </w:tcPr>
          <w:p w14:paraId="728B70F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671" w:type="pct"/>
            <w:vAlign w:val="center"/>
          </w:tcPr>
          <w:p w14:paraId="6799E4B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tcPr>
          <w:p w14:paraId="58E1BCA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vAlign w:val="center"/>
          </w:tcPr>
          <w:p w14:paraId="524B636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6" w:type="pct"/>
            <w:vAlign w:val="center"/>
          </w:tcPr>
          <w:p w14:paraId="169334C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475" w:type="pct"/>
            <w:vAlign w:val="center"/>
          </w:tcPr>
          <w:p w14:paraId="62A188EB">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bl>
    <w:p w14:paraId="56EAF77A">
      <w:pPr>
        <w:spacing w:line="360" w:lineRule="auto"/>
        <w:ind w:left="424" w:hanging="424" w:hangingChars="201"/>
        <w:rPr>
          <w:rFonts w:hint="eastAsia" w:ascii="宋体" w:hAnsi="宋体" w:eastAsia="宋体" w:cs="宋体"/>
          <w:b/>
          <w:color w:val="auto"/>
          <w:szCs w:val="21"/>
          <w:highlight w:val="none"/>
          <w:lang w:val="zh-CN"/>
        </w:rPr>
      </w:pPr>
    </w:p>
    <w:p w14:paraId="152D0AF3">
      <w:pPr>
        <w:spacing w:line="360" w:lineRule="auto"/>
        <w:ind w:left="424" w:hanging="424" w:hangingChars="201"/>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资格业绩证明材料提交要求：</w:t>
      </w:r>
    </w:p>
    <w:p w14:paraId="312B4CFB">
      <w:pPr>
        <w:spacing w:line="360" w:lineRule="auto"/>
        <w:ind w:left="420" w:hanging="420" w:hanging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（1）业绩须附以下证明资料：合同（合同承包方必须为投标人）及相关验收证明</w:t>
      </w:r>
      <w:r>
        <w:rPr>
          <w:rFonts w:hint="eastAsia" w:ascii="宋体" w:hAnsi="宋体" w:eastAsia="宋体" w:cs="宋体"/>
          <w:color w:val="auto"/>
          <w:szCs w:val="21"/>
          <w:highlight w:val="none"/>
          <w:lang w:val="zh-CN"/>
        </w:rPr>
        <w:t>（验收证明可为劳务分包验收证明材料，或劳务结算确认材料，或劳务完工证明材料）</w:t>
      </w:r>
      <w:r>
        <w:rPr>
          <w:rFonts w:hint="eastAsia" w:ascii="宋体" w:hAnsi="宋体" w:eastAsia="宋体" w:cs="宋体"/>
          <w:color w:val="auto"/>
          <w:szCs w:val="21"/>
          <w:highlight w:val="none"/>
          <w:lang w:val="zh-CN"/>
        </w:rPr>
        <w:t>原件扫描件；</w:t>
      </w:r>
    </w:p>
    <w:p w14:paraId="7BD20A50">
      <w:pPr>
        <w:spacing w:line="360" w:lineRule="auto"/>
        <w:ind w:left="420" w:hanging="420" w:hanging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（2）业绩证明资料</w:t>
      </w:r>
      <w:r>
        <w:rPr>
          <w:rFonts w:hint="eastAsia" w:ascii="宋体" w:hAnsi="宋体" w:eastAsia="宋体" w:cs="宋体"/>
          <w:bCs/>
          <w:color w:val="auto"/>
          <w:szCs w:val="21"/>
          <w:highlight w:val="none"/>
          <w:lang w:val="zh-CN"/>
        </w:rPr>
        <w:t>必须能反映资格要求条件（1.合同签订日期为202</w:t>
      </w:r>
      <w:r>
        <w:rPr>
          <w:rFonts w:hint="eastAsia" w:ascii="宋体" w:hAnsi="宋体" w:eastAsia="宋体" w:cs="宋体"/>
          <w:bCs/>
          <w:color w:val="auto"/>
          <w:szCs w:val="21"/>
          <w:highlight w:val="none"/>
        </w:rPr>
        <w:t>2</w:t>
      </w:r>
      <w:r>
        <w:rPr>
          <w:rFonts w:hint="eastAsia" w:ascii="宋体" w:hAnsi="宋体" w:eastAsia="宋体" w:cs="宋体"/>
          <w:bCs/>
          <w:color w:val="auto"/>
          <w:szCs w:val="21"/>
          <w:highlight w:val="none"/>
          <w:lang w:val="zh-CN"/>
        </w:rPr>
        <w:t>年1月1日或以后；2.</w:t>
      </w:r>
      <w:r>
        <w:rPr>
          <w:rFonts w:hint="eastAsia" w:ascii="宋体" w:hAnsi="宋体" w:eastAsia="宋体" w:cs="宋体"/>
          <w:bCs/>
          <w:color w:val="auto"/>
          <w:szCs w:val="21"/>
          <w:highlight w:val="none"/>
        </w:rPr>
        <w:t>承包内容为市政类工程施工项目劳务分包</w:t>
      </w:r>
      <w:r>
        <w:rPr>
          <w:rFonts w:hint="eastAsia" w:ascii="宋体" w:hAnsi="宋体" w:eastAsia="宋体" w:cs="宋体"/>
          <w:bCs/>
          <w:color w:val="auto"/>
          <w:szCs w:val="21"/>
          <w:highlight w:val="none"/>
          <w:lang w:val="zh-CN"/>
        </w:rPr>
        <w:t>），否则还需提供合同</w:t>
      </w:r>
      <w:r>
        <w:rPr>
          <w:rFonts w:hint="eastAsia" w:ascii="宋体" w:hAnsi="宋体" w:eastAsia="宋体" w:cs="宋体"/>
          <w:bCs/>
          <w:color w:val="auto"/>
          <w:szCs w:val="21"/>
          <w:highlight w:val="none"/>
        </w:rPr>
        <w:t>发包方</w:t>
      </w:r>
      <w:r>
        <w:rPr>
          <w:rFonts w:hint="eastAsia" w:ascii="宋体" w:hAnsi="宋体" w:eastAsia="宋体" w:cs="宋体"/>
          <w:bCs/>
          <w:color w:val="auto"/>
          <w:szCs w:val="21"/>
          <w:highlight w:val="none"/>
          <w:lang w:val="zh-CN"/>
        </w:rPr>
        <w:t>出具的书面补充说明文件</w:t>
      </w:r>
      <w:r>
        <w:rPr>
          <w:rFonts w:hint="eastAsia" w:ascii="宋体" w:hAnsi="宋体" w:eastAsia="宋体" w:cs="宋体"/>
          <w:bCs/>
          <w:color w:val="auto"/>
          <w:szCs w:val="21"/>
          <w:highlight w:val="none"/>
        </w:rPr>
        <w:t>原件扫描件</w:t>
      </w:r>
      <w:r>
        <w:rPr>
          <w:rFonts w:hint="eastAsia" w:ascii="宋体" w:hAnsi="宋体" w:eastAsia="宋体" w:cs="宋体"/>
          <w:bCs/>
          <w:color w:val="auto"/>
          <w:szCs w:val="21"/>
          <w:highlight w:val="none"/>
          <w:lang w:val="zh-CN"/>
        </w:rPr>
        <w:t>作为辅助证明（补充说明文件原件扫描件能显示合同发包方公章）</w:t>
      </w:r>
      <w:r>
        <w:rPr>
          <w:rFonts w:hint="eastAsia" w:ascii="宋体" w:hAnsi="宋体" w:eastAsia="宋体" w:cs="宋体"/>
          <w:color w:val="auto"/>
          <w:szCs w:val="21"/>
          <w:highlight w:val="none"/>
          <w:lang w:val="zh-CN"/>
        </w:rPr>
        <w:t>；</w:t>
      </w:r>
    </w:p>
    <w:p w14:paraId="0596825E">
      <w:pPr>
        <w:tabs>
          <w:tab w:val="left" w:pos="567"/>
        </w:tabs>
        <w:autoSpaceDE w:val="0"/>
        <w:autoSpaceDN w:val="0"/>
        <w:adjustRightInd w:val="0"/>
        <w:spacing w:line="360" w:lineRule="auto"/>
        <w:ind w:left="422" w:hanging="422" w:hangingChars="200"/>
        <w:jc w:val="left"/>
        <w:rPr>
          <w:rFonts w:hint="eastAsia" w:ascii="宋体" w:hAnsi="宋体" w:eastAsia="宋体" w:cs="宋体"/>
          <w:b/>
          <w:color w:val="auto"/>
          <w:kern w:val="0"/>
          <w:sz w:val="30"/>
          <w:szCs w:val="30"/>
          <w:highlight w:val="none"/>
        </w:rPr>
      </w:pPr>
      <w:bookmarkStart w:id="624" w:name="_Toc12931"/>
      <w:bookmarkStart w:id="625" w:name="_Toc20010"/>
      <w:bookmarkStart w:id="626" w:name="_Toc24862"/>
      <w:r>
        <w:rPr>
          <w:rFonts w:hint="eastAsia" w:ascii="宋体" w:hAnsi="宋体" w:eastAsia="宋体" w:cs="宋体"/>
          <w:b/>
          <w:color w:val="auto"/>
          <w:szCs w:val="21"/>
          <w:highlight w:val="none"/>
          <w:lang w:val="zh-CN"/>
        </w:rPr>
        <w:t>（3）</w:t>
      </w:r>
      <w:bookmarkEnd w:id="624"/>
      <w:bookmarkEnd w:id="625"/>
      <w:bookmarkEnd w:id="626"/>
      <w:r>
        <w:rPr>
          <w:rFonts w:hint="eastAsia" w:ascii="宋体" w:hAnsi="宋体" w:eastAsia="宋体" w:cs="宋体"/>
          <w:b/>
          <w:color w:val="auto"/>
          <w:szCs w:val="21"/>
          <w:highlight w:val="none"/>
          <w:lang w:val="zh-CN"/>
        </w:rPr>
        <w:t>未按上述要求在此格式下提供证明材料的业绩，或在此格式下所附材料无法证明符合资格要求的业绩，按无效投标文件处理。</w:t>
      </w:r>
    </w:p>
    <w:p w14:paraId="6A24393A">
      <w:pPr>
        <w:rPr>
          <w:rFonts w:hint="eastAsia" w:ascii="宋体" w:hAnsi="宋体" w:eastAsia="宋体" w:cs="宋体"/>
          <w:b/>
          <w:color w:val="auto"/>
          <w:kern w:val="0"/>
          <w:sz w:val="30"/>
          <w:szCs w:val="30"/>
          <w:highlight w:val="none"/>
        </w:rPr>
      </w:pPr>
    </w:p>
    <w:p w14:paraId="29BD957B">
      <w:pPr>
        <w:rPr>
          <w:rFonts w:hint="eastAsia" w:ascii="宋体" w:hAnsi="宋体" w:eastAsia="宋体" w:cs="宋体"/>
          <w:b/>
          <w:color w:val="auto"/>
          <w:kern w:val="0"/>
          <w:sz w:val="30"/>
          <w:szCs w:val="30"/>
          <w:highlight w:val="none"/>
        </w:rPr>
      </w:pPr>
    </w:p>
    <w:p w14:paraId="4654F9AC">
      <w:pPr>
        <w:rPr>
          <w:rFonts w:hint="eastAsia" w:ascii="宋体" w:hAnsi="宋体" w:eastAsia="宋体" w:cs="宋体"/>
          <w:b/>
          <w:color w:val="auto"/>
          <w:kern w:val="0"/>
          <w:sz w:val="30"/>
          <w:szCs w:val="30"/>
          <w:highlight w:val="none"/>
        </w:rPr>
      </w:pPr>
      <w:r>
        <w:rPr>
          <w:rFonts w:ascii="宋体" w:hAnsi="宋体" w:eastAsia="宋体" w:cs="宋体"/>
          <w:b/>
          <w:color w:val="auto"/>
          <w:kern w:val="0"/>
          <w:sz w:val="30"/>
          <w:szCs w:val="30"/>
          <w:highlight w:val="none"/>
        </w:rPr>
        <w:br w:type="page"/>
      </w:r>
    </w:p>
    <w:p w14:paraId="3CF6E0F2">
      <w:pPr>
        <w:tabs>
          <w:tab w:val="left" w:pos="567"/>
        </w:tabs>
        <w:autoSpaceDE w:val="0"/>
        <w:autoSpaceDN w:val="0"/>
        <w:adjustRightInd w:val="0"/>
        <w:spacing w:line="360" w:lineRule="auto"/>
        <w:jc w:val="left"/>
        <w:outlineLvl w:val="2"/>
        <w:rPr>
          <w:rFonts w:hint="eastAsia" w:ascii="宋体" w:hAnsi="宋体" w:eastAsia="宋体" w:cs="Times New Roman"/>
          <w:b/>
          <w:bCs/>
          <w:color w:val="auto"/>
          <w:sz w:val="32"/>
          <w:szCs w:val="32"/>
          <w:highlight w:val="none"/>
          <w:lang w:val="zh-CN"/>
        </w:rPr>
      </w:pPr>
      <w:bookmarkStart w:id="627" w:name="_Toc24969"/>
      <w:bookmarkStart w:id="628" w:name="_Toc23011"/>
      <w:bookmarkStart w:id="629" w:name="_Toc7247"/>
      <w:bookmarkStart w:id="630" w:name="_Toc7508"/>
      <w:bookmarkStart w:id="631" w:name="_Toc21843"/>
      <w:bookmarkStart w:id="632" w:name="_Toc8121"/>
      <w:r>
        <w:rPr>
          <w:rFonts w:hint="eastAsia" w:ascii="宋体" w:hAnsi="宋体" w:eastAsia="宋体" w:cs="宋体"/>
          <w:b/>
          <w:color w:val="auto"/>
          <w:kern w:val="0"/>
          <w:sz w:val="30"/>
          <w:szCs w:val="30"/>
          <w:highlight w:val="none"/>
          <w:lang w:val="en-US" w:eastAsia="zh-CN"/>
        </w:rPr>
        <w:t>6</w:t>
      </w:r>
      <w:r>
        <w:rPr>
          <w:rFonts w:hint="eastAsia" w:ascii="宋体" w:hAnsi="宋体" w:eastAsia="宋体" w:cs="宋体"/>
          <w:b/>
          <w:color w:val="auto"/>
          <w:kern w:val="0"/>
          <w:sz w:val="30"/>
          <w:szCs w:val="30"/>
          <w:highlight w:val="none"/>
        </w:rPr>
        <w:t>.7 最近3年投标人牵涉的其他（失信和违法）处罚说明格式</w:t>
      </w:r>
      <w:bookmarkEnd w:id="619"/>
      <w:bookmarkEnd w:id="620"/>
      <w:bookmarkEnd w:id="621"/>
      <w:bookmarkEnd w:id="622"/>
      <w:bookmarkEnd w:id="623"/>
      <w:bookmarkEnd w:id="627"/>
      <w:bookmarkEnd w:id="628"/>
      <w:bookmarkEnd w:id="629"/>
      <w:bookmarkEnd w:id="630"/>
      <w:bookmarkEnd w:id="631"/>
      <w:bookmarkEnd w:id="632"/>
    </w:p>
    <w:p w14:paraId="179F29C8">
      <w:pPr>
        <w:autoSpaceDE w:val="0"/>
        <w:autoSpaceDN w:val="0"/>
        <w:adjustRightIn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30"/>
          <w:szCs w:val="30"/>
          <w:highlight w:val="none"/>
        </w:rPr>
        <w:t>最近3年投标人牵涉的其他（失信和违法）</w:t>
      </w:r>
      <w:r>
        <w:rPr>
          <w:rFonts w:hint="eastAsia" w:ascii="宋体" w:hAnsi="宋体" w:eastAsia="宋体" w:cs="宋体"/>
          <w:b/>
          <w:bCs/>
          <w:color w:val="auto"/>
          <w:sz w:val="32"/>
          <w:szCs w:val="32"/>
          <w:highlight w:val="none"/>
          <w:lang w:val="zh-CN"/>
        </w:rPr>
        <w:t>处罚说明</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1417"/>
        <w:gridCol w:w="2268"/>
        <w:gridCol w:w="1276"/>
      </w:tblGrid>
      <w:tr w14:paraId="75F6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253" w:type="dxa"/>
            <w:vAlign w:val="center"/>
          </w:tcPr>
          <w:p w14:paraId="002F7F2E">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事项名称</w:t>
            </w:r>
          </w:p>
        </w:tc>
        <w:tc>
          <w:tcPr>
            <w:tcW w:w="1417" w:type="dxa"/>
            <w:vAlign w:val="center"/>
          </w:tcPr>
          <w:p w14:paraId="55500CC3">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认定时间</w:t>
            </w:r>
          </w:p>
        </w:tc>
        <w:tc>
          <w:tcPr>
            <w:tcW w:w="2268" w:type="dxa"/>
          </w:tcPr>
          <w:p w14:paraId="1FD1738B">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处罚期届满异常名录信息失效时间</w:t>
            </w:r>
          </w:p>
        </w:tc>
        <w:tc>
          <w:tcPr>
            <w:tcW w:w="1276" w:type="dxa"/>
            <w:vAlign w:val="center"/>
          </w:tcPr>
          <w:p w14:paraId="37A942DF">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tc>
      </w:tr>
      <w:tr w14:paraId="12DB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253" w:type="dxa"/>
            <w:vAlign w:val="center"/>
          </w:tcPr>
          <w:p w14:paraId="103446C1">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是否被认定为失信被执行人</w:t>
            </w:r>
          </w:p>
        </w:tc>
        <w:tc>
          <w:tcPr>
            <w:tcW w:w="1417" w:type="dxa"/>
            <w:vAlign w:val="center"/>
          </w:tcPr>
          <w:p w14:paraId="4A50A4C0">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c>
          <w:tcPr>
            <w:tcW w:w="2268" w:type="dxa"/>
            <w:vAlign w:val="center"/>
          </w:tcPr>
          <w:p w14:paraId="1A6655F6">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c>
          <w:tcPr>
            <w:tcW w:w="1276" w:type="dxa"/>
            <w:vAlign w:val="center"/>
          </w:tcPr>
          <w:p w14:paraId="6F083359">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r>
      <w:tr w14:paraId="0B1A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253" w:type="dxa"/>
            <w:vAlign w:val="center"/>
          </w:tcPr>
          <w:p w14:paraId="33F30310">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是否被认定为重大税收违法失信主体</w:t>
            </w:r>
          </w:p>
        </w:tc>
        <w:tc>
          <w:tcPr>
            <w:tcW w:w="1417" w:type="dxa"/>
            <w:vAlign w:val="center"/>
          </w:tcPr>
          <w:p w14:paraId="5FF7B593">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c>
          <w:tcPr>
            <w:tcW w:w="2268" w:type="dxa"/>
            <w:vAlign w:val="center"/>
          </w:tcPr>
          <w:p w14:paraId="464814F4">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c>
          <w:tcPr>
            <w:tcW w:w="1276" w:type="dxa"/>
            <w:vAlign w:val="center"/>
          </w:tcPr>
          <w:p w14:paraId="061CF367">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r>
      <w:tr w14:paraId="219C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253" w:type="dxa"/>
            <w:vAlign w:val="center"/>
          </w:tcPr>
          <w:p w14:paraId="24FDF590">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是否被认定为政府采购严重违法失信行为记录名单</w:t>
            </w:r>
          </w:p>
        </w:tc>
        <w:tc>
          <w:tcPr>
            <w:tcW w:w="1417" w:type="dxa"/>
            <w:vAlign w:val="center"/>
          </w:tcPr>
          <w:p w14:paraId="1AD88E42">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c>
          <w:tcPr>
            <w:tcW w:w="2268" w:type="dxa"/>
            <w:vAlign w:val="center"/>
          </w:tcPr>
          <w:p w14:paraId="143650EA">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c>
          <w:tcPr>
            <w:tcW w:w="1276" w:type="dxa"/>
            <w:vAlign w:val="center"/>
          </w:tcPr>
          <w:p w14:paraId="02E13CA7">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r>
    </w:tbl>
    <w:p w14:paraId="731BDCE4">
      <w:pPr>
        <w:autoSpaceDE w:val="0"/>
        <w:autoSpaceDN w:val="0"/>
        <w:adjustRightInd w:val="0"/>
        <w:spacing w:line="360" w:lineRule="auto"/>
        <w:jc w:val="left"/>
        <w:rPr>
          <w:rFonts w:hint="eastAsia" w:ascii="宋体" w:hAnsi="宋体" w:eastAsia="宋体" w:cs="宋体"/>
          <w:color w:val="auto"/>
          <w:kern w:val="0"/>
          <w:szCs w:val="21"/>
          <w:highlight w:val="none"/>
        </w:rPr>
      </w:pPr>
    </w:p>
    <w:p w14:paraId="5790B791">
      <w:pPr>
        <w:autoSpaceDE w:val="0"/>
        <w:autoSpaceDN w:val="0"/>
        <w:adjustRightInd w:val="0"/>
        <w:spacing w:line="36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kern w:val="0"/>
          <w:szCs w:val="21"/>
          <w:highlight w:val="none"/>
        </w:rPr>
        <w:t>备注：根据投标人及其不具有独立法人资格的分支机构的实际情况自行编写，无相关事项的，在 “认定时间”列填“无”；若受到相关处罚的应附处罚相关材料复印件；若出现相关处罚的处罚期满,但处罚公示没有及时更新的情况,投标人须提供相关材料(复印件)佐证，需原件备查</w:t>
      </w:r>
      <w:r>
        <w:rPr>
          <w:rFonts w:hint="eastAsia" w:ascii="宋体" w:hAnsi="宋体" w:eastAsia="宋体" w:cs="宋体"/>
          <w:color w:val="auto"/>
          <w:szCs w:val="21"/>
          <w:highlight w:val="none"/>
          <w:lang w:val="zh-CN"/>
        </w:rPr>
        <w:t>。</w:t>
      </w:r>
    </w:p>
    <w:p w14:paraId="354CEEF9">
      <w:pPr>
        <w:autoSpaceDE w:val="0"/>
        <w:autoSpaceDN w:val="0"/>
        <w:adjustRightInd w:val="0"/>
        <w:ind w:right="-23" w:rightChars="-11"/>
        <w:jc w:val="left"/>
        <w:rPr>
          <w:rFonts w:hint="eastAsia" w:ascii="宋体" w:hAnsi="宋体" w:eastAsia="宋体" w:cs="Times New Roman"/>
          <w:b/>
          <w:bCs/>
          <w:color w:val="auto"/>
          <w:kern w:val="0"/>
          <w:szCs w:val="21"/>
          <w:highlight w:val="none"/>
          <w:lang w:val="zh-CN"/>
        </w:rPr>
      </w:pPr>
    </w:p>
    <w:p w14:paraId="055A5446">
      <w:pPr>
        <w:autoSpaceDE w:val="0"/>
        <w:autoSpaceDN w:val="0"/>
        <w:adjustRightInd w:val="0"/>
        <w:spacing w:line="360" w:lineRule="auto"/>
        <w:jc w:val="center"/>
        <w:rPr>
          <w:rFonts w:hint="eastAsia" w:ascii="宋体" w:hAnsi="宋体" w:eastAsia="宋体" w:cs="宋体"/>
          <w:color w:val="auto"/>
          <w:kern w:val="0"/>
          <w:sz w:val="24"/>
          <w:szCs w:val="24"/>
          <w:highlight w:val="none"/>
        </w:rPr>
      </w:pPr>
    </w:p>
    <w:p w14:paraId="238D35DE">
      <w:pPr>
        <w:spacing w:line="360" w:lineRule="auto"/>
        <w:ind w:firstLine="494" w:firstLineChars="206"/>
        <w:rPr>
          <w:rFonts w:hint="eastAsia" w:ascii="宋体" w:hAnsi="宋体" w:eastAsia="宋体" w:cs="宋体"/>
          <w:color w:val="auto"/>
          <w:kern w:val="0"/>
          <w:sz w:val="24"/>
          <w:szCs w:val="24"/>
          <w:highlight w:val="none"/>
        </w:rPr>
      </w:pPr>
    </w:p>
    <w:p w14:paraId="593B236C">
      <w:pPr>
        <w:spacing w:line="360" w:lineRule="auto"/>
        <w:ind w:firstLine="494" w:firstLineChars="206"/>
        <w:rPr>
          <w:rFonts w:hint="eastAsia" w:ascii="宋体" w:hAnsi="宋体" w:eastAsia="宋体" w:cs="宋体"/>
          <w:color w:val="auto"/>
          <w:kern w:val="0"/>
          <w:sz w:val="24"/>
          <w:szCs w:val="24"/>
          <w:highlight w:val="none"/>
        </w:rPr>
      </w:pPr>
    </w:p>
    <w:p w14:paraId="37052195">
      <w:pPr>
        <w:spacing w:line="360" w:lineRule="auto"/>
        <w:ind w:firstLine="494" w:firstLineChars="206"/>
        <w:rPr>
          <w:rFonts w:hint="eastAsia" w:ascii="宋体" w:hAnsi="宋体" w:eastAsia="宋体" w:cs="宋体"/>
          <w:color w:val="auto"/>
          <w:kern w:val="0"/>
          <w:sz w:val="24"/>
          <w:szCs w:val="24"/>
          <w:highlight w:val="none"/>
        </w:rPr>
      </w:pPr>
    </w:p>
    <w:p w14:paraId="1AE7BDBA">
      <w:pPr>
        <w:spacing w:line="360" w:lineRule="auto"/>
        <w:ind w:right="368" w:rightChars="175" w:firstLine="0" w:firstLineChars="0"/>
        <w:jc w:val="righ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4362D359">
      <w:pPr>
        <w:autoSpaceDE w:val="0"/>
        <w:autoSpaceDN w:val="0"/>
        <w:adjustRightInd w:val="0"/>
        <w:spacing w:line="360" w:lineRule="auto"/>
        <w:ind w:right="781" w:rightChars="372" w:firstLine="2811" w:firstLineChars="1339"/>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日  期：   年  月  日</w:t>
      </w:r>
    </w:p>
    <w:p w14:paraId="07C2A0D8">
      <w:pPr>
        <w:rPr>
          <w:rFonts w:hint="eastAsia" w:ascii="宋体" w:hAnsi="宋体" w:eastAsia="宋体" w:cs="宋体"/>
          <w:color w:val="auto"/>
          <w:szCs w:val="24"/>
          <w:highlight w:val="none"/>
          <w:lang w:val="zh-CN"/>
        </w:rPr>
      </w:pPr>
      <w:bookmarkStart w:id="633" w:name="_Toc140596934"/>
      <w:bookmarkStart w:id="634" w:name="_Toc1977731"/>
      <w:bookmarkStart w:id="635" w:name="_Toc102860423"/>
      <w:bookmarkStart w:id="636" w:name="_Toc142508374"/>
      <w:bookmarkStart w:id="637" w:name="_Toc94107215"/>
      <w:bookmarkStart w:id="638" w:name="_Toc102860079"/>
      <w:bookmarkStart w:id="639" w:name="_Toc104991881"/>
      <w:bookmarkStart w:id="640" w:name="_Toc30939"/>
      <w:bookmarkStart w:id="641" w:name="_Toc6412"/>
      <w:bookmarkStart w:id="642" w:name="_Toc2031_WPSOffice_Level2"/>
      <w:bookmarkStart w:id="643" w:name="_Toc533708126"/>
      <w:bookmarkStart w:id="644" w:name="_Toc486167714"/>
    </w:p>
    <w:p w14:paraId="54F12C99">
      <w:pPr>
        <w:jc w:val="center"/>
        <w:rPr>
          <w:rFonts w:hint="eastAsia" w:ascii="宋体" w:hAnsi="宋体" w:eastAsia="宋体" w:cs="宋体"/>
          <w:b/>
          <w:bCs/>
          <w:color w:val="auto"/>
          <w:szCs w:val="24"/>
          <w:highlight w:val="none"/>
          <w:lang w:val="zh-CN"/>
        </w:rPr>
      </w:pPr>
      <w:r>
        <w:rPr>
          <w:rFonts w:hint="eastAsia" w:ascii="宋体" w:hAnsi="宋体" w:eastAsia="宋体" w:cs="宋体"/>
          <w:b/>
          <w:bCs/>
          <w:color w:val="auto"/>
          <w:szCs w:val="24"/>
          <w:highlight w:val="none"/>
          <w:lang w:val="zh-CN"/>
        </w:rPr>
        <w:t>说明：由投标人使用投标人的企业数字证书电子签名。</w:t>
      </w:r>
    </w:p>
    <w:p w14:paraId="70183C0C">
      <w:pPr>
        <w:rPr>
          <w:rFonts w:hint="eastAsia" w:ascii="宋体" w:hAnsi="宋体" w:eastAsia="宋体" w:cs="宋体"/>
          <w:color w:val="auto"/>
          <w:szCs w:val="24"/>
          <w:highlight w:val="none"/>
          <w:lang w:val="zh-CN"/>
        </w:rPr>
      </w:pPr>
      <w:r>
        <w:rPr>
          <w:rFonts w:ascii="宋体" w:hAnsi="宋体" w:eastAsia="宋体" w:cs="宋体"/>
          <w:color w:val="auto"/>
          <w:szCs w:val="24"/>
          <w:highlight w:val="none"/>
          <w:lang w:val="zh-CN"/>
        </w:rPr>
        <w:br w:type="page"/>
      </w:r>
    </w:p>
    <w:p w14:paraId="6B36D805">
      <w:pPr>
        <w:tabs>
          <w:tab w:val="left" w:pos="567"/>
        </w:tabs>
        <w:autoSpaceDE w:val="0"/>
        <w:autoSpaceDN w:val="0"/>
        <w:adjustRightInd w:val="0"/>
        <w:spacing w:line="360" w:lineRule="auto"/>
        <w:jc w:val="left"/>
        <w:outlineLvl w:val="2"/>
        <w:rPr>
          <w:rFonts w:hint="eastAsia" w:ascii="宋体" w:hAnsi="宋体" w:eastAsia="宋体" w:cs="Times New Roman"/>
          <w:color w:val="auto"/>
          <w:kern w:val="0"/>
          <w:szCs w:val="21"/>
          <w:highlight w:val="none"/>
          <w:u w:val="single"/>
        </w:rPr>
      </w:pPr>
      <w:bookmarkStart w:id="645" w:name="_Toc21683"/>
      <w:bookmarkStart w:id="646" w:name="_Toc21849"/>
      <w:bookmarkStart w:id="647" w:name="_Toc26960"/>
      <w:bookmarkStart w:id="648" w:name="_Toc17508"/>
      <w:r>
        <w:rPr>
          <w:rFonts w:hint="eastAsia" w:ascii="宋体" w:hAnsi="宋体" w:eastAsia="宋体" w:cs="宋体"/>
          <w:b/>
          <w:color w:val="auto"/>
          <w:sz w:val="32"/>
          <w:szCs w:val="32"/>
          <w:highlight w:val="none"/>
          <w:lang w:val="en-US" w:eastAsia="zh-CN"/>
        </w:rPr>
        <w:t>七</w:t>
      </w:r>
      <w:r>
        <w:rPr>
          <w:rFonts w:hint="eastAsia" w:ascii="宋体" w:hAnsi="宋体" w:eastAsia="宋体" w:cs="宋体"/>
          <w:b/>
          <w:color w:val="auto"/>
          <w:kern w:val="0"/>
          <w:sz w:val="32"/>
          <w:szCs w:val="32"/>
          <w:highlight w:val="none"/>
        </w:rPr>
        <w:t>、投标人基本情况一览表</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13365A20">
      <w:pPr>
        <w:autoSpaceDE w:val="0"/>
        <w:autoSpaceDN w:val="0"/>
        <w:adjustRightInd w:val="0"/>
        <w:spacing w:line="360" w:lineRule="auto"/>
        <w:jc w:val="center"/>
        <w:rPr>
          <w:rFonts w:hint="eastAsia" w:ascii="宋体" w:hAnsi="宋体" w:eastAsia="宋体" w:cs="宋体"/>
          <w:b/>
          <w:bCs/>
          <w:color w:val="auto"/>
          <w:sz w:val="30"/>
          <w:szCs w:val="30"/>
          <w:highlight w:val="none"/>
        </w:rPr>
      </w:pPr>
      <w:bookmarkStart w:id="649" w:name="_Toc2773_WPSOffice_Level3"/>
      <w:r>
        <w:rPr>
          <w:rFonts w:hint="eastAsia" w:ascii="宋体" w:hAnsi="宋体" w:eastAsia="宋体" w:cs="宋体"/>
          <w:b/>
          <w:bCs/>
          <w:color w:val="auto"/>
          <w:sz w:val="30"/>
          <w:szCs w:val="30"/>
          <w:highlight w:val="none"/>
          <w:lang w:val="zh-CN"/>
        </w:rPr>
        <w:t>投标人基本情况一览表</w:t>
      </w:r>
      <w:bookmarkEnd w:id="649"/>
    </w:p>
    <w:p w14:paraId="5CE56869">
      <w:pPr>
        <w:autoSpaceDE w:val="0"/>
        <w:autoSpaceDN w:val="0"/>
        <w:adjustRightInd w:val="0"/>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1．名称及概况：</w:t>
      </w:r>
    </w:p>
    <w:p w14:paraId="6E0C82F6">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（1）投标人名称：________________________________________</w:t>
      </w:r>
    </w:p>
    <w:p w14:paraId="4D1FC579">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（2）总部地址：__________________________________________</w:t>
      </w:r>
    </w:p>
    <w:p w14:paraId="45EF9071">
      <w:pPr>
        <w:autoSpaceDE w:val="0"/>
        <w:autoSpaceDN w:val="0"/>
        <w:adjustRightInd w:val="0"/>
        <w:spacing w:line="360" w:lineRule="auto"/>
        <w:ind w:firstLine="66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邮政编码：__________________________________________</w:t>
      </w:r>
    </w:p>
    <w:p w14:paraId="1818247E">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电话号码：__________________________________________ </w:t>
      </w:r>
    </w:p>
    <w:p w14:paraId="7670F3E8">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传真号码：__________________________________________ </w:t>
      </w:r>
    </w:p>
    <w:p w14:paraId="27832930">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（3）成立和／或注册日期：________________________________</w:t>
      </w:r>
    </w:p>
    <w:p w14:paraId="362E4C92">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（4）法人代表：_____________________________________ ____</w:t>
      </w:r>
    </w:p>
    <w:p w14:paraId="31B6D8E3">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（5）开户银行：__________________________________________</w:t>
      </w:r>
    </w:p>
    <w:p w14:paraId="1DE5F123">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（6）开户账号：__________________________________________</w:t>
      </w:r>
    </w:p>
    <w:p w14:paraId="09519733">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（7）注册资金：__________________________________________</w:t>
      </w:r>
    </w:p>
    <w:p w14:paraId="652BB053">
      <w:pPr>
        <w:autoSpaceDE w:val="0"/>
        <w:autoSpaceDN w:val="0"/>
        <w:adjustRightInd w:val="0"/>
        <w:spacing w:line="360" w:lineRule="auto"/>
        <w:ind w:firstLine="42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（8）主要负责人姓名：____________________________________</w:t>
      </w:r>
    </w:p>
    <w:p w14:paraId="22B1F497">
      <w:pPr>
        <w:autoSpaceDE w:val="0"/>
        <w:autoSpaceDN w:val="0"/>
        <w:adjustRightInd w:val="0"/>
        <w:spacing w:line="360" w:lineRule="auto"/>
        <w:ind w:firstLine="42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 xml:space="preserve">（9）项目主要联系人（姓名、职务、通讯）：_________________   </w:t>
      </w:r>
    </w:p>
    <w:p w14:paraId="7321B03E">
      <w:pPr>
        <w:autoSpaceDE w:val="0"/>
        <w:autoSpaceDN w:val="0"/>
        <w:adjustRightInd w:val="0"/>
        <w:spacing w:line="360" w:lineRule="auto"/>
        <w:ind w:firstLine="42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（10）在中国的代表的姓名和地址（如有）：__________________</w:t>
      </w:r>
    </w:p>
    <w:p w14:paraId="58B6AF22">
      <w:pPr>
        <w:autoSpaceDE w:val="0"/>
        <w:autoSpaceDN w:val="0"/>
        <w:adjustRightInd w:val="0"/>
        <w:spacing w:line="360" w:lineRule="auto"/>
        <w:ind w:firstLine="42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2．供征询之银行的名称和地址：____________________________</w:t>
      </w:r>
    </w:p>
    <w:p w14:paraId="3598E53F">
      <w:pPr>
        <w:autoSpaceDE w:val="0"/>
        <w:autoSpaceDN w:val="0"/>
        <w:adjustRightInd w:val="0"/>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 xml:space="preserve">    3．公司所隶属之国际集团名称（如果是）____________________</w:t>
      </w:r>
    </w:p>
    <w:p w14:paraId="1F5F8D47">
      <w:pPr>
        <w:autoSpaceDE w:val="0"/>
        <w:autoSpaceDN w:val="0"/>
        <w:adjustRightInd w:val="0"/>
        <w:spacing w:line="360" w:lineRule="auto"/>
        <w:ind w:firstLine="42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4. 提交资料（包括但不限于组织架构、公司简介等）：</w:t>
      </w:r>
    </w:p>
    <w:p w14:paraId="35B1F791">
      <w:pPr>
        <w:autoSpaceDE w:val="0"/>
        <w:autoSpaceDN w:val="0"/>
        <w:adjustRightInd w:val="0"/>
        <w:spacing w:line="360" w:lineRule="auto"/>
        <w:ind w:firstLine="630" w:firstLineChars="3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（1）公司简介；</w:t>
      </w:r>
    </w:p>
    <w:p w14:paraId="00E7BCA4">
      <w:pPr>
        <w:autoSpaceDE w:val="0"/>
        <w:autoSpaceDN w:val="0"/>
        <w:adjustRightInd w:val="0"/>
        <w:spacing w:line="360" w:lineRule="auto"/>
        <w:ind w:firstLine="1155" w:firstLineChars="55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__________________________________________________</w:t>
      </w:r>
    </w:p>
    <w:p w14:paraId="141F5F78">
      <w:pPr>
        <w:autoSpaceDE w:val="0"/>
        <w:autoSpaceDN w:val="0"/>
        <w:adjustRightInd w:val="0"/>
        <w:spacing w:line="360" w:lineRule="auto"/>
        <w:ind w:firstLine="630" w:firstLineChars="3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（2）公司组织架构；</w:t>
      </w:r>
    </w:p>
    <w:p w14:paraId="593628AC">
      <w:pPr>
        <w:autoSpaceDE w:val="0"/>
        <w:autoSpaceDN w:val="0"/>
        <w:adjustRightInd w:val="0"/>
        <w:spacing w:line="360" w:lineRule="auto"/>
        <w:ind w:firstLine="1155" w:firstLineChars="55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_______________________________________________</w:t>
      </w:r>
      <w:r>
        <w:rPr>
          <w:rFonts w:hint="eastAsia" w:ascii="宋体" w:hAnsi="宋体" w:eastAsia="宋体" w:cs="宋体"/>
          <w:color w:val="auto"/>
          <w:szCs w:val="24"/>
          <w:highlight w:val="none"/>
          <w:u w:val="single"/>
          <w:lang w:val="zh-CN"/>
        </w:rPr>
        <w:t xml:space="preserve">__ </w:t>
      </w:r>
    </w:p>
    <w:p w14:paraId="4347D962">
      <w:pPr>
        <w:autoSpaceDE w:val="0"/>
        <w:autoSpaceDN w:val="0"/>
        <w:adjustRightInd w:val="0"/>
        <w:spacing w:line="360" w:lineRule="auto"/>
        <w:ind w:left="836" w:leftChars="137" w:hanging="548" w:hangingChars="261"/>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（3）东莞市内设有分支机构情况介绍[应提供该分支机构的多证合一营业执照复印件等证明材料]（若无前述分支机构的无需介绍）。</w:t>
      </w:r>
    </w:p>
    <w:p w14:paraId="6909F883">
      <w:pPr>
        <w:autoSpaceDE w:val="0"/>
        <w:autoSpaceDN w:val="0"/>
        <w:adjustRightInd w:val="0"/>
        <w:spacing w:line="360" w:lineRule="auto"/>
        <w:ind w:firstLine="42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兹证明上述说明是真实、正确的，并提供了全部能提供的资料和数据，我们同意遵照贵方要求出示有关证明文件。</w:t>
      </w:r>
    </w:p>
    <w:p w14:paraId="4428BC1A">
      <w:pPr>
        <w:autoSpaceDE w:val="0"/>
        <w:autoSpaceDN w:val="0"/>
        <w:adjustRightInd w:val="0"/>
        <w:spacing w:line="360" w:lineRule="auto"/>
        <w:ind w:firstLine="420" w:firstLineChars="200"/>
        <w:rPr>
          <w:rFonts w:hint="eastAsia" w:ascii="宋体" w:hAnsi="宋体" w:eastAsia="宋体" w:cs="宋体"/>
          <w:color w:val="auto"/>
          <w:szCs w:val="24"/>
          <w:highlight w:val="none"/>
        </w:rPr>
      </w:pPr>
    </w:p>
    <w:p w14:paraId="65DAE232">
      <w:pPr>
        <w:autoSpaceDE w:val="0"/>
        <w:autoSpaceDN w:val="0"/>
        <w:adjustRightInd w:val="0"/>
        <w:spacing w:line="360" w:lineRule="auto"/>
        <w:ind w:right="368" w:rightChars="175"/>
        <w:jc w:val="right"/>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投标人</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u w:val="single"/>
          <w:lang w:val="zh-CN"/>
        </w:rPr>
        <w:t xml:space="preserve">             （企业数字证书电子签名）</w:t>
      </w:r>
    </w:p>
    <w:p w14:paraId="214A90F1">
      <w:pPr>
        <w:autoSpaceDE w:val="0"/>
        <w:autoSpaceDN w:val="0"/>
        <w:adjustRightInd w:val="0"/>
        <w:spacing w:line="360" w:lineRule="auto"/>
        <w:ind w:right="368" w:rightChars="175"/>
        <w:jc w:val="right"/>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日  期：</w:t>
      </w:r>
      <w:r>
        <w:rPr>
          <w:rFonts w:hint="eastAsia" w:ascii="宋体" w:hAnsi="宋体" w:eastAsia="宋体" w:cs="宋体"/>
          <w:color w:val="auto"/>
          <w:szCs w:val="24"/>
          <w:highlight w:val="none"/>
        </w:rPr>
        <w:t xml:space="preserve">   </w:t>
      </w:r>
      <w:r>
        <w:rPr>
          <w:rFonts w:hint="eastAsia" w:ascii="宋体" w:hAnsi="宋体" w:eastAsia="宋体" w:cs="宋体"/>
          <w:color w:val="auto"/>
          <w:szCs w:val="24"/>
          <w:highlight w:val="none"/>
          <w:lang w:val="zh-CN"/>
        </w:rPr>
        <w:t xml:space="preserve">年  </w:t>
      </w:r>
      <w:r>
        <w:rPr>
          <w:rFonts w:hint="eastAsia" w:ascii="宋体" w:hAnsi="宋体" w:eastAsia="宋体" w:cs="宋体"/>
          <w:color w:val="auto"/>
          <w:szCs w:val="24"/>
          <w:highlight w:val="none"/>
        </w:rPr>
        <w:t xml:space="preserve"> </w:t>
      </w:r>
      <w:r>
        <w:rPr>
          <w:rFonts w:hint="eastAsia" w:ascii="宋体" w:hAnsi="宋体" w:eastAsia="宋体" w:cs="宋体"/>
          <w:color w:val="auto"/>
          <w:szCs w:val="24"/>
          <w:highlight w:val="none"/>
          <w:lang w:val="zh-CN"/>
        </w:rPr>
        <w:t xml:space="preserve">月  </w:t>
      </w:r>
      <w:r>
        <w:rPr>
          <w:rFonts w:hint="eastAsia" w:ascii="宋体" w:hAnsi="宋体" w:eastAsia="宋体" w:cs="宋体"/>
          <w:color w:val="auto"/>
          <w:szCs w:val="24"/>
          <w:highlight w:val="none"/>
        </w:rPr>
        <w:t xml:space="preserve"> </w:t>
      </w:r>
      <w:r>
        <w:rPr>
          <w:rFonts w:hint="eastAsia" w:ascii="宋体" w:hAnsi="宋体" w:eastAsia="宋体" w:cs="宋体"/>
          <w:color w:val="auto"/>
          <w:szCs w:val="24"/>
          <w:highlight w:val="none"/>
          <w:lang w:val="zh-CN"/>
        </w:rPr>
        <w:t>日</w:t>
      </w:r>
    </w:p>
    <w:p w14:paraId="5C652E13">
      <w:pPr>
        <w:tabs>
          <w:tab w:val="left" w:pos="567"/>
        </w:tabs>
        <w:autoSpaceDE w:val="0"/>
        <w:autoSpaceDN w:val="0"/>
        <w:adjustRightInd w:val="0"/>
        <w:spacing w:line="360" w:lineRule="auto"/>
        <w:ind w:left="357" w:leftChars="-100" w:hanging="567"/>
        <w:jc w:val="center"/>
        <w:rPr>
          <w:rFonts w:hint="eastAsia" w:ascii="宋体" w:hAnsi="宋体" w:eastAsia="宋体" w:cs="宋体"/>
          <w:b/>
          <w:bCs/>
          <w:color w:val="auto"/>
          <w:szCs w:val="24"/>
          <w:highlight w:val="none"/>
          <w:lang w:val="zh-CN"/>
        </w:rPr>
      </w:pPr>
    </w:p>
    <w:p w14:paraId="25F1C211">
      <w:pPr>
        <w:tabs>
          <w:tab w:val="left" w:pos="567"/>
        </w:tabs>
        <w:autoSpaceDE w:val="0"/>
        <w:autoSpaceDN w:val="0"/>
        <w:adjustRightInd w:val="0"/>
        <w:spacing w:line="360" w:lineRule="auto"/>
        <w:ind w:left="357" w:leftChars="-100" w:hanging="567"/>
        <w:jc w:val="center"/>
        <w:rPr>
          <w:rFonts w:hint="eastAsia" w:ascii="宋体" w:hAnsi="宋体" w:eastAsia="宋体" w:cs="宋体"/>
          <w:b/>
          <w:bCs/>
          <w:color w:val="auto"/>
          <w:szCs w:val="24"/>
          <w:highlight w:val="none"/>
          <w:lang w:val="zh-CN"/>
        </w:rPr>
      </w:pPr>
      <w:r>
        <w:rPr>
          <w:rFonts w:hint="eastAsia" w:ascii="宋体" w:hAnsi="宋体" w:eastAsia="宋体" w:cs="宋体"/>
          <w:b/>
          <w:bCs/>
          <w:color w:val="auto"/>
          <w:szCs w:val="24"/>
          <w:highlight w:val="none"/>
          <w:lang w:val="zh-CN"/>
        </w:rPr>
        <w:t>说明：由投标人使用投标人的企业数字证书电子签名。</w:t>
      </w:r>
    </w:p>
    <w:p w14:paraId="11060983">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b/>
          <w:color w:val="auto"/>
          <w:kern w:val="0"/>
          <w:sz w:val="32"/>
          <w:szCs w:val="32"/>
          <w:highlight w:val="none"/>
        </w:rPr>
      </w:pPr>
      <w:r>
        <w:rPr>
          <w:rFonts w:hint="eastAsia" w:ascii="宋体" w:hAnsi="宋体" w:eastAsia="宋体" w:cs="宋体"/>
          <w:color w:val="auto"/>
          <w:szCs w:val="24"/>
          <w:highlight w:val="none"/>
          <w:lang w:val="zh-CN"/>
        </w:rPr>
        <w:br w:type="page"/>
      </w:r>
      <w:bookmarkStart w:id="650" w:name="_Toc10443"/>
      <w:bookmarkStart w:id="651" w:name="_Toc94107216"/>
      <w:bookmarkStart w:id="652" w:name="_Toc6802"/>
      <w:bookmarkStart w:id="653" w:name="_Toc102860424"/>
      <w:bookmarkStart w:id="654" w:name="_Toc25827"/>
      <w:bookmarkStart w:id="655" w:name="_Toc4023"/>
      <w:bookmarkStart w:id="656" w:name="_Toc140596935"/>
      <w:bookmarkStart w:id="657" w:name="_Toc29014"/>
      <w:bookmarkStart w:id="658" w:name="_Toc104991882"/>
      <w:bookmarkStart w:id="659" w:name="_Toc1384"/>
      <w:bookmarkStart w:id="660" w:name="_Toc142508375"/>
      <w:bookmarkStart w:id="661" w:name="_Toc102860080"/>
      <w:bookmarkStart w:id="662" w:name="_Toc9051_WPSOffice_Level2"/>
      <w:bookmarkStart w:id="663" w:name="_Toc486167715"/>
      <w:bookmarkStart w:id="664" w:name="_Toc533708128"/>
      <w:bookmarkStart w:id="665" w:name="_Toc1977733"/>
      <w:r>
        <w:rPr>
          <w:rFonts w:hint="eastAsia" w:ascii="宋体" w:hAnsi="宋体" w:eastAsia="宋体" w:cs="宋体"/>
          <w:b/>
          <w:color w:val="auto"/>
          <w:sz w:val="32"/>
          <w:szCs w:val="32"/>
          <w:highlight w:val="none"/>
          <w:lang w:val="en-US" w:eastAsia="zh-CN"/>
        </w:rPr>
        <w:t>八</w:t>
      </w:r>
      <w:r>
        <w:rPr>
          <w:rFonts w:hint="eastAsia" w:ascii="宋体" w:hAnsi="宋体" w:eastAsia="宋体" w:cs="宋体"/>
          <w:b/>
          <w:color w:val="auto"/>
          <w:sz w:val="32"/>
          <w:szCs w:val="32"/>
          <w:highlight w:val="none"/>
          <w:lang w:val="zh-CN"/>
        </w:rPr>
        <w:t>、投标人财务状况表格式</w:t>
      </w:r>
      <w:bookmarkEnd w:id="650"/>
      <w:bookmarkEnd w:id="651"/>
      <w:bookmarkEnd w:id="652"/>
      <w:bookmarkEnd w:id="653"/>
      <w:bookmarkEnd w:id="654"/>
      <w:bookmarkEnd w:id="655"/>
      <w:bookmarkEnd w:id="656"/>
      <w:bookmarkEnd w:id="657"/>
      <w:bookmarkEnd w:id="658"/>
      <w:bookmarkEnd w:id="659"/>
      <w:bookmarkEnd w:id="660"/>
      <w:bookmarkEnd w:id="661"/>
    </w:p>
    <w:p w14:paraId="02A3B807">
      <w:pPr>
        <w:autoSpaceDE w:val="0"/>
        <w:autoSpaceDN w:val="0"/>
        <w:adjustRightInd w:val="0"/>
        <w:spacing w:line="360" w:lineRule="auto"/>
        <w:jc w:val="cente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 xml:space="preserve">投标人财务状况表 </w:t>
      </w:r>
    </w:p>
    <w:p w14:paraId="0659907D">
      <w:pPr>
        <w:autoSpaceDE w:val="0"/>
        <w:autoSpaceDN w:val="0"/>
        <w:adjustRightInd w:val="0"/>
        <w:spacing w:line="360" w:lineRule="auto"/>
        <w:jc w:val="righ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[价格单位：（人民币）元]</w:t>
      </w:r>
    </w:p>
    <w:tbl>
      <w:tblPr>
        <w:tblStyle w:val="39"/>
        <w:tblW w:w="982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6"/>
        <w:gridCol w:w="1944"/>
        <w:gridCol w:w="1946"/>
        <w:gridCol w:w="2713"/>
        <w:gridCol w:w="2060"/>
      </w:tblGrid>
      <w:tr w14:paraId="040258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166" w:type="dxa"/>
            <w:vAlign w:val="center"/>
          </w:tcPr>
          <w:p w14:paraId="300C5872">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年  度</w:t>
            </w:r>
          </w:p>
        </w:tc>
        <w:tc>
          <w:tcPr>
            <w:tcW w:w="1944" w:type="dxa"/>
            <w:vAlign w:val="center"/>
          </w:tcPr>
          <w:p w14:paraId="590A015E">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总资产（元）</w:t>
            </w:r>
          </w:p>
        </w:tc>
        <w:tc>
          <w:tcPr>
            <w:tcW w:w="1946" w:type="dxa"/>
            <w:vAlign w:val="center"/>
          </w:tcPr>
          <w:p w14:paraId="1A0EFFDB">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净资产（元）</w:t>
            </w:r>
          </w:p>
        </w:tc>
        <w:tc>
          <w:tcPr>
            <w:tcW w:w="2713" w:type="dxa"/>
            <w:vAlign w:val="center"/>
          </w:tcPr>
          <w:p w14:paraId="2B3D7992">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年营业额（元）</w:t>
            </w:r>
          </w:p>
        </w:tc>
        <w:tc>
          <w:tcPr>
            <w:tcW w:w="2060" w:type="dxa"/>
            <w:vAlign w:val="center"/>
          </w:tcPr>
          <w:p w14:paraId="31FFE22F">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年净利润（元）</w:t>
            </w:r>
          </w:p>
        </w:tc>
      </w:tr>
      <w:tr w14:paraId="7E11F0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166" w:type="dxa"/>
            <w:vAlign w:val="center"/>
          </w:tcPr>
          <w:p w14:paraId="3C23F6FD">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2021</w:t>
            </w:r>
          </w:p>
        </w:tc>
        <w:tc>
          <w:tcPr>
            <w:tcW w:w="1944" w:type="dxa"/>
            <w:vAlign w:val="center"/>
          </w:tcPr>
          <w:p w14:paraId="72C23FE2">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c>
          <w:tcPr>
            <w:tcW w:w="1946" w:type="dxa"/>
            <w:vAlign w:val="center"/>
          </w:tcPr>
          <w:p w14:paraId="7BBF3D13">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c>
          <w:tcPr>
            <w:tcW w:w="2713" w:type="dxa"/>
            <w:vAlign w:val="center"/>
          </w:tcPr>
          <w:p w14:paraId="6D9FB826">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c>
          <w:tcPr>
            <w:tcW w:w="2060" w:type="dxa"/>
            <w:vAlign w:val="center"/>
          </w:tcPr>
          <w:p w14:paraId="4BBF9A55">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r>
      <w:tr w14:paraId="4517E8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166" w:type="dxa"/>
            <w:vAlign w:val="center"/>
          </w:tcPr>
          <w:p w14:paraId="0D8C7B27">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2022</w:t>
            </w:r>
          </w:p>
        </w:tc>
        <w:tc>
          <w:tcPr>
            <w:tcW w:w="1944" w:type="dxa"/>
            <w:vAlign w:val="center"/>
          </w:tcPr>
          <w:p w14:paraId="01F9DC74">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c>
          <w:tcPr>
            <w:tcW w:w="1946" w:type="dxa"/>
            <w:vAlign w:val="center"/>
          </w:tcPr>
          <w:p w14:paraId="66051840">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c>
          <w:tcPr>
            <w:tcW w:w="2713" w:type="dxa"/>
          </w:tcPr>
          <w:p w14:paraId="086ACA99">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c>
          <w:tcPr>
            <w:tcW w:w="2060" w:type="dxa"/>
            <w:vAlign w:val="center"/>
          </w:tcPr>
          <w:p w14:paraId="1B1708B5">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r>
      <w:tr w14:paraId="1D451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166" w:type="dxa"/>
            <w:vAlign w:val="center"/>
          </w:tcPr>
          <w:p w14:paraId="55936CDC">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2023</w:t>
            </w:r>
          </w:p>
        </w:tc>
        <w:tc>
          <w:tcPr>
            <w:tcW w:w="1944" w:type="dxa"/>
            <w:vAlign w:val="center"/>
          </w:tcPr>
          <w:p w14:paraId="20FBACFD">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c>
          <w:tcPr>
            <w:tcW w:w="1946" w:type="dxa"/>
            <w:vAlign w:val="center"/>
          </w:tcPr>
          <w:p w14:paraId="7AF9FB53">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c>
          <w:tcPr>
            <w:tcW w:w="2713" w:type="dxa"/>
          </w:tcPr>
          <w:p w14:paraId="603D35A2">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c>
          <w:tcPr>
            <w:tcW w:w="2060" w:type="dxa"/>
            <w:vAlign w:val="center"/>
          </w:tcPr>
          <w:p w14:paraId="23D903CD">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r>
      <w:tr w14:paraId="584E6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5056" w:type="dxa"/>
            <w:gridSpan w:val="3"/>
            <w:vAlign w:val="center"/>
          </w:tcPr>
          <w:p w14:paraId="13C2DD1C">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总计</w:t>
            </w:r>
          </w:p>
        </w:tc>
        <w:tc>
          <w:tcPr>
            <w:tcW w:w="2713" w:type="dxa"/>
          </w:tcPr>
          <w:p w14:paraId="17137F24">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c>
          <w:tcPr>
            <w:tcW w:w="2060" w:type="dxa"/>
            <w:vAlign w:val="center"/>
          </w:tcPr>
          <w:p w14:paraId="7A0FC2D3">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r>
    </w:tbl>
    <w:p w14:paraId="51361E1D">
      <w:pPr>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需提供对应年度经独立会计师事务所审计的审计报告及投标人财务状况表；若投标人为新成立或未进行独立会计师事务所审计的，本表中对应年度的财务信息应填写“/”，投标人的投标文件不作无效投标处理，但存在因不符合评标办法中的评分标准而导致对应项不得分。</w:t>
      </w:r>
    </w:p>
    <w:p w14:paraId="37E718AD">
      <w:pPr>
        <w:autoSpaceDE w:val="0"/>
        <w:autoSpaceDN w:val="0"/>
        <w:adjustRightInd w:val="0"/>
        <w:spacing w:line="360" w:lineRule="auto"/>
        <w:ind w:firstLine="5409" w:firstLineChars="2576"/>
        <w:rPr>
          <w:rFonts w:hint="eastAsia" w:ascii="宋体" w:hAnsi="宋体" w:eastAsia="宋体" w:cs="宋体"/>
          <w:color w:val="auto"/>
          <w:szCs w:val="24"/>
          <w:highlight w:val="none"/>
          <w:lang w:val="zh-CN"/>
        </w:rPr>
      </w:pPr>
    </w:p>
    <w:p w14:paraId="08E7425B">
      <w:pPr>
        <w:autoSpaceDE w:val="0"/>
        <w:autoSpaceDN w:val="0"/>
        <w:adjustRightInd w:val="0"/>
        <w:spacing w:line="360" w:lineRule="auto"/>
        <w:ind w:firstLine="5409" w:firstLineChars="2576"/>
        <w:rPr>
          <w:rFonts w:hint="eastAsia" w:ascii="宋体" w:hAnsi="宋体" w:eastAsia="宋体" w:cs="宋体"/>
          <w:color w:val="auto"/>
          <w:szCs w:val="24"/>
          <w:highlight w:val="none"/>
          <w:lang w:val="zh-CN"/>
        </w:rPr>
      </w:pPr>
    </w:p>
    <w:p w14:paraId="41920799">
      <w:pPr>
        <w:autoSpaceDE w:val="0"/>
        <w:autoSpaceDN w:val="0"/>
        <w:adjustRightInd w:val="0"/>
        <w:spacing w:line="360" w:lineRule="auto"/>
        <w:jc w:val="right"/>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lang w:val="zh-CN"/>
        </w:rPr>
        <w:t>投标人：</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（企业数字证书电子签名）</w:t>
      </w:r>
    </w:p>
    <w:p w14:paraId="1D1B417E">
      <w:pPr>
        <w:autoSpaceDE w:val="0"/>
        <w:autoSpaceDN w:val="0"/>
        <w:adjustRightInd w:val="0"/>
        <w:spacing w:line="360" w:lineRule="auto"/>
        <w:jc w:val="right"/>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 xml:space="preserve">日期：  </w:t>
      </w:r>
      <w:r>
        <w:rPr>
          <w:rFonts w:hint="eastAsia" w:ascii="宋体" w:hAnsi="宋体" w:eastAsia="宋体" w:cs="宋体"/>
          <w:color w:val="auto"/>
          <w:szCs w:val="24"/>
          <w:highlight w:val="none"/>
        </w:rPr>
        <w:t xml:space="preserve"> </w:t>
      </w:r>
      <w:r>
        <w:rPr>
          <w:rFonts w:hint="eastAsia" w:ascii="宋体" w:hAnsi="宋体" w:eastAsia="宋体" w:cs="宋体"/>
          <w:color w:val="auto"/>
          <w:szCs w:val="24"/>
          <w:highlight w:val="none"/>
          <w:lang w:val="zh-CN"/>
        </w:rPr>
        <w:t xml:space="preserve"> 年   </w:t>
      </w:r>
      <w:r>
        <w:rPr>
          <w:rFonts w:hint="eastAsia" w:ascii="宋体" w:hAnsi="宋体" w:eastAsia="宋体" w:cs="宋体"/>
          <w:color w:val="auto"/>
          <w:szCs w:val="24"/>
          <w:highlight w:val="none"/>
        </w:rPr>
        <w:t xml:space="preserve"> </w:t>
      </w:r>
      <w:r>
        <w:rPr>
          <w:rFonts w:hint="eastAsia" w:ascii="宋体" w:hAnsi="宋体" w:eastAsia="宋体" w:cs="宋体"/>
          <w:color w:val="auto"/>
          <w:szCs w:val="24"/>
          <w:highlight w:val="none"/>
          <w:lang w:val="zh-CN"/>
        </w:rPr>
        <w:t xml:space="preserve">月  </w:t>
      </w:r>
      <w:r>
        <w:rPr>
          <w:rFonts w:hint="eastAsia" w:ascii="宋体" w:hAnsi="宋体" w:eastAsia="宋体" w:cs="宋体"/>
          <w:color w:val="auto"/>
          <w:szCs w:val="24"/>
          <w:highlight w:val="none"/>
        </w:rPr>
        <w:t xml:space="preserve"> 日</w:t>
      </w:r>
    </w:p>
    <w:p w14:paraId="6B73C200">
      <w:pPr>
        <w:pStyle w:val="2"/>
        <w:rPr>
          <w:rFonts w:hint="eastAsia" w:hAnsi="宋体" w:cs="宋体"/>
          <w:color w:val="auto"/>
          <w:sz w:val="21"/>
          <w:szCs w:val="21"/>
          <w:highlight w:val="none"/>
        </w:rPr>
      </w:pPr>
    </w:p>
    <w:p w14:paraId="0C539627">
      <w:pPr>
        <w:pStyle w:val="2"/>
        <w:rPr>
          <w:rFonts w:hint="eastAsia"/>
          <w:color w:val="auto"/>
          <w:sz w:val="21"/>
          <w:szCs w:val="21"/>
          <w:highlight w:val="none"/>
        </w:rPr>
      </w:pPr>
      <w:r>
        <w:rPr>
          <w:rFonts w:hint="eastAsia" w:hAnsi="宋体" w:cs="宋体"/>
          <w:color w:val="auto"/>
          <w:sz w:val="21"/>
          <w:szCs w:val="21"/>
          <w:highlight w:val="none"/>
        </w:rPr>
        <w:t>说明：由投标人使用投标人的企业数字证书电子签名。</w:t>
      </w:r>
    </w:p>
    <w:p w14:paraId="152F70A0">
      <w:pPr>
        <w:pStyle w:val="2"/>
        <w:rPr>
          <w:rFonts w:hint="eastAsia" w:hAnsi="宋体" w:cs="宋体"/>
          <w:color w:val="auto"/>
          <w:szCs w:val="24"/>
          <w:highlight w:val="none"/>
          <w:u w:val="single"/>
        </w:rPr>
      </w:pPr>
    </w:p>
    <w:p w14:paraId="05D94D33">
      <w:pPr>
        <w:pStyle w:val="37"/>
        <w:ind w:firstLine="210"/>
        <w:rPr>
          <w:rFonts w:hint="eastAsia"/>
          <w:color w:val="auto"/>
          <w:highlight w:val="none"/>
        </w:rPr>
        <w:sectPr>
          <w:footerReference r:id="rId7" w:type="default"/>
          <w:pgSz w:w="11907" w:h="16840"/>
          <w:pgMar w:top="1701" w:right="1418" w:bottom="851" w:left="1418" w:header="720" w:footer="720" w:gutter="0"/>
          <w:cols w:space="720" w:num="1"/>
          <w:titlePg/>
          <w:docGrid w:linePitch="326" w:charSpace="0"/>
        </w:sectPr>
      </w:pPr>
    </w:p>
    <w:bookmarkEnd w:id="662"/>
    <w:bookmarkEnd w:id="663"/>
    <w:bookmarkEnd w:id="664"/>
    <w:bookmarkEnd w:id="665"/>
    <w:p w14:paraId="79E245AC">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2"/>
          <w:szCs w:val="32"/>
          <w:highlight w:val="none"/>
          <w:lang w:val="zh-CN"/>
        </w:rPr>
      </w:pPr>
      <w:bookmarkStart w:id="666" w:name="_Toc12076"/>
      <w:bookmarkStart w:id="667" w:name="_Toc533708130"/>
      <w:bookmarkStart w:id="668" w:name="_Toc486167716"/>
      <w:bookmarkStart w:id="669" w:name="_Toc17995"/>
      <w:bookmarkStart w:id="670" w:name="_Toc333"/>
      <w:bookmarkStart w:id="671" w:name="_Toc26821"/>
      <w:bookmarkStart w:id="672" w:name="_Toc104991883"/>
      <w:bookmarkStart w:id="673" w:name="_Toc142508376"/>
      <w:bookmarkStart w:id="674" w:name="_Toc31322"/>
      <w:bookmarkStart w:id="675" w:name="_Toc739_WPSOffice_Level2"/>
      <w:bookmarkStart w:id="676" w:name="_Toc102860081"/>
      <w:bookmarkStart w:id="677" w:name="_Toc94107217"/>
      <w:bookmarkStart w:id="678" w:name="_Toc1977736"/>
      <w:bookmarkStart w:id="679" w:name="_Toc102860425"/>
      <w:bookmarkStart w:id="680" w:name="_Toc140596936"/>
      <w:bookmarkStart w:id="681" w:name="_Toc4662"/>
      <w:r>
        <w:rPr>
          <w:rFonts w:hint="eastAsia" w:ascii="宋体" w:hAnsi="宋体" w:eastAsia="宋体" w:cs="宋体"/>
          <w:b/>
          <w:color w:val="auto"/>
          <w:kern w:val="0"/>
          <w:sz w:val="32"/>
          <w:szCs w:val="32"/>
          <w:highlight w:val="none"/>
          <w:lang w:val="en-US" w:eastAsia="zh-CN"/>
        </w:rPr>
        <w:t>九</w:t>
      </w:r>
      <w:r>
        <w:rPr>
          <w:rFonts w:hint="eastAsia" w:ascii="宋体" w:hAnsi="宋体" w:eastAsia="宋体" w:cs="宋体"/>
          <w:b/>
          <w:color w:val="auto"/>
          <w:kern w:val="0"/>
          <w:sz w:val="32"/>
          <w:szCs w:val="32"/>
          <w:highlight w:val="none"/>
          <w:lang w:val="zh-CN"/>
        </w:rPr>
        <w:t>、合同条款偏离表格式</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495BA074">
      <w:pPr>
        <w:autoSpaceDE w:val="0"/>
        <w:autoSpaceDN w:val="0"/>
        <w:adjustRightInd w:val="0"/>
        <w:spacing w:line="360" w:lineRule="auto"/>
        <w:jc w:val="center"/>
        <w:rPr>
          <w:rFonts w:hint="eastAsia" w:ascii="宋体" w:hAnsi="宋体" w:eastAsia="宋体" w:cs="宋体"/>
          <w:b/>
          <w:bCs/>
          <w:color w:val="auto"/>
          <w:kern w:val="0"/>
          <w:sz w:val="28"/>
          <w:szCs w:val="30"/>
          <w:highlight w:val="none"/>
          <w:lang w:val="zh-CN"/>
        </w:rPr>
      </w:pPr>
      <w:bookmarkStart w:id="682" w:name="_Toc26412_WPSOffice_Level3"/>
      <w:r>
        <w:rPr>
          <w:rFonts w:hint="eastAsia" w:ascii="宋体" w:hAnsi="宋体" w:eastAsia="宋体" w:cs="宋体"/>
          <w:b/>
          <w:bCs/>
          <w:color w:val="auto"/>
          <w:kern w:val="0"/>
          <w:sz w:val="28"/>
          <w:szCs w:val="30"/>
          <w:highlight w:val="none"/>
          <w:lang w:val="zh-CN"/>
        </w:rPr>
        <w:t>东莞市碧水信息科技有限公司施工劳务分包供应商库采购项目合同条款偏离表</w:t>
      </w:r>
      <w:bookmarkEnd w:id="682"/>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425"/>
        <w:gridCol w:w="3055"/>
        <w:gridCol w:w="1346"/>
        <w:gridCol w:w="3524"/>
      </w:tblGrid>
      <w:tr w14:paraId="1A51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1020" w:type="dxa"/>
            <w:vMerge w:val="restart"/>
            <w:vAlign w:val="center"/>
          </w:tcPr>
          <w:p w14:paraId="7D70D0E4">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4480" w:type="dxa"/>
            <w:gridSpan w:val="2"/>
            <w:vAlign w:val="center"/>
          </w:tcPr>
          <w:p w14:paraId="36844A7D">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招标文件要求</w:t>
            </w:r>
          </w:p>
        </w:tc>
        <w:tc>
          <w:tcPr>
            <w:tcW w:w="4870" w:type="dxa"/>
            <w:gridSpan w:val="2"/>
            <w:vAlign w:val="center"/>
          </w:tcPr>
          <w:p w14:paraId="42F9088F">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投标文件内容</w:t>
            </w:r>
          </w:p>
        </w:tc>
      </w:tr>
      <w:tr w14:paraId="529A0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1020" w:type="dxa"/>
            <w:vMerge w:val="continue"/>
            <w:vAlign w:val="center"/>
          </w:tcPr>
          <w:p w14:paraId="10B59AB7">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p>
        </w:tc>
        <w:tc>
          <w:tcPr>
            <w:tcW w:w="1425" w:type="dxa"/>
            <w:vAlign w:val="center"/>
          </w:tcPr>
          <w:p w14:paraId="4BB7765A">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条款号</w:t>
            </w:r>
          </w:p>
        </w:tc>
        <w:tc>
          <w:tcPr>
            <w:tcW w:w="3055" w:type="dxa"/>
            <w:vAlign w:val="center"/>
          </w:tcPr>
          <w:p w14:paraId="37ADB35E">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简要内容</w:t>
            </w:r>
          </w:p>
        </w:tc>
        <w:tc>
          <w:tcPr>
            <w:tcW w:w="1346" w:type="dxa"/>
            <w:vAlign w:val="center"/>
          </w:tcPr>
          <w:p w14:paraId="0343DEE7">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偏离情况</w:t>
            </w:r>
          </w:p>
        </w:tc>
        <w:tc>
          <w:tcPr>
            <w:tcW w:w="3524" w:type="dxa"/>
            <w:vAlign w:val="center"/>
          </w:tcPr>
          <w:p w14:paraId="18032EF4">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具体偏离内容</w:t>
            </w:r>
          </w:p>
        </w:tc>
      </w:tr>
      <w:tr w14:paraId="51DD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6964017">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425" w:type="dxa"/>
            <w:vAlign w:val="center"/>
          </w:tcPr>
          <w:p w14:paraId="297BD4DB">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w:t>
            </w:r>
          </w:p>
        </w:tc>
        <w:tc>
          <w:tcPr>
            <w:tcW w:w="3055" w:type="dxa"/>
            <w:vAlign w:val="center"/>
          </w:tcPr>
          <w:p w14:paraId="6002AE23">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服务内容</w:t>
            </w:r>
          </w:p>
        </w:tc>
        <w:tc>
          <w:tcPr>
            <w:tcW w:w="1346" w:type="dxa"/>
            <w:vAlign w:val="center"/>
          </w:tcPr>
          <w:p w14:paraId="70C4CE1A">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02E579AA">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38B3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04266E1">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1425" w:type="dxa"/>
            <w:vAlign w:val="center"/>
          </w:tcPr>
          <w:p w14:paraId="435B036C">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w:t>
            </w:r>
          </w:p>
        </w:tc>
        <w:tc>
          <w:tcPr>
            <w:tcW w:w="3055" w:type="dxa"/>
            <w:vAlign w:val="center"/>
          </w:tcPr>
          <w:p w14:paraId="45E36E2F">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劳务费用的确定和支付</w:t>
            </w:r>
          </w:p>
        </w:tc>
        <w:tc>
          <w:tcPr>
            <w:tcW w:w="1346" w:type="dxa"/>
            <w:vAlign w:val="center"/>
          </w:tcPr>
          <w:p w14:paraId="2408AFFC">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1E94EF60">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3492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2920BFB">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1425" w:type="dxa"/>
            <w:vAlign w:val="center"/>
          </w:tcPr>
          <w:p w14:paraId="37D1F050">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三</w:t>
            </w:r>
          </w:p>
        </w:tc>
        <w:tc>
          <w:tcPr>
            <w:tcW w:w="3055" w:type="dxa"/>
            <w:vAlign w:val="center"/>
          </w:tcPr>
          <w:p w14:paraId="6ACF0FC7">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服务方式及服务期</w:t>
            </w:r>
          </w:p>
        </w:tc>
        <w:tc>
          <w:tcPr>
            <w:tcW w:w="1346" w:type="dxa"/>
            <w:vAlign w:val="center"/>
          </w:tcPr>
          <w:p w14:paraId="0DA9A844">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3020DB01">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7F0F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5BFE5B0E">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1425" w:type="dxa"/>
            <w:vAlign w:val="center"/>
          </w:tcPr>
          <w:p w14:paraId="6C9D6350">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四</w:t>
            </w:r>
          </w:p>
        </w:tc>
        <w:tc>
          <w:tcPr>
            <w:tcW w:w="3055" w:type="dxa"/>
            <w:vAlign w:val="center"/>
          </w:tcPr>
          <w:p w14:paraId="260E4969">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权利和义务</w:t>
            </w:r>
          </w:p>
        </w:tc>
        <w:tc>
          <w:tcPr>
            <w:tcW w:w="1346" w:type="dxa"/>
            <w:vAlign w:val="center"/>
          </w:tcPr>
          <w:p w14:paraId="1C8061A4">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079AC035">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4F8B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74D366CB">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1425" w:type="dxa"/>
            <w:vAlign w:val="center"/>
          </w:tcPr>
          <w:p w14:paraId="3A6B81E3">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五</w:t>
            </w:r>
          </w:p>
        </w:tc>
        <w:tc>
          <w:tcPr>
            <w:tcW w:w="3055" w:type="dxa"/>
            <w:vAlign w:val="center"/>
          </w:tcPr>
          <w:p w14:paraId="1EA47379">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安全文明施工与检查</w:t>
            </w:r>
          </w:p>
        </w:tc>
        <w:tc>
          <w:tcPr>
            <w:tcW w:w="1346" w:type="dxa"/>
            <w:vAlign w:val="center"/>
          </w:tcPr>
          <w:p w14:paraId="7FC70F2B">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3827150D">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4705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99AA88C">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w:t>
            </w:r>
          </w:p>
        </w:tc>
        <w:tc>
          <w:tcPr>
            <w:tcW w:w="1425" w:type="dxa"/>
            <w:vAlign w:val="center"/>
          </w:tcPr>
          <w:p w14:paraId="199E7990">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六</w:t>
            </w:r>
          </w:p>
        </w:tc>
        <w:tc>
          <w:tcPr>
            <w:tcW w:w="3055" w:type="dxa"/>
            <w:vAlign w:val="center"/>
          </w:tcPr>
          <w:p w14:paraId="1DD480E8">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人员管理及驻地要求</w:t>
            </w:r>
          </w:p>
        </w:tc>
        <w:tc>
          <w:tcPr>
            <w:tcW w:w="1346" w:type="dxa"/>
            <w:vAlign w:val="center"/>
          </w:tcPr>
          <w:p w14:paraId="32513707">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347E1FF6">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05C9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558E6C9B">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w:t>
            </w:r>
          </w:p>
        </w:tc>
        <w:tc>
          <w:tcPr>
            <w:tcW w:w="1425" w:type="dxa"/>
            <w:vAlign w:val="center"/>
          </w:tcPr>
          <w:p w14:paraId="1E84A8C9">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七</w:t>
            </w:r>
          </w:p>
        </w:tc>
        <w:tc>
          <w:tcPr>
            <w:tcW w:w="3055" w:type="dxa"/>
            <w:vAlign w:val="center"/>
          </w:tcPr>
          <w:p w14:paraId="79B7CF65">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事故处理</w:t>
            </w:r>
          </w:p>
        </w:tc>
        <w:tc>
          <w:tcPr>
            <w:tcW w:w="1346" w:type="dxa"/>
            <w:vAlign w:val="center"/>
          </w:tcPr>
          <w:p w14:paraId="1AA128BD">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0B062730">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75D0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5E3A8F4B">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w:t>
            </w:r>
          </w:p>
        </w:tc>
        <w:tc>
          <w:tcPr>
            <w:tcW w:w="1425" w:type="dxa"/>
            <w:vAlign w:val="center"/>
          </w:tcPr>
          <w:p w14:paraId="2566298E">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八</w:t>
            </w:r>
          </w:p>
        </w:tc>
        <w:tc>
          <w:tcPr>
            <w:tcW w:w="3055" w:type="dxa"/>
            <w:vAlign w:val="center"/>
          </w:tcPr>
          <w:p w14:paraId="10CE6F91">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保险</w:t>
            </w:r>
          </w:p>
        </w:tc>
        <w:tc>
          <w:tcPr>
            <w:tcW w:w="1346" w:type="dxa"/>
            <w:vAlign w:val="center"/>
          </w:tcPr>
          <w:p w14:paraId="22924D63">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10F4B177">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7C64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3647C6D5">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9</w:t>
            </w:r>
          </w:p>
        </w:tc>
        <w:tc>
          <w:tcPr>
            <w:tcW w:w="1425" w:type="dxa"/>
            <w:vAlign w:val="center"/>
          </w:tcPr>
          <w:p w14:paraId="0E5E0C9F">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九</w:t>
            </w:r>
          </w:p>
        </w:tc>
        <w:tc>
          <w:tcPr>
            <w:tcW w:w="3055" w:type="dxa"/>
            <w:vAlign w:val="center"/>
          </w:tcPr>
          <w:p w14:paraId="1FEE5843">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材料及设备供应</w:t>
            </w:r>
          </w:p>
        </w:tc>
        <w:tc>
          <w:tcPr>
            <w:tcW w:w="1346" w:type="dxa"/>
            <w:vAlign w:val="center"/>
          </w:tcPr>
          <w:p w14:paraId="396108F5">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2AB456FB">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5D3F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52BE514">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p>
        </w:tc>
        <w:tc>
          <w:tcPr>
            <w:tcW w:w="1425" w:type="dxa"/>
            <w:vAlign w:val="center"/>
          </w:tcPr>
          <w:p w14:paraId="5DF3C5B4">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十</w:t>
            </w:r>
          </w:p>
        </w:tc>
        <w:tc>
          <w:tcPr>
            <w:tcW w:w="3055" w:type="dxa"/>
            <w:vAlign w:val="center"/>
          </w:tcPr>
          <w:p w14:paraId="08CBB6ED">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施工变更</w:t>
            </w:r>
          </w:p>
        </w:tc>
        <w:tc>
          <w:tcPr>
            <w:tcW w:w="1346" w:type="dxa"/>
            <w:vAlign w:val="center"/>
          </w:tcPr>
          <w:p w14:paraId="2A815C76">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7DF0E655">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218E7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397AB4AF">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11</w:t>
            </w:r>
          </w:p>
        </w:tc>
        <w:tc>
          <w:tcPr>
            <w:tcW w:w="1425" w:type="dxa"/>
            <w:vAlign w:val="center"/>
          </w:tcPr>
          <w:p w14:paraId="16EF0236">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十一</w:t>
            </w:r>
          </w:p>
        </w:tc>
        <w:tc>
          <w:tcPr>
            <w:tcW w:w="3055" w:type="dxa"/>
            <w:vAlign w:val="center"/>
          </w:tcPr>
          <w:p w14:paraId="44ABAEFA">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劳务成果验收</w:t>
            </w:r>
          </w:p>
        </w:tc>
        <w:tc>
          <w:tcPr>
            <w:tcW w:w="1346" w:type="dxa"/>
            <w:vAlign w:val="center"/>
          </w:tcPr>
          <w:p w14:paraId="645FC09E">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137B577B">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3A03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F25204B">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12</w:t>
            </w:r>
          </w:p>
        </w:tc>
        <w:tc>
          <w:tcPr>
            <w:tcW w:w="1425" w:type="dxa"/>
            <w:vAlign w:val="center"/>
          </w:tcPr>
          <w:p w14:paraId="4C0B04A1">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十二</w:t>
            </w:r>
          </w:p>
        </w:tc>
        <w:tc>
          <w:tcPr>
            <w:tcW w:w="3055" w:type="dxa"/>
            <w:vAlign w:val="center"/>
          </w:tcPr>
          <w:p w14:paraId="51A29434">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劳务成果考核</w:t>
            </w:r>
          </w:p>
        </w:tc>
        <w:tc>
          <w:tcPr>
            <w:tcW w:w="1346" w:type="dxa"/>
            <w:vAlign w:val="center"/>
          </w:tcPr>
          <w:p w14:paraId="7935CE87">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5D6BB1EF">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312C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5A56C0F9">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13</w:t>
            </w:r>
          </w:p>
        </w:tc>
        <w:tc>
          <w:tcPr>
            <w:tcW w:w="1425" w:type="dxa"/>
            <w:vAlign w:val="center"/>
          </w:tcPr>
          <w:p w14:paraId="1FB13BB0">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十三</w:t>
            </w:r>
          </w:p>
        </w:tc>
        <w:tc>
          <w:tcPr>
            <w:tcW w:w="3055" w:type="dxa"/>
            <w:vAlign w:val="center"/>
          </w:tcPr>
          <w:p w14:paraId="1EE2F7D2">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履约保证金</w:t>
            </w:r>
          </w:p>
        </w:tc>
        <w:tc>
          <w:tcPr>
            <w:tcW w:w="1346" w:type="dxa"/>
            <w:vAlign w:val="center"/>
          </w:tcPr>
          <w:p w14:paraId="2EAF518A">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64923AD9">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7600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746B1599">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14</w:t>
            </w:r>
          </w:p>
        </w:tc>
        <w:tc>
          <w:tcPr>
            <w:tcW w:w="1425" w:type="dxa"/>
            <w:vAlign w:val="center"/>
          </w:tcPr>
          <w:p w14:paraId="616FA860">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十四</w:t>
            </w:r>
          </w:p>
        </w:tc>
        <w:tc>
          <w:tcPr>
            <w:tcW w:w="3055" w:type="dxa"/>
            <w:vAlign w:val="center"/>
          </w:tcPr>
          <w:p w14:paraId="0791E806">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保修服务</w:t>
            </w:r>
          </w:p>
        </w:tc>
        <w:tc>
          <w:tcPr>
            <w:tcW w:w="1346" w:type="dxa"/>
            <w:vAlign w:val="center"/>
          </w:tcPr>
          <w:p w14:paraId="15B7C2B2">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5D1CB067">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68E6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0FE043F">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15</w:t>
            </w:r>
          </w:p>
        </w:tc>
        <w:tc>
          <w:tcPr>
            <w:tcW w:w="1425" w:type="dxa"/>
            <w:vAlign w:val="center"/>
          </w:tcPr>
          <w:p w14:paraId="2D6AF162">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十五</w:t>
            </w:r>
          </w:p>
        </w:tc>
        <w:tc>
          <w:tcPr>
            <w:tcW w:w="3055" w:type="dxa"/>
            <w:vAlign w:val="center"/>
          </w:tcPr>
          <w:p w14:paraId="36B3792A">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违约责任</w:t>
            </w:r>
          </w:p>
        </w:tc>
        <w:tc>
          <w:tcPr>
            <w:tcW w:w="1346" w:type="dxa"/>
            <w:vAlign w:val="center"/>
          </w:tcPr>
          <w:p w14:paraId="2CC2D711">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1C4D954E">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1E9F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4110CCE">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16</w:t>
            </w:r>
          </w:p>
        </w:tc>
        <w:tc>
          <w:tcPr>
            <w:tcW w:w="1425" w:type="dxa"/>
            <w:vAlign w:val="center"/>
          </w:tcPr>
          <w:p w14:paraId="54ADB74F">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十六</w:t>
            </w:r>
          </w:p>
        </w:tc>
        <w:tc>
          <w:tcPr>
            <w:tcW w:w="3055" w:type="dxa"/>
            <w:vAlign w:val="center"/>
          </w:tcPr>
          <w:p w14:paraId="6817CE70">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争议解决</w:t>
            </w:r>
          </w:p>
        </w:tc>
        <w:tc>
          <w:tcPr>
            <w:tcW w:w="1346" w:type="dxa"/>
            <w:vAlign w:val="center"/>
          </w:tcPr>
          <w:p w14:paraId="4934D9AF">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7D95BEEE">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0FCA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BB25A48">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17</w:t>
            </w:r>
          </w:p>
        </w:tc>
        <w:tc>
          <w:tcPr>
            <w:tcW w:w="1425" w:type="dxa"/>
            <w:vAlign w:val="center"/>
          </w:tcPr>
          <w:p w14:paraId="0B6CD9F8">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十七</w:t>
            </w:r>
          </w:p>
        </w:tc>
        <w:tc>
          <w:tcPr>
            <w:tcW w:w="3055" w:type="dxa"/>
            <w:vAlign w:val="center"/>
          </w:tcPr>
          <w:p w14:paraId="2C76A776">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不可抗力</w:t>
            </w:r>
          </w:p>
        </w:tc>
        <w:tc>
          <w:tcPr>
            <w:tcW w:w="1346" w:type="dxa"/>
            <w:vAlign w:val="center"/>
          </w:tcPr>
          <w:p w14:paraId="7E5910CB">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47AED98E">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172B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83ABB36">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18</w:t>
            </w:r>
          </w:p>
        </w:tc>
        <w:tc>
          <w:tcPr>
            <w:tcW w:w="1425" w:type="dxa"/>
            <w:vAlign w:val="center"/>
          </w:tcPr>
          <w:p w14:paraId="57BDE69F">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十八</w:t>
            </w:r>
          </w:p>
        </w:tc>
        <w:tc>
          <w:tcPr>
            <w:tcW w:w="3055" w:type="dxa"/>
            <w:vAlign w:val="center"/>
          </w:tcPr>
          <w:p w14:paraId="35357725">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禁止转包或再分包</w:t>
            </w:r>
          </w:p>
        </w:tc>
        <w:tc>
          <w:tcPr>
            <w:tcW w:w="1346" w:type="dxa"/>
            <w:vAlign w:val="center"/>
          </w:tcPr>
          <w:p w14:paraId="4A354834">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186C2BE3">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0E5C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5DE42F4">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19</w:t>
            </w:r>
          </w:p>
        </w:tc>
        <w:tc>
          <w:tcPr>
            <w:tcW w:w="1425" w:type="dxa"/>
            <w:vAlign w:val="center"/>
          </w:tcPr>
          <w:p w14:paraId="667D8E0E">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十九</w:t>
            </w:r>
          </w:p>
        </w:tc>
        <w:tc>
          <w:tcPr>
            <w:tcW w:w="3055" w:type="dxa"/>
            <w:vAlign w:val="center"/>
          </w:tcPr>
          <w:p w14:paraId="102A5722">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合同解除</w:t>
            </w:r>
          </w:p>
        </w:tc>
        <w:tc>
          <w:tcPr>
            <w:tcW w:w="1346" w:type="dxa"/>
            <w:vAlign w:val="center"/>
          </w:tcPr>
          <w:p w14:paraId="41D942EF">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4CDED12B">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649A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D0E6554">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w:t>
            </w:r>
          </w:p>
        </w:tc>
        <w:tc>
          <w:tcPr>
            <w:tcW w:w="1425" w:type="dxa"/>
            <w:vAlign w:val="center"/>
          </w:tcPr>
          <w:p w14:paraId="10AE585C">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二十</w:t>
            </w:r>
          </w:p>
        </w:tc>
        <w:tc>
          <w:tcPr>
            <w:tcW w:w="3055" w:type="dxa"/>
            <w:vAlign w:val="center"/>
          </w:tcPr>
          <w:p w14:paraId="3F447889">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附则</w:t>
            </w:r>
          </w:p>
        </w:tc>
        <w:tc>
          <w:tcPr>
            <w:tcW w:w="1346" w:type="dxa"/>
            <w:vAlign w:val="center"/>
          </w:tcPr>
          <w:p w14:paraId="2AF7BE33">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3271FF50">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4583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3F231415">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21</w:t>
            </w:r>
          </w:p>
        </w:tc>
        <w:tc>
          <w:tcPr>
            <w:tcW w:w="1425" w:type="dxa"/>
            <w:vAlign w:val="center"/>
          </w:tcPr>
          <w:p w14:paraId="3660649F">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附件1</w:t>
            </w:r>
          </w:p>
        </w:tc>
        <w:tc>
          <w:tcPr>
            <w:tcW w:w="3055" w:type="dxa"/>
            <w:vAlign w:val="center"/>
          </w:tcPr>
          <w:p w14:paraId="147352B0">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安全生产管理协议书</w:t>
            </w:r>
          </w:p>
        </w:tc>
        <w:tc>
          <w:tcPr>
            <w:tcW w:w="1346" w:type="dxa"/>
            <w:vAlign w:val="center"/>
          </w:tcPr>
          <w:p w14:paraId="17845342">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38931A5A">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37FF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AD26A8C">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22</w:t>
            </w:r>
          </w:p>
        </w:tc>
        <w:tc>
          <w:tcPr>
            <w:tcW w:w="1425" w:type="dxa"/>
            <w:vAlign w:val="center"/>
          </w:tcPr>
          <w:p w14:paraId="3DA88EFF">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附件2</w:t>
            </w:r>
          </w:p>
        </w:tc>
        <w:tc>
          <w:tcPr>
            <w:tcW w:w="3055" w:type="dxa"/>
            <w:vAlign w:val="center"/>
          </w:tcPr>
          <w:p w14:paraId="00FF66F4">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关于及时支付工人工资的协议书</w:t>
            </w:r>
          </w:p>
        </w:tc>
        <w:tc>
          <w:tcPr>
            <w:tcW w:w="1346" w:type="dxa"/>
            <w:vAlign w:val="center"/>
          </w:tcPr>
          <w:p w14:paraId="051DB8B4">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5DECA44F">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1CC6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3C313DEB">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23</w:t>
            </w:r>
          </w:p>
        </w:tc>
        <w:tc>
          <w:tcPr>
            <w:tcW w:w="1425" w:type="dxa"/>
            <w:vAlign w:val="center"/>
          </w:tcPr>
          <w:p w14:paraId="5A019BE0">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附件3</w:t>
            </w:r>
          </w:p>
        </w:tc>
        <w:tc>
          <w:tcPr>
            <w:tcW w:w="3055" w:type="dxa"/>
            <w:vAlign w:val="center"/>
          </w:tcPr>
          <w:p w14:paraId="44CB10FC">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环境保护与职业健康安全协议书</w:t>
            </w:r>
          </w:p>
        </w:tc>
        <w:tc>
          <w:tcPr>
            <w:tcW w:w="1346" w:type="dxa"/>
            <w:vAlign w:val="center"/>
          </w:tcPr>
          <w:p w14:paraId="165E1182">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440D407B">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3920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421BFC7">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24</w:t>
            </w:r>
          </w:p>
        </w:tc>
        <w:tc>
          <w:tcPr>
            <w:tcW w:w="1425" w:type="dxa"/>
            <w:vAlign w:val="center"/>
          </w:tcPr>
          <w:p w14:paraId="13E07872">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附件4</w:t>
            </w:r>
          </w:p>
        </w:tc>
        <w:tc>
          <w:tcPr>
            <w:tcW w:w="3055" w:type="dxa"/>
            <w:vAlign w:val="center"/>
          </w:tcPr>
          <w:p w14:paraId="06FCE165">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有限空间施工安全承诺书</w:t>
            </w:r>
          </w:p>
        </w:tc>
        <w:tc>
          <w:tcPr>
            <w:tcW w:w="1346" w:type="dxa"/>
            <w:vAlign w:val="center"/>
          </w:tcPr>
          <w:p w14:paraId="7B8696AE">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48F0B129">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4ECB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37A88189">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25</w:t>
            </w:r>
          </w:p>
        </w:tc>
        <w:tc>
          <w:tcPr>
            <w:tcW w:w="1425" w:type="dxa"/>
            <w:vAlign w:val="center"/>
          </w:tcPr>
          <w:p w14:paraId="55676EE1">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附件5</w:t>
            </w:r>
          </w:p>
        </w:tc>
        <w:tc>
          <w:tcPr>
            <w:tcW w:w="3055" w:type="dxa"/>
            <w:vAlign w:val="center"/>
          </w:tcPr>
          <w:p w14:paraId="300E9B6C">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《东莞市碧水信息科技有限公司分包单位履约考评工作指引》</w:t>
            </w:r>
          </w:p>
        </w:tc>
        <w:tc>
          <w:tcPr>
            <w:tcW w:w="1346" w:type="dxa"/>
            <w:vAlign w:val="center"/>
          </w:tcPr>
          <w:p w14:paraId="55FAC298">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29D82FEC">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0FB3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6BC7610">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26</w:t>
            </w:r>
          </w:p>
        </w:tc>
        <w:tc>
          <w:tcPr>
            <w:tcW w:w="1425" w:type="dxa"/>
            <w:vAlign w:val="center"/>
          </w:tcPr>
          <w:p w14:paraId="0E47802D">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附件</w:t>
            </w:r>
            <w:r>
              <w:rPr>
                <w:rFonts w:hint="eastAsia" w:ascii="宋体" w:hAnsi="宋体" w:eastAsia="宋体" w:cs="宋体"/>
                <w:color w:val="auto"/>
                <w:kern w:val="0"/>
                <w:szCs w:val="21"/>
                <w:highlight w:val="none"/>
                <w:lang w:val="en-US" w:eastAsia="zh-CN"/>
              </w:rPr>
              <w:t>7</w:t>
            </w:r>
          </w:p>
        </w:tc>
        <w:tc>
          <w:tcPr>
            <w:tcW w:w="3055" w:type="dxa"/>
            <w:vAlign w:val="center"/>
          </w:tcPr>
          <w:p w14:paraId="379EB88E">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东莞市碧水信息科技有限公司供水管网及附属设备抢修业务劳务分包清单价目表</w:t>
            </w:r>
          </w:p>
        </w:tc>
        <w:tc>
          <w:tcPr>
            <w:tcW w:w="1346" w:type="dxa"/>
            <w:vAlign w:val="center"/>
          </w:tcPr>
          <w:p w14:paraId="45D56F75">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3636E5AE">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2701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32F1C0ED">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27</w:t>
            </w:r>
          </w:p>
        </w:tc>
        <w:tc>
          <w:tcPr>
            <w:tcW w:w="1425" w:type="dxa"/>
            <w:vAlign w:val="center"/>
          </w:tcPr>
          <w:p w14:paraId="655C0C3F">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附件</w:t>
            </w:r>
            <w:r>
              <w:rPr>
                <w:rFonts w:hint="eastAsia" w:ascii="宋体" w:hAnsi="宋体" w:eastAsia="宋体" w:cs="宋体"/>
                <w:color w:val="auto"/>
                <w:kern w:val="0"/>
                <w:szCs w:val="21"/>
                <w:highlight w:val="none"/>
                <w:lang w:val="en-US" w:eastAsia="zh-CN"/>
              </w:rPr>
              <w:t>8</w:t>
            </w:r>
          </w:p>
        </w:tc>
        <w:tc>
          <w:tcPr>
            <w:tcW w:w="3055" w:type="dxa"/>
            <w:vAlign w:val="center"/>
          </w:tcPr>
          <w:p w14:paraId="7D189E34">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东莞市碧水信息科技有限公司表务类小型项目劳务分包清单价目表</w:t>
            </w:r>
          </w:p>
        </w:tc>
        <w:tc>
          <w:tcPr>
            <w:tcW w:w="1346" w:type="dxa"/>
            <w:vAlign w:val="center"/>
          </w:tcPr>
          <w:p w14:paraId="5140BCA9">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772E2D92">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r w14:paraId="493D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55E76055">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28</w:t>
            </w:r>
          </w:p>
        </w:tc>
        <w:tc>
          <w:tcPr>
            <w:tcW w:w="1425" w:type="dxa"/>
            <w:vAlign w:val="center"/>
          </w:tcPr>
          <w:p w14:paraId="678B059A">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附件</w:t>
            </w:r>
            <w:r>
              <w:rPr>
                <w:rFonts w:hint="eastAsia" w:ascii="宋体" w:hAnsi="宋体" w:eastAsia="宋体" w:cs="宋体"/>
                <w:color w:val="auto"/>
                <w:kern w:val="0"/>
                <w:szCs w:val="21"/>
                <w:highlight w:val="none"/>
                <w:lang w:val="en-US" w:eastAsia="zh-CN"/>
              </w:rPr>
              <w:t>9</w:t>
            </w:r>
          </w:p>
        </w:tc>
        <w:tc>
          <w:tcPr>
            <w:tcW w:w="3055" w:type="dxa"/>
            <w:vAlign w:val="center"/>
          </w:tcPr>
          <w:p w14:paraId="1270200B">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CN"/>
              </w:rPr>
              <w:t>廉洁协议书</w:t>
            </w:r>
          </w:p>
        </w:tc>
        <w:tc>
          <w:tcPr>
            <w:tcW w:w="1346" w:type="dxa"/>
            <w:vAlign w:val="center"/>
          </w:tcPr>
          <w:p w14:paraId="4362B8AA">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c>
          <w:tcPr>
            <w:tcW w:w="3524" w:type="dxa"/>
            <w:vAlign w:val="center"/>
          </w:tcPr>
          <w:p w14:paraId="384781BF">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highlight w:val="none"/>
              </w:rPr>
            </w:pPr>
          </w:p>
        </w:tc>
      </w:tr>
    </w:tbl>
    <w:p w14:paraId="44BD3C05">
      <w:pPr>
        <w:autoSpaceDE w:val="0"/>
        <w:autoSpaceDN w:val="0"/>
        <w:adjustRightInd w:val="0"/>
        <w:snapToGrid w:val="0"/>
        <w:spacing w:line="360" w:lineRule="auto"/>
        <w:ind w:left="186" w:leftChars="-158" w:hanging="518" w:hangingChars="247"/>
        <w:jc w:val="left"/>
        <w:rPr>
          <w:rFonts w:hint="eastAsia" w:ascii="宋体" w:hAnsi="宋体" w:eastAsia="宋体" w:cs="Times New Roman"/>
          <w:color w:val="auto"/>
          <w:szCs w:val="24"/>
          <w:highlight w:val="none"/>
          <w:lang w:val="zh-CN"/>
        </w:rPr>
      </w:pPr>
    </w:p>
    <w:p w14:paraId="617E68E8">
      <w:pPr>
        <w:autoSpaceDE w:val="0"/>
        <w:autoSpaceDN w:val="0"/>
        <w:adjustRightInd w:val="0"/>
        <w:snapToGrid w:val="0"/>
        <w:spacing w:line="360" w:lineRule="auto"/>
        <w:ind w:left="166" w:leftChars="-101" w:hanging="378" w:hangingChars="180"/>
        <w:jc w:val="left"/>
        <w:rPr>
          <w:rFonts w:hint="eastAsia"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备注：</w:t>
      </w:r>
    </w:p>
    <w:p w14:paraId="67C9F8E8">
      <w:pPr>
        <w:spacing w:line="360" w:lineRule="auto"/>
        <w:ind w:left="605" w:leftChars="18" w:hanging="567" w:hangingChars="27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Times New Roman"/>
          <w:b/>
          <w:color w:val="auto"/>
          <w:kern w:val="0"/>
          <w:szCs w:val="21"/>
          <w:highlight w:val="none"/>
          <w:u w:val="single"/>
        </w:rPr>
        <w:t>投标人应对照招标文件合同格式内合同条款及附件，逐条、如实地填写“偏离情况”项。“偏离情况”项为正偏离（或负偏离）的，必须在“具体偏离内容”项内详细说明与招标文件的偏离内容，“偏离情况”项为无偏离的，在“具体偏离内容”项内填“无”。若发现虚假填写本表，或对合同及其附件响应有负偏离的，按无效投标文件处理。若发现此表未逐条填写视为完全满足招标文件要求</w:t>
      </w:r>
      <w:r>
        <w:rPr>
          <w:rFonts w:hint="eastAsia" w:ascii="宋体" w:hAnsi="宋体" w:eastAsia="宋体" w:cs="Times New Roman"/>
          <w:b/>
          <w:color w:val="auto"/>
          <w:kern w:val="0"/>
          <w:szCs w:val="21"/>
          <w:highlight w:val="none"/>
        </w:rPr>
        <w:t>。</w:t>
      </w:r>
    </w:p>
    <w:p w14:paraId="3150CD2D">
      <w:pPr>
        <w:spacing w:line="360" w:lineRule="auto"/>
        <w:ind w:left="605" w:leftChars="18" w:hanging="567" w:hangingChars="27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偏离情况（投标文件对招标文件合同条款的响应程度）分为：正偏离、负偏离、无偏离。正偏离是指投标人提供的相关服务商务条件优于招标文件的要求；负偏离是指投标人提供的相关服务商务条件不满足或不完全满足招标文件的要求；无偏离是指投标人提供的相关服务商务条件完全满足招标文件的要求。</w:t>
      </w:r>
    </w:p>
    <w:p w14:paraId="7A441DC8">
      <w:pPr>
        <w:spacing w:line="360" w:lineRule="auto"/>
        <w:ind w:left="605" w:leftChars="18" w:hanging="567" w:hangingChars="27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）如投标人差异内容较多可另附页说明，并在本偏离表“具体偏离内容”项注明其在投标文件中的具体页码。</w:t>
      </w:r>
    </w:p>
    <w:p w14:paraId="5B20A77A">
      <w:pPr>
        <w:spacing w:line="360" w:lineRule="auto"/>
        <w:rPr>
          <w:rFonts w:hint="eastAsia" w:ascii="宋体" w:hAnsi="宋体" w:eastAsia="宋体" w:cs="宋体"/>
          <w:color w:val="auto"/>
          <w:szCs w:val="21"/>
          <w:highlight w:val="none"/>
        </w:rPr>
      </w:pPr>
    </w:p>
    <w:p w14:paraId="236D72FD">
      <w:pPr>
        <w:spacing w:line="360" w:lineRule="auto"/>
        <w:ind w:right="368" w:rightChars="175" w:firstLine="5355" w:firstLineChars="2550"/>
        <w:jc w:val="left"/>
        <w:rPr>
          <w:rFonts w:hint="eastAsia" w:ascii="宋体" w:hAnsi="宋体" w:eastAsia="宋体" w:cs="宋体"/>
          <w:color w:val="auto"/>
          <w:kern w:val="0"/>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2520E178">
      <w:pPr>
        <w:autoSpaceDE w:val="0"/>
        <w:autoSpaceDN w:val="0"/>
        <w:adjustRightInd w:val="0"/>
        <w:spacing w:line="360" w:lineRule="auto"/>
        <w:ind w:firstLine="5355" w:firstLineChars="2550"/>
        <w:rPr>
          <w:rFonts w:hint="eastAsia" w:ascii="宋体" w:hAnsi="宋体" w:eastAsia="宋体" w:cs="Times New Roman"/>
          <w:b/>
          <w:bCs/>
          <w:color w:val="auto"/>
          <w:szCs w:val="24"/>
          <w:highlight w:val="none"/>
          <w:lang w:val="zh-CN"/>
        </w:rPr>
      </w:pPr>
      <w:r>
        <w:rPr>
          <w:rFonts w:hint="eastAsia" w:ascii="宋体" w:hAnsi="宋体" w:eastAsia="宋体" w:cs="宋体"/>
          <w:color w:val="auto"/>
          <w:szCs w:val="24"/>
          <w:highlight w:val="none"/>
          <w:lang w:val="zh-CN"/>
        </w:rPr>
        <w:t>日    期：  年  月  日</w:t>
      </w:r>
    </w:p>
    <w:p w14:paraId="0B6E89CF">
      <w:pPr>
        <w:tabs>
          <w:tab w:val="left" w:pos="567"/>
        </w:tabs>
        <w:autoSpaceDE w:val="0"/>
        <w:autoSpaceDN w:val="0"/>
        <w:adjustRightInd w:val="0"/>
        <w:spacing w:line="360" w:lineRule="auto"/>
        <w:jc w:val="center"/>
        <w:rPr>
          <w:rFonts w:hint="eastAsia" w:ascii="宋体" w:hAnsi="宋体" w:eastAsia="宋体" w:cs="Times New Roman"/>
          <w:b/>
          <w:bCs/>
          <w:color w:val="auto"/>
          <w:szCs w:val="24"/>
          <w:highlight w:val="none"/>
          <w:lang w:val="zh-CN"/>
        </w:rPr>
      </w:pPr>
      <w:r>
        <w:rPr>
          <w:rFonts w:hint="eastAsia" w:ascii="宋体" w:hAnsi="宋体" w:eastAsia="宋体" w:cs="Times New Roman"/>
          <w:b/>
          <w:bCs/>
          <w:color w:val="auto"/>
          <w:szCs w:val="24"/>
          <w:highlight w:val="none"/>
          <w:lang w:val="zh-CN"/>
        </w:rPr>
        <w:t>说明：由投标人使用投标人的企业数字证书电子签名。</w:t>
      </w:r>
    </w:p>
    <w:p w14:paraId="1ECC064A">
      <w:pPr>
        <w:tabs>
          <w:tab w:val="left" w:pos="567"/>
        </w:tabs>
        <w:autoSpaceDE w:val="0"/>
        <w:autoSpaceDN w:val="0"/>
        <w:adjustRightInd w:val="0"/>
        <w:spacing w:line="360" w:lineRule="auto"/>
        <w:outlineLvl w:val="2"/>
        <w:rPr>
          <w:rFonts w:hint="eastAsia" w:ascii="宋体" w:hAnsi="宋体" w:eastAsia="宋体" w:cs="宋体"/>
          <w:b/>
          <w:color w:val="auto"/>
          <w:kern w:val="0"/>
          <w:sz w:val="32"/>
          <w:szCs w:val="32"/>
          <w:highlight w:val="none"/>
        </w:rPr>
      </w:pPr>
      <w:r>
        <w:rPr>
          <w:rFonts w:hint="eastAsia" w:ascii="宋体" w:hAnsi="宋体" w:eastAsia="宋体" w:cs="宋体"/>
          <w:b/>
          <w:bCs/>
          <w:color w:val="auto"/>
          <w:kern w:val="0"/>
          <w:sz w:val="30"/>
          <w:szCs w:val="30"/>
          <w:highlight w:val="none"/>
          <w:lang w:val="zh-CN"/>
        </w:rPr>
        <w:br w:type="page"/>
      </w:r>
      <w:bookmarkStart w:id="683" w:name="_Toc5473"/>
      <w:bookmarkStart w:id="684" w:name="_Toc140596937"/>
      <w:bookmarkStart w:id="685" w:name="_Toc1751"/>
      <w:bookmarkStart w:id="686" w:name="_Toc102860082"/>
      <w:bookmarkStart w:id="687" w:name="_Toc94107218"/>
      <w:bookmarkStart w:id="688" w:name="_Toc104991884"/>
      <w:bookmarkStart w:id="689" w:name="_Toc6526"/>
      <w:bookmarkStart w:id="690" w:name="_Toc10997"/>
      <w:bookmarkStart w:id="691" w:name="_Toc102860426"/>
      <w:bookmarkStart w:id="692" w:name="_Toc29505"/>
      <w:bookmarkStart w:id="693" w:name="_Toc13179"/>
      <w:bookmarkStart w:id="694" w:name="_Toc142508377"/>
      <w:bookmarkStart w:id="695" w:name="_Toc27980_WPSOffice_Level2"/>
      <w:bookmarkStart w:id="696" w:name="_Toc486167717"/>
      <w:r>
        <w:rPr>
          <w:rFonts w:hint="eastAsia" w:ascii="宋体" w:hAnsi="宋体" w:eastAsia="宋体" w:cs="宋体"/>
          <w:b/>
          <w:color w:val="auto"/>
          <w:kern w:val="0"/>
          <w:sz w:val="32"/>
          <w:szCs w:val="32"/>
          <w:highlight w:val="none"/>
          <w:lang w:val="en-US" w:eastAsia="zh-CN"/>
        </w:rPr>
        <w:t>十</w:t>
      </w:r>
      <w:r>
        <w:rPr>
          <w:rFonts w:hint="eastAsia" w:ascii="宋体" w:hAnsi="宋体" w:eastAsia="宋体" w:cs="宋体"/>
          <w:b/>
          <w:color w:val="auto"/>
          <w:kern w:val="0"/>
          <w:sz w:val="32"/>
          <w:szCs w:val="32"/>
          <w:highlight w:val="none"/>
        </w:rPr>
        <w:t>、业绩表格式</w:t>
      </w:r>
      <w:bookmarkEnd w:id="683"/>
      <w:bookmarkEnd w:id="684"/>
      <w:bookmarkEnd w:id="685"/>
      <w:bookmarkEnd w:id="686"/>
      <w:bookmarkEnd w:id="687"/>
      <w:bookmarkEnd w:id="688"/>
      <w:bookmarkEnd w:id="689"/>
      <w:bookmarkEnd w:id="690"/>
      <w:bookmarkEnd w:id="691"/>
      <w:bookmarkEnd w:id="692"/>
      <w:bookmarkEnd w:id="693"/>
      <w:bookmarkEnd w:id="694"/>
    </w:p>
    <w:p w14:paraId="01309C97">
      <w:pPr>
        <w:tabs>
          <w:tab w:val="left" w:pos="567"/>
        </w:tabs>
        <w:autoSpaceDE w:val="0"/>
        <w:autoSpaceDN w:val="0"/>
        <w:adjustRightInd w:val="0"/>
        <w:spacing w:line="360" w:lineRule="auto"/>
        <w:jc w:val="center"/>
        <w:rPr>
          <w:rFonts w:hint="eastAsia" w:ascii="宋体" w:hAnsi="宋体" w:eastAsia="宋体" w:cs="Times New Roman"/>
          <w:b/>
          <w:bCs/>
          <w:color w:val="auto"/>
          <w:sz w:val="30"/>
          <w:szCs w:val="30"/>
          <w:highlight w:val="none"/>
        </w:rPr>
      </w:pPr>
      <w:r>
        <w:rPr>
          <w:rFonts w:hint="eastAsia" w:ascii="宋体" w:hAnsi="宋体" w:eastAsia="宋体" w:cs="Times New Roman"/>
          <w:b/>
          <w:bCs/>
          <w:color w:val="auto"/>
          <w:sz w:val="30"/>
          <w:szCs w:val="30"/>
          <w:highlight w:val="none"/>
          <w:lang w:val="zh-CN"/>
        </w:rPr>
        <w:t>投标人</w:t>
      </w:r>
      <w:r>
        <w:rPr>
          <w:rFonts w:hint="eastAsia" w:ascii="宋体" w:hAnsi="宋体" w:eastAsia="宋体" w:cs="Times New Roman"/>
          <w:b/>
          <w:bCs/>
          <w:color w:val="auto"/>
          <w:sz w:val="30"/>
          <w:szCs w:val="30"/>
          <w:highlight w:val="none"/>
        </w:rPr>
        <w:t>2022</w:t>
      </w:r>
      <w:r>
        <w:rPr>
          <w:rFonts w:hint="eastAsia" w:ascii="宋体" w:hAnsi="宋体" w:eastAsia="宋体" w:cs="Times New Roman"/>
          <w:b/>
          <w:bCs/>
          <w:color w:val="auto"/>
          <w:sz w:val="30"/>
          <w:szCs w:val="30"/>
          <w:highlight w:val="none"/>
          <w:lang w:val="zh-CN"/>
        </w:rPr>
        <w:t>年</w:t>
      </w:r>
      <w:r>
        <w:rPr>
          <w:rFonts w:hint="eastAsia" w:ascii="宋体" w:hAnsi="宋体" w:eastAsia="宋体" w:cs="Times New Roman"/>
          <w:b/>
          <w:bCs/>
          <w:color w:val="auto"/>
          <w:sz w:val="30"/>
          <w:szCs w:val="30"/>
          <w:highlight w:val="none"/>
        </w:rPr>
        <w:t>1</w:t>
      </w:r>
      <w:r>
        <w:rPr>
          <w:rFonts w:hint="eastAsia" w:ascii="宋体" w:hAnsi="宋体" w:eastAsia="宋体" w:cs="Times New Roman"/>
          <w:b/>
          <w:bCs/>
          <w:color w:val="auto"/>
          <w:sz w:val="30"/>
          <w:szCs w:val="30"/>
          <w:highlight w:val="none"/>
          <w:lang w:val="zh-CN"/>
        </w:rPr>
        <w:t>月</w:t>
      </w:r>
      <w:r>
        <w:rPr>
          <w:rFonts w:hint="eastAsia" w:ascii="宋体" w:hAnsi="宋体" w:eastAsia="宋体" w:cs="Times New Roman"/>
          <w:b/>
          <w:bCs/>
          <w:color w:val="auto"/>
          <w:sz w:val="30"/>
          <w:szCs w:val="30"/>
          <w:highlight w:val="none"/>
        </w:rPr>
        <w:t>1</w:t>
      </w:r>
      <w:r>
        <w:rPr>
          <w:rFonts w:hint="eastAsia" w:ascii="宋体" w:hAnsi="宋体" w:eastAsia="宋体" w:cs="Times New Roman"/>
          <w:b/>
          <w:bCs/>
          <w:color w:val="auto"/>
          <w:sz w:val="30"/>
          <w:szCs w:val="30"/>
          <w:highlight w:val="none"/>
          <w:lang w:val="zh-CN"/>
        </w:rPr>
        <w:t>日至今</w:t>
      </w:r>
      <w:r>
        <w:rPr>
          <w:rFonts w:hint="eastAsia" w:ascii="宋体" w:hAnsi="宋体" w:eastAsia="宋体" w:cs="Times New Roman"/>
          <w:b/>
          <w:bCs/>
          <w:color w:val="auto"/>
          <w:sz w:val="30"/>
          <w:szCs w:val="30"/>
          <w:highlight w:val="none"/>
        </w:rPr>
        <w:t>已</w:t>
      </w:r>
      <w:r>
        <w:rPr>
          <w:rFonts w:hint="eastAsia" w:ascii="宋体" w:hAnsi="宋体" w:eastAsia="宋体" w:cs="Times New Roman"/>
          <w:b/>
          <w:bCs/>
          <w:color w:val="auto"/>
          <w:sz w:val="30"/>
          <w:szCs w:val="30"/>
          <w:highlight w:val="none"/>
          <w:lang w:val="zh-CN"/>
        </w:rPr>
        <w:t>完成的</w:t>
      </w:r>
      <w:r>
        <w:rPr>
          <w:rFonts w:hint="eastAsia" w:ascii="宋体" w:hAnsi="宋体" w:eastAsia="宋体" w:cs="Times New Roman"/>
          <w:b/>
          <w:bCs/>
          <w:color w:val="auto"/>
          <w:sz w:val="30"/>
          <w:szCs w:val="30"/>
          <w:highlight w:val="none"/>
          <w:lang w:val="en-US" w:eastAsia="zh-CN"/>
        </w:rPr>
        <w:t>市政类</w:t>
      </w:r>
      <w:r>
        <w:rPr>
          <w:rFonts w:hint="eastAsia" w:ascii="宋体" w:hAnsi="宋体" w:eastAsia="宋体" w:cs="Times New Roman"/>
          <w:b/>
          <w:bCs/>
          <w:color w:val="auto"/>
          <w:sz w:val="30"/>
          <w:szCs w:val="30"/>
          <w:highlight w:val="none"/>
        </w:rPr>
        <w:t>工程施工项目劳务分包</w:t>
      </w:r>
      <w:r>
        <w:rPr>
          <w:rFonts w:hint="eastAsia" w:ascii="宋体" w:hAnsi="宋体" w:eastAsia="宋体" w:cs="Times New Roman"/>
          <w:b/>
          <w:bCs/>
          <w:color w:val="auto"/>
          <w:sz w:val="30"/>
          <w:szCs w:val="30"/>
          <w:highlight w:val="none"/>
          <w:lang w:val="zh-CN"/>
        </w:rPr>
        <w:t>业绩表</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811"/>
        <w:gridCol w:w="1165"/>
        <w:gridCol w:w="1169"/>
        <w:gridCol w:w="1169"/>
        <w:gridCol w:w="1169"/>
        <w:gridCol w:w="1367"/>
        <w:gridCol w:w="1173"/>
        <w:gridCol w:w="1176"/>
        <w:gridCol w:w="1009"/>
      </w:tblGrid>
      <w:tr w14:paraId="7182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880" w:hRule="exact"/>
          <w:jc w:val="center"/>
        </w:trPr>
        <w:tc>
          <w:tcPr>
            <w:tcW w:w="397" w:type="pct"/>
            <w:vAlign w:val="center"/>
          </w:tcPr>
          <w:p w14:paraId="300845F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570" w:type="pct"/>
            <w:vAlign w:val="center"/>
          </w:tcPr>
          <w:p w14:paraId="39E5EA8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572" w:type="pct"/>
            <w:vAlign w:val="center"/>
          </w:tcPr>
          <w:p w14:paraId="64AFBA64">
            <w:pPr>
              <w:keepNext w:val="0"/>
              <w:keepLines w:val="0"/>
              <w:suppressLineNumbers w:val="0"/>
              <w:spacing w:before="0" w:beforeAutospacing="0" w:after="0" w:afterAutospacing="0"/>
              <w:ind w:left="0" w:right="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承包内容</w:t>
            </w:r>
          </w:p>
        </w:tc>
        <w:tc>
          <w:tcPr>
            <w:tcW w:w="572" w:type="pct"/>
            <w:vAlign w:val="center"/>
          </w:tcPr>
          <w:p w14:paraId="66F79E2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合同金额（万元）</w:t>
            </w:r>
          </w:p>
        </w:tc>
        <w:tc>
          <w:tcPr>
            <w:tcW w:w="572" w:type="pct"/>
            <w:vAlign w:val="center"/>
          </w:tcPr>
          <w:p w14:paraId="14E4867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合同期限</w:t>
            </w:r>
          </w:p>
        </w:tc>
        <w:tc>
          <w:tcPr>
            <w:tcW w:w="669" w:type="pct"/>
            <w:vAlign w:val="center"/>
          </w:tcPr>
          <w:p w14:paraId="622EE31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签约日期</w:t>
            </w:r>
          </w:p>
        </w:tc>
        <w:tc>
          <w:tcPr>
            <w:tcW w:w="574" w:type="pct"/>
            <w:vAlign w:val="center"/>
          </w:tcPr>
          <w:p w14:paraId="090F53A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服务完成情况</w:t>
            </w:r>
          </w:p>
        </w:tc>
        <w:tc>
          <w:tcPr>
            <w:tcW w:w="575" w:type="pct"/>
            <w:vAlign w:val="center"/>
          </w:tcPr>
          <w:p w14:paraId="2106793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发包人联系人及电话</w:t>
            </w:r>
          </w:p>
        </w:tc>
        <w:tc>
          <w:tcPr>
            <w:tcW w:w="493" w:type="pct"/>
            <w:vAlign w:val="center"/>
          </w:tcPr>
          <w:p w14:paraId="013A416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0A3E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567" w:hRule="exact"/>
          <w:jc w:val="center"/>
        </w:trPr>
        <w:tc>
          <w:tcPr>
            <w:tcW w:w="397" w:type="pct"/>
            <w:vAlign w:val="center"/>
          </w:tcPr>
          <w:p w14:paraId="2C4C75E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0" w:type="pct"/>
            <w:vAlign w:val="center"/>
          </w:tcPr>
          <w:p w14:paraId="2BA6A3B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2" w:type="pct"/>
            <w:vAlign w:val="center"/>
          </w:tcPr>
          <w:p w14:paraId="621F23F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2" w:type="pct"/>
            <w:vAlign w:val="center"/>
          </w:tcPr>
          <w:p w14:paraId="47FECA6C">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2" w:type="pct"/>
            <w:vAlign w:val="center"/>
          </w:tcPr>
          <w:p w14:paraId="6042DCF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669" w:type="pct"/>
            <w:vAlign w:val="center"/>
          </w:tcPr>
          <w:p w14:paraId="419258E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4" w:type="pct"/>
          </w:tcPr>
          <w:p w14:paraId="6A367C8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vAlign w:val="center"/>
          </w:tcPr>
          <w:p w14:paraId="6D5AEEEB">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493" w:type="pct"/>
            <w:vAlign w:val="center"/>
          </w:tcPr>
          <w:p w14:paraId="5B4678C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3836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567" w:hRule="exact"/>
          <w:jc w:val="center"/>
        </w:trPr>
        <w:tc>
          <w:tcPr>
            <w:tcW w:w="397" w:type="pct"/>
            <w:vAlign w:val="center"/>
          </w:tcPr>
          <w:p w14:paraId="58275DA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0" w:type="pct"/>
            <w:vAlign w:val="center"/>
          </w:tcPr>
          <w:p w14:paraId="1A0158C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2" w:type="pct"/>
            <w:vAlign w:val="center"/>
          </w:tcPr>
          <w:p w14:paraId="3446B6E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2" w:type="pct"/>
            <w:vAlign w:val="center"/>
          </w:tcPr>
          <w:p w14:paraId="46DD1AA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2" w:type="pct"/>
            <w:vAlign w:val="center"/>
          </w:tcPr>
          <w:p w14:paraId="7794710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669" w:type="pct"/>
            <w:vAlign w:val="center"/>
          </w:tcPr>
          <w:p w14:paraId="37B274C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4" w:type="pct"/>
          </w:tcPr>
          <w:p w14:paraId="6239624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vAlign w:val="center"/>
          </w:tcPr>
          <w:p w14:paraId="4B15309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493" w:type="pct"/>
            <w:vAlign w:val="center"/>
          </w:tcPr>
          <w:p w14:paraId="623CCD6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7DD3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567" w:hRule="exact"/>
          <w:jc w:val="center"/>
        </w:trPr>
        <w:tc>
          <w:tcPr>
            <w:tcW w:w="397" w:type="pct"/>
            <w:vAlign w:val="center"/>
          </w:tcPr>
          <w:p w14:paraId="5CBE5A8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0" w:type="pct"/>
            <w:vAlign w:val="center"/>
          </w:tcPr>
          <w:p w14:paraId="2456B95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2" w:type="pct"/>
            <w:vAlign w:val="center"/>
          </w:tcPr>
          <w:p w14:paraId="3872D2F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2" w:type="pct"/>
            <w:vAlign w:val="center"/>
          </w:tcPr>
          <w:p w14:paraId="1D42530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2" w:type="pct"/>
            <w:vAlign w:val="center"/>
          </w:tcPr>
          <w:p w14:paraId="27EB832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669" w:type="pct"/>
            <w:vAlign w:val="center"/>
          </w:tcPr>
          <w:p w14:paraId="1C03A29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4" w:type="pct"/>
          </w:tcPr>
          <w:p w14:paraId="2399258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vAlign w:val="center"/>
          </w:tcPr>
          <w:p w14:paraId="118F73D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493" w:type="pct"/>
            <w:vAlign w:val="center"/>
          </w:tcPr>
          <w:p w14:paraId="20588EC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53F1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567" w:hRule="exact"/>
          <w:jc w:val="center"/>
        </w:trPr>
        <w:tc>
          <w:tcPr>
            <w:tcW w:w="397" w:type="pct"/>
            <w:vAlign w:val="center"/>
          </w:tcPr>
          <w:p w14:paraId="5389599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0" w:type="pct"/>
            <w:vAlign w:val="center"/>
          </w:tcPr>
          <w:p w14:paraId="3AC434C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2" w:type="pct"/>
            <w:vAlign w:val="center"/>
          </w:tcPr>
          <w:p w14:paraId="68A5159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2" w:type="pct"/>
            <w:vAlign w:val="center"/>
          </w:tcPr>
          <w:p w14:paraId="3221898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2" w:type="pct"/>
            <w:vAlign w:val="center"/>
          </w:tcPr>
          <w:p w14:paraId="554ABEFB">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669" w:type="pct"/>
            <w:vAlign w:val="center"/>
          </w:tcPr>
          <w:p w14:paraId="5FDA363B">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4" w:type="pct"/>
          </w:tcPr>
          <w:p w14:paraId="7057A913">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vAlign w:val="center"/>
          </w:tcPr>
          <w:p w14:paraId="6B8AC24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493" w:type="pct"/>
            <w:vAlign w:val="center"/>
          </w:tcPr>
          <w:p w14:paraId="0D8B9B9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15D7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567" w:hRule="exact"/>
          <w:jc w:val="center"/>
        </w:trPr>
        <w:tc>
          <w:tcPr>
            <w:tcW w:w="397" w:type="pct"/>
            <w:vAlign w:val="center"/>
          </w:tcPr>
          <w:p w14:paraId="357DC5E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0" w:type="pct"/>
            <w:vAlign w:val="center"/>
          </w:tcPr>
          <w:p w14:paraId="0425380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2" w:type="pct"/>
            <w:vAlign w:val="center"/>
          </w:tcPr>
          <w:p w14:paraId="4A36F9F3">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2" w:type="pct"/>
            <w:vAlign w:val="center"/>
          </w:tcPr>
          <w:p w14:paraId="71DC4D9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2" w:type="pct"/>
            <w:vAlign w:val="center"/>
          </w:tcPr>
          <w:p w14:paraId="052DE20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669" w:type="pct"/>
            <w:vAlign w:val="center"/>
          </w:tcPr>
          <w:p w14:paraId="2C3E00F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4" w:type="pct"/>
          </w:tcPr>
          <w:p w14:paraId="0AC6B2A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75" w:type="pct"/>
            <w:vAlign w:val="center"/>
          </w:tcPr>
          <w:p w14:paraId="7A1E578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493" w:type="pct"/>
            <w:vAlign w:val="center"/>
          </w:tcPr>
          <w:p w14:paraId="3F8E70F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bl>
    <w:p w14:paraId="1FBF58DC">
      <w:pPr>
        <w:autoSpaceDE w:val="0"/>
        <w:autoSpaceDN w:val="0"/>
        <w:adjustRightInd w:val="0"/>
        <w:snapToGrid w:val="0"/>
        <w:spacing w:line="360" w:lineRule="auto"/>
        <w:ind w:left="186" w:leftChars="-158" w:hanging="518" w:hangingChars="247"/>
        <w:jc w:val="left"/>
        <w:rPr>
          <w:rFonts w:hint="eastAsia" w:ascii="宋体" w:hAnsi="宋体" w:eastAsia="宋体" w:cs="Times New Roman"/>
          <w:color w:val="auto"/>
          <w:szCs w:val="24"/>
          <w:highlight w:val="none"/>
          <w:lang w:val="zh-CN"/>
        </w:rPr>
      </w:pPr>
    </w:p>
    <w:p w14:paraId="50BEB094">
      <w:pPr>
        <w:autoSpaceDE w:val="0"/>
        <w:autoSpaceDN w:val="0"/>
        <w:adjustRightInd w:val="0"/>
        <w:snapToGrid w:val="0"/>
        <w:spacing w:line="360" w:lineRule="auto"/>
        <w:ind w:left="481" w:leftChars="-41" w:hanging="567" w:hangingChars="270"/>
        <w:jc w:val="left"/>
        <w:rPr>
          <w:rFonts w:hint="eastAsia"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备注：</w:t>
      </w:r>
    </w:p>
    <w:p w14:paraId="2346F5CA">
      <w:pPr>
        <w:autoSpaceDE w:val="0"/>
        <w:autoSpaceDN w:val="0"/>
        <w:adjustRightInd w:val="0"/>
        <w:snapToGrid w:val="0"/>
        <w:spacing w:line="360" w:lineRule="auto"/>
        <w:ind w:left="481" w:leftChars="-41" w:hanging="567" w:hangingChars="270"/>
        <w:jc w:val="left"/>
        <w:rPr>
          <w:rFonts w:hint="eastAsia"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（1）</w:t>
      </w:r>
      <w:r>
        <w:rPr>
          <w:rFonts w:ascii="宋体" w:hAnsi="宋体" w:eastAsia="宋体" w:cs="Times New Roman"/>
          <w:color w:val="auto"/>
          <w:szCs w:val="24"/>
          <w:highlight w:val="none"/>
          <w:lang w:val="zh-CN"/>
        </w:rPr>
        <w:t>业绩按单项合同金额从高到低的方式排列</w:t>
      </w:r>
      <w:r>
        <w:rPr>
          <w:rFonts w:hint="eastAsia" w:ascii="宋体" w:hAnsi="宋体" w:eastAsia="宋体" w:cs="Times New Roman"/>
          <w:color w:val="auto"/>
          <w:szCs w:val="24"/>
          <w:highlight w:val="none"/>
          <w:lang w:val="zh-CN"/>
        </w:rPr>
        <w:t>，</w:t>
      </w:r>
      <w:r>
        <w:rPr>
          <w:rFonts w:hint="eastAsia" w:ascii="宋体" w:hAnsi="宋体" w:eastAsia="宋体" w:cs="Times New Roman"/>
          <w:b/>
          <w:bCs/>
          <w:color w:val="auto"/>
          <w:szCs w:val="24"/>
          <w:highlight w:val="none"/>
          <w:lang w:val="zh-CN"/>
        </w:rPr>
        <w:t>同一个单项合同的业绩可以同时在资格业绩和评分业绩重复放置</w:t>
      </w:r>
      <w:r>
        <w:rPr>
          <w:rFonts w:hint="eastAsia" w:ascii="宋体" w:hAnsi="宋体" w:eastAsia="宋体" w:cs="Times New Roman"/>
          <w:color w:val="auto"/>
          <w:szCs w:val="24"/>
          <w:highlight w:val="none"/>
          <w:lang w:val="zh-CN"/>
        </w:rPr>
        <w:t>；</w:t>
      </w:r>
    </w:p>
    <w:p w14:paraId="05DAABF9">
      <w:pPr>
        <w:autoSpaceDE w:val="0"/>
        <w:autoSpaceDN w:val="0"/>
        <w:adjustRightInd w:val="0"/>
        <w:snapToGrid w:val="0"/>
        <w:spacing w:line="360" w:lineRule="auto"/>
        <w:ind w:left="481" w:leftChars="-41" w:hanging="567" w:hangingChars="270"/>
        <w:jc w:val="left"/>
        <w:rPr>
          <w:rFonts w:hint="eastAsia"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ascii="宋体" w:hAnsi="宋体" w:eastAsia="宋体" w:cs="Times New Roman"/>
          <w:color w:val="auto"/>
          <w:szCs w:val="24"/>
          <w:highlight w:val="none"/>
          <w:lang w:val="zh-CN"/>
        </w:rPr>
        <w:t>2</w:t>
      </w:r>
      <w:r>
        <w:rPr>
          <w:rFonts w:hint="eastAsia" w:ascii="宋体" w:hAnsi="宋体" w:eastAsia="宋体" w:cs="Times New Roman"/>
          <w:color w:val="auto"/>
          <w:szCs w:val="24"/>
          <w:highlight w:val="none"/>
          <w:lang w:val="zh-CN"/>
        </w:rPr>
        <w:t>）业绩须附以下证明资料：合同（合同承包方必须为投标人）及相关验收证明</w:t>
      </w:r>
      <w:r>
        <w:rPr>
          <w:rFonts w:hint="eastAsia" w:ascii="宋体" w:hAnsi="宋体" w:eastAsia="宋体" w:cs="Times New Roman"/>
          <w:color w:val="auto"/>
          <w:szCs w:val="24"/>
          <w:highlight w:val="none"/>
          <w:lang w:val="zh-CN"/>
        </w:rPr>
        <w:t>（</w:t>
      </w:r>
      <w:r>
        <w:rPr>
          <w:rFonts w:hint="eastAsia" w:ascii="宋体" w:hAnsi="宋体" w:eastAsia="宋体" w:cs="Times New Roman"/>
          <w:color w:val="auto"/>
          <w:szCs w:val="24"/>
          <w:highlight w:val="none"/>
          <w:lang w:val="en-US" w:eastAsia="zh-CN"/>
        </w:rPr>
        <w:t>验收证明可为劳务分包验收证明材料，或劳务结算确认材料，或劳务完工证明材料</w:t>
      </w:r>
      <w:r>
        <w:rPr>
          <w:rFonts w:hint="eastAsia" w:ascii="宋体" w:hAnsi="宋体" w:eastAsia="宋体" w:cs="Times New Roman"/>
          <w:color w:val="auto"/>
          <w:szCs w:val="24"/>
          <w:highlight w:val="none"/>
          <w:lang w:val="zh-CN"/>
        </w:rPr>
        <w:t>）</w:t>
      </w:r>
      <w:r>
        <w:rPr>
          <w:rFonts w:hint="eastAsia" w:ascii="宋体" w:hAnsi="宋体" w:eastAsia="宋体" w:cs="Times New Roman"/>
          <w:color w:val="auto"/>
          <w:szCs w:val="24"/>
          <w:highlight w:val="none"/>
          <w:lang w:val="zh-CN"/>
        </w:rPr>
        <w:t>原件扫描件，否则不得分；</w:t>
      </w:r>
    </w:p>
    <w:p w14:paraId="4FAFF7E9">
      <w:pPr>
        <w:autoSpaceDE w:val="0"/>
        <w:autoSpaceDN w:val="0"/>
        <w:adjustRightInd w:val="0"/>
        <w:snapToGrid w:val="0"/>
        <w:spacing w:line="360" w:lineRule="auto"/>
        <w:ind w:left="481" w:leftChars="-41" w:hanging="567" w:hangingChars="270"/>
        <w:jc w:val="left"/>
        <w:rPr>
          <w:rFonts w:hint="eastAsia"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ascii="宋体" w:hAnsi="宋体" w:eastAsia="宋体" w:cs="Times New Roman"/>
          <w:color w:val="auto"/>
          <w:szCs w:val="24"/>
          <w:highlight w:val="none"/>
          <w:lang w:val="zh-CN"/>
        </w:rPr>
        <w:t>3</w:t>
      </w:r>
      <w:r>
        <w:rPr>
          <w:rFonts w:hint="eastAsia" w:ascii="宋体" w:hAnsi="宋体" w:eastAsia="宋体" w:cs="Times New Roman"/>
          <w:color w:val="auto"/>
          <w:szCs w:val="24"/>
          <w:highlight w:val="none"/>
          <w:lang w:val="zh-CN"/>
        </w:rPr>
        <w:t>）合同必须能反映评分条件（1.合同签订日期为2022年1月1日或以后；</w:t>
      </w:r>
      <w:r>
        <w:rPr>
          <w:rFonts w:hint="eastAsia" w:ascii="宋体" w:hAnsi="宋体" w:eastAsia="宋体" w:cs="Times New Roman"/>
          <w:color w:val="auto"/>
          <w:szCs w:val="24"/>
          <w:highlight w:val="none"/>
          <w:lang w:val="en-US" w:eastAsia="zh-CN"/>
        </w:rPr>
        <w:t>2.承包内容为市政类工程施工项目劳务分包；</w:t>
      </w:r>
      <w:r>
        <w:rPr>
          <w:rFonts w:hint="eastAsia" w:ascii="宋体" w:hAnsi="宋体" w:eastAsia="宋体" w:cs="Times New Roman"/>
          <w:color w:val="auto"/>
          <w:szCs w:val="24"/>
          <w:highlight w:val="none"/>
          <w:lang w:val="en-US" w:eastAsia="zh-CN"/>
        </w:rPr>
        <w:t>3</w:t>
      </w:r>
      <w:r>
        <w:rPr>
          <w:rFonts w:hint="eastAsia" w:ascii="宋体" w:hAnsi="宋体" w:eastAsia="宋体" w:cs="Times New Roman"/>
          <w:color w:val="auto"/>
          <w:szCs w:val="24"/>
          <w:highlight w:val="none"/>
          <w:lang w:val="zh-CN"/>
        </w:rPr>
        <w:t>.单项合同金额满足评分要求），否则还需提供合同发包方出具的书面补充说明文件原件扫描件作为辅助证明（补充说明文件原件扫描件能显示合同发包方公章）；</w:t>
      </w:r>
    </w:p>
    <w:p w14:paraId="1CDADB25">
      <w:pPr>
        <w:autoSpaceDE w:val="0"/>
        <w:autoSpaceDN w:val="0"/>
        <w:adjustRightInd w:val="0"/>
        <w:snapToGrid w:val="0"/>
        <w:spacing w:line="360" w:lineRule="auto"/>
        <w:ind w:left="481" w:leftChars="-41" w:hanging="567" w:hangingChars="270"/>
        <w:jc w:val="left"/>
        <w:rPr>
          <w:rFonts w:hint="eastAsia"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hint="eastAsia" w:ascii="宋体" w:hAnsi="宋体" w:eastAsia="宋体" w:cs="Times New Roman"/>
          <w:color w:val="auto"/>
          <w:szCs w:val="24"/>
          <w:highlight w:val="none"/>
        </w:rPr>
        <w:t>4</w:t>
      </w:r>
      <w:r>
        <w:rPr>
          <w:rFonts w:hint="eastAsia" w:ascii="宋体" w:hAnsi="宋体" w:eastAsia="宋体" w:cs="Times New Roman"/>
          <w:color w:val="auto"/>
          <w:szCs w:val="24"/>
          <w:highlight w:val="none"/>
          <w:lang w:val="zh-CN"/>
        </w:rPr>
        <w:t>）若业绩为框架式协议或资格入围无明确金额的合同，必须同时提供合同期限内已完成劳务分包服务的发票金额统计表和发票原件扫描件；</w:t>
      </w:r>
    </w:p>
    <w:p w14:paraId="663B8BC5">
      <w:pPr>
        <w:autoSpaceDE w:val="0"/>
        <w:autoSpaceDN w:val="0"/>
        <w:adjustRightInd w:val="0"/>
        <w:snapToGrid w:val="0"/>
        <w:spacing w:line="360" w:lineRule="auto"/>
        <w:ind w:left="481" w:leftChars="-41" w:hanging="567" w:hangingChars="27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szCs w:val="24"/>
          <w:highlight w:val="none"/>
          <w:lang w:val="zh-CN"/>
        </w:rPr>
        <w:t>（</w:t>
      </w:r>
      <w:r>
        <w:rPr>
          <w:rFonts w:hint="eastAsia" w:ascii="宋体" w:hAnsi="宋体" w:eastAsia="宋体" w:cs="Times New Roman"/>
          <w:color w:val="auto"/>
          <w:szCs w:val="24"/>
          <w:highlight w:val="none"/>
        </w:rPr>
        <w:t>5</w:t>
      </w:r>
      <w:r>
        <w:rPr>
          <w:rFonts w:hint="eastAsia" w:ascii="宋体" w:hAnsi="宋体" w:eastAsia="宋体" w:cs="Times New Roman"/>
          <w:color w:val="auto"/>
          <w:szCs w:val="24"/>
          <w:highlight w:val="none"/>
          <w:lang w:val="zh-CN"/>
        </w:rPr>
        <w:t>）未按上述要求在此格式下提供证明材料的业绩，或在此格式下所附材料无法证明填报项目符合本项评分要求的业绩，在评标时将不予考虑</w:t>
      </w:r>
      <w:r>
        <w:rPr>
          <w:rFonts w:hint="eastAsia" w:ascii="宋体" w:hAnsi="宋体" w:eastAsia="宋体" w:cs="Times New Roman"/>
          <w:color w:val="auto"/>
          <w:kern w:val="0"/>
          <w:szCs w:val="21"/>
          <w:highlight w:val="none"/>
        </w:rPr>
        <w:t>。</w:t>
      </w:r>
    </w:p>
    <w:p w14:paraId="40B055A9">
      <w:pPr>
        <w:autoSpaceDE w:val="0"/>
        <w:autoSpaceDN w:val="0"/>
        <w:adjustRightInd w:val="0"/>
        <w:snapToGrid w:val="0"/>
        <w:spacing w:line="360" w:lineRule="auto"/>
        <w:ind w:left="481" w:leftChars="-41" w:hanging="567" w:hangingChars="270"/>
        <w:jc w:val="left"/>
        <w:rPr>
          <w:rFonts w:hint="eastAsia" w:ascii="宋体" w:hAnsi="宋体" w:eastAsia="宋体" w:cs="Times New Roman"/>
          <w:color w:val="auto"/>
          <w:szCs w:val="24"/>
          <w:highlight w:val="none"/>
          <w:lang w:val="zh-CN"/>
        </w:rPr>
      </w:pPr>
    </w:p>
    <w:p w14:paraId="0A68D0E2">
      <w:pPr>
        <w:autoSpaceDE w:val="0"/>
        <w:autoSpaceDN w:val="0"/>
        <w:adjustRightInd w:val="0"/>
        <w:spacing w:line="360" w:lineRule="auto"/>
        <w:ind w:firstLine="5040" w:firstLineChars="2400"/>
        <w:jc w:val="left"/>
        <w:rPr>
          <w:rFonts w:hint="eastAsia" w:ascii="宋体" w:hAnsi="宋体" w:eastAsia="宋体" w:cs="Times New Roman"/>
          <w:color w:val="auto"/>
          <w:szCs w:val="24"/>
          <w:highlight w:val="none"/>
          <w:lang w:val="zh-CN"/>
        </w:rPr>
      </w:pPr>
    </w:p>
    <w:p w14:paraId="46F3E208">
      <w:pPr>
        <w:autoSpaceDE w:val="0"/>
        <w:autoSpaceDN w:val="0"/>
        <w:adjustRightInd w:val="0"/>
        <w:spacing w:line="360" w:lineRule="auto"/>
        <w:ind w:firstLine="5040" w:firstLineChars="240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szCs w:val="24"/>
          <w:highlight w:val="none"/>
          <w:lang w:val="zh-CN"/>
        </w:rPr>
        <w:t>投标人：</w:t>
      </w:r>
      <w:r>
        <w:rPr>
          <w:rFonts w:hint="eastAsia" w:ascii="宋体" w:hAnsi="宋体" w:eastAsia="宋体" w:cs="宋体"/>
          <w:color w:val="auto"/>
          <w:szCs w:val="21"/>
          <w:highlight w:val="none"/>
          <w:u w:val="single"/>
          <w:lang w:val="zh-CN"/>
        </w:rPr>
        <w:t xml:space="preserve">             （企业数字证书电子签名）</w:t>
      </w:r>
    </w:p>
    <w:p w14:paraId="7A284853">
      <w:pPr>
        <w:autoSpaceDE w:val="0"/>
        <w:autoSpaceDN w:val="0"/>
        <w:adjustRightInd w:val="0"/>
        <w:spacing w:line="360" w:lineRule="auto"/>
        <w:ind w:firstLine="5040" w:firstLineChars="2400"/>
        <w:jc w:val="left"/>
        <w:rPr>
          <w:rFonts w:hint="eastAsia"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日期：   年   月   日</w:t>
      </w:r>
    </w:p>
    <w:p w14:paraId="15A0B7DF">
      <w:pPr>
        <w:autoSpaceDE w:val="0"/>
        <w:autoSpaceDN w:val="0"/>
        <w:adjustRightInd w:val="0"/>
        <w:spacing w:line="360" w:lineRule="auto"/>
        <w:rPr>
          <w:rFonts w:hint="eastAsia" w:ascii="宋体" w:hAnsi="宋体" w:eastAsia="宋体" w:cs="Times New Roman"/>
          <w:b/>
          <w:bCs/>
          <w:color w:val="auto"/>
          <w:szCs w:val="24"/>
          <w:highlight w:val="none"/>
          <w:lang w:val="zh-CN"/>
        </w:rPr>
      </w:pPr>
    </w:p>
    <w:p w14:paraId="5780BFE8">
      <w:pPr>
        <w:autoSpaceDE w:val="0"/>
        <w:autoSpaceDN w:val="0"/>
        <w:adjustRightInd w:val="0"/>
        <w:spacing w:line="360" w:lineRule="auto"/>
        <w:jc w:val="center"/>
        <w:rPr>
          <w:rFonts w:hint="eastAsia" w:ascii="宋体" w:hAnsi="宋体" w:eastAsia="宋体" w:cs="Times New Roman"/>
          <w:b/>
          <w:bCs/>
          <w:color w:val="auto"/>
          <w:sz w:val="30"/>
          <w:szCs w:val="30"/>
          <w:highlight w:val="none"/>
          <w:lang w:val="zh-CN"/>
        </w:rPr>
      </w:pPr>
      <w:r>
        <w:rPr>
          <w:rFonts w:hint="eastAsia" w:ascii="宋体" w:hAnsi="宋体" w:eastAsia="宋体" w:cs="Times New Roman"/>
          <w:b/>
          <w:bCs/>
          <w:color w:val="auto"/>
          <w:szCs w:val="24"/>
          <w:highlight w:val="none"/>
          <w:lang w:val="zh-CN"/>
        </w:rPr>
        <w:t>说明：由投标人使用投标人的企业数字证书电子签名。</w:t>
      </w:r>
    </w:p>
    <w:bookmarkEnd w:id="695"/>
    <w:bookmarkEnd w:id="696"/>
    <w:p w14:paraId="13655BDE">
      <w:pPr>
        <w:spacing w:line="240" w:lineRule="auto"/>
        <w:jc w:val="left"/>
        <w:rPr>
          <w:rFonts w:hint="eastAsia" w:ascii="宋体" w:hAnsi="宋体" w:eastAsia="宋体" w:cs="宋体"/>
          <w:b/>
          <w:bCs/>
          <w:color w:val="auto"/>
          <w:sz w:val="30"/>
          <w:szCs w:val="30"/>
          <w:highlight w:val="none"/>
          <w:lang w:val="zh-CN"/>
        </w:rPr>
      </w:pPr>
      <w:bookmarkStart w:id="697" w:name="_Toc140596938"/>
      <w:bookmarkStart w:id="698" w:name="_Toc1564"/>
      <w:bookmarkStart w:id="699" w:name="_Toc102860083"/>
      <w:bookmarkStart w:id="700" w:name="_Toc28501"/>
      <w:bookmarkStart w:id="701" w:name="_Toc31965"/>
      <w:bookmarkStart w:id="702" w:name="_Toc102860427"/>
      <w:bookmarkStart w:id="703" w:name="_Toc104991885"/>
      <w:bookmarkStart w:id="704" w:name="_Toc142508378"/>
      <w:bookmarkStart w:id="705" w:name="_Toc19890"/>
      <w:bookmarkStart w:id="706" w:name="_Toc18175_WPSOffice_Level2"/>
      <w:bookmarkStart w:id="707" w:name="_Toc18413"/>
      <w:bookmarkStart w:id="708" w:name="_Toc486167719"/>
      <w:bookmarkStart w:id="709" w:name="_Toc533708132"/>
      <w:bookmarkStart w:id="710" w:name="_Toc94107220"/>
      <w:bookmarkStart w:id="711" w:name="_Toc1977737"/>
      <w:r>
        <w:rPr>
          <w:rFonts w:hint="eastAsia" w:ascii="宋体" w:hAnsi="宋体" w:eastAsia="宋体" w:cs="宋体"/>
          <w:b/>
          <w:bCs/>
          <w:color w:val="auto"/>
          <w:sz w:val="30"/>
          <w:szCs w:val="30"/>
          <w:highlight w:val="none"/>
          <w:lang w:val="zh-CN"/>
        </w:rPr>
        <w:br w:type="page"/>
      </w:r>
    </w:p>
    <w:p w14:paraId="6EC0F839">
      <w:pPr>
        <w:spacing w:line="360" w:lineRule="auto"/>
        <w:rPr>
          <w:rFonts w:hint="eastAsia" w:ascii="宋体" w:hAnsi="宋体" w:eastAsia="宋体" w:cs="宋体"/>
          <w:b/>
          <w:bCs/>
          <w:color w:val="auto"/>
          <w:sz w:val="30"/>
          <w:szCs w:val="30"/>
          <w:highlight w:val="none"/>
          <w:lang w:val="zh-CN"/>
        </w:rPr>
      </w:pPr>
      <w:r>
        <w:rPr>
          <w:rFonts w:hint="eastAsia" w:ascii="宋体" w:hAnsi="宋体" w:eastAsia="宋体" w:cs="宋体"/>
          <w:b/>
          <w:bCs/>
          <w:color w:val="auto"/>
          <w:sz w:val="30"/>
          <w:szCs w:val="30"/>
          <w:highlight w:val="none"/>
          <w:lang w:val="zh-CN"/>
        </w:rPr>
        <w:t>附表：已完成劳务分包服务的发票金额统计表</w:t>
      </w:r>
    </w:p>
    <w:tbl>
      <w:tblPr>
        <w:tblStyle w:val="3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3574"/>
        <w:gridCol w:w="1265"/>
        <w:gridCol w:w="1421"/>
        <w:gridCol w:w="1738"/>
        <w:gridCol w:w="1392"/>
      </w:tblGrid>
      <w:tr w14:paraId="0750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95" w:type="pct"/>
            <w:gridSpan w:val="2"/>
            <w:vAlign w:val="center"/>
          </w:tcPr>
          <w:p w14:paraId="72AAF499">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r>
              <w:rPr>
                <w:rFonts w:hint="eastAsia" w:ascii="宋体" w:hAnsi="宋体" w:cs="宋体"/>
                <w:color w:val="auto"/>
                <w:szCs w:val="21"/>
                <w:highlight w:val="none"/>
              </w:rPr>
              <w:t>项目名称</w:t>
            </w:r>
          </w:p>
        </w:tc>
        <w:tc>
          <w:tcPr>
            <w:tcW w:w="2804" w:type="pct"/>
            <w:gridSpan w:val="4"/>
            <w:vAlign w:val="center"/>
          </w:tcPr>
          <w:p w14:paraId="0F4A5887">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r>
      <w:tr w14:paraId="618C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5" w:type="pct"/>
            <w:gridSpan w:val="2"/>
            <w:vAlign w:val="center"/>
          </w:tcPr>
          <w:p w14:paraId="069F6EE3">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r>
              <w:rPr>
                <w:rFonts w:hint="eastAsia" w:ascii="宋体" w:hAnsi="宋体" w:cs="宋体"/>
                <w:color w:val="auto"/>
                <w:szCs w:val="21"/>
                <w:highlight w:val="none"/>
              </w:rPr>
              <w:t>合同约定的服务期</w:t>
            </w:r>
          </w:p>
        </w:tc>
        <w:tc>
          <w:tcPr>
            <w:tcW w:w="2804" w:type="pct"/>
            <w:gridSpan w:val="4"/>
            <w:vAlign w:val="center"/>
          </w:tcPr>
          <w:p w14:paraId="73DEEC4E">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r>
      <w:tr w14:paraId="76E9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5" w:type="pct"/>
            <w:gridSpan w:val="2"/>
            <w:vAlign w:val="center"/>
          </w:tcPr>
          <w:p w14:paraId="04AE3BE6">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r>
              <w:rPr>
                <w:rFonts w:hint="eastAsia" w:ascii="宋体" w:hAnsi="宋体" w:cs="宋体"/>
                <w:color w:val="auto"/>
                <w:szCs w:val="21"/>
                <w:highlight w:val="none"/>
              </w:rPr>
              <w:t>发票抬头（</w:t>
            </w:r>
            <w:r>
              <w:rPr>
                <w:rFonts w:hint="eastAsia" w:ascii="宋体" w:hAnsi="宋体" w:cs="宋体"/>
                <w:color w:val="auto"/>
                <w:highlight w:val="none"/>
              </w:rPr>
              <w:t>合同发包方）</w:t>
            </w:r>
          </w:p>
        </w:tc>
        <w:tc>
          <w:tcPr>
            <w:tcW w:w="2804" w:type="pct"/>
            <w:gridSpan w:val="4"/>
            <w:vAlign w:val="center"/>
          </w:tcPr>
          <w:p w14:paraId="7B4B1F86">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r>
      <w:tr w14:paraId="55FF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Align w:val="center"/>
          </w:tcPr>
          <w:p w14:paraId="0A87C45C">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723" w:type="pct"/>
            <w:vAlign w:val="center"/>
          </w:tcPr>
          <w:p w14:paraId="552483BD">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r>
              <w:rPr>
                <w:rFonts w:hint="eastAsia" w:ascii="宋体" w:hAnsi="宋体" w:cs="宋体"/>
                <w:color w:val="auto"/>
                <w:szCs w:val="21"/>
                <w:highlight w:val="none"/>
              </w:rPr>
              <w:t>发票名目</w:t>
            </w:r>
          </w:p>
        </w:tc>
        <w:tc>
          <w:tcPr>
            <w:tcW w:w="610" w:type="pct"/>
            <w:vAlign w:val="center"/>
          </w:tcPr>
          <w:p w14:paraId="62DCAAB6">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r>
              <w:rPr>
                <w:rFonts w:hint="eastAsia" w:ascii="宋体" w:hAnsi="宋体" w:cs="宋体"/>
                <w:color w:val="auto"/>
                <w:szCs w:val="21"/>
                <w:highlight w:val="none"/>
              </w:rPr>
              <w:t>发票金额</w:t>
            </w:r>
          </w:p>
        </w:tc>
        <w:tc>
          <w:tcPr>
            <w:tcW w:w="685" w:type="pct"/>
            <w:vAlign w:val="center"/>
          </w:tcPr>
          <w:p w14:paraId="2E2A3C6D">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r>
              <w:rPr>
                <w:rFonts w:hint="eastAsia" w:ascii="宋体" w:hAnsi="宋体" w:cs="宋体"/>
                <w:color w:val="auto"/>
                <w:szCs w:val="21"/>
                <w:highlight w:val="none"/>
              </w:rPr>
              <w:t>发票号码</w:t>
            </w:r>
          </w:p>
        </w:tc>
        <w:tc>
          <w:tcPr>
            <w:tcW w:w="838" w:type="pct"/>
            <w:vAlign w:val="center"/>
          </w:tcPr>
          <w:p w14:paraId="38BFE554">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r>
              <w:rPr>
                <w:rFonts w:hint="eastAsia" w:ascii="宋体" w:hAnsi="宋体" w:cs="宋体"/>
                <w:color w:val="auto"/>
                <w:szCs w:val="21"/>
                <w:highlight w:val="none"/>
              </w:rPr>
              <w:t>发票所属时期</w:t>
            </w:r>
          </w:p>
        </w:tc>
        <w:tc>
          <w:tcPr>
            <w:tcW w:w="668" w:type="pct"/>
            <w:vAlign w:val="center"/>
          </w:tcPr>
          <w:p w14:paraId="09E2A022">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18B5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Align w:val="center"/>
          </w:tcPr>
          <w:p w14:paraId="506123B5">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723" w:type="pct"/>
            <w:vAlign w:val="center"/>
          </w:tcPr>
          <w:p w14:paraId="0F8E4F8F">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610" w:type="pct"/>
            <w:vAlign w:val="center"/>
          </w:tcPr>
          <w:p w14:paraId="79AA4285">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685" w:type="pct"/>
            <w:vAlign w:val="center"/>
          </w:tcPr>
          <w:p w14:paraId="34409D1B">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838" w:type="pct"/>
            <w:vAlign w:val="center"/>
          </w:tcPr>
          <w:p w14:paraId="3C7DCC2D">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668" w:type="pct"/>
            <w:vAlign w:val="center"/>
          </w:tcPr>
          <w:p w14:paraId="0015567E">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r>
      <w:tr w14:paraId="7C6C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Align w:val="center"/>
          </w:tcPr>
          <w:p w14:paraId="66398AB0">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1723" w:type="pct"/>
            <w:vAlign w:val="center"/>
          </w:tcPr>
          <w:p w14:paraId="370F4E2E">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610" w:type="pct"/>
            <w:vAlign w:val="center"/>
          </w:tcPr>
          <w:p w14:paraId="09212C10">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685" w:type="pct"/>
            <w:vAlign w:val="center"/>
          </w:tcPr>
          <w:p w14:paraId="212D3362">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838" w:type="pct"/>
            <w:vAlign w:val="center"/>
          </w:tcPr>
          <w:p w14:paraId="569CF516">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668" w:type="pct"/>
            <w:vAlign w:val="center"/>
          </w:tcPr>
          <w:p w14:paraId="3BAF70DC">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r>
      <w:tr w14:paraId="06D91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Align w:val="center"/>
          </w:tcPr>
          <w:p w14:paraId="7BEFFAB9">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1723" w:type="pct"/>
            <w:vAlign w:val="center"/>
          </w:tcPr>
          <w:p w14:paraId="6EF2814C">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610" w:type="pct"/>
            <w:vAlign w:val="center"/>
          </w:tcPr>
          <w:p w14:paraId="31D17737">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685" w:type="pct"/>
            <w:vAlign w:val="center"/>
          </w:tcPr>
          <w:p w14:paraId="131A4CF9">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838" w:type="pct"/>
            <w:vAlign w:val="center"/>
          </w:tcPr>
          <w:p w14:paraId="254EE2E3">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668" w:type="pct"/>
            <w:vAlign w:val="center"/>
          </w:tcPr>
          <w:p w14:paraId="6D008EBE">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r>
      <w:tr w14:paraId="0C42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vAlign w:val="center"/>
          </w:tcPr>
          <w:p w14:paraId="478FD0B4">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1723" w:type="pct"/>
            <w:vAlign w:val="center"/>
          </w:tcPr>
          <w:p w14:paraId="2014AFCA">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610" w:type="pct"/>
            <w:vAlign w:val="center"/>
          </w:tcPr>
          <w:p w14:paraId="1A2F6E53">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685" w:type="pct"/>
            <w:vAlign w:val="center"/>
          </w:tcPr>
          <w:p w14:paraId="1029B809">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838" w:type="pct"/>
            <w:vAlign w:val="center"/>
          </w:tcPr>
          <w:p w14:paraId="285B2073">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668" w:type="pct"/>
            <w:vAlign w:val="center"/>
          </w:tcPr>
          <w:p w14:paraId="69645FE2">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r>
      <w:tr w14:paraId="1AFB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5" w:type="pct"/>
            <w:gridSpan w:val="2"/>
            <w:vAlign w:val="center"/>
          </w:tcPr>
          <w:p w14:paraId="3F61B7E3">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r>
              <w:rPr>
                <w:rFonts w:hint="eastAsia" w:ascii="宋体" w:hAnsi="宋体" w:cs="宋体"/>
                <w:color w:val="auto"/>
                <w:szCs w:val="21"/>
                <w:highlight w:val="none"/>
              </w:rPr>
              <w:t>发票金额合计</w:t>
            </w:r>
          </w:p>
        </w:tc>
        <w:tc>
          <w:tcPr>
            <w:tcW w:w="610" w:type="pct"/>
            <w:vAlign w:val="center"/>
          </w:tcPr>
          <w:p w14:paraId="218ACB7F">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685" w:type="pct"/>
            <w:vAlign w:val="center"/>
          </w:tcPr>
          <w:p w14:paraId="17FA651F">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838" w:type="pct"/>
            <w:vAlign w:val="center"/>
          </w:tcPr>
          <w:p w14:paraId="59B9F304">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c>
          <w:tcPr>
            <w:tcW w:w="668" w:type="pct"/>
            <w:vAlign w:val="center"/>
          </w:tcPr>
          <w:p w14:paraId="3C3B38A2">
            <w:pPr>
              <w:pStyle w:val="19"/>
              <w:keepNext w:val="0"/>
              <w:keepLines w:val="0"/>
              <w:suppressLineNumbers w:val="0"/>
              <w:snapToGrid w:val="0"/>
              <w:spacing w:before="0" w:beforeAutospacing="0" w:after="0" w:afterAutospacing="0" w:line="360" w:lineRule="auto"/>
              <w:ind w:left="0" w:leftChars="0" w:right="0"/>
              <w:jc w:val="center"/>
              <w:rPr>
                <w:rFonts w:hint="eastAsia" w:ascii="宋体" w:hAnsi="宋体" w:cs="宋体"/>
                <w:color w:val="auto"/>
                <w:szCs w:val="21"/>
                <w:highlight w:val="none"/>
              </w:rPr>
            </w:pPr>
          </w:p>
        </w:tc>
      </w:tr>
    </w:tbl>
    <w:p w14:paraId="623239E9">
      <w:pPr>
        <w:snapToGrid w:val="0"/>
        <w:spacing w:line="360" w:lineRule="auto"/>
        <w:ind w:left="491" w:leftChars="-57" w:hanging="611" w:hangingChars="291"/>
        <w:rPr>
          <w:rFonts w:hint="eastAsia" w:ascii="宋体" w:hAnsi="宋体" w:eastAsia="宋体" w:cs="宋体"/>
          <w:color w:val="auto"/>
          <w:highlight w:val="none"/>
        </w:rPr>
      </w:pPr>
    </w:p>
    <w:p w14:paraId="4E29E5F9">
      <w:pPr>
        <w:snapToGrid w:val="0"/>
        <w:spacing w:line="360" w:lineRule="auto"/>
        <w:ind w:left="491" w:leftChars="-57" w:hanging="611" w:hangingChars="291"/>
        <w:rPr>
          <w:rFonts w:hint="eastAsia" w:ascii="宋体" w:hAnsi="宋体" w:eastAsia="宋体" w:cs="宋体"/>
          <w:color w:val="auto"/>
          <w:highlight w:val="none"/>
        </w:rPr>
      </w:pPr>
      <w:r>
        <w:rPr>
          <w:rFonts w:hint="eastAsia" w:ascii="宋体" w:hAnsi="宋体" w:eastAsia="宋体" w:cs="宋体"/>
          <w:color w:val="auto"/>
          <w:highlight w:val="none"/>
        </w:rPr>
        <w:t>备注：</w:t>
      </w:r>
    </w:p>
    <w:p w14:paraId="68449688">
      <w:pPr>
        <w:snapToGrid w:val="0"/>
        <w:spacing w:line="360" w:lineRule="auto"/>
        <w:ind w:left="396" w:leftChars="-58" w:hanging="518" w:hangingChars="247"/>
        <w:rPr>
          <w:rFonts w:hint="eastAsia" w:ascii="宋体" w:hAnsi="宋体" w:eastAsia="宋体" w:cs="宋体"/>
          <w:color w:val="auto"/>
          <w:highlight w:val="none"/>
        </w:rPr>
      </w:pPr>
      <w:r>
        <w:rPr>
          <w:rFonts w:hint="eastAsia" w:ascii="宋体" w:hAnsi="宋体" w:eastAsia="宋体" w:cs="宋体"/>
          <w:color w:val="auto"/>
          <w:highlight w:val="none"/>
        </w:rPr>
        <w:t>（1）投标人提供框架式协议或资格入围无明确金额的合同时，须同时提供本统计表及服务发票原件扫描件，本统计表及服务发票原件扫描件应后附于合同原件扫描件；</w:t>
      </w:r>
    </w:p>
    <w:p w14:paraId="3E388B9F">
      <w:pPr>
        <w:snapToGrid w:val="0"/>
        <w:spacing w:line="360" w:lineRule="auto"/>
        <w:ind w:left="396" w:leftChars="-58" w:hanging="518" w:hangingChars="247"/>
        <w:rPr>
          <w:rFonts w:hint="eastAsia" w:ascii="宋体" w:hAnsi="宋体" w:eastAsia="宋体" w:cs="宋体"/>
          <w:color w:val="auto"/>
          <w:highlight w:val="none"/>
        </w:rPr>
      </w:pPr>
      <w:r>
        <w:rPr>
          <w:rFonts w:hint="eastAsia" w:ascii="宋体" w:hAnsi="宋体" w:eastAsia="宋体" w:cs="宋体"/>
          <w:color w:val="auto"/>
          <w:highlight w:val="none"/>
        </w:rPr>
        <w:t>（2）发票抬头应为合同发包方，收款人应为投标人，且发票名目、所属时期应与合同约定内容一致，否则不计分。</w:t>
      </w:r>
    </w:p>
    <w:p w14:paraId="7C004C1E">
      <w:pPr>
        <w:pageBreakBefore/>
        <w:spacing w:before="120" w:after="120" w:line="360" w:lineRule="auto"/>
        <w:jc w:val="left"/>
        <w:outlineLvl w:val="2"/>
        <w:rPr>
          <w:rFonts w:hint="eastAsia" w:ascii="宋体" w:hAnsi="宋体" w:eastAsia="宋体" w:cs="宋体"/>
          <w:b/>
          <w:bCs/>
          <w:color w:val="auto"/>
          <w:kern w:val="0"/>
          <w:sz w:val="32"/>
          <w:szCs w:val="32"/>
          <w:highlight w:val="none"/>
          <w:lang w:val="zh-CN"/>
        </w:rPr>
      </w:pPr>
      <w:bookmarkStart w:id="712" w:name="_Toc18364"/>
      <w:r>
        <w:rPr>
          <w:rFonts w:hint="eastAsia" w:ascii="宋体" w:hAnsi="宋体" w:eastAsia="宋体" w:cs="宋体"/>
          <w:b/>
          <w:bCs/>
          <w:color w:val="auto"/>
          <w:kern w:val="0"/>
          <w:sz w:val="32"/>
          <w:szCs w:val="32"/>
          <w:highlight w:val="none"/>
          <w:lang w:val="zh-CN"/>
        </w:rPr>
        <w:t>十</w:t>
      </w:r>
      <w:r>
        <w:rPr>
          <w:rFonts w:hint="eastAsia" w:ascii="宋体" w:hAnsi="宋体" w:eastAsia="宋体" w:cs="宋体"/>
          <w:b/>
          <w:bCs/>
          <w:color w:val="auto"/>
          <w:kern w:val="0"/>
          <w:sz w:val="32"/>
          <w:szCs w:val="32"/>
          <w:highlight w:val="none"/>
          <w:lang w:val="en-US" w:eastAsia="zh-CN"/>
        </w:rPr>
        <w:t>一</w:t>
      </w:r>
      <w:r>
        <w:rPr>
          <w:rFonts w:hint="eastAsia" w:ascii="宋体" w:hAnsi="宋体" w:eastAsia="宋体" w:cs="宋体"/>
          <w:b/>
          <w:bCs/>
          <w:color w:val="auto"/>
          <w:kern w:val="0"/>
          <w:sz w:val="32"/>
          <w:szCs w:val="32"/>
          <w:highlight w:val="none"/>
          <w:lang w:val="zh-CN"/>
        </w:rPr>
        <w:t>、投标保证金汇入情况说明</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0508D5AB">
      <w:pPr>
        <w:autoSpaceDE w:val="0"/>
        <w:autoSpaceDN w:val="0"/>
        <w:adjustRightInd w:val="0"/>
        <w:spacing w:line="360" w:lineRule="auto"/>
        <w:jc w:val="left"/>
        <w:rPr>
          <w:rFonts w:hint="eastAsia" w:ascii="宋体" w:hAnsi="宋体" w:eastAsia="宋体" w:cs="宋体"/>
          <w:color w:val="auto"/>
          <w:szCs w:val="24"/>
          <w:highlight w:val="none"/>
        </w:rPr>
      </w:pPr>
    </w:p>
    <w:p w14:paraId="64AC9BF0">
      <w:pPr>
        <w:autoSpaceDE w:val="0"/>
        <w:autoSpaceDN w:val="0"/>
        <w:adjustRightInd w:val="0"/>
        <w:spacing w:line="360" w:lineRule="auto"/>
        <w:jc w:val="center"/>
        <w:rPr>
          <w:rFonts w:hint="eastAsia" w:ascii="宋体" w:hAnsi="宋体" w:eastAsia="宋体" w:cs="宋体"/>
          <w:b/>
          <w:bCs/>
          <w:color w:val="auto"/>
          <w:kern w:val="0"/>
          <w:sz w:val="24"/>
          <w:szCs w:val="24"/>
          <w:highlight w:val="none"/>
        </w:rPr>
      </w:pPr>
      <w:bookmarkStart w:id="713" w:name="_Toc31832_WPSOffice_Level3"/>
      <w:r>
        <w:rPr>
          <w:rFonts w:hint="eastAsia" w:ascii="宋体" w:hAnsi="宋体" w:eastAsia="宋体" w:cs="宋体"/>
          <w:b/>
          <w:bCs/>
          <w:color w:val="auto"/>
          <w:kern w:val="0"/>
          <w:sz w:val="24"/>
          <w:szCs w:val="24"/>
          <w:highlight w:val="none"/>
        </w:rPr>
        <w:t>投标保证金汇入情况说明</w:t>
      </w:r>
      <w:bookmarkEnd w:id="713"/>
    </w:p>
    <w:p w14:paraId="6EBF0EEB">
      <w:pPr>
        <w:autoSpaceDE w:val="0"/>
        <w:autoSpaceDN w:val="0"/>
        <w:adjustRightInd w:val="0"/>
        <w:spacing w:line="360" w:lineRule="auto"/>
        <w:jc w:val="center"/>
        <w:rPr>
          <w:rFonts w:hint="eastAsia" w:ascii="宋体" w:hAnsi="宋体" w:eastAsia="宋体" w:cs="宋体"/>
          <w:b/>
          <w:bCs/>
          <w:color w:val="auto"/>
          <w:kern w:val="0"/>
          <w:szCs w:val="24"/>
          <w:highlight w:val="none"/>
        </w:rPr>
      </w:pPr>
    </w:p>
    <w:p w14:paraId="412B3542">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东莞市碧水信息科技有限公司：</w:t>
      </w:r>
    </w:p>
    <w:p w14:paraId="4A45CC42">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本单位已按</w:t>
      </w:r>
      <w:r>
        <w:rPr>
          <w:rFonts w:hint="eastAsia" w:ascii="宋体" w:hAnsi="宋体" w:eastAsia="宋体" w:cs="宋体"/>
          <w:color w:val="auto"/>
          <w:kern w:val="0"/>
          <w:szCs w:val="21"/>
          <w:highlight w:val="none"/>
          <w:u w:val="single"/>
        </w:rPr>
        <w:t>东莞市碧水信息科技有限公司施工劳务分包供应商库采购项目</w:t>
      </w:r>
      <w:r>
        <w:rPr>
          <w:rFonts w:hint="eastAsia" w:ascii="宋体" w:hAnsi="宋体" w:eastAsia="宋体" w:cs="宋体"/>
          <w:color w:val="auto"/>
          <w:szCs w:val="21"/>
          <w:highlight w:val="none"/>
        </w:rPr>
        <w:t>（招标编号：</w:t>
      </w:r>
      <w:r>
        <w:rPr>
          <w:rFonts w:hint="eastAsia" w:ascii="宋体" w:hAnsi="宋体" w:eastAsia="宋体" w:cs="Times New Roman"/>
          <w:color w:val="auto"/>
          <w:szCs w:val="21"/>
          <w:highlight w:val="none"/>
          <w:u w:val="single"/>
          <w:lang w:val="zh-CN"/>
        </w:rPr>
        <w:t>SSSSSC12500950</w:t>
      </w:r>
      <w:r>
        <w:rPr>
          <w:rFonts w:hint="eastAsia" w:ascii="宋体" w:hAnsi="宋体" w:eastAsia="宋体" w:cs="宋体"/>
          <w:color w:val="auto"/>
          <w:szCs w:val="21"/>
          <w:highlight w:val="none"/>
        </w:rPr>
        <w:t>）的招标文件要求，于</w:t>
      </w:r>
      <w:r>
        <w:rPr>
          <w:rFonts w:hint="eastAsia" w:ascii="宋体" w:hAnsi="宋体" w:eastAsia="宋体" w:cs="宋体"/>
          <w:color w:val="auto"/>
          <w:szCs w:val="21"/>
          <w:highlight w:val="none"/>
          <w:u w:val="single"/>
        </w:rPr>
        <w:t xml:space="preserve">  </w:t>
      </w:r>
      <w:r>
        <w:rPr>
          <w:rFonts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日前以</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付款形式）方式汇入指定账户（账户名称：</w:t>
      </w:r>
      <w:r>
        <w:rPr>
          <w:rFonts w:hint="eastAsia" w:ascii="宋体" w:hAnsi="宋体" w:eastAsia="宋体" w:cs="宋体"/>
          <w:b/>
          <w:color w:val="auto"/>
          <w:szCs w:val="21"/>
          <w:highlight w:val="none"/>
          <w:u w:val="single"/>
        </w:rPr>
        <w:t xml:space="preserve">                    </w:t>
      </w:r>
      <w:r>
        <w:rPr>
          <w:rFonts w:hint="eastAsia" w:ascii="宋体" w:hAnsi="宋体" w:eastAsia="宋体" w:cs="宋体"/>
          <w:color w:val="auto"/>
          <w:szCs w:val="21"/>
          <w:highlight w:val="none"/>
        </w:rPr>
        <w:t>，账号：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lang w:val="zh-CN"/>
        </w:rPr>
        <w:t xml:space="preserve"> </w:t>
      </w:r>
      <w:r>
        <w:rPr>
          <w:rFonts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rPr>
        <w:t>）。</w:t>
      </w:r>
    </w:p>
    <w:p w14:paraId="73FA9170">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本单位投标保证金的汇款情况：（详见附件－投标保证金进账单）</w:t>
      </w:r>
    </w:p>
    <w:p w14:paraId="1FFAA076">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汇出时间：</w:t>
      </w:r>
      <w:r>
        <w:rPr>
          <w:rFonts w:hint="eastAsia" w:ascii="宋体" w:hAnsi="宋体" w:eastAsia="宋体" w:cs="宋体"/>
          <w:color w:val="auto"/>
          <w:szCs w:val="21"/>
          <w:highlight w:val="none"/>
          <w:u w:val="single"/>
        </w:rPr>
        <w:t xml:space="preserve">    年   月    日</w:t>
      </w:r>
    </w:p>
    <w:p w14:paraId="496ED149">
      <w:pPr>
        <w:spacing w:line="360" w:lineRule="auto"/>
        <w:ind w:firstLine="424" w:firstLineChars="202"/>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汇款金额：</w:t>
      </w:r>
      <w:r>
        <w:rPr>
          <w:rFonts w:hint="eastAsia" w:ascii="宋体" w:hAnsi="宋体" w:eastAsia="宋体" w:cs="宋体"/>
          <w:color w:val="auto"/>
          <w:szCs w:val="21"/>
          <w:highlight w:val="none"/>
          <w:u w:val="single"/>
        </w:rPr>
        <w:t>（大写）人民币      元（小写：¥      元）</w:t>
      </w:r>
    </w:p>
    <w:p w14:paraId="7AF7B6ED">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汇款账户名称：</w:t>
      </w:r>
      <w:r>
        <w:rPr>
          <w:rFonts w:hint="eastAsia" w:ascii="宋体" w:hAnsi="宋体" w:eastAsia="宋体" w:cs="宋体"/>
          <w:color w:val="auto"/>
          <w:szCs w:val="21"/>
          <w:highlight w:val="none"/>
          <w:u w:val="single"/>
        </w:rPr>
        <w:t>（必须是投标时使用的账户名）</w:t>
      </w:r>
    </w:p>
    <w:p w14:paraId="1F4010A0">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r>
        <w:rPr>
          <w:rFonts w:hint="eastAsia" w:ascii="宋体" w:hAnsi="宋体" w:eastAsia="宋体" w:cs="宋体"/>
          <w:color w:val="auto"/>
          <w:szCs w:val="21"/>
          <w:highlight w:val="none"/>
          <w:u w:val="single"/>
        </w:rPr>
        <w:t>（必须是投标时使用的账号）</w:t>
      </w:r>
    </w:p>
    <w:p w14:paraId="574EC932">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rPr>
        <w:t xml:space="preserve">    </w:t>
      </w:r>
      <w:r>
        <w:rPr>
          <w:rFonts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 xml:space="preserve">省    </w:t>
      </w:r>
      <w:r>
        <w:rPr>
          <w:rFonts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rPr>
        <w:t xml:space="preserve">市         </w:t>
      </w:r>
    </w:p>
    <w:p w14:paraId="55E54585">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本单位谨承诺上述资料是正确、真实的，如因上述证明与事实不符导致的一切损失，本单位保证承担赔偿等一切法律责任。</w:t>
      </w:r>
    </w:p>
    <w:p w14:paraId="1BFB7B14">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投标保证金退回时，请按上述资料退回。</w:t>
      </w:r>
    </w:p>
    <w:p w14:paraId="1BD5B9B8">
      <w:pPr>
        <w:spacing w:line="360" w:lineRule="auto"/>
        <w:ind w:right="844" w:rightChars="402" w:firstLine="424" w:firstLineChars="202"/>
        <w:jc w:val="right"/>
        <w:rPr>
          <w:rFonts w:hint="eastAsia" w:ascii="宋体" w:hAnsi="宋体" w:eastAsia="宋体" w:cs="宋体"/>
          <w:color w:val="auto"/>
          <w:szCs w:val="24"/>
          <w:highlight w:val="none"/>
        </w:rPr>
      </w:pPr>
      <w:r>
        <w:rPr>
          <w:rFonts w:hint="eastAsia" w:ascii="宋体" w:hAnsi="宋体" w:eastAsia="宋体" w:cs="宋体"/>
          <w:color w:val="auto"/>
          <w:szCs w:val="24"/>
          <w:highlight w:val="none"/>
        </w:rPr>
        <w:t>（</w:t>
      </w:r>
      <w:r>
        <w:rPr>
          <w:rFonts w:hint="eastAsia" w:ascii="宋体" w:hAnsi="宋体" w:eastAsia="宋体" w:cs="宋体"/>
          <w:bCs/>
          <w:color w:val="auto"/>
          <w:szCs w:val="24"/>
          <w:highlight w:val="none"/>
        </w:rPr>
        <w:t>投标人法人公章</w:t>
      </w:r>
      <w:r>
        <w:rPr>
          <w:rFonts w:hint="eastAsia" w:ascii="宋体" w:hAnsi="宋体" w:eastAsia="宋体" w:cs="宋体"/>
          <w:color w:val="auto"/>
          <w:szCs w:val="24"/>
          <w:highlight w:val="none"/>
        </w:rPr>
        <w:t>）</w:t>
      </w:r>
    </w:p>
    <w:p w14:paraId="1E440864">
      <w:pPr>
        <w:spacing w:line="360" w:lineRule="auto"/>
        <w:ind w:right="628" w:rightChars="299" w:firstLine="7774" w:firstLineChars="3702"/>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年   月   日</w:t>
      </w:r>
    </w:p>
    <w:p w14:paraId="609D5C54">
      <w:pPr>
        <w:spacing w:line="360" w:lineRule="auto"/>
        <w:ind w:firstLine="424" w:firstLineChars="202"/>
        <w:rPr>
          <w:rFonts w:hint="eastAsia" w:ascii="宋体" w:hAnsi="宋体" w:eastAsia="宋体" w:cs="宋体"/>
          <w:color w:val="auto"/>
          <w:szCs w:val="24"/>
          <w:highlight w:val="none"/>
        </w:rPr>
      </w:pPr>
      <w:r>
        <w:rPr>
          <w:rFonts w:hint="eastAsia" w:ascii="宋体" w:hAnsi="宋体" w:eastAsia="宋体" w:cs="宋体"/>
          <w:color w:val="auto"/>
          <w:szCs w:val="24"/>
          <w:highlight w:val="none"/>
        </w:rPr>
        <w:t>单位名称：</w:t>
      </w:r>
    </w:p>
    <w:p w14:paraId="3D52F6CB">
      <w:pPr>
        <w:spacing w:line="360" w:lineRule="auto"/>
        <w:ind w:firstLine="424" w:firstLineChars="202"/>
        <w:rPr>
          <w:rFonts w:hint="eastAsia" w:ascii="宋体" w:hAnsi="宋体" w:eastAsia="宋体" w:cs="宋体"/>
          <w:color w:val="auto"/>
          <w:szCs w:val="24"/>
          <w:highlight w:val="none"/>
        </w:rPr>
      </w:pPr>
      <w:r>
        <w:rPr>
          <w:rFonts w:hint="eastAsia" w:ascii="宋体" w:hAnsi="宋体" w:eastAsia="宋体" w:cs="宋体"/>
          <w:color w:val="auto"/>
          <w:szCs w:val="24"/>
          <w:highlight w:val="none"/>
        </w:rPr>
        <w:t>单位地址：</w:t>
      </w:r>
    </w:p>
    <w:p w14:paraId="663BEB02">
      <w:pPr>
        <w:spacing w:line="360" w:lineRule="auto"/>
        <w:ind w:firstLine="424" w:firstLineChars="202"/>
        <w:rPr>
          <w:rFonts w:hint="eastAsia" w:ascii="宋体" w:hAnsi="宋体" w:eastAsia="宋体" w:cs="宋体"/>
          <w:color w:val="auto"/>
          <w:szCs w:val="24"/>
          <w:highlight w:val="none"/>
        </w:rPr>
      </w:pPr>
      <w:r>
        <w:rPr>
          <w:rFonts w:hint="eastAsia" w:ascii="宋体" w:hAnsi="宋体" w:eastAsia="宋体" w:cs="宋体"/>
          <w:color w:val="auto"/>
          <w:szCs w:val="24"/>
          <w:highlight w:val="none"/>
        </w:rPr>
        <w:t>联系人：</w:t>
      </w:r>
    </w:p>
    <w:p w14:paraId="6740401A">
      <w:pPr>
        <w:spacing w:line="360" w:lineRule="auto"/>
        <w:ind w:firstLine="424" w:firstLineChars="202"/>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单位电话：                    </w:t>
      </w:r>
    </w:p>
    <w:p w14:paraId="38E6A8D7">
      <w:pPr>
        <w:spacing w:line="360" w:lineRule="auto"/>
        <w:ind w:firstLine="424" w:firstLineChars="202"/>
        <w:rPr>
          <w:rFonts w:hint="eastAsia" w:ascii="宋体" w:hAnsi="宋体" w:eastAsia="宋体" w:cs="宋体"/>
          <w:color w:val="auto"/>
          <w:szCs w:val="24"/>
          <w:highlight w:val="none"/>
        </w:rPr>
      </w:pPr>
      <w:r>
        <w:rPr>
          <w:rFonts w:hint="eastAsia" w:ascii="宋体" w:hAnsi="宋体" w:eastAsia="宋体" w:cs="宋体"/>
          <w:color w:val="auto"/>
          <w:szCs w:val="24"/>
          <w:highlight w:val="none"/>
        </w:rPr>
        <w:t>联系人手机：</w:t>
      </w:r>
    </w:p>
    <w:p w14:paraId="5AF790B8">
      <w:pPr>
        <w:spacing w:line="360" w:lineRule="auto"/>
        <w:ind w:left="340" w:leftChars="162" w:firstLine="425"/>
        <w:rPr>
          <w:rFonts w:hint="eastAsia" w:ascii="宋体" w:hAnsi="宋体" w:eastAsia="宋体" w:cs="宋体"/>
          <w:b/>
          <w:bCs/>
          <w:color w:val="auto"/>
          <w:szCs w:val="21"/>
          <w:highlight w:val="none"/>
        </w:rPr>
      </w:pPr>
      <w:bookmarkStart w:id="714" w:name="_Toc26208_WPSOffice_Level3"/>
      <w:r>
        <w:rPr>
          <w:rFonts w:hint="eastAsia" w:ascii="宋体" w:hAnsi="宋体" w:eastAsia="宋体" w:cs="宋体"/>
          <w:b/>
          <w:bCs/>
          <w:color w:val="auto"/>
          <w:szCs w:val="21"/>
          <w:highlight w:val="none"/>
        </w:rPr>
        <w:t>附：1、我方投标保证金汇款凭证（复印件）</w:t>
      </w:r>
      <w:bookmarkEnd w:id="714"/>
    </w:p>
    <w:p w14:paraId="63D1492A">
      <w:pPr>
        <w:spacing w:line="360" w:lineRule="auto"/>
        <w:ind w:left="340" w:leftChars="162" w:firstLine="839" w:firstLineChars="398"/>
        <w:rPr>
          <w:rFonts w:hint="eastAsia" w:ascii="宋体" w:hAnsi="宋体" w:eastAsia="宋体" w:cs="宋体"/>
          <w:b/>
          <w:bCs/>
          <w:color w:val="auto"/>
          <w:szCs w:val="21"/>
          <w:highlight w:val="none"/>
        </w:rPr>
      </w:pPr>
      <w:bookmarkStart w:id="715" w:name="_Toc12992_WPSOffice_Level3"/>
      <w:r>
        <w:rPr>
          <w:rFonts w:hint="eastAsia" w:ascii="宋体" w:hAnsi="宋体" w:eastAsia="宋体" w:cs="宋体"/>
          <w:b/>
          <w:bCs/>
          <w:color w:val="auto"/>
          <w:szCs w:val="21"/>
          <w:highlight w:val="none"/>
        </w:rPr>
        <w:t>2、我方基本账户开户许可证（复印件）</w:t>
      </w:r>
      <w:bookmarkEnd w:id="715"/>
    </w:p>
    <w:p w14:paraId="4136A02E">
      <w:pPr>
        <w:spacing w:line="360" w:lineRule="auto"/>
        <w:ind w:left="340" w:leftChars="162" w:firstLine="736" w:firstLineChars="349"/>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注：本情况说明手写无效。</w:t>
      </w:r>
    </w:p>
    <w:p w14:paraId="730D7710">
      <w:pPr>
        <w:autoSpaceDE w:val="0"/>
        <w:autoSpaceDN w:val="0"/>
        <w:adjustRightInd w:val="0"/>
        <w:spacing w:line="360" w:lineRule="auto"/>
        <w:ind w:firstLine="5145" w:firstLineChars="2450"/>
        <w:rPr>
          <w:rFonts w:hint="eastAsia" w:ascii="宋体" w:hAnsi="宋体" w:eastAsia="宋体" w:cs="宋体"/>
          <w:color w:val="auto"/>
          <w:szCs w:val="24"/>
          <w:highlight w:val="none"/>
          <w:lang w:val="zh-CN"/>
        </w:rPr>
      </w:pPr>
    </w:p>
    <w:p w14:paraId="35ED4F11">
      <w:pPr>
        <w:spacing w:line="360" w:lineRule="auto"/>
        <w:rPr>
          <w:rFonts w:hint="eastAsia" w:ascii="宋体" w:hAnsi="宋体" w:eastAsia="宋体" w:cs="宋体"/>
          <w:b/>
          <w:color w:val="auto"/>
          <w:kern w:val="0"/>
          <w:szCs w:val="21"/>
          <w:highlight w:val="none"/>
        </w:rPr>
      </w:pPr>
      <w:bookmarkStart w:id="716" w:name="_Toc486167721"/>
      <w:bookmarkStart w:id="717" w:name="_Toc533708134"/>
    </w:p>
    <w:p w14:paraId="2DD7C4DB">
      <w:pPr>
        <w:autoSpaceDE/>
        <w:autoSpaceDN/>
        <w:adjustRightInd/>
        <w:spacing w:line="240" w:lineRule="auto"/>
        <w:ind w:left="0" w:leftChars="0" w:firstLine="0"/>
        <w:jc w:val="left"/>
        <w:outlineLvl w:val="9"/>
        <w:rPr>
          <w:rFonts w:ascii="宋体" w:hAnsi="宋体" w:eastAsia="宋体" w:cs="宋体"/>
          <w:b/>
          <w:bCs/>
          <w:color w:val="auto"/>
          <w:kern w:val="0"/>
          <w:sz w:val="32"/>
          <w:szCs w:val="32"/>
          <w:highlight w:val="none"/>
        </w:rPr>
      </w:pPr>
      <w:bookmarkStart w:id="718" w:name="_Toc102860428"/>
      <w:bookmarkStart w:id="719" w:name="_Toc23593"/>
      <w:bookmarkStart w:id="720" w:name="_Toc11732"/>
      <w:bookmarkStart w:id="721" w:name="_Toc142508379"/>
      <w:bookmarkStart w:id="722" w:name="_Toc94107221"/>
      <w:bookmarkStart w:id="723" w:name="_Toc104991886"/>
      <w:bookmarkStart w:id="724" w:name="_Toc2007"/>
      <w:bookmarkStart w:id="725" w:name="_Toc140596939"/>
      <w:bookmarkStart w:id="726" w:name="_Toc29652"/>
      <w:bookmarkStart w:id="727" w:name="_Toc24616"/>
      <w:bookmarkStart w:id="728" w:name="_Toc102860084"/>
      <w:bookmarkStart w:id="729" w:name="_Toc1203"/>
      <w:bookmarkStart w:id="730" w:name="_Toc1977738"/>
      <w:r>
        <w:rPr>
          <w:rFonts w:ascii="宋体" w:hAnsi="宋体" w:eastAsia="宋体" w:cs="宋体"/>
          <w:b/>
          <w:bCs/>
          <w:color w:val="auto"/>
          <w:kern w:val="0"/>
          <w:sz w:val="32"/>
          <w:szCs w:val="32"/>
          <w:highlight w:val="none"/>
        </w:rPr>
        <w:br w:type="page"/>
      </w:r>
    </w:p>
    <w:p w14:paraId="59582CB6">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b/>
          <w:color w:val="auto"/>
          <w:kern w:val="0"/>
          <w:sz w:val="32"/>
          <w:szCs w:val="32"/>
          <w:highlight w:val="none"/>
        </w:rPr>
        <w:sectPr>
          <w:pgSz w:w="12240" w:h="15840"/>
          <w:pgMar w:top="1191" w:right="1043" w:bottom="1191" w:left="1043" w:header="720" w:footer="720" w:gutter="0"/>
          <w:cols w:space="720" w:num="1"/>
          <w:titlePg/>
          <w:docGrid w:linePitch="326" w:charSpace="0"/>
        </w:sectPr>
      </w:pPr>
      <w:r>
        <w:rPr>
          <w:rFonts w:ascii="宋体" w:hAnsi="宋体" w:eastAsia="宋体" w:cs="宋体"/>
          <w:b/>
          <w:bCs/>
          <w:color w:val="auto"/>
          <w:kern w:val="0"/>
          <w:sz w:val="32"/>
          <w:szCs w:val="32"/>
          <w:highlight w:val="none"/>
        </w:rPr>
        <w:t>十</w:t>
      </w:r>
      <w:r>
        <w:rPr>
          <w:rFonts w:hint="eastAsia" w:ascii="宋体" w:hAnsi="宋体" w:eastAsia="宋体" w:cs="宋体"/>
          <w:b/>
          <w:bCs/>
          <w:color w:val="auto"/>
          <w:kern w:val="0"/>
          <w:sz w:val="32"/>
          <w:szCs w:val="32"/>
          <w:highlight w:val="none"/>
          <w:lang w:val="en-US" w:eastAsia="zh-CN"/>
        </w:rPr>
        <w:t>二</w:t>
      </w:r>
      <w:r>
        <w:rPr>
          <w:rFonts w:hint="eastAsia" w:ascii="宋体" w:hAnsi="宋体" w:eastAsia="宋体" w:cs="宋体"/>
          <w:b/>
          <w:bCs/>
          <w:color w:val="auto"/>
          <w:kern w:val="0"/>
          <w:sz w:val="32"/>
          <w:szCs w:val="32"/>
          <w:highlight w:val="none"/>
          <w:lang w:val="zh-CN"/>
        </w:rPr>
        <w:t>、投标人资格证明文件以外的其他资质证书、知识产权证书及获得的相关获奖、认证证书、社会评价资料证明文件原件扫描件等投标人认为有需要证明其具备为本次招标项目提供服务能力的有关其它商务文件（不做强制要求）</w:t>
      </w:r>
      <w:bookmarkEnd w:id="718"/>
      <w:bookmarkEnd w:id="719"/>
      <w:bookmarkEnd w:id="720"/>
      <w:bookmarkEnd w:id="721"/>
      <w:bookmarkEnd w:id="722"/>
      <w:bookmarkEnd w:id="723"/>
      <w:bookmarkEnd w:id="724"/>
      <w:bookmarkEnd w:id="725"/>
      <w:bookmarkEnd w:id="726"/>
      <w:bookmarkEnd w:id="727"/>
      <w:bookmarkEnd w:id="728"/>
      <w:bookmarkEnd w:id="729"/>
      <w:bookmarkEnd w:id="730"/>
    </w:p>
    <w:p w14:paraId="3F6BD6B5">
      <w:pPr>
        <w:jc w:val="center"/>
        <w:outlineLvl w:val="1"/>
        <w:rPr>
          <w:rFonts w:hint="eastAsia" w:ascii="宋体" w:hAnsi="宋体" w:eastAsia="宋体" w:cs="宋体"/>
          <w:b/>
          <w:color w:val="auto"/>
          <w:kern w:val="0"/>
          <w:sz w:val="32"/>
          <w:szCs w:val="32"/>
          <w:highlight w:val="none"/>
        </w:rPr>
      </w:pPr>
      <w:bookmarkStart w:id="731" w:name="_Toc23832"/>
      <w:bookmarkStart w:id="732" w:name="_Toc29237"/>
      <w:bookmarkStart w:id="733" w:name="_Toc31461"/>
      <w:bookmarkStart w:id="734" w:name="_Toc102860429"/>
      <w:bookmarkStart w:id="735" w:name="_Toc1977739"/>
      <w:bookmarkStart w:id="736" w:name="_Toc142508380"/>
      <w:bookmarkStart w:id="737" w:name="_Toc102860085"/>
      <w:bookmarkStart w:id="738" w:name="_Toc31916"/>
      <w:bookmarkStart w:id="739" w:name="_Toc104991887"/>
      <w:bookmarkStart w:id="740" w:name="_Toc27482"/>
      <w:bookmarkStart w:id="741" w:name="_Toc94107222"/>
      <w:bookmarkStart w:id="742" w:name="_Toc18038"/>
      <w:bookmarkStart w:id="743" w:name="_Toc140596940"/>
      <w:r>
        <w:rPr>
          <w:rFonts w:hint="eastAsia" w:ascii="宋体" w:hAnsi="宋体" w:eastAsia="宋体" w:cs="宋体"/>
          <w:b/>
          <w:color w:val="auto"/>
          <w:kern w:val="0"/>
          <w:sz w:val="32"/>
          <w:szCs w:val="32"/>
          <w:highlight w:val="none"/>
        </w:rPr>
        <w:t>第二部分 技术标格式</w:t>
      </w:r>
      <w:bookmarkEnd w:id="731"/>
      <w:bookmarkEnd w:id="732"/>
      <w:bookmarkEnd w:id="733"/>
    </w:p>
    <w:p w14:paraId="06786493">
      <w:pPr>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bookmarkEnd w:id="716"/>
    <w:bookmarkEnd w:id="717"/>
    <w:bookmarkEnd w:id="734"/>
    <w:bookmarkEnd w:id="735"/>
    <w:bookmarkEnd w:id="736"/>
    <w:bookmarkEnd w:id="737"/>
    <w:bookmarkEnd w:id="738"/>
    <w:bookmarkEnd w:id="739"/>
    <w:bookmarkEnd w:id="740"/>
    <w:bookmarkEnd w:id="741"/>
    <w:bookmarkEnd w:id="742"/>
    <w:bookmarkEnd w:id="743"/>
    <w:p w14:paraId="74DF4DCE">
      <w:pPr>
        <w:pStyle w:val="19"/>
        <w:spacing w:line="360" w:lineRule="auto"/>
        <w:jc w:val="center"/>
        <w:rPr>
          <w:rFonts w:hint="eastAsia" w:ascii="宋体" w:hAnsi="宋体" w:cs="宋体"/>
          <w:b/>
          <w:color w:val="auto"/>
          <w:kern w:val="0"/>
          <w:szCs w:val="21"/>
          <w:highlight w:val="none"/>
        </w:rPr>
      </w:pPr>
      <w:bookmarkStart w:id="744" w:name="_Toc102860086"/>
      <w:bookmarkStart w:id="745" w:name="_Toc104991888"/>
      <w:bookmarkStart w:id="746" w:name="_Toc140596941"/>
      <w:bookmarkStart w:id="747" w:name="_Toc533708135"/>
      <w:bookmarkStart w:id="748" w:name="_Toc142508381"/>
      <w:bookmarkStart w:id="749" w:name="_Toc102860430"/>
      <w:bookmarkStart w:id="750" w:name="_Toc94107223"/>
      <w:bookmarkStart w:id="751" w:name="_Toc1977740"/>
    </w:p>
    <w:p w14:paraId="7ECAEA90">
      <w:pPr>
        <w:pStyle w:val="19"/>
        <w:spacing w:line="360" w:lineRule="auto"/>
        <w:jc w:val="center"/>
        <w:rPr>
          <w:rFonts w:hint="eastAsia" w:ascii="宋体" w:hAnsi="宋体" w:cs="宋体"/>
          <w:b/>
          <w:color w:val="auto"/>
          <w:kern w:val="0"/>
          <w:szCs w:val="21"/>
          <w:highlight w:val="none"/>
        </w:rPr>
      </w:pPr>
    </w:p>
    <w:p w14:paraId="12261FD6">
      <w:pPr>
        <w:pStyle w:val="19"/>
        <w:spacing w:line="360" w:lineRule="auto"/>
        <w:jc w:val="center"/>
        <w:rPr>
          <w:rFonts w:hint="eastAsia" w:ascii="宋体" w:hAnsi="宋体" w:cs="宋体"/>
          <w:b/>
          <w:color w:val="auto"/>
          <w:kern w:val="0"/>
          <w:szCs w:val="21"/>
          <w:highlight w:val="none"/>
        </w:rPr>
      </w:pPr>
    </w:p>
    <w:p w14:paraId="65D6F359">
      <w:pPr>
        <w:pStyle w:val="19"/>
        <w:spacing w:line="360" w:lineRule="auto"/>
        <w:jc w:val="center"/>
        <w:rPr>
          <w:rFonts w:hint="eastAsia" w:ascii="宋体" w:hAnsi="宋体" w:cs="宋体"/>
          <w:b/>
          <w:color w:val="auto"/>
          <w:kern w:val="0"/>
          <w:szCs w:val="21"/>
          <w:highlight w:val="none"/>
        </w:rPr>
      </w:pPr>
    </w:p>
    <w:p w14:paraId="5584435B">
      <w:pPr>
        <w:pStyle w:val="19"/>
        <w:spacing w:line="360" w:lineRule="auto"/>
        <w:jc w:val="center"/>
        <w:rPr>
          <w:rFonts w:hint="eastAsia" w:ascii="宋体" w:hAnsi="宋体" w:cs="宋体"/>
          <w:b/>
          <w:color w:val="auto"/>
          <w:kern w:val="0"/>
          <w:szCs w:val="21"/>
          <w:highlight w:val="none"/>
        </w:rPr>
      </w:pPr>
    </w:p>
    <w:p w14:paraId="6E73EE57">
      <w:pPr>
        <w:pStyle w:val="19"/>
        <w:spacing w:line="360" w:lineRule="auto"/>
        <w:jc w:val="center"/>
        <w:rPr>
          <w:rFonts w:hint="eastAsia" w:ascii="宋体" w:hAnsi="宋体" w:cs="宋体"/>
          <w:b/>
          <w:color w:val="auto"/>
          <w:kern w:val="0"/>
          <w:szCs w:val="21"/>
          <w:highlight w:val="none"/>
        </w:rPr>
      </w:pPr>
    </w:p>
    <w:p w14:paraId="5D2F90D1">
      <w:pPr>
        <w:pStyle w:val="19"/>
        <w:spacing w:line="360" w:lineRule="auto"/>
        <w:jc w:val="center"/>
        <w:rPr>
          <w:rFonts w:hint="eastAsia" w:ascii="宋体" w:hAnsi="宋体" w:cs="宋体"/>
          <w:b/>
          <w:color w:val="auto"/>
          <w:kern w:val="0"/>
          <w:szCs w:val="21"/>
          <w:highlight w:val="none"/>
        </w:rPr>
      </w:pPr>
    </w:p>
    <w:p w14:paraId="6046F1C7">
      <w:pPr>
        <w:pStyle w:val="19"/>
        <w:spacing w:line="360" w:lineRule="auto"/>
        <w:jc w:val="center"/>
        <w:rPr>
          <w:rFonts w:hint="eastAsia" w:ascii="宋体" w:hAnsi="宋体" w:cs="宋体"/>
          <w:b/>
          <w:color w:val="auto"/>
          <w:kern w:val="0"/>
          <w:szCs w:val="21"/>
          <w:highlight w:val="none"/>
        </w:rPr>
      </w:pPr>
    </w:p>
    <w:p w14:paraId="0A02B975">
      <w:pPr>
        <w:pStyle w:val="19"/>
        <w:spacing w:line="360" w:lineRule="auto"/>
        <w:jc w:val="center"/>
        <w:rPr>
          <w:rFonts w:hint="eastAsia" w:ascii="宋体" w:hAnsi="宋体" w:cs="宋体"/>
          <w:color w:val="auto"/>
          <w:sz w:val="84"/>
          <w:highlight w:val="none"/>
        </w:rPr>
      </w:pPr>
      <w:r>
        <w:rPr>
          <w:rFonts w:hint="eastAsia" w:ascii="宋体" w:hAnsi="宋体" w:cs="宋体"/>
          <w:color w:val="auto"/>
          <w:sz w:val="84"/>
          <w:highlight w:val="none"/>
        </w:rPr>
        <w:t>投 标 文 件</w:t>
      </w:r>
    </w:p>
    <w:p w14:paraId="518F875B">
      <w:pPr>
        <w:pStyle w:val="19"/>
        <w:spacing w:line="360" w:lineRule="auto"/>
        <w:rPr>
          <w:rFonts w:hint="eastAsia" w:ascii="宋体" w:hAnsi="宋体" w:cs="宋体"/>
          <w:color w:val="auto"/>
          <w:highlight w:val="none"/>
        </w:rPr>
      </w:pPr>
    </w:p>
    <w:p w14:paraId="72974F6E">
      <w:pPr>
        <w:pStyle w:val="19"/>
        <w:spacing w:line="360" w:lineRule="auto"/>
        <w:rPr>
          <w:rFonts w:hint="eastAsia" w:ascii="宋体" w:hAnsi="宋体" w:cs="宋体"/>
          <w:color w:val="auto"/>
          <w:highlight w:val="none"/>
        </w:rPr>
      </w:pPr>
    </w:p>
    <w:p w14:paraId="142FAA65">
      <w:pPr>
        <w:pStyle w:val="19"/>
        <w:spacing w:line="360" w:lineRule="auto"/>
        <w:rPr>
          <w:rFonts w:hint="eastAsia" w:ascii="宋体" w:hAnsi="宋体" w:cs="宋体"/>
          <w:color w:val="auto"/>
          <w:highlight w:val="none"/>
        </w:rPr>
      </w:pPr>
    </w:p>
    <w:p w14:paraId="3FA8162B">
      <w:pPr>
        <w:pStyle w:val="19"/>
        <w:spacing w:line="360" w:lineRule="auto"/>
        <w:rPr>
          <w:rFonts w:hint="eastAsia" w:ascii="宋体" w:hAnsi="宋体" w:cs="宋体"/>
          <w:color w:val="auto"/>
          <w:highlight w:val="none"/>
        </w:rPr>
      </w:pPr>
    </w:p>
    <w:p w14:paraId="2B174974">
      <w:pPr>
        <w:pStyle w:val="19"/>
        <w:spacing w:line="360" w:lineRule="auto"/>
        <w:rPr>
          <w:rFonts w:hint="eastAsia" w:ascii="宋体" w:hAnsi="宋体" w:cs="宋体"/>
          <w:color w:val="auto"/>
          <w:highlight w:val="none"/>
        </w:rPr>
      </w:pPr>
    </w:p>
    <w:p w14:paraId="6851F43D">
      <w:pPr>
        <w:pStyle w:val="19"/>
        <w:spacing w:line="360" w:lineRule="auto"/>
        <w:rPr>
          <w:rFonts w:hint="eastAsia" w:ascii="宋体" w:hAnsi="宋体" w:cs="宋体"/>
          <w:color w:val="auto"/>
          <w:highlight w:val="none"/>
        </w:rPr>
      </w:pPr>
    </w:p>
    <w:p w14:paraId="3702EC9D">
      <w:pPr>
        <w:pStyle w:val="19"/>
        <w:spacing w:line="360" w:lineRule="auto"/>
        <w:ind w:firstLine="1875" w:firstLineChars="625"/>
        <w:rPr>
          <w:rFonts w:hint="eastAsia" w:ascii="宋体" w:hAnsi="宋体" w:cs="宋体"/>
          <w:color w:val="auto"/>
          <w:sz w:val="30"/>
          <w:highlight w:val="none"/>
        </w:rPr>
      </w:pPr>
      <w:r>
        <w:rPr>
          <w:rFonts w:hint="eastAsia" w:ascii="宋体" w:hAnsi="宋体" w:cs="宋体"/>
          <w:color w:val="auto"/>
          <w:sz w:val="30"/>
          <w:highlight w:val="none"/>
        </w:rPr>
        <w:t>招标编号：</w:t>
      </w:r>
      <w:r>
        <w:rPr>
          <w:rFonts w:hint="eastAsia" w:ascii="宋体" w:hAnsi="宋体" w:cs="宋体"/>
          <w:color w:val="auto"/>
          <w:sz w:val="30"/>
          <w:highlight w:val="none"/>
          <w:u w:val="single"/>
        </w:rPr>
        <w:t xml:space="preserve">                                </w:t>
      </w:r>
    </w:p>
    <w:p w14:paraId="46C292EF">
      <w:pPr>
        <w:pStyle w:val="19"/>
        <w:spacing w:line="360" w:lineRule="auto"/>
        <w:ind w:firstLine="1875" w:firstLineChars="625"/>
        <w:rPr>
          <w:rFonts w:hint="eastAsia" w:ascii="宋体" w:hAnsi="宋体" w:cs="宋体"/>
          <w:color w:val="auto"/>
          <w:sz w:val="30"/>
          <w:highlight w:val="none"/>
          <w:u w:val="single"/>
        </w:rPr>
      </w:pPr>
      <w:r>
        <w:rPr>
          <w:rFonts w:hint="eastAsia" w:ascii="宋体" w:hAnsi="宋体" w:cs="宋体"/>
          <w:color w:val="auto"/>
          <w:sz w:val="30"/>
          <w:highlight w:val="none"/>
        </w:rPr>
        <w:t>项目名称：</w:t>
      </w:r>
      <w:r>
        <w:rPr>
          <w:rFonts w:hint="eastAsia" w:ascii="宋体" w:hAnsi="宋体" w:cs="宋体"/>
          <w:color w:val="auto"/>
          <w:sz w:val="30"/>
          <w:highlight w:val="none"/>
          <w:u w:val="single"/>
        </w:rPr>
        <w:t xml:space="preserve">                                </w:t>
      </w:r>
    </w:p>
    <w:p w14:paraId="66D9F971">
      <w:pPr>
        <w:pStyle w:val="19"/>
        <w:spacing w:line="360" w:lineRule="auto"/>
        <w:ind w:firstLine="1875" w:firstLineChars="625"/>
        <w:rPr>
          <w:rFonts w:hint="eastAsia" w:ascii="宋体" w:hAnsi="宋体" w:cs="宋体"/>
          <w:color w:val="auto"/>
          <w:sz w:val="30"/>
          <w:highlight w:val="none"/>
          <w:u w:val="single"/>
        </w:rPr>
      </w:pPr>
      <w:r>
        <w:rPr>
          <w:rFonts w:hint="eastAsia" w:ascii="宋体" w:hAnsi="宋体" w:cs="宋体"/>
          <w:color w:val="auto"/>
          <w:sz w:val="30"/>
          <w:highlight w:val="none"/>
        </w:rPr>
        <w:t>投标文件内容：</w:t>
      </w:r>
      <w:r>
        <w:rPr>
          <w:rFonts w:hint="eastAsia" w:ascii="宋体" w:hAnsi="宋体" w:cs="宋体"/>
          <w:color w:val="auto"/>
          <w:sz w:val="30"/>
          <w:highlight w:val="none"/>
          <w:u w:val="single"/>
        </w:rPr>
        <w:t xml:space="preserve">       投标文件技术标       </w:t>
      </w:r>
    </w:p>
    <w:p w14:paraId="5E75FF1F">
      <w:pPr>
        <w:pStyle w:val="19"/>
        <w:spacing w:line="360" w:lineRule="auto"/>
        <w:ind w:firstLine="1875" w:firstLineChars="625"/>
        <w:rPr>
          <w:rFonts w:hint="eastAsia" w:ascii="宋体" w:hAnsi="宋体" w:cs="宋体"/>
          <w:color w:val="auto"/>
          <w:sz w:val="30"/>
          <w:highlight w:val="none"/>
        </w:rPr>
      </w:pPr>
      <w:r>
        <w:rPr>
          <w:rFonts w:hint="eastAsia" w:ascii="宋体" w:hAnsi="宋体" w:cs="宋体"/>
          <w:color w:val="auto"/>
          <w:sz w:val="30"/>
          <w:highlight w:val="none"/>
        </w:rPr>
        <w:t>招标人：</w:t>
      </w:r>
      <w:r>
        <w:rPr>
          <w:rFonts w:hint="eastAsia" w:ascii="宋体" w:hAnsi="宋体" w:cs="宋体"/>
          <w:color w:val="auto"/>
          <w:sz w:val="30"/>
          <w:highlight w:val="none"/>
          <w:u w:val="single"/>
        </w:rPr>
        <w:t xml:space="preserve">                                  </w:t>
      </w:r>
    </w:p>
    <w:p w14:paraId="357251B0">
      <w:pPr>
        <w:pStyle w:val="19"/>
        <w:spacing w:line="360" w:lineRule="auto"/>
        <w:ind w:firstLine="1875" w:firstLineChars="625"/>
        <w:rPr>
          <w:rFonts w:hint="eastAsia" w:ascii="宋体" w:hAnsi="宋体" w:cs="宋体"/>
          <w:color w:val="auto"/>
          <w:sz w:val="30"/>
          <w:highlight w:val="none"/>
          <w:u w:val="single"/>
        </w:rPr>
      </w:pPr>
      <w:r>
        <w:rPr>
          <w:rFonts w:hint="eastAsia" w:ascii="宋体" w:hAnsi="宋体" w:cs="宋体"/>
          <w:color w:val="auto"/>
          <w:sz w:val="30"/>
          <w:highlight w:val="none"/>
        </w:rPr>
        <w:t>投标人：</w:t>
      </w:r>
      <w:r>
        <w:rPr>
          <w:rFonts w:hint="eastAsia" w:ascii="宋体" w:hAnsi="宋体" w:cs="宋体"/>
          <w:color w:val="auto"/>
          <w:sz w:val="30"/>
          <w:highlight w:val="none"/>
          <w:u w:val="single"/>
        </w:rPr>
        <w:t xml:space="preserve">          （企业数字证书电子签名）</w:t>
      </w:r>
    </w:p>
    <w:p w14:paraId="2AAAF551">
      <w:pPr>
        <w:pStyle w:val="19"/>
        <w:spacing w:line="360" w:lineRule="auto"/>
        <w:ind w:firstLine="1875" w:firstLineChars="625"/>
        <w:rPr>
          <w:rFonts w:hint="eastAsia" w:ascii="宋体" w:hAnsi="宋体" w:cs="宋体"/>
          <w:color w:val="auto"/>
          <w:sz w:val="30"/>
          <w:highlight w:val="none"/>
        </w:rPr>
      </w:pPr>
      <w:r>
        <w:rPr>
          <w:rFonts w:hint="eastAsia" w:ascii="宋体" w:hAnsi="宋体" w:cs="宋体"/>
          <w:color w:val="auto"/>
          <w:sz w:val="30"/>
          <w:highlight w:val="none"/>
        </w:rPr>
        <w:t>日  期：</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年</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月</w:t>
      </w:r>
      <w:r>
        <w:rPr>
          <w:rFonts w:hint="eastAsia" w:ascii="宋体" w:hAnsi="宋体" w:cs="宋体"/>
          <w:color w:val="auto"/>
          <w:sz w:val="30"/>
          <w:highlight w:val="none"/>
          <w:u w:val="single"/>
        </w:rPr>
        <w:t xml:space="preserve">    </w:t>
      </w:r>
      <w:r>
        <w:rPr>
          <w:rFonts w:hint="eastAsia" w:ascii="宋体" w:hAnsi="宋体" w:cs="宋体"/>
          <w:color w:val="auto"/>
          <w:sz w:val="30"/>
          <w:highlight w:val="none"/>
        </w:rPr>
        <w:t>日</w:t>
      </w:r>
    </w:p>
    <w:p w14:paraId="73498DF8">
      <w:pPr>
        <w:pStyle w:val="19"/>
        <w:spacing w:line="360" w:lineRule="auto"/>
        <w:rPr>
          <w:rFonts w:hint="eastAsia" w:ascii="宋体" w:hAnsi="宋体" w:cs="宋体"/>
          <w:color w:val="auto"/>
          <w:highlight w:val="none"/>
        </w:rPr>
      </w:pPr>
    </w:p>
    <w:p w14:paraId="428582AF">
      <w:pPr>
        <w:pStyle w:val="19"/>
        <w:spacing w:line="360" w:lineRule="auto"/>
        <w:rPr>
          <w:rFonts w:hint="eastAsia" w:ascii="宋体" w:hAnsi="宋体" w:cs="宋体"/>
          <w:color w:val="auto"/>
          <w:highlight w:val="none"/>
        </w:rPr>
      </w:pPr>
      <w:r>
        <w:rPr>
          <w:rFonts w:hint="eastAsia" w:ascii="宋体" w:hAnsi="宋体" w:cs="宋体"/>
          <w:color w:val="auto"/>
          <w:highlight w:val="none"/>
        </w:rPr>
        <w:br w:type="page"/>
      </w:r>
    </w:p>
    <w:p w14:paraId="7173EB7A">
      <w:pPr>
        <w:pStyle w:val="2"/>
        <w:ind w:left="0" w:leftChars="0" w:right="-2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投标文件</w:t>
      </w:r>
      <w:r>
        <w:rPr>
          <w:rFonts w:hint="eastAsia" w:ascii="宋体" w:hAnsi="宋体" w:eastAsia="宋体" w:cs="宋体"/>
          <w:b/>
          <w:bCs/>
          <w:color w:val="auto"/>
          <w:sz w:val="24"/>
          <w:szCs w:val="24"/>
          <w:highlight w:val="none"/>
          <w:lang w:val="en-US" w:eastAsia="zh-CN"/>
        </w:rPr>
        <w:t>技术标</w:t>
      </w:r>
      <w:r>
        <w:rPr>
          <w:rFonts w:hint="eastAsia" w:ascii="宋体" w:hAnsi="宋体" w:eastAsia="宋体" w:cs="宋体"/>
          <w:b/>
          <w:bCs/>
          <w:color w:val="auto"/>
          <w:sz w:val="24"/>
          <w:szCs w:val="24"/>
          <w:highlight w:val="none"/>
        </w:rPr>
        <w:t>部分</w:t>
      </w:r>
      <w:r>
        <w:rPr>
          <w:rFonts w:hint="eastAsia" w:ascii="宋体" w:hAnsi="宋体" w:eastAsia="宋体" w:cs="宋体"/>
          <w:b/>
          <w:bCs/>
          <w:color w:val="auto"/>
          <w:sz w:val="24"/>
          <w:szCs w:val="24"/>
          <w:highlight w:val="none"/>
          <w:lang w:val="en-US" w:eastAsia="zh-CN"/>
        </w:rPr>
        <w:t>评审</w:t>
      </w:r>
      <w:r>
        <w:rPr>
          <w:rFonts w:hint="eastAsia" w:ascii="宋体" w:hAnsi="宋体" w:eastAsia="宋体" w:cs="宋体"/>
          <w:b/>
          <w:bCs/>
          <w:color w:val="auto"/>
          <w:sz w:val="24"/>
          <w:szCs w:val="24"/>
          <w:highlight w:val="none"/>
        </w:rPr>
        <w:t>索引表</w:t>
      </w:r>
    </w:p>
    <w:p w14:paraId="40452461">
      <w:pPr>
        <w:pStyle w:val="2"/>
        <w:ind w:left="0" w:leftChars="0" w:right="-28"/>
        <w:jc w:val="center"/>
        <w:rPr>
          <w:rFonts w:hint="eastAsia" w:ascii="宋体" w:hAnsi="宋体" w:eastAsia="宋体" w:cs="宋体"/>
          <w:color w:val="auto"/>
          <w:sz w:val="24"/>
          <w:szCs w:val="24"/>
          <w:highlight w:val="none"/>
        </w:rPr>
      </w:pPr>
    </w:p>
    <w:tbl>
      <w:tblPr>
        <w:tblStyle w:val="39"/>
        <w:tblW w:w="4974"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1378"/>
        <w:gridCol w:w="2773"/>
        <w:gridCol w:w="2156"/>
        <w:gridCol w:w="2004"/>
        <w:gridCol w:w="2005"/>
      </w:tblGrid>
      <w:tr w14:paraId="0D136CB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204" w:hRule="atLeast"/>
          <w:jc w:val="center"/>
        </w:trPr>
        <w:tc>
          <w:tcPr>
            <w:tcW w:w="668" w:type="pct"/>
            <w:vAlign w:val="center"/>
          </w:tcPr>
          <w:p w14:paraId="1B911A9F">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343" w:type="pct"/>
            <w:vAlign w:val="center"/>
          </w:tcPr>
          <w:p w14:paraId="57A2907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评标项目</w:t>
            </w:r>
          </w:p>
        </w:tc>
        <w:tc>
          <w:tcPr>
            <w:tcW w:w="1045" w:type="pct"/>
            <w:vAlign w:val="center"/>
          </w:tcPr>
          <w:p w14:paraId="3A50F5A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招标文件上的满分值</w:t>
            </w:r>
          </w:p>
        </w:tc>
        <w:tc>
          <w:tcPr>
            <w:tcW w:w="971" w:type="pct"/>
            <w:tcBorders>
              <w:left w:val="single" w:color="auto" w:sz="4" w:space="0"/>
            </w:tcBorders>
            <w:vAlign w:val="center"/>
          </w:tcPr>
          <w:p w14:paraId="2AE9609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投标人自评分</w:t>
            </w:r>
          </w:p>
        </w:tc>
        <w:tc>
          <w:tcPr>
            <w:tcW w:w="971" w:type="pct"/>
            <w:tcBorders>
              <w:left w:val="single" w:color="auto" w:sz="4" w:space="0"/>
            </w:tcBorders>
            <w:vAlign w:val="center"/>
          </w:tcPr>
          <w:p w14:paraId="5A15992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页码索引</w:t>
            </w:r>
          </w:p>
        </w:tc>
      </w:tr>
      <w:tr w14:paraId="3F7AF83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541" w:hRule="atLeast"/>
          <w:jc w:val="center"/>
        </w:trPr>
        <w:tc>
          <w:tcPr>
            <w:tcW w:w="668" w:type="pct"/>
            <w:vAlign w:val="center"/>
          </w:tcPr>
          <w:p w14:paraId="7E43908F">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1343" w:type="pct"/>
            <w:vAlign w:val="center"/>
          </w:tcPr>
          <w:p w14:paraId="223520C9">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1045" w:type="pct"/>
            <w:vAlign w:val="center"/>
          </w:tcPr>
          <w:p w14:paraId="77CA1F5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971" w:type="pct"/>
            <w:tcBorders>
              <w:left w:val="single" w:color="auto" w:sz="4" w:space="0"/>
            </w:tcBorders>
            <w:vAlign w:val="center"/>
          </w:tcPr>
          <w:p w14:paraId="248FB6BF">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Cs/>
                <w:color w:val="auto"/>
                <w:szCs w:val="21"/>
                <w:highlight w:val="none"/>
              </w:rPr>
            </w:pPr>
          </w:p>
        </w:tc>
        <w:tc>
          <w:tcPr>
            <w:tcW w:w="971" w:type="pct"/>
            <w:tcBorders>
              <w:left w:val="single" w:color="auto" w:sz="4" w:space="0"/>
            </w:tcBorders>
            <w:vAlign w:val="center"/>
          </w:tcPr>
          <w:p w14:paraId="2DED9357">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Cs/>
                <w:color w:val="auto"/>
                <w:szCs w:val="21"/>
                <w:highlight w:val="none"/>
              </w:rPr>
            </w:pPr>
          </w:p>
        </w:tc>
      </w:tr>
      <w:tr w14:paraId="394A963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761" w:hRule="atLeast"/>
          <w:jc w:val="center"/>
        </w:trPr>
        <w:tc>
          <w:tcPr>
            <w:tcW w:w="668" w:type="pct"/>
            <w:vAlign w:val="center"/>
          </w:tcPr>
          <w:p w14:paraId="358A0BA3">
            <w:pPr>
              <w:keepNext w:val="0"/>
              <w:keepLines w:val="0"/>
              <w:suppressLineNumbers w:val="0"/>
              <w:spacing w:before="0" w:beforeAutospacing="0" w:after="0" w:afterAutospacing="0"/>
              <w:ind w:left="0" w:right="0"/>
              <w:rPr>
                <w:rFonts w:hint="eastAsia" w:ascii="宋体" w:hAnsi="宋体" w:eastAsia="宋体" w:cs="宋体"/>
                <w:bCs/>
                <w:color w:val="auto"/>
                <w:szCs w:val="21"/>
                <w:highlight w:val="none"/>
              </w:rPr>
            </w:pPr>
          </w:p>
        </w:tc>
        <w:tc>
          <w:tcPr>
            <w:tcW w:w="1343" w:type="pct"/>
            <w:vAlign w:val="center"/>
          </w:tcPr>
          <w:p w14:paraId="3A4CF6D0">
            <w:pPr>
              <w:keepNext w:val="0"/>
              <w:keepLines w:val="0"/>
              <w:suppressLineNumbers w:val="0"/>
              <w:spacing w:before="0" w:beforeAutospacing="0" w:after="0" w:afterAutospacing="0"/>
              <w:ind w:left="0" w:right="0"/>
              <w:rPr>
                <w:rFonts w:hint="eastAsia" w:ascii="宋体" w:hAnsi="宋体" w:eastAsia="宋体" w:cs="宋体"/>
                <w:bCs/>
                <w:color w:val="auto"/>
                <w:szCs w:val="21"/>
                <w:highlight w:val="none"/>
              </w:rPr>
            </w:pPr>
          </w:p>
        </w:tc>
        <w:tc>
          <w:tcPr>
            <w:tcW w:w="1045" w:type="pct"/>
            <w:vAlign w:val="center"/>
          </w:tcPr>
          <w:p w14:paraId="23E87C65">
            <w:pPr>
              <w:keepNext w:val="0"/>
              <w:keepLines w:val="0"/>
              <w:suppressLineNumbers w:val="0"/>
              <w:spacing w:before="0" w:beforeAutospacing="0" w:after="0" w:afterAutospacing="0"/>
              <w:ind w:left="0" w:right="0"/>
              <w:rPr>
                <w:rFonts w:hint="eastAsia" w:ascii="宋体" w:hAnsi="宋体" w:eastAsia="宋体" w:cs="宋体"/>
                <w:bCs/>
                <w:color w:val="auto"/>
                <w:szCs w:val="21"/>
                <w:highlight w:val="none"/>
              </w:rPr>
            </w:pPr>
          </w:p>
        </w:tc>
        <w:tc>
          <w:tcPr>
            <w:tcW w:w="971" w:type="pct"/>
            <w:tcBorders>
              <w:left w:val="single" w:color="auto" w:sz="4" w:space="0"/>
            </w:tcBorders>
            <w:vAlign w:val="center"/>
          </w:tcPr>
          <w:p w14:paraId="611A230B">
            <w:pPr>
              <w:keepNext w:val="0"/>
              <w:keepLines w:val="0"/>
              <w:suppressLineNumbers w:val="0"/>
              <w:adjustRightInd w:val="0"/>
              <w:snapToGrid w:val="0"/>
              <w:spacing w:before="0" w:beforeAutospacing="0" w:after="0" w:afterAutospacing="0" w:line="360" w:lineRule="auto"/>
              <w:ind w:left="0" w:right="0" w:firstLine="105" w:firstLineChars="50"/>
              <w:rPr>
                <w:rFonts w:hint="eastAsia" w:ascii="宋体" w:hAnsi="宋体" w:eastAsia="宋体" w:cs="宋体"/>
                <w:bCs/>
                <w:color w:val="auto"/>
                <w:szCs w:val="21"/>
                <w:highlight w:val="none"/>
              </w:rPr>
            </w:pPr>
          </w:p>
        </w:tc>
        <w:tc>
          <w:tcPr>
            <w:tcW w:w="971" w:type="pct"/>
            <w:tcBorders>
              <w:left w:val="single" w:color="auto" w:sz="4" w:space="0"/>
            </w:tcBorders>
            <w:vAlign w:val="center"/>
          </w:tcPr>
          <w:p w14:paraId="01528A86">
            <w:pPr>
              <w:keepNext w:val="0"/>
              <w:keepLines w:val="0"/>
              <w:suppressLineNumbers w:val="0"/>
              <w:adjustRightInd w:val="0"/>
              <w:snapToGrid w:val="0"/>
              <w:spacing w:before="0" w:beforeAutospacing="0" w:after="0" w:afterAutospacing="0" w:line="360" w:lineRule="auto"/>
              <w:ind w:left="0" w:right="0" w:firstLine="105" w:firstLineChars="50"/>
              <w:rPr>
                <w:rFonts w:hint="eastAsia" w:ascii="宋体" w:hAnsi="宋体" w:eastAsia="宋体" w:cs="宋体"/>
                <w:bCs/>
                <w:color w:val="auto"/>
                <w:szCs w:val="21"/>
                <w:highlight w:val="none"/>
              </w:rPr>
            </w:pPr>
          </w:p>
        </w:tc>
      </w:tr>
      <w:tr w14:paraId="63AC7B5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2029" w:hRule="atLeast"/>
          <w:jc w:val="center"/>
        </w:trPr>
        <w:tc>
          <w:tcPr>
            <w:tcW w:w="668" w:type="pct"/>
            <w:vAlign w:val="center"/>
          </w:tcPr>
          <w:p w14:paraId="1395A81C">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1343" w:type="pct"/>
            <w:vAlign w:val="center"/>
          </w:tcPr>
          <w:p w14:paraId="4B146440">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Cs/>
                <w:color w:val="auto"/>
                <w:szCs w:val="21"/>
                <w:highlight w:val="none"/>
              </w:rPr>
            </w:pPr>
          </w:p>
        </w:tc>
        <w:tc>
          <w:tcPr>
            <w:tcW w:w="1045" w:type="pct"/>
            <w:vAlign w:val="center"/>
          </w:tcPr>
          <w:p w14:paraId="6749E09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971" w:type="pct"/>
            <w:tcBorders>
              <w:left w:val="single" w:color="auto" w:sz="4" w:space="0"/>
            </w:tcBorders>
            <w:vAlign w:val="center"/>
          </w:tcPr>
          <w:p w14:paraId="4F9D203A">
            <w:pPr>
              <w:keepNext w:val="0"/>
              <w:keepLines w:val="0"/>
              <w:suppressLineNumbers w:val="0"/>
              <w:spacing w:before="0" w:beforeAutospacing="0" w:after="0" w:afterAutospacing="0" w:line="360" w:lineRule="auto"/>
              <w:ind w:left="0" w:right="0" w:firstLine="8" w:firstLineChars="4"/>
              <w:rPr>
                <w:rFonts w:hint="eastAsia" w:ascii="宋体" w:hAnsi="宋体" w:eastAsia="宋体" w:cs="宋体"/>
                <w:bCs/>
                <w:color w:val="auto"/>
                <w:szCs w:val="21"/>
                <w:highlight w:val="none"/>
              </w:rPr>
            </w:pPr>
          </w:p>
        </w:tc>
        <w:tc>
          <w:tcPr>
            <w:tcW w:w="971" w:type="pct"/>
            <w:tcBorders>
              <w:left w:val="single" w:color="auto" w:sz="4" w:space="0"/>
            </w:tcBorders>
            <w:vAlign w:val="center"/>
          </w:tcPr>
          <w:p w14:paraId="0F45085F">
            <w:pPr>
              <w:keepNext w:val="0"/>
              <w:keepLines w:val="0"/>
              <w:suppressLineNumbers w:val="0"/>
              <w:spacing w:before="0" w:beforeAutospacing="0" w:after="0" w:afterAutospacing="0" w:line="360" w:lineRule="auto"/>
              <w:ind w:left="0" w:right="0" w:firstLine="8" w:firstLineChars="4"/>
              <w:rPr>
                <w:rFonts w:hint="eastAsia" w:ascii="宋体" w:hAnsi="宋体" w:eastAsia="宋体" w:cs="宋体"/>
                <w:bCs/>
                <w:color w:val="auto"/>
                <w:szCs w:val="21"/>
                <w:highlight w:val="none"/>
              </w:rPr>
            </w:pPr>
          </w:p>
        </w:tc>
      </w:tr>
      <w:tr w14:paraId="734016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033" w:hRule="atLeast"/>
          <w:jc w:val="center"/>
        </w:trPr>
        <w:tc>
          <w:tcPr>
            <w:tcW w:w="668" w:type="pct"/>
            <w:tcBorders>
              <w:top w:val="single" w:color="auto" w:sz="6" w:space="0"/>
              <w:left w:val="single" w:color="auto" w:sz="4" w:space="0"/>
              <w:bottom w:val="outset" w:color="808080" w:sz="6" w:space="0"/>
              <w:right w:val="single" w:color="auto" w:sz="6" w:space="0"/>
            </w:tcBorders>
            <w:vAlign w:val="center"/>
          </w:tcPr>
          <w:p w14:paraId="30582494">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1343" w:type="pct"/>
            <w:tcBorders>
              <w:top w:val="single" w:color="auto" w:sz="6" w:space="0"/>
              <w:left w:val="single" w:color="auto" w:sz="6" w:space="0"/>
              <w:bottom w:val="outset" w:color="808080" w:sz="6" w:space="0"/>
              <w:right w:val="single" w:color="auto" w:sz="6" w:space="0"/>
            </w:tcBorders>
            <w:vAlign w:val="center"/>
          </w:tcPr>
          <w:p w14:paraId="7217142B">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Cs/>
                <w:color w:val="auto"/>
                <w:szCs w:val="21"/>
                <w:highlight w:val="none"/>
              </w:rPr>
            </w:pPr>
          </w:p>
        </w:tc>
        <w:tc>
          <w:tcPr>
            <w:tcW w:w="1045" w:type="pct"/>
            <w:tcBorders>
              <w:top w:val="single" w:color="auto" w:sz="6" w:space="0"/>
              <w:left w:val="single" w:color="auto" w:sz="6" w:space="0"/>
              <w:bottom w:val="outset" w:color="808080" w:sz="6" w:space="0"/>
              <w:right w:val="single" w:color="auto" w:sz="6" w:space="0"/>
            </w:tcBorders>
            <w:vAlign w:val="center"/>
          </w:tcPr>
          <w:p w14:paraId="5C41B03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971" w:type="pct"/>
            <w:tcBorders>
              <w:top w:val="single" w:color="auto" w:sz="6" w:space="0"/>
              <w:left w:val="single" w:color="auto" w:sz="4" w:space="0"/>
              <w:bottom w:val="outset" w:color="808080" w:sz="6" w:space="0"/>
              <w:right w:val="single" w:color="auto" w:sz="6" w:space="0"/>
            </w:tcBorders>
            <w:vAlign w:val="center"/>
          </w:tcPr>
          <w:p w14:paraId="2F2C03FF">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Cs/>
                <w:color w:val="auto"/>
                <w:szCs w:val="21"/>
                <w:highlight w:val="none"/>
              </w:rPr>
            </w:pPr>
          </w:p>
        </w:tc>
        <w:tc>
          <w:tcPr>
            <w:tcW w:w="971" w:type="pct"/>
            <w:tcBorders>
              <w:top w:val="single" w:color="auto" w:sz="6" w:space="0"/>
              <w:left w:val="single" w:color="auto" w:sz="4" w:space="0"/>
              <w:bottom w:val="outset" w:color="808080" w:sz="6" w:space="0"/>
              <w:right w:val="single" w:color="auto" w:sz="6" w:space="0"/>
            </w:tcBorders>
            <w:vAlign w:val="center"/>
          </w:tcPr>
          <w:p w14:paraId="3B906D9D">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Cs/>
                <w:color w:val="auto"/>
                <w:szCs w:val="21"/>
                <w:highlight w:val="none"/>
              </w:rPr>
            </w:pPr>
          </w:p>
        </w:tc>
      </w:tr>
      <w:tr w14:paraId="27FFE33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966" w:hRule="atLeast"/>
          <w:jc w:val="center"/>
        </w:trPr>
        <w:tc>
          <w:tcPr>
            <w:tcW w:w="2012" w:type="pct"/>
            <w:gridSpan w:val="2"/>
            <w:tcBorders>
              <w:bottom w:val="single" w:color="auto" w:sz="4" w:space="0"/>
            </w:tcBorders>
            <w:vAlign w:val="center"/>
          </w:tcPr>
          <w:p w14:paraId="72B1C85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合计</w:t>
            </w:r>
          </w:p>
        </w:tc>
        <w:tc>
          <w:tcPr>
            <w:tcW w:w="1045" w:type="pct"/>
            <w:tcBorders>
              <w:bottom w:val="single" w:color="auto" w:sz="4" w:space="0"/>
            </w:tcBorders>
            <w:vAlign w:val="center"/>
          </w:tcPr>
          <w:p w14:paraId="1DCEEE1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971" w:type="pct"/>
            <w:tcBorders>
              <w:left w:val="single" w:color="auto" w:sz="4" w:space="0"/>
              <w:bottom w:val="single" w:color="auto" w:sz="4" w:space="0"/>
            </w:tcBorders>
            <w:vAlign w:val="center"/>
          </w:tcPr>
          <w:p w14:paraId="22D35AFE">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c>
          <w:tcPr>
            <w:tcW w:w="971" w:type="pct"/>
            <w:tcBorders>
              <w:left w:val="single" w:color="auto" w:sz="4" w:space="0"/>
              <w:bottom w:val="single" w:color="auto" w:sz="4" w:space="0"/>
            </w:tcBorders>
            <w:vAlign w:val="center"/>
          </w:tcPr>
          <w:p w14:paraId="55445470">
            <w:pPr>
              <w:keepNext w:val="0"/>
              <w:keepLines w:val="0"/>
              <w:suppressLineNumbers w:val="0"/>
              <w:spacing w:before="0" w:beforeAutospacing="0" w:after="0" w:afterAutospacing="0" w:line="360" w:lineRule="auto"/>
              <w:ind w:left="0" w:right="0"/>
              <w:jc w:val="center"/>
              <w:rPr>
                <w:rFonts w:hint="eastAsia" w:ascii="宋体" w:hAnsi="宋体" w:eastAsia="宋体" w:cs="宋体"/>
                <w:bCs/>
                <w:color w:val="auto"/>
                <w:szCs w:val="21"/>
                <w:highlight w:val="none"/>
              </w:rPr>
            </w:pPr>
          </w:p>
        </w:tc>
      </w:tr>
    </w:tbl>
    <w:p w14:paraId="3357BFDE">
      <w:pPr>
        <w:ind w:left="0" w:leftChars="0"/>
        <w:jc w:val="center"/>
        <w:rPr>
          <w:rFonts w:hint="eastAsia" w:ascii="宋体" w:hAnsi="宋体" w:cs="宋体"/>
          <w:b/>
          <w:bCs/>
          <w:color w:val="auto"/>
          <w:highlight w:val="none"/>
        </w:rPr>
      </w:pPr>
      <w:r>
        <w:rPr>
          <w:rFonts w:hint="eastAsia" w:ascii="宋体" w:hAnsi="宋体" w:cs="宋体"/>
          <w:b/>
          <w:bCs/>
          <w:color w:val="auto"/>
          <w:highlight w:val="none"/>
        </w:rPr>
        <w:br w:type="page"/>
      </w:r>
    </w:p>
    <w:p w14:paraId="6DCF26C1">
      <w:pPr>
        <w:pStyle w:val="19"/>
        <w:spacing w:line="360" w:lineRule="auto"/>
        <w:ind w:left="0" w:leftChars="0"/>
        <w:jc w:val="center"/>
        <w:rPr>
          <w:rFonts w:hint="eastAsia" w:ascii="宋体" w:hAnsi="宋体" w:cs="宋体"/>
          <w:color w:val="auto"/>
          <w:highlight w:val="none"/>
        </w:rPr>
      </w:pPr>
      <w:r>
        <w:rPr>
          <w:rFonts w:hint="eastAsia" w:ascii="宋体" w:hAnsi="宋体" w:cs="宋体"/>
          <w:b/>
          <w:bCs/>
          <w:color w:val="auto"/>
          <w:highlight w:val="none"/>
        </w:rPr>
        <w:t>目    录</w:t>
      </w:r>
    </w:p>
    <w:p w14:paraId="6E53F9EE">
      <w:pPr>
        <w:pStyle w:val="19"/>
        <w:spacing w:line="360" w:lineRule="auto"/>
        <w:rPr>
          <w:rFonts w:hint="eastAsia" w:ascii="宋体" w:hAnsi="宋体" w:cs="宋体"/>
          <w:color w:val="auto"/>
          <w:highlight w:val="none"/>
        </w:rPr>
      </w:pPr>
      <w:r>
        <w:rPr>
          <w:rFonts w:hint="eastAsia" w:ascii="宋体" w:hAnsi="宋体" w:cs="宋体"/>
          <w:color w:val="auto"/>
          <w:highlight w:val="none"/>
        </w:rPr>
        <w:t>一、用户需求响应程度（即用户需求偏离表）；</w:t>
      </w:r>
    </w:p>
    <w:p w14:paraId="0FEAC791">
      <w:pPr>
        <w:pStyle w:val="19"/>
        <w:spacing w:line="360" w:lineRule="auto"/>
        <w:rPr>
          <w:rFonts w:hint="eastAsia" w:ascii="宋体" w:hAnsi="宋体" w:cs="宋体"/>
          <w:color w:val="auto"/>
          <w:highlight w:val="none"/>
        </w:rPr>
      </w:pPr>
      <w:r>
        <w:rPr>
          <w:rFonts w:hint="eastAsia" w:ascii="宋体" w:hAnsi="宋体" w:cs="宋体"/>
          <w:color w:val="auto"/>
          <w:highlight w:val="none"/>
        </w:rPr>
        <w:t>二、拟投入本项目人员情况（即拟投入本项目工作人员情况一览表）；</w:t>
      </w:r>
    </w:p>
    <w:p w14:paraId="70919353">
      <w:pPr>
        <w:pStyle w:val="19"/>
        <w:spacing w:line="360" w:lineRule="auto"/>
        <w:rPr>
          <w:rFonts w:hint="eastAsia" w:ascii="宋体" w:hAnsi="宋体" w:cs="宋体"/>
          <w:color w:val="auto"/>
          <w:highlight w:val="none"/>
        </w:rPr>
      </w:pPr>
      <w:r>
        <w:rPr>
          <w:rFonts w:hint="eastAsia" w:ascii="宋体" w:hAnsi="宋体" w:cs="宋体"/>
          <w:color w:val="auto"/>
          <w:highlight w:val="none"/>
        </w:rPr>
        <w:t>三、拟投入本项目机械设备情况（即拟投入本项目机械设备情况一览表）；</w:t>
      </w:r>
    </w:p>
    <w:p w14:paraId="1D2046AB">
      <w:pPr>
        <w:pStyle w:val="19"/>
        <w:spacing w:line="360" w:lineRule="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四、供水抢修专项方案（</w:t>
      </w:r>
      <w:r>
        <w:rPr>
          <w:rFonts w:hint="eastAsia" w:ascii="宋体" w:hAnsi="宋体" w:cs="宋体"/>
          <w:color w:val="auto"/>
          <w:highlight w:val="none"/>
        </w:rPr>
        <w:t>投标人自行编写</w:t>
      </w:r>
      <w:r>
        <w:rPr>
          <w:rFonts w:hint="eastAsia" w:ascii="宋体" w:hAnsi="宋体" w:cs="宋体"/>
          <w:color w:val="auto"/>
          <w:highlight w:val="none"/>
          <w:lang w:val="en-US" w:eastAsia="zh-CN"/>
        </w:rPr>
        <w:t>）；</w:t>
      </w:r>
    </w:p>
    <w:p w14:paraId="701A8E55">
      <w:pPr>
        <w:pStyle w:val="19"/>
        <w:spacing w:line="360" w:lineRule="auto"/>
        <w:rPr>
          <w:rFonts w:hint="eastAsia" w:ascii="宋体" w:hAnsi="宋体" w:cs="宋体"/>
          <w:color w:val="auto"/>
          <w:highlight w:val="none"/>
        </w:rPr>
      </w:pPr>
      <w:r>
        <w:rPr>
          <w:rFonts w:hint="eastAsia" w:ascii="宋体" w:hAnsi="宋体" w:cs="宋体"/>
          <w:color w:val="auto"/>
          <w:highlight w:val="none"/>
          <w:lang w:val="en-US" w:eastAsia="zh-CN"/>
        </w:rPr>
        <w:t>五</w:t>
      </w:r>
      <w:r>
        <w:rPr>
          <w:rFonts w:hint="eastAsia" w:ascii="宋体" w:hAnsi="宋体" w:cs="宋体"/>
          <w:color w:val="auto"/>
          <w:highlight w:val="none"/>
        </w:rPr>
        <w:t>、</w:t>
      </w:r>
      <w:r>
        <w:rPr>
          <w:rFonts w:hint="eastAsia" w:ascii="宋体" w:hAnsi="宋体" w:cs="宋体"/>
          <w:color w:val="auto"/>
          <w:highlight w:val="none"/>
          <w:lang w:val="en-US" w:eastAsia="zh-CN"/>
        </w:rPr>
        <w:t>服务便利性方案</w:t>
      </w:r>
      <w:r>
        <w:rPr>
          <w:rFonts w:hint="eastAsia" w:ascii="宋体" w:hAnsi="宋体" w:cs="宋体"/>
          <w:color w:val="auto"/>
          <w:highlight w:val="none"/>
        </w:rPr>
        <w:t>（投标人自行编写）；</w:t>
      </w:r>
    </w:p>
    <w:p w14:paraId="01FB055C">
      <w:pPr>
        <w:pStyle w:val="19"/>
        <w:spacing w:line="360" w:lineRule="auto"/>
        <w:rPr>
          <w:rFonts w:hint="eastAsia" w:ascii="宋体" w:hAnsi="宋体" w:cs="宋体"/>
          <w:color w:val="auto"/>
          <w:highlight w:val="none"/>
        </w:rPr>
      </w:pPr>
      <w:r>
        <w:rPr>
          <w:rFonts w:hint="eastAsia" w:ascii="宋体" w:hAnsi="宋体" w:cs="宋体"/>
          <w:color w:val="auto"/>
          <w:highlight w:val="none"/>
          <w:lang w:val="en-US" w:eastAsia="zh-CN"/>
        </w:rPr>
        <w:t>六</w:t>
      </w:r>
      <w:r>
        <w:rPr>
          <w:rFonts w:hint="eastAsia" w:ascii="宋体" w:hAnsi="宋体" w:cs="宋体"/>
          <w:color w:val="auto"/>
          <w:highlight w:val="none"/>
        </w:rPr>
        <w:t>、有限空间作业实施方案（投标人自行编写）；</w:t>
      </w:r>
    </w:p>
    <w:p w14:paraId="48F883AC">
      <w:pPr>
        <w:pStyle w:val="19"/>
        <w:spacing w:line="360" w:lineRule="auto"/>
        <w:rPr>
          <w:rFonts w:hint="eastAsia" w:ascii="宋体" w:hAnsi="宋体" w:cs="宋体"/>
          <w:color w:val="auto"/>
          <w:highlight w:val="none"/>
        </w:rPr>
      </w:pPr>
      <w:r>
        <w:rPr>
          <w:rFonts w:hint="eastAsia" w:ascii="宋体" w:hAnsi="宋体" w:cs="宋体"/>
          <w:color w:val="auto"/>
          <w:highlight w:val="none"/>
          <w:lang w:val="en-US" w:eastAsia="zh-CN"/>
        </w:rPr>
        <w:t>七</w:t>
      </w:r>
      <w:r>
        <w:rPr>
          <w:rFonts w:hint="eastAsia" w:ascii="宋体" w:hAnsi="宋体" w:cs="宋体"/>
          <w:color w:val="auto"/>
          <w:highlight w:val="none"/>
        </w:rPr>
        <w:t>、施工进度、质量保证措施（投标人自行编写）；</w:t>
      </w:r>
    </w:p>
    <w:p w14:paraId="670D8182">
      <w:pPr>
        <w:pStyle w:val="19"/>
        <w:spacing w:line="360" w:lineRule="auto"/>
        <w:rPr>
          <w:rFonts w:hint="eastAsia" w:ascii="宋体" w:hAnsi="宋体" w:cs="宋体"/>
          <w:color w:val="auto"/>
          <w:highlight w:val="none"/>
        </w:rPr>
      </w:pPr>
      <w:r>
        <w:rPr>
          <w:rFonts w:hint="eastAsia" w:ascii="宋体" w:hAnsi="宋体" w:cs="宋体"/>
          <w:color w:val="auto"/>
          <w:highlight w:val="none"/>
          <w:lang w:val="en-US" w:eastAsia="zh-CN"/>
        </w:rPr>
        <w:t>八</w:t>
      </w:r>
      <w:r>
        <w:rPr>
          <w:rFonts w:hint="eastAsia" w:ascii="宋体" w:hAnsi="宋体" w:cs="宋体"/>
          <w:color w:val="auto"/>
          <w:highlight w:val="none"/>
        </w:rPr>
        <w:t>、安全生产管理方案（投标人自行编写）；</w:t>
      </w:r>
    </w:p>
    <w:p w14:paraId="0FAA6256">
      <w:pPr>
        <w:pStyle w:val="19"/>
        <w:spacing w:line="360" w:lineRule="auto"/>
        <w:rPr>
          <w:rFonts w:hint="eastAsia" w:ascii="宋体" w:hAnsi="宋体" w:cs="宋体"/>
          <w:color w:val="auto"/>
          <w:highlight w:val="none"/>
        </w:rPr>
      </w:pPr>
      <w:r>
        <w:rPr>
          <w:rFonts w:hint="eastAsia" w:ascii="宋体" w:hAnsi="宋体" w:cs="宋体"/>
          <w:color w:val="auto"/>
          <w:highlight w:val="none"/>
          <w:lang w:val="en-US" w:eastAsia="zh-CN"/>
        </w:rPr>
        <w:t>九</w:t>
      </w:r>
      <w:r>
        <w:rPr>
          <w:rFonts w:hint="eastAsia" w:ascii="宋体" w:hAnsi="宋体" w:cs="宋体"/>
          <w:color w:val="auto"/>
          <w:highlight w:val="none"/>
        </w:rPr>
        <w:t>、投标人认为有必要提供的其它材料（不做强制要求）。</w:t>
      </w:r>
    </w:p>
    <w:p w14:paraId="4108D970">
      <w:pP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p>
    <w:p w14:paraId="70C5D638">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0"/>
          <w:szCs w:val="30"/>
          <w:highlight w:val="none"/>
        </w:rPr>
      </w:pPr>
      <w:bookmarkStart w:id="752" w:name="_Toc30448"/>
      <w:bookmarkStart w:id="753" w:name="_Toc17533"/>
      <w:bookmarkStart w:id="754" w:name="_Toc27688"/>
      <w:bookmarkStart w:id="755" w:name="_Toc18999"/>
      <w:bookmarkStart w:id="756" w:name="_Toc9781"/>
      <w:bookmarkStart w:id="757" w:name="_Toc27934"/>
      <w:r>
        <w:rPr>
          <w:rFonts w:hint="eastAsia" w:ascii="宋体" w:hAnsi="宋体" w:eastAsia="宋体" w:cs="宋体"/>
          <w:b/>
          <w:color w:val="auto"/>
          <w:kern w:val="0"/>
          <w:sz w:val="30"/>
          <w:szCs w:val="30"/>
          <w:highlight w:val="none"/>
        </w:rPr>
        <w:t>一、用户需求偏离表</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1BBD7139">
      <w:pPr>
        <w:spacing w:before="120" w:after="120" w:line="360" w:lineRule="auto"/>
        <w:jc w:val="center"/>
        <w:rPr>
          <w:rFonts w:hint="eastAsia" w:ascii="宋体" w:hAnsi="宋体" w:eastAsia="宋体" w:cs="Times New Roman"/>
          <w:color w:val="auto"/>
          <w:kern w:val="0"/>
          <w:szCs w:val="21"/>
          <w:highlight w:val="none"/>
        </w:rPr>
      </w:pPr>
      <w:bookmarkStart w:id="758" w:name="_Toc17449_WPSOffice_Level3"/>
      <w:r>
        <w:rPr>
          <w:rFonts w:hint="eastAsia" w:ascii="宋体" w:hAnsi="宋体" w:eastAsia="宋体" w:cs="宋体"/>
          <w:b/>
          <w:color w:val="auto"/>
          <w:kern w:val="0"/>
          <w:sz w:val="30"/>
          <w:szCs w:val="30"/>
          <w:highlight w:val="none"/>
          <w:lang w:val="zh-CN"/>
        </w:rPr>
        <w:t>用户需求偏离表</w:t>
      </w:r>
      <w:bookmarkEnd w:id="758"/>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952"/>
        <w:gridCol w:w="6413"/>
        <w:gridCol w:w="722"/>
        <w:gridCol w:w="867"/>
        <w:gridCol w:w="821"/>
      </w:tblGrid>
      <w:tr w14:paraId="11F6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87" w:type="pct"/>
            <w:vMerge w:val="restart"/>
            <w:vAlign w:val="center"/>
          </w:tcPr>
          <w:p w14:paraId="2EAC94E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序号</w:t>
            </w:r>
          </w:p>
        </w:tc>
        <w:tc>
          <w:tcPr>
            <w:tcW w:w="3551" w:type="pct"/>
            <w:gridSpan w:val="2"/>
            <w:vAlign w:val="center"/>
          </w:tcPr>
          <w:p w14:paraId="006CB60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招标文件要求</w:t>
            </w:r>
          </w:p>
        </w:tc>
        <w:tc>
          <w:tcPr>
            <w:tcW w:w="1161" w:type="pct"/>
            <w:gridSpan w:val="3"/>
            <w:vAlign w:val="center"/>
          </w:tcPr>
          <w:p w14:paraId="238D118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投标文件内容</w:t>
            </w:r>
          </w:p>
        </w:tc>
      </w:tr>
      <w:tr w14:paraId="27D8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87" w:type="pct"/>
            <w:vMerge w:val="continue"/>
            <w:vAlign w:val="center"/>
          </w:tcPr>
          <w:p w14:paraId="603A50CC">
            <w:pPr>
              <w:keepNext/>
              <w:keepLines/>
              <w:suppressLineNumbers w:val="0"/>
              <w:spacing w:before="0" w:beforeAutospacing="0" w:after="0" w:afterAutospacing="0" w:line="400" w:lineRule="exact"/>
              <w:ind w:left="0" w:right="0"/>
              <w:jc w:val="center"/>
              <w:outlineLvl w:val="0"/>
              <w:rPr>
                <w:rFonts w:hint="eastAsia" w:ascii="宋体" w:hAnsi="宋体" w:eastAsia="宋体" w:cs="宋体"/>
                <w:color w:val="auto"/>
                <w:kern w:val="0"/>
                <w:sz w:val="18"/>
                <w:szCs w:val="18"/>
                <w:highlight w:val="none"/>
              </w:rPr>
            </w:pPr>
          </w:p>
        </w:tc>
        <w:tc>
          <w:tcPr>
            <w:tcW w:w="459" w:type="pct"/>
            <w:vAlign w:val="center"/>
          </w:tcPr>
          <w:p w14:paraId="6171591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条款号</w:t>
            </w:r>
          </w:p>
        </w:tc>
        <w:tc>
          <w:tcPr>
            <w:tcW w:w="3092" w:type="pct"/>
            <w:vAlign w:val="center"/>
          </w:tcPr>
          <w:p w14:paraId="7F2BE02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简要内容</w:t>
            </w:r>
          </w:p>
        </w:tc>
        <w:tc>
          <w:tcPr>
            <w:tcW w:w="348" w:type="pct"/>
            <w:vAlign w:val="center"/>
          </w:tcPr>
          <w:p w14:paraId="46E491B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偏离情况</w:t>
            </w:r>
          </w:p>
        </w:tc>
        <w:tc>
          <w:tcPr>
            <w:tcW w:w="418" w:type="pct"/>
            <w:vAlign w:val="center"/>
          </w:tcPr>
          <w:p w14:paraId="5E98AE8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实质性响应的具体内容</w:t>
            </w:r>
          </w:p>
        </w:tc>
        <w:tc>
          <w:tcPr>
            <w:tcW w:w="393" w:type="pct"/>
            <w:vAlign w:val="center"/>
          </w:tcPr>
          <w:p w14:paraId="49A8B30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对应证明材料页码</w:t>
            </w:r>
          </w:p>
        </w:tc>
      </w:tr>
      <w:tr w14:paraId="4E19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7" w:type="pct"/>
            <w:vAlign w:val="center"/>
          </w:tcPr>
          <w:p w14:paraId="14B049F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default" w:ascii="宋体" w:hAnsi="宋体" w:eastAsia="宋体" w:cs="宋体"/>
                <w:color w:val="auto"/>
                <w:kern w:val="0"/>
                <w:sz w:val="18"/>
                <w:szCs w:val="18"/>
                <w:highlight w:val="none"/>
              </w:rPr>
              <w:t>1</w:t>
            </w:r>
          </w:p>
        </w:tc>
        <w:tc>
          <w:tcPr>
            <w:tcW w:w="459" w:type="pct"/>
            <w:vAlign w:val="center"/>
          </w:tcPr>
          <w:p w14:paraId="0A72B105">
            <w:pPr>
              <w:keepNext w:val="0"/>
              <w:keepLines w:val="0"/>
              <w:suppressLineNumbers w:val="0"/>
              <w:spacing w:before="0" w:beforeAutospacing="0" w:after="0" w:afterAutospacing="0"/>
              <w:ind w:left="0" w:right="0"/>
              <w:jc w:val="center"/>
              <w:rPr>
                <w:rFonts w:hint="eastAsia" w:ascii="宋体" w:hAnsi="宋体" w:eastAsia="宋体" w:cs="Times New Roman"/>
                <w:b/>
                <w:color w:val="auto"/>
                <w:kern w:val="0"/>
                <w:sz w:val="18"/>
                <w:szCs w:val="18"/>
                <w:highlight w:val="none"/>
              </w:rPr>
            </w:pPr>
            <w:r>
              <w:rPr>
                <w:rFonts w:hint="eastAsia" w:ascii="宋体" w:hAnsi="宋体" w:eastAsia="宋体" w:cs="Times New Roman"/>
                <w:b/>
                <w:color w:val="auto"/>
                <w:kern w:val="0"/>
                <w:sz w:val="18"/>
                <w:szCs w:val="18"/>
                <w:highlight w:val="none"/>
              </w:rPr>
              <w:t>一</w:t>
            </w:r>
          </w:p>
        </w:tc>
        <w:tc>
          <w:tcPr>
            <w:tcW w:w="3092" w:type="pct"/>
            <w:vAlign w:val="center"/>
          </w:tcPr>
          <w:p w14:paraId="58BFD71A">
            <w:pPr>
              <w:keepNext w:val="0"/>
              <w:keepLines w:val="0"/>
              <w:suppressLineNumbers w:val="0"/>
              <w:autoSpaceDE w:val="0"/>
              <w:autoSpaceDN w:val="0"/>
              <w:spacing w:before="0" w:beforeAutospacing="0" w:after="0" w:afterAutospacing="0"/>
              <w:ind w:left="0" w:right="0"/>
              <w:rPr>
                <w:rFonts w:hint="eastAsia" w:ascii="宋体" w:hAnsi="宋体" w:eastAsia="宋体" w:cs="Times New Roman"/>
                <w:color w:val="auto"/>
                <w:kern w:val="0"/>
                <w:sz w:val="18"/>
                <w:szCs w:val="18"/>
                <w:highlight w:val="none"/>
              </w:rPr>
            </w:pPr>
            <w:r>
              <w:rPr>
                <w:rFonts w:hint="eastAsia" w:ascii="宋体" w:hAnsi="宋体" w:eastAsia="宋体" w:cs="Times New Roman"/>
                <w:color w:val="auto"/>
                <w:kern w:val="0"/>
                <w:sz w:val="18"/>
                <w:szCs w:val="18"/>
                <w:highlight w:val="none"/>
              </w:rPr>
              <w:t>项目概况</w:t>
            </w:r>
          </w:p>
        </w:tc>
        <w:tc>
          <w:tcPr>
            <w:tcW w:w="348" w:type="pct"/>
            <w:vAlign w:val="center"/>
          </w:tcPr>
          <w:p w14:paraId="48051982">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418" w:type="pct"/>
            <w:vAlign w:val="center"/>
          </w:tcPr>
          <w:p w14:paraId="2A3FF33D">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393" w:type="pct"/>
            <w:vAlign w:val="center"/>
          </w:tcPr>
          <w:p w14:paraId="547BB14F">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r>
      <w:tr w14:paraId="0EBF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7" w:type="pct"/>
            <w:vAlign w:val="center"/>
          </w:tcPr>
          <w:p w14:paraId="72761E0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w:t>
            </w:r>
          </w:p>
        </w:tc>
        <w:tc>
          <w:tcPr>
            <w:tcW w:w="459" w:type="pct"/>
            <w:vAlign w:val="center"/>
          </w:tcPr>
          <w:p w14:paraId="03895568">
            <w:pPr>
              <w:keepNext w:val="0"/>
              <w:keepLines w:val="0"/>
              <w:suppressLineNumbers w:val="0"/>
              <w:spacing w:before="0" w:beforeAutospacing="0" w:after="0" w:afterAutospacing="0"/>
              <w:ind w:left="0" w:right="0"/>
              <w:jc w:val="center"/>
              <w:rPr>
                <w:rFonts w:hint="eastAsia" w:ascii="宋体" w:hAnsi="宋体" w:eastAsia="宋体" w:cs="Times New Roman"/>
                <w:color w:val="auto"/>
                <w:kern w:val="0"/>
                <w:sz w:val="18"/>
                <w:szCs w:val="18"/>
                <w:highlight w:val="none"/>
              </w:rPr>
            </w:pPr>
            <w:r>
              <w:rPr>
                <w:rFonts w:hint="eastAsia" w:ascii="宋体" w:hAnsi="宋体" w:eastAsia="宋体" w:cs="Times New Roman"/>
                <w:color w:val="auto"/>
                <w:kern w:val="0"/>
                <w:sz w:val="18"/>
                <w:szCs w:val="18"/>
                <w:highlight w:val="none"/>
              </w:rPr>
              <w:t>二</w:t>
            </w:r>
          </w:p>
        </w:tc>
        <w:tc>
          <w:tcPr>
            <w:tcW w:w="3092" w:type="pct"/>
            <w:vAlign w:val="center"/>
          </w:tcPr>
          <w:p w14:paraId="002E9563">
            <w:pPr>
              <w:keepNext w:val="0"/>
              <w:keepLines w:val="0"/>
              <w:suppressLineNumbers w:val="0"/>
              <w:spacing w:before="0" w:beforeAutospacing="0" w:after="0" w:afterAutospacing="0"/>
              <w:ind w:left="0" w:right="0"/>
              <w:rPr>
                <w:rFonts w:hint="eastAsia" w:ascii="宋体" w:hAnsi="宋体" w:eastAsia="宋体" w:cs="Times New Roman"/>
                <w:color w:val="auto"/>
                <w:sz w:val="18"/>
                <w:szCs w:val="18"/>
                <w:highlight w:val="none"/>
              </w:rPr>
            </w:pPr>
            <w:r>
              <w:rPr>
                <w:rFonts w:hint="eastAsia" w:ascii="宋体" w:hAnsi="宋体" w:eastAsia="宋体" w:cs="Times New Roman"/>
                <w:color w:val="auto"/>
                <w:sz w:val="18"/>
                <w:szCs w:val="18"/>
                <w:highlight w:val="none"/>
              </w:rPr>
              <w:t>服务内容及要求</w:t>
            </w:r>
          </w:p>
        </w:tc>
        <w:tc>
          <w:tcPr>
            <w:tcW w:w="348" w:type="pct"/>
            <w:vAlign w:val="center"/>
          </w:tcPr>
          <w:p w14:paraId="4368A881">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418" w:type="pct"/>
            <w:vAlign w:val="center"/>
          </w:tcPr>
          <w:p w14:paraId="3551C6DF">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393" w:type="pct"/>
            <w:vAlign w:val="center"/>
          </w:tcPr>
          <w:p w14:paraId="1C1944F7">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r>
      <w:tr w14:paraId="61F1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7" w:type="pct"/>
            <w:vAlign w:val="center"/>
          </w:tcPr>
          <w:p w14:paraId="0DABAD7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w:t>
            </w:r>
          </w:p>
        </w:tc>
        <w:tc>
          <w:tcPr>
            <w:tcW w:w="459" w:type="pct"/>
            <w:vAlign w:val="center"/>
          </w:tcPr>
          <w:p w14:paraId="503E1664">
            <w:pPr>
              <w:keepNext w:val="0"/>
              <w:keepLines w:val="0"/>
              <w:suppressLineNumbers w:val="0"/>
              <w:spacing w:before="0" w:beforeAutospacing="0" w:after="0" w:afterAutospacing="0"/>
              <w:ind w:left="0" w:right="0"/>
              <w:jc w:val="center"/>
              <w:rPr>
                <w:rFonts w:hint="eastAsia" w:ascii="宋体" w:hAnsi="宋体" w:eastAsia="宋体"/>
                <w:b/>
                <w:color w:val="auto"/>
                <w:sz w:val="18"/>
                <w:szCs w:val="18"/>
                <w:highlight w:val="none"/>
              </w:rPr>
            </w:pPr>
            <w:r>
              <w:rPr>
                <w:rFonts w:hint="eastAsia" w:ascii="宋体" w:hAnsi="宋体" w:eastAsia="宋体"/>
                <w:b/>
                <w:color w:val="auto"/>
                <w:sz w:val="18"/>
                <w:szCs w:val="18"/>
                <w:highlight w:val="none"/>
              </w:rPr>
              <w:t>三</w:t>
            </w:r>
          </w:p>
        </w:tc>
        <w:tc>
          <w:tcPr>
            <w:tcW w:w="3092" w:type="pct"/>
            <w:vAlign w:val="center"/>
          </w:tcPr>
          <w:p w14:paraId="202F32D2">
            <w:pPr>
              <w:keepNext w:val="0"/>
              <w:keepLines w:val="0"/>
              <w:suppressLineNumbers w:val="0"/>
              <w:spacing w:before="0" w:beforeAutospacing="0" w:after="0" w:afterAutospacing="0"/>
              <w:ind w:left="0" w:right="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其他履约要求</w:t>
            </w:r>
          </w:p>
        </w:tc>
        <w:tc>
          <w:tcPr>
            <w:tcW w:w="348" w:type="pct"/>
            <w:vAlign w:val="center"/>
          </w:tcPr>
          <w:p w14:paraId="04C57C9F">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418" w:type="pct"/>
            <w:vAlign w:val="center"/>
          </w:tcPr>
          <w:p w14:paraId="36FD400A">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393" w:type="pct"/>
            <w:vAlign w:val="center"/>
          </w:tcPr>
          <w:p w14:paraId="16D3D9B0">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r>
      <w:tr w14:paraId="521E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7" w:type="pct"/>
            <w:vAlign w:val="center"/>
          </w:tcPr>
          <w:p w14:paraId="1D996D8A">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w:t>
            </w:r>
          </w:p>
        </w:tc>
        <w:tc>
          <w:tcPr>
            <w:tcW w:w="459" w:type="pct"/>
            <w:vAlign w:val="center"/>
          </w:tcPr>
          <w:p w14:paraId="50841DDD">
            <w:pPr>
              <w:keepNext w:val="0"/>
              <w:keepLines w:val="0"/>
              <w:suppressLineNumbers w:val="0"/>
              <w:spacing w:before="0" w:beforeAutospacing="0" w:after="0" w:afterAutospacing="0"/>
              <w:ind w:left="0" w:right="0"/>
              <w:jc w:val="center"/>
              <w:rPr>
                <w:rFonts w:hint="eastAsia" w:ascii="宋体" w:hAnsi="宋体" w:eastAsia="宋体"/>
                <w:b/>
                <w:color w:val="auto"/>
                <w:sz w:val="18"/>
                <w:szCs w:val="18"/>
                <w:highlight w:val="none"/>
              </w:rPr>
            </w:pPr>
            <w:r>
              <w:rPr>
                <w:rFonts w:hint="eastAsia" w:ascii="宋体" w:hAnsi="宋体" w:eastAsia="宋体"/>
                <w:bCs/>
                <w:color w:val="auto"/>
                <w:sz w:val="18"/>
                <w:szCs w:val="18"/>
                <w:highlight w:val="none"/>
              </w:rPr>
              <w:t>四</w:t>
            </w:r>
          </w:p>
        </w:tc>
        <w:tc>
          <w:tcPr>
            <w:tcW w:w="3092" w:type="pct"/>
            <w:vAlign w:val="center"/>
          </w:tcPr>
          <w:p w14:paraId="749B74E9">
            <w:pPr>
              <w:keepNext w:val="0"/>
              <w:keepLines w:val="0"/>
              <w:suppressLineNumbers w:val="0"/>
              <w:spacing w:before="0" w:beforeAutospacing="0" w:after="0" w:afterAutospacing="0"/>
              <w:ind w:left="0" w:right="0"/>
              <w:rPr>
                <w:rFonts w:hint="eastAsia" w:ascii="宋体" w:hAnsi="宋体" w:eastAsia="宋体"/>
                <w:color w:val="auto"/>
                <w:sz w:val="18"/>
                <w:szCs w:val="18"/>
                <w:highlight w:val="none"/>
              </w:rPr>
            </w:pPr>
            <w:r>
              <w:rPr>
                <w:rFonts w:hint="eastAsia" w:ascii="宋体" w:hAnsi="宋体" w:eastAsia="宋体"/>
                <w:color w:val="auto"/>
                <w:sz w:val="18"/>
                <w:szCs w:val="18"/>
                <w:highlight w:val="none"/>
                <w:lang w:val="en-US" w:eastAsia="zh-CN"/>
              </w:rPr>
              <w:t>派单原则</w:t>
            </w:r>
          </w:p>
        </w:tc>
        <w:tc>
          <w:tcPr>
            <w:tcW w:w="348" w:type="pct"/>
            <w:vAlign w:val="center"/>
          </w:tcPr>
          <w:p w14:paraId="72FE4863">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418" w:type="pct"/>
            <w:vAlign w:val="center"/>
          </w:tcPr>
          <w:p w14:paraId="48E2BEDA">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393" w:type="pct"/>
            <w:vAlign w:val="center"/>
          </w:tcPr>
          <w:p w14:paraId="1F5EFB7A">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r>
      <w:tr w14:paraId="3751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7" w:type="pct"/>
            <w:vAlign w:val="center"/>
          </w:tcPr>
          <w:p w14:paraId="5D0E968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5</w:t>
            </w:r>
          </w:p>
        </w:tc>
        <w:tc>
          <w:tcPr>
            <w:tcW w:w="459" w:type="pct"/>
            <w:vAlign w:val="center"/>
          </w:tcPr>
          <w:p w14:paraId="34DEDF57">
            <w:pPr>
              <w:keepNext w:val="0"/>
              <w:keepLines w:val="0"/>
              <w:suppressLineNumbers w:val="0"/>
              <w:spacing w:before="0" w:beforeAutospacing="0" w:after="0" w:afterAutospacing="0"/>
              <w:ind w:left="0" w:right="0"/>
              <w:jc w:val="center"/>
              <w:rPr>
                <w:rFonts w:hint="eastAsia" w:ascii="宋体" w:hAnsi="宋体" w:eastAsia="宋体"/>
                <w:bCs/>
                <w:color w:val="auto"/>
                <w:sz w:val="18"/>
                <w:szCs w:val="18"/>
                <w:highlight w:val="none"/>
                <w:lang w:val="en-US" w:eastAsia="zh-CN"/>
              </w:rPr>
            </w:pPr>
            <w:r>
              <w:rPr>
                <w:rFonts w:hint="eastAsia" w:ascii="宋体" w:hAnsi="宋体" w:eastAsia="宋体"/>
                <w:bCs/>
                <w:color w:val="auto"/>
                <w:sz w:val="18"/>
                <w:szCs w:val="18"/>
                <w:highlight w:val="none"/>
                <w:lang w:val="en-US" w:eastAsia="zh-CN"/>
              </w:rPr>
              <w:t>五</w:t>
            </w:r>
          </w:p>
        </w:tc>
        <w:tc>
          <w:tcPr>
            <w:tcW w:w="3092" w:type="pct"/>
            <w:vAlign w:val="center"/>
          </w:tcPr>
          <w:p w14:paraId="008A0257">
            <w:pPr>
              <w:keepNext w:val="0"/>
              <w:keepLines w:val="0"/>
              <w:suppressLineNumbers w:val="0"/>
              <w:spacing w:before="0" w:beforeAutospacing="0" w:after="0" w:afterAutospacing="0"/>
              <w:ind w:left="0" w:right="0"/>
              <w:rPr>
                <w:rFonts w:hint="eastAsia" w:ascii="宋体" w:hAnsi="宋体" w:eastAsia="宋体"/>
                <w:color w:val="auto"/>
                <w:sz w:val="18"/>
                <w:szCs w:val="18"/>
                <w:highlight w:val="none"/>
                <w:lang w:val="en-US" w:eastAsia="zh-CN"/>
              </w:rPr>
            </w:pPr>
            <w:r>
              <w:rPr>
                <w:rFonts w:hint="eastAsia" w:ascii="宋体" w:hAnsi="宋体" w:eastAsia="宋体"/>
                <w:color w:val="auto"/>
                <w:sz w:val="18"/>
                <w:szCs w:val="18"/>
                <w:highlight w:val="none"/>
                <w:lang w:val="en-US" w:eastAsia="zh-CN"/>
              </w:rPr>
              <w:t>结算及付款方式</w:t>
            </w:r>
          </w:p>
        </w:tc>
        <w:tc>
          <w:tcPr>
            <w:tcW w:w="348" w:type="pct"/>
            <w:vAlign w:val="center"/>
          </w:tcPr>
          <w:p w14:paraId="76CCE8D6">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418" w:type="pct"/>
            <w:vAlign w:val="center"/>
          </w:tcPr>
          <w:p w14:paraId="4F048E21">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393" w:type="pct"/>
            <w:vAlign w:val="center"/>
          </w:tcPr>
          <w:p w14:paraId="60B0127C">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r>
      <w:tr w14:paraId="5646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7" w:type="pct"/>
            <w:vAlign w:val="center"/>
          </w:tcPr>
          <w:p w14:paraId="41A1D4B2">
            <w:pPr>
              <w:keepNext w:val="0"/>
              <w:keepLines w:val="0"/>
              <w:suppressLineNumbers w:val="0"/>
              <w:spacing w:before="0" w:beforeAutospacing="0" w:after="0" w:afterAutospacing="0"/>
              <w:ind w:left="0" w:right="0"/>
              <w:jc w:val="center"/>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6</w:t>
            </w:r>
          </w:p>
        </w:tc>
        <w:tc>
          <w:tcPr>
            <w:tcW w:w="459" w:type="pct"/>
            <w:vAlign w:val="center"/>
          </w:tcPr>
          <w:p w14:paraId="23394480">
            <w:pPr>
              <w:keepNext w:val="0"/>
              <w:keepLines w:val="0"/>
              <w:suppressLineNumbers w:val="0"/>
              <w:spacing w:before="0" w:beforeAutospacing="0" w:after="0" w:afterAutospacing="0"/>
              <w:ind w:left="0" w:right="0"/>
              <w:jc w:val="center"/>
              <w:rPr>
                <w:rFonts w:hint="default" w:ascii="宋体" w:hAnsi="宋体" w:eastAsia="宋体"/>
                <w:bCs/>
                <w:color w:val="auto"/>
                <w:sz w:val="18"/>
                <w:szCs w:val="18"/>
                <w:highlight w:val="none"/>
                <w:lang w:val="en-US" w:eastAsia="zh-CN"/>
              </w:rPr>
            </w:pPr>
            <w:r>
              <w:rPr>
                <w:rFonts w:hint="eastAsia" w:ascii="宋体" w:hAnsi="宋体" w:eastAsia="宋体"/>
                <w:bCs/>
                <w:color w:val="auto"/>
                <w:sz w:val="18"/>
                <w:szCs w:val="18"/>
                <w:highlight w:val="none"/>
                <w:lang w:val="en-US" w:eastAsia="zh-CN"/>
              </w:rPr>
              <w:t>六</w:t>
            </w:r>
          </w:p>
        </w:tc>
        <w:tc>
          <w:tcPr>
            <w:tcW w:w="3092" w:type="pct"/>
            <w:vAlign w:val="center"/>
          </w:tcPr>
          <w:p w14:paraId="4BDDCD4A">
            <w:pPr>
              <w:keepNext w:val="0"/>
              <w:keepLines w:val="0"/>
              <w:suppressLineNumbers w:val="0"/>
              <w:spacing w:before="0" w:beforeAutospacing="0" w:after="0" w:afterAutospacing="0"/>
              <w:ind w:left="0" w:right="0"/>
              <w:rPr>
                <w:rFonts w:hint="default" w:ascii="宋体" w:hAnsi="宋体" w:eastAsia="宋体"/>
                <w:color w:val="auto"/>
                <w:sz w:val="18"/>
                <w:szCs w:val="18"/>
                <w:highlight w:val="none"/>
                <w:lang w:val="en-US" w:eastAsia="zh-CN"/>
              </w:rPr>
            </w:pPr>
            <w:r>
              <w:rPr>
                <w:rFonts w:hint="eastAsia" w:ascii="宋体" w:hAnsi="宋体" w:eastAsia="宋体"/>
                <w:color w:val="auto"/>
                <w:sz w:val="18"/>
                <w:szCs w:val="18"/>
                <w:highlight w:val="none"/>
                <w:lang w:val="en-US" w:eastAsia="zh-CN"/>
              </w:rPr>
              <w:t>履约保证金</w:t>
            </w:r>
          </w:p>
        </w:tc>
        <w:tc>
          <w:tcPr>
            <w:tcW w:w="348" w:type="pct"/>
            <w:vAlign w:val="center"/>
          </w:tcPr>
          <w:p w14:paraId="5C2B631A">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418" w:type="pct"/>
            <w:vAlign w:val="center"/>
          </w:tcPr>
          <w:p w14:paraId="2FBC14FD">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393" w:type="pct"/>
            <w:vAlign w:val="center"/>
          </w:tcPr>
          <w:p w14:paraId="7CD0897D">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r>
      <w:tr w14:paraId="19C5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7" w:type="pct"/>
            <w:vAlign w:val="center"/>
          </w:tcPr>
          <w:p w14:paraId="0B4B18C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lang w:val="en-US" w:eastAsia="zh-CN"/>
              </w:rPr>
              <w:t>7</w:t>
            </w:r>
          </w:p>
        </w:tc>
        <w:tc>
          <w:tcPr>
            <w:tcW w:w="459" w:type="pct"/>
            <w:vAlign w:val="center"/>
          </w:tcPr>
          <w:p w14:paraId="0FBA1651">
            <w:pPr>
              <w:keepNext w:val="0"/>
              <w:keepLines w:val="0"/>
              <w:suppressLineNumbers w:val="0"/>
              <w:spacing w:before="0" w:beforeAutospacing="0" w:after="0" w:afterAutospacing="0"/>
              <w:ind w:left="0" w:right="0"/>
              <w:jc w:val="center"/>
              <w:rPr>
                <w:rFonts w:hint="eastAsia" w:ascii="宋体" w:hAnsi="宋体" w:eastAsia="宋体" w:cs="Times New Roman"/>
                <w:color w:val="auto"/>
                <w:kern w:val="0"/>
                <w:sz w:val="18"/>
                <w:szCs w:val="18"/>
                <w:highlight w:val="none"/>
                <w:lang w:eastAsia="zh-CN"/>
              </w:rPr>
            </w:pPr>
            <w:r>
              <w:rPr>
                <w:rFonts w:hint="eastAsia" w:ascii="宋体" w:hAnsi="宋体" w:eastAsia="宋体" w:cs="Times New Roman"/>
                <w:color w:val="auto"/>
                <w:kern w:val="0"/>
                <w:sz w:val="18"/>
                <w:szCs w:val="18"/>
                <w:highlight w:val="none"/>
                <w:lang w:val="en-US" w:eastAsia="zh-CN"/>
              </w:rPr>
              <w:t>七</w:t>
            </w:r>
          </w:p>
        </w:tc>
        <w:tc>
          <w:tcPr>
            <w:tcW w:w="3092" w:type="pct"/>
            <w:vAlign w:val="center"/>
          </w:tcPr>
          <w:p w14:paraId="2D3B400B">
            <w:pPr>
              <w:keepNext w:val="0"/>
              <w:keepLines w:val="0"/>
              <w:suppressLineNumbers w:val="0"/>
              <w:spacing w:before="0" w:beforeAutospacing="0" w:after="0" w:afterAutospacing="0"/>
              <w:ind w:left="0" w:right="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中标人考核</w:t>
            </w:r>
          </w:p>
        </w:tc>
        <w:tc>
          <w:tcPr>
            <w:tcW w:w="348" w:type="pct"/>
            <w:vAlign w:val="center"/>
          </w:tcPr>
          <w:p w14:paraId="6E0383A0">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418" w:type="pct"/>
            <w:vAlign w:val="center"/>
          </w:tcPr>
          <w:p w14:paraId="468F1B0F">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393" w:type="pct"/>
            <w:vAlign w:val="center"/>
          </w:tcPr>
          <w:p w14:paraId="5B0728A6">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r>
      <w:tr w14:paraId="0DDB5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7" w:type="pct"/>
            <w:vAlign w:val="center"/>
          </w:tcPr>
          <w:p w14:paraId="1A801E16">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lang w:val="en-US" w:eastAsia="zh-CN"/>
              </w:rPr>
            </w:pPr>
            <w:bookmarkStart w:id="759" w:name="_Toc2269"/>
            <w:r>
              <w:rPr>
                <w:rFonts w:hint="eastAsia" w:ascii="宋体" w:hAnsi="宋体" w:eastAsia="宋体" w:cs="宋体"/>
                <w:color w:val="auto"/>
                <w:kern w:val="0"/>
                <w:sz w:val="18"/>
                <w:szCs w:val="18"/>
                <w:highlight w:val="none"/>
                <w:lang w:val="en-US" w:eastAsia="zh-CN"/>
              </w:rPr>
              <w:t>8</w:t>
            </w:r>
          </w:p>
        </w:tc>
        <w:tc>
          <w:tcPr>
            <w:tcW w:w="459" w:type="pct"/>
            <w:vAlign w:val="center"/>
          </w:tcPr>
          <w:p w14:paraId="486F881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 w:val="18"/>
                <w:szCs w:val="18"/>
                <w:highlight w:val="none"/>
                <w:lang w:val="en-US" w:eastAsia="zh-CN"/>
              </w:rPr>
            </w:pPr>
            <w:r>
              <w:rPr>
                <w:rFonts w:hint="eastAsia" w:ascii="宋体" w:hAnsi="宋体" w:eastAsia="宋体" w:cs="Times New Roman"/>
                <w:color w:val="auto"/>
                <w:kern w:val="0"/>
                <w:sz w:val="18"/>
                <w:szCs w:val="18"/>
                <w:highlight w:val="none"/>
                <w:lang w:val="en-US" w:eastAsia="zh-CN"/>
              </w:rPr>
              <w:t>附件1</w:t>
            </w:r>
          </w:p>
        </w:tc>
        <w:tc>
          <w:tcPr>
            <w:tcW w:w="3092" w:type="pct"/>
            <w:vAlign w:val="center"/>
          </w:tcPr>
          <w:p w14:paraId="76739AE1">
            <w:pPr>
              <w:keepNext w:val="0"/>
              <w:keepLines w:val="0"/>
              <w:suppressLineNumbers w:val="0"/>
              <w:spacing w:before="0" w:beforeAutospacing="0" w:after="0" w:afterAutospacing="0"/>
              <w:ind w:left="0" w:right="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东莞市碧水信息科技有限公司施工劳务分包业务委派工作指引</w:t>
            </w:r>
          </w:p>
        </w:tc>
        <w:tc>
          <w:tcPr>
            <w:tcW w:w="348" w:type="pct"/>
            <w:vAlign w:val="center"/>
          </w:tcPr>
          <w:p w14:paraId="19FAC780">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418" w:type="pct"/>
            <w:vAlign w:val="center"/>
          </w:tcPr>
          <w:p w14:paraId="53C262C4">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393" w:type="pct"/>
            <w:vAlign w:val="center"/>
          </w:tcPr>
          <w:p w14:paraId="3D864EAC">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r>
      <w:tr w14:paraId="4341D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vAlign w:val="center"/>
          </w:tcPr>
          <w:p w14:paraId="4448ACED">
            <w:pPr>
              <w:keepNext/>
              <w:keepLines/>
              <w:suppressLineNumbers w:val="0"/>
              <w:spacing w:before="0" w:beforeAutospacing="0" w:after="0" w:afterAutospacing="0"/>
              <w:ind w:left="0" w:right="0"/>
              <w:outlineLvl w:val="2"/>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用户需求书“★”条款汇总</w:t>
            </w:r>
            <w:bookmarkEnd w:id="759"/>
          </w:p>
        </w:tc>
      </w:tr>
      <w:tr w14:paraId="0B03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7" w:type="pct"/>
            <w:vAlign w:val="center"/>
          </w:tcPr>
          <w:p w14:paraId="2DEB4584">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w:t>
            </w:r>
          </w:p>
        </w:tc>
        <w:tc>
          <w:tcPr>
            <w:tcW w:w="459" w:type="pct"/>
            <w:vAlign w:val="center"/>
          </w:tcPr>
          <w:p w14:paraId="208FACE5">
            <w:pPr>
              <w:keepNext w:val="0"/>
              <w:keepLines w:val="0"/>
              <w:suppressLineNumbers w:val="0"/>
              <w:spacing w:before="0" w:beforeAutospacing="0" w:after="0" w:afterAutospacing="0"/>
              <w:ind w:left="0" w:right="0"/>
              <w:jc w:val="center"/>
              <w:rPr>
                <w:rFonts w:hint="eastAsia" w:ascii="宋体" w:hAnsi="宋体" w:eastAsia="宋体" w:cs="Times New Roman"/>
                <w:color w:val="auto"/>
                <w:kern w:val="0"/>
                <w:sz w:val="18"/>
                <w:szCs w:val="18"/>
                <w:highlight w:val="none"/>
                <w:lang w:eastAsia="zh-CN"/>
              </w:rPr>
            </w:pPr>
            <w:r>
              <w:rPr>
                <w:rFonts w:hint="eastAsia" w:ascii="宋体" w:hAnsi="宋体" w:eastAsia="宋体" w:cs="Times New Roman"/>
                <w:color w:val="auto"/>
                <w:kern w:val="0"/>
                <w:sz w:val="18"/>
                <w:szCs w:val="18"/>
                <w:highlight w:val="none"/>
                <w:lang w:val="en-US" w:eastAsia="zh-CN"/>
              </w:rPr>
              <w:t>三</w:t>
            </w:r>
          </w:p>
        </w:tc>
        <w:tc>
          <w:tcPr>
            <w:tcW w:w="3092" w:type="pct"/>
            <w:vAlign w:val="center"/>
          </w:tcPr>
          <w:p w14:paraId="5D63BDF5">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（一）人员要求</w:t>
            </w:r>
          </w:p>
          <w:p w14:paraId="0A86D1C9">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★1、中标人的驻点须配备足够的项目管理人员及各类工种的施工人员（要求年龄在18周岁以上，男性不能超过55岁、女性不能超过50岁），最低人员配置标准如下：</w:t>
            </w:r>
          </w:p>
          <w:p w14:paraId="193A2EEC">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（1）5名项目管理人员：</w:t>
            </w:r>
          </w:p>
          <w:p w14:paraId="6EA56A00">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①项目负责人1名，具备工程类中级或以上工程师职称证书；</w:t>
            </w:r>
          </w:p>
          <w:p w14:paraId="4460A804">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②技术负责人1名；</w:t>
            </w:r>
          </w:p>
          <w:p w14:paraId="01ACD1B6">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③安全负责人1名，具备专职安全生产管理人员安全生产考核合格证书（“建安C”类证）；</w:t>
            </w:r>
          </w:p>
          <w:p w14:paraId="28623A62">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④质量负责人1名；</w:t>
            </w:r>
          </w:p>
          <w:p w14:paraId="7A5E96D8">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⑤资料负责人1名，具备资料员上岗证；</w:t>
            </w:r>
          </w:p>
          <w:p w14:paraId="0905BCD5">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注：以上人员须提供以下证明材料原件扫描件：①人员身份证；②职称证书（如有）、安全生产考核合格证书（“建安C”类证）（如有）、资料员上岗证（如有）；③社会保障部门出具</w:t>
            </w:r>
            <w:r>
              <w:rPr>
                <w:rFonts w:hint="eastAsia" w:ascii="宋体" w:hAnsi="宋体" w:eastAsia="宋体"/>
                <w:b/>
                <w:bCs/>
                <w:color w:val="auto"/>
                <w:sz w:val="18"/>
                <w:szCs w:val="18"/>
                <w:highlight w:val="none"/>
                <w:lang w:val="en-US" w:eastAsia="zh-CN"/>
              </w:rPr>
              <w:t>的</w:t>
            </w:r>
            <w:r>
              <w:rPr>
                <w:rFonts w:hint="eastAsia" w:ascii="宋体" w:hAnsi="宋体" w:eastAsia="宋体"/>
                <w:b/>
                <w:bCs/>
                <w:color w:val="auto"/>
                <w:sz w:val="18"/>
                <w:szCs w:val="18"/>
                <w:highlight w:val="none"/>
              </w:rPr>
              <w:t>开标当月在投标人单位缴纳社保的证明材料，或开标当月前一个月在投标人单位缴纳社保的证明材料及相关人员与投标人签订的劳动合同。</w:t>
            </w:r>
          </w:p>
          <w:p w14:paraId="5CF72D49">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（2）10名劳务工：</w:t>
            </w:r>
          </w:p>
          <w:p w14:paraId="7BACCF48">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如：焊工、电工、砌筑工、混凝土工、钢筋工、木工（模版工）、工程机械操作员等工种共10人，其中：</w:t>
            </w:r>
          </w:p>
          <w:p w14:paraId="0BEFDC6D">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2名焊工应持有住房和城乡建设部门或住房和城乡建设部门委托的考核机构颁发的《建筑施工特种作业操作资格证》（操作类别：建筑焊工），或应急管理部门颁发的《特种作业操作证》（作业类别：焊接与热切割作业）；上述证书需在官方指定的合法的、合规的平台上可查询；</w:t>
            </w:r>
          </w:p>
          <w:p w14:paraId="05F14406">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1名电工应持有住房和城乡建设部门或住房和城乡建设部门委托的考核机构颁发的《建筑施工特种作业操作资格证》（操作类别：建筑电工），或应急管理部门颁发的《特种作业操作证》（作业类别：电工作业）；上述证书需在官方指定的合法的、合规的平台上可查询；</w:t>
            </w:r>
          </w:p>
          <w:p w14:paraId="4FE033CE">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1名工程机械操作员应持有挖掘机操作证。</w:t>
            </w:r>
          </w:p>
          <w:p w14:paraId="1C0D0778">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注：以上10名劳务工须提供以下证明材料原件扫描件：①人员身份证；②建筑施工特种作业操作资格证及证书查询截图（如有）、特种作业操作证及证书查询截图（如有）、挖掘机操作证（如有）；③上述劳务工与投标人签订的劳动合同。</w:t>
            </w:r>
          </w:p>
          <w:p w14:paraId="2F7D89D3">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3）上述5名项目管理人员及10名劳务工须在中标后向招标人或其下属企业实名制报备；其中，中标人应在签订合同前向招标人或其下属企业提供上述10名劳务工的2025年身体健康检查合格报告，如发现身体检查不合格的，中标人应按投标文件中承诺的同等条件更换相应劳务工。</w:t>
            </w:r>
          </w:p>
        </w:tc>
        <w:tc>
          <w:tcPr>
            <w:tcW w:w="348" w:type="pct"/>
            <w:vAlign w:val="center"/>
          </w:tcPr>
          <w:p w14:paraId="155152D9">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p>
        </w:tc>
        <w:tc>
          <w:tcPr>
            <w:tcW w:w="418" w:type="pct"/>
            <w:vAlign w:val="center"/>
          </w:tcPr>
          <w:p w14:paraId="32084B71">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p>
        </w:tc>
        <w:tc>
          <w:tcPr>
            <w:tcW w:w="393" w:type="pct"/>
            <w:vAlign w:val="center"/>
          </w:tcPr>
          <w:p w14:paraId="0D8F5A8E">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p>
        </w:tc>
      </w:tr>
      <w:tr w14:paraId="62ED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7" w:type="pct"/>
            <w:vAlign w:val="center"/>
          </w:tcPr>
          <w:p w14:paraId="24B9C17C">
            <w:pPr>
              <w:keepNext w:val="0"/>
              <w:keepLines w:val="0"/>
              <w:suppressLineNumbers w:val="0"/>
              <w:spacing w:before="0" w:beforeAutospacing="0" w:after="0" w:afterAutospacing="0"/>
              <w:ind w:left="0" w:right="0"/>
              <w:jc w:val="center"/>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w:t>
            </w:r>
          </w:p>
        </w:tc>
        <w:tc>
          <w:tcPr>
            <w:tcW w:w="459" w:type="pct"/>
            <w:vAlign w:val="center"/>
          </w:tcPr>
          <w:p w14:paraId="2B3FA043">
            <w:pPr>
              <w:keepNext w:val="0"/>
              <w:keepLines w:val="0"/>
              <w:suppressLineNumbers w:val="0"/>
              <w:spacing w:before="0" w:beforeAutospacing="0" w:after="0" w:afterAutospacing="0"/>
              <w:ind w:left="0" w:right="0"/>
              <w:jc w:val="center"/>
              <w:rPr>
                <w:rFonts w:hint="eastAsia" w:ascii="宋体" w:hAnsi="宋体" w:eastAsia="宋体" w:cs="Times New Roman"/>
                <w:color w:val="auto"/>
                <w:kern w:val="0"/>
                <w:sz w:val="18"/>
                <w:szCs w:val="18"/>
                <w:highlight w:val="none"/>
                <w:lang w:val="en-US" w:eastAsia="zh-CN"/>
              </w:rPr>
            </w:pPr>
            <w:r>
              <w:rPr>
                <w:rFonts w:hint="eastAsia" w:ascii="宋体" w:hAnsi="宋体" w:eastAsia="宋体" w:cs="Times New Roman"/>
                <w:color w:val="auto"/>
                <w:kern w:val="0"/>
                <w:sz w:val="18"/>
                <w:szCs w:val="18"/>
                <w:highlight w:val="none"/>
                <w:lang w:val="en-US" w:eastAsia="zh-CN"/>
              </w:rPr>
              <w:t>三</w:t>
            </w:r>
          </w:p>
        </w:tc>
        <w:tc>
          <w:tcPr>
            <w:tcW w:w="3092" w:type="pct"/>
            <w:vAlign w:val="center"/>
          </w:tcPr>
          <w:p w14:paraId="3E2B4789">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（二）机械设备配置要求</w:t>
            </w:r>
          </w:p>
          <w:p w14:paraId="67FE6DF9">
            <w:pPr>
              <w:keepNext w:val="0"/>
              <w:keepLines w:val="0"/>
              <w:suppressLineNumbers w:val="0"/>
              <w:spacing w:before="0" w:beforeAutospacing="0" w:after="0" w:afterAutospacing="0" w:line="360" w:lineRule="auto"/>
              <w:ind w:left="0" w:right="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★（1）中标人应为本项目同时投入1台挖掘机、1台抢修用的发电车</w:t>
            </w:r>
            <w:r>
              <w:rPr>
                <w:rFonts w:hint="eastAsia" w:ascii="宋体" w:hAnsi="宋体" w:eastAsia="宋体"/>
                <w:b/>
                <w:bCs/>
                <w:color w:val="auto"/>
                <w:sz w:val="18"/>
                <w:szCs w:val="18"/>
                <w:highlight w:val="none"/>
              </w:rPr>
              <w:t>或移动发电设备</w:t>
            </w:r>
            <w:r>
              <w:rPr>
                <w:rFonts w:hint="eastAsia" w:ascii="宋体" w:hAnsi="宋体" w:eastAsia="宋体"/>
                <w:b/>
                <w:bCs/>
                <w:color w:val="auto"/>
                <w:sz w:val="18"/>
                <w:szCs w:val="18"/>
                <w:highlight w:val="none"/>
              </w:rPr>
              <w:t>（发电机功率不少于30kw）、1台潜污泵（流量参数不少于1000立方米每小时）作为本项目的基础机械设备配置。</w:t>
            </w:r>
          </w:p>
          <w:p w14:paraId="54AF86A9">
            <w:pPr>
              <w:keepNext w:val="0"/>
              <w:keepLines w:val="0"/>
              <w:suppressLineNumbers w:val="0"/>
              <w:spacing w:before="0" w:beforeAutospacing="0" w:after="0" w:afterAutospacing="0" w:line="360" w:lineRule="auto"/>
              <w:ind w:left="0" w:right="0"/>
              <w:rPr>
                <w:rFonts w:hint="eastAsia"/>
                <w:color w:val="auto"/>
                <w:highlight w:val="none"/>
              </w:rPr>
            </w:pPr>
            <w:r>
              <w:rPr>
                <w:rFonts w:hint="eastAsia" w:ascii="宋体" w:hAnsi="宋体" w:eastAsia="宋体"/>
                <w:b/>
                <w:bCs/>
                <w:color w:val="auto"/>
                <w:sz w:val="18"/>
                <w:szCs w:val="18"/>
                <w:highlight w:val="none"/>
              </w:rPr>
              <w:t>注：①上述设备为投标人自有时，须提供相关设备的照片及设备购买发票原件扫描件；上述设备为投标人租赁时，须提供相关设备的照片及设备租赁合同原件扫描件。②抢修用的发电车</w:t>
            </w:r>
            <w:r>
              <w:rPr>
                <w:rFonts w:hint="eastAsia" w:ascii="宋体" w:hAnsi="宋体" w:eastAsia="宋体"/>
                <w:b/>
                <w:bCs/>
                <w:color w:val="auto"/>
                <w:sz w:val="18"/>
                <w:szCs w:val="18"/>
                <w:highlight w:val="none"/>
              </w:rPr>
              <w:t>或移动发电设备</w:t>
            </w:r>
            <w:r>
              <w:rPr>
                <w:rFonts w:hint="eastAsia" w:ascii="宋体" w:hAnsi="宋体" w:eastAsia="宋体"/>
                <w:b/>
                <w:bCs/>
                <w:color w:val="auto"/>
                <w:sz w:val="18"/>
                <w:szCs w:val="18"/>
                <w:highlight w:val="none"/>
              </w:rPr>
              <w:t>、潜污泵须提供铭牌或出厂合格证或产品说明书等参数证明材料。</w:t>
            </w:r>
          </w:p>
        </w:tc>
        <w:tc>
          <w:tcPr>
            <w:tcW w:w="348" w:type="pct"/>
            <w:vAlign w:val="center"/>
          </w:tcPr>
          <w:p w14:paraId="1D4A3D79">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p>
        </w:tc>
        <w:tc>
          <w:tcPr>
            <w:tcW w:w="418" w:type="pct"/>
            <w:vAlign w:val="center"/>
          </w:tcPr>
          <w:p w14:paraId="146BD090">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p>
        </w:tc>
        <w:tc>
          <w:tcPr>
            <w:tcW w:w="393" w:type="pct"/>
            <w:vAlign w:val="center"/>
          </w:tcPr>
          <w:p w14:paraId="5909997E">
            <w:pPr>
              <w:keepNext w:val="0"/>
              <w:keepLines w:val="0"/>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p>
        </w:tc>
      </w:tr>
      <w:tr w14:paraId="77F5F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7" w:type="pct"/>
            <w:vAlign w:val="center"/>
          </w:tcPr>
          <w:p w14:paraId="7C1AD653">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w:t>
            </w:r>
          </w:p>
        </w:tc>
        <w:tc>
          <w:tcPr>
            <w:tcW w:w="459" w:type="pct"/>
            <w:vAlign w:val="center"/>
          </w:tcPr>
          <w:p w14:paraId="35A4DBD1">
            <w:pPr>
              <w:keepNext w:val="0"/>
              <w:keepLines w:val="0"/>
              <w:suppressLineNumbers w:val="0"/>
              <w:spacing w:before="0" w:beforeAutospacing="0" w:after="0" w:afterAutospacing="0"/>
              <w:ind w:left="0" w:right="0"/>
              <w:jc w:val="center"/>
              <w:rPr>
                <w:rFonts w:hint="eastAsia" w:ascii="宋体" w:hAnsi="宋体" w:eastAsia="宋体" w:cs="Times New Roman"/>
                <w:color w:val="auto"/>
                <w:kern w:val="0"/>
                <w:sz w:val="18"/>
                <w:szCs w:val="18"/>
                <w:highlight w:val="none"/>
                <w:lang w:val="en-US" w:eastAsia="zh-CN"/>
              </w:rPr>
            </w:pPr>
            <w:r>
              <w:rPr>
                <w:rFonts w:hint="eastAsia" w:ascii="宋体" w:hAnsi="宋体" w:eastAsia="宋体" w:cs="Times New Roman"/>
                <w:color w:val="auto"/>
                <w:kern w:val="0"/>
                <w:sz w:val="18"/>
                <w:szCs w:val="18"/>
                <w:highlight w:val="none"/>
                <w:lang w:val="en-US" w:eastAsia="zh-CN"/>
              </w:rPr>
              <w:t>三</w:t>
            </w:r>
          </w:p>
        </w:tc>
        <w:tc>
          <w:tcPr>
            <w:tcW w:w="3092" w:type="pct"/>
            <w:vAlign w:val="center"/>
          </w:tcPr>
          <w:p w14:paraId="1700D531">
            <w:pPr>
              <w:keepNext w:val="0"/>
              <w:keepLines w:val="0"/>
              <w:numPr>
                <w:ilvl w:val="0"/>
                <w:numId w:val="0"/>
              </w:numPr>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cstheme="minorBidi"/>
                <w:b/>
                <w:bCs/>
                <w:color w:val="auto"/>
                <w:kern w:val="2"/>
                <w:sz w:val="18"/>
                <w:szCs w:val="18"/>
                <w:highlight w:val="none"/>
                <w:lang w:val="en-US" w:eastAsia="zh-CN" w:bidi="ar-SA"/>
              </w:rPr>
              <w:t>（三）</w:t>
            </w:r>
            <w:r>
              <w:rPr>
                <w:rFonts w:hint="eastAsia" w:ascii="宋体" w:hAnsi="宋体" w:eastAsia="宋体"/>
                <w:b/>
                <w:bCs/>
                <w:color w:val="auto"/>
                <w:sz w:val="18"/>
                <w:szCs w:val="18"/>
                <w:highlight w:val="none"/>
              </w:rPr>
              <w:t>驻地要求</w:t>
            </w:r>
          </w:p>
          <w:p w14:paraId="7DCBA9C6">
            <w:pPr>
              <w:keepNext w:val="0"/>
              <w:keepLines w:val="0"/>
              <w:numPr>
                <w:ilvl w:val="0"/>
                <w:numId w:val="0"/>
              </w:numPr>
              <w:suppressLineNumbers w:val="0"/>
              <w:spacing w:before="0" w:beforeAutospacing="0" w:after="0" w:afterAutospacing="0" w:line="360" w:lineRule="auto"/>
              <w:ind w:left="0" w:right="0" w:firstLine="0" w:firstLineChars="0"/>
              <w:rPr>
                <w:rFonts w:hint="eastAsia" w:ascii="宋体" w:hAnsi="宋体" w:eastAsia="宋体"/>
                <w:color w:val="auto"/>
                <w:sz w:val="18"/>
                <w:szCs w:val="18"/>
                <w:highlight w:val="none"/>
              </w:rPr>
            </w:pPr>
            <w:r>
              <w:rPr>
                <w:rFonts w:hint="eastAsia" w:ascii="宋体" w:hAnsi="宋体" w:eastAsia="宋体"/>
                <w:b/>
                <w:bCs/>
                <w:color w:val="auto"/>
                <w:sz w:val="18"/>
                <w:szCs w:val="18"/>
                <w:highlight w:val="none"/>
              </w:rPr>
              <w:t>★3、中标人应在合同签订后1个月内设立满足前述要求的办公场所及仓储场地（注：须按第五篇投标文件格式 第二部分 技术标格式 用户需求偏离表所附承诺书格式要求提供承诺书）。</w:t>
            </w:r>
          </w:p>
        </w:tc>
        <w:tc>
          <w:tcPr>
            <w:tcW w:w="348" w:type="pct"/>
            <w:vAlign w:val="center"/>
          </w:tcPr>
          <w:p w14:paraId="6EF9EF53">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418" w:type="pct"/>
            <w:vAlign w:val="center"/>
          </w:tcPr>
          <w:p w14:paraId="3B177021">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393" w:type="pct"/>
            <w:vAlign w:val="center"/>
          </w:tcPr>
          <w:p w14:paraId="777AB83F">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r>
      <w:tr w14:paraId="78F1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7" w:type="pct"/>
            <w:vAlign w:val="center"/>
          </w:tcPr>
          <w:p w14:paraId="0D3A8847">
            <w:pPr>
              <w:keepNext w:val="0"/>
              <w:keepLines w:val="0"/>
              <w:suppressLineNumbers w:val="0"/>
              <w:spacing w:before="0" w:beforeAutospacing="0" w:after="0" w:afterAutospacing="0"/>
              <w:ind w:left="0" w:right="0"/>
              <w:jc w:val="center"/>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w:t>
            </w:r>
          </w:p>
        </w:tc>
        <w:tc>
          <w:tcPr>
            <w:tcW w:w="459" w:type="pct"/>
            <w:vAlign w:val="center"/>
          </w:tcPr>
          <w:p w14:paraId="2736CEF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0"/>
                <w:sz w:val="18"/>
                <w:szCs w:val="18"/>
                <w:highlight w:val="none"/>
                <w:lang w:val="en-US" w:eastAsia="zh-CN"/>
              </w:rPr>
            </w:pPr>
            <w:r>
              <w:rPr>
                <w:rFonts w:hint="eastAsia" w:ascii="宋体" w:hAnsi="宋体" w:eastAsia="宋体" w:cs="Times New Roman"/>
                <w:color w:val="auto"/>
                <w:kern w:val="0"/>
                <w:sz w:val="18"/>
                <w:szCs w:val="18"/>
                <w:highlight w:val="none"/>
                <w:lang w:val="en-US" w:eastAsia="zh-CN"/>
              </w:rPr>
              <w:t>三</w:t>
            </w:r>
          </w:p>
        </w:tc>
        <w:tc>
          <w:tcPr>
            <w:tcW w:w="3092" w:type="pct"/>
            <w:vAlign w:val="center"/>
          </w:tcPr>
          <w:p w14:paraId="6C300403">
            <w:pPr>
              <w:keepNext w:val="0"/>
              <w:keepLines w:val="0"/>
              <w:numPr>
                <w:ilvl w:val="0"/>
                <w:numId w:val="0"/>
              </w:numPr>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cstheme="minorBidi"/>
                <w:b/>
                <w:bCs/>
                <w:color w:val="auto"/>
                <w:kern w:val="2"/>
                <w:sz w:val="18"/>
                <w:szCs w:val="18"/>
                <w:highlight w:val="none"/>
                <w:lang w:val="en-US" w:eastAsia="zh-CN" w:bidi="ar-SA"/>
              </w:rPr>
              <w:t>（四）其他</w:t>
            </w:r>
          </w:p>
          <w:p w14:paraId="131EDD2F">
            <w:pPr>
              <w:keepNext w:val="0"/>
              <w:keepLines w:val="0"/>
              <w:numPr>
                <w:ilvl w:val="0"/>
                <w:numId w:val="0"/>
              </w:numPr>
              <w:suppressLineNumbers w:val="0"/>
              <w:spacing w:before="0" w:beforeAutospacing="0" w:after="0" w:afterAutospacing="0" w:line="360" w:lineRule="auto"/>
              <w:ind w:left="0" w:right="0" w:firstLine="0" w:firstLineChars="0"/>
              <w:rPr>
                <w:rFonts w:hint="eastAsia" w:ascii="宋体" w:hAnsi="宋体" w:eastAsia="宋体"/>
                <w:b/>
                <w:bCs/>
                <w:color w:val="auto"/>
                <w:sz w:val="18"/>
                <w:szCs w:val="18"/>
                <w:highlight w:val="none"/>
              </w:rPr>
            </w:pPr>
            <w:r>
              <w:rPr>
                <w:rFonts w:hint="eastAsia" w:ascii="宋体" w:hAnsi="宋体" w:eastAsia="宋体"/>
                <w:b/>
                <w:bCs/>
                <w:color w:val="auto"/>
                <w:sz w:val="18"/>
                <w:szCs w:val="18"/>
                <w:highlight w:val="none"/>
              </w:rPr>
              <w:t>★如本项目所有片区最终的劳务分包单位总数量不足15家的，招标人或其下属企业有权根据项目实际情况及中标人投标时填报的意向区域情况委派中标人到劳务分包单位不足5家的片区实施劳务分包工作，中标人须服从招标人或其下属企业的委派任务（注：须按第五篇投标文件格式 第二部分 技术标格式 用户需求偏离表所附承诺书格式要求提供承诺书）。</w:t>
            </w:r>
          </w:p>
        </w:tc>
        <w:tc>
          <w:tcPr>
            <w:tcW w:w="348" w:type="pct"/>
            <w:vAlign w:val="center"/>
          </w:tcPr>
          <w:p w14:paraId="7E2F0406">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418" w:type="pct"/>
            <w:vAlign w:val="center"/>
          </w:tcPr>
          <w:p w14:paraId="2BEBBF7C">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c>
          <w:tcPr>
            <w:tcW w:w="393" w:type="pct"/>
            <w:vAlign w:val="center"/>
          </w:tcPr>
          <w:p w14:paraId="6A685FA9">
            <w:pPr>
              <w:keepNext/>
              <w:keepLines/>
              <w:suppressLineNumbers w:val="0"/>
              <w:spacing w:before="0" w:beforeAutospacing="0" w:after="0" w:afterAutospacing="0"/>
              <w:ind w:left="0" w:right="0"/>
              <w:jc w:val="center"/>
              <w:outlineLvl w:val="2"/>
              <w:rPr>
                <w:rFonts w:hint="eastAsia" w:ascii="宋体" w:hAnsi="宋体" w:eastAsia="宋体" w:cs="宋体"/>
                <w:color w:val="auto"/>
                <w:kern w:val="0"/>
                <w:sz w:val="18"/>
                <w:szCs w:val="18"/>
                <w:highlight w:val="none"/>
              </w:rPr>
            </w:pPr>
          </w:p>
        </w:tc>
      </w:tr>
    </w:tbl>
    <w:p w14:paraId="64A4DAB5">
      <w:pPr>
        <w:spacing w:line="360" w:lineRule="auto"/>
        <w:rPr>
          <w:rFonts w:hint="eastAsia" w:ascii="宋体" w:hAnsi="宋体" w:eastAsia="宋体" w:cs="宋体"/>
          <w:color w:val="auto"/>
          <w:szCs w:val="21"/>
          <w:highlight w:val="none"/>
        </w:rPr>
      </w:pPr>
    </w:p>
    <w:p w14:paraId="1EFE22B6">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p w14:paraId="30E44AB7">
      <w:pPr>
        <w:spacing w:line="360" w:lineRule="auto"/>
        <w:ind w:left="605" w:leftChars="18" w:hanging="567" w:hangingChars="270"/>
        <w:rPr>
          <w:rFonts w:hint="eastAsia" w:ascii="宋体" w:hAnsi="宋体" w:eastAsia="宋体" w:cs="宋体"/>
          <w:b/>
          <w:color w:val="auto"/>
          <w:szCs w:val="21"/>
          <w:highlight w:val="none"/>
          <w:u w:val="single"/>
        </w:rPr>
      </w:pPr>
      <w:r>
        <w:rPr>
          <w:rFonts w:hint="eastAsia" w:ascii="宋体" w:hAnsi="宋体" w:eastAsia="宋体" w:cs="宋体"/>
          <w:color w:val="auto"/>
          <w:szCs w:val="21"/>
          <w:highlight w:val="none"/>
        </w:rPr>
        <w:t>（1）</w:t>
      </w:r>
      <w:r>
        <w:rPr>
          <w:rFonts w:hint="eastAsia" w:ascii="宋体" w:hAnsi="宋体" w:eastAsia="宋体" w:cs="宋体"/>
          <w:b/>
          <w:color w:val="auto"/>
          <w:szCs w:val="21"/>
          <w:highlight w:val="none"/>
          <w:u w:val="single"/>
        </w:rPr>
        <w:t>投标人应对照招标文件用户需求书的响应，逐条逐项、如实地填写“偏离情况”，</w:t>
      </w:r>
      <w:r>
        <w:rPr>
          <w:rFonts w:hint="eastAsia" w:ascii="宋体" w:hAnsi="宋体" w:eastAsia="宋体" w:cs="Times New Roman"/>
          <w:b/>
          <w:color w:val="auto"/>
          <w:kern w:val="0"/>
          <w:szCs w:val="21"/>
          <w:highlight w:val="none"/>
          <w:u w:val="single"/>
        </w:rPr>
        <w:t>若发现未填写本表，或虚假填写本表，或伪造、变造证明材料的，按无效投标文件处理</w:t>
      </w:r>
      <w:r>
        <w:rPr>
          <w:rFonts w:hint="eastAsia" w:ascii="宋体" w:hAnsi="宋体" w:eastAsia="宋体" w:cs="宋体"/>
          <w:b/>
          <w:color w:val="auto"/>
          <w:szCs w:val="21"/>
          <w:highlight w:val="none"/>
          <w:u w:val="single"/>
        </w:rPr>
        <w:t>。若招标文件用户需求书中有“★”条款须逐条逐项、如实地填写“偏离情况”，未填写“★”条款以外的条款的，视为完全满足招标文件要求。</w:t>
      </w:r>
    </w:p>
    <w:p w14:paraId="167874DF">
      <w:pPr>
        <w:spacing w:line="360" w:lineRule="auto"/>
        <w:ind w:left="605" w:leftChars="18" w:hanging="567" w:hangingChars="27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偏离情况（投标文件对招标文件用户需求的响应程度）分为：正偏离、负偏离、无偏离。正偏离是指投标人对用户需求响应优于招标文件的要求；负偏离是指投标人对用户需求响应不满足或不完全满足招标文件的要求；无偏离是指投标人对用户需求响应完全满足招标文件的要求。 </w:t>
      </w:r>
    </w:p>
    <w:p w14:paraId="22F33481">
      <w:pPr>
        <w:spacing w:line="360" w:lineRule="auto"/>
        <w:ind w:left="607" w:leftChars="18" w:hanging="569" w:hangingChars="270"/>
        <w:rPr>
          <w:rFonts w:hint="eastAsia" w:ascii="宋体" w:hAnsi="宋体" w:eastAsia="宋体" w:cs="Times New Roman"/>
          <w:b/>
          <w:color w:val="auto"/>
          <w:kern w:val="0"/>
          <w:szCs w:val="21"/>
          <w:highlight w:val="none"/>
          <w:u w:val="single"/>
        </w:rPr>
      </w:pPr>
      <w:r>
        <w:rPr>
          <w:rFonts w:hint="eastAsia" w:ascii="宋体" w:hAnsi="宋体" w:eastAsia="宋体" w:cs="宋体"/>
          <w:b/>
          <w:color w:val="auto"/>
          <w:szCs w:val="21"/>
          <w:highlight w:val="none"/>
        </w:rPr>
        <w:t>（3）</w:t>
      </w:r>
      <w:r>
        <w:rPr>
          <w:rFonts w:hint="eastAsia" w:ascii="宋体" w:hAnsi="宋体" w:eastAsia="宋体" w:cs="Times New Roman"/>
          <w:b/>
          <w:color w:val="auto"/>
          <w:kern w:val="0"/>
          <w:szCs w:val="21"/>
          <w:highlight w:val="none"/>
          <w:u w:val="single"/>
        </w:rPr>
        <w:t>应逐条</w:t>
      </w:r>
      <w:r>
        <w:rPr>
          <w:rFonts w:hint="eastAsia" w:ascii="宋体" w:hAnsi="宋体" w:eastAsia="宋体" w:cs="宋体"/>
          <w:b/>
          <w:color w:val="auto"/>
          <w:szCs w:val="21"/>
          <w:highlight w:val="none"/>
          <w:u w:val="single"/>
        </w:rPr>
        <w:t>逐项</w:t>
      </w:r>
      <w:r>
        <w:rPr>
          <w:rFonts w:hint="eastAsia" w:ascii="宋体" w:hAnsi="宋体" w:eastAsia="宋体" w:cs="Times New Roman"/>
          <w:b/>
          <w:color w:val="auto"/>
          <w:kern w:val="0"/>
          <w:szCs w:val="21"/>
          <w:highlight w:val="none"/>
          <w:u w:val="single"/>
        </w:rPr>
        <w:t>、如实地填写“偏离情况”。“偏离情况”项为正偏离（或负偏离）的，必须在“实质性响应的具体内容”项内详细说明与招标文件的偏离内容，“偏离情况”项为无偏离的，在“实质性响应的具体内容”项内填“完全响应招标文件要求”即可，也可进一步说明投标响应的具体内容。投标人可将反映服务能力的技术支持资料作为本表的附件，并在本偏离表“对应证明材料页码”项内注明其在投标文件中的具体页码。</w:t>
      </w:r>
    </w:p>
    <w:p w14:paraId="1A24EC09">
      <w:pPr>
        <w:spacing w:line="360" w:lineRule="auto"/>
        <w:ind w:left="607" w:leftChars="18" w:hanging="569" w:hangingChars="270"/>
        <w:rPr>
          <w:rFonts w:hint="eastAsia" w:ascii="宋体" w:hAnsi="宋体" w:eastAsia="宋体" w:cs="Times New Roman"/>
          <w:b/>
          <w:color w:val="auto"/>
          <w:kern w:val="0"/>
          <w:szCs w:val="21"/>
          <w:highlight w:val="none"/>
          <w:u w:val="single"/>
        </w:rPr>
      </w:pPr>
      <w:r>
        <w:rPr>
          <w:rFonts w:hint="eastAsia" w:ascii="宋体" w:hAnsi="宋体" w:eastAsia="宋体" w:cs="宋体"/>
          <w:b/>
          <w:color w:val="auto"/>
          <w:szCs w:val="21"/>
          <w:highlight w:val="none"/>
        </w:rPr>
        <w:t>（4）</w:t>
      </w:r>
      <w:r>
        <w:rPr>
          <w:rFonts w:ascii="宋体" w:hAnsi="宋体" w:eastAsia="宋体" w:cs="Times New Roman"/>
          <w:b/>
          <w:color w:val="auto"/>
          <w:kern w:val="0"/>
          <w:szCs w:val="21"/>
          <w:highlight w:val="none"/>
          <w:u w:val="single"/>
        </w:rPr>
        <w:t>凡标有“</w:t>
      </w:r>
      <w:r>
        <w:rPr>
          <w:rFonts w:hint="eastAsia" w:ascii="宋体" w:hAnsi="宋体" w:eastAsia="宋体" w:cs="Times New Roman"/>
          <w:b/>
          <w:color w:val="auto"/>
          <w:kern w:val="0"/>
          <w:szCs w:val="21"/>
          <w:highlight w:val="none"/>
          <w:u w:val="single"/>
        </w:rPr>
        <w:t>★</w:t>
      </w:r>
      <w:r>
        <w:rPr>
          <w:rFonts w:ascii="宋体" w:hAnsi="宋体" w:eastAsia="宋体" w:cs="Times New Roman"/>
          <w:b/>
          <w:color w:val="auto"/>
          <w:kern w:val="0"/>
          <w:szCs w:val="21"/>
          <w:highlight w:val="none"/>
          <w:u w:val="single"/>
        </w:rPr>
        <w:t>”的地方均被视为</w:t>
      </w:r>
      <w:r>
        <w:rPr>
          <w:rFonts w:hint="eastAsia" w:ascii="宋体" w:hAnsi="宋体" w:eastAsia="宋体" w:cs="Times New Roman"/>
          <w:b/>
          <w:color w:val="auto"/>
          <w:kern w:val="0"/>
          <w:szCs w:val="21"/>
          <w:highlight w:val="none"/>
          <w:u w:val="single"/>
        </w:rPr>
        <w:t>重要条款</w:t>
      </w:r>
      <w:r>
        <w:rPr>
          <w:rFonts w:ascii="宋体" w:hAnsi="宋体" w:eastAsia="宋体" w:cs="Times New Roman"/>
          <w:b/>
          <w:color w:val="auto"/>
          <w:kern w:val="0"/>
          <w:szCs w:val="21"/>
          <w:highlight w:val="none"/>
          <w:u w:val="single"/>
        </w:rPr>
        <w:t>。投标</w:t>
      </w:r>
      <w:r>
        <w:rPr>
          <w:rFonts w:hint="eastAsia" w:ascii="宋体" w:hAnsi="宋体" w:eastAsia="宋体" w:cs="Times New Roman"/>
          <w:b/>
          <w:color w:val="auto"/>
          <w:kern w:val="0"/>
          <w:szCs w:val="21"/>
          <w:highlight w:val="none"/>
          <w:u w:val="single"/>
        </w:rPr>
        <w:t>人</w:t>
      </w:r>
      <w:r>
        <w:rPr>
          <w:rFonts w:ascii="宋体" w:hAnsi="宋体" w:eastAsia="宋体" w:cs="Times New Roman"/>
          <w:b/>
          <w:color w:val="auto"/>
          <w:kern w:val="0"/>
          <w:szCs w:val="21"/>
          <w:highlight w:val="none"/>
          <w:u w:val="single"/>
        </w:rPr>
        <w:t>要特别加以注意，必须对此回答并完全满足这些要求</w:t>
      </w:r>
      <w:r>
        <w:rPr>
          <w:rFonts w:hint="eastAsia" w:ascii="宋体" w:hAnsi="宋体" w:eastAsia="宋体" w:cs="Times New Roman"/>
          <w:b/>
          <w:color w:val="auto"/>
          <w:kern w:val="0"/>
          <w:szCs w:val="21"/>
          <w:highlight w:val="none"/>
          <w:u w:val="single"/>
        </w:rPr>
        <w:t>，</w:t>
      </w:r>
      <w:r>
        <w:rPr>
          <w:rFonts w:ascii="宋体" w:hAnsi="宋体" w:eastAsia="宋体" w:cs="Times New Roman"/>
          <w:b/>
          <w:color w:val="auto"/>
          <w:kern w:val="0"/>
          <w:szCs w:val="21"/>
          <w:highlight w:val="none"/>
          <w:u w:val="single"/>
        </w:rPr>
        <w:t>否则若有一项带“</w:t>
      </w:r>
      <w:r>
        <w:rPr>
          <w:rFonts w:hint="eastAsia" w:ascii="宋体" w:hAnsi="宋体" w:eastAsia="宋体" w:cs="Times New Roman"/>
          <w:b/>
          <w:color w:val="auto"/>
          <w:kern w:val="0"/>
          <w:szCs w:val="21"/>
          <w:highlight w:val="none"/>
          <w:u w:val="single"/>
        </w:rPr>
        <w:t>★</w:t>
      </w:r>
      <w:r>
        <w:rPr>
          <w:rFonts w:ascii="宋体" w:hAnsi="宋体" w:eastAsia="宋体" w:cs="Times New Roman"/>
          <w:b/>
          <w:color w:val="auto"/>
          <w:kern w:val="0"/>
          <w:szCs w:val="21"/>
          <w:highlight w:val="none"/>
          <w:u w:val="single"/>
        </w:rPr>
        <w:t>”的</w:t>
      </w:r>
      <w:r>
        <w:rPr>
          <w:rFonts w:hint="eastAsia" w:ascii="宋体" w:hAnsi="宋体" w:eastAsia="宋体" w:cs="Times New Roman"/>
          <w:b/>
          <w:color w:val="auto"/>
          <w:kern w:val="0"/>
          <w:szCs w:val="21"/>
          <w:highlight w:val="none"/>
          <w:u w:val="single"/>
        </w:rPr>
        <w:t>条款</w:t>
      </w:r>
      <w:r>
        <w:rPr>
          <w:rFonts w:ascii="宋体" w:hAnsi="宋体" w:eastAsia="宋体" w:cs="Times New Roman"/>
          <w:b/>
          <w:color w:val="auto"/>
          <w:kern w:val="0"/>
          <w:szCs w:val="21"/>
          <w:highlight w:val="none"/>
          <w:u w:val="single"/>
        </w:rPr>
        <w:t>未响应或不满足，将按</w:t>
      </w:r>
      <w:r>
        <w:rPr>
          <w:rFonts w:hint="eastAsia" w:ascii="宋体" w:hAnsi="宋体" w:eastAsia="宋体" w:cs="Times New Roman"/>
          <w:b/>
          <w:color w:val="auto"/>
          <w:kern w:val="0"/>
          <w:szCs w:val="21"/>
          <w:highlight w:val="none"/>
          <w:u w:val="single"/>
        </w:rPr>
        <w:t>无效投标</w:t>
      </w:r>
      <w:r>
        <w:rPr>
          <w:rFonts w:ascii="宋体" w:hAnsi="宋体" w:eastAsia="宋体" w:cs="Times New Roman"/>
          <w:b/>
          <w:color w:val="auto"/>
          <w:kern w:val="0"/>
          <w:szCs w:val="21"/>
          <w:highlight w:val="none"/>
          <w:u w:val="single"/>
        </w:rPr>
        <w:t>处理</w:t>
      </w:r>
      <w:r>
        <w:rPr>
          <w:rFonts w:ascii="宋体" w:hAnsi="宋体" w:eastAsia="宋体" w:cs="Times New Roman"/>
          <w:b/>
          <w:color w:val="auto"/>
          <w:kern w:val="0"/>
          <w:sz w:val="24"/>
          <w:szCs w:val="21"/>
          <w:highlight w:val="none"/>
          <w:u w:val="single"/>
          <w:lang w:val="zh-CN"/>
        </w:rPr>
        <w:t>。</w:t>
      </w:r>
    </w:p>
    <w:p w14:paraId="242BE148">
      <w:pPr>
        <w:spacing w:line="360" w:lineRule="auto"/>
        <w:rPr>
          <w:rFonts w:hint="eastAsia" w:ascii="宋体" w:hAnsi="宋体" w:eastAsia="宋体" w:cs="宋体"/>
          <w:color w:val="auto"/>
          <w:szCs w:val="21"/>
          <w:highlight w:val="none"/>
        </w:rPr>
      </w:pPr>
    </w:p>
    <w:p w14:paraId="56216BD9">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投标人：</w:t>
      </w:r>
      <w:r>
        <w:rPr>
          <w:rFonts w:hint="eastAsia" w:ascii="宋体" w:hAnsi="宋体" w:eastAsia="宋体" w:cs="宋体"/>
          <w:color w:val="auto"/>
          <w:szCs w:val="21"/>
          <w:highlight w:val="none"/>
          <w:u w:val="single"/>
          <w:lang w:val="zh-CN"/>
        </w:rPr>
        <w:t xml:space="preserve">             （企业数字证书电子签名）</w:t>
      </w:r>
    </w:p>
    <w:p w14:paraId="4B93A6CF">
      <w:pPr>
        <w:keepNext w:val="0"/>
        <w:keepLines w:val="0"/>
        <w:pageBreakBefore w:val="0"/>
        <w:widowControl w:val="0"/>
        <w:kinsoku/>
        <w:wordWrap/>
        <w:overflowPunct/>
        <w:topLinePunct w:val="0"/>
        <w:autoSpaceDE w:val="0"/>
        <w:autoSpaceDN w:val="0"/>
        <w:bidi w:val="0"/>
        <w:adjustRightInd w:val="0"/>
        <w:snapToGrid/>
        <w:spacing w:line="360" w:lineRule="auto"/>
        <w:ind w:left="15" w:leftChars="-50" w:hanging="120"/>
        <w:jc w:val="left"/>
        <w:textAlignment w:val="auto"/>
        <w:rPr>
          <w:rFonts w:hint="eastAsia" w:ascii="宋体" w:hAnsi="宋体" w:eastAsia="宋体" w:cs="宋体"/>
          <w:b/>
          <w:color w:val="auto"/>
          <w:kern w:val="0"/>
          <w:sz w:val="30"/>
          <w:szCs w:val="30"/>
          <w:highlight w:val="none"/>
        </w:rPr>
      </w:pPr>
      <w:r>
        <w:rPr>
          <w:rFonts w:hint="eastAsia" w:ascii="宋体" w:hAnsi="宋体" w:eastAsia="宋体" w:cs="宋体"/>
          <w:color w:val="auto"/>
          <w:kern w:val="0"/>
          <w:szCs w:val="21"/>
          <w:highlight w:val="none"/>
        </w:rPr>
        <w:t xml:space="preserve">                                            </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日  期：   年  月  日</w:t>
      </w:r>
    </w:p>
    <w:p w14:paraId="7FB1F9BA">
      <w:pPr>
        <w:keepNext w:val="0"/>
        <w:keepLines w:val="0"/>
        <w:pageBreakBefore w:val="0"/>
        <w:widowControl w:val="0"/>
        <w:tabs>
          <w:tab w:val="left" w:pos="567"/>
        </w:tabs>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Times New Roman"/>
          <w:b/>
          <w:bCs/>
          <w:color w:val="auto"/>
          <w:szCs w:val="24"/>
          <w:highlight w:val="none"/>
          <w:lang w:val="zh-CN"/>
        </w:rPr>
      </w:pPr>
    </w:p>
    <w:p w14:paraId="159256BE">
      <w:pPr>
        <w:tabs>
          <w:tab w:val="left" w:pos="567"/>
        </w:tabs>
        <w:autoSpaceDE w:val="0"/>
        <w:autoSpaceDN w:val="0"/>
        <w:adjustRightInd w:val="0"/>
        <w:spacing w:line="360" w:lineRule="auto"/>
        <w:jc w:val="center"/>
        <w:outlineLvl w:val="9"/>
        <w:rPr>
          <w:rFonts w:hint="eastAsia" w:ascii="宋体" w:hAnsi="宋体" w:eastAsia="宋体" w:cs="宋体"/>
          <w:b/>
          <w:color w:val="auto"/>
          <w:kern w:val="0"/>
          <w:sz w:val="30"/>
          <w:szCs w:val="30"/>
          <w:highlight w:val="none"/>
        </w:rPr>
      </w:pPr>
      <w:r>
        <w:rPr>
          <w:rFonts w:hint="eastAsia" w:ascii="宋体" w:hAnsi="宋体" w:eastAsia="宋体" w:cs="Times New Roman"/>
          <w:b/>
          <w:bCs/>
          <w:color w:val="auto"/>
          <w:szCs w:val="24"/>
          <w:highlight w:val="none"/>
          <w:lang w:val="zh-CN"/>
        </w:rPr>
        <w:t>说明：由投标人使用投标人的企业数字证书电子签名。</w:t>
      </w:r>
      <w:r>
        <w:rPr>
          <w:rFonts w:hint="eastAsia" w:ascii="宋体" w:hAnsi="宋体" w:eastAsia="宋体" w:cs="宋体"/>
          <w:b/>
          <w:color w:val="auto"/>
          <w:kern w:val="0"/>
          <w:sz w:val="30"/>
          <w:szCs w:val="30"/>
          <w:highlight w:val="none"/>
        </w:rPr>
        <w:br w:type="page"/>
      </w:r>
      <w:bookmarkStart w:id="760" w:name="_Toc10041"/>
      <w:bookmarkStart w:id="761" w:name="_Toc5046"/>
      <w:bookmarkStart w:id="762" w:name="_Toc3593"/>
      <w:bookmarkStart w:id="763" w:name="_Toc23150"/>
      <w:bookmarkStart w:id="764" w:name="_Toc102860087"/>
      <w:bookmarkStart w:id="765" w:name="_Toc5373"/>
      <w:bookmarkStart w:id="766" w:name="_Toc102860431"/>
      <w:bookmarkStart w:id="767" w:name="_Toc94107224"/>
      <w:bookmarkStart w:id="768" w:name="_Toc10128"/>
      <w:bookmarkStart w:id="769" w:name="_Toc142508382"/>
      <w:bookmarkStart w:id="770" w:name="_Toc104991889"/>
      <w:bookmarkStart w:id="771" w:name="_Toc140596942"/>
    </w:p>
    <w:p w14:paraId="791B5D17">
      <w:pPr>
        <w:tabs>
          <w:tab w:val="left" w:pos="567"/>
        </w:tabs>
        <w:autoSpaceDE w:val="0"/>
        <w:autoSpaceDN w:val="0"/>
        <w:adjustRightInd w:val="0"/>
        <w:spacing w:line="360" w:lineRule="auto"/>
        <w:jc w:val="both"/>
        <w:outlineLvl w:val="9"/>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t>附：承诺书格式</w:t>
      </w:r>
      <w:bookmarkEnd w:id="760"/>
    </w:p>
    <w:p w14:paraId="60BFC008">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
          <w:bCs/>
          <w:color w:val="auto"/>
          <w:kern w:val="2"/>
          <w:sz w:val="30"/>
          <w:szCs w:val="30"/>
          <w:highlight w:val="none"/>
        </w:rPr>
      </w:pPr>
      <w:r>
        <w:rPr>
          <w:rFonts w:hint="eastAsia" w:ascii="宋体" w:hAnsi="宋体" w:eastAsia="宋体" w:cs="宋体"/>
          <w:b/>
          <w:bCs/>
          <w:color w:val="auto"/>
          <w:kern w:val="2"/>
          <w:sz w:val="30"/>
          <w:szCs w:val="30"/>
          <w:highlight w:val="none"/>
          <w:lang w:val="en-US" w:eastAsia="zh-CN" w:bidi="ar"/>
        </w:rPr>
        <w:t>承诺书</w:t>
      </w:r>
    </w:p>
    <w:p w14:paraId="0598681A">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致：东莞市碧水信息科技有限公司</w:t>
      </w:r>
    </w:p>
    <w:p w14:paraId="0BFFB210">
      <w:pPr>
        <w:keepNext w:val="0"/>
        <w:keepLines w:val="0"/>
        <w:widowControl w:val="0"/>
        <w:suppressLineNumbers w:val="0"/>
        <w:autoSpaceDE w:val="0"/>
        <w:autoSpaceDN w:val="0"/>
        <w:adjustRightInd w:val="0"/>
        <w:spacing w:before="0" w:beforeAutospacing="0" w:after="0" w:afterAutospacing="0" w:line="360" w:lineRule="auto"/>
        <w:ind w:left="-31" w:leftChars="-15" w:right="18" w:firstLine="457" w:firstLineChars="218"/>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在贵单位组织招标的东莞市碧水信息科技有限公司施工劳务分包供应商库采购项目（招标编号：</w:t>
      </w:r>
      <w:r>
        <w:rPr>
          <w:rFonts w:hint="eastAsia" w:ascii="宋体" w:hAnsi="宋体" w:eastAsia="宋体" w:cs="Times New Roman"/>
          <w:color w:val="auto"/>
          <w:szCs w:val="21"/>
          <w:highlight w:val="none"/>
          <w:u w:val="single"/>
          <w:lang w:val="zh-CN"/>
        </w:rPr>
        <w:t>SSSSSC12500950</w:t>
      </w:r>
      <w:r>
        <w:rPr>
          <w:rFonts w:hint="eastAsia" w:ascii="宋体" w:hAnsi="宋体" w:eastAsia="宋体" w:cs="宋体"/>
          <w:color w:val="auto"/>
          <w:kern w:val="2"/>
          <w:sz w:val="21"/>
          <w:szCs w:val="21"/>
          <w:highlight w:val="none"/>
          <w:lang w:val="en-US" w:eastAsia="zh-CN" w:bidi="ar"/>
        </w:rPr>
        <w:t>）招标中，我司如获中标，承诺如下：</w:t>
      </w:r>
    </w:p>
    <w:p w14:paraId="2A2A1614">
      <w:pPr>
        <w:keepNext w:val="0"/>
        <w:keepLines w:val="0"/>
        <w:widowControl w:val="0"/>
        <w:suppressLineNumbers w:val="0"/>
        <w:autoSpaceDE w:val="0"/>
        <w:autoSpaceDN w:val="0"/>
        <w:adjustRightInd w:val="0"/>
        <w:spacing w:before="0" w:beforeAutospacing="0" w:after="0" w:afterAutospacing="0" w:line="360" w:lineRule="auto"/>
        <w:ind w:left="-31" w:leftChars="-15" w:right="18" w:firstLine="457" w:firstLineChars="218"/>
        <w:jc w:val="both"/>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一、我司将</w:t>
      </w:r>
      <w:r>
        <w:rPr>
          <w:rFonts w:hint="eastAsia" w:ascii="宋体" w:hAnsi="宋体" w:eastAsia="宋体" w:cs="宋体"/>
          <w:color w:val="auto"/>
          <w:kern w:val="2"/>
          <w:sz w:val="21"/>
          <w:szCs w:val="21"/>
          <w:highlight w:val="none"/>
        </w:rPr>
        <w:t>在合同签订后1个月内设立满足</w:t>
      </w:r>
      <w:r>
        <w:rPr>
          <w:rFonts w:hint="eastAsia" w:ascii="宋体" w:hAnsi="宋体" w:eastAsia="宋体" w:cs="宋体"/>
          <w:color w:val="auto"/>
          <w:kern w:val="2"/>
          <w:sz w:val="21"/>
          <w:szCs w:val="21"/>
          <w:highlight w:val="none"/>
          <w:lang w:val="en-US" w:eastAsia="zh-CN"/>
        </w:rPr>
        <w:t>以下</w:t>
      </w:r>
      <w:r>
        <w:rPr>
          <w:rFonts w:hint="eastAsia" w:ascii="宋体" w:hAnsi="宋体" w:eastAsia="宋体" w:cs="宋体"/>
          <w:color w:val="auto"/>
          <w:kern w:val="2"/>
          <w:sz w:val="21"/>
          <w:szCs w:val="21"/>
          <w:highlight w:val="none"/>
        </w:rPr>
        <w:t>要求的办公场所及仓储场地</w:t>
      </w:r>
      <w:r>
        <w:rPr>
          <w:rFonts w:hint="eastAsia" w:ascii="宋体" w:hAnsi="宋体" w:eastAsia="宋体" w:cs="宋体"/>
          <w:color w:val="auto"/>
          <w:kern w:val="2"/>
          <w:sz w:val="21"/>
          <w:szCs w:val="21"/>
          <w:highlight w:val="none"/>
          <w:lang w:eastAsia="zh-CN"/>
        </w:rPr>
        <w:t>：</w:t>
      </w:r>
    </w:p>
    <w:p w14:paraId="398F5B08">
      <w:pPr>
        <w:keepNext w:val="0"/>
        <w:keepLines w:val="0"/>
        <w:widowControl w:val="0"/>
        <w:suppressLineNumbers w:val="0"/>
        <w:autoSpaceDE w:val="0"/>
        <w:autoSpaceDN w:val="0"/>
        <w:adjustRightInd w:val="0"/>
        <w:spacing w:before="0" w:beforeAutospacing="0" w:after="0" w:afterAutospacing="0" w:line="360" w:lineRule="auto"/>
        <w:ind w:left="-31" w:leftChars="-15" w:right="18" w:firstLine="457" w:firstLineChars="218"/>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1、办公场所：我司将在东莞市范围内设立固定的一处专门办公场所（租赁及自有均可），相关费用由我司自行承担。</w:t>
      </w:r>
    </w:p>
    <w:p w14:paraId="0EAD00FD">
      <w:pPr>
        <w:keepNext w:val="0"/>
        <w:keepLines w:val="0"/>
        <w:widowControl w:val="0"/>
        <w:suppressLineNumbers w:val="0"/>
        <w:autoSpaceDE w:val="0"/>
        <w:autoSpaceDN w:val="0"/>
        <w:adjustRightInd w:val="0"/>
        <w:spacing w:before="0" w:beforeAutospacing="0" w:after="0" w:afterAutospacing="0" w:line="360" w:lineRule="auto"/>
        <w:ind w:left="-31" w:leftChars="-15" w:right="18" w:firstLine="457" w:firstLineChars="218"/>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仓储要求：我司将在东莞市范围内设立一处专门仓储场地（租赁及自有均可），用以停置机械设备及存放必要的材料物资等，应具备相应的设备维修条件、物质存储条件，具有配套的专业维修工器具，相关费用由我司自行承担。</w:t>
      </w:r>
    </w:p>
    <w:p w14:paraId="002C645F">
      <w:pPr>
        <w:keepNext w:val="0"/>
        <w:keepLines w:val="0"/>
        <w:widowControl w:val="0"/>
        <w:suppressLineNumbers w:val="0"/>
        <w:autoSpaceDE w:val="0"/>
        <w:autoSpaceDN w:val="0"/>
        <w:adjustRightInd w:val="0"/>
        <w:spacing w:before="0" w:beforeAutospacing="0" w:after="0" w:afterAutospacing="0" w:line="360" w:lineRule="auto"/>
        <w:ind w:left="-31" w:leftChars="-15" w:right="18" w:firstLine="457" w:firstLineChars="218"/>
        <w:jc w:val="both"/>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二、如本项目所有片区最终的劳务分包单位总数量不足15家的，招标人或其下属企业有权根据项目实际情况及我司投标时填报的意向区域情况委派我司到劳务分包单位不足5家的片区实施劳务分包工作，我司将服从招标人或其下属企业的委派任务。</w:t>
      </w:r>
    </w:p>
    <w:p w14:paraId="1D4684B3">
      <w:pPr>
        <w:keepNext w:val="0"/>
        <w:keepLines w:val="0"/>
        <w:widowControl w:val="0"/>
        <w:suppressLineNumbers w:val="0"/>
        <w:autoSpaceDE w:val="0"/>
        <w:autoSpaceDN w:val="0"/>
        <w:adjustRightInd w:val="0"/>
        <w:spacing w:before="0" w:beforeAutospacing="0" w:after="0" w:afterAutospacing="0" w:line="360" w:lineRule="auto"/>
        <w:ind w:left="-31" w:leftChars="-15" w:right="18" w:firstLine="457" w:firstLineChars="218"/>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特此承诺。</w:t>
      </w:r>
    </w:p>
    <w:p w14:paraId="357FB82E">
      <w:pPr>
        <w:keepNext w:val="0"/>
        <w:keepLines w:val="0"/>
        <w:widowControl/>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
          <w:bCs w:val="0"/>
          <w:color w:val="auto"/>
          <w:sz w:val="22"/>
          <w:szCs w:val="22"/>
          <w:highlight w:val="none"/>
        </w:rPr>
      </w:pPr>
    </w:p>
    <w:p w14:paraId="7A16BE7C">
      <w:pPr>
        <w:keepNext w:val="0"/>
        <w:keepLines w:val="0"/>
        <w:widowControl/>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
          <w:bCs w:val="0"/>
          <w:color w:val="auto"/>
          <w:sz w:val="21"/>
          <w:szCs w:val="21"/>
          <w:highlight w:val="none"/>
        </w:rPr>
      </w:pPr>
      <w:r>
        <w:rPr>
          <w:rFonts w:hint="eastAsia" w:ascii="宋体" w:hAnsi="宋体" w:eastAsia="宋体" w:cs="宋体"/>
          <w:b/>
          <w:bCs w:val="0"/>
          <w:color w:val="auto"/>
          <w:kern w:val="0"/>
          <w:sz w:val="21"/>
          <w:szCs w:val="21"/>
          <w:highlight w:val="none"/>
          <w:lang w:val="en-US" w:eastAsia="zh-CN" w:bidi="ar"/>
        </w:rPr>
        <w:t>注：投标人在投标文件中已提供本承诺书的视为作出承诺，否则视为未作承诺。</w:t>
      </w:r>
    </w:p>
    <w:p w14:paraId="1EDA701A">
      <w:pPr>
        <w:autoSpaceDE w:val="0"/>
        <w:autoSpaceDN w:val="0"/>
        <w:adjustRightInd w:val="0"/>
        <w:spacing w:line="360" w:lineRule="auto"/>
        <w:rPr>
          <w:rFonts w:hint="eastAsia" w:ascii="宋体" w:hAnsi="宋体" w:eastAsia="宋体" w:cs="宋体"/>
          <w:color w:val="auto"/>
          <w:kern w:val="0"/>
          <w:szCs w:val="21"/>
          <w:highlight w:val="none"/>
        </w:rPr>
      </w:pPr>
    </w:p>
    <w:p w14:paraId="71103255">
      <w:pPr>
        <w:autoSpaceDE w:val="0"/>
        <w:autoSpaceDN w:val="0"/>
        <w:adjustRightInd w:val="0"/>
        <w:spacing w:line="360" w:lineRule="auto"/>
        <w:rPr>
          <w:rFonts w:hint="eastAsia" w:ascii="宋体" w:hAnsi="宋体" w:eastAsia="宋体" w:cs="宋体"/>
          <w:color w:val="auto"/>
          <w:kern w:val="0"/>
          <w:szCs w:val="21"/>
          <w:highlight w:val="none"/>
        </w:rPr>
      </w:pPr>
    </w:p>
    <w:p w14:paraId="50509D30">
      <w:pPr>
        <w:autoSpaceDE w:val="0"/>
        <w:autoSpaceDN w:val="0"/>
        <w:adjustRightInd w:val="0"/>
        <w:spacing w:line="360" w:lineRule="auto"/>
        <w:ind w:firstLine="5040" w:firstLineChars="24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w:t>
      </w:r>
      <w:r>
        <w:rPr>
          <w:rFonts w:hint="eastAsia" w:ascii="宋体" w:hAnsi="宋体" w:eastAsia="宋体" w:cs="宋体"/>
          <w:color w:val="auto"/>
          <w:szCs w:val="21"/>
          <w:highlight w:val="none"/>
          <w:u w:val="single"/>
          <w:lang w:val="zh-CN"/>
        </w:rPr>
        <w:t xml:space="preserve">             （企业数字证书电子签名）</w:t>
      </w:r>
    </w:p>
    <w:p w14:paraId="44A72F3B">
      <w:pPr>
        <w:autoSpaceDE w:val="0"/>
        <w:autoSpaceDN w:val="0"/>
        <w:adjustRightInd w:val="0"/>
        <w:ind w:left="0" w:leftChars="0" w:firstLine="5040" w:firstLineChars="24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日  期：   年  月  日</w:t>
      </w:r>
    </w:p>
    <w:p w14:paraId="78ECCD93">
      <w:pPr>
        <w:tabs>
          <w:tab w:val="left" w:pos="567"/>
        </w:tabs>
        <w:autoSpaceDE w:val="0"/>
        <w:autoSpaceDN w:val="0"/>
        <w:adjustRightInd w:val="0"/>
        <w:spacing w:line="360" w:lineRule="auto"/>
        <w:jc w:val="left"/>
        <w:rPr>
          <w:rFonts w:hint="eastAsia" w:ascii="宋体" w:hAnsi="宋体" w:eastAsia="宋体" w:cs="宋体"/>
          <w:b/>
          <w:color w:val="auto"/>
          <w:kern w:val="0"/>
          <w:sz w:val="30"/>
          <w:szCs w:val="30"/>
          <w:highlight w:val="none"/>
        </w:rPr>
      </w:pPr>
    </w:p>
    <w:p w14:paraId="65ED3DE4">
      <w:pPr>
        <w:autoSpaceDE/>
        <w:autoSpaceDN/>
        <w:adjustRightInd/>
        <w:spacing w:line="240" w:lineRule="auto"/>
        <w:jc w:val="center"/>
        <w:outlineLvl w:val="9"/>
        <w:rPr>
          <w:rFonts w:hint="eastAsia" w:ascii="宋体" w:hAnsi="宋体" w:eastAsia="宋体" w:cs="Times New Roman"/>
          <w:b/>
          <w:bCs/>
          <w:color w:val="auto"/>
          <w:szCs w:val="24"/>
          <w:highlight w:val="none"/>
          <w:lang w:val="zh-CN"/>
        </w:rPr>
      </w:pPr>
      <w:r>
        <w:rPr>
          <w:rFonts w:hint="eastAsia" w:ascii="宋体" w:hAnsi="宋体" w:eastAsia="宋体" w:cs="Times New Roman"/>
          <w:b/>
          <w:bCs/>
          <w:color w:val="auto"/>
          <w:szCs w:val="24"/>
          <w:highlight w:val="none"/>
          <w:lang w:val="zh-CN"/>
        </w:rPr>
        <w:t>说明：由投标人使用投标人的企业数字证书电子签名。</w:t>
      </w:r>
    </w:p>
    <w:p w14:paraId="043E5777">
      <w:pPr>
        <w:autoSpaceDE/>
        <w:autoSpaceDN/>
        <w:adjustRightInd/>
        <w:spacing w:line="240" w:lineRule="auto"/>
        <w:jc w:val="left"/>
        <w:outlineLvl w:val="9"/>
        <w:rPr>
          <w:rFonts w:hint="eastAsia" w:ascii="宋体" w:hAnsi="宋体" w:eastAsia="宋体" w:cs="Times New Roman"/>
          <w:b/>
          <w:bCs/>
          <w:color w:val="auto"/>
          <w:szCs w:val="24"/>
          <w:highlight w:val="none"/>
          <w:lang w:val="zh-CN"/>
        </w:rPr>
      </w:pPr>
    </w:p>
    <w:p w14:paraId="3799BAAE">
      <w:pPr>
        <w:autoSpaceDE/>
        <w:autoSpaceDN/>
        <w:adjustRightInd/>
        <w:spacing w:line="240" w:lineRule="auto"/>
        <w:jc w:val="left"/>
        <w:outlineLvl w:val="9"/>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br w:type="page"/>
      </w:r>
    </w:p>
    <w:p w14:paraId="13121C61">
      <w:pPr>
        <w:tabs>
          <w:tab w:val="left" w:pos="567"/>
        </w:tabs>
        <w:autoSpaceDE w:val="0"/>
        <w:autoSpaceDN w:val="0"/>
        <w:adjustRightInd w:val="0"/>
        <w:spacing w:line="360" w:lineRule="auto"/>
        <w:jc w:val="left"/>
        <w:outlineLvl w:val="2"/>
        <w:rPr>
          <w:rFonts w:hint="eastAsia" w:ascii="宋体" w:hAnsi="宋体" w:eastAsia="宋体" w:cs="Times New Roman"/>
          <w:b/>
          <w:color w:val="auto"/>
          <w:kern w:val="0"/>
          <w:sz w:val="30"/>
          <w:szCs w:val="30"/>
          <w:highlight w:val="none"/>
        </w:rPr>
      </w:pPr>
      <w:bookmarkStart w:id="772" w:name="_Toc23779"/>
      <w:r>
        <w:rPr>
          <w:rFonts w:hint="eastAsia" w:ascii="宋体" w:hAnsi="宋体" w:eastAsia="宋体" w:cs="宋体"/>
          <w:b/>
          <w:color w:val="auto"/>
          <w:kern w:val="0"/>
          <w:sz w:val="30"/>
          <w:szCs w:val="30"/>
          <w:highlight w:val="none"/>
        </w:rPr>
        <w:t>二、</w:t>
      </w:r>
      <w:bookmarkEnd w:id="761"/>
      <w:bookmarkEnd w:id="762"/>
      <w:bookmarkEnd w:id="763"/>
      <w:bookmarkEnd w:id="764"/>
      <w:bookmarkEnd w:id="765"/>
      <w:bookmarkEnd w:id="766"/>
      <w:bookmarkEnd w:id="767"/>
      <w:bookmarkEnd w:id="768"/>
      <w:bookmarkEnd w:id="769"/>
      <w:bookmarkEnd w:id="770"/>
      <w:bookmarkEnd w:id="771"/>
      <w:r>
        <w:rPr>
          <w:rFonts w:hint="eastAsia" w:ascii="宋体" w:hAnsi="宋体" w:eastAsia="宋体" w:cs="宋体"/>
          <w:b/>
          <w:color w:val="auto"/>
          <w:kern w:val="0"/>
          <w:sz w:val="30"/>
          <w:szCs w:val="30"/>
          <w:highlight w:val="none"/>
        </w:rPr>
        <w:t>拟投入本项目人员情况</w:t>
      </w:r>
      <w:bookmarkEnd w:id="772"/>
    </w:p>
    <w:p w14:paraId="6349CA33">
      <w:pPr>
        <w:spacing w:line="360" w:lineRule="auto"/>
        <w:jc w:val="center"/>
        <w:rPr>
          <w:rFonts w:hint="eastAsia" w:ascii="宋体" w:hAnsi="宋体" w:eastAsia="宋体" w:cs="宋体"/>
          <w:b/>
          <w:color w:val="auto"/>
          <w:sz w:val="30"/>
          <w:szCs w:val="30"/>
          <w:highlight w:val="none"/>
        </w:rPr>
      </w:pPr>
      <w:bookmarkStart w:id="773" w:name="_Toc94107225"/>
      <w:r>
        <w:rPr>
          <w:rFonts w:hint="eastAsia" w:ascii="宋体" w:hAnsi="宋体" w:eastAsia="宋体" w:cs="宋体"/>
          <w:b/>
          <w:color w:val="auto"/>
          <w:sz w:val="30"/>
          <w:szCs w:val="30"/>
          <w:highlight w:val="none"/>
        </w:rPr>
        <w:t>拟投入本项目工作人员情况一览表</w:t>
      </w:r>
    </w:p>
    <w:tbl>
      <w:tblPr>
        <w:tblStyle w:val="3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091"/>
        <w:gridCol w:w="635"/>
        <w:gridCol w:w="635"/>
        <w:gridCol w:w="635"/>
        <w:gridCol w:w="2488"/>
        <w:gridCol w:w="2218"/>
        <w:gridCol w:w="1121"/>
        <w:gridCol w:w="906"/>
      </w:tblGrid>
      <w:tr w14:paraId="5A04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06" w:type="pct"/>
            <w:noWrap/>
            <w:vAlign w:val="center"/>
          </w:tcPr>
          <w:p w14:paraId="7B3A180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526" w:type="pct"/>
            <w:noWrap/>
            <w:vAlign w:val="center"/>
          </w:tcPr>
          <w:p w14:paraId="2DDD5C3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306" w:type="pct"/>
            <w:noWrap/>
            <w:vAlign w:val="center"/>
          </w:tcPr>
          <w:p w14:paraId="7C6F0593">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306" w:type="pct"/>
            <w:noWrap/>
            <w:vAlign w:val="center"/>
          </w:tcPr>
          <w:p w14:paraId="1D0287A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年龄</w:t>
            </w:r>
          </w:p>
        </w:tc>
        <w:tc>
          <w:tcPr>
            <w:tcW w:w="306" w:type="pct"/>
            <w:noWrap/>
            <w:vAlign w:val="center"/>
          </w:tcPr>
          <w:p w14:paraId="40911EA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学历</w:t>
            </w:r>
          </w:p>
        </w:tc>
        <w:tc>
          <w:tcPr>
            <w:tcW w:w="1200" w:type="pct"/>
            <w:noWrap/>
            <w:vAlign w:val="center"/>
          </w:tcPr>
          <w:p w14:paraId="2A88EA0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人员具备的相关证书</w:t>
            </w:r>
          </w:p>
        </w:tc>
        <w:tc>
          <w:tcPr>
            <w:tcW w:w="1070" w:type="pct"/>
            <w:noWrap/>
            <w:vAlign w:val="center"/>
          </w:tcPr>
          <w:p w14:paraId="0CC2468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拟任职务或承担内容</w:t>
            </w:r>
          </w:p>
        </w:tc>
        <w:tc>
          <w:tcPr>
            <w:tcW w:w="540" w:type="pct"/>
            <w:noWrap/>
            <w:vAlign w:val="center"/>
          </w:tcPr>
          <w:p w14:paraId="0A282BA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专业年限</w:t>
            </w:r>
          </w:p>
        </w:tc>
        <w:tc>
          <w:tcPr>
            <w:tcW w:w="437" w:type="pct"/>
            <w:noWrap/>
            <w:vAlign w:val="center"/>
          </w:tcPr>
          <w:p w14:paraId="49ECD9C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69C0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5000" w:type="pct"/>
            <w:gridSpan w:val="9"/>
            <w:noWrap/>
            <w:vAlign w:val="center"/>
          </w:tcPr>
          <w:p w14:paraId="7264638E">
            <w:pPr>
              <w:keepNext w:val="0"/>
              <w:keepLines w:val="0"/>
              <w:suppressLineNumbers w:val="0"/>
              <w:spacing w:before="0" w:beforeAutospacing="0" w:after="0" w:afterAutospacing="0"/>
              <w:ind w:left="0" w:right="0"/>
              <w:jc w:val="both"/>
              <w:rPr>
                <w:rFonts w:hint="default" w:ascii="宋体" w:hAnsi="宋体" w:eastAsia="宋体" w:cs="宋体"/>
                <w:color w:val="auto"/>
                <w:szCs w:val="21"/>
                <w:highlight w:val="none"/>
                <w:lang w:val="en-US" w:eastAsia="zh-CN"/>
              </w:rPr>
            </w:pPr>
            <w:r>
              <w:rPr>
                <w:rFonts w:hint="eastAsia" w:ascii="宋体" w:hAnsi="宋体" w:eastAsia="宋体" w:cs="宋体"/>
                <w:b/>
                <w:bCs/>
                <w:color w:val="auto"/>
                <w:szCs w:val="21"/>
                <w:highlight w:val="none"/>
                <w:lang w:val="en-US" w:eastAsia="zh-CN"/>
              </w:rPr>
              <w:t>第一部分：最低人员配置</w:t>
            </w:r>
          </w:p>
        </w:tc>
      </w:tr>
      <w:tr w14:paraId="7ACB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306" w:type="pct"/>
            <w:noWrap/>
            <w:vAlign w:val="center"/>
          </w:tcPr>
          <w:p w14:paraId="6157C8F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26" w:type="pct"/>
            <w:noWrap/>
            <w:vAlign w:val="center"/>
          </w:tcPr>
          <w:p w14:paraId="43AF793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028F3943">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11B55D2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041B993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200" w:type="pct"/>
            <w:noWrap/>
            <w:vAlign w:val="center"/>
          </w:tcPr>
          <w:p w14:paraId="6E178EA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070" w:type="pct"/>
            <w:noWrap/>
            <w:vAlign w:val="center"/>
          </w:tcPr>
          <w:p w14:paraId="12A680C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40" w:type="pct"/>
            <w:noWrap/>
            <w:vAlign w:val="center"/>
          </w:tcPr>
          <w:p w14:paraId="4842D5A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437" w:type="pct"/>
            <w:noWrap/>
            <w:vAlign w:val="center"/>
          </w:tcPr>
          <w:p w14:paraId="39E78B9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013F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306" w:type="pct"/>
            <w:noWrap/>
            <w:vAlign w:val="center"/>
          </w:tcPr>
          <w:p w14:paraId="66DCAA9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26" w:type="pct"/>
            <w:noWrap/>
            <w:vAlign w:val="center"/>
          </w:tcPr>
          <w:p w14:paraId="6EE3CC8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7D4EDA3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2D76C33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7699C6B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200" w:type="pct"/>
            <w:noWrap/>
            <w:vAlign w:val="center"/>
          </w:tcPr>
          <w:p w14:paraId="4102B10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070" w:type="pct"/>
            <w:noWrap/>
            <w:vAlign w:val="center"/>
          </w:tcPr>
          <w:p w14:paraId="74386F7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40" w:type="pct"/>
            <w:noWrap/>
            <w:vAlign w:val="center"/>
          </w:tcPr>
          <w:p w14:paraId="5FE19243">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437" w:type="pct"/>
            <w:noWrap/>
            <w:vAlign w:val="center"/>
          </w:tcPr>
          <w:p w14:paraId="7174EBAC">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35B9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306" w:type="pct"/>
            <w:noWrap/>
            <w:vAlign w:val="center"/>
          </w:tcPr>
          <w:p w14:paraId="28BB748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26" w:type="pct"/>
            <w:noWrap/>
            <w:vAlign w:val="center"/>
          </w:tcPr>
          <w:p w14:paraId="0F9BF8B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68FE950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7AAD2DB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181E3C5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200" w:type="pct"/>
            <w:noWrap/>
            <w:vAlign w:val="center"/>
          </w:tcPr>
          <w:p w14:paraId="3E83152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070" w:type="pct"/>
            <w:noWrap/>
            <w:vAlign w:val="center"/>
          </w:tcPr>
          <w:p w14:paraId="6B44DE4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40" w:type="pct"/>
            <w:noWrap/>
            <w:vAlign w:val="center"/>
          </w:tcPr>
          <w:p w14:paraId="4FF89A2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437" w:type="pct"/>
            <w:noWrap/>
            <w:vAlign w:val="center"/>
          </w:tcPr>
          <w:p w14:paraId="3AF300C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2751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306" w:type="pct"/>
            <w:noWrap/>
            <w:vAlign w:val="center"/>
          </w:tcPr>
          <w:p w14:paraId="04D0918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26" w:type="pct"/>
            <w:noWrap/>
            <w:vAlign w:val="center"/>
          </w:tcPr>
          <w:p w14:paraId="54F2BA8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7DD9011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231C2D7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3C3C0C3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200" w:type="pct"/>
            <w:noWrap/>
            <w:vAlign w:val="center"/>
          </w:tcPr>
          <w:p w14:paraId="0804B11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070" w:type="pct"/>
            <w:noWrap/>
            <w:vAlign w:val="center"/>
          </w:tcPr>
          <w:p w14:paraId="768B327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40" w:type="pct"/>
            <w:noWrap/>
            <w:vAlign w:val="center"/>
          </w:tcPr>
          <w:p w14:paraId="0CF679D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437" w:type="pct"/>
            <w:noWrap/>
            <w:vAlign w:val="center"/>
          </w:tcPr>
          <w:p w14:paraId="4F1E7F7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4D6B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000" w:type="pct"/>
            <w:gridSpan w:val="9"/>
            <w:noWrap/>
            <w:vAlign w:val="center"/>
          </w:tcPr>
          <w:p w14:paraId="3C3B558E">
            <w:pPr>
              <w:keepNext w:val="0"/>
              <w:keepLines w:val="0"/>
              <w:suppressLineNumbers w:val="0"/>
              <w:spacing w:before="0" w:beforeAutospacing="0" w:after="0" w:afterAutospacing="0"/>
              <w:ind w:left="0" w:right="0"/>
              <w:jc w:val="both"/>
              <w:rPr>
                <w:rFonts w:hint="default" w:ascii="宋体" w:hAnsi="宋体" w:eastAsia="宋体" w:cs="宋体"/>
                <w:color w:val="auto"/>
                <w:szCs w:val="21"/>
                <w:highlight w:val="none"/>
                <w:lang w:val="en-US" w:eastAsia="zh-CN"/>
              </w:rPr>
            </w:pPr>
            <w:r>
              <w:rPr>
                <w:rFonts w:hint="eastAsia" w:ascii="宋体" w:hAnsi="宋体" w:eastAsia="宋体" w:cs="宋体"/>
                <w:b/>
                <w:bCs/>
                <w:color w:val="auto"/>
                <w:szCs w:val="21"/>
                <w:highlight w:val="none"/>
                <w:lang w:val="en-US" w:eastAsia="zh-CN"/>
              </w:rPr>
              <w:t>第二部分：增加人员配置</w:t>
            </w:r>
          </w:p>
        </w:tc>
      </w:tr>
      <w:tr w14:paraId="0EDB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306" w:type="pct"/>
            <w:noWrap/>
            <w:vAlign w:val="center"/>
          </w:tcPr>
          <w:p w14:paraId="0CD7698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26" w:type="pct"/>
            <w:noWrap/>
            <w:vAlign w:val="center"/>
          </w:tcPr>
          <w:p w14:paraId="2CD25C3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39CB9B0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2CC54B8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739ABC0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200" w:type="pct"/>
            <w:noWrap/>
            <w:vAlign w:val="center"/>
          </w:tcPr>
          <w:p w14:paraId="4DC26CE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070" w:type="pct"/>
            <w:noWrap/>
            <w:vAlign w:val="center"/>
          </w:tcPr>
          <w:p w14:paraId="5D854173">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40" w:type="pct"/>
            <w:noWrap/>
            <w:vAlign w:val="center"/>
          </w:tcPr>
          <w:p w14:paraId="3E091133">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437" w:type="pct"/>
            <w:noWrap/>
            <w:vAlign w:val="center"/>
          </w:tcPr>
          <w:p w14:paraId="02EDDCC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7A47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306" w:type="pct"/>
            <w:noWrap/>
            <w:vAlign w:val="center"/>
          </w:tcPr>
          <w:p w14:paraId="17F2810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26" w:type="pct"/>
            <w:noWrap/>
            <w:vAlign w:val="center"/>
          </w:tcPr>
          <w:p w14:paraId="15830A1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54E4295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40175EC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1FEA532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200" w:type="pct"/>
            <w:noWrap/>
            <w:vAlign w:val="center"/>
          </w:tcPr>
          <w:p w14:paraId="5C39CDF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070" w:type="pct"/>
            <w:noWrap/>
            <w:vAlign w:val="center"/>
          </w:tcPr>
          <w:p w14:paraId="42BF1C6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40" w:type="pct"/>
            <w:noWrap/>
            <w:vAlign w:val="center"/>
          </w:tcPr>
          <w:p w14:paraId="14EB045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437" w:type="pct"/>
            <w:noWrap/>
            <w:vAlign w:val="center"/>
          </w:tcPr>
          <w:p w14:paraId="02C7BAC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2663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06" w:type="pct"/>
            <w:noWrap/>
            <w:vAlign w:val="center"/>
          </w:tcPr>
          <w:p w14:paraId="509367C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26" w:type="pct"/>
            <w:noWrap/>
            <w:vAlign w:val="center"/>
          </w:tcPr>
          <w:p w14:paraId="047776D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5771092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329153B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4C77698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200" w:type="pct"/>
            <w:noWrap/>
            <w:vAlign w:val="center"/>
          </w:tcPr>
          <w:p w14:paraId="355B3F6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070" w:type="pct"/>
            <w:noWrap/>
            <w:vAlign w:val="center"/>
          </w:tcPr>
          <w:p w14:paraId="71FB2C7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40" w:type="pct"/>
            <w:noWrap/>
            <w:vAlign w:val="center"/>
          </w:tcPr>
          <w:p w14:paraId="6C5A9D7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437" w:type="pct"/>
            <w:noWrap/>
            <w:vAlign w:val="center"/>
          </w:tcPr>
          <w:p w14:paraId="2B4FFEC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78D4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306" w:type="pct"/>
            <w:noWrap/>
            <w:vAlign w:val="center"/>
          </w:tcPr>
          <w:p w14:paraId="45040DF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26" w:type="pct"/>
            <w:noWrap/>
            <w:vAlign w:val="center"/>
          </w:tcPr>
          <w:p w14:paraId="4C68E8E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66C87AE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7CC9A87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306" w:type="pct"/>
            <w:noWrap/>
            <w:vAlign w:val="center"/>
          </w:tcPr>
          <w:p w14:paraId="31F82DC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200" w:type="pct"/>
            <w:noWrap/>
            <w:vAlign w:val="center"/>
          </w:tcPr>
          <w:p w14:paraId="2177572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070" w:type="pct"/>
            <w:noWrap/>
            <w:vAlign w:val="center"/>
          </w:tcPr>
          <w:p w14:paraId="37F922C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540" w:type="pct"/>
            <w:noWrap/>
            <w:vAlign w:val="center"/>
          </w:tcPr>
          <w:p w14:paraId="291B5D2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437" w:type="pct"/>
            <w:noWrap/>
            <w:vAlign w:val="center"/>
          </w:tcPr>
          <w:p w14:paraId="7EFC15B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bl>
    <w:p w14:paraId="6B06BDA1">
      <w:pPr>
        <w:overflowPunct w:val="0"/>
        <w:spacing w:before="0" w:line="360" w:lineRule="auto"/>
        <w:ind w:left="477" w:leftChars="-73" w:hanging="630" w:hangingChars="300"/>
        <w:rPr>
          <w:rFonts w:hint="eastAsia" w:ascii="宋体" w:hAnsi="宋体" w:eastAsia="宋体" w:cs="宋体"/>
          <w:color w:val="auto"/>
          <w:szCs w:val="21"/>
          <w:highlight w:val="none"/>
        </w:rPr>
      </w:pPr>
    </w:p>
    <w:p w14:paraId="64B23182">
      <w:pPr>
        <w:overflowPunct w:val="0"/>
        <w:spacing w:before="0" w:line="360" w:lineRule="auto"/>
        <w:ind w:left="477" w:leftChars="-73" w:hanging="630" w:hanging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p w14:paraId="0876196A">
      <w:pPr>
        <w:overflowPunct w:val="0"/>
        <w:spacing w:before="0" w:line="360" w:lineRule="auto"/>
        <w:ind w:left="477" w:leftChars="-73" w:hanging="630" w:hangingChars="3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投标人</w:t>
      </w:r>
      <w:r>
        <w:rPr>
          <w:rFonts w:hint="eastAsia" w:ascii="宋体" w:hAnsi="宋体" w:eastAsia="宋体" w:cs="宋体"/>
          <w:color w:val="auto"/>
          <w:szCs w:val="21"/>
          <w:highlight w:val="none"/>
        </w:rPr>
        <w:t>须根据用户需求书及评分要求在此格式下附以下证明材料的原件扫描件：</w:t>
      </w:r>
    </w:p>
    <w:p w14:paraId="65148BAA">
      <w:pPr>
        <w:overflowPunct w:val="0"/>
        <w:spacing w:before="0" w:line="360" w:lineRule="auto"/>
        <w:ind w:left="454" w:leftChars="216" w:firstLine="0" w:firstLineChars="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rPr>
        <w:t>项目管理人员应提供：</w:t>
      </w:r>
      <w:r>
        <w:rPr>
          <w:rFonts w:hint="eastAsia" w:ascii="宋体" w:hAnsi="宋体" w:eastAsia="宋体" w:cs="宋体"/>
          <w:color w:val="auto"/>
          <w:szCs w:val="21"/>
          <w:highlight w:val="none"/>
          <w:lang w:val="en-US" w:eastAsia="zh-CN"/>
        </w:rPr>
        <w:t>①</w:t>
      </w:r>
      <w:r>
        <w:rPr>
          <w:rFonts w:hint="eastAsia" w:ascii="宋体" w:hAnsi="宋体" w:eastAsia="宋体" w:cs="宋体"/>
          <w:color w:val="auto"/>
          <w:szCs w:val="21"/>
          <w:highlight w:val="none"/>
        </w:rPr>
        <w:t>人员身份证；</w:t>
      </w:r>
      <w:r>
        <w:rPr>
          <w:rFonts w:hint="eastAsia" w:ascii="宋体" w:hAnsi="宋体" w:eastAsia="宋体" w:cs="宋体"/>
          <w:color w:val="auto"/>
          <w:szCs w:val="21"/>
          <w:highlight w:val="none"/>
          <w:lang w:val="en-US" w:eastAsia="zh-CN"/>
        </w:rPr>
        <w:t>②</w:t>
      </w:r>
      <w:r>
        <w:rPr>
          <w:rFonts w:hint="eastAsia" w:ascii="宋体" w:hAnsi="宋体" w:eastAsia="宋体" w:cs="宋体"/>
          <w:color w:val="auto"/>
          <w:szCs w:val="21"/>
          <w:highlight w:val="none"/>
        </w:rPr>
        <w:t>人员具备的相关证书；</w:t>
      </w:r>
      <w:r>
        <w:rPr>
          <w:rFonts w:hint="eastAsia" w:ascii="宋体" w:hAnsi="宋体" w:eastAsia="宋体" w:cs="宋体"/>
          <w:color w:val="auto"/>
          <w:szCs w:val="21"/>
          <w:highlight w:val="none"/>
          <w:lang w:val="en-US" w:eastAsia="zh-CN"/>
        </w:rPr>
        <w:t>③</w:t>
      </w:r>
      <w:r>
        <w:rPr>
          <w:rFonts w:hint="eastAsia" w:ascii="宋体" w:hAnsi="宋体" w:eastAsia="宋体" w:cs="宋体"/>
          <w:color w:val="auto"/>
          <w:szCs w:val="21"/>
          <w:highlight w:val="none"/>
        </w:rPr>
        <w:t>社会保障部门出具</w:t>
      </w:r>
      <w:r>
        <w:rPr>
          <w:rFonts w:hint="eastAsia" w:ascii="宋体" w:hAnsi="宋体" w:eastAsia="宋体" w:cs="宋体"/>
          <w:color w:val="auto"/>
          <w:szCs w:val="21"/>
          <w:highlight w:val="none"/>
          <w:lang w:val="en-US" w:eastAsia="zh-CN"/>
        </w:rPr>
        <w:t>的</w:t>
      </w:r>
      <w:r>
        <w:rPr>
          <w:rFonts w:hint="eastAsia" w:ascii="宋体" w:hAnsi="宋体" w:eastAsia="宋体" w:cs="宋体"/>
          <w:color w:val="auto"/>
          <w:szCs w:val="21"/>
          <w:highlight w:val="none"/>
        </w:rPr>
        <w:t>开标当月在投标人单位缴纳社保的证明材料，或开标当月前一个月在投标人单位缴纳社保的证明材料及相关人员与投标人签订的劳动合同。</w:t>
      </w:r>
    </w:p>
    <w:p w14:paraId="2A0124A3">
      <w:pPr>
        <w:overflowPunct w:val="0"/>
        <w:spacing w:before="0" w:line="360" w:lineRule="auto"/>
        <w:ind w:left="454" w:leftChars="216"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b/>
          <w:bCs/>
          <w:color w:val="auto"/>
          <w:szCs w:val="21"/>
          <w:highlight w:val="none"/>
          <w:lang w:val="en-US" w:eastAsia="zh-CN"/>
        </w:rPr>
        <w:t>劳务工应提供：</w:t>
      </w:r>
      <w:r>
        <w:rPr>
          <w:rFonts w:hint="eastAsia" w:ascii="宋体" w:hAnsi="宋体" w:eastAsia="宋体" w:cs="宋体"/>
          <w:color w:val="auto"/>
          <w:szCs w:val="21"/>
          <w:highlight w:val="none"/>
          <w:lang w:val="en-US" w:eastAsia="zh-CN"/>
        </w:rPr>
        <w:t>①人员身份证；②人员具备的相关证书；③劳务工与投标人签订的劳动合同。</w:t>
      </w:r>
    </w:p>
    <w:p w14:paraId="13F3A82C">
      <w:pPr>
        <w:numPr>
          <w:ilvl w:val="0"/>
          <w:numId w:val="0"/>
        </w:numPr>
        <w:overflowPunct w:val="0"/>
        <w:spacing w:before="0" w:line="360" w:lineRule="auto"/>
        <w:ind w:left="477" w:leftChars="-73" w:hanging="630" w:hangingChars="300"/>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Cs w:val="21"/>
          <w:highlight w:val="none"/>
          <w:lang w:val="en-US" w:eastAsia="zh-CN"/>
        </w:rPr>
        <w:t>表中的“</w:t>
      </w:r>
      <w:r>
        <w:rPr>
          <w:rFonts w:hint="eastAsia" w:ascii="宋体" w:hAnsi="宋体" w:eastAsia="宋体" w:cs="宋体"/>
          <w:color w:val="auto"/>
          <w:szCs w:val="21"/>
          <w:highlight w:val="none"/>
        </w:rPr>
        <w:t>备注</w:t>
      </w:r>
      <w:r>
        <w:rPr>
          <w:rFonts w:hint="eastAsia" w:ascii="宋体" w:hAnsi="宋体" w:eastAsia="宋体" w:cs="宋体"/>
          <w:color w:val="auto"/>
          <w:szCs w:val="21"/>
          <w:highlight w:val="none"/>
          <w:lang w:val="en-US" w:eastAsia="zh-CN"/>
        </w:rPr>
        <w:t>”应注明相关人员为“项目管理人员”或“劳务工”。</w:t>
      </w:r>
    </w:p>
    <w:p w14:paraId="1BCE47AC">
      <w:pPr>
        <w:numPr>
          <w:ilvl w:val="0"/>
          <w:numId w:val="0"/>
        </w:numPr>
        <w:overflowPunct w:val="0"/>
        <w:spacing w:line="360" w:lineRule="auto"/>
        <w:ind w:left="477" w:leftChars="-73" w:hanging="630" w:hangingChars="3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（3）上表中的工作人员在合同履约过程中如需变更的，应根据本项目合同条款中人员变更相关条款进行处理。</w:t>
      </w:r>
    </w:p>
    <w:p w14:paraId="4C90D699">
      <w:pPr>
        <w:spacing w:line="360" w:lineRule="auto"/>
        <w:ind w:right="420" w:firstLine="4935" w:firstLineChars="2350"/>
        <w:rPr>
          <w:rFonts w:hint="eastAsia" w:ascii="宋体" w:hAnsi="宋体" w:eastAsia="宋体" w:cs="宋体"/>
          <w:color w:val="auto"/>
          <w:szCs w:val="21"/>
          <w:highlight w:val="none"/>
          <w:lang w:val="zh-CN"/>
        </w:rPr>
      </w:pPr>
    </w:p>
    <w:p w14:paraId="7D11A876">
      <w:pPr>
        <w:autoSpaceDE w:val="0"/>
        <w:autoSpaceDN w:val="0"/>
        <w:adjustRightInd w:val="0"/>
        <w:spacing w:line="360" w:lineRule="auto"/>
        <w:ind w:firstLine="5040" w:firstLineChars="24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w:t>
      </w:r>
      <w:r>
        <w:rPr>
          <w:rFonts w:hint="eastAsia" w:ascii="宋体" w:hAnsi="宋体" w:eastAsia="宋体" w:cs="宋体"/>
          <w:color w:val="auto"/>
          <w:szCs w:val="21"/>
          <w:highlight w:val="none"/>
          <w:u w:val="single"/>
          <w:lang w:val="zh-CN"/>
        </w:rPr>
        <w:t xml:space="preserve">             （企业数字证书电子签名）</w:t>
      </w:r>
    </w:p>
    <w:p w14:paraId="3B969E62">
      <w:pPr>
        <w:widowControl/>
        <w:ind w:firstLine="5040" w:firstLineChars="2400"/>
        <w:jc w:val="left"/>
        <w:rPr>
          <w:rFonts w:hint="eastAsia" w:ascii="宋体" w:hAnsi="宋体" w:eastAsia="宋体" w:cs="宋体"/>
          <w:color w:val="auto"/>
          <w:highlight w:val="none"/>
        </w:rPr>
      </w:pPr>
      <w:r>
        <w:rPr>
          <w:rFonts w:hint="eastAsia" w:ascii="宋体" w:hAnsi="宋体" w:eastAsia="宋体" w:cs="宋体"/>
          <w:color w:val="auto"/>
          <w:kern w:val="0"/>
          <w:szCs w:val="21"/>
          <w:highlight w:val="none"/>
        </w:rPr>
        <w:t>日    期：    年    月    日</w:t>
      </w:r>
    </w:p>
    <w:p w14:paraId="12650B5E">
      <w:pPr>
        <w:widowControl/>
        <w:jc w:val="left"/>
        <w:rPr>
          <w:rFonts w:hint="eastAsia" w:ascii="宋体" w:hAnsi="宋体" w:eastAsia="宋体" w:cs="Times New Roman"/>
          <w:color w:val="auto"/>
          <w:kern w:val="0"/>
          <w:szCs w:val="21"/>
          <w:highlight w:val="none"/>
        </w:rPr>
      </w:pPr>
    </w:p>
    <w:p w14:paraId="369950E9">
      <w:pPr>
        <w:widowControl/>
        <w:jc w:val="center"/>
        <w:rPr>
          <w:rFonts w:hint="eastAsia" w:ascii="宋体" w:hAnsi="宋体" w:eastAsia="宋体" w:cs="Times New Roman"/>
          <w:color w:val="auto"/>
          <w:kern w:val="0"/>
          <w:szCs w:val="21"/>
          <w:highlight w:val="none"/>
        </w:rPr>
      </w:pPr>
      <w:r>
        <w:rPr>
          <w:rFonts w:hint="eastAsia" w:ascii="宋体" w:hAnsi="宋体" w:eastAsia="宋体" w:cs="Times New Roman"/>
          <w:b/>
          <w:bCs/>
          <w:color w:val="auto"/>
          <w:szCs w:val="24"/>
          <w:highlight w:val="none"/>
          <w:lang w:val="zh-CN"/>
        </w:rPr>
        <w:t>说明：由投标人使用投标人的企业数字证书电子签名。</w:t>
      </w:r>
    </w:p>
    <w:p w14:paraId="13D94BDD">
      <w:pPr>
        <w:widowControl/>
        <w:jc w:val="left"/>
        <w:rPr>
          <w:rFonts w:hint="eastAsia" w:ascii="宋体" w:hAnsi="宋体" w:eastAsia="宋体" w:cs="Times New Roman"/>
          <w:color w:val="auto"/>
          <w:kern w:val="0"/>
          <w:szCs w:val="21"/>
          <w:highlight w:val="none"/>
        </w:rPr>
      </w:pPr>
      <w:r>
        <w:rPr>
          <w:rFonts w:ascii="宋体" w:hAnsi="宋体" w:eastAsia="宋体" w:cs="Times New Roman"/>
          <w:color w:val="auto"/>
          <w:kern w:val="0"/>
          <w:szCs w:val="21"/>
          <w:highlight w:val="none"/>
        </w:rPr>
        <w:br w:type="page"/>
      </w:r>
    </w:p>
    <w:bookmarkEnd w:id="773"/>
    <w:p w14:paraId="5D24100A">
      <w:pPr>
        <w:spacing w:line="360" w:lineRule="auto"/>
        <w:outlineLvl w:val="2"/>
        <w:rPr>
          <w:rFonts w:hint="eastAsia" w:ascii="宋体" w:hAnsi="宋体" w:eastAsia="宋体" w:cs="宋体"/>
          <w:b/>
          <w:color w:val="auto"/>
          <w:kern w:val="0"/>
          <w:sz w:val="30"/>
          <w:szCs w:val="30"/>
          <w:highlight w:val="none"/>
        </w:rPr>
      </w:pPr>
      <w:bookmarkStart w:id="774" w:name="_Toc20502"/>
      <w:bookmarkStart w:id="775" w:name="_Toc102860094"/>
      <w:bookmarkStart w:id="776" w:name="_Toc142508389"/>
      <w:bookmarkStart w:id="777" w:name="_Toc140596949"/>
      <w:bookmarkStart w:id="778" w:name="_Toc102860438"/>
      <w:bookmarkStart w:id="779" w:name="_Toc104991896"/>
      <w:bookmarkStart w:id="780" w:name="_Toc533708139"/>
      <w:r>
        <w:rPr>
          <w:rFonts w:hint="eastAsia" w:ascii="宋体" w:hAnsi="宋体" w:eastAsia="宋体" w:cs="宋体"/>
          <w:b/>
          <w:color w:val="auto"/>
          <w:kern w:val="0"/>
          <w:sz w:val="30"/>
          <w:szCs w:val="30"/>
          <w:highlight w:val="none"/>
        </w:rPr>
        <w:t>三、拟投入本项目机械设备情况</w:t>
      </w:r>
      <w:bookmarkEnd w:id="774"/>
    </w:p>
    <w:p w14:paraId="5E82EE6A">
      <w:pPr>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拟投入本项目机械设备情况一览表</w:t>
      </w:r>
    </w:p>
    <w:tbl>
      <w:tblPr>
        <w:tblStyle w:val="3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1539"/>
        <w:gridCol w:w="1964"/>
        <w:gridCol w:w="2996"/>
        <w:gridCol w:w="1374"/>
        <w:gridCol w:w="1524"/>
      </w:tblGrid>
      <w:tr w14:paraId="5285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65" w:type="pct"/>
            <w:noWrap/>
            <w:vAlign w:val="center"/>
          </w:tcPr>
          <w:p w14:paraId="2F40E46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743" w:type="pct"/>
            <w:noWrap/>
            <w:vAlign w:val="center"/>
          </w:tcPr>
          <w:p w14:paraId="5376581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设备类型</w:t>
            </w:r>
          </w:p>
        </w:tc>
        <w:tc>
          <w:tcPr>
            <w:tcW w:w="948" w:type="pct"/>
            <w:noWrap/>
            <w:vAlign w:val="center"/>
          </w:tcPr>
          <w:p w14:paraId="19E3B3B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设备名称</w:t>
            </w:r>
          </w:p>
        </w:tc>
        <w:tc>
          <w:tcPr>
            <w:tcW w:w="1446" w:type="pct"/>
            <w:noWrap/>
            <w:vAlign w:val="center"/>
          </w:tcPr>
          <w:p w14:paraId="34CF91B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设备参数</w:t>
            </w:r>
          </w:p>
        </w:tc>
        <w:tc>
          <w:tcPr>
            <w:tcW w:w="663" w:type="pct"/>
            <w:noWrap/>
            <w:vAlign w:val="center"/>
          </w:tcPr>
          <w:p w14:paraId="746865A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持有类型</w:t>
            </w:r>
          </w:p>
        </w:tc>
        <w:tc>
          <w:tcPr>
            <w:tcW w:w="732" w:type="pct"/>
            <w:noWrap/>
            <w:vAlign w:val="center"/>
          </w:tcPr>
          <w:p w14:paraId="347123A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645C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5000" w:type="pct"/>
            <w:gridSpan w:val="6"/>
            <w:noWrap/>
            <w:vAlign w:val="center"/>
          </w:tcPr>
          <w:p w14:paraId="3BEAB2F1">
            <w:pPr>
              <w:keepNext w:val="0"/>
              <w:keepLines w:val="0"/>
              <w:suppressLineNumbers w:val="0"/>
              <w:spacing w:before="0" w:beforeAutospacing="0" w:after="0" w:afterAutospacing="0" w:line="360" w:lineRule="auto"/>
              <w:ind w:left="0" w:right="0"/>
              <w:jc w:val="both"/>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rPr>
              <w:t>第一部分：基础机械设备配置</w:t>
            </w:r>
          </w:p>
        </w:tc>
      </w:tr>
      <w:tr w14:paraId="004C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465" w:type="pct"/>
            <w:noWrap/>
            <w:vAlign w:val="center"/>
          </w:tcPr>
          <w:p w14:paraId="3A1D7B6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743" w:type="pct"/>
            <w:noWrap/>
            <w:vAlign w:val="center"/>
          </w:tcPr>
          <w:p w14:paraId="793F0D1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948" w:type="pct"/>
            <w:noWrap/>
            <w:vAlign w:val="center"/>
          </w:tcPr>
          <w:p w14:paraId="7668B3B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446" w:type="pct"/>
            <w:noWrap/>
            <w:vAlign w:val="center"/>
          </w:tcPr>
          <w:p w14:paraId="5B2198A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663" w:type="pct"/>
            <w:noWrap/>
            <w:vAlign w:val="center"/>
          </w:tcPr>
          <w:p w14:paraId="4006487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732" w:type="pct"/>
            <w:noWrap/>
            <w:vAlign w:val="center"/>
          </w:tcPr>
          <w:p w14:paraId="2BC6DDA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79B1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65" w:type="pct"/>
            <w:noWrap/>
            <w:vAlign w:val="center"/>
          </w:tcPr>
          <w:p w14:paraId="0E268C7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743" w:type="pct"/>
            <w:noWrap/>
            <w:vAlign w:val="center"/>
          </w:tcPr>
          <w:p w14:paraId="6AD0CBF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948" w:type="pct"/>
            <w:noWrap/>
            <w:vAlign w:val="center"/>
          </w:tcPr>
          <w:p w14:paraId="71BE339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446" w:type="pct"/>
            <w:noWrap/>
            <w:vAlign w:val="center"/>
          </w:tcPr>
          <w:p w14:paraId="0EF8C05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663" w:type="pct"/>
            <w:noWrap/>
            <w:vAlign w:val="center"/>
          </w:tcPr>
          <w:p w14:paraId="29FA0D6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732" w:type="pct"/>
            <w:noWrap/>
            <w:vAlign w:val="center"/>
          </w:tcPr>
          <w:p w14:paraId="02D6DFC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3CFC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65" w:type="pct"/>
            <w:noWrap/>
            <w:vAlign w:val="center"/>
          </w:tcPr>
          <w:p w14:paraId="09D155B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743" w:type="pct"/>
            <w:noWrap/>
            <w:vAlign w:val="center"/>
          </w:tcPr>
          <w:p w14:paraId="7B6C4B2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948" w:type="pct"/>
            <w:noWrap/>
            <w:vAlign w:val="center"/>
          </w:tcPr>
          <w:p w14:paraId="65125BE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446" w:type="pct"/>
            <w:noWrap/>
            <w:vAlign w:val="center"/>
          </w:tcPr>
          <w:p w14:paraId="1667DBE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663" w:type="pct"/>
            <w:noWrap/>
            <w:vAlign w:val="center"/>
          </w:tcPr>
          <w:p w14:paraId="698379C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732" w:type="pct"/>
            <w:noWrap/>
            <w:vAlign w:val="center"/>
          </w:tcPr>
          <w:p w14:paraId="4F59C2C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7CD0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5000" w:type="pct"/>
            <w:gridSpan w:val="6"/>
            <w:noWrap/>
            <w:vAlign w:val="center"/>
          </w:tcPr>
          <w:p w14:paraId="16622D41">
            <w:pPr>
              <w:keepNext w:val="0"/>
              <w:keepLines w:val="0"/>
              <w:suppressLineNumbers w:val="0"/>
              <w:spacing w:before="0" w:beforeAutospacing="0" w:after="0" w:afterAutospacing="0" w:line="360" w:lineRule="auto"/>
              <w:ind w:left="0" w:right="0"/>
              <w:jc w:val="both"/>
              <w:rPr>
                <w:rFonts w:hint="default" w:ascii="宋体" w:hAnsi="宋体" w:eastAsia="宋体" w:cs="宋体"/>
                <w:color w:val="auto"/>
                <w:szCs w:val="21"/>
                <w:highlight w:val="none"/>
                <w:lang w:val="en-US" w:eastAsia="zh-CN"/>
              </w:rPr>
            </w:pPr>
            <w:r>
              <w:rPr>
                <w:rFonts w:hint="eastAsia" w:ascii="宋体" w:hAnsi="宋体" w:eastAsia="宋体" w:cs="宋体"/>
                <w:b/>
                <w:bCs/>
                <w:color w:val="auto"/>
                <w:szCs w:val="21"/>
                <w:highlight w:val="none"/>
                <w:lang w:val="en-US" w:eastAsia="zh-CN"/>
              </w:rPr>
              <w:t>第二部分：增加机械设备配置（如有）</w:t>
            </w:r>
          </w:p>
        </w:tc>
      </w:tr>
      <w:tr w14:paraId="652B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65" w:type="pct"/>
            <w:noWrap/>
            <w:vAlign w:val="center"/>
          </w:tcPr>
          <w:p w14:paraId="260D5C5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743" w:type="pct"/>
            <w:noWrap/>
            <w:vAlign w:val="center"/>
          </w:tcPr>
          <w:p w14:paraId="7D891D2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948" w:type="pct"/>
            <w:noWrap/>
            <w:vAlign w:val="center"/>
          </w:tcPr>
          <w:p w14:paraId="1469BE3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446" w:type="pct"/>
            <w:noWrap/>
            <w:vAlign w:val="center"/>
          </w:tcPr>
          <w:p w14:paraId="01AB447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663" w:type="pct"/>
            <w:noWrap/>
            <w:vAlign w:val="center"/>
          </w:tcPr>
          <w:p w14:paraId="781B537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732" w:type="pct"/>
            <w:noWrap/>
            <w:vAlign w:val="center"/>
          </w:tcPr>
          <w:p w14:paraId="39F1999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1785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65" w:type="pct"/>
            <w:noWrap/>
            <w:vAlign w:val="center"/>
          </w:tcPr>
          <w:p w14:paraId="1025B87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743" w:type="pct"/>
            <w:noWrap/>
            <w:vAlign w:val="center"/>
          </w:tcPr>
          <w:p w14:paraId="12A17F9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948" w:type="pct"/>
            <w:noWrap/>
            <w:vAlign w:val="center"/>
          </w:tcPr>
          <w:p w14:paraId="5970F92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446" w:type="pct"/>
            <w:noWrap/>
            <w:vAlign w:val="center"/>
          </w:tcPr>
          <w:p w14:paraId="52078C9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663" w:type="pct"/>
            <w:noWrap/>
            <w:vAlign w:val="center"/>
          </w:tcPr>
          <w:p w14:paraId="53909E7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732" w:type="pct"/>
            <w:noWrap/>
            <w:vAlign w:val="center"/>
          </w:tcPr>
          <w:p w14:paraId="614A9EB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524A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65" w:type="pct"/>
            <w:noWrap/>
            <w:vAlign w:val="center"/>
          </w:tcPr>
          <w:p w14:paraId="751F211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743" w:type="pct"/>
            <w:noWrap/>
            <w:vAlign w:val="center"/>
          </w:tcPr>
          <w:p w14:paraId="0EEF94C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948" w:type="pct"/>
            <w:noWrap/>
            <w:vAlign w:val="center"/>
          </w:tcPr>
          <w:p w14:paraId="52BD874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446" w:type="pct"/>
            <w:noWrap/>
            <w:vAlign w:val="center"/>
          </w:tcPr>
          <w:p w14:paraId="703B815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663" w:type="pct"/>
            <w:noWrap/>
            <w:vAlign w:val="center"/>
          </w:tcPr>
          <w:p w14:paraId="2B6BC53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732" w:type="pct"/>
            <w:noWrap/>
            <w:vAlign w:val="center"/>
          </w:tcPr>
          <w:p w14:paraId="259B5A5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bl>
    <w:p w14:paraId="07A76F5D">
      <w:pPr>
        <w:overflowPunct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p w14:paraId="615089D6">
      <w:pPr>
        <w:overflowPunct w:val="0"/>
        <w:spacing w:line="360" w:lineRule="auto"/>
        <w:rPr>
          <w:rFonts w:hint="default" w:ascii="宋体" w:hAnsi="宋体" w:eastAsia="宋体" w:cs="宋体"/>
          <w:color w:val="auto"/>
          <w:szCs w:val="21"/>
          <w:highlight w:val="none"/>
          <w:lang w:val="en-US" w:eastAsia="zh-CN"/>
        </w:rPr>
      </w:pPr>
      <w:r>
        <w:rPr>
          <w:rFonts w:hint="default" w:ascii="宋体" w:hAnsi="宋体" w:eastAsia="宋体" w:cs="宋体"/>
          <w:b/>
          <w:bCs/>
          <w:color w:val="auto"/>
          <w:szCs w:val="21"/>
          <w:highlight w:val="none"/>
          <w:lang w:val="en-US"/>
        </w:rPr>
        <w:t>基础</w:t>
      </w:r>
      <w:r>
        <w:rPr>
          <w:rFonts w:hint="eastAsia" w:ascii="宋体" w:hAnsi="宋体" w:eastAsia="宋体" w:cs="宋体"/>
          <w:b/>
          <w:bCs/>
          <w:color w:val="auto"/>
          <w:szCs w:val="21"/>
          <w:highlight w:val="none"/>
        </w:rPr>
        <w:t>机械设备配置</w:t>
      </w:r>
      <w:r>
        <w:rPr>
          <w:rFonts w:hint="eastAsia" w:ascii="宋体" w:hAnsi="宋体" w:eastAsia="宋体" w:cs="宋体"/>
          <w:color w:val="auto"/>
          <w:szCs w:val="21"/>
          <w:highlight w:val="none"/>
          <w:lang w:val="en-US" w:eastAsia="zh-CN"/>
        </w:rPr>
        <w:t>应在此格式下提供以下证明材料：</w:t>
      </w:r>
    </w:p>
    <w:p w14:paraId="3B2239CF">
      <w:pPr>
        <w:overflowPunct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上述设备为投标人自有时，须提供相关设备的照片及设备购买发票原件扫描件；上述设备为投标人租赁时，须提供相关设备的照片及设备租赁合同原件扫描件。</w:t>
      </w:r>
    </w:p>
    <w:p w14:paraId="187E827F">
      <w:pPr>
        <w:overflowPunct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抢修用的发电车</w:t>
      </w:r>
      <w:r>
        <w:rPr>
          <w:rFonts w:hint="eastAsia" w:ascii="宋体" w:hAnsi="宋体" w:eastAsia="宋体" w:cs="宋体"/>
          <w:color w:val="auto"/>
          <w:szCs w:val="21"/>
          <w:highlight w:val="none"/>
        </w:rPr>
        <w:t>或移动发电设备</w:t>
      </w:r>
      <w:r>
        <w:rPr>
          <w:rFonts w:hint="eastAsia" w:ascii="宋体" w:hAnsi="宋体" w:eastAsia="宋体" w:cs="宋体"/>
          <w:color w:val="auto"/>
          <w:szCs w:val="21"/>
          <w:highlight w:val="none"/>
        </w:rPr>
        <w:t>、潜污泵须提供铭牌或出厂合格证</w:t>
      </w:r>
      <w:r>
        <w:rPr>
          <w:rFonts w:hint="eastAsia" w:ascii="宋体" w:hAnsi="宋体" w:eastAsia="宋体" w:cs="宋体"/>
          <w:color w:val="auto"/>
          <w:szCs w:val="21"/>
          <w:highlight w:val="none"/>
          <w:lang w:val="en-US" w:eastAsia="zh-CN"/>
        </w:rPr>
        <w:t>或产品</w:t>
      </w:r>
      <w:r>
        <w:rPr>
          <w:rFonts w:hint="eastAsia" w:ascii="宋体" w:hAnsi="宋体" w:eastAsia="宋体" w:cs="宋体"/>
          <w:color w:val="auto"/>
          <w:szCs w:val="21"/>
          <w:highlight w:val="none"/>
        </w:rPr>
        <w:t>说明书等参数证明材料。</w:t>
      </w:r>
    </w:p>
    <w:p w14:paraId="275686BC">
      <w:pPr>
        <w:pStyle w:val="37"/>
        <w:ind w:firstLine="210"/>
        <w:rPr>
          <w:rFonts w:hint="eastAsia"/>
          <w:color w:val="auto"/>
          <w:highlight w:val="none"/>
        </w:rPr>
      </w:pPr>
    </w:p>
    <w:p w14:paraId="05429BB0">
      <w:pPr>
        <w:autoSpaceDE w:val="0"/>
        <w:autoSpaceDN w:val="0"/>
        <w:adjustRightInd w:val="0"/>
        <w:spacing w:line="360" w:lineRule="auto"/>
        <w:ind w:firstLine="5040" w:firstLineChars="24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w:t>
      </w:r>
      <w:r>
        <w:rPr>
          <w:rFonts w:hint="eastAsia" w:ascii="宋体" w:hAnsi="宋体" w:eastAsia="宋体" w:cs="宋体"/>
          <w:color w:val="auto"/>
          <w:szCs w:val="21"/>
          <w:highlight w:val="none"/>
          <w:u w:val="single"/>
          <w:lang w:val="zh-CN"/>
        </w:rPr>
        <w:t xml:space="preserve">             （企业数字证书电子签名）</w:t>
      </w:r>
    </w:p>
    <w:p w14:paraId="10C69B2D">
      <w:pPr>
        <w:widowControl/>
        <w:ind w:firstLine="5040" w:firstLineChars="2400"/>
        <w:jc w:val="left"/>
        <w:rPr>
          <w:rFonts w:hint="eastAsia" w:ascii="宋体" w:hAnsi="宋体" w:eastAsia="宋体" w:cs="宋体"/>
          <w:color w:val="auto"/>
          <w:highlight w:val="none"/>
        </w:rPr>
      </w:pPr>
      <w:r>
        <w:rPr>
          <w:rFonts w:hint="eastAsia" w:ascii="宋体" w:hAnsi="宋体" w:eastAsia="宋体" w:cs="宋体"/>
          <w:color w:val="auto"/>
          <w:kern w:val="0"/>
          <w:szCs w:val="21"/>
          <w:highlight w:val="none"/>
        </w:rPr>
        <w:t>日    期：    年    月    日</w:t>
      </w:r>
    </w:p>
    <w:p w14:paraId="1487CF04">
      <w:pPr>
        <w:widowControl/>
        <w:ind w:firstLine="5040" w:firstLineChars="2400"/>
        <w:jc w:val="left"/>
        <w:rPr>
          <w:rFonts w:hint="eastAsia" w:ascii="宋体" w:hAnsi="宋体" w:eastAsia="宋体" w:cs="Times New Roman"/>
          <w:color w:val="auto"/>
          <w:kern w:val="0"/>
          <w:szCs w:val="21"/>
          <w:highlight w:val="none"/>
        </w:rPr>
      </w:pPr>
    </w:p>
    <w:p w14:paraId="399E7C5A">
      <w:pPr>
        <w:pStyle w:val="37"/>
        <w:ind w:firstLine="210"/>
        <w:rPr>
          <w:rFonts w:hint="eastAsia"/>
          <w:color w:val="auto"/>
          <w:highlight w:val="none"/>
        </w:rPr>
      </w:pPr>
    </w:p>
    <w:p w14:paraId="25647C1B">
      <w:pPr>
        <w:jc w:val="center"/>
        <w:rPr>
          <w:rFonts w:hint="eastAsia" w:ascii="宋体" w:hAnsi="宋体" w:eastAsia="宋体" w:cs="宋体"/>
          <w:b/>
          <w:color w:val="auto"/>
          <w:kern w:val="0"/>
          <w:sz w:val="30"/>
          <w:szCs w:val="30"/>
          <w:highlight w:val="none"/>
        </w:rPr>
      </w:pPr>
      <w:r>
        <w:rPr>
          <w:rFonts w:hint="eastAsia" w:ascii="宋体" w:hAnsi="宋体" w:eastAsia="宋体" w:cs="Times New Roman"/>
          <w:b/>
          <w:bCs/>
          <w:color w:val="auto"/>
          <w:szCs w:val="24"/>
          <w:highlight w:val="none"/>
          <w:lang w:val="zh-CN"/>
        </w:rPr>
        <w:t>说明：由投标人使用投标人的企业数字证书电子签名。</w:t>
      </w:r>
    </w:p>
    <w:p w14:paraId="6D2BBB2D">
      <w:pP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p>
    <w:p w14:paraId="36DC4887">
      <w:pPr>
        <w:outlineLvl w:val="2"/>
        <w:rPr>
          <w:rFonts w:hint="eastAsia" w:ascii="宋体" w:hAnsi="宋体" w:eastAsia="宋体" w:cs="宋体"/>
          <w:b/>
          <w:color w:val="auto"/>
          <w:kern w:val="0"/>
          <w:sz w:val="30"/>
          <w:szCs w:val="30"/>
          <w:highlight w:val="none"/>
        </w:rPr>
      </w:pPr>
      <w:bookmarkStart w:id="781" w:name="_Toc9875"/>
      <w:r>
        <w:rPr>
          <w:rFonts w:hint="eastAsia" w:ascii="宋体" w:hAnsi="宋体" w:eastAsia="宋体" w:cs="宋体"/>
          <w:b/>
          <w:color w:val="auto"/>
          <w:kern w:val="0"/>
          <w:sz w:val="30"/>
          <w:szCs w:val="30"/>
          <w:highlight w:val="none"/>
        </w:rPr>
        <w:t>四、供水抢修专项方案（投标人自行编写）；</w:t>
      </w:r>
    </w:p>
    <w:p w14:paraId="1E8E94AF">
      <w:pPr>
        <w:outlineLvl w:val="9"/>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p>
    <w:p w14:paraId="5527286D">
      <w:pPr>
        <w:outlineLvl w:val="2"/>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lang w:val="en-US" w:eastAsia="zh-CN"/>
        </w:rPr>
        <w:t>五</w:t>
      </w:r>
      <w:r>
        <w:rPr>
          <w:rFonts w:hint="eastAsia" w:ascii="宋体" w:hAnsi="宋体" w:eastAsia="宋体" w:cs="宋体"/>
          <w:b/>
          <w:color w:val="auto"/>
          <w:kern w:val="0"/>
          <w:sz w:val="30"/>
          <w:szCs w:val="30"/>
          <w:highlight w:val="none"/>
        </w:rPr>
        <w:t>、</w:t>
      </w:r>
      <w:r>
        <w:rPr>
          <w:rFonts w:hint="eastAsia" w:ascii="宋体" w:hAnsi="宋体" w:eastAsia="宋体" w:cs="宋体"/>
          <w:b/>
          <w:color w:val="auto"/>
          <w:kern w:val="0"/>
          <w:sz w:val="30"/>
          <w:szCs w:val="30"/>
          <w:highlight w:val="none"/>
          <w:lang w:val="en-US" w:eastAsia="zh-CN"/>
        </w:rPr>
        <w:t>服务便利性方案</w:t>
      </w:r>
      <w:r>
        <w:rPr>
          <w:rFonts w:hint="eastAsia" w:ascii="宋体" w:hAnsi="宋体" w:eastAsia="宋体" w:cs="宋体"/>
          <w:b/>
          <w:color w:val="auto"/>
          <w:kern w:val="0"/>
          <w:sz w:val="30"/>
          <w:szCs w:val="30"/>
          <w:highlight w:val="none"/>
        </w:rPr>
        <w:t>（投标人自行编写）</w:t>
      </w:r>
      <w:r>
        <w:rPr>
          <w:rFonts w:hint="eastAsia" w:ascii="宋体" w:hAnsi="宋体" w:eastAsia="宋体" w:cs="宋体"/>
          <w:b/>
          <w:color w:val="auto"/>
          <w:kern w:val="0"/>
          <w:sz w:val="30"/>
          <w:szCs w:val="30"/>
          <w:highlight w:val="none"/>
        </w:rPr>
        <w:br w:type="page"/>
      </w:r>
      <w:bookmarkEnd w:id="781"/>
    </w:p>
    <w:p w14:paraId="63080256">
      <w:pPr>
        <w:autoSpaceDE w:val="0"/>
        <w:autoSpaceDN w:val="0"/>
        <w:adjustRightInd w:val="0"/>
        <w:spacing w:line="360" w:lineRule="auto"/>
        <w:jc w:val="left"/>
        <w:outlineLvl w:val="2"/>
        <w:rPr>
          <w:rFonts w:hint="eastAsia" w:ascii="宋体" w:hAnsi="宋体" w:eastAsia="宋体" w:cs="宋体"/>
          <w:b/>
          <w:color w:val="auto"/>
          <w:kern w:val="0"/>
          <w:sz w:val="30"/>
          <w:szCs w:val="30"/>
          <w:highlight w:val="none"/>
        </w:rPr>
      </w:pPr>
      <w:bookmarkStart w:id="782" w:name="_Toc3277"/>
      <w:bookmarkStart w:id="783" w:name="_Toc30545"/>
      <w:bookmarkStart w:id="784" w:name="_Toc13731"/>
      <w:bookmarkStart w:id="785" w:name="_Toc3750"/>
      <w:bookmarkStart w:id="786" w:name="_Toc10518"/>
      <w:bookmarkStart w:id="787" w:name="_Toc18180"/>
      <w:r>
        <w:rPr>
          <w:rFonts w:hint="eastAsia" w:ascii="宋体" w:hAnsi="宋体" w:eastAsia="宋体" w:cs="宋体"/>
          <w:b/>
          <w:color w:val="auto"/>
          <w:kern w:val="0"/>
          <w:sz w:val="30"/>
          <w:szCs w:val="30"/>
          <w:highlight w:val="none"/>
          <w:lang w:val="en-US" w:eastAsia="zh-CN"/>
        </w:rPr>
        <w:t>六</w:t>
      </w:r>
      <w:r>
        <w:rPr>
          <w:rFonts w:hint="eastAsia" w:ascii="宋体" w:hAnsi="宋体" w:eastAsia="宋体" w:cs="宋体"/>
          <w:b/>
          <w:color w:val="auto"/>
          <w:kern w:val="0"/>
          <w:sz w:val="30"/>
          <w:szCs w:val="30"/>
          <w:highlight w:val="none"/>
        </w:rPr>
        <w:t>、有限空间作业实施方案（投标人自行编写）</w:t>
      </w:r>
      <w:bookmarkEnd w:id="782"/>
    </w:p>
    <w:p w14:paraId="49EED752">
      <w:pPr>
        <w:autoSpaceDE w:val="0"/>
        <w:autoSpaceDN w:val="0"/>
        <w:adjustRightInd w:val="0"/>
        <w:spacing w:line="360" w:lineRule="auto"/>
        <w:jc w:val="left"/>
        <w:rPr>
          <w:rFonts w:hint="eastAsia" w:ascii="宋体" w:hAnsi="宋体" w:eastAsia="宋体" w:cs="宋体"/>
          <w:b/>
          <w:color w:val="auto"/>
          <w:kern w:val="0"/>
          <w:sz w:val="30"/>
          <w:szCs w:val="30"/>
          <w:highlight w:val="none"/>
        </w:rPr>
      </w:pPr>
    </w:p>
    <w:p w14:paraId="6A0E6F1A">
      <w:pPr>
        <w:autoSpaceDE w:val="0"/>
        <w:autoSpaceDN w:val="0"/>
        <w:adjustRightInd w:val="0"/>
        <w:spacing w:line="360" w:lineRule="auto"/>
        <w:jc w:val="left"/>
        <w:rPr>
          <w:rFonts w:hint="eastAsia" w:ascii="宋体" w:hAnsi="宋体" w:eastAsia="宋体" w:cs="宋体"/>
          <w:b/>
          <w:color w:val="auto"/>
          <w:kern w:val="0"/>
          <w:sz w:val="30"/>
          <w:szCs w:val="30"/>
          <w:highlight w:val="none"/>
        </w:rPr>
      </w:pPr>
    </w:p>
    <w:p w14:paraId="3072313C">
      <w:pP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p>
    <w:p w14:paraId="593E7D97">
      <w:pPr>
        <w:autoSpaceDE w:val="0"/>
        <w:autoSpaceDN w:val="0"/>
        <w:adjustRightInd w:val="0"/>
        <w:spacing w:line="360" w:lineRule="auto"/>
        <w:jc w:val="left"/>
        <w:outlineLvl w:val="2"/>
        <w:rPr>
          <w:rFonts w:hint="eastAsia" w:ascii="宋体" w:hAnsi="宋体" w:eastAsia="宋体" w:cs="宋体"/>
          <w:b/>
          <w:color w:val="auto"/>
          <w:kern w:val="0"/>
          <w:sz w:val="30"/>
          <w:szCs w:val="30"/>
          <w:highlight w:val="none"/>
        </w:rPr>
      </w:pPr>
      <w:bookmarkStart w:id="788" w:name="_Toc28482"/>
      <w:r>
        <w:rPr>
          <w:rFonts w:hint="eastAsia" w:ascii="宋体" w:hAnsi="宋体" w:eastAsia="宋体" w:cs="宋体"/>
          <w:b/>
          <w:color w:val="auto"/>
          <w:kern w:val="0"/>
          <w:sz w:val="30"/>
          <w:szCs w:val="30"/>
          <w:highlight w:val="none"/>
          <w:lang w:val="en-US" w:eastAsia="zh-CN"/>
        </w:rPr>
        <w:t>七</w:t>
      </w:r>
      <w:r>
        <w:rPr>
          <w:rFonts w:hint="eastAsia" w:ascii="宋体" w:hAnsi="宋体" w:eastAsia="宋体" w:cs="宋体"/>
          <w:b/>
          <w:color w:val="auto"/>
          <w:kern w:val="0"/>
          <w:sz w:val="30"/>
          <w:szCs w:val="30"/>
          <w:highlight w:val="none"/>
        </w:rPr>
        <w:t>、施工进度、质量保证措施（投标人自行编写）</w:t>
      </w:r>
      <w:bookmarkEnd w:id="788"/>
    </w:p>
    <w:p w14:paraId="3AF75A9E">
      <w:pPr>
        <w:autoSpaceDE w:val="0"/>
        <w:autoSpaceDN w:val="0"/>
        <w:adjustRightInd w:val="0"/>
        <w:spacing w:line="360" w:lineRule="auto"/>
        <w:jc w:val="left"/>
        <w:rPr>
          <w:rFonts w:hint="eastAsia" w:ascii="宋体" w:hAnsi="宋体" w:eastAsia="宋体" w:cs="宋体"/>
          <w:b/>
          <w:color w:val="auto"/>
          <w:kern w:val="0"/>
          <w:sz w:val="30"/>
          <w:szCs w:val="30"/>
          <w:highlight w:val="none"/>
        </w:rPr>
      </w:pPr>
    </w:p>
    <w:p w14:paraId="329CF5CB">
      <w:pPr>
        <w:autoSpaceDE w:val="0"/>
        <w:autoSpaceDN w:val="0"/>
        <w:adjustRightInd w:val="0"/>
        <w:spacing w:line="360" w:lineRule="auto"/>
        <w:jc w:val="left"/>
        <w:rPr>
          <w:rFonts w:hint="eastAsia" w:ascii="宋体" w:hAnsi="宋体" w:eastAsia="宋体" w:cs="宋体"/>
          <w:b/>
          <w:color w:val="auto"/>
          <w:kern w:val="0"/>
          <w:sz w:val="30"/>
          <w:szCs w:val="30"/>
          <w:highlight w:val="none"/>
        </w:rPr>
      </w:pPr>
    </w:p>
    <w:p w14:paraId="372E2F36">
      <w:pP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p>
    <w:p w14:paraId="7BC6167F">
      <w:pPr>
        <w:autoSpaceDE w:val="0"/>
        <w:autoSpaceDN w:val="0"/>
        <w:adjustRightInd w:val="0"/>
        <w:spacing w:line="360" w:lineRule="auto"/>
        <w:jc w:val="left"/>
        <w:outlineLvl w:val="2"/>
        <w:rPr>
          <w:rFonts w:hint="eastAsia" w:ascii="宋体" w:hAnsi="宋体" w:eastAsia="宋体" w:cs="宋体"/>
          <w:b/>
          <w:color w:val="auto"/>
          <w:kern w:val="0"/>
          <w:sz w:val="30"/>
          <w:szCs w:val="30"/>
          <w:highlight w:val="none"/>
        </w:rPr>
      </w:pPr>
      <w:bookmarkStart w:id="789" w:name="_Toc20969"/>
      <w:r>
        <w:rPr>
          <w:rFonts w:hint="eastAsia" w:ascii="宋体" w:hAnsi="宋体" w:eastAsia="宋体" w:cs="宋体"/>
          <w:b/>
          <w:color w:val="auto"/>
          <w:kern w:val="0"/>
          <w:sz w:val="30"/>
          <w:szCs w:val="30"/>
          <w:highlight w:val="none"/>
          <w:lang w:val="en-US" w:eastAsia="zh-CN"/>
        </w:rPr>
        <w:t>八</w:t>
      </w:r>
      <w:r>
        <w:rPr>
          <w:rFonts w:hint="eastAsia" w:ascii="宋体" w:hAnsi="宋体" w:eastAsia="宋体" w:cs="宋体"/>
          <w:b/>
          <w:color w:val="auto"/>
          <w:kern w:val="0"/>
          <w:sz w:val="30"/>
          <w:szCs w:val="30"/>
          <w:highlight w:val="none"/>
        </w:rPr>
        <w:t>、安全生产管理方案（投标人自行编写）；</w:t>
      </w:r>
      <w:bookmarkEnd w:id="789"/>
    </w:p>
    <w:p w14:paraId="0E473DCB">
      <w:pPr>
        <w:autoSpaceDE w:val="0"/>
        <w:autoSpaceDN w:val="0"/>
        <w:adjustRightInd w:val="0"/>
        <w:spacing w:line="360" w:lineRule="auto"/>
        <w:jc w:val="left"/>
        <w:rPr>
          <w:rFonts w:hint="eastAsia" w:ascii="宋体" w:hAnsi="宋体" w:eastAsia="宋体" w:cs="宋体"/>
          <w:b/>
          <w:color w:val="auto"/>
          <w:kern w:val="0"/>
          <w:sz w:val="30"/>
          <w:szCs w:val="30"/>
          <w:highlight w:val="none"/>
        </w:rPr>
      </w:pPr>
    </w:p>
    <w:p w14:paraId="572CD358">
      <w:pP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p>
    <w:p w14:paraId="6A16EC34">
      <w:pPr>
        <w:autoSpaceDE w:val="0"/>
        <w:autoSpaceDN w:val="0"/>
        <w:adjustRightInd w:val="0"/>
        <w:spacing w:line="360" w:lineRule="auto"/>
        <w:jc w:val="left"/>
        <w:outlineLvl w:val="2"/>
        <w:rPr>
          <w:rFonts w:hint="eastAsia" w:ascii="宋体" w:hAnsi="宋体" w:eastAsia="宋体" w:cs="宋体"/>
          <w:b/>
          <w:color w:val="auto"/>
          <w:kern w:val="0"/>
          <w:sz w:val="30"/>
          <w:szCs w:val="30"/>
          <w:highlight w:val="none"/>
        </w:rPr>
      </w:pPr>
      <w:bookmarkStart w:id="790" w:name="_Toc28563"/>
      <w:r>
        <w:rPr>
          <w:rFonts w:hint="eastAsia" w:ascii="宋体" w:hAnsi="宋体" w:eastAsia="宋体" w:cs="宋体"/>
          <w:b/>
          <w:color w:val="auto"/>
          <w:kern w:val="0"/>
          <w:sz w:val="30"/>
          <w:szCs w:val="30"/>
          <w:highlight w:val="none"/>
          <w:lang w:val="en-US" w:eastAsia="zh-CN"/>
        </w:rPr>
        <w:t>九</w:t>
      </w:r>
      <w:r>
        <w:rPr>
          <w:rFonts w:hint="eastAsia" w:ascii="宋体" w:hAnsi="宋体" w:eastAsia="宋体" w:cs="宋体"/>
          <w:b/>
          <w:color w:val="auto"/>
          <w:kern w:val="0"/>
          <w:sz w:val="30"/>
          <w:szCs w:val="30"/>
          <w:highlight w:val="none"/>
        </w:rPr>
        <w:t>、投标人认为有必要提供的其它材料（不做强制要求）</w:t>
      </w:r>
      <w:bookmarkEnd w:id="775"/>
      <w:bookmarkEnd w:id="776"/>
      <w:bookmarkEnd w:id="777"/>
      <w:bookmarkEnd w:id="778"/>
      <w:bookmarkEnd w:id="779"/>
      <w:bookmarkEnd w:id="783"/>
      <w:bookmarkEnd w:id="784"/>
      <w:bookmarkEnd w:id="785"/>
      <w:bookmarkEnd w:id="786"/>
      <w:bookmarkEnd w:id="787"/>
      <w:bookmarkEnd w:id="790"/>
    </w:p>
    <w:p w14:paraId="58089553">
      <w:pPr>
        <w:autoSpaceDE w:val="0"/>
        <w:autoSpaceDN w:val="0"/>
        <w:adjustRightInd w:val="0"/>
        <w:jc w:val="left"/>
        <w:rPr>
          <w:rFonts w:hint="eastAsia" w:ascii="宋体" w:hAnsi="宋体" w:eastAsia="宋体" w:cs="Times New Roman"/>
          <w:color w:val="auto"/>
          <w:kern w:val="0"/>
          <w:sz w:val="24"/>
          <w:szCs w:val="24"/>
          <w:highlight w:val="none"/>
        </w:rPr>
      </w:pPr>
    </w:p>
    <w:p w14:paraId="293DE2F7">
      <w:pPr>
        <w:autoSpaceDE w:val="0"/>
        <w:autoSpaceDN w:val="0"/>
        <w:adjustRightInd w:val="0"/>
        <w:jc w:val="left"/>
        <w:rPr>
          <w:rFonts w:hint="eastAsia" w:ascii="宋体" w:hAnsi="宋体" w:eastAsia="宋体" w:cs="Times New Roman"/>
          <w:color w:val="auto"/>
          <w:kern w:val="0"/>
          <w:sz w:val="24"/>
          <w:szCs w:val="24"/>
          <w:highlight w:val="none"/>
        </w:rPr>
      </w:pPr>
    </w:p>
    <w:p w14:paraId="713A1749">
      <w:pPr>
        <w:autoSpaceDE w:val="0"/>
        <w:autoSpaceDN w:val="0"/>
        <w:adjustRightInd w:val="0"/>
        <w:jc w:val="left"/>
        <w:rPr>
          <w:rFonts w:hint="eastAsia" w:ascii="宋体" w:hAnsi="宋体" w:eastAsia="宋体" w:cs="Times New Roman"/>
          <w:color w:val="auto"/>
          <w:kern w:val="0"/>
          <w:sz w:val="24"/>
          <w:szCs w:val="24"/>
          <w:highlight w:val="none"/>
        </w:rPr>
      </w:pPr>
    </w:p>
    <w:p w14:paraId="3531E7C5">
      <w:pPr>
        <w:autoSpaceDE w:val="0"/>
        <w:autoSpaceDN w:val="0"/>
        <w:adjustRightInd w:val="0"/>
        <w:jc w:val="left"/>
        <w:rPr>
          <w:rFonts w:hint="eastAsia" w:ascii="宋体" w:hAnsi="宋体" w:eastAsia="宋体" w:cs="Times New Roman"/>
          <w:color w:val="auto"/>
          <w:kern w:val="0"/>
          <w:sz w:val="24"/>
          <w:szCs w:val="24"/>
          <w:highlight w:val="none"/>
        </w:rPr>
      </w:pPr>
    </w:p>
    <w:p w14:paraId="5700A134">
      <w:pPr>
        <w:jc w:val="left"/>
        <w:rPr>
          <w:rFonts w:hint="eastAsia" w:ascii="宋体" w:hAnsi="宋体" w:eastAsia="宋体" w:cs="宋体"/>
          <w:b/>
          <w:color w:val="auto"/>
          <w:kern w:val="0"/>
          <w:sz w:val="32"/>
          <w:szCs w:val="32"/>
          <w:highlight w:val="none"/>
        </w:rPr>
      </w:pPr>
      <w:bookmarkStart w:id="791" w:name="_Toc1592849557"/>
      <w:bookmarkStart w:id="792" w:name="_Toc2017313903"/>
      <w:bookmarkStart w:id="793" w:name="_Toc81756629"/>
      <w:r>
        <w:rPr>
          <w:rFonts w:hint="eastAsia" w:ascii="宋体" w:hAnsi="宋体" w:eastAsia="宋体" w:cs="宋体"/>
          <w:b/>
          <w:color w:val="auto"/>
          <w:kern w:val="0"/>
          <w:sz w:val="32"/>
          <w:szCs w:val="32"/>
          <w:highlight w:val="none"/>
        </w:rPr>
        <w:br w:type="page"/>
      </w:r>
    </w:p>
    <w:p w14:paraId="37AF2A0D">
      <w:pPr>
        <w:jc w:val="center"/>
        <w:outlineLvl w:val="1"/>
        <w:rPr>
          <w:rFonts w:hint="eastAsia" w:ascii="宋体" w:hAnsi="宋体" w:eastAsia="宋体" w:cs="宋体"/>
          <w:b/>
          <w:color w:val="auto"/>
          <w:kern w:val="0"/>
          <w:sz w:val="32"/>
          <w:szCs w:val="32"/>
          <w:highlight w:val="none"/>
        </w:rPr>
      </w:pPr>
      <w:bookmarkStart w:id="794" w:name="_Toc179"/>
      <w:bookmarkStart w:id="795" w:name="_Toc23204"/>
      <w:bookmarkStart w:id="796" w:name="_Toc9393"/>
      <w:r>
        <w:rPr>
          <w:rFonts w:hint="eastAsia" w:ascii="宋体" w:hAnsi="宋体" w:eastAsia="宋体" w:cs="宋体"/>
          <w:b/>
          <w:color w:val="auto"/>
          <w:kern w:val="0"/>
          <w:sz w:val="32"/>
          <w:szCs w:val="32"/>
          <w:highlight w:val="none"/>
        </w:rPr>
        <w:t>第三部分   报价信封</w:t>
      </w:r>
      <w:bookmarkEnd w:id="791"/>
      <w:bookmarkEnd w:id="792"/>
      <w:bookmarkEnd w:id="793"/>
      <w:bookmarkEnd w:id="794"/>
      <w:bookmarkEnd w:id="795"/>
      <w:bookmarkEnd w:id="796"/>
    </w:p>
    <w:p w14:paraId="7C88D0BF">
      <w:pPr>
        <w:autoSpaceDE w:val="0"/>
        <w:autoSpaceDN w:val="0"/>
        <w:adjustRightInd w:val="0"/>
        <w:jc w:val="left"/>
        <w:rPr>
          <w:rFonts w:hint="eastAsia" w:ascii="宋体" w:hAnsi="宋体" w:eastAsia="宋体" w:cs="Times New Roman"/>
          <w:color w:val="auto"/>
          <w:kern w:val="0"/>
          <w:sz w:val="24"/>
          <w:szCs w:val="24"/>
          <w:highlight w:val="none"/>
        </w:rPr>
      </w:pPr>
    </w:p>
    <w:p w14:paraId="79CC945A">
      <w:pPr>
        <w:pStyle w:val="2"/>
        <w:jc w:val="both"/>
        <w:rPr>
          <w:rFonts w:hint="eastAsia" w:hAnsi="宋体" w:cs="Times New Roman"/>
          <w:color w:val="auto"/>
          <w:kern w:val="0"/>
          <w:sz w:val="24"/>
          <w:szCs w:val="24"/>
          <w:highlight w:val="none"/>
        </w:rPr>
      </w:pPr>
    </w:p>
    <w:p w14:paraId="7DA17BA0">
      <w:pPr>
        <w:pStyle w:val="37"/>
        <w:ind w:firstLine="0" w:firstLineChars="0"/>
        <w:rPr>
          <w:rFonts w:hint="eastAsia" w:ascii="宋体" w:hAnsi="宋体" w:eastAsia="宋体" w:cs="Times New Roman"/>
          <w:color w:val="auto"/>
          <w:kern w:val="0"/>
          <w:sz w:val="24"/>
          <w:szCs w:val="24"/>
          <w:highlight w:val="none"/>
        </w:rPr>
      </w:pPr>
    </w:p>
    <w:p w14:paraId="6AAA503F">
      <w:pPr>
        <w:pStyle w:val="37"/>
        <w:ind w:firstLine="0" w:firstLineChars="0"/>
        <w:rPr>
          <w:rFonts w:hint="eastAsia" w:ascii="宋体" w:hAnsi="宋体" w:eastAsia="宋体" w:cs="Times New Roman"/>
          <w:color w:val="auto"/>
          <w:kern w:val="0"/>
          <w:sz w:val="24"/>
          <w:szCs w:val="24"/>
          <w:highlight w:val="none"/>
        </w:rPr>
      </w:pPr>
    </w:p>
    <w:p w14:paraId="2D2DE4FE">
      <w:pPr>
        <w:pStyle w:val="37"/>
        <w:spacing w:line="360" w:lineRule="auto"/>
        <w:ind w:firstLine="0" w:firstLineChars="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注：报价信封由投标人在使用电子标书制作软件编制并生成。报价信封的编制要求详见第二章“投标人须知”第17.6.3款。由投标人按格式要求进行电子签章。</w:t>
      </w:r>
    </w:p>
    <w:p w14:paraId="49A5FA27">
      <w:pPr>
        <w:widowControl/>
        <w:jc w:val="left"/>
        <w:rPr>
          <w:rFonts w:hint="eastAsia"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br w:type="page"/>
      </w:r>
    </w:p>
    <w:p w14:paraId="02F442FF">
      <w:pPr>
        <w:autoSpaceDE w:val="0"/>
        <w:autoSpaceDN w:val="0"/>
        <w:adjustRightInd w:val="0"/>
        <w:jc w:val="left"/>
        <w:rPr>
          <w:rFonts w:hint="eastAsia" w:ascii="宋体" w:hAnsi="宋体" w:eastAsia="宋体" w:cs="Times New Roman"/>
          <w:color w:val="auto"/>
          <w:kern w:val="0"/>
          <w:sz w:val="24"/>
          <w:szCs w:val="24"/>
          <w:highlight w:val="none"/>
        </w:rPr>
      </w:pPr>
    </w:p>
    <w:p w14:paraId="4B2FDC60">
      <w:pPr>
        <w:tabs>
          <w:tab w:val="left" w:pos="1080"/>
        </w:tabs>
        <w:autoSpaceDE w:val="0"/>
        <w:autoSpaceDN w:val="0"/>
        <w:adjustRightInd w:val="0"/>
        <w:spacing w:line="360" w:lineRule="auto"/>
        <w:jc w:val="left"/>
        <w:outlineLvl w:val="0"/>
        <w:rPr>
          <w:rFonts w:hint="eastAsia" w:ascii="宋体" w:hAnsi="宋体" w:eastAsia="宋体" w:cs="宋体"/>
          <w:b/>
          <w:bCs/>
          <w:color w:val="auto"/>
          <w:kern w:val="44"/>
          <w:sz w:val="32"/>
          <w:szCs w:val="32"/>
          <w:highlight w:val="none"/>
          <w:lang w:val="zh-CN"/>
        </w:rPr>
      </w:pPr>
      <w:bookmarkStart w:id="797" w:name="_Toc21059"/>
      <w:bookmarkStart w:id="798" w:name="_Toc14977"/>
      <w:bookmarkStart w:id="799" w:name="_Toc20084"/>
      <w:bookmarkStart w:id="800" w:name="_Toc30548"/>
      <w:bookmarkStart w:id="801" w:name="_Toc142508390"/>
      <w:bookmarkStart w:id="802" w:name="_Toc521918141"/>
      <w:bookmarkStart w:id="803" w:name="_Toc522047402"/>
      <w:bookmarkStart w:id="804" w:name="_Toc22601_WPSOffice_Level1"/>
      <w:r>
        <w:rPr>
          <w:rFonts w:hint="eastAsia" w:ascii="宋体" w:hAnsi="宋体" w:eastAsia="宋体" w:cs="宋体"/>
          <w:b/>
          <w:bCs/>
          <w:color w:val="auto"/>
          <w:kern w:val="44"/>
          <w:sz w:val="32"/>
          <w:szCs w:val="32"/>
          <w:highlight w:val="none"/>
          <w:lang w:val="zh-CN"/>
        </w:rPr>
        <w:t>附件一：评标工作大纲</w:t>
      </w:r>
      <w:bookmarkEnd w:id="797"/>
      <w:bookmarkEnd w:id="798"/>
      <w:bookmarkEnd w:id="799"/>
      <w:bookmarkEnd w:id="800"/>
      <w:bookmarkEnd w:id="801"/>
    </w:p>
    <w:p w14:paraId="2B43FA13">
      <w:pPr>
        <w:autoSpaceDE w:val="0"/>
        <w:autoSpaceDN w:val="0"/>
        <w:adjustRightInd w:val="0"/>
        <w:spacing w:line="400" w:lineRule="atLeast"/>
        <w:jc w:val="center"/>
        <w:rPr>
          <w:rFonts w:hint="eastAsia" w:ascii="宋体" w:hAnsi="宋体" w:eastAsia="宋体" w:cs="宋体"/>
          <w:b/>
          <w:bCs/>
          <w:color w:val="auto"/>
          <w:szCs w:val="21"/>
          <w:highlight w:val="none"/>
        </w:rPr>
      </w:pPr>
    </w:p>
    <w:p w14:paraId="573AE903">
      <w:pPr>
        <w:autoSpaceDE w:val="0"/>
        <w:autoSpaceDN w:val="0"/>
        <w:adjustRightInd w:val="0"/>
        <w:spacing w:line="400" w:lineRule="atLeast"/>
        <w:jc w:val="center"/>
        <w:rPr>
          <w:rFonts w:hint="eastAsia" w:ascii="宋体" w:hAnsi="宋体" w:eastAsia="宋体" w:cs="宋体"/>
          <w:b/>
          <w:bCs/>
          <w:color w:val="auto"/>
          <w:szCs w:val="21"/>
          <w:highlight w:val="none"/>
        </w:rPr>
      </w:pPr>
    </w:p>
    <w:p w14:paraId="160DCD41">
      <w:pPr>
        <w:autoSpaceDE w:val="0"/>
        <w:autoSpaceDN w:val="0"/>
        <w:adjustRightInd w:val="0"/>
        <w:spacing w:line="400" w:lineRule="atLeast"/>
        <w:jc w:val="center"/>
        <w:rPr>
          <w:rFonts w:hint="eastAsia" w:ascii="宋体" w:hAnsi="宋体" w:eastAsia="宋体" w:cs="宋体"/>
          <w:b/>
          <w:bCs/>
          <w:color w:val="auto"/>
          <w:szCs w:val="21"/>
          <w:highlight w:val="none"/>
        </w:rPr>
      </w:pPr>
    </w:p>
    <w:p w14:paraId="1E2F4108">
      <w:pPr>
        <w:autoSpaceDE w:val="0"/>
        <w:autoSpaceDN w:val="0"/>
        <w:adjustRightInd w:val="0"/>
        <w:spacing w:line="400" w:lineRule="atLeast"/>
        <w:jc w:val="center"/>
        <w:rPr>
          <w:rFonts w:hint="eastAsia" w:ascii="宋体" w:hAnsi="宋体" w:eastAsia="宋体" w:cs="宋体"/>
          <w:b/>
          <w:bCs/>
          <w:color w:val="auto"/>
          <w:szCs w:val="21"/>
          <w:highlight w:val="none"/>
        </w:rPr>
      </w:pPr>
    </w:p>
    <w:p w14:paraId="25FC77BA">
      <w:pPr>
        <w:autoSpaceDE w:val="0"/>
        <w:autoSpaceDN w:val="0"/>
        <w:adjustRightInd w:val="0"/>
        <w:spacing w:line="360" w:lineRule="auto"/>
        <w:jc w:val="center"/>
        <w:rPr>
          <w:rFonts w:hint="eastAsia" w:ascii="宋体" w:hAnsi="宋体" w:eastAsia="宋体" w:cs="宋体"/>
          <w:b/>
          <w:bCs/>
          <w:color w:val="auto"/>
          <w:sz w:val="36"/>
          <w:szCs w:val="44"/>
          <w:highlight w:val="none"/>
        </w:rPr>
      </w:pPr>
      <w:r>
        <w:rPr>
          <w:rFonts w:hint="eastAsia" w:ascii="宋体" w:hAnsi="宋体" w:eastAsia="宋体" w:cs="宋体"/>
          <w:b/>
          <w:bCs/>
          <w:color w:val="auto"/>
          <w:sz w:val="40"/>
          <w:szCs w:val="36"/>
          <w:highlight w:val="none"/>
        </w:rPr>
        <w:t>东莞市碧水信息科技有限公司施工劳务分包供应商库采购项目</w:t>
      </w:r>
    </w:p>
    <w:p w14:paraId="0DDBAF79">
      <w:pPr>
        <w:autoSpaceDE w:val="0"/>
        <w:autoSpaceDN w:val="0"/>
        <w:adjustRightInd w:val="0"/>
        <w:spacing w:line="360" w:lineRule="auto"/>
        <w:jc w:val="center"/>
        <w:rPr>
          <w:rFonts w:hint="eastAsia" w:ascii="宋体" w:hAnsi="宋体" w:eastAsia="宋体" w:cs="宋体"/>
          <w:b/>
          <w:bCs/>
          <w:color w:val="auto"/>
          <w:sz w:val="36"/>
          <w:szCs w:val="36"/>
          <w:highlight w:val="none"/>
        </w:rPr>
      </w:pPr>
      <w:bookmarkStart w:id="805" w:name="_Toc14752_WPSOffice_Level1"/>
      <w:r>
        <w:rPr>
          <w:rFonts w:hint="eastAsia" w:ascii="宋体" w:hAnsi="宋体" w:eastAsia="宋体" w:cs="宋体"/>
          <w:b/>
          <w:bCs/>
          <w:color w:val="auto"/>
          <w:sz w:val="36"/>
          <w:szCs w:val="36"/>
          <w:highlight w:val="none"/>
          <w:lang w:val="zh-CN"/>
        </w:rPr>
        <w:t>（招标编号：SSSSSC12500950）</w:t>
      </w:r>
      <w:bookmarkEnd w:id="805"/>
    </w:p>
    <w:p w14:paraId="64451F1C">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1E4E7342">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0685DF95">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5ED0EAEE">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7587FEF8">
      <w:pPr>
        <w:autoSpaceDE w:val="0"/>
        <w:autoSpaceDN w:val="0"/>
        <w:adjustRightInd w:val="0"/>
        <w:spacing w:line="400" w:lineRule="atLeast"/>
        <w:jc w:val="center"/>
        <w:rPr>
          <w:rFonts w:hint="eastAsia" w:ascii="宋体" w:hAnsi="宋体" w:eastAsia="宋体" w:cs="宋体"/>
          <w:b/>
          <w:bCs/>
          <w:color w:val="auto"/>
          <w:sz w:val="72"/>
          <w:szCs w:val="72"/>
          <w:highlight w:val="none"/>
          <w:lang w:val="zh-CN"/>
        </w:rPr>
      </w:pPr>
      <w:bookmarkStart w:id="806" w:name="_Toc18947_WPSOffice_Level2"/>
      <w:r>
        <w:rPr>
          <w:rFonts w:hint="eastAsia" w:ascii="宋体" w:hAnsi="宋体" w:eastAsia="宋体" w:cs="宋体"/>
          <w:b/>
          <w:bCs/>
          <w:color w:val="auto"/>
          <w:sz w:val="72"/>
          <w:szCs w:val="72"/>
          <w:highlight w:val="none"/>
          <w:lang w:val="zh-CN"/>
        </w:rPr>
        <w:t>评标工作大纲</w:t>
      </w:r>
      <w:bookmarkEnd w:id="806"/>
    </w:p>
    <w:p w14:paraId="33454A5A">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39B26538">
      <w:pPr>
        <w:autoSpaceDE w:val="0"/>
        <w:autoSpaceDN w:val="0"/>
        <w:adjustRightInd w:val="0"/>
        <w:spacing w:line="400" w:lineRule="atLeast"/>
        <w:rPr>
          <w:rFonts w:hint="eastAsia" w:ascii="宋体" w:hAnsi="宋体" w:eastAsia="宋体" w:cs="宋体"/>
          <w:b/>
          <w:bCs/>
          <w:color w:val="auto"/>
          <w:sz w:val="36"/>
          <w:szCs w:val="36"/>
          <w:highlight w:val="none"/>
        </w:rPr>
      </w:pPr>
    </w:p>
    <w:p w14:paraId="518BF557">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608E3601">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39F7CC54">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1AA23D70">
      <w:pPr>
        <w:autoSpaceDE w:val="0"/>
        <w:autoSpaceDN w:val="0"/>
        <w:adjustRightInd w:val="0"/>
        <w:spacing w:line="400" w:lineRule="atLeast"/>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zh-CN"/>
        </w:rPr>
        <w:t>广州宏达工程顾问集团有限公司</w:t>
      </w:r>
    </w:p>
    <w:p w14:paraId="1D0A136B">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4138D1F3">
      <w:pPr>
        <w:autoSpaceDE w:val="0"/>
        <w:autoSpaceDN w:val="0"/>
        <w:adjustRightInd w:val="0"/>
        <w:spacing w:line="400" w:lineRule="atLeast"/>
        <w:jc w:val="center"/>
        <w:rPr>
          <w:rFonts w:hint="eastAsia" w:ascii="宋体" w:hAnsi="宋体" w:eastAsia="宋体" w:cs="宋体"/>
          <w:b/>
          <w:bCs/>
          <w:color w:val="auto"/>
          <w:sz w:val="36"/>
          <w:szCs w:val="36"/>
          <w:highlight w:val="none"/>
        </w:rPr>
      </w:pPr>
      <w:r>
        <w:rPr>
          <w:rFonts w:hint="eastAsia" w:ascii="宋体" w:hAnsi="宋体" w:eastAsia="宋体" w:cs="宋体"/>
          <w:color w:val="auto"/>
          <w:sz w:val="44"/>
          <w:szCs w:val="44"/>
          <w:highlight w:val="none"/>
        </w:rPr>
        <w:br w:type="page"/>
      </w:r>
      <w:bookmarkStart w:id="807" w:name="_Toc32395_WPSOffice_Level1"/>
      <w:r>
        <w:rPr>
          <w:rFonts w:hint="eastAsia" w:ascii="宋体" w:hAnsi="宋体" w:eastAsia="宋体" w:cs="宋体"/>
          <w:b/>
          <w:bCs/>
          <w:color w:val="auto"/>
          <w:sz w:val="36"/>
          <w:szCs w:val="36"/>
          <w:highlight w:val="none"/>
          <w:lang w:val="zh-CN"/>
        </w:rPr>
        <w:t>目录</w:t>
      </w:r>
      <w:bookmarkEnd w:id="807"/>
    </w:p>
    <w:p w14:paraId="03AD3DF4">
      <w:pPr>
        <w:autoSpaceDE w:val="0"/>
        <w:autoSpaceDN w:val="0"/>
        <w:adjustRightInd w:val="0"/>
        <w:spacing w:line="400" w:lineRule="atLeast"/>
        <w:jc w:val="center"/>
        <w:rPr>
          <w:rFonts w:hint="eastAsia" w:ascii="宋体" w:hAnsi="宋体" w:eastAsia="宋体" w:cs="宋体"/>
          <w:color w:val="auto"/>
          <w:sz w:val="44"/>
          <w:szCs w:val="44"/>
          <w:highlight w:val="none"/>
        </w:rPr>
      </w:pPr>
    </w:p>
    <w:p w14:paraId="1BA7D878">
      <w:pPr>
        <w:autoSpaceDE w:val="0"/>
        <w:autoSpaceDN w:val="0"/>
        <w:adjustRightInd w:val="0"/>
        <w:spacing w:line="360" w:lineRule="auto"/>
        <w:ind w:left="567" w:hanging="567"/>
        <w:rPr>
          <w:rFonts w:hint="eastAsia" w:ascii="宋体" w:hAnsi="宋体" w:eastAsia="宋体" w:cs="宋体"/>
          <w:color w:val="auto"/>
          <w:szCs w:val="30"/>
          <w:highlight w:val="none"/>
        </w:rPr>
      </w:pPr>
      <w:bookmarkStart w:id="808" w:name="_Toc21604_WPSOffice_Level1"/>
      <w:r>
        <w:rPr>
          <w:rFonts w:hint="eastAsia" w:ascii="宋体" w:hAnsi="宋体" w:eastAsia="宋体" w:cs="宋体"/>
          <w:color w:val="auto"/>
          <w:szCs w:val="30"/>
          <w:highlight w:val="none"/>
          <w:lang w:val="zh-CN"/>
        </w:rPr>
        <w:t>一、</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总则</w:t>
      </w:r>
      <w:bookmarkEnd w:id="808"/>
    </w:p>
    <w:p w14:paraId="48D4030F">
      <w:pPr>
        <w:autoSpaceDE w:val="0"/>
        <w:autoSpaceDN w:val="0"/>
        <w:adjustRightInd w:val="0"/>
        <w:spacing w:line="360" w:lineRule="auto"/>
        <w:ind w:left="567" w:hanging="567"/>
        <w:rPr>
          <w:rFonts w:hint="eastAsia" w:ascii="宋体" w:hAnsi="宋体" w:eastAsia="宋体" w:cs="宋体"/>
          <w:color w:val="auto"/>
          <w:szCs w:val="30"/>
          <w:highlight w:val="none"/>
        </w:rPr>
      </w:pPr>
      <w:bookmarkStart w:id="809" w:name="_Toc1387_WPSOffice_Level1"/>
      <w:r>
        <w:rPr>
          <w:rFonts w:hint="eastAsia" w:ascii="宋体" w:hAnsi="宋体" w:eastAsia="宋体" w:cs="宋体"/>
          <w:color w:val="auto"/>
          <w:szCs w:val="30"/>
          <w:highlight w:val="none"/>
          <w:lang w:val="zh-CN"/>
        </w:rPr>
        <w:t>二、</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投标文件的初审</w:t>
      </w:r>
      <w:bookmarkEnd w:id="809"/>
    </w:p>
    <w:p w14:paraId="4A1BF92E">
      <w:pPr>
        <w:autoSpaceDE w:val="0"/>
        <w:autoSpaceDN w:val="0"/>
        <w:adjustRightInd w:val="0"/>
        <w:spacing w:line="360" w:lineRule="auto"/>
        <w:ind w:left="567" w:hanging="567"/>
        <w:rPr>
          <w:rFonts w:hint="eastAsia" w:ascii="宋体" w:hAnsi="宋体" w:eastAsia="宋体" w:cs="宋体"/>
          <w:color w:val="auto"/>
          <w:szCs w:val="30"/>
          <w:highlight w:val="none"/>
        </w:rPr>
      </w:pPr>
      <w:bookmarkStart w:id="810" w:name="_Toc30284_WPSOffice_Level1"/>
      <w:r>
        <w:rPr>
          <w:rFonts w:hint="eastAsia" w:ascii="宋体" w:hAnsi="宋体" w:eastAsia="宋体" w:cs="宋体"/>
          <w:color w:val="auto"/>
          <w:szCs w:val="30"/>
          <w:highlight w:val="none"/>
          <w:lang w:val="zh-CN"/>
        </w:rPr>
        <w:t>三、</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澄清有关问题</w:t>
      </w:r>
      <w:bookmarkEnd w:id="810"/>
    </w:p>
    <w:p w14:paraId="67A92F75">
      <w:pPr>
        <w:autoSpaceDE w:val="0"/>
        <w:autoSpaceDN w:val="0"/>
        <w:adjustRightInd w:val="0"/>
        <w:spacing w:line="360" w:lineRule="auto"/>
        <w:ind w:left="567" w:hanging="567"/>
        <w:rPr>
          <w:rFonts w:hint="eastAsia" w:ascii="宋体" w:hAnsi="宋体" w:eastAsia="宋体" w:cs="宋体"/>
          <w:color w:val="auto"/>
          <w:szCs w:val="30"/>
          <w:highlight w:val="none"/>
        </w:rPr>
      </w:pPr>
      <w:bookmarkStart w:id="811" w:name="_Toc1206_WPSOffice_Level1"/>
      <w:r>
        <w:rPr>
          <w:rFonts w:hint="eastAsia" w:ascii="宋体" w:hAnsi="宋体" w:eastAsia="宋体" w:cs="宋体"/>
          <w:color w:val="auto"/>
          <w:szCs w:val="30"/>
          <w:highlight w:val="none"/>
        </w:rPr>
        <w:t>四、 比较和评价</w:t>
      </w:r>
      <w:bookmarkEnd w:id="811"/>
    </w:p>
    <w:p w14:paraId="2361AB24">
      <w:pPr>
        <w:autoSpaceDE w:val="0"/>
        <w:autoSpaceDN w:val="0"/>
        <w:adjustRightInd w:val="0"/>
        <w:spacing w:line="360" w:lineRule="auto"/>
        <w:ind w:left="567" w:hanging="567"/>
        <w:rPr>
          <w:rFonts w:hint="eastAsia" w:ascii="宋体" w:hAnsi="宋体" w:eastAsia="宋体" w:cs="宋体"/>
          <w:color w:val="auto"/>
          <w:szCs w:val="30"/>
          <w:highlight w:val="none"/>
        </w:rPr>
      </w:pPr>
      <w:bookmarkStart w:id="812" w:name="_Toc12163_WPSOffice_Level1"/>
      <w:r>
        <w:rPr>
          <w:rFonts w:hint="eastAsia" w:ascii="宋体" w:hAnsi="宋体" w:eastAsia="宋体" w:cs="宋体"/>
          <w:color w:val="auto"/>
          <w:szCs w:val="30"/>
          <w:highlight w:val="none"/>
          <w:lang w:val="zh-CN"/>
        </w:rPr>
        <w:t>五、</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推荐中标候选人名单</w:t>
      </w:r>
      <w:bookmarkEnd w:id="812"/>
    </w:p>
    <w:p w14:paraId="5D234D8C">
      <w:pPr>
        <w:autoSpaceDE w:val="0"/>
        <w:autoSpaceDN w:val="0"/>
        <w:adjustRightInd w:val="0"/>
        <w:spacing w:line="360" w:lineRule="auto"/>
        <w:ind w:left="567" w:hanging="567"/>
        <w:rPr>
          <w:rFonts w:hint="eastAsia" w:ascii="宋体" w:hAnsi="宋体" w:eastAsia="宋体" w:cs="宋体"/>
          <w:color w:val="auto"/>
          <w:szCs w:val="30"/>
          <w:highlight w:val="none"/>
        </w:rPr>
      </w:pPr>
      <w:bookmarkStart w:id="813" w:name="_Toc366_WPSOffice_Level1"/>
      <w:r>
        <w:rPr>
          <w:rFonts w:hint="eastAsia" w:ascii="宋体" w:hAnsi="宋体" w:eastAsia="宋体" w:cs="宋体"/>
          <w:color w:val="auto"/>
          <w:szCs w:val="30"/>
          <w:highlight w:val="none"/>
          <w:lang w:val="zh-CN"/>
        </w:rPr>
        <w:t>六、</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编写评标报告</w:t>
      </w:r>
      <w:bookmarkEnd w:id="813"/>
    </w:p>
    <w:p w14:paraId="1E5E1325">
      <w:pPr>
        <w:autoSpaceDE w:val="0"/>
        <w:autoSpaceDN w:val="0"/>
        <w:adjustRightInd w:val="0"/>
        <w:spacing w:line="360" w:lineRule="auto"/>
        <w:ind w:left="567" w:hanging="567"/>
        <w:rPr>
          <w:rFonts w:hint="eastAsia" w:ascii="宋体" w:hAnsi="宋体" w:eastAsia="宋体" w:cs="宋体"/>
          <w:color w:val="auto"/>
          <w:szCs w:val="30"/>
          <w:highlight w:val="none"/>
        </w:rPr>
      </w:pPr>
      <w:bookmarkStart w:id="814" w:name="_Toc22378_WPSOffice_Level1"/>
      <w:r>
        <w:rPr>
          <w:rFonts w:hint="eastAsia" w:ascii="宋体" w:hAnsi="宋体" w:eastAsia="宋体" w:cs="宋体"/>
          <w:color w:val="auto"/>
          <w:szCs w:val="30"/>
          <w:highlight w:val="none"/>
          <w:lang w:val="zh-CN"/>
        </w:rPr>
        <w:t>七、</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注意事项</w:t>
      </w:r>
      <w:bookmarkEnd w:id="814"/>
    </w:p>
    <w:p w14:paraId="7D99D399">
      <w:pPr>
        <w:tabs>
          <w:tab w:val="right" w:pos="7320"/>
        </w:tabs>
        <w:autoSpaceDE w:val="0"/>
        <w:autoSpaceDN w:val="0"/>
        <w:adjustRightInd w:val="0"/>
        <w:spacing w:line="360" w:lineRule="auto"/>
        <w:ind w:left="720" w:hanging="720"/>
        <w:rPr>
          <w:rFonts w:hint="eastAsia" w:ascii="宋体" w:hAnsi="宋体" w:eastAsia="宋体" w:cs="宋体"/>
          <w:color w:val="auto"/>
          <w:szCs w:val="30"/>
          <w:highlight w:val="none"/>
        </w:rPr>
      </w:pPr>
    </w:p>
    <w:p w14:paraId="1B7595CC">
      <w:pPr>
        <w:tabs>
          <w:tab w:val="right" w:pos="7320"/>
        </w:tabs>
        <w:autoSpaceDE w:val="0"/>
        <w:autoSpaceDN w:val="0"/>
        <w:adjustRightInd w:val="0"/>
        <w:spacing w:line="360" w:lineRule="auto"/>
        <w:ind w:left="720" w:hanging="720"/>
        <w:rPr>
          <w:rFonts w:hint="eastAsia" w:ascii="宋体" w:hAnsi="宋体" w:eastAsia="宋体" w:cs="宋体"/>
          <w:color w:val="auto"/>
          <w:szCs w:val="30"/>
          <w:highlight w:val="none"/>
        </w:rPr>
      </w:pPr>
    </w:p>
    <w:p w14:paraId="73ADCAE9">
      <w:pPr>
        <w:tabs>
          <w:tab w:val="left" w:pos="1080"/>
          <w:tab w:val="right" w:pos="7320"/>
        </w:tabs>
        <w:autoSpaceDE w:val="0"/>
        <w:autoSpaceDN w:val="0"/>
        <w:adjustRightInd w:val="0"/>
        <w:spacing w:line="400" w:lineRule="atLeast"/>
        <w:ind w:left="720" w:hanging="720"/>
        <w:rPr>
          <w:rFonts w:hint="eastAsia" w:ascii="宋体" w:hAnsi="宋体" w:eastAsia="宋体" w:cs="宋体"/>
          <w:color w:val="auto"/>
          <w:szCs w:val="30"/>
          <w:highlight w:val="none"/>
        </w:rPr>
      </w:pPr>
    </w:p>
    <w:p w14:paraId="66E13424">
      <w:pPr>
        <w:tabs>
          <w:tab w:val="left" w:pos="1140"/>
        </w:tabs>
        <w:autoSpaceDE w:val="0"/>
        <w:autoSpaceDN w:val="0"/>
        <w:adjustRightInd w:val="0"/>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color w:val="auto"/>
          <w:sz w:val="30"/>
          <w:szCs w:val="30"/>
          <w:highlight w:val="none"/>
        </w:rPr>
        <w:br w:type="page"/>
      </w:r>
      <w:bookmarkStart w:id="815" w:name="_Toc27181_WPSOffice_Level1"/>
      <w:r>
        <w:rPr>
          <w:rFonts w:hint="eastAsia" w:ascii="宋体" w:hAnsi="宋体" w:eastAsia="宋体" w:cs="宋体"/>
          <w:color w:val="auto"/>
          <w:sz w:val="28"/>
          <w:szCs w:val="28"/>
          <w:highlight w:val="none"/>
          <w:lang w:val="zh-CN"/>
        </w:rPr>
        <w:t>一、</w:t>
      </w:r>
      <w:r>
        <w:rPr>
          <w:rFonts w:hint="eastAsia" w:ascii="宋体" w:hAnsi="宋体" w:eastAsia="宋体" w:cs="宋体"/>
          <w:b/>
          <w:bCs/>
          <w:color w:val="auto"/>
          <w:sz w:val="28"/>
          <w:szCs w:val="28"/>
          <w:highlight w:val="none"/>
          <w:lang w:val="zh-CN"/>
        </w:rPr>
        <w:t>总则</w:t>
      </w:r>
      <w:bookmarkEnd w:id="815"/>
    </w:p>
    <w:p w14:paraId="1E661AF7">
      <w:pPr>
        <w:tabs>
          <w:tab w:val="left" w:pos="567"/>
          <w:tab w:val="left" w:pos="600"/>
        </w:tabs>
        <w:autoSpaceDE w:val="0"/>
        <w:autoSpaceDN w:val="0"/>
        <w:adjustRightInd w:val="0"/>
        <w:spacing w:line="360" w:lineRule="auto"/>
        <w:ind w:left="600" w:hanging="600"/>
        <w:rPr>
          <w:rFonts w:hint="eastAsia" w:ascii="宋体" w:hAnsi="宋体" w:eastAsia="宋体" w:cs="宋体"/>
          <w:b/>
          <w:bCs/>
          <w:color w:val="auto"/>
          <w:szCs w:val="24"/>
          <w:highlight w:val="none"/>
          <w:lang w:val="zh-CN"/>
        </w:rPr>
      </w:pPr>
      <w:r>
        <w:rPr>
          <w:rFonts w:hint="eastAsia" w:ascii="宋体" w:hAnsi="宋体" w:eastAsia="宋体" w:cs="宋体"/>
          <w:b/>
          <w:bCs/>
          <w:color w:val="auto"/>
          <w:szCs w:val="24"/>
          <w:highlight w:val="none"/>
          <w:lang w:val="zh-CN"/>
        </w:rPr>
        <w:t>1、一般规定</w:t>
      </w:r>
    </w:p>
    <w:p w14:paraId="22E8BE25">
      <w:pPr>
        <w:autoSpaceDE w:val="0"/>
        <w:autoSpaceDN w:val="0"/>
        <w:adjustRightInd w:val="0"/>
        <w:spacing w:line="360" w:lineRule="auto"/>
        <w:ind w:left="567" w:hanging="567"/>
        <w:rPr>
          <w:rFonts w:hint="eastAsia" w:ascii="宋体" w:hAnsi="宋体" w:eastAsia="宋体" w:cs="宋体"/>
          <w:color w:val="auto"/>
          <w:kern w:val="0"/>
          <w:szCs w:val="32"/>
          <w:highlight w:val="none"/>
        </w:rPr>
      </w:pPr>
      <w:r>
        <w:rPr>
          <w:rFonts w:hint="eastAsia" w:ascii="宋体" w:hAnsi="宋体" w:eastAsia="宋体" w:cs="宋体"/>
          <w:color w:val="auto"/>
          <w:szCs w:val="21"/>
          <w:highlight w:val="none"/>
          <w:lang w:val="zh-CN"/>
        </w:rPr>
        <w:t>1.1</w:t>
      </w:r>
      <w:r>
        <w:rPr>
          <w:rFonts w:hint="eastAsia" w:ascii="宋体" w:hAnsi="宋体" w:eastAsia="宋体" w:cs="宋体"/>
          <w:color w:val="auto"/>
          <w:szCs w:val="21"/>
          <w:highlight w:val="none"/>
          <w:lang w:val="zh-CN"/>
        </w:rPr>
        <w:tab/>
      </w:r>
      <w:r>
        <w:rPr>
          <w:rFonts w:hint="eastAsia" w:ascii="宋体" w:hAnsi="宋体" w:eastAsia="宋体" w:cs="宋体"/>
          <w:color w:val="auto"/>
          <w:kern w:val="0"/>
          <w:szCs w:val="21"/>
          <w:highlight w:val="none"/>
        </w:rPr>
        <w:t>东莞市碧水信息科技有限公司施工劳务分包供应商库采购项目</w:t>
      </w:r>
      <w:r>
        <w:rPr>
          <w:rFonts w:hint="eastAsia" w:ascii="宋体" w:hAnsi="宋体" w:eastAsia="宋体" w:cs="宋体"/>
          <w:color w:val="auto"/>
          <w:szCs w:val="21"/>
          <w:highlight w:val="none"/>
          <w:lang w:val="zh-CN"/>
        </w:rPr>
        <w:t>(招标编号：SSSSSC12500950</w:t>
      </w:r>
      <w:r>
        <w:rPr>
          <w:rFonts w:hint="eastAsia" w:ascii="宋体" w:hAnsi="宋体" w:eastAsia="宋体" w:cs="宋体"/>
          <w:color w:val="auto"/>
          <w:kern w:val="0"/>
          <w:szCs w:val="32"/>
          <w:highlight w:val="none"/>
        </w:rPr>
        <w:t>)的</w:t>
      </w:r>
      <w:r>
        <w:rPr>
          <w:rFonts w:hint="eastAsia" w:ascii="宋体" w:hAnsi="宋体" w:eastAsia="宋体" w:cs="宋体"/>
          <w:color w:val="auto"/>
          <w:szCs w:val="21"/>
          <w:highlight w:val="none"/>
          <w:lang w:val="zh-CN"/>
        </w:rPr>
        <w:t>招标</w:t>
      </w:r>
      <w:r>
        <w:rPr>
          <w:rFonts w:hint="eastAsia" w:ascii="宋体" w:hAnsi="宋体" w:eastAsia="宋体" w:cs="宋体"/>
          <w:color w:val="auto"/>
          <w:kern w:val="0"/>
          <w:szCs w:val="32"/>
          <w:highlight w:val="none"/>
        </w:rPr>
        <w:t>按照《中华人民共和国招标投标法》等有关规定进行。</w:t>
      </w:r>
    </w:p>
    <w:p w14:paraId="5631D036">
      <w:pPr>
        <w:autoSpaceDE w:val="0"/>
        <w:autoSpaceDN w:val="0"/>
        <w:adjustRightInd w:val="0"/>
        <w:spacing w:line="360" w:lineRule="auto"/>
        <w:ind w:left="567" w:hanging="567"/>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1.2</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评标必须遵循公平、公正、诚实信用的原则。</w:t>
      </w:r>
    </w:p>
    <w:p w14:paraId="4B7C51C6">
      <w:pPr>
        <w:autoSpaceDE w:val="0"/>
        <w:autoSpaceDN w:val="0"/>
        <w:adjustRightInd w:val="0"/>
        <w:spacing w:line="360" w:lineRule="auto"/>
        <w:ind w:left="567" w:hanging="567"/>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1.3</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招标代理机构</w:t>
      </w:r>
      <w:r>
        <w:rPr>
          <w:rFonts w:hint="eastAsia" w:ascii="宋体" w:hAnsi="宋体" w:eastAsia="宋体" w:cs="宋体"/>
          <w:color w:val="auto"/>
          <w:kern w:val="0"/>
          <w:szCs w:val="32"/>
          <w:highlight w:val="none"/>
        </w:rPr>
        <w:t>(广州宏达工程顾问集团有限公司）组</w:t>
      </w:r>
      <w:r>
        <w:rPr>
          <w:rFonts w:hint="eastAsia" w:ascii="宋体" w:hAnsi="宋体" w:eastAsia="宋体" w:cs="宋体"/>
          <w:color w:val="auto"/>
          <w:szCs w:val="24"/>
          <w:highlight w:val="none"/>
          <w:lang w:val="zh-CN"/>
        </w:rPr>
        <w:t>织评标工作，全过程接受招标人及相关部门的监督、管理和指导。</w:t>
      </w:r>
    </w:p>
    <w:p w14:paraId="0BBD33B2">
      <w:pPr>
        <w:autoSpaceDE w:val="0"/>
        <w:autoSpaceDN w:val="0"/>
        <w:adjustRightInd w:val="0"/>
        <w:spacing w:line="360" w:lineRule="auto"/>
        <w:ind w:left="567" w:hanging="567"/>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1.4</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评标按照招标文件规定的内容进行，采取</w:t>
      </w:r>
      <w:r>
        <w:rPr>
          <w:rFonts w:hint="eastAsia" w:ascii="宋体" w:hAnsi="宋体" w:eastAsia="宋体" w:cs="宋体"/>
          <w:color w:val="auto"/>
          <w:szCs w:val="21"/>
          <w:highlight w:val="none"/>
          <w:lang w:val="zh-CN"/>
        </w:rPr>
        <w:t>封闭式框架协议采购方式，质量优先的评审方法，对所有投标文件</w:t>
      </w:r>
      <w:r>
        <w:rPr>
          <w:rFonts w:hint="eastAsia" w:ascii="宋体" w:hAnsi="宋体" w:eastAsia="宋体" w:cs="宋体"/>
          <w:color w:val="auto"/>
          <w:szCs w:val="21"/>
          <w:highlight w:val="none"/>
          <w:lang w:val="en-US" w:eastAsia="zh-CN"/>
        </w:rPr>
        <w:t>进行资格性审查、符合性审查、</w:t>
      </w:r>
      <w:r>
        <w:rPr>
          <w:rFonts w:hint="eastAsia" w:ascii="宋体" w:hAnsi="宋体" w:eastAsia="宋体" w:cs="宋体"/>
          <w:color w:val="auto"/>
          <w:szCs w:val="21"/>
          <w:highlight w:val="none"/>
          <w:lang w:val="zh-CN"/>
        </w:rPr>
        <w:t>商务部分和技术部分</w:t>
      </w:r>
      <w:r>
        <w:rPr>
          <w:rFonts w:hint="eastAsia" w:ascii="宋体" w:hAnsi="宋体" w:eastAsia="宋体" w:cs="宋体"/>
          <w:color w:val="auto"/>
          <w:szCs w:val="21"/>
          <w:highlight w:val="none"/>
        </w:rPr>
        <w:t>评审</w:t>
      </w:r>
      <w:r>
        <w:rPr>
          <w:rFonts w:hint="eastAsia" w:ascii="宋体" w:hAnsi="宋体" w:eastAsia="宋体" w:cs="宋体"/>
          <w:color w:val="auto"/>
          <w:szCs w:val="24"/>
          <w:highlight w:val="none"/>
          <w:lang w:val="zh-CN"/>
        </w:rPr>
        <w:t>。</w:t>
      </w:r>
    </w:p>
    <w:p w14:paraId="6F27908E">
      <w:pPr>
        <w:numPr>
          <w:ilvl w:val="1"/>
          <w:numId w:val="4"/>
        </w:numPr>
        <w:autoSpaceDE w:val="0"/>
        <w:autoSpaceDN w:val="0"/>
        <w:adjustRightInd w:val="0"/>
        <w:spacing w:line="360" w:lineRule="auto"/>
        <w:ind w:left="565" w:hanging="564" w:hangingChars="269"/>
        <w:jc w:val="left"/>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rPr>
        <w:t xml:space="preserve"> </w:t>
      </w:r>
      <w:r>
        <w:rPr>
          <w:rFonts w:hint="eastAsia" w:ascii="宋体" w:hAnsi="宋体" w:eastAsia="宋体" w:cs="宋体"/>
          <w:color w:val="auto"/>
          <w:szCs w:val="24"/>
          <w:highlight w:val="none"/>
          <w:lang w:val="zh-CN"/>
        </w:rPr>
        <w:t>本办法的评审对象是指投标人按照招标文件要求提供的有效投标文件，包括投标人应评标委员会要求对原投标文件作出的正式书面澄清文件。</w:t>
      </w:r>
    </w:p>
    <w:p w14:paraId="70B5BEFC">
      <w:pPr>
        <w:autoSpaceDE w:val="0"/>
        <w:autoSpaceDN w:val="0"/>
        <w:adjustRightInd w:val="0"/>
        <w:spacing w:line="360" w:lineRule="auto"/>
        <w:rPr>
          <w:rFonts w:hint="eastAsia" w:ascii="宋体" w:hAnsi="宋体" w:eastAsia="宋体" w:cs="宋体"/>
          <w:color w:val="auto"/>
          <w:sz w:val="24"/>
          <w:szCs w:val="24"/>
          <w:highlight w:val="none"/>
          <w:lang w:val="zh-CN"/>
        </w:rPr>
      </w:pPr>
    </w:p>
    <w:p w14:paraId="4D1A2797">
      <w:pPr>
        <w:tabs>
          <w:tab w:val="left" w:pos="360"/>
          <w:tab w:val="left" w:pos="600"/>
        </w:tabs>
        <w:autoSpaceDE w:val="0"/>
        <w:autoSpaceDN w:val="0"/>
        <w:adjustRightInd w:val="0"/>
        <w:spacing w:line="360" w:lineRule="auto"/>
        <w:ind w:left="600" w:hanging="600"/>
        <w:rPr>
          <w:rFonts w:hint="eastAsia" w:ascii="宋体" w:hAnsi="宋体" w:eastAsia="宋体" w:cs="宋体"/>
          <w:b/>
          <w:bCs/>
          <w:color w:val="auto"/>
          <w:szCs w:val="24"/>
          <w:highlight w:val="none"/>
          <w:lang w:val="zh-CN"/>
        </w:rPr>
      </w:pPr>
      <w:r>
        <w:rPr>
          <w:rFonts w:hint="eastAsia" w:ascii="宋体" w:hAnsi="宋体" w:eastAsia="宋体" w:cs="宋体"/>
          <w:b/>
          <w:bCs/>
          <w:color w:val="auto"/>
          <w:szCs w:val="24"/>
          <w:highlight w:val="none"/>
          <w:lang w:val="zh-CN"/>
        </w:rPr>
        <w:t>2、</w:t>
      </w:r>
      <w:r>
        <w:rPr>
          <w:rFonts w:hint="eastAsia" w:ascii="宋体" w:hAnsi="宋体" w:eastAsia="宋体" w:cs="宋体"/>
          <w:b/>
          <w:bCs/>
          <w:color w:val="auto"/>
          <w:szCs w:val="24"/>
          <w:highlight w:val="none"/>
          <w:lang w:val="zh-CN"/>
        </w:rPr>
        <w:tab/>
      </w:r>
      <w:r>
        <w:rPr>
          <w:rFonts w:hint="eastAsia" w:ascii="宋体" w:hAnsi="宋体" w:eastAsia="宋体" w:cs="宋体"/>
          <w:b/>
          <w:bCs/>
          <w:color w:val="auto"/>
          <w:szCs w:val="24"/>
          <w:highlight w:val="none"/>
          <w:lang w:val="zh-CN"/>
        </w:rPr>
        <w:t>评标组织机构的组成</w:t>
      </w:r>
    </w:p>
    <w:p w14:paraId="67C98059">
      <w:pPr>
        <w:tabs>
          <w:tab w:val="left" w:pos="567"/>
          <w:tab w:val="left" w:pos="1145"/>
        </w:tabs>
        <w:autoSpaceDE w:val="0"/>
        <w:autoSpaceDN w:val="0"/>
        <w:adjustRightInd w:val="0"/>
        <w:spacing w:line="360" w:lineRule="auto"/>
        <w:ind w:left="600" w:hanging="6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2.1</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评标委员会</w:t>
      </w:r>
      <w:r>
        <w:rPr>
          <w:rFonts w:hint="eastAsia" w:ascii="宋体" w:hAnsi="宋体" w:eastAsia="宋体" w:cs="宋体"/>
          <w:color w:val="auto"/>
          <w:kern w:val="0"/>
          <w:szCs w:val="24"/>
          <w:highlight w:val="none"/>
        </w:rPr>
        <w:t>由招标人和技术、经济等方面的专家组成，成员为</w:t>
      </w:r>
      <w:r>
        <w:rPr>
          <w:rFonts w:hint="eastAsia" w:ascii="宋体" w:hAnsi="宋体" w:eastAsia="宋体" w:cs="宋体"/>
          <w:b/>
          <w:bCs/>
          <w:color w:val="auto"/>
          <w:kern w:val="0"/>
          <w:szCs w:val="24"/>
          <w:highlight w:val="none"/>
        </w:rPr>
        <w:t>7</w:t>
      </w:r>
      <w:r>
        <w:rPr>
          <w:rFonts w:ascii="宋体" w:hAnsi="宋体" w:eastAsia="宋体" w:cs="宋体"/>
          <w:b/>
          <w:bCs/>
          <w:color w:val="auto"/>
          <w:kern w:val="0"/>
          <w:szCs w:val="24"/>
          <w:highlight w:val="none"/>
        </w:rPr>
        <w:t>人以上（含</w:t>
      </w:r>
      <w:r>
        <w:rPr>
          <w:rFonts w:hint="eastAsia" w:ascii="宋体" w:hAnsi="宋体" w:eastAsia="宋体" w:cs="宋体"/>
          <w:b/>
          <w:bCs/>
          <w:color w:val="auto"/>
          <w:kern w:val="0"/>
          <w:szCs w:val="24"/>
          <w:highlight w:val="none"/>
        </w:rPr>
        <w:t>7</w:t>
      </w:r>
      <w:r>
        <w:rPr>
          <w:rFonts w:ascii="宋体" w:hAnsi="宋体" w:eastAsia="宋体" w:cs="宋体"/>
          <w:b/>
          <w:bCs/>
          <w:color w:val="auto"/>
          <w:kern w:val="0"/>
          <w:szCs w:val="24"/>
          <w:highlight w:val="none"/>
        </w:rPr>
        <w:t>人）单数</w:t>
      </w:r>
      <w:r>
        <w:rPr>
          <w:rFonts w:hint="eastAsia" w:ascii="宋体" w:hAnsi="宋体" w:eastAsia="宋体" w:cs="宋体"/>
          <w:color w:val="auto"/>
          <w:kern w:val="0"/>
          <w:szCs w:val="24"/>
          <w:highlight w:val="none"/>
        </w:rPr>
        <w:t>，其中技术、经济等方面的专家不少于成员总数的三分之二。</w:t>
      </w:r>
      <w:r>
        <w:rPr>
          <w:rFonts w:hint="eastAsia" w:ascii="宋体" w:hAnsi="宋体" w:eastAsia="宋体" w:cs="宋体"/>
          <w:color w:val="auto"/>
          <w:szCs w:val="24"/>
          <w:highlight w:val="none"/>
          <w:lang w:val="zh-CN"/>
        </w:rPr>
        <w:t>专家依法从</w:t>
      </w:r>
      <w:r>
        <w:rPr>
          <w:rFonts w:hint="eastAsia" w:ascii="宋体" w:hAnsi="宋体" w:eastAsia="宋体" w:cs="宋体"/>
          <w:color w:val="auto"/>
          <w:kern w:val="0"/>
          <w:szCs w:val="24"/>
          <w:highlight w:val="none"/>
        </w:rPr>
        <w:t>专家库中随机抽取产生。</w:t>
      </w:r>
    </w:p>
    <w:p w14:paraId="7AEED54D">
      <w:pPr>
        <w:tabs>
          <w:tab w:val="left" w:pos="567"/>
          <w:tab w:val="left" w:pos="1145"/>
        </w:tabs>
        <w:autoSpaceDE w:val="0"/>
        <w:autoSpaceDN w:val="0"/>
        <w:adjustRightInd w:val="0"/>
        <w:spacing w:line="360" w:lineRule="auto"/>
        <w:ind w:left="600" w:hanging="6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2.2</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评标工作组由招标人、招标代理机构及有关专家组成，由评标委员会确认，并接受其领导。</w:t>
      </w:r>
    </w:p>
    <w:p w14:paraId="48FF07ED">
      <w:pPr>
        <w:autoSpaceDE w:val="0"/>
        <w:autoSpaceDN w:val="0"/>
        <w:adjustRightInd w:val="0"/>
        <w:spacing w:line="360" w:lineRule="auto"/>
        <w:ind w:left="600" w:hanging="6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2.3</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评标工作组分成评标委员会、秘书组。</w:t>
      </w:r>
    </w:p>
    <w:p w14:paraId="4AD663EA">
      <w:pPr>
        <w:autoSpaceDE w:val="0"/>
        <w:autoSpaceDN w:val="0"/>
        <w:adjustRightInd w:val="0"/>
        <w:spacing w:line="360" w:lineRule="auto"/>
        <w:ind w:left="600" w:hanging="6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2.4</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评标委员会应相对独立工作，负责评审、撰写评标报告。招标代理机构秘书组负责评标过程中资料的保管、发放及回收，协调技术和评标委员会评标工作的进展和整理、汇总评标资料及复核。</w:t>
      </w:r>
    </w:p>
    <w:p w14:paraId="48BB2E9D">
      <w:pPr>
        <w:autoSpaceDE w:val="0"/>
        <w:autoSpaceDN w:val="0"/>
        <w:adjustRightInd w:val="0"/>
        <w:spacing w:line="360" w:lineRule="auto"/>
        <w:rPr>
          <w:rFonts w:hint="eastAsia" w:ascii="宋体" w:hAnsi="宋体" w:eastAsia="宋体" w:cs="宋体"/>
          <w:color w:val="auto"/>
          <w:sz w:val="24"/>
          <w:szCs w:val="24"/>
          <w:highlight w:val="none"/>
          <w:lang w:val="zh-CN"/>
        </w:rPr>
      </w:pPr>
    </w:p>
    <w:p w14:paraId="540D039E">
      <w:pPr>
        <w:autoSpaceDE w:val="0"/>
        <w:autoSpaceDN w:val="0"/>
        <w:adjustRightInd w:val="0"/>
        <w:spacing w:line="360" w:lineRule="auto"/>
        <w:rPr>
          <w:rFonts w:hint="eastAsia" w:ascii="宋体" w:hAnsi="宋体" w:eastAsia="宋体" w:cs="宋体"/>
          <w:color w:val="auto"/>
          <w:sz w:val="24"/>
          <w:szCs w:val="24"/>
          <w:highlight w:val="none"/>
          <w:lang w:val="zh-CN"/>
        </w:rPr>
      </w:pPr>
      <w:r>
        <w:rPr>
          <w:rFonts w:hint="eastAsia" w:ascii="宋体" w:hAnsi="宋体" w:eastAsia="宋体" w:cs="宋体"/>
          <w:b/>
          <w:color w:val="auto"/>
          <w:szCs w:val="21"/>
          <w:highlight w:val="none"/>
          <w:lang w:val="zh-CN"/>
        </w:rPr>
        <w:t>3、</w:t>
      </w:r>
      <w:r>
        <w:rPr>
          <w:rFonts w:hint="eastAsia" w:ascii="宋体" w:hAnsi="宋体" w:eastAsia="宋体" w:cs="宋体"/>
          <w:b/>
          <w:bCs/>
          <w:color w:val="auto"/>
          <w:szCs w:val="21"/>
          <w:highlight w:val="none"/>
          <w:lang w:val="zh-CN"/>
        </w:rPr>
        <w:t>评标</w:t>
      </w:r>
      <w:r>
        <w:rPr>
          <w:rFonts w:hint="eastAsia" w:ascii="宋体" w:hAnsi="宋体" w:eastAsia="宋体" w:cs="宋体"/>
          <w:b/>
          <w:bCs/>
          <w:color w:val="auto"/>
          <w:szCs w:val="24"/>
          <w:highlight w:val="none"/>
          <w:lang w:val="zh-CN"/>
        </w:rPr>
        <w:t>委员会职责</w:t>
      </w:r>
    </w:p>
    <w:p w14:paraId="2B4388DC">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3.1  审查投标文件是否符合招标文件要求，并作出评价；</w:t>
      </w:r>
    </w:p>
    <w:p w14:paraId="3B1CFC56">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3.2  要求投标人对投标文件有关事项作出解释或者澄清；</w:t>
      </w:r>
    </w:p>
    <w:p w14:paraId="6A21680B">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3.3</w:t>
      </w:r>
      <w:r>
        <w:rPr>
          <w:rFonts w:hint="eastAsia" w:ascii="宋体" w:hAnsi="宋体" w:eastAsia="宋体" w:cs="宋体"/>
          <w:color w:val="auto"/>
          <w:kern w:val="0"/>
          <w:szCs w:val="24"/>
          <w:highlight w:val="none"/>
          <w:lang w:val="zh-CN"/>
        </w:rPr>
        <w:tab/>
      </w:r>
      <w:r>
        <w:rPr>
          <w:rFonts w:hint="eastAsia" w:ascii="宋体" w:hAnsi="宋体" w:eastAsia="宋体" w:cs="宋体"/>
          <w:color w:val="auto"/>
          <w:kern w:val="0"/>
          <w:szCs w:val="24"/>
          <w:highlight w:val="none"/>
          <w:lang w:val="zh-CN"/>
        </w:rPr>
        <w:t xml:space="preserve"> 推荐中标候选人名单及排序；</w:t>
      </w:r>
    </w:p>
    <w:p w14:paraId="694ADC61">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3.4</w:t>
      </w:r>
      <w:r>
        <w:rPr>
          <w:rFonts w:hint="eastAsia" w:ascii="宋体" w:hAnsi="宋体" w:eastAsia="宋体" w:cs="宋体"/>
          <w:color w:val="auto"/>
          <w:kern w:val="0"/>
          <w:szCs w:val="24"/>
          <w:highlight w:val="none"/>
          <w:lang w:val="zh-CN"/>
        </w:rPr>
        <w:tab/>
      </w:r>
      <w:r>
        <w:rPr>
          <w:rFonts w:hint="eastAsia" w:ascii="宋体" w:hAnsi="宋体" w:eastAsia="宋体" w:cs="宋体"/>
          <w:color w:val="auto"/>
          <w:kern w:val="0"/>
          <w:szCs w:val="24"/>
          <w:highlight w:val="none"/>
          <w:lang w:val="zh-CN"/>
        </w:rPr>
        <w:t xml:space="preserve"> 向招标人、招标代理机构或者有关部门报告非法干预评标工作的行为。</w:t>
      </w:r>
    </w:p>
    <w:p w14:paraId="5CD8021D">
      <w:pPr>
        <w:autoSpaceDE w:val="0"/>
        <w:autoSpaceDN w:val="0"/>
        <w:adjustRightInd w:val="0"/>
        <w:spacing w:line="360" w:lineRule="auto"/>
        <w:jc w:val="left"/>
        <w:rPr>
          <w:rFonts w:hint="eastAsia" w:ascii="宋体" w:hAnsi="宋体" w:eastAsia="宋体" w:cs="宋体"/>
          <w:color w:val="auto"/>
          <w:kern w:val="0"/>
          <w:sz w:val="24"/>
          <w:szCs w:val="24"/>
          <w:highlight w:val="none"/>
          <w:lang w:val="zh-CN"/>
        </w:rPr>
      </w:pPr>
    </w:p>
    <w:p w14:paraId="3BDBD1C6">
      <w:pPr>
        <w:tabs>
          <w:tab w:val="left" w:pos="720"/>
        </w:tabs>
        <w:autoSpaceDE w:val="0"/>
        <w:autoSpaceDN w:val="0"/>
        <w:adjustRightInd w:val="0"/>
        <w:spacing w:line="360" w:lineRule="auto"/>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4、评标委员会义务</w:t>
      </w:r>
    </w:p>
    <w:p w14:paraId="7A811612">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4.1  遵纪守法，客观、公正、廉洁地履行职责；</w:t>
      </w:r>
    </w:p>
    <w:p w14:paraId="5BBAC86F">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4.2  按照招标文件规定的评标方法和评标标准进行评审，对评审意见承担个人责任；</w:t>
      </w:r>
    </w:p>
    <w:p w14:paraId="78385810">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4.3  对评标过程和结果，以及投标人的商业秘密保密；</w:t>
      </w:r>
    </w:p>
    <w:p w14:paraId="48EA6DA5">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4.4  参与评标报告的起草；</w:t>
      </w:r>
    </w:p>
    <w:p w14:paraId="6A0ABA68">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4.5  配合有关部门的投诉处理工作；</w:t>
      </w:r>
    </w:p>
    <w:p w14:paraId="685EE934">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4.6  配合招标人、招标代理机构答复投标人提出的质疑、异议。</w:t>
      </w:r>
    </w:p>
    <w:p w14:paraId="2DC9CC26">
      <w:pPr>
        <w:tabs>
          <w:tab w:val="left" w:pos="720"/>
        </w:tabs>
        <w:autoSpaceDE w:val="0"/>
        <w:autoSpaceDN w:val="0"/>
        <w:adjustRightInd w:val="0"/>
        <w:spacing w:line="360" w:lineRule="auto"/>
        <w:rPr>
          <w:rFonts w:hint="eastAsia" w:ascii="宋体" w:hAnsi="宋体" w:eastAsia="宋体" w:cs="宋体"/>
          <w:color w:val="auto"/>
          <w:sz w:val="24"/>
          <w:szCs w:val="24"/>
          <w:highlight w:val="none"/>
          <w:lang w:val="zh-CN"/>
        </w:rPr>
      </w:pPr>
    </w:p>
    <w:p w14:paraId="1466AC8D">
      <w:pPr>
        <w:tabs>
          <w:tab w:val="left" w:pos="1547"/>
        </w:tabs>
        <w:autoSpaceDE w:val="0"/>
        <w:autoSpaceDN w:val="0"/>
        <w:adjustRightInd w:val="0"/>
        <w:spacing w:line="360" w:lineRule="auto"/>
        <w:rPr>
          <w:rFonts w:hint="eastAsia" w:ascii="宋体" w:hAnsi="宋体" w:eastAsia="宋体" w:cs="Times New Roman"/>
          <w:b/>
          <w:color w:val="auto"/>
          <w:szCs w:val="24"/>
          <w:highlight w:val="none"/>
          <w:lang w:val="zh-CN"/>
        </w:rPr>
      </w:pPr>
      <w:r>
        <w:rPr>
          <w:rFonts w:hint="eastAsia" w:ascii="宋体" w:hAnsi="宋体" w:eastAsia="宋体" w:cs="宋体"/>
          <w:b/>
          <w:bCs/>
          <w:color w:val="auto"/>
          <w:szCs w:val="21"/>
          <w:highlight w:val="none"/>
          <w:lang w:val="zh-CN"/>
        </w:rPr>
        <w:t>5、评审程序</w:t>
      </w:r>
    </w:p>
    <w:p w14:paraId="4AB96161">
      <w:pPr>
        <w:autoSpaceDE w:val="0"/>
        <w:autoSpaceDN w:val="0"/>
        <w:adjustRightInd w:val="0"/>
        <w:spacing w:line="360" w:lineRule="auto"/>
        <w:ind w:left="567" w:hanging="567"/>
        <w:rPr>
          <w:rFonts w:hint="eastAsia" w:ascii="宋体" w:hAnsi="宋体" w:eastAsia="宋体" w:cs="Times New Roman"/>
          <w:b/>
          <w:color w:val="auto"/>
          <w:szCs w:val="24"/>
          <w:highlight w:val="none"/>
          <w:lang w:val="zh-CN"/>
        </w:rPr>
      </w:pPr>
      <w:r>
        <w:rPr>
          <w:rFonts w:hint="eastAsia" w:ascii="宋体" w:hAnsi="宋体" w:eastAsia="宋体" w:cs="Times New Roman"/>
          <w:b/>
          <w:color w:val="auto"/>
          <w:szCs w:val="24"/>
          <w:highlight w:val="none"/>
          <w:lang w:val="zh-CN"/>
        </w:rPr>
        <w:t>公开招标：</w:t>
      </w:r>
    </w:p>
    <w:p w14:paraId="685379EF">
      <w:pPr>
        <w:autoSpaceDE w:val="0"/>
        <w:autoSpaceDN w:val="0"/>
        <w:adjustRightInd w:val="0"/>
        <w:spacing w:line="360" w:lineRule="auto"/>
        <w:ind w:left="567" w:hanging="567"/>
        <w:rPr>
          <w:rFonts w:hint="eastAsia" w:ascii="宋体" w:hAnsi="宋体" w:eastAsia="宋体" w:cs="Times New Roman"/>
          <w:bCs/>
          <w:color w:val="auto"/>
          <w:szCs w:val="24"/>
          <w:highlight w:val="none"/>
          <w:lang w:val="zh-CN"/>
        </w:rPr>
      </w:pPr>
      <w:r>
        <w:rPr>
          <w:rFonts w:ascii="宋体" w:hAnsi="宋体" w:eastAsia="宋体" w:cs="Times New Roman"/>
          <w:color w:val="auto"/>
          <w:szCs w:val="24"/>
          <w:highlight w:val="none"/>
          <w:lang w:val="zh-CN"/>
        </w:rPr>
        <w:t>5.</w:t>
      </w:r>
      <w:r>
        <w:rPr>
          <w:rFonts w:hint="eastAsia" w:ascii="宋体" w:hAnsi="宋体" w:eastAsia="宋体" w:cs="Times New Roman"/>
          <w:color w:val="auto"/>
          <w:szCs w:val="24"/>
          <w:highlight w:val="none"/>
          <w:lang w:val="zh-CN"/>
        </w:rPr>
        <w:t>1</w:t>
      </w:r>
      <w:r>
        <w:rPr>
          <w:rFonts w:ascii="宋体" w:hAnsi="宋体" w:eastAsia="宋体" w:cs="Times New Roman"/>
          <w:color w:val="auto"/>
          <w:szCs w:val="24"/>
          <w:highlight w:val="none"/>
          <w:lang w:val="zh-CN"/>
        </w:rPr>
        <w:tab/>
      </w:r>
      <w:r>
        <w:rPr>
          <w:rFonts w:hint="eastAsia" w:ascii="宋体" w:hAnsi="宋体" w:eastAsia="宋体" w:cs="Times New Roman"/>
          <w:bCs/>
          <w:color w:val="auto"/>
          <w:szCs w:val="24"/>
          <w:highlight w:val="none"/>
          <w:lang w:val="zh-CN"/>
        </w:rPr>
        <w:t>评审首先由评标委员会对投标人的</w:t>
      </w:r>
      <w:r>
        <w:rPr>
          <w:rFonts w:hint="eastAsia" w:ascii="宋体" w:hAnsi="宋体" w:eastAsia="宋体" w:cs="Times New Roman"/>
          <w:color w:val="auto"/>
          <w:szCs w:val="24"/>
          <w:highlight w:val="none"/>
          <w:lang w:val="zh-CN"/>
        </w:rPr>
        <w:t>投标</w:t>
      </w:r>
      <w:r>
        <w:rPr>
          <w:rFonts w:hint="eastAsia" w:ascii="宋体" w:hAnsi="宋体" w:eastAsia="宋体" w:cs="Times New Roman"/>
          <w:bCs/>
          <w:color w:val="auto"/>
          <w:szCs w:val="24"/>
          <w:highlight w:val="none"/>
          <w:lang w:val="zh-CN"/>
        </w:rPr>
        <w:t>文件做初审，对未能通过初审的投标文件不再进入下一阶段评审。</w:t>
      </w:r>
    </w:p>
    <w:p w14:paraId="2D4E9510">
      <w:pPr>
        <w:autoSpaceDE w:val="0"/>
        <w:autoSpaceDN w:val="0"/>
        <w:adjustRightInd w:val="0"/>
        <w:spacing w:line="360" w:lineRule="auto"/>
        <w:ind w:left="567" w:hanging="567"/>
        <w:rPr>
          <w:rFonts w:hint="eastAsia"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5.</w:t>
      </w:r>
      <w:r>
        <w:rPr>
          <w:rFonts w:hint="eastAsia" w:ascii="宋体" w:hAnsi="宋体" w:eastAsia="宋体" w:cs="Times New Roman"/>
          <w:color w:val="auto"/>
          <w:szCs w:val="24"/>
          <w:highlight w:val="none"/>
          <w:lang w:val="zh-CN"/>
        </w:rPr>
        <w:t>2</w:t>
      </w:r>
      <w:r>
        <w:rPr>
          <w:rFonts w:ascii="宋体" w:hAnsi="宋体" w:eastAsia="宋体" w:cs="Times New Roman"/>
          <w:color w:val="auto"/>
          <w:szCs w:val="24"/>
          <w:highlight w:val="none"/>
          <w:lang w:val="zh-CN"/>
        </w:rPr>
        <w:tab/>
      </w:r>
      <w:r>
        <w:rPr>
          <w:rFonts w:hint="eastAsia" w:ascii="宋体" w:hAnsi="宋体" w:eastAsia="宋体" w:cs="Times New Roman"/>
          <w:bCs/>
          <w:color w:val="auto"/>
          <w:szCs w:val="24"/>
          <w:highlight w:val="none"/>
          <w:lang w:val="zh-CN"/>
        </w:rPr>
        <w:t>评标</w:t>
      </w:r>
      <w:r>
        <w:rPr>
          <w:rFonts w:hint="eastAsia" w:ascii="宋体" w:hAnsi="宋体" w:eastAsia="宋体" w:cs="Arial"/>
          <w:color w:val="auto"/>
          <w:szCs w:val="24"/>
          <w:highlight w:val="none"/>
          <w:lang w:val="zh-CN"/>
        </w:rPr>
        <w:t>委员会</w:t>
      </w:r>
      <w:r>
        <w:rPr>
          <w:rFonts w:hint="eastAsia" w:ascii="宋体" w:hAnsi="宋体" w:eastAsia="宋体" w:cs="Times New Roman"/>
          <w:color w:val="auto"/>
          <w:szCs w:val="24"/>
          <w:highlight w:val="none"/>
          <w:lang w:val="zh-CN"/>
        </w:rPr>
        <w:t>对</w:t>
      </w:r>
      <w:r>
        <w:rPr>
          <w:rFonts w:hint="eastAsia" w:ascii="宋体" w:hAnsi="宋体" w:eastAsia="宋体" w:cs="Arial"/>
          <w:color w:val="auto"/>
          <w:szCs w:val="24"/>
          <w:highlight w:val="none"/>
          <w:lang w:val="zh-CN"/>
        </w:rPr>
        <w:t>通过初审的</w:t>
      </w:r>
      <w:r>
        <w:rPr>
          <w:rFonts w:hint="eastAsia" w:ascii="宋体" w:hAnsi="宋体" w:eastAsia="宋体" w:cs="Times New Roman"/>
          <w:color w:val="auto"/>
          <w:szCs w:val="24"/>
          <w:highlight w:val="none"/>
          <w:lang w:val="zh-CN"/>
        </w:rPr>
        <w:t>投标人的投标文件进行详细的比较和评价。如需要，进行必要的澄清工作。</w:t>
      </w:r>
    </w:p>
    <w:p w14:paraId="7E02D1BE">
      <w:pPr>
        <w:autoSpaceDE w:val="0"/>
        <w:autoSpaceDN w:val="0"/>
        <w:adjustRightInd w:val="0"/>
        <w:spacing w:line="360" w:lineRule="auto"/>
        <w:ind w:left="567" w:hanging="567"/>
        <w:rPr>
          <w:rFonts w:hint="eastAsia"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5.</w:t>
      </w:r>
      <w:r>
        <w:rPr>
          <w:rFonts w:hint="eastAsia" w:ascii="宋体" w:hAnsi="宋体" w:eastAsia="宋体" w:cs="Times New Roman"/>
          <w:color w:val="auto"/>
          <w:szCs w:val="24"/>
          <w:highlight w:val="none"/>
          <w:lang w:val="zh-CN"/>
        </w:rPr>
        <w:t>3  依据评分标准以及各项权重，各位评标委员会成员单独就每个投标人的商务状况、技术状况进行比较和评价，分别评出其商务得分和技术得分。</w:t>
      </w:r>
    </w:p>
    <w:p w14:paraId="309A60F9">
      <w:pPr>
        <w:autoSpaceDE w:val="0"/>
        <w:autoSpaceDN w:val="0"/>
        <w:adjustRightInd w:val="0"/>
        <w:spacing w:line="360" w:lineRule="auto"/>
        <w:ind w:left="567" w:hanging="567"/>
        <w:rPr>
          <w:rFonts w:hint="eastAsia" w:ascii="宋体" w:hAnsi="宋体" w:eastAsia="宋体" w:cs="Times New Roman"/>
          <w:color w:val="auto"/>
          <w:kern w:val="0"/>
          <w:szCs w:val="24"/>
          <w:highlight w:val="none"/>
          <w:lang w:val="zh-CN"/>
        </w:rPr>
      </w:pPr>
      <w:r>
        <w:rPr>
          <w:rFonts w:hint="eastAsia" w:ascii="宋体" w:hAnsi="宋体" w:eastAsia="宋体" w:cs="Times New Roman"/>
          <w:color w:val="auto"/>
          <w:kern w:val="0"/>
          <w:szCs w:val="24"/>
          <w:highlight w:val="none"/>
          <w:lang w:val="zh-CN"/>
        </w:rPr>
        <w:t>5.</w:t>
      </w:r>
      <w:r>
        <w:rPr>
          <w:rFonts w:hint="eastAsia" w:ascii="宋体" w:hAnsi="宋体" w:eastAsia="宋体" w:cs="Times New Roman"/>
          <w:color w:val="auto"/>
          <w:kern w:val="0"/>
          <w:szCs w:val="24"/>
          <w:highlight w:val="none"/>
        </w:rPr>
        <w:t>4</w:t>
      </w:r>
      <w:r>
        <w:rPr>
          <w:rFonts w:hint="eastAsia" w:ascii="宋体" w:hAnsi="宋体" w:eastAsia="宋体" w:cs="Times New Roman"/>
          <w:color w:val="auto"/>
          <w:kern w:val="0"/>
          <w:szCs w:val="24"/>
          <w:highlight w:val="none"/>
          <w:lang w:val="zh-CN"/>
        </w:rPr>
        <w:t xml:space="preserve">  将各</w:t>
      </w:r>
      <w:r>
        <w:rPr>
          <w:rFonts w:hint="eastAsia" w:ascii="宋体" w:hAnsi="宋体" w:eastAsia="宋体" w:cs="Times New Roman"/>
          <w:color w:val="auto"/>
          <w:szCs w:val="24"/>
          <w:highlight w:val="none"/>
          <w:lang w:val="zh-CN"/>
        </w:rPr>
        <w:t>评委对</w:t>
      </w:r>
      <w:r>
        <w:rPr>
          <w:rFonts w:hint="eastAsia" w:ascii="宋体" w:hAnsi="宋体" w:eastAsia="宋体" w:cs="Times New Roman"/>
          <w:color w:val="auto"/>
          <w:kern w:val="0"/>
          <w:szCs w:val="24"/>
          <w:highlight w:val="none"/>
          <w:lang w:val="zh-CN"/>
        </w:rPr>
        <w:t>投标人的技术打分的最终综合得分、商务打分的算术平均值相加得出投标人的总分。</w:t>
      </w:r>
    </w:p>
    <w:p w14:paraId="76366B0F">
      <w:pPr>
        <w:autoSpaceDE w:val="0"/>
        <w:autoSpaceDN w:val="0"/>
        <w:adjustRightInd w:val="0"/>
        <w:spacing w:line="360" w:lineRule="auto"/>
        <w:ind w:left="567" w:hanging="567"/>
        <w:rPr>
          <w:rFonts w:hint="eastAsia" w:ascii="宋体" w:hAnsi="宋体" w:eastAsia="宋体" w:cs="Times New Roman"/>
          <w:color w:val="auto"/>
          <w:kern w:val="0"/>
          <w:szCs w:val="21"/>
          <w:highlight w:val="none"/>
        </w:rPr>
      </w:pPr>
      <w:r>
        <w:rPr>
          <w:rFonts w:hint="eastAsia" w:ascii="宋体" w:hAnsi="宋体" w:eastAsia="宋体" w:cs="Times New Roman"/>
          <w:bCs/>
          <w:color w:val="auto"/>
          <w:kern w:val="0"/>
          <w:szCs w:val="24"/>
          <w:highlight w:val="none"/>
        </w:rPr>
        <w:t xml:space="preserve">5.5  </w:t>
      </w:r>
      <w:r>
        <w:rPr>
          <w:rFonts w:hint="eastAsia" w:ascii="宋体" w:hAnsi="宋体" w:eastAsia="宋体" w:cs="Times New Roman"/>
          <w:color w:val="auto"/>
          <w:kern w:val="0"/>
          <w:szCs w:val="21"/>
          <w:highlight w:val="none"/>
        </w:rPr>
        <w:t>评标委员会将</w:t>
      </w:r>
      <w:r>
        <w:rPr>
          <w:rFonts w:hint="eastAsia" w:ascii="宋体" w:hAnsi="宋体" w:eastAsia="宋体" w:cs="Times New Roman"/>
          <w:color w:val="auto"/>
          <w:kern w:val="0"/>
          <w:szCs w:val="21"/>
          <w:highlight w:val="none"/>
          <w:lang w:val="en-US" w:eastAsia="zh-CN"/>
        </w:rPr>
        <w:t>根据本附件第五条推荐中标人中规定的方法为每个片区推荐十名中标候选人（若某片区最终可推荐的投标人不足十家时，则根据实际情况推荐）</w:t>
      </w:r>
      <w:r>
        <w:rPr>
          <w:rFonts w:hint="eastAsia" w:ascii="宋体" w:hAnsi="宋体" w:eastAsia="宋体" w:cs="Times New Roman"/>
          <w:color w:val="auto"/>
          <w:kern w:val="0"/>
          <w:szCs w:val="21"/>
          <w:highlight w:val="none"/>
        </w:rPr>
        <w:t>。</w:t>
      </w:r>
    </w:p>
    <w:p w14:paraId="20C4EFB6">
      <w:pPr>
        <w:autoSpaceDE w:val="0"/>
        <w:autoSpaceDN w:val="0"/>
        <w:adjustRightInd w:val="0"/>
        <w:spacing w:line="360" w:lineRule="auto"/>
        <w:ind w:left="525" w:hanging="525" w:hangingChars="250"/>
        <w:jc w:val="left"/>
        <w:rPr>
          <w:rFonts w:hint="eastAsia" w:ascii="宋体" w:hAnsi="宋体" w:eastAsia="宋体" w:cs="Times New Roman"/>
          <w:color w:val="auto"/>
          <w:szCs w:val="24"/>
          <w:highlight w:val="none"/>
          <w:lang w:val="zh-CN"/>
        </w:rPr>
      </w:pPr>
      <w:r>
        <w:rPr>
          <w:rFonts w:hint="eastAsia" w:ascii="宋体" w:hAnsi="宋体" w:eastAsia="宋体" w:cs="Times New Roman"/>
          <w:color w:val="auto"/>
          <w:kern w:val="0"/>
          <w:szCs w:val="24"/>
          <w:highlight w:val="none"/>
          <w:lang w:val="zh-CN"/>
        </w:rPr>
        <w:t>5.</w:t>
      </w:r>
      <w:r>
        <w:rPr>
          <w:rFonts w:hint="eastAsia" w:ascii="宋体" w:hAnsi="宋体" w:eastAsia="宋体" w:cs="Times New Roman"/>
          <w:color w:val="auto"/>
          <w:szCs w:val="24"/>
          <w:highlight w:val="none"/>
        </w:rPr>
        <w:t>6</w:t>
      </w:r>
      <w:r>
        <w:rPr>
          <w:rFonts w:ascii="宋体" w:hAnsi="宋体" w:eastAsia="宋体" w:cs="Times New Roman"/>
          <w:color w:val="auto"/>
          <w:szCs w:val="24"/>
          <w:highlight w:val="none"/>
          <w:lang w:val="zh-CN"/>
        </w:rPr>
        <w:tab/>
      </w:r>
      <w:r>
        <w:rPr>
          <w:rFonts w:hint="eastAsia" w:ascii="宋体" w:hAnsi="宋体" w:eastAsia="宋体" w:cs="Times New Roman"/>
          <w:color w:val="auto"/>
          <w:kern w:val="0"/>
          <w:szCs w:val="24"/>
          <w:highlight w:val="none"/>
          <w:lang w:val="zh-CN"/>
        </w:rPr>
        <w:t>评标委员会</w:t>
      </w:r>
      <w:r>
        <w:rPr>
          <w:rFonts w:hint="eastAsia" w:ascii="宋体" w:hAnsi="宋体" w:eastAsia="宋体" w:cs="Times New Roman"/>
          <w:color w:val="auto"/>
          <w:szCs w:val="24"/>
          <w:highlight w:val="none"/>
          <w:lang w:val="zh-CN"/>
        </w:rPr>
        <w:t>根据评审结果编写评标报告。</w:t>
      </w:r>
    </w:p>
    <w:p w14:paraId="55A0E3E4">
      <w:pPr>
        <w:autoSpaceDE w:val="0"/>
        <w:autoSpaceDN w:val="0"/>
        <w:adjustRightInd w:val="0"/>
        <w:spacing w:line="360" w:lineRule="auto"/>
        <w:ind w:left="525" w:hanging="525" w:hangingChars="250"/>
        <w:jc w:val="left"/>
        <w:rPr>
          <w:rFonts w:hint="eastAsia" w:ascii="宋体" w:hAnsi="宋体" w:eastAsia="宋体" w:cs="Times New Roman"/>
          <w:color w:val="auto"/>
          <w:szCs w:val="24"/>
          <w:highlight w:val="none"/>
          <w:lang w:val="zh-CN"/>
        </w:rPr>
      </w:pPr>
    </w:p>
    <w:p w14:paraId="391C6629">
      <w:pPr>
        <w:tabs>
          <w:tab w:val="left" w:pos="1140"/>
        </w:tabs>
        <w:autoSpaceDE w:val="0"/>
        <w:autoSpaceDN w:val="0"/>
        <w:adjustRightInd w:val="0"/>
        <w:spacing w:line="360" w:lineRule="auto"/>
        <w:jc w:val="center"/>
        <w:rPr>
          <w:rFonts w:hint="eastAsia" w:ascii="宋体" w:hAnsi="宋体" w:eastAsia="宋体" w:cs="宋体"/>
          <w:b/>
          <w:bCs/>
          <w:color w:val="auto"/>
          <w:sz w:val="28"/>
          <w:szCs w:val="28"/>
          <w:highlight w:val="none"/>
        </w:rPr>
      </w:pPr>
      <w:bookmarkStart w:id="816" w:name="_Toc19435_WPSOffice_Level1"/>
      <w:r>
        <w:rPr>
          <w:rFonts w:hint="eastAsia" w:ascii="宋体" w:hAnsi="宋体" w:eastAsia="宋体" w:cs="宋体"/>
          <w:b/>
          <w:bCs/>
          <w:color w:val="auto"/>
          <w:sz w:val="28"/>
          <w:szCs w:val="28"/>
          <w:highlight w:val="none"/>
          <w:lang w:val="zh-CN"/>
        </w:rPr>
        <w:t>二、投标文件的初审</w:t>
      </w:r>
      <w:bookmarkEnd w:id="816"/>
    </w:p>
    <w:p w14:paraId="3229DB7D">
      <w:pPr>
        <w:autoSpaceDE w:val="0"/>
        <w:autoSpaceDN w:val="0"/>
        <w:adjustRightInd w:val="0"/>
        <w:spacing w:line="360" w:lineRule="auto"/>
        <w:rPr>
          <w:rFonts w:hint="eastAsia"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6、投标文件的初审分为资格性检查和符合性检查。</w:t>
      </w:r>
    </w:p>
    <w:p w14:paraId="3FCE838D">
      <w:pPr>
        <w:autoSpaceDE w:val="0"/>
        <w:autoSpaceDN w:val="0"/>
        <w:adjustRightInd w:val="0"/>
        <w:spacing w:line="360" w:lineRule="auto"/>
        <w:ind w:left="529" w:hanging="529" w:hangingChars="252"/>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6.1  资格性检查是指评标委员会依据法律法规和招标文件的规定，对投标文件中的资格证明、投标保证金、投标人（含其不具有独立法人资格的分支机构）信用（由招标代理机构在递交投标文件截止时间当天通过“信用中国”网站对投标人信用进行查询，招标代理机构将查询情况提交评标委员会评审）等进行审查，以确定投标人是否具备投标资格。</w:t>
      </w:r>
    </w:p>
    <w:p w14:paraId="125705A2">
      <w:pPr>
        <w:autoSpaceDE w:val="0"/>
        <w:autoSpaceDN w:val="0"/>
        <w:adjustRightInd w:val="0"/>
        <w:spacing w:line="360" w:lineRule="auto"/>
        <w:ind w:left="529" w:hanging="529" w:hangingChars="252"/>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6.2  符合性检查是指评标委员会依据招标文件规定，从投标文件的有效性、完整性和对招标文件的响应程度进行审查，以确定是否对招标文件的实质性要求作出响应。</w:t>
      </w:r>
    </w:p>
    <w:p w14:paraId="430BD048">
      <w:pPr>
        <w:autoSpaceDE w:val="0"/>
        <w:autoSpaceDN w:val="0"/>
        <w:adjustRightInd w:val="0"/>
        <w:spacing w:line="360" w:lineRule="auto"/>
        <w:ind w:left="420" w:leftChars="200" w:firstLine="42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实质性响应的投标指的是符合招标文件要求的全部“★”条款和验收标准而无任何重大偏离或保留。重大偏离或保留系指实质上影响到合同项下的服务范围、质量，或指与招标文件有实质不一致，限制了合同项下委托人的权利和承包人的义务, 或对该重大偏离的修改对提交实质性响应投标的其他投标人将不公平。</w:t>
      </w:r>
    </w:p>
    <w:p w14:paraId="3C9702A3">
      <w:pPr>
        <w:autoSpaceDE w:val="0"/>
        <w:autoSpaceDN w:val="0"/>
        <w:adjustRightInd w:val="0"/>
        <w:spacing w:line="360" w:lineRule="auto"/>
        <w:ind w:firstLine="840" w:firstLineChars="4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评标委员会决定投标文件的响应性是基于投标文件的内容本身而不靠外部的证据。</w:t>
      </w:r>
    </w:p>
    <w:p w14:paraId="305586F7">
      <w:pPr>
        <w:autoSpaceDE w:val="0"/>
        <w:autoSpaceDN w:val="0"/>
        <w:adjustRightInd w:val="0"/>
        <w:spacing w:line="360" w:lineRule="auto"/>
        <w:ind w:left="420" w:leftChars="200" w:firstLine="422" w:firstLineChars="200"/>
        <w:rPr>
          <w:rFonts w:hint="eastAsia"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对是否符合实质性响应招标文件有争议的投标文件,评标委员会成员将以记名方式表决,根据少数服</w:t>
      </w:r>
      <w:r>
        <w:rPr>
          <w:rFonts w:hint="eastAsia" w:ascii="宋体" w:hAnsi="宋体" w:eastAsia="宋体" w:cs="宋体"/>
          <w:b/>
          <w:color w:val="auto"/>
          <w:szCs w:val="24"/>
          <w:highlight w:val="none"/>
        </w:rPr>
        <w:t>从</w:t>
      </w:r>
      <w:r>
        <w:rPr>
          <w:rFonts w:hint="eastAsia" w:ascii="宋体" w:hAnsi="宋体" w:eastAsia="宋体" w:cs="宋体"/>
          <w:b/>
          <w:color w:val="auto"/>
          <w:szCs w:val="24"/>
          <w:highlight w:val="none"/>
          <w:lang w:val="zh-CN"/>
        </w:rPr>
        <w:t>多数的原则，获多数表决通过的投标人才有资格进入下一阶段的评审,否则将被认定为无效投标文件。</w:t>
      </w:r>
    </w:p>
    <w:p w14:paraId="5CC93B66">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7、投标文件出现下列情况之一的，被认定为无效投标：</w:t>
      </w:r>
    </w:p>
    <w:p w14:paraId="10E2E138">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w:t>
      </w:r>
      <w:r>
        <w:rPr>
          <w:rFonts w:ascii="宋体" w:hAnsi="宋体" w:eastAsia="宋体" w:cs="宋体"/>
          <w:b/>
          <w:color w:val="auto"/>
          <w:szCs w:val="21"/>
          <w:highlight w:val="none"/>
          <w:lang w:val="zh-CN"/>
        </w:rPr>
        <w:t xml:space="preserve">.1  </w:t>
      </w:r>
      <w:r>
        <w:rPr>
          <w:rFonts w:hint="eastAsia" w:ascii="宋体" w:hAnsi="宋体" w:eastAsia="宋体" w:cs="宋体"/>
          <w:b/>
          <w:bCs/>
          <w:color w:val="auto"/>
          <w:kern w:val="0"/>
          <w:szCs w:val="21"/>
          <w:highlight w:val="none"/>
        </w:rPr>
        <w:t>投标人未按招标文件要求交纳投标保证金的；</w:t>
      </w:r>
    </w:p>
    <w:p w14:paraId="634EA7F1">
      <w:pPr>
        <w:tabs>
          <w:tab w:val="left" w:pos="567"/>
        </w:tabs>
        <w:spacing w:line="360" w:lineRule="auto"/>
        <w:ind w:left="632" w:hanging="632" w:hangingChars="3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7.2  投标文件未按招标文件要求提供投标报价响应表的；</w:t>
      </w:r>
    </w:p>
    <w:p w14:paraId="7A9F7035">
      <w:pPr>
        <w:tabs>
          <w:tab w:val="left" w:pos="567"/>
        </w:tabs>
        <w:spacing w:line="360" w:lineRule="auto"/>
        <w:ind w:left="632" w:hanging="632" w:hangingChars="300"/>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7.3  投标人递交两份或多份内容不同的投标文件，或在一份投标文件中报有两个或多个报价，且未书面声明哪一个有效；</w:t>
      </w:r>
    </w:p>
    <w:p w14:paraId="7AE7D82E">
      <w:pPr>
        <w:tabs>
          <w:tab w:val="left" w:pos="567"/>
        </w:tabs>
        <w:spacing w:line="360" w:lineRule="auto"/>
        <w:ind w:left="632" w:hanging="632" w:hangingChars="3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7.4  </w:t>
      </w:r>
      <w:r>
        <w:rPr>
          <w:rFonts w:hint="eastAsia" w:ascii="宋体" w:hAnsi="宋体" w:eastAsia="宋体" w:cs="宋体"/>
          <w:b/>
          <w:color w:val="auto"/>
          <w:kern w:val="0"/>
          <w:szCs w:val="21"/>
          <w:highlight w:val="none"/>
        </w:rPr>
        <w:t>投标人不符合合格投标人的基本条件[含未提供资格证明文件，或投标人（含其不具有独立法人资格的分支机构）被列入“信用中国”网站（www.creditchina.gov.cn）失信被执行人、重大税收违法失信主体、政府采购严重违法失信行为记录名单（处罚期限届满的除外）]；</w:t>
      </w:r>
    </w:p>
    <w:p w14:paraId="39133F37">
      <w:pPr>
        <w:spacing w:line="360" w:lineRule="auto"/>
        <w:ind w:left="527" w:hanging="527" w:hangingChars="25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7.5  投标文件未按第二篇投标人须知第17条的要求编制、使用企业数字证书或个人数字证书电子签名的； </w:t>
      </w:r>
    </w:p>
    <w:p w14:paraId="4B5EB62B">
      <w:pPr>
        <w:spacing w:line="360" w:lineRule="auto"/>
        <w:ind w:left="527" w:hanging="527" w:hangingChars="250"/>
        <w:rPr>
          <w:rFonts w:hint="eastAsia" w:ascii="宋体" w:hAnsi="宋体" w:eastAsia="宋体" w:cs="宋体"/>
          <w:b/>
          <w:bCs/>
          <w:color w:val="auto"/>
          <w:kern w:val="0"/>
          <w:szCs w:val="21"/>
          <w:highlight w:val="none"/>
        </w:rPr>
      </w:pPr>
      <w:r>
        <w:rPr>
          <w:rFonts w:ascii="宋体" w:hAnsi="宋体" w:eastAsia="宋体" w:cs="宋体"/>
          <w:b/>
          <w:bCs/>
          <w:color w:val="auto"/>
          <w:kern w:val="0"/>
          <w:szCs w:val="21"/>
          <w:highlight w:val="none"/>
        </w:rPr>
        <w:t>7.</w:t>
      </w:r>
      <w:r>
        <w:rPr>
          <w:rFonts w:hint="eastAsia" w:ascii="宋体" w:hAnsi="宋体" w:eastAsia="宋体" w:cs="宋体"/>
          <w:b/>
          <w:bCs/>
          <w:color w:val="auto"/>
          <w:kern w:val="0"/>
          <w:szCs w:val="21"/>
          <w:highlight w:val="none"/>
        </w:rPr>
        <w:t>6</w:t>
      </w:r>
      <w:r>
        <w:rPr>
          <w:rFonts w:ascii="宋体" w:hAnsi="宋体" w:eastAsia="宋体" w:cs="宋体"/>
          <w:b/>
          <w:bCs/>
          <w:color w:val="auto"/>
          <w:kern w:val="0"/>
          <w:szCs w:val="21"/>
          <w:highlight w:val="none"/>
        </w:rPr>
        <w:t xml:space="preserve">  </w:t>
      </w:r>
      <w:r>
        <w:rPr>
          <w:rFonts w:hint="eastAsia" w:ascii="宋体" w:hAnsi="宋体" w:eastAsia="宋体" w:cs="宋体"/>
          <w:b/>
          <w:bCs/>
          <w:color w:val="auto"/>
          <w:kern w:val="0"/>
          <w:szCs w:val="21"/>
          <w:highlight w:val="none"/>
        </w:rPr>
        <w:t>投标有效期限不符合要求；</w:t>
      </w:r>
    </w:p>
    <w:p w14:paraId="055E74BB">
      <w:pPr>
        <w:spacing w:line="360" w:lineRule="auto"/>
        <w:ind w:left="527" w:hanging="527" w:hangingChars="25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7.7  投标文件未对招标范围内的全部内容进行投标报价</w:t>
      </w:r>
      <w:r>
        <w:rPr>
          <w:rFonts w:hint="eastAsia" w:ascii="宋体" w:hAnsi="宋体" w:eastAsia="宋体" w:cs="Times New Roman"/>
          <w:b/>
          <w:color w:val="auto"/>
          <w:kern w:val="0"/>
          <w:szCs w:val="21"/>
          <w:highlight w:val="none"/>
        </w:rPr>
        <w:t>或投标方案不是唯一</w:t>
      </w:r>
      <w:r>
        <w:rPr>
          <w:rFonts w:hint="eastAsia" w:ascii="宋体" w:hAnsi="宋体" w:eastAsia="宋体" w:cs="宋体"/>
          <w:b/>
          <w:bCs/>
          <w:color w:val="auto"/>
          <w:kern w:val="0"/>
          <w:szCs w:val="21"/>
          <w:highlight w:val="none"/>
        </w:rPr>
        <w:t>；</w:t>
      </w:r>
    </w:p>
    <w:p w14:paraId="09F5F5DC">
      <w:pPr>
        <w:spacing w:line="360" w:lineRule="auto"/>
        <w:ind w:left="413" w:hanging="413" w:hangingChars="196"/>
        <w:rPr>
          <w:rFonts w:hint="eastAsia" w:ascii="宋体" w:hAnsi="宋体" w:eastAsia="宋体" w:cs="Times New Roman"/>
          <w:b/>
          <w:color w:val="auto"/>
          <w:kern w:val="0"/>
          <w:szCs w:val="21"/>
          <w:highlight w:val="none"/>
        </w:rPr>
      </w:pPr>
      <w:r>
        <w:rPr>
          <w:rFonts w:ascii="宋体" w:hAnsi="宋体" w:eastAsia="宋体" w:cs="Times New Roman"/>
          <w:b/>
          <w:color w:val="auto"/>
          <w:kern w:val="0"/>
          <w:szCs w:val="21"/>
          <w:highlight w:val="none"/>
        </w:rPr>
        <w:t>7.</w:t>
      </w:r>
      <w:r>
        <w:rPr>
          <w:rFonts w:hint="eastAsia" w:ascii="宋体" w:hAnsi="宋体" w:eastAsia="宋体" w:cs="Times New Roman"/>
          <w:b/>
          <w:color w:val="auto"/>
          <w:kern w:val="0"/>
          <w:szCs w:val="21"/>
          <w:highlight w:val="none"/>
        </w:rPr>
        <w:t>8</w:t>
      </w:r>
      <w:r>
        <w:rPr>
          <w:rFonts w:ascii="宋体" w:hAnsi="宋体" w:eastAsia="宋体" w:cs="Times New Roman"/>
          <w:b/>
          <w:color w:val="auto"/>
          <w:kern w:val="0"/>
          <w:szCs w:val="21"/>
          <w:highlight w:val="none"/>
        </w:rPr>
        <w:t xml:space="preserve">  未提供或虚假填写《合同条款偏离表》，或对《合同条款偏离表》有负偏离的；</w:t>
      </w:r>
    </w:p>
    <w:p w14:paraId="75C3134A">
      <w:pPr>
        <w:spacing w:line="360" w:lineRule="auto"/>
        <w:ind w:left="413" w:hanging="413" w:hangingChars="196"/>
        <w:rPr>
          <w:rFonts w:hint="eastAsia" w:ascii="宋体" w:hAnsi="宋体" w:eastAsia="宋体" w:cs="Times New Roman"/>
          <w:b/>
          <w:color w:val="auto"/>
          <w:kern w:val="0"/>
          <w:szCs w:val="21"/>
          <w:highlight w:val="none"/>
        </w:rPr>
      </w:pPr>
      <w:r>
        <w:rPr>
          <w:rFonts w:ascii="宋体" w:hAnsi="宋体" w:eastAsia="宋体" w:cs="Times New Roman"/>
          <w:b/>
          <w:color w:val="auto"/>
          <w:kern w:val="0"/>
          <w:szCs w:val="21"/>
          <w:highlight w:val="none"/>
        </w:rPr>
        <w:t>7.</w:t>
      </w:r>
      <w:r>
        <w:rPr>
          <w:rFonts w:hint="eastAsia" w:ascii="宋体" w:hAnsi="宋体" w:eastAsia="宋体" w:cs="Times New Roman"/>
          <w:b/>
          <w:color w:val="auto"/>
          <w:kern w:val="0"/>
          <w:szCs w:val="21"/>
          <w:highlight w:val="none"/>
        </w:rPr>
        <w:t>9</w:t>
      </w:r>
      <w:r>
        <w:rPr>
          <w:rFonts w:ascii="宋体" w:hAnsi="宋体" w:eastAsia="宋体" w:cs="Times New Roman"/>
          <w:b/>
          <w:color w:val="auto"/>
          <w:kern w:val="0"/>
          <w:szCs w:val="21"/>
          <w:highlight w:val="none"/>
        </w:rPr>
        <w:t xml:space="preserve">  未填写或虚假填写《用户需求偏离表》的；</w:t>
      </w:r>
    </w:p>
    <w:p w14:paraId="26A762EC">
      <w:pPr>
        <w:spacing w:line="360" w:lineRule="auto"/>
        <w:ind w:left="413" w:hanging="413" w:hangingChars="196"/>
        <w:rPr>
          <w:rFonts w:hint="eastAsia" w:ascii="宋体" w:hAnsi="宋体" w:eastAsia="宋体" w:cs="Times New Roman"/>
          <w:b/>
          <w:color w:val="auto"/>
          <w:kern w:val="0"/>
          <w:szCs w:val="21"/>
          <w:highlight w:val="none"/>
          <w:lang w:eastAsia="zh-CN"/>
        </w:rPr>
      </w:pPr>
      <w:r>
        <w:rPr>
          <w:rFonts w:ascii="宋体" w:hAnsi="宋体" w:eastAsia="宋体" w:cs="Times New Roman"/>
          <w:b/>
          <w:color w:val="auto"/>
          <w:kern w:val="0"/>
          <w:szCs w:val="21"/>
          <w:highlight w:val="none"/>
        </w:rPr>
        <w:t>7.</w:t>
      </w:r>
      <w:r>
        <w:rPr>
          <w:rFonts w:hint="eastAsia" w:ascii="宋体" w:hAnsi="宋体" w:eastAsia="宋体" w:cs="Times New Roman"/>
          <w:b/>
          <w:color w:val="auto"/>
          <w:kern w:val="0"/>
          <w:szCs w:val="21"/>
          <w:highlight w:val="none"/>
        </w:rPr>
        <w:t>10</w:t>
      </w:r>
      <w:r>
        <w:rPr>
          <w:rFonts w:ascii="宋体" w:hAnsi="宋体" w:eastAsia="宋体" w:cs="Times New Roman"/>
          <w:b/>
          <w:color w:val="auto"/>
          <w:kern w:val="0"/>
          <w:szCs w:val="21"/>
          <w:highlight w:val="none"/>
        </w:rPr>
        <w:t xml:space="preserve"> </w:t>
      </w:r>
      <w:r>
        <w:rPr>
          <w:rFonts w:hint="eastAsia" w:ascii="宋体" w:hAnsi="宋体" w:eastAsia="宋体" w:cs="Times New Roman"/>
          <w:b/>
          <w:color w:val="auto"/>
          <w:kern w:val="0"/>
          <w:szCs w:val="21"/>
          <w:highlight w:val="none"/>
        </w:rPr>
        <w:t xml:space="preserve"> </w:t>
      </w:r>
      <w:r>
        <w:rPr>
          <w:rFonts w:ascii="宋体" w:hAnsi="宋体" w:eastAsia="宋体" w:cs="Times New Roman"/>
          <w:b/>
          <w:color w:val="auto"/>
          <w:kern w:val="0"/>
          <w:szCs w:val="21"/>
          <w:highlight w:val="none"/>
        </w:rPr>
        <w:t>未</w:t>
      </w:r>
      <w:r>
        <w:rPr>
          <w:rFonts w:hint="eastAsia" w:ascii="宋体" w:hAnsi="宋体" w:eastAsia="宋体" w:cs="Times New Roman"/>
          <w:b/>
          <w:color w:val="auto"/>
          <w:kern w:val="0"/>
          <w:szCs w:val="21"/>
          <w:highlight w:val="none"/>
        </w:rPr>
        <w:t>响应</w:t>
      </w:r>
      <w:r>
        <w:rPr>
          <w:rFonts w:ascii="宋体" w:hAnsi="宋体" w:eastAsia="宋体" w:cs="Times New Roman"/>
          <w:b/>
          <w:color w:val="auto"/>
          <w:kern w:val="0"/>
          <w:szCs w:val="21"/>
          <w:highlight w:val="none"/>
        </w:rPr>
        <w:t>招标文件提出的实质性要求和条件（标注★的条款）</w:t>
      </w:r>
      <w:r>
        <w:rPr>
          <w:rFonts w:hint="eastAsia" w:ascii="宋体" w:hAnsi="宋体" w:eastAsia="宋体" w:cs="Times New Roman"/>
          <w:b/>
          <w:color w:val="auto"/>
          <w:kern w:val="0"/>
          <w:szCs w:val="21"/>
          <w:highlight w:val="none"/>
          <w:lang w:eastAsia="zh-CN"/>
        </w:rPr>
        <w:t>；</w:t>
      </w:r>
    </w:p>
    <w:p w14:paraId="51EF0BE0">
      <w:pPr>
        <w:spacing w:line="360" w:lineRule="auto"/>
        <w:ind w:left="413" w:hanging="413" w:hangingChars="196"/>
        <w:rPr>
          <w:rFonts w:hint="eastAsia"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lang w:val="en-US" w:eastAsia="zh-CN"/>
        </w:rPr>
        <w:t>7.11  出现招标文件其他条款中定义为无效投标文件的情况</w:t>
      </w:r>
      <w:r>
        <w:rPr>
          <w:rFonts w:hint="eastAsia" w:ascii="宋体" w:hAnsi="宋体" w:eastAsia="宋体" w:cs="Times New Roman"/>
          <w:b/>
          <w:color w:val="auto"/>
          <w:kern w:val="0"/>
          <w:szCs w:val="21"/>
          <w:highlight w:val="none"/>
        </w:rPr>
        <w:t>。</w:t>
      </w:r>
    </w:p>
    <w:p w14:paraId="194E76EC">
      <w:pPr>
        <w:autoSpaceDE w:val="0"/>
        <w:autoSpaceDN w:val="0"/>
        <w:adjustRightInd w:val="0"/>
        <w:spacing w:line="360" w:lineRule="auto"/>
        <w:ind w:left="315" w:hanging="315" w:hangingChars="150"/>
        <w:rPr>
          <w:rFonts w:hint="eastAsia" w:ascii="宋体" w:hAnsi="宋体" w:eastAsia="宋体" w:cs="宋体"/>
          <w:color w:val="auto"/>
          <w:kern w:val="0"/>
          <w:szCs w:val="24"/>
          <w:highlight w:val="none"/>
          <w:lang w:val="zh-CN"/>
        </w:rPr>
      </w:pPr>
      <w:r>
        <w:rPr>
          <w:rFonts w:hint="eastAsia" w:ascii="宋体" w:hAnsi="宋体" w:eastAsia="宋体" w:cs="宋体"/>
          <w:bCs/>
          <w:color w:val="auto"/>
          <w:kern w:val="0"/>
          <w:szCs w:val="24"/>
          <w:highlight w:val="none"/>
          <w:lang w:val="zh-CN"/>
        </w:rPr>
        <w:t>8、</w:t>
      </w:r>
      <w:r>
        <w:rPr>
          <w:rFonts w:hint="eastAsia" w:ascii="宋体" w:hAnsi="宋体" w:eastAsia="宋体" w:cs="宋体"/>
          <w:color w:val="auto"/>
          <w:kern w:val="0"/>
          <w:szCs w:val="24"/>
          <w:highlight w:val="none"/>
          <w:lang w:val="zh-CN"/>
        </w:rPr>
        <w:t>评标委员会应当书面要求存在细微偏差的投标人在开标评审结束前予以补正。细微偏差是指投标文件在实质上响应招标文件要求，但在个别地方存在漏项或者提供了不完整的技术方案信息和数据等情况，并且补正这些遗漏或者不完整不会对其他投标人造成不公平的结果。细微偏差不影响投标文件的有效性。</w:t>
      </w:r>
    </w:p>
    <w:p w14:paraId="7F112367">
      <w:pPr>
        <w:spacing w:line="360" w:lineRule="auto"/>
        <w:ind w:left="480"/>
        <w:rPr>
          <w:rFonts w:hint="eastAsia" w:ascii="宋体" w:hAnsi="宋体" w:eastAsia="宋体" w:cs="宋体"/>
          <w:b/>
          <w:color w:val="auto"/>
          <w:kern w:val="0"/>
          <w:szCs w:val="21"/>
          <w:highlight w:val="none"/>
        </w:rPr>
      </w:pPr>
    </w:p>
    <w:p w14:paraId="0936C555">
      <w:pPr>
        <w:tabs>
          <w:tab w:val="left" w:pos="1140"/>
        </w:tabs>
        <w:autoSpaceDE w:val="0"/>
        <w:autoSpaceDN w:val="0"/>
        <w:adjustRightInd w:val="0"/>
        <w:spacing w:line="360" w:lineRule="auto"/>
        <w:ind w:firstLine="3528" w:firstLineChars="1255"/>
        <w:jc w:val="left"/>
        <w:rPr>
          <w:rFonts w:hint="eastAsia" w:ascii="宋体" w:hAnsi="宋体" w:eastAsia="宋体" w:cs="宋体"/>
          <w:b/>
          <w:bCs/>
          <w:color w:val="auto"/>
          <w:sz w:val="28"/>
          <w:szCs w:val="28"/>
          <w:highlight w:val="none"/>
        </w:rPr>
      </w:pPr>
      <w:bookmarkStart w:id="817" w:name="_Toc4109_WPSOffice_Level1"/>
      <w:r>
        <w:rPr>
          <w:rFonts w:hint="eastAsia" w:ascii="宋体" w:hAnsi="宋体" w:eastAsia="宋体" w:cs="宋体"/>
          <w:b/>
          <w:bCs/>
          <w:color w:val="auto"/>
          <w:sz w:val="28"/>
          <w:szCs w:val="28"/>
          <w:highlight w:val="none"/>
          <w:lang w:val="zh-CN"/>
        </w:rPr>
        <w:t>三、澄清有关问题</w:t>
      </w:r>
      <w:bookmarkEnd w:id="817"/>
    </w:p>
    <w:p w14:paraId="294CBDC5">
      <w:pPr>
        <w:autoSpaceDE w:val="0"/>
        <w:autoSpaceDN w:val="0"/>
        <w:adjustRightInd w:val="0"/>
        <w:spacing w:line="360" w:lineRule="auto"/>
        <w:ind w:left="315" w:hanging="315" w:hangingChars="150"/>
        <w:rPr>
          <w:rFonts w:hint="eastAsia" w:ascii="宋体" w:hAnsi="宋体" w:eastAsia="宋体" w:cs="宋体"/>
          <w:color w:val="auto"/>
          <w:szCs w:val="24"/>
          <w:highlight w:val="none"/>
          <w:lang w:val="zh-CN"/>
        </w:rPr>
      </w:pPr>
      <w:r>
        <w:rPr>
          <w:rFonts w:hint="eastAsia" w:ascii="宋体" w:hAnsi="宋体" w:eastAsia="宋体" w:cs="宋体"/>
          <w:bCs/>
          <w:color w:val="auto"/>
          <w:szCs w:val="24"/>
          <w:highlight w:val="none"/>
          <w:lang w:val="zh-CN"/>
        </w:rPr>
        <w:t>9、</w:t>
      </w:r>
      <w:r>
        <w:rPr>
          <w:rFonts w:hint="eastAsia" w:ascii="宋体" w:hAnsi="宋体" w:eastAsia="宋体" w:cs="宋体"/>
          <w:color w:val="auto"/>
          <w:szCs w:val="24"/>
          <w:highlight w:val="none"/>
          <w:lang w:val="zh-CN"/>
        </w:rPr>
        <w:t>在</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的商务、技术资格性检查及符合性检查过程中，</w:t>
      </w:r>
      <w:r>
        <w:rPr>
          <w:rFonts w:hint="eastAsia" w:ascii="宋体" w:hAnsi="宋体" w:eastAsia="宋体" w:cs="宋体"/>
          <w:color w:val="auto"/>
          <w:kern w:val="0"/>
          <w:szCs w:val="24"/>
          <w:highlight w:val="none"/>
          <w:lang w:val="zh-CN"/>
        </w:rPr>
        <w:t>投标人</w:t>
      </w:r>
      <w:r>
        <w:rPr>
          <w:rFonts w:hint="eastAsia" w:ascii="宋体" w:hAnsi="宋体" w:eastAsia="宋体" w:cs="宋体"/>
          <w:color w:val="auto"/>
          <w:szCs w:val="24"/>
          <w:highlight w:val="none"/>
          <w:lang w:val="zh-CN"/>
        </w:rPr>
        <w:t>可应评标委员会要求对</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中有关问题进行书面澄清。该书面澄清作为其</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的一部分。</w:t>
      </w:r>
    </w:p>
    <w:p w14:paraId="219527CB">
      <w:pPr>
        <w:autoSpaceDE w:val="0"/>
        <w:autoSpaceDN w:val="0"/>
        <w:adjustRightInd w:val="0"/>
        <w:spacing w:line="360" w:lineRule="auto"/>
        <w:ind w:left="529" w:hanging="529" w:hangingChars="252"/>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9.1  对</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中含义不明确、同类问题表述不一致或者有明显文字和计算错误的内容，评标委员会可以书面形式（由评标委员会专家签字）要求投标人作出必要的澄清、说明或者纠正。</w:t>
      </w:r>
    </w:p>
    <w:p w14:paraId="207C9DA1">
      <w:pPr>
        <w:autoSpaceDE w:val="0"/>
        <w:autoSpaceDN w:val="0"/>
        <w:adjustRightInd w:val="0"/>
        <w:spacing w:line="360" w:lineRule="auto"/>
        <w:ind w:left="529" w:hanging="529" w:hangingChars="252"/>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9.2  投标人的澄清、说明或者纠正应当采用书面形式，经加盖其公章或其合法代表人（法定代表人或法定代表人授权书列明的被授权人）签署方有效，并不得超出投标文件的范围或者改变投标文件的实质性内容。</w:t>
      </w:r>
    </w:p>
    <w:p w14:paraId="0298D22D">
      <w:pPr>
        <w:autoSpaceDE w:val="0"/>
        <w:autoSpaceDN w:val="0"/>
        <w:adjustRightInd w:val="0"/>
        <w:spacing w:line="360" w:lineRule="auto"/>
        <w:ind w:left="529" w:right="18" w:hanging="529" w:hangingChars="252"/>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9.3  经过澄清后仍不符合要求，则该项目在下一步评审进行评分调整；若重大（实质性）偏差仍存在，且不可接受，投标人则被认为是“不响应招标文件要求的投标人”，不再进入下一步评审。</w:t>
      </w:r>
    </w:p>
    <w:p w14:paraId="613DF8CA">
      <w:pPr>
        <w:autoSpaceDE w:val="0"/>
        <w:autoSpaceDN w:val="0"/>
        <w:adjustRightInd w:val="0"/>
        <w:spacing w:line="360" w:lineRule="auto"/>
        <w:jc w:val="center"/>
        <w:rPr>
          <w:rFonts w:hint="eastAsia" w:ascii="宋体" w:hAnsi="宋体" w:eastAsia="宋体" w:cs="宋体"/>
          <w:b/>
          <w:bCs/>
          <w:color w:val="auto"/>
          <w:sz w:val="28"/>
          <w:szCs w:val="28"/>
          <w:highlight w:val="none"/>
          <w:lang w:val="zh-CN"/>
        </w:rPr>
      </w:pPr>
      <w:bookmarkStart w:id="818" w:name="_Toc8518_WPSOffice_Level1"/>
    </w:p>
    <w:p w14:paraId="6215CDAA">
      <w:pPr>
        <w:autoSpaceDE w:val="0"/>
        <w:autoSpaceDN w:val="0"/>
        <w:adjustRightInd w:val="0"/>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zh-CN"/>
        </w:rPr>
        <w:t>四、比较和评价</w:t>
      </w:r>
      <w:bookmarkEnd w:id="818"/>
    </w:p>
    <w:p w14:paraId="603BEAD7">
      <w:pPr>
        <w:autoSpaceDE w:val="0"/>
        <w:autoSpaceDN w:val="0"/>
        <w:adjustRightInd w:val="0"/>
        <w:spacing w:line="360" w:lineRule="auto"/>
        <w:ind w:left="422" w:leftChars="1" w:hanging="420" w:hangingChars="200"/>
        <w:rPr>
          <w:rFonts w:hint="eastAsia" w:ascii="宋体" w:hAnsi="宋体" w:eastAsia="宋体" w:cs="宋体"/>
          <w:color w:val="auto"/>
          <w:szCs w:val="24"/>
          <w:highlight w:val="none"/>
          <w:lang w:val="zh-CN"/>
        </w:rPr>
      </w:pPr>
      <w:r>
        <w:rPr>
          <w:rFonts w:hint="eastAsia" w:ascii="宋体" w:hAnsi="宋体" w:eastAsia="宋体" w:cs="宋体"/>
          <w:bCs/>
          <w:color w:val="auto"/>
          <w:szCs w:val="24"/>
          <w:highlight w:val="none"/>
          <w:lang w:val="zh-CN"/>
        </w:rPr>
        <w:t>10、</w:t>
      </w:r>
      <w:r>
        <w:rPr>
          <w:rFonts w:hint="eastAsia" w:ascii="宋体" w:hAnsi="宋体" w:eastAsia="宋体" w:cs="宋体"/>
          <w:color w:val="auto"/>
          <w:szCs w:val="24"/>
          <w:highlight w:val="none"/>
          <w:lang w:val="zh-CN"/>
        </w:rPr>
        <w:t>评标委员会按招标文件中规定的评审方法和标准，对资格性检查和符合性检查合格的投标文件进行商务和技术评审、综合比较与评价；评标委员会根据商务和技术评审的结果，采用封闭式框架协议采购方式，质量优先的评审方法，分别对投标文件的商务、技术等内容进行打分。</w:t>
      </w:r>
    </w:p>
    <w:p w14:paraId="7FB34BDF">
      <w:pPr>
        <w:autoSpaceDE w:val="0"/>
        <w:autoSpaceDN w:val="0"/>
        <w:adjustRightInd w:val="0"/>
        <w:spacing w:line="360" w:lineRule="auto"/>
        <w:ind w:left="422" w:leftChars="1" w:hanging="420" w:hangingChars="200"/>
        <w:rPr>
          <w:rFonts w:hint="eastAsia" w:ascii="宋体" w:hAnsi="宋体" w:eastAsia="宋体" w:cs="宋体"/>
          <w:color w:val="auto"/>
          <w:szCs w:val="24"/>
          <w:highlight w:val="none"/>
          <w:lang w:val="zh-CN"/>
        </w:rPr>
      </w:pPr>
    </w:p>
    <w:p w14:paraId="76D3BAB0">
      <w:pPr>
        <w:tabs>
          <w:tab w:val="left" w:pos="1701"/>
        </w:tabs>
        <w:autoSpaceDE w:val="0"/>
        <w:autoSpaceDN w:val="0"/>
        <w:adjustRightInd w:val="0"/>
        <w:spacing w:line="360" w:lineRule="auto"/>
        <w:rPr>
          <w:rFonts w:hint="eastAsia"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11、评委打分办法</w:t>
      </w:r>
    </w:p>
    <w:p w14:paraId="02C93D91">
      <w:pPr>
        <w:autoSpaceDE w:val="0"/>
        <w:autoSpaceDN w:val="0"/>
        <w:adjustRightInd w:val="0"/>
        <w:spacing w:line="360" w:lineRule="auto"/>
        <w:rPr>
          <w:rFonts w:hint="eastAsia"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.1 参加评分的评委应尽力体现客观、实事求是，避免学派偏见和个人偏好。</w:t>
      </w:r>
    </w:p>
    <w:p w14:paraId="051DE651">
      <w:pPr>
        <w:autoSpaceDE w:val="0"/>
        <w:autoSpaceDN w:val="0"/>
        <w:adjustRightInd w:val="0"/>
        <w:spacing w:line="360" w:lineRule="auto"/>
        <w:ind w:left="565" w:leftChars="-1" w:hanging="567" w:hangingChars="270"/>
        <w:rPr>
          <w:rFonts w:hint="eastAsia"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.2 衡量、对比的依据，应以招标文件、投标文件、提供的正式试验数据、开标澄清中的文字为准，口头回答和收集的资料只作为参考。</w:t>
      </w:r>
    </w:p>
    <w:p w14:paraId="67B75066">
      <w:pPr>
        <w:autoSpaceDE w:val="0"/>
        <w:autoSpaceDN w:val="0"/>
        <w:adjustRightInd w:val="0"/>
        <w:spacing w:line="360" w:lineRule="auto"/>
        <w:ind w:left="565" w:leftChars="-1" w:hanging="567" w:hangingChars="270"/>
        <w:rPr>
          <w:rFonts w:hint="eastAsia" w:ascii="宋体" w:hAnsi="宋体" w:eastAsia="宋体" w:cs="宋体"/>
          <w:color w:val="auto"/>
          <w:kern w:val="0"/>
          <w:szCs w:val="21"/>
          <w:highlight w:val="none"/>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.3 评分主要是为比较各投标人的商务、技术综合排序。</w:t>
      </w:r>
      <w:r>
        <w:rPr>
          <w:rFonts w:hint="eastAsia" w:ascii="宋体" w:hAnsi="宋体" w:eastAsia="宋体" w:cs="宋体"/>
          <w:color w:val="auto"/>
          <w:kern w:val="0"/>
          <w:szCs w:val="21"/>
          <w:highlight w:val="none"/>
        </w:rPr>
        <w:t>评标委员会专家组的每一位评委根据招标文件评分标准对投标文件分别评审，对有效投标人投标文件的商务、技术分别评分。</w:t>
      </w:r>
    </w:p>
    <w:p w14:paraId="126CD19E">
      <w:pPr>
        <w:autoSpaceDE w:val="0"/>
        <w:autoSpaceDN w:val="0"/>
        <w:adjustRightInd w:val="0"/>
        <w:spacing w:line="360" w:lineRule="auto"/>
        <w:ind w:left="565" w:leftChars="-1" w:hanging="567" w:hangingChars="27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（1）评标委员会首先对商务标进行评审，按评标标准打分后，取所有评委评分的平均值得出该投标人的商务评分；</w:t>
      </w:r>
    </w:p>
    <w:p w14:paraId="45398211">
      <w:pPr>
        <w:autoSpaceDE w:val="0"/>
        <w:autoSpaceDN w:val="0"/>
        <w:adjustRightInd w:val="0"/>
        <w:spacing w:line="360" w:lineRule="auto"/>
        <w:ind w:left="565" w:leftChars="-1" w:hanging="567" w:hangingChars="27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（2）然后评标委员会对技术标进行评审，按评标标准打分后，</w:t>
      </w:r>
      <w:r>
        <w:rPr>
          <w:rFonts w:hint="eastAsia" w:ascii="宋体" w:hAnsi="宋体" w:eastAsia="宋体" w:cs="宋体"/>
          <w:color w:val="auto"/>
          <w:szCs w:val="21"/>
          <w:highlight w:val="none"/>
        </w:rPr>
        <w:t>当评标委员会为五人时，在所有评委对同一份投标文件技术标评审的总评分中，去掉一个最高分和一个最低分，计算剩余总评分的算术平均值即为该投标人技术部分的最终综合得分；当评标委员会为七人及以上单数时，在各评委的打分中，同一评委的最高评分减去最低评分，去掉分差最大评委的所有打分（出现分差相同时，按最高评分减去次最低评分进行比较，如此类推），在所有剩余评委对同一份投标文件技术部分评审的总评分中，去掉一个最高分和一个最低分，计算剩余总评分的算术平均值即为该投标人技术部分的最终综合得分；若评标委员会成员对某一项按“优、良、中、差”评审的评分因素的评分低于权重分值60%的，应在评标报告中作出说明。</w:t>
      </w:r>
    </w:p>
    <w:p w14:paraId="6A67900A">
      <w:pPr>
        <w:tabs>
          <w:tab w:val="left" w:pos="600"/>
        </w:tabs>
        <w:autoSpaceDE w:val="0"/>
        <w:autoSpaceDN w:val="0"/>
        <w:adjustRightInd w:val="0"/>
        <w:spacing w:line="360" w:lineRule="auto"/>
        <w:rPr>
          <w:rFonts w:hint="eastAsia"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.4 评标委员会打分采取记名形式。</w:t>
      </w:r>
    </w:p>
    <w:p w14:paraId="62131E90">
      <w:pPr>
        <w:autoSpaceDE w:val="0"/>
        <w:autoSpaceDN w:val="0"/>
        <w:adjustRightInd w:val="0"/>
        <w:spacing w:line="360" w:lineRule="auto"/>
        <w:ind w:left="565" w:leftChars="-1" w:hanging="567" w:hangingChars="270"/>
        <w:rPr>
          <w:rFonts w:hint="eastAsia"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.5 各评委根据秘书组提供的打分表严格按照评标大纲内的评分标准独立自主打分，任何人不得要求评委统一打分或统一确定等次顺序。</w:t>
      </w:r>
    </w:p>
    <w:p w14:paraId="530E6D70">
      <w:pPr>
        <w:autoSpaceDE w:val="0"/>
        <w:autoSpaceDN w:val="0"/>
        <w:adjustRightInd w:val="0"/>
        <w:spacing w:line="360" w:lineRule="auto"/>
        <w:ind w:left="426" w:hanging="426"/>
        <w:rPr>
          <w:rFonts w:hint="eastAsia"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.6 对打分表中的每项条款，各评委应根据投标文件、澄清材料、招标文件要求，按满足的程度给投标人打分。</w:t>
      </w:r>
    </w:p>
    <w:p w14:paraId="323BA07A">
      <w:pPr>
        <w:tabs>
          <w:tab w:val="left" w:pos="600"/>
        </w:tabs>
        <w:autoSpaceDE w:val="0"/>
        <w:autoSpaceDN w:val="0"/>
        <w:adjustRightInd w:val="0"/>
        <w:spacing w:line="360" w:lineRule="auto"/>
        <w:rPr>
          <w:rFonts w:hint="eastAsia" w:ascii="宋体" w:hAnsi="宋体" w:eastAsia="宋体" w:cs="Times New Roman"/>
          <w:color w:val="auto"/>
          <w:szCs w:val="24"/>
          <w:highlight w:val="none"/>
          <w:lang w:val="zh-CN"/>
        </w:rPr>
      </w:pPr>
      <w:r>
        <w:rPr>
          <w:rFonts w:ascii="宋体" w:hAnsi="宋体" w:eastAsia="宋体" w:cs="Times New Roman"/>
          <w:color w:val="auto"/>
          <w:szCs w:val="24"/>
          <w:highlight w:val="none"/>
          <w:lang w:val="zh-CN"/>
        </w:rPr>
        <w:t>11</w:t>
      </w:r>
      <w:r>
        <w:rPr>
          <w:rFonts w:hint="eastAsia" w:ascii="宋体" w:hAnsi="宋体" w:eastAsia="宋体" w:cs="Times New Roman"/>
          <w:color w:val="auto"/>
          <w:szCs w:val="24"/>
          <w:highlight w:val="none"/>
          <w:lang w:val="zh-CN"/>
        </w:rPr>
        <w:t>.7 评分程序</w:t>
      </w:r>
    </w:p>
    <w:p w14:paraId="75388081">
      <w:pPr>
        <w:tabs>
          <w:tab w:val="left" w:pos="1134"/>
        </w:tabs>
        <w:autoSpaceDE w:val="0"/>
        <w:autoSpaceDN w:val="0"/>
        <w:adjustRightInd w:val="0"/>
        <w:spacing w:line="360" w:lineRule="auto"/>
        <w:ind w:left="565" w:leftChars="-1" w:hanging="567" w:hangingChars="270"/>
        <w:rPr>
          <w:rFonts w:hint="eastAsia"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ascii="宋体" w:hAnsi="宋体" w:eastAsia="宋体" w:cs="Times New Roman"/>
          <w:color w:val="auto"/>
          <w:szCs w:val="24"/>
          <w:highlight w:val="none"/>
          <w:lang w:val="zh-CN"/>
        </w:rPr>
        <w:t>1</w:t>
      </w:r>
      <w:r>
        <w:rPr>
          <w:rFonts w:hint="eastAsia" w:ascii="宋体" w:hAnsi="宋体" w:eastAsia="宋体" w:cs="Times New Roman"/>
          <w:color w:val="auto"/>
          <w:szCs w:val="24"/>
          <w:highlight w:val="none"/>
          <w:lang w:val="zh-CN"/>
        </w:rPr>
        <w:t>）就投标人的投标文件对照整理出商务、技术评标因素对比表、偏差表，并在经过校核的基础上逐项打分。</w:t>
      </w:r>
    </w:p>
    <w:p w14:paraId="1CB300F5">
      <w:pPr>
        <w:tabs>
          <w:tab w:val="left" w:pos="1134"/>
        </w:tabs>
        <w:autoSpaceDE w:val="0"/>
        <w:autoSpaceDN w:val="0"/>
        <w:adjustRightInd w:val="0"/>
        <w:spacing w:line="360" w:lineRule="auto"/>
        <w:ind w:left="565" w:leftChars="-1" w:hanging="567" w:hangingChars="270"/>
        <w:rPr>
          <w:rFonts w:hint="eastAsia"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ascii="宋体" w:hAnsi="宋体" w:eastAsia="宋体" w:cs="Times New Roman"/>
          <w:color w:val="auto"/>
          <w:szCs w:val="24"/>
          <w:highlight w:val="none"/>
          <w:lang w:val="zh-CN"/>
        </w:rPr>
        <w:t>2</w:t>
      </w:r>
      <w:r>
        <w:rPr>
          <w:rFonts w:hint="eastAsia" w:ascii="宋体" w:hAnsi="宋体" w:eastAsia="宋体" w:cs="Times New Roman"/>
          <w:color w:val="auto"/>
          <w:szCs w:val="24"/>
          <w:highlight w:val="none"/>
          <w:lang w:val="zh-CN"/>
        </w:rPr>
        <w:t>）各评委独立完成打分后，将统计好的评分表交给招标代理机构秘书组复核。</w:t>
      </w:r>
    </w:p>
    <w:p w14:paraId="094EBC23">
      <w:pPr>
        <w:tabs>
          <w:tab w:val="left" w:pos="1134"/>
        </w:tabs>
        <w:autoSpaceDE w:val="0"/>
        <w:autoSpaceDN w:val="0"/>
        <w:adjustRightInd w:val="0"/>
        <w:spacing w:line="360" w:lineRule="auto"/>
        <w:ind w:left="565" w:leftChars="-1" w:hanging="567" w:hangingChars="270"/>
        <w:rPr>
          <w:rFonts w:hint="eastAsia" w:ascii="宋体" w:hAnsi="宋体" w:eastAsia="宋体" w:cs="Times New Roman"/>
          <w:color w:val="auto"/>
          <w:szCs w:val="24"/>
          <w:highlight w:val="none"/>
          <w:lang w:val="zh-CN"/>
        </w:rPr>
      </w:pPr>
      <w:r>
        <w:rPr>
          <w:rFonts w:hint="eastAsia" w:ascii="宋体" w:hAnsi="宋体" w:eastAsia="宋体" w:cs="Times New Roman"/>
          <w:color w:val="auto"/>
          <w:szCs w:val="24"/>
          <w:highlight w:val="none"/>
          <w:lang w:val="zh-CN"/>
        </w:rPr>
        <w:t>（</w:t>
      </w:r>
      <w:r>
        <w:rPr>
          <w:rFonts w:ascii="宋体" w:hAnsi="宋体" w:eastAsia="宋体" w:cs="Times New Roman"/>
          <w:color w:val="auto"/>
          <w:szCs w:val="24"/>
          <w:highlight w:val="none"/>
          <w:lang w:val="zh-CN"/>
        </w:rPr>
        <w:t>3</w:t>
      </w:r>
      <w:r>
        <w:rPr>
          <w:rFonts w:hint="eastAsia" w:ascii="宋体" w:hAnsi="宋体" w:eastAsia="宋体" w:cs="Times New Roman"/>
          <w:color w:val="auto"/>
          <w:szCs w:val="24"/>
          <w:highlight w:val="none"/>
          <w:lang w:val="zh-CN"/>
        </w:rPr>
        <w:t>）评分统计表中各投标人技术得分应为最终综合得分，商务得分应为评委打分的算术平均值。</w:t>
      </w:r>
    </w:p>
    <w:p w14:paraId="72CC6DC2">
      <w:pPr>
        <w:autoSpaceDE w:val="0"/>
        <w:autoSpaceDN w:val="0"/>
        <w:adjustRightInd w:val="0"/>
        <w:spacing w:line="360" w:lineRule="auto"/>
        <w:rPr>
          <w:rFonts w:hint="eastAsia" w:ascii="宋体" w:hAnsi="宋体" w:eastAsia="宋体" w:cs="宋体"/>
          <w:color w:val="auto"/>
          <w:szCs w:val="24"/>
          <w:highlight w:val="none"/>
          <w:lang w:val="zh-CN"/>
        </w:rPr>
      </w:pPr>
    </w:p>
    <w:p w14:paraId="0EAF73CE">
      <w:pPr>
        <w:tabs>
          <w:tab w:val="left" w:pos="1701"/>
        </w:tabs>
        <w:autoSpaceDE w:val="0"/>
        <w:autoSpaceDN w:val="0"/>
        <w:adjustRightInd w:val="0"/>
        <w:spacing w:line="360" w:lineRule="auto"/>
        <w:rPr>
          <w:rFonts w:hint="eastAsia"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12、评分因素及分值</w:t>
      </w:r>
    </w:p>
    <w:tbl>
      <w:tblPr>
        <w:tblStyle w:val="39"/>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196"/>
        <w:gridCol w:w="5174"/>
      </w:tblGrid>
      <w:tr w14:paraId="736A25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5" w:type="pct"/>
            <w:tcBorders>
              <w:top w:val="single" w:color="auto" w:sz="4" w:space="0"/>
              <w:left w:val="single" w:color="auto" w:sz="4" w:space="0"/>
              <w:bottom w:val="single" w:color="auto" w:sz="4" w:space="0"/>
              <w:right w:val="single" w:color="auto" w:sz="4" w:space="0"/>
            </w:tcBorders>
            <w:vAlign w:val="center"/>
          </w:tcPr>
          <w:p w14:paraId="4D989CCC">
            <w:pPr>
              <w:keepNext w:val="0"/>
              <w:keepLines w:val="0"/>
              <w:suppressLineNumbers w:val="0"/>
              <w:spacing w:before="0" w:beforeAutospacing="0" w:after="0" w:afterAutospacing="0" w:line="400" w:lineRule="exact"/>
              <w:ind w:left="0" w:right="0"/>
              <w:jc w:val="center"/>
              <w:rPr>
                <w:rFonts w:hint="eastAsia" w:ascii="宋体" w:hAnsi="宋体" w:eastAsia="宋体" w:cs="宋体"/>
                <w:b/>
                <w:color w:val="auto"/>
                <w:kern w:val="0"/>
                <w:sz w:val="22"/>
                <w:highlight w:val="none"/>
                <w:lang w:val="zh-CN"/>
              </w:rPr>
            </w:pPr>
            <w:r>
              <w:rPr>
                <w:rFonts w:hint="eastAsia" w:ascii="宋体" w:hAnsi="宋体" w:eastAsia="宋体" w:cs="宋体"/>
                <w:b/>
                <w:color w:val="auto"/>
                <w:kern w:val="0"/>
                <w:sz w:val="22"/>
                <w:highlight w:val="none"/>
                <w:lang w:val="zh-CN"/>
              </w:rPr>
              <w:t>评分因素</w:t>
            </w:r>
          </w:p>
        </w:tc>
        <w:tc>
          <w:tcPr>
            <w:tcW w:w="2494" w:type="pct"/>
            <w:tcBorders>
              <w:top w:val="single" w:color="auto" w:sz="4" w:space="0"/>
              <w:left w:val="single" w:color="auto" w:sz="4" w:space="0"/>
              <w:bottom w:val="single" w:color="auto" w:sz="4" w:space="0"/>
              <w:right w:val="single" w:color="auto" w:sz="4" w:space="0"/>
            </w:tcBorders>
            <w:vAlign w:val="center"/>
          </w:tcPr>
          <w:p w14:paraId="52C388A3">
            <w:pPr>
              <w:keepNext w:val="0"/>
              <w:keepLines w:val="0"/>
              <w:suppressLineNumbers w:val="0"/>
              <w:spacing w:before="0" w:beforeAutospacing="0" w:after="0" w:afterAutospacing="0" w:line="400" w:lineRule="exact"/>
              <w:ind w:left="0" w:right="0"/>
              <w:jc w:val="center"/>
              <w:rPr>
                <w:rFonts w:hint="eastAsia" w:ascii="宋体" w:hAnsi="宋体" w:eastAsia="宋体" w:cs="宋体"/>
                <w:b/>
                <w:color w:val="auto"/>
                <w:kern w:val="0"/>
                <w:sz w:val="22"/>
                <w:highlight w:val="none"/>
                <w:lang w:val="zh-CN"/>
              </w:rPr>
            </w:pPr>
            <w:r>
              <w:rPr>
                <w:rFonts w:hint="eastAsia" w:ascii="宋体" w:hAnsi="宋体" w:eastAsia="宋体" w:cs="宋体"/>
                <w:b/>
                <w:color w:val="auto"/>
                <w:kern w:val="0"/>
                <w:sz w:val="22"/>
                <w:highlight w:val="none"/>
                <w:lang w:val="zh-CN"/>
              </w:rPr>
              <w:t>分值</w:t>
            </w:r>
          </w:p>
        </w:tc>
      </w:tr>
      <w:tr w14:paraId="74695F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5" w:type="pct"/>
            <w:tcBorders>
              <w:top w:val="single" w:color="auto" w:sz="4" w:space="0"/>
              <w:left w:val="single" w:color="auto" w:sz="4" w:space="0"/>
              <w:bottom w:val="single" w:color="auto" w:sz="4" w:space="0"/>
              <w:right w:val="single" w:color="auto" w:sz="4" w:space="0"/>
            </w:tcBorders>
            <w:vAlign w:val="center"/>
          </w:tcPr>
          <w:p w14:paraId="3EA38535">
            <w:pPr>
              <w:keepNext w:val="0"/>
              <w:keepLines w:val="0"/>
              <w:suppressLineNumbers w:val="0"/>
              <w:spacing w:before="0" w:beforeAutospacing="0" w:after="0" w:afterAutospacing="0" w:line="400" w:lineRule="exact"/>
              <w:ind w:left="0" w:right="0"/>
              <w:jc w:val="center"/>
              <w:rPr>
                <w:rFonts w:hint="eastAsia" w:ascii="宋体" w:hAnsi="宋体" w:eastAsia="宋体" w:cs="宋体"/>
                <w:bCs/>
                <w:color w:val="auto"/>
                <w:kern w:val="0"/>
                <w:sz w:val="22"/>
                <w:highlight w:val="none"/>
                <w:lang w:val="zh-CN"/>
              </w:rPr>
            </w:pPr>
            <w:r>
              <w:rPr>
                <w:rFonts w:hint="eastAsia" w:ascii="宋体" w:hAnsi="宋体" w:eastAsia="宋体" w:cs="宋体"/>
                <w:bCs/>
                <w:color w:val="auto"/>
                <w:kern w:val="0"/>
                <w:sz w:val="22"/>
                <w:highlight w:val="none"/>
                <w:lang w:val="zh-CN"/>
              </w:rPr>
              <w:t>1、商务</w:t>
            </w:r>
          </w:p>
        </w:tc>
        <w:tc>
          <w:tcPr>
            <w:tcW w:w="2494" w:type="pct"/>
            <w:tcBorders>
              <w:top w:val="single" w:color="auto" w:sz="4" w:space="0"/>
              <w:left w:val="single" w:color="auto" w:sz="4" w:space="0"/>
              <w:bottom w:val="single" w:color="auto" w:sz="4" w:space="0"/>
              <w:right w:val="single" w:color="auto" w:sz="4" w:space="0"/>
            </w:tcBorders>
            <w:vAlign w:val="center"/>
          </w:tcPr>
          <w:p w14:paraId="2D1C55AF">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bCs/>
                <w:color w:val="auto"/>
                <w:kern w:val="0"/>
                <w:sz w:val="22"/>
                <w:highlight w:val="none"/>
                <w:lang w:val="zh-CN"/>
              </w:rPr>
            </w:pPr>
            <w:r>
              <w:rPr>
                <w:rFonts w:hint="eastAsia" w:ascii="宋体" w:hAnsi="宋体" w:eastAsia="宋体" w:cs="宋体"/>
                <w:b/>
                <w:color w:val="auto"/>
                <w:szCs w:val="21"/>
                <w:highlight w:val="none"/>
                <w:lang w:val="en-US" w:eastAsia="zh-CN"/>
              </w:rPr>
              <w:t>40</w:t>
            </w:r>
            <w:r>
              <w:rPr>
                <w:rFonts w:hint="eastAsia" w:ascii="宋体" w:hAnsi="宋体" w:eastAsia="宋体" w:cs="宋体"/>
                <w:b/>
                <w:color w:val="auto"/>
                <w:szCs w:val="21"/>
                <w:highlight w:val="none"/>
                <w:lang w:val="zh-CN"/>
              </w:rPr>
              <w:t>分</w:t>
            </w:r>
          </w:p>
        </w:tc>
      </w:tr>
      <w:tr w14:paraId="6A9447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5" w:type="pct"/>
            <w:tcBorders>
              <w:top w:val="single" w:color="auto" w:sz="4" w:space="0"/>
              <w:left w:val="single" w:color="auto" w:sz="4" w:space="0"/>
              <w:bottom w:val="single" w:color="auto" w:sz="4" w:space="0"/>
              <w:right w:val="single" w:color="auto" w:sz="4" w:space="0"/>
            </w:tcBorders>
            <w:vAlign w:val="center"/>
          </w:tcPr>
          <w:p w14:paraId="78597A98">
            <w:pPr>
              <w:keepNext w:val="0"/>
              <w:keepLines w:val="0"/>
              <w:suppressLineNumbers w:val="0"/>
              <w:spacing w:before="0" w:beforeAutospacing="0" w:after="0" w:afterAutospacing="0" w:line="400" w:lineRule="exact"/>
              <w:ind w:left="0" w:right="0"/>
              <w:jc w:val="center"/>
              <w:rPr>
                <w:rFonts w:hint="eastAsia" w:ascii="宋体" w:hAnsi="宋体" w:eastAsia="宋体" w:cs="宋体"/>
                <w:bCs/>
                <w:color w:val="auto"/>
                <w:kern w:val="0"/>
                <w:sz w:val="22"/>
                <w:highlight w:val="none"/>
                <w:lang w:val="zh-CN"/>
              </w:rPr>
            </w:pPr>
            <w:r>
              <w:rPr>
                <w:rFonts w:hint="eastAsia" w:ascii="宋体" w:hAnsi="宋体" w:eastAsia="宋体" w:cs="宋体"/>
                <w:bCs/>
                <w:color w:val="auto"/>
                <w:kern w:val="0"/>
                <w:sz w:val="22"/>
                <w:highlight w:val="none"/>
                <w:lang w:val="zh-CN"/>
              </w:rPr>
              <w:t>2、技术</w:t>
            </w:r>
          </w:p>
        </w:tc>
        <w:tc>
          <w:tcPr>
            <w:tcW w:w="2494" w:type="pct"/>
            <w:tcBorders>
              <w:top w:val="single" w:color="auto" w:sz="4" w:space="0"/>
              <w:left w:val="single" w:color="auto" w:sz="4" w:space="0"/>
              <w:bottom w:val="single" w:color="auto" w:sz="4" w:space="0"/>
              <w:right w:val="single" w:color="auto" w:sz="4" w:space="0"/>
            </w:tcBorders>
            <w:vAlign w:val="center"/>
          </w:tcPr>
          <w:p w14:paraId="6382E293">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bCs/>
                <w:color w:val="auto"/>
                <w:kern w:val="0"/>
                <w:sz w:val="22"/>
                <w:highlight w:val="none"/>
                <w:lang w:val="zh-CN"/>
              </w:rPr>
            </w:pPr>
            <w:r>
              <w:rPr>
                <w:rFonts w:hint="eastAsia" w:ascii="宋体" w:hAnsi="宋体" w:eastAsia="宋体" w:cs="宋体"/>
                <w:b/>
                <w:color w:val="auto"/>
                <w:szCs w:val="21"/>
                <w:highlight w:val="none"/>
                <w:lang w:val="en-US" w:eastAsia="zh-CN"/>
              </w:rPr>
              <w:t>60</w:t>
            </w:r>
            <w:r>
              <w:rPr>
                <w:rFonts w:hint="eastAsia" w:ascii="宋体" w:hAnsi="宋体" w:eastAsia="宋体" w:cs="宋体"/>
                <w:b/>
                <w:color w:val="auto"/>
                <w:szCs w:val="21"/>
                <w:highlight w:val="none"/>
                <w:lang w:val="zh-CN"/>
              </w:rPr>
              <w:t>分</w:t>
            </w:r>
          </w:p>
        </w:tc>
      </w:tr>
    </w:tbl>
    <w:p w14:paraId="45D7749B">
      <w:pPr>
        <w:tabs>
          <w:tab w:val="left" w:pos="585"/>
        </w:tabs>
        <w:autoSpaceDE w:val="0"/>
        <w:autoSpaceDN w:val="0"/>
        <w:adjustRightInd w:val="0"/>
        <w:spacing w:line="360" w:lineRule="auto"/>
        <w:rPr>
          <w:rFonts w:hint="eastAsia" w:ascii="宋体" w:hAnsi="宋体" w:eastAsia="宋体" w:cs="宋体"/>
          <w:b/>
          <w:color w:val="auto"/>
          <w:szCs w:val="21"/>
          <w:highlight w:val="none"/>
        </w:rPr>
      </w:pPr>
      <w:bookmarkStart w:id="819" w:name="_Toc18349_WPSOffice_Level2"/>
    </w:p>
    <w:p w14:paraId="55A9E852">
      <w:pPr>
        <w:tabs>
          <w:tab w:val="left" w:pos="585"/>
        </w:tabs>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rPr>
        <w:t>（1）</w:t>
      </w:r>
      <w:r>
        <w:rPr>
          <w:rFonts w:hint="eastAsia" w:ascii="宋体" w:hAnsi="宋体" w:eastAsia="宋体" w:cs="宋体"/>
          <w:b/>
          <w:color w:val="auto"/>
          <w:szCs w:val="21"/>
          <w:highlight w:val="none"/>
          <w:lang w:val="zh-CN"/>
        </w:rPr>
        <w:t>商务：总分</w:t>
      </w:r>
      <w:r>
        <w:rPr>
          <w:rFonts w:hint="eastAsia" w:ascii="宋体" w:hAnsi="宋体" w:eastAsia="宋体" w:cs="宋体"/>
          <w:b/>
          <w:color w:val="auto"/>
          <w:szCs w:val="21"/>
          <w:highlight w:val="none"/>
        </w:rPr>
        <w:t>40</w:t>
      </w:r>
      <w:r>
        <w:rPr>
          <w:rFonts w:hint="eastAsia" w:ascii="宋体" w:hAnsi="宋体" w:eastAsia="宋体" w:cs="宋体"/>
          <w:b/>
          <w:color w:val="auto"/>
          <w:szCs w:val="21"/>
          <w:highlight w:val="none"/>
          <w:lang w:val="zh-CN"/>
        </w:rPr>
        <w:t>分</w:t>
      </w:r>
      <w:bookmarkEnd w:id="819"/>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133"/>
        <w:gridCol w:w="7657"/>
        <w:gridCol w:w="908"/>
      </w:tblGrid>
      <w:tr w14:paraId="1DBD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24" w:type="pct"/>
            <w:tcBorders>
              <w:top w:val="single" w:color="auto" w:sz="4" w:space="0"/>
              <w:left w:val="single" w:color="auto" w:sz="4" w:space="0"/>
              <w:bottom w:val="single" w:color="auto" w:sz="4" w:space="0"/>
              <w:right w:val="single" w:color="auto" w:sz="4" w:space="0"/>
            </w:tcBorders>
            <w:vAlign w:val="bottom"/>
          </w:tcPr>
          <w:p w14:paraId="13AFF5D7">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序号</w:t>
            </w:r>
          </w:p>
        </w:tc>
        <w:tc>
          <w:tcPr>
            <w:tcW w:w="546" w:type="pct"/>
            <w:tcBorders>
              <w:top w:val="single" w:color="auto" w:sz="4" w:space="0"/>
              <w:left w:val="single" w:color="auto" w:sz="4" w:space="0"/>
              <w:bottom w:val="single" w:color="auto" w:sz="4" w:space="0"/>
              <w:right w:val="single" w:color="auto" w:sz="4" w:space="0"/>
            </w:tcBorders>
            <w:vAlign w:val="bottom"/>
          </w:tcPr>
          <w:p w14:paraId="33C2BACC">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b/>
                <w:color w:val="auto"/>
                <w:kern w:val="0"/>
                <w:szCs w:val="21"/>
                <w:highlight w:val="none"/>
              </w:rPr>
            </w:pPr>
            <w:r>
              <w:rPr>
                <w:rFonts w:hint="eastAsia" w:ascii="宋体" w:hAnsi="宋体" w:eastAsia="宋体" w:cs="宋体"/>
                <w:b/>
                <w:color w:val="auto"/>
                <w:szCs w:val="21"/>
                <w:highlight w:val="none"/>
                <w:lang w:val="zh-CN"/>
              </w:rPr>
              <w:t>评审内容</w:t>
            </w:r>
          </w:p>
        </w:tc>
        <w:tc>
          <w:tcPr>
            <w:tcW w:w="3690" w:type="pct"/>
            <w:tcBorders>
              <w:top w:val="single" w:color="auto" w:sz="4" w:space="0"/>
              <w:left w:val="single" w:color="auto" w:sz="4" w:space="0"/>
              <w:bottom w:val="single" w:color="auto" w:sz="4" w:space="0"/>
              <w:right w:val="single" w:color="auto" w:sz="4" w:space="0"/>
            </w:tcBorders>
            <w:vAlign w:val="bottom"/>
          </w:tcPr>
          <w:p w14:paraId="09B33853">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评审细则</w:t>
            </w:r>
          </w:p>
        </w:tc>
        <w:tc>
          <w:tcPr>
            <w:tcW w:w="437" w:type="pct"/>
            <w:tcBorders>
              <w:top w:val="single" w:color="auto" w:sz="4" w:space="0"/>
              <w:left w:val="single" w:color="auto" w:sz="4" w:space="0"/>
              <w:bottom w:val="single" w:color="auto" w:sz="4" w:space="0"/>
              <w:right w:val="single" w:color="auto" w:sz="4" w:space="0"/>
            </w:tcBorders>
            <w:vAlign w:val="bottom"/>
          </w:tcPr>
          <w:p w14:paraId="49EDF9CF">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满分值</w:t>
            </w:r>
          </w:p>
        </w:tc>
      </w:tr>
      <w:tr w14:paraId="52A3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14:paraId="00EE1DAD">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546" w:type="pct"/>
            <w:tcBorders>
              <w:top w:val="single" w:color="auto" w:sz="4" w:space="0"/>
              <w:left w:val="single" w:color="auto" w:sz="4" w:space="0"/>
              <w:bottom w:val="single" w:color="auto" w:sz="4" w:space="0"/>
              <w:right w:val="single" w:color="auto" w:sz="4" w:space="0"/>
            </w:tcBorders>
            <w:vAlign w:val="center"/>
          </w:tcPr>
          <w:p w14:paraId="7CAB0B40">
            <w:pPr>
              <w:keepNext w:val="0"/>
              <w:keepLines w:val="0"/>
              <w:suppressLineNumbers w:val="0"/>
              <w:autoSpaceDE w:val="0"/>
              <w:autoSpaceDN w:val="0"/>
              <w:spacing w:before="0" w:beforeAutospacing="0" w:after="0" w:afterAutospacing="0" w:line="400" w:lineRule="exact"/>
              <w:ind w:left="0" w:right="0"/>
              <w:jc w:val="center"/>
              <w:rPr>
                <w:rFonts w:hint="eastAsia" w:ascii="宋体" w:hAnsi="宋体" w:eastAsia="宋体" w:cs="Times New Roman"/>
                <w:bCs/>
                <w:color w:val="auto"/>
                <w:kern w:val="0"/>
                <w:sz w:val="24"/>
                <w:szCs w:val="21"/>
                <w:highlight w:val="none"/>
              </w:rPr>
            </w:pPr>
            <w:r>
              <w:rPr>
                <w:rFonts w:hint="eastAsia" w:ascii="宋体" w:hAnsi="宋体" w:eastAsia="宋体" w:cs="宋体"/>
                <w:color w:val="auto"/>
                <w:szCs w:val="21"/>
                <w:highlight w:val="none"/>
                <w:lang w:val="zh-CN"/>
              </w:rPr>
              <w:t>财务状况</w:t>
            </w:r>
          </w:p>
        </w:tc>
        <w:tc>
          <w:tcPr>
            <w:tcW w:w="3690" w:type="pct"/>
            <w:tcBorders>
              <w:top w:val="single" w:color="auto" w:sz="4" w:space="0"/>
              <w:left w:val="single" w:color="auto" w:sz="4" w:space="0"/>
              <w:bottom w:val="single" w:color="auto" w:sz="4" w:space="0"/>
              <w:right w:val="single" w:color="auto" w:sz="4" w:space="0"/>
            </w:tcBorders>
            <w:vAlign w:val="center"/>
          </w:tcPr>
          <w:p w14:paraId="673D41D3">
            <w:pPr>
              <w:keepNext w:val="0"/>
              <w:keepLines w:val="0"/>
              <w:suppressLineNumbers w:val="0"/>
              <w:autoSpaceDE w:val="0"/>
              <w:autoSpaceDN w:val="0"/>
              <w:spacing w:before="0" w:beforeAutospacing="0" w:after="0" w:afterAutospacing="0" w:line="360" w:lineRule="auto"/>
              <w:ind w:left="0" w:right="0"/>
              <w:jc w:val="left"/>
              <w:rPr>
                <w:rFonts w:hint="eastAsia"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投标人2021年-2023年三个年度，每具有1个年度盈利的得</w:t>
            </w:r>
            <w:r>
              <w:rPr>
                <w:rFonts w:hint="eastAsia" w:ascii="宋体" w:hAnsi="宋体" w:eastAsia="宋体" w:cs="宋体"/>
                <w:bCs/>
                <w:color w:val="auto"/>
                <w:kern w:val="0"/>
                <w:szCs w:val="21"/>
                <w:highlight w:val="none"/>
              </w:rPr>
              <w:t>1</w:t>
            </w:r>
            <w:r>
              <w:rPr>
                <w:rFonts w:hint="eastAsia" w:ascii="宋体" w:hAnsi="宋体" w:eastAsia="宋体" w:cs="宋体"/>
                <w:bCs/>
                <w:color w:val="auto"/>
                <w:kern w:val="0"/>
                <w:szCs w:val="21"/>
                <w:highlight w:val="none"/>
                <w:lang w:val="zh-CN"/>
              </w:rPr>
              <w:t>分，满分</w:t>
            </w:r>
            <w:r>
              <w:rPr>
                <w:rFonts w:hint="eastAsia" w:ascii="宋体" w:hAnsi="宋体" w:eastAsia="宋体" w:cs="宋体"/>
                <w:bCs/>
                <w:color w:val="auto"/>
                <w:kern w:val="0"/>
                <w:szCs w:val="21"/>
                <w:highlight w:val="none"/>
              </w:rPr>
              <w:t>3</w:t>
            </w:r>
            <w:r>
              <w:rPr>
                <w:rFonts w:hint="eastAsia" w:ascii="宋体" w:hAnsi="宋体" w:eastAsia="宋体" w:cs="宋体"/>
                <w:bCs/>
                <w:color w:val="auto"/>
                <w:kern w:val="0"/>
                <w:szCs w:val="21"/>
                <w:highlight w:val="none"/>
                <w:lang w:val="zh-CN"/>
              </w:rPr>
              <w:t>分。</w:t>
            </w:r>
          </w:p>
          <w:p w14:paraId="1C50DABC">
            <w:pPr>
              <w:keepNext w:val="0"/>
              <w:keepLines w:val="0"/>
              <w:suppressLineNumbers w:val="0"/>
              <w:autoSpaceDE w:val="0"/>
              <w:autoSpaceDN w:val="0"/>
              <w:spacing w:before="0" w:beforeAutospacing="0" w:after="0" w:afterAutospacing="0" w:line="336" w:lineRule="auto"/>
              <w:ind w:left="0" w:right="0"/>
              <w:jc w:val="left"/>
              <w:rPr>
                <w:rFonts w:hint="eastAsia" w:ascii="宋体" w:hAnsi="宋体" w:eastAsia="宋体" w:cs="Times New Roman"/>
                <w:b/>
                <w:color w:val="auto"/>
                <w:kern w:val="0"/>
                <w:szCs w:val="21"/>
                <w:highlight w:val="none"/>
                <w:lang w:val="zh-CN"/>
              </w:rPr>
            </w:pPr>
            <w:r>
              <w:rPr>
                <w:rFonts w:hint="eastAsia" w:ascii="宋体" w:hAnsi="宋体" w:eastAsia="宋体" w:cs="宋体"/>
                <w:b/>
                <w:color w:val="auto"/>
                <w:kern w:val="0"/>
                <w:szCs w:val="21"/>
                <w:highlight w:val="none"/>
              </w:rPr>
              <w:t>备</w:t>
            </w:r>
            <w:r>
              <w:rPr>
                <w:rFonts w:hint="eastAsia" w:ascii="宋体" w:hAnsi="宋体" w:eastAsia="宋体" w:cs="宋体"/>
                <w:b/>
                <w:color w:val="auto"/>
                <w:kern w:val="0"/>
                <w:szCs w:val="21"/>
                <w:highlight w:val="none"/>
                <w:lang w:val="zh-CN"/>
              </w:rPr>
              <w:t>注：盈利指净利润为正数（非零、非负数），投标人应提供2021年、2022年、2023年三个年度的财务报表，净利润以对应年度经审计的财务报表为准，应提供经独立会计师事务所审计过的有效的财务报表原件扫描件；未提供前述财务报表或财务报表未能反映净利润的，不得分。</w:t>
            </w:r>
          </w:p>
        </w:tc>
        <w:tc>
          <w:tcPr>
            <w:tcW w:w="437" w:type="pct"/>
            <w:tcBorders>
              <w:top w:val="single" w:color="auto" w:sz="4" w:space="0"/>
              <w:left w:val="single" w:color="auto" w:sz="4" w:space="0"/>
              <w:bottom w:val="single" w:color="auto" w:sz="4" w:space="0"/>
              <w:right w:val="single" w:color="auto" w:sz="4" w:space="0"/>
            </w:tcBorders>
            <w:vAlign w:val="center"/>
          </w:tcPr>
          <w:p w14:paraId="15989CE6">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b/>
                <w:color w:val="auto"/>
                <w:kern w:val="0"/>
                <w:szCs w:val="21"/>
                <w:highlight w:val="none"/>
              </w:rPr>
              <w:t>3</w:t>
            </w:r>
            <w:r>
              <w:rPr>
                <w:rFonts w:hint="eastAsia" w:ascii="宋体" w:hAnsi="宋体" w:eastAsia="宋体" w:cs="宋体"/>
                <w:b/>
                <w:color w:val="auto"/>
                <w:kern w:val="0"/>
                <w:szCs w:val="21"/>
                <w:highlight w:val="none"/>
                <w:lang w:val="zh-CN"/>
              </w:rPr>
              <w:t>分</w:t>
            </w:r>
          </w:p>
        </w:tc>
      </w:tr>
      <w:tr w14:paraId="2655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24" w:type="pct"/>
            <w:tcBorders>
              <w:top w:val="single" w:color="auto" w:sz="4" w:space="0"/>
              <w:left w:val="single" w:color="auto" w:sz="4" w:space="0"/>
              <w:bottom w:val="single" w:color="auto" w:sz="4" w:space="0"/>
              <w:right w:val="single" w:color="auto" w:sz="4" w:space="0"/>
            </w:tcBorders>
            <w:vAlign w:val="center"/>
          </w:tcPr>
          <w:p w14:paraId="1101B4A2">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546" w:type="pct"/>
            <w:tcBorders>
              <w:top w:val="single" w:color="auto" w:sz="4" w:space="0"/>
              <w:left w:val="single" w:color="auto" w:sz="4" w:space="0"/>
              <w:bottom w:val="single" w:color="auto" w:sz="4" w:space="0"/>
              <w:right w:val="single" w:color="auto" w:sz="4" w:space="0"/>
            </w:tcBorders>
            <w:vAlign w:val="center"/>
          </w:tcPr>
          <w:p w14:paraId="7A367C06">
            <w:pPr>
              <w:keepNext w:val="0"/>
              <w:keepLines w:val="0"/>
              <w:suppressLineNumbers w:val="0"/>
              <w:autoSpaceDE w:val="0"/>
              <w:autoSpaceDN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业绩</w:t>
            </w:r>
          </w:p>
        </w:tc>
        <w:tc>
          <w:tcPr>
            <w:tcW w:w="3690" w:type="pct"/>
            <w:tcBorders>
              <w:top w:val="single" w:color="auto" w:sz="4" w:space="0"/>
              <w:left w:val="single" w:color="auto" w:sz="4" w:space="0"/>
              <w:bottom w:val="single" w:color="auto" w:sz="4" w:space="0"/>
              <w:right w:val="single" w:color="auto" w:sz="4" w:space="0"/>
            </w:tcBorders>
            <w:vAlign w:val="center"/>
          </w:tcPr>
          <w:p w14:paraId="4A7FAE12">
            <w:pPr>
              <w:keepNext w:val="0"/>
              <w:keepLines w:val="0"/>
              <w:suppressLineNumbers w:val="0"/>
              <w:autoSpaceDE w:val="0"/>
              <w:autoSpaceDN w:val="0"/>
              <w:adjustRightInd w:val="0"/>
              <w:snapToGrid w:val="0"/>
              <w:spacing w:before="0" w:beforeAutospacing="0" w:after="0" w:afterAutospacing="0" w:line="380" w:lineRule="exact"/>
              <w:ind w:left="0" w:right="0"/>
              <w:jc w:val="left"/>
              <w:rPr>
                <w:rFonts w:hint="eastAsia"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根据投标人2022年1月1日至今已完成的市政类工程施工项目劳务分包业绩进行评审：</w:t>
            </w:r>
          </w:p>
          <w:p w14:paraId="6AAC31C4">
            <w:pPr>
              <w:keepNext w:val="0"/>
              <w:keepLines w:val="0"/>
              <w:suppressLineNumbers w:val="0"/>
              <w:autoSpaceDE w:val="0"/>
              <w:autoSpaceDN w:val="0"/>
              <w:adjustRightInd w:val="0"/>
              <w:snapToGrid w:val="0"/>
              <w:spacing w:before="0" w:beforeAutospacing="0" w:after="0" w:afterAutospacing="0" w:line="380" w:lineRule="exact"/>
              <w:ind w:left="0" w:right="0"/>
              <w:jc w:val="left"/>
              <w:rPr>
                <w:rFonts w:hint="eastAsia"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（1）单项合同金额≥200万元的前述业绩，每项得</w:t>
            </w:r>
            <w:r>
              <w:rPr>
                <w:rFonts w:hint="eastAsia" w:ascii="宋体" w:hAnsi="宋体" w:eastAsia="宋体" w:cs="Times New Roman"/>
                <w:bCs/>
                <w:color w:val="auto"/>
                <w:kern w:val="0"/>
                <w:szCs w:val="21"/>
                <w:highlight w:val="none"/>
                <w:lang w:val="en-US" w:eastAsia="zh-CN"/>
              </w:rPr>
              <w:t>8</w:t>
            </w:r>
            <w:r>
              <w:rPr>
                <w:rFonts w:hint="eastAsia" w:ascii="宋体" w:hAnsi="宋体" w:eastAsia="宋体" w:cs="Times New Roman"/>
                <w:bCs/>
                <w:color w:val="auto"/>
                <w:kern w:val="0"/>
                <w:szCs w:val="21"/>
                <w:highlight w:val="none"/>
              </w:rPr>
              <w:t>分；</w:t>
            </w:r>
          </w:p>
          <w:p w14:paraId="23D33388">
            <w:pPr>
              <w:keepNext w:val="0"/>
              <w:keepLines w:val="0"/>
              <w:suppressLineNumbers w:val="0"/>
              <w:autoSpaceDE w:val="0"/>
              <w:autoSpaceDN w:val="0"/>
              <w:adjustRightInd w:val="0"/>
              <w:snapToGrid w:val="0"/>
              <w:spacing w:before="0" w:beforeAutospacing="0" w:after="0" w:afterAutospacing="0" w:line="380" w:lineRule="exact"/>
              <w:ind w:left="0" w:right="0"/>
              <w:jc w:val="left"/>
              <w:rPr>
                <w:rFonts w:hint="eastAsia"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w:t>
            </w:r>
            <w:r>
              <w:rPr>
                <w:rFonts w:hint="eastAsia" w:ascii="宋体" w:hAnsi="宋体" w:eastAsia="宋体" w:cs="Times New Roman"/>
                <w:bCs/>
                <w:color w:val="auto"/>
                <w:kern w:val="0"/>
                <w:szCs w:val="21"/>
                <w:highlight w:val="none"/>
                <w:lang w:val="en-US" w:eastAsia="zh-CN"/>
              </w:rPr>
              <w:t>100</w:t>
            </w:r>
            <w:r>
              <w:rPr>
                <w:rFonts w:hint="eastAsia" w:ascii="宋体" w:hAnsi="宋体" w:eastAsia="宋体" w:cs="Times New Roman"/>
                <w:bCs/>
                <w:color w:val="auto"/>
                <w:kern w:val="0"/>
                <w:szCs w:val="21"/>
                <w:highlight w:val="none"/>
              </w:rPr>
              <w:t>万元≤单项合同金额＜200万元的前述业绩，每项得</w:t>
            </w:r>
            <w:r>
              <w:rPr>
                <w:rFonts w:hint="eastAsia" w:ascii="宋体" w:hAnsi="宋体" w:eastAsia="宋体" w:cs="Times New Roman"/>
                <w:bCs/>
                <w:color w:val="auto"/>
                <w:kern w:val="0"/>
                <w:szCs w:val="21"/>
                <w:highlight w:val="none"/>
                <w:lang w:val="en-US" w:eastAsia="zh-CN"/>
              </w:rPr>
              <w:t>6</w:t>
            </w:r>
            <w:r>
              <w:rPr>
                <w:rFonts w:hint="eastAsia" w:ascii="宋体" w:hAnsi="宋体" w:eastAsia="宋体" w:cs="Times New Roman"/>
                <w:bCs/>
                <w:color w:val="auto"/>
                <w:kern w:val="0"/>
                <w:szCs w:val="21"/>
                <w:highlight w:val="none"/>
              </w:rPr>
              <w:t>分；</w:t>
            </w:r>
          </w:p>
          <w:p w14:paraId="003F056B">
            <w:pPr>
              <w:keepNext w:val="0"/>
              <w:keepLines w:val="0"/>
              <w:suppressLineNumbers w:val="0"/>
              <w:snapToGrid w:val="0"/>
              <w:spacing w:before="0" w:beforeAutospacing="0" w:after="0" w:afterAutospacing="0" w:line="380" w:lineRule="exact"/>
              <w:ind w:left="0" w:right="0"/>
              <w:jc w:val="left"/>
              <w:rPr>
                <w:rFonts w:hint="eastAsia"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（3）</w:t>
            </w:r>
            <w:r>
              <w:rPr>
                <w:rFonts w:hint="eastAsia" w:ascii="宋体" w:hAnsi="宋体" w:eastAsia="宋体" w:cs="Times New Roman"/>
                <w:bCs/>
                <w:color w:val="auto"/>
                <w:kern w:val="0"/>
                <w:szCs w:val="21"/>
                <w:highlight w:val="none"/>
                <w:lang w:val="en-US" w:eastAsia="zh-CN"/>
              </w:rPr>
              <w:t>10</w:t>
            </w:r>
            <w:r>
              <w:rPr>
                <w:rFonts w:hint="eastAsia" w:ascii="宋体" w:hAnsi="宋体" w:eastAsia="宋体" w:cs="Times New Roman"/>
                <w:bCs/>
                <w:color w:val="auto"/>
                <w:kern w:val="0"/>
                <w:szCs w:val="21"/>
                <w:highlight w:val="none"/>
              </w:rPr>
              <w:t>万元≤单项合同金额＜</w:t>
            </w:r>
            <w:r>
              <w:rPr>
                <w:rFonts w:hint="eastAsia" w:ascii="宋体" w:hAnsi="宋体" w:eastAsia="宋体" w:cs="Times New Roman"/>
                <w:bCs/>
                <w:color w:val="auto"/>
                <w:kern w:val="0"/>
                <w:szCs w:val="21"/>
                <w:highlight w:val="none"/>
                <w:lang w:val="en-US" w:eastAsia="zh-CN"/>
              </w:rPr>
              <w:t>10</w:t>
            </w:r>
            <w:r>
              <w:rPr>
                <w:rFonts w:hint="eastAsia" w:ascii="宋体" w:hAnsi="宋体" w:eastAsia="宋体" w:cs="Times New Roman"/>
                <w:bCs/>
                <w:color w:val="auto"/>
                <w:kern w:val="0"/>
                <w:szCs w:val="21"/>
                <w:highlight w:val="none"/>
              </w:rPr>
              <w:t>0万元的前述业绩，每项得</w:t>
            </w:r>
            <w:r>
              <w:rPr>
                <w:rFonts w:hint="eastAsia" w:ascii="宋体" w:hAnsi="宋体" w:eastAsia="宋体" w:cs="Times New Roman"/>
                <w:bCs/>
                <w:color w:val="auto"/>
                <w:kern w:val="0"/>
                <w:szCs w:val="21"/>
                <w:highlight w:val="none"/>
                <w:lang w:val="en-US" w:eastAsia="zh-CN"/>
              </w:rPr>
              <w:t>4</w:t>
            </w:r>
            <w:r>
              <w:rPr>
                <w:rFonts w:hint="eastAsia" w:ascii="宋体" w:hAnsi="宋体" w:eastAsia="宋体" w:cs="Times New Roman"/>
                <w:bCs/>
                <w:color w:val="auto"/>
                <w:kern w:val="0"/>
                <w:szCs w:val="21"/>
                <w:highlight w:val="none"/>
              </w:rPr>
              <w:t>分</w:t>
            </w:r>
            <w:r>
              <w:rPr>
                <w:rFonts w:hint="eastAsia" w:ascii="宋体" w:hAnsi="宋体" w:eastAsia="宋体" w:cs="Times New Roman"/>
                <w:bCs/>
                <w:color w:val="auto"/>
                <w:kern w:val="0"/>
                <w:szCs w:val="21"/>
                <w:highlight w:val="none"/>
                <w:lang w:eastAsia="zh-CN"/>
              </w:rPr>
              <w:t>，</w:t>
            </w:r>
            <w:r>
              <w:rPr>
                <w:rFonts w:hint="eastAsia" w:ascii="宋体" w:hAnsi="宋体" w:eastAsia="宋体" w:cs="Times New Roman"/>
                <w:bCs/>
                <w:color w:val="auto"/>
                <w:kern w:val="0"/>
                <w:szCs w:val="21"/>
                <w:highlight w:val="none"/>
                <w:lang w:val="en-US" w:eastAsia="zh-CN"/>
              </w:rPr>
              <w:t>本子项最高得30分</w:t>
            </w:r>
            <w:r>
              <w:rPr>
                <w:rFonts w:hint="eastAsia" w:ascii="宋体" w:hAnsi="宋体" w:eastAsia="宋体" w:cs="Times New Roman"/>
                <w:bCs/>
                <w:color w:val="auto"/>
                <w:kern w:val="0"/>
                <w:szCs w:val="21"/>
                <w:highlight w:val="none"/>
              </w:rPr>
              <w:t>；</w:t>
            </w:r>
          </w:p>
          <w:p w14:paraId="546C5CF9">
            <w:pPr>
              <w:keepNext w:val="0"/>
              <w:keepLines w:val="0"/>
              <w:suppressLineNumbers w:val="0"/>
              <w:autoSpaceDE w:val="0"/>
              <w:autoSpaceDN w:val="0"/>
              <w:spacing w:before="0" w:beforeAutospacing="0" w:after="0" w:afterAutospacing="0" w:line="380" w:lineRule="exact"/>
              <w:ind w:left="0" w:right="0"/>
              <w:jc w:val="left"/>
              <w:rPr>
                <w:rFonts w:hint="default" w:ascii="宋体" w:hAnsi="宋体" w:eastAsia="宋体" w:cs="宋体"/>
                <w:b/>
                <w:bCs/>
                <w:color w:val="auto"/>
                <w:szCs w:val="21"/>
                <w:highlight w:val="none"/>
                <w:lang w:val="en-US" w:eastAsia="zh-CN"/>
              </w:rPr>
            </w:pPr>
            <w:r>
              <w:rPr>
                <w:rFonts w:hint="eastAsia" w:ascii="宋体" w:hAnsi="宋体" w:eastAsia="宋体" w:cs="宋体"/>
                <w:b w:val="0"/>
                <w:bCs w:val="0"/>
                <w:color w:val="auto"/>
                <w:szCs w:val="21"/>
                <w:highlight w:val="none"/>
                <w:lang w:val="en-US" w:eastAsia="zh-CN"/>
              </w:rPr>
              <w:t>上述业绩累计最高得37分。</w:t>
            </w:r>
          </w:p>
          <w:p w14:paraId="21D73367">
            <w:pPr>
              <w:keepNext w:val="0"/>
              <w:keepLines w:val="0"/>
              <w:suppressLineNumbers w:val="0"/>
              <w:autoSpaceDE w:val="0"/>
              <w:autoSpaceDN w:val="0"/>
              <w:spacing w:before="0" w:beforeAutospacing="0" w:after="0" w:afterAutospacing="0" w:line="380" w:lineRule="exact"/>
              <w:ind w:left="0" w:right="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p w14:paraId="0318B60D">
            <w:pPr>
              <w:keepNext w:val="0"/>
              <w:keepLines w:val="0"/>
              <w:suppressLineNumbers w:val="0"/>
              <w:autoSpaceDE w:val="0"/>
              <w:autoSpaceDN w:val="0"/>
              <w:spacing w:before="0" w:beforeAutospacing="0" w:after="0" w:afterAutospacing="0" w:line="380" w:lineRule="exact"/>
              <w:ind w:left="0" w:right="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（1）业绩须附以下证明资料：合同（合同承包方必须为投标人）及相关验收证明</w:t>
            </w:r>
            <w:r>
              <w:rPr>
                <w:rFonts w:hint="eastAsia" w:ascii="宋体" w:hAnsi="宋体" w:eastAsia="宋体" w:cs="宋体"/>
                <w:b/>
                <w:bCs/>
                <w:color w:val="auto"/>
                <w:szCs w:val="21"/>
                <w:highlight w:val="none"/>
              </w:rPr>
              <w:t>（验收证明可为劳务分包验收证明材料，或劳务结算确认材料，或劳务完工证明材料）</w:t>
            </w:r>
            <w:r>
              <w:rPr>
                <w:rFonts w:hint="eastAsia" w:ascii="宋体" w:hAnsi="宋体" w:eastAsia="宋体" w:cs="宋体"/>
                <w:b/>
                <w:bCs/>
                <w:color w:val="auto"/>
                <w:szCs w:val="21"/>
                <w:highlight w:val="none"/>
              </w:rPr>
              <w:t>原件扫描件，否则不得分；</w:t>
            </w:r>
          </w:p>
          <w:p w14:paraId="4E650E3F">
            <w:pPr>
              <w:keepNext w:val="0"/>
              <w:keepLines w:val="0"/>
              <w:suppressLineNumbers w:val="0"/>
              <w:autoSpaceDE w:val="0"/>
              <w:autoSpaceDN w:val="0"/>
              <w:spacing w:before="0" w:beforeAutospacing="0" w:after="0" w:afterAutospacing="0" w:line="380" w:lineRule="exact"/>
              <w:ind w:left="0" w:right="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（2）合同必须能反映评分条件</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1.合同签订日期为2022年1月1日或以后；</w:t>
            </w:r>
            <w:r>
              <w:rPr>
                <w:rFonts w:hint="eastAsia" w:ascii="宋体" w:hAnsi="宋体" w:eastAsia="宋体" w:cs="宋体"/>
                <w:b/>
                <w:bCs/>
                <w:color w:val="auto"/>
                <w:szCs w:val="21"/>
                <w:highlight w:val="none"/>
              </w:rPr>
              <w:t>2.承包内容为市政类工程施工项目劳务分包；</w:t>
            </w:r>
            <w:r>
              <w:rPr>
                <w:rFonts w:hint="eastAsia" w:ascii="宋体" w:hAnsi="宋体" w:eastAsia="宋体" w:cs="宋体"/>
                <w:b/>
                <w:bCs/>
                <w:color w:val="auto"/>
                <w:szCs w:val="21"/>
                <w:highlight w:val="none"/>
                <w:lang w:val="en-US" w:eastAsia="zh-CN"/>
              </w:rPr>
              <w:t>3</w:t>
            </w:r>
            <w:r>
              <w:rPr>
                <w:rFonts w:hint="eastAsia" w:ascii="宋体" w:hAnsi="宋体" w:eastAsia="宋体" w:cs="宋体"/>
                <w:b/>
                <w:bCs/>
                <w:color w:val="auto"/>
                <w:szCs w:val="21"/>
                <w:highlight w:val="none"/>
              </w:rPr>
              <w:t>.单项合同金额满足评分要求</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，否则还需提供合同发包方出具的书面补充说明文件原件扫描件作为辅助证明（补充说明文件原件扫描件能显示合同发包方公章）；</w:t>
            </w:r>
          </w:p>
          <w:p w14:paraId="0652FEDE">
            <w:pPr>
              <w:keepNext w:val="0"/>
              <w:keepLines w:val="0"/>
              <w:suppressLineNumbers w:val="0"/>
              <w:autoSpaceDE w:val="0"/>
              <w:autoSpaceDN w:val="0"/>
              <w:spacing w:before="0" w:beforeAutospacing="0" w:after="0" w:afterAutospacing="0" w:line="380" w:lineRule="exact"/>
              <w:ind w:left="0" w:right="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（3）若业绩为框架式协议或资格入围无明确金额的合同，必须同时提供合同期限内已完成劳务分包服务的发票金额统计表和发票原件扫描件；</w:t>
            </w:r>
          </w:p>
          <w:p w14:paraId="3920D5A4">
            <w:pPr>
              <w:keepNext w:val="0"/>
              <w:keepLines w:val="0"/>
              <w:suppressLineNumbers w:val="0"/>
              <w:autoSpaceDE w:val="0"/>
              <w:autoSpaceDN w:val="0"/>
              <w:adjustRightInd w:val="0"/>
              <w:snapToGrid w:val="0"/>
              <w:spacing w:before="0" w:beforeAutospacing="0" w:after="0" w:afterAutospacing="0" w:line="380" w:lineRule="exact"/>
              <w:ind w:left="0" w:right="0"/>
              <w:jc w:val="left"/>
              <w:rPr>
                <w:rFonts w:hint="eastAsia"/>
                <w:color w:val="auto"/>
                <w:highlight w:val="none"/>
              </w:rPr>
            </w:pPr>
            <w:r>
              <w:rPr>
                <w:rFonts w:hint="eastAsia" w:ascii="宋体" w:hAnsi="宋体" w:eastAsia="宋体" w:cs="宋体"/>
                <w:b/>
                <w:bCs/>
                <w:color w:val="auto"/>
                <w:szCs w:val="21"/>
                <w:highlight w:val="none"/>
              </w:rPr>
              <w:t>（4）</w:t>
            </w:r>
            <w:r>
              <w:rPr>
                <w:rFonts w:hint="eastAsia" w:ascii="宋体" w:hAnsi="宋体" w:eastAsia="宋体" w:cs="Times New Roman"/>
                <w:b/>
                <w:bCs/>
                <w:color w:val="auto"/>
                <w:szCs w:val="24"/>
                <w:highlight w:val="none"/>
                <w:lang w:val="zh-CN"/>
              </w:rPr>
              <w:t>未按上述要求提供证明材料的业绩，或所附材料无法证明填报项目符合本项评分要求的业绩，在评标时将不予考虑。</w:t>
            </w:r>
          </w:p>
        </w:tc>
        <w:tc>
          <w:tcPr>
            <w:tcW w:w="437" w:type="pct"/>
            <w:tcBorders>
              <w:top w:val="single" w:color="auto" w:sz="4" w:space="0"/>
              <w:left w:val="single" w:color="auto" w:sz="4" w:space="0"/>
              <w:bottom w:val="single" w:color="auto" w:sz="4" w:space="0"/>
              <w:right w:val="single" w:color="auto" w:sz="4" w:space="0"/>
            </w:tcBorders>
            <w:vAlign w:val="center"/>
          </w:tcPr>
          <w:p w14:paraId="239846C2">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37分</w:t>
            </w:r>
          </w:p>
        </w:tc>
      </w:tr>
    </w:tbl>
    <w:p w14:paraId="038437F9">
      <w:pPr>
        <w:autoSpaceDE w:val="0"/>
        <w:autoSpaceDN w:val="0"/>
        <w:adjustRightInd w:val="0"/>
        <w:ind w:right="-26" w:firstLine="480"/>
        <w:jc w:val="center"/>
        <w:rPr>
          <w:rFonts w:hint="eastAsia" w:ascii="宋体" w:hAnsi="宋体" w:eastAsia="宋体" w:cs="Times New Roman"/>
          <w:b/>
          <w:bCs/>
          <w:color w:val="auto"/>
          <w:kern w:val="0"/>
          <w:sz w:val="24"/>
          <w:szCs w:val="24"/>
          <w:highlight w:val="none"/>
        </w:rPr>
      </w:pPr>
      <w:bookmarkStart w:id="820" w:name="_Toc11639_WPSOffice_Level2"/>
    </w:p>
    <w:p w14:paraId="61F04FA4">
      <w:pPr>
        <w:tabs>
          <w:tab w:val="left" w:pos="585"/>
        </w:tabs>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Times New Roman"/>
          <w:b/>
          <w:color w:val="auto"/>
          <w:szCs w:val="21"/>
          <w:highlight w:val="none"/>
          <w:lang w:val="zh-CN"/>
        </w:rPr>
        <w:t>（</w:t>
      </w:r>
      <w:r>
        <w:rPr>
          <w:rFonts w:hint="eastAsia" w:ascii="宋体" w:hAnsi="宋体" w:eastAsia="宋体" w:cs="宋体"/>
          <w:b/>
          <w:color w:val="auto"/>
          <w:szCs w:val="24"/>
          <w:highlight w:val="none"/>
        </w:rPr>
        <w:t>2）</w:t>
      </w:r>
      <w:r>
        <w:rPr>
          <w:rFonts w:hint="eastAsia" w:ascii="宋体" w:hAnsi="宋体" w:eastAsia="宋体" w:cs="宋体"/>
          <w:b/>
          <w:color w:val="auto"/>
          <w:szCs w:val="24"/>
          <w:highlight w:val="none"/>
          <w:lang w:val="zh-CN"/>
        </w:rPr>
        <w:t>技术：</w:t>
      </w:r>
      <w:r>
        <w:rPr>
          <w:rFonts w:hint="eastAsia" w:ascii="宋体" w:hAnsi="宋体" w:eastAsia="宋体" w:cs="宋体"/>
          <w:b/>
          <w:color w:val="auto"/>
          <w:szCs w:val="21"/>
          <w:highlight w:val="none"/>
          <w:lang w:val="zh-CN"/>
        </w:rPr>
        <w:t>总分</w:t>
      </w:r>
      <w:r>
        <w:rPr>
          <w:rFonts w:hint="eastAsia" w:ascii="宋体" w:hAnsi="宋体" w:eastAsia="宋体" w:cs="宋体"/>
          <w:b/>
          <w:color w:val="auto"/>
          <w:szCs w:val="21"/>
          <w:highlight w:val="none"/>
          <w:lang w:val="en-US" w:eastAsia="zh-CN"/>
        </w:rPr>
        <w:t>60</w:t>
      </w:r>
      <w:r>
        <w:rPr>
          <w:rFonts w:hint="eastAsia" w:ascii="宋体" w:hAnsi="宋体" w:eastAsia="宋体" w:cs="宋体"/>
          <w:b/>
          <w:color w:val="auto"/>
          <w:szCs w:val="21"/>
          <w:highlight w:val="none"/>
          <w:lang w:val="zh-CN"/>
        </w:rPr>
        <w:t>分</w:t>
      </w:r>
      <w:bookmarkEnd w:id="820"/>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133"/>
        <w:gridCol w:w="7660"/>
        <w:gridCol w:w="907"/>
      </w:tblGrid>
      <w:tr w14:paraId="0FE4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3" w:type="pct"/>
            <w:tcBorders>
              <w:top w:val="single" w:color="auto" w:sz="4" w:space="0"/>
              <w:left w:val="single" w:color="auto" w:sz="4" w:space="0"/>
              <w:bottom w:val="single" w:color="auto" w:sz="4" w:space="0"/>
              <w:right w:val="single" w:color="auto" w:sz="4" w:space="0"/>
            </w:tcBorders>
            <w:vAlign w:val="center"/>
          </w:tcPr>
          <w:p w14:paraId="746B499C">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b/>
                <w:color w:val="auto"/>
                <w:kern w:val="0"/>
                <w:szCs w:val="21"/>
                <w:highlight w:val="none"/>
              </w:rPr>
            </w:pPr>
            <w:bookmarkStart w:id="821" w:name="_Hlk104987779"/>
            <w:r>
              <w:rPr>
                <w:rFonts w:hint="eastAsia" w:ascii="宋体" w:hAnsi="宋体" w:eastAsia="宋体" w:cs="宋体"/>
                <w:b/>
                <w:color w:val="auto"/>
                <w:kern w:val="0"/>
                <w:szCs w:val="21"/>
                <w:highlight w:val="none"/>
              </w:rPr>
              <w:t>序号</w:t>
            </w:r>
          </w:p>
        </w:tc>
        <w:tc>
          <w:tcPr>
            <w:tcW w:w="546" w:type="pct"/>
            <w:tcBorders>
              <w:top w:val="single" w:color="auto" w:sz="4" w:space="0"/>
              <w:left w:val="single" w:color="auto" w:sz="4" w:space="0"/>
              <w:bottom w:val="single" w:color="auto" w:sz="4" w:space="0"/>
              <w:right w:val="single" w:color="auto" w:sz="4" w:space="0"/>
            </w:tcBorders>
            <w:vAlign w:val="center"/>
          </w:tcPr>
          <w:p w14:paraId="2707D46B">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b/>
                <w:color w:val="auto"/>
                <w:kern w:val="0"/>
                <w:szCs w:val="21"/>
                <w:highlight w:val="none"/>
              </w:rPr>
            </w:pPr>
            <w:r>
              <w:rPr>
                <w:rFonts w:hint="eastAsia" w:ascii="宋体" w:hAnsi="宋体" w:eastAsia="宋体" w:cs="宋体"/>
                <w:b/>
                <w:color w:val="auto"/>
                <w:szCs w:val="21"/>
                <w:highlight w:val="none"/>
                <w:lang w:val="zh-CN"/>
              </w:rPr>
              <w:t>评审内容</w:t>
            </w:r>
          </w:p>
        </w:tc>
        <w:tc>
          <w:tcPr>
            <w:tcW w:w="3692" w:type="pct"/>
            <w:tcBorders>
              <w:top w:val="single" w:color="auto" w:sz="4" w:space="0"/>
              <w:left w:val="single" w:color="auto" w:sz="4" w:space="0"/>
              <w:bottom w:val="single" w:color="auto" w:sz="4" w:space="0"/>
              <w:right w:val="single" w:color="auto" w:sz="4" w:space="0"/>
            </w:tcBorders>
            <w:vAlign w:val="center"/>
          </w:tcPr>
          <w:p w14:paraId="1AD4BBD7">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评审细则</w:t>
            </w:r>
          </w:p>
        </w:tc>
        <w:tc>
          <w:tcPr>
            <w:tcW w:w="437" w:type="pct"/>
            <w:tcBorders>
              <w:top w:val="single" w:color="auto" w:sz="4" w:space="0"/>
              <w:left w:val="single" w:color="auto" w:sz="4" w:space="0"/>
              <w:bottom w:val="single" w:color="auto" w:sz="4" w:space="0"/>
              <w:right w:val="single" w:color="auto" w:sz="4" w:space="0"/>
            </w:tcBorders>
            <w:vAlign w:val="center"/>
          </w:tcPr>
          <w:p w14:paraId="3A1AFC8A">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满分值</w:t>
            </w:r>
          </w:p>
        </w:tc>
      </w:tr>
      <w:tr w14:paraId="34AD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3" w:type="pct"/>
            <w:tcBorders>
              <w:top w:val="single" w:color="auto" w:sz="4" w:space="0"/>
              <w:left w:val="single" w:color="auto" w:sz="4" w:space="0"/>
              <w:bottom w:val="single" w:color="auto" w:sz="4" w:space="0"/>
              <w:right w:val="single" w:color="auto" w:sz="4" w:space="0"/>
            </w:tcBorders>
            <w:vAlign w:val="center"/>
          </w:tcPr>
          <w:p w14:paraId="3987C383">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546" w:type="pct"/>
            <w:tcBorders>
              <w:top w:val="single" w:color="auto" w:sz="4" w:space="0"/>
              <w:left w:val="single" w:color="auto" w:sz="4" w:space="0"/>
              <w:bottom w:val="single" w:color="auto" w:sz="4" w:space="0"/>
              <w:right w:val="single" w:color="auto" w:sz="4" w:space="0"/>
            </w:tcBorders>
            <w:vAlign w:val="center"/>
          </w:tcPr>
          <w:p w14:paraId="3F2ED009">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用户需求响应程度</w:t>
            </w:r>
          </w:p>
        </w:tc>
        <w:tc>
          <w:tcPr>
            <w:tcW w:w="3692" w:type="pct"/>
            <w:tcBorders>
              <w:top w:val="single" w:color="auto" w:sz="4" w:space="0"/>
              <w:left w:val="single" w:color="auto" w:sz="4" w:space="0"/>
              <w:bottom w:val="single" w:color="auto" w:sz="4" w:space="0"/>
              <w:right w:val="single" w:color="auto" w:sz="4" w:space="0"/>
            </w:tcBorders>
            <w:vAlign w:val="center"/>
          </w:tcPr>
          <w:p w14:paraId="4AFC2B55">
            <w:pPr>
              <w:keepNext w:val="0"/>
              <w:keepLines w:val="0"/>
              <w:suppressLineNumbers w:val="0"/>
              <w:autoSpaceDE w:val="0"/>
              <w:autoSpaceDN w:val="0"/>
              <w:adjustRightInd w:val="0"/>
              <w:spacing w:before="0" w:beforeAutospacing="0" w:after="0" w:afterAutospacing="0" w:line="380" w:lineRule="exact"/>
              <w:ind w:left="0" w:right="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bidi="ar"/>
              </w:rPr>
              <w:t>根据用户需求偏离表的偏离情况进行评审计分，完全满足用户需求的要求得满分；每一处负偏离，扣2分；同时参照其投标文件中技术资料的内容进行对比，每发现一处投标人填写为无偏离或正偏离，但评标委员会评审认定其为负偏离的，每处扣4分；本项最低分为0分。</w:t>
            </w:r>
          </w:p>
        </w:tc>
        <w:tc>
          <w:tcPr>
            <w:tcW w:w="437" w:type="pct"/>
            <w:tcBorders>
              <w:top w:val="single" w:color="auto" w:sz="4" w:space="0"/>
              <w:left w:val="single" w:color="auto" w:sz="4" w:space="0"/>
              <w:bottom w:val="single" w:color="auto" w:sz="4" w:space="0"/>
              <w:right w:val="single" w:color="auto" w:sz="4" w:space="0"/>
            </w:tcBorders>
            <w:vAlign w:val="center"/>
          </w:tcPr>
          <w:p w14:paraId="51526A28">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10分</w:t>
            </w:r>
          </w:p>
        </w:tc>
      </w:tr>
      <w:tr w14:paraId="7239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323" w:type="pct"/>
            <w:tcBorders>
              <w:top w:val="single" w:color="auto" w:sz="4" w:space="0"/>
              <w:left w:val="single" w:color="auto" w:sz="4" w:space="0"/>
              <w:bottom w:val="single" w:color="auto" w:sz="4" w:space="0"/>
              <w:right w:val="single" w:color="auto" w:sz="4" w:space="0"/>
            </w:tcBorders>
            <w:vAlign w:val="center"/>
          </w:tcPr>
          <w:p w14:paraId="3B4443C1">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546" w:type="pct"/>
            <w:tcBorders>
              <w:top w:val="single" w:color="auto" w:sz="4" w:space="0"/>
              <w:left w:val="single" w:color="auto" w:sz="4" w:space="0"/>
              <w:bottom w:val="single" w:color="auto" w:sz="4" w:space="0"/>
              <w:right w:val="single" w:color="auto" w:sz="4" w:space="0"/>
            </w:tcBorders>
            <w:vAlign w:val="center"/>
          </w:tcPr>
          <w:p w14:paraId="2DFAF4DB">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拟投入本项目人员情况</w:t>
            </w:r>
          </w:p>
        </w:tc>
        <w:tc>
          <w:tcPr>
            <w:tcW w:w="3692" w:type="pct"/>
            <w:tcBorders>
              <w:top w:val="single" w:color="auto" w:sz="4" w:space="0"/>
              <w:left w:val="single" w:color="auto" w:sz="4" w:space="0"/>
              <w:bottom w:val="single" w:color="auto" w:sz="4" w:space="0"/>
              <w:right w:val="single" w:color="auto" w:sz="4" w:space="0"/>
            </w:tcBorders>
            <w:vAlign w:val="center"/>
          </w:tcPr>
          <w:p w14:paraId="1C4460A0">
            <w:pPr>
              <w:keepNext w:val="0"/>
              <w:keepLines w:val="0"/>
              <w:suppressLineNumbers w:val="0"/>
              <w:spacing w:before="0" w:beforeAutospacing="0" w:after="0" w:afterAutospacing="0" w:line="380" w:lineRule="exact"/>
              <w:ind w:left="0" w:right="0"/>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（1）</w:t>
            </w:r>
            <w:r>
              <w:rPr>
                <w:rFonts w:hint="eastAsia" w:ascii="宋体" w:hAnsi="宋体" w:eastAsia="宋体" w:cs="宋体"/>
                <w:color w:val="auto"/>
                <w:szCs w:val="21"/>
                <w:highlight w:val="none"/>
                <w:lang w:val="en-US" w:eastAsia="zh-CN" w:bidi="ar"/>
              </w:rPr>
              <w:t>本项目拟投入的项目负责人同时具有</w:t>
            </w:r>
            <w:r>
              <w:rPr>
                <w:rFonts w:hint="eastAsia" w:ascii="宋体" w:hAnsi="宋体" w:eastAsia="宋体" w:cs="宋体"/>
                <w:color w:val="auto"/>
                <w:szCs w:val="21"/>
                <w:highlight w:val="none"/>
                <w:lang w:bidi="ar"/>
              </w:rPr>
              <w:t>二级（或）以上市政公用工程或建筑工程注册建造师证书</w:t>
            </w:r>
            <w:r>
              <w:rPr>
                <w:rFonts w:hint="eastAsia" w:ascii="宋体" w:hAnsi="宋体" w:eastAsia="宋体" w:cs="宋体"/>
                <w:color w:val="auto"/>
                <w:szCs w:val="21"/>
                <w:highlight w:val="none"/>
                <w:lang w:val="en-US" w:eastAsia="zh-CN" w:bidi="ar"/>
              </w:rPr>
              <w:t>以及项目负责人</w:t>
            </w:r>
            <w:r>
              <w:rPr>
                <w:rFonts w:hint="eastAsia" w:ascii="宋体" w:hAnsi="宋体" w:eastAsia="宋体" w:cs="宋体"/>
                <w:color w:val="auto"/>
                <w:szCs w:val="21"/>
                <w:highlight w:val="none"/>
                <w:lang w:bidi="ar"/>
              </w:rPr>
              <w:t>安全生产考核合格证书（“建安</w:t>
            </w:r>
            <w:r>
              <w:rPr>
                <w:rFonts w:hint="eastAsia" w:ascii="宋体" w:hAnsi="宋体" w:eastAsia="宋体" w:cs="宋体"/>
                <w:color w:val="auto"/>
                <w:szCs w:val="21"/>
                <w:highlight w:val="none"/>
                <w:lang w:val="en-US" w:eastAsia="zh-CN" w:bidi="ar"/>
              </w:rPr>
              <w:t>B</w:t>
            </w:r>
            <w:r>
              <w:rPr>
                <w:rFonts w:hint="eastAsia" w:ascii="宋体" w:hAnsi="宋体" w:eastAsia="宋体" w:cs="宋体"/>
                <w:color w:val="auto"/>
                <w:szCs w:val="21"/>
                <w:highlight w:val="none"/>
                <w:lang w:bidi="ar"/>
              </w:rPr>
              <w:t>”类证）的，</w:t>
            </w:r>
            <w:r>
              <w:rPr>
                <w:rFonts w:hint="eastAsia" w:ascii="宋体" w:hAnsi="宋体" w:eastAsia="宋体" w:cs="宋体"/>
                <w:color w:val="auto"/>
                <w:szCs w:val="21"/>
                <w:highlight w:val="none"/>
                <w:lang w:val="en-US" w:eastAsia="zh-CN" w:bidi="ar"/>
              </w:rPr>
              <w:t>得1</w:t>
            </w:r>
            <w:r>
              <w:rPr>
                <w:rFonts w:hint="eastAsia" w:ascii="宋体" w:hAnsi="宋体" w:eastAsia="宋体" w:cs="宋体"/>
                <w:color w:val="auto"/>
                <w:szCs w:val="21"/>
                <w:highlight w:val="none"/>
                <w:lang w:bidi="ar"/>
              </w:rPr>
              <w:t>分。</w:t>
            </w:r>
          </w:p>
          <w:p w14:paraId="60A561D7">
            <w:pPr>
              <w:keepNext w:val="0"/>
              <w:keepLines w:val="0"/>
              <w:suppressLineNumbers w:val="0"/>
              <w:spacing w:before="0" w:beforeAutospacing="0" w:after="0" w:afterAutospacing="0" w:line="380" w:lineRule="exact"/>
              <w:ind w:left="0" w:right="0"/>
              <w:rPr>
                <w:rFonts w:hint="default" w:ascii="宋体" w:hAnsi="宋体" w:eastAsia="宋体" w:cs="宋体"/>
                <w:b/>
                <w:bCs/>
                <w:color w:val="auto"/>
                <w:szCs w:val="21"/>
                <w:highlight w:val="none"/>
                <w:lang w:val="en-US" w:eastAsia="zh-CN" w:bidi="ar"/>
              </w:rPr>
            </w:pPr>
            <w:r>
              <w:rPr>
                <w:rFonts w:hint="eastAsia" w:ascii="宋体" w:hAnsi="宋体" w:eastAsia="宋体" w:cs="宋体"/>
                <w:b/>
                <w:bCs/>
                <w:color w:val="auto"/>
                <w:szCs w:val="21"/>
                <w:highlight w:val="none"/>
                <w:lang w:val="en-US" w:eastAsia="zh-CN" w:bidi="ar"/>
              </w:rPr>
              <w:t>备注：以上人员须提供以下证明材料原件扫描件：①人员身份证；②注册建造师证书、安全生产考核合格证书（“建安B”类证）；③社会保障部门出具的开标当月在投标人单位缴纳社保的证明材料，或开标当月前一个月在投标人单位缴纳社保的证明材料及相关人员与投标人签订的劳动合同。</w:t>
            </w:r>
          </w:p>
          <w:p w14:paraId="4B9DE2A6">
            <w:pPr>
              <w:keepNext w:val="0"/>
              <w:keepLines w:val="0"/>
              <w:suppressLineNumbers w:val="0"/>
              <w:spacing w:before="0" w:beforeAutospacing="0" w:after="0" w:afterAutospacing="0" w:line="400" w:lineRule="exact"/>
              <w:ind w:left="0" w:right="0"/>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（2）本项目拟投入</w:t>
            </w:r>
            <w:r>
              <w:rPr>
                <w:rFonts w:hint="eastAsia" w:ascii="宋体" w:hAnsi="宋体" w:eastAsia="宋体" w:cs="宋体"/>
                <w:color w:val="auto"/>
                <w:szCs w:val="21"/>
                <w:highlight w:val="none"/>
                <w:lang w:val="en-US" w:eastAsia="zh-CN" w:bidi="ar"/>
              </w:rPr>
              <w:t>的项目管理人员（项目负责人除外）具有</w:t>
            </w:r>
            <w:r>
              <w:rPr>
                <w:rFonts w:hint="eastAsia" w:ascii="宋体" w:hAnsi="宋体" w:eastAsia="宋体" w:cs="宋体"/>
                <w:color w:val="auto"/>
                <w:szCs w:val="21"/>
                <w:highlight w:val="none"/>
                <w:lang w:bidi="ar"/>
              </w:rPr>
              <w:t>工程类中级或以上</w:t>
            </w:r>
            <w:r>
              <w:rPr>
                <w:rFonts w:hint="eastAsia" w:ascii="宋体" w:hAnsi="宋体" w:eastAsia="宋体" w:cs="宋体"/>
                <w:color w:val="auto"/>
                <w:szCs w:val="21"/>
                <w:highlight w:val="none"/>
                <w:lang w:val="en-US" w:eastAsia="zh-CN" w:bidi="ar"/>
              </w:rPr>
              <w:t>工程师</w:t>
            </w:r>
            <w:r>
              <w:rPr>
                <w:rFonts w:hint="eastAsia" w:ascii="宋体" w:hAnsi="宋体" w:eastAsia="宋体" w:cs="宋体"/>
                <w:color w:val="auto"/>
                <w:szCs w:val="21"/>
                <w:highlight w:val="none"/>
                <w:lang w:bidi="ar"/>
              </w:rPr>
              <w:t>职称证书的，每提供1人得</w:t>
            </w:r>
            <w:r>
              <w:rPr>
                <w:rFonts w:hint="eastAsia" w:ascii="宋体" w:hAnsi="宋体" w:eastAsia="宋体" w:cs="宋体"/>
                <w:color w:val="auto"/>
                <w:szCs w:val="21"/>
                <w:highlight w:val="none"/>
                <w:lang w:val="en-US" w:eastAsia="zh-CN" w:bidi="ar"/>
              </w:rPr>
              <w:t>1</w:t>
            </w:r>
            <w:r>
              <w:rPr>
                <w:rFonts w:hint="eastAsia" w:ascii="宋体" w:hAnsi="宋体" w:eastAsia="宋体" w:cs="宋体"/>
                <w:color w:val="auto"/>
                <w:szCs w:val="21"/>
                <w:highlight w:val="none"/>
                <w:lang w:bidi="ar"/>
              </w:rPr>
              <w:t>分</w:t>
            </w:r>
            <w:r>
              <w:rPr>
                <w:rFonts w:hint="eastAsia" w:ascii="宋体" w:hAnsi="宋体" w:eastAsia="宋体" w:cs="宋体"/>
                <w:color w:val="auto"/>
                <w:szCs w:val="21"/>
                <w:highlight w:val="none"/>
                <w:lang w:eastAsia="zh-CN" w:bidi="ar"/>
              </w:rPr>
              <w:t>，</w:t>
            </w:r>
            <w:r>
              <w:rPr>
                <w:rFonts w:hint="eastAsia" w:ascii="宋体" w:hAnsi="宋体" w:eastAsia="宋体" w:cs="宋体"/>
                <w:color w:val="auto"/>
                <w:szCs w:val="21"/>
                <w:highlight w:val="none"/>
                <w:lang w:val="en-US" w:eastAsia="zh-CN" w:bidi="ar"/>
              </w:rPr>
              <w:t>本子项最高得2分</w:t>
            </w:r>
            <w:r>
              <w:rPr>
                <w:rFonts w:hint="eastAsia" w:ascii="宋体" w:hAnsi="宋体" w:eastAsia="宋体" w:cs="宋体"/>
                <w:color w:val="auto"/>
                <w:szCs w:val="21"/>
                <w:highlight w:val="none"/>
                <w:lang w:bidi="ar"/>
              </w:rPr>
              <w:t>。</w:t>
            </w:r>
          </w:p>
          <w:p w14:paraId="2F5038B9">
            <w:pPr>
              <w:keepNext w:val="0"/>
              <w:keepLines w:val="0"/>
              <w:suppressLineNumbers w:val="0"/>
              <w:autoSpaceDE w:val="0"/>
              <w:autoSpaceDN w:val="0"/>
              <w:adjustRightInd w:val="0"/>
              <w:spacing w:before="0" w:beforeAutospacing="0" w:after="0" w:afterAutospacing="0" w:line="400" w:lineRule="exact"/>
              <w:ind w:left="0" w:right="0"/>
              <w:rPr>
                <w:rFonts w:hint="eastAsia" w:ascii="宋体" w:hAnsi="宋体" w:eastAsia="宋体" w:cs="宋体"/>
                <w:color w:val="auto"/>
                <w:szCs w:val="21"/>
                <w:highlight w:val="none"/>
                <w:lang w:eastAsia="zh-CN" w:bidi="ar"/>
              </w:rPr>
            </w:pPr>
            <w:r>
              <w:rPr>
                <w:rFonts w:hint="eastAsia" w:ascii="宋体" w:hAnsi="宋体" w:eastAsia="宋体" w:cs="宋体"/>
                <w:b/>
                <w:bCs/>
                <w:color w:val="auto"/>
                <w:szCs w:val="21"/>
                <w:highlight w:val="none"/>
                <w:lang w:val="en-US" w:eastAsia="zh-CN" w:bidi="ar"/>
              </w:rPr>
              <w:t>备注：以上人员须提供以下证明材料原件扫描件：①人员身份证；②职称证书；③社会保障部门出具的开标当月在投标人单位缴纳社保的证明材料，或开标当月前一个月在投标人单位缴纳社保的证明材料及相关人员与投标人签订的劳动合同。</w:t>
            </w:r>
          </w:p>
          <w:p w14:paraId="2C0FDCDD">
            <w:pPr>
              <w:keepNext w:val="0"/>
              <w:keepLines w:val="0"/>
              <w:suppressLineNumbers w:val="0"/>
              <w:autoSpaceDE w:val="0"/>
              <w:autoSpaceDN w:val="0"/>
              <w:adjustRightInd w:val="0"/>
              <w:spacing w:before="0" w:beforeAutospacing="0" w:after="0" w:afterAutospacing="0" w:line="400" w:lineRule="exact"/>
              <w:ind w:left="0" w:right="0"/>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eastAsia="zh-CN" w:bidi="ar"/>
              </w:rPr>
              <w:t>（</w:t>
            </w:r>
            <w:r>
              <w:rPr>
                <w:rFonts w:hint="eastAsia" w:ascii="宋体" w:hAnsi="宋体" w:eastAsia="宋体" w:cs="宋体"/>
                <w:color w:val="auto"/>
                <w:szCs w:val="21"/>
                <w:highlight w:val="none"/>
                <w:lang w:val="en-US" w:eastAsia="zh-CN" w:bidi="ar"/>
              </w:rPr>
              <w:t>3</w:t>
            </w:r>
            <w:r>
              <w:rPr>
                <w:rFonts w:hint="eastAsia" w:ascii="宋体" w:hAnsi="宋体" w:eastAsia="宋体" w:cs="宋体"/>
                <w:color w:val="auto"/>
                <w:szCs w:val="21"/>
                <w:highlight w:val="none"/>
                <w:lang w:eastAsia="zh-CN" w:bidi="ar"/>
              </w:rPr>
              <w:t>）</w:t>
            </w:r>
            <w:r>
              <w:rPr>
                <w:rFonts w:hint="eastAsia" w:ascii="宋体" w:hAnsi="宋体" w:eastAsia="宋体" w:cs="宋体"/>
                <w:color w:val="auto"/>
                <w:szCs w:val="21"/>
                <w:highlight w:val="none"/>
                <w:lang w:val="en-US" w:eastAsia="zh-CN" w:bidi="ar"/>
              </w:rPr>
              <w:t>在满足本项目用户需求所需的10名劳务工的基础上，每增加一名焊工或电工或工程机械操作员的，得1分，本子项最高得2分。</w:t>
            </w:r>
          </w:p>
          <w:p w14:paraId="70210FFB">
            <w:pPr>
              <w:keepNext w:val="0"/>
              <w:keepLines w:val="0"/>
              <w:suppressLineNumbers w:val="0"/>
              <w:autoSpaceDE w:val="0"/>
              <w:autoSpaceDN w:val="0"/>
              <w:adjustRightInd w:val="0"/>
              <w:spacing w:before="0" w:beforeAutospacing="0" w:after="0" w:afterAutospacing="0" w:line="400" w:lineRule="exact"/>
              <w:ind w:left="0" w:right="0"/>
              <w:rPr>
                <w:rFonts w:hint="eastAsia"/>
                <w:color w:val="auto"/>
                <w:highlight w:val="none"/>
              </w:rPr>
            </w:pPr>
            <w:r>
              <w:rPr>
                <w:rFonts w:hint="eastAsia" w:ascii="宋体" w:hAnsi="宋体" w:eastAsia="宋体" w:cs="宋体"/>
                <w:b/>
                <w:bCs/>
                <w:color w:val="auto"/>
                <w:szCs w:val="21"/>
                <w:highlight w:val="none"/>
                <w:lang w:bidi="ar"/>
              </w:rPr>
              <w:t>备注：以上人员须提供以下证明材料原件扫描件：①人员身份证；②住房和城乡建设部门或住房和城乡建设部门委托的考核机构颁发的建筑施工特种作业操作资格证</w:t>
            </w:r>
            <w:r>
              <w:rPr>
                <w:rFonts w:hint="eastAsia" w:ascii="宋体" w:hAnsi="宋体" w:eastAsia="宋体" w:cs="宋体"/>
                <w:b/>
                <w:bCs/>
                <w:color w:val="auto"/>
                <w:szCs w:val="21"/>
                <w:highlight w:val="none"/>
                <w:lang w:eastAsia="zh-CN" w:bidi="ar"/>
              </w:rPr>
              <w:t>（操作类别</w:t>
            </w:r>
            <w:r>
              <w:rPr>
                <w:rFonts w:hint="eastAsia" w:ascii="宋体" w:hAnsi="宋体" w:eastAsia="宋体" w:cs="宋体"/>
                <w:b/>
                <w:bCs/>
                <w:color w:val="auto"/>
                <w:szCs w:val="21"/>
                <w:highlight w:val="none"/>
                <w:lang w:val="en-US" w:eastAsia="zh-CN" w:bidi="ar"/>
              </w:rPr>
              <w:t>为</w:t>
            </w:r>
            <w:r>
              <w:rPr>
                <w:rFonts w:hint="eastAsia" w:ascii="宋体" w:hAnsi="宋体" w:eastAsia="宋体" w:cs="宋体"/>
                <w:b/>
                <w:bCs/>
                <w:color w:val="auto"/>
                <w:szCs w:val="21"/>
                <w:highlight w:val="none"/>
                <w:lang w:eastAsia="zh-CN" w:bidi="ar"/>
              </w:rPr>
              <w:t>建筑焊工</w:t>
            </w:r>
            <w:r>
              <w:rPr>
                <w:rFonts w:hint="eastAsia" w:ascii="宋体" w:hAnsi="宋体" w:eastAsia="宋体" w:cs="宋体"/>
                <w:b/>
                <w:bCs/>
                <w:color w:val="auto"/>
                <w:szCs w:val="21"/>
                <w:highlight w:val="none"/>
                <w:lang w:val="en-US" w:eastAsia="zh-CN" w:bidi="ar"/>
              </w:rPr>
              <w:t>或</w:t>
            </w:r>
            <w:r>
              <w:rPr>
                <w:rFonts w:hint="eastAsia" w:ascii="宋体" w:hAnsi="宋体" w:eastAsia="宋体" w:cs="宋体"/>
                <w:b/>
                <w:bCs/>
                <w:color w:val="auto"/>
                <w:szCs w:val="21"/>
                <w:highlight w:val="none"/>
                <w:lang w:val="en-US" w:eastAsia="zh-CN"/>
              </w:rPr>
              <w:t>建筑电工</w:t>
            </w:r>
            <w:r>
              <w:rPr>
                <w:rFonts w:hint="eastAsia" w:ascii="宋体" w:hAnsi="宋体" w:eastAsia="宋体" w:cs="宋体"/>
                <w:b/>
                <w:bCs/>
                <w:color w:val="auto"/>
                <w:szCs w:val="21"/>
                <w:highlight w:val="none"/>
                <w:lang w:eastAsia="zh-CN" w:bidi="ar"/>
              </w:rPr>
              <w:t>），</w:t>
            </w:r>
            <w:r>
              <w:rPr>
                <w:rFonts w:hint="eastAsia" w:ascii="宋体" w:hAnsi="宋体" w:eastAsia="宋体" w:cs="宋体"/>
                <w:b/>
                <w:bCs/>
                <w:color w:val="auto"/>
                <w:szCs w:val="21"/>
                <w:highlight w:val="none"/>
                <w:lang w:val="en-US" w:eastAsia="zh-CN" w:bidi="ar"/>
              </w:rPr>
              <w:t>或应急管理部门颁发的特种作业操作证（作业类别为焊接与热切割作业或电工作业），或挖掘机操作证；③上述劳务工与投标人签订的劳动合同。</w:t>
            </w:r>
          </w:p>
        </w:tc>
        <w:tc>
          <w:tcPr>
            <w:tcW w:w="437" w:type="pct"/>
            <w:tcBorders>
              <w:top w:val="single" w:color="auto" w:sz="4" w:space="0"/>
              <w:left w:val="single" w:color="auto" w:sz="4" w:space="0"/>
              <w:bottom w:val="single" w:color="auto" w:sz="4" w:space="0"/>
              <w:right w:val="single" w:color="auto" w:sz="4" w:space="0"/>
            </w:tcBorders>
            <w:vAlign w:val="center"/>
          </w:tcPr>
          <w:p w14:paraId="6BFAD0C8">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分</w:t>
            </w:r>
          </w:p>
        </w:tc>
      </w:tr>
      <w:tr w14:paraId="6FE8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3" w:type="pct"/>
            <w:tcBorders>
              <w:top w:val="single" w:color="auto" w:sz="4" w:space="0"/>
              <w:left w:val="single" w:color="auto" w:sz="4" w:space="0"/>
              <w:bottom w:val="single" w:color="auto" w:sz="4" w:space="0"/>
              <w:right w:val="single" w:color="auto" w:sz="4" w:space="0"/>
            </w:tcBorders>
            <w:vAlign w:val="center"/>
          </w:tcPr>
          <w:p w14:paraId="70B22C69">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546" w:type="pct"/>
            <w:tcBorders>
              <w:top w:val="single" w:color="auto" w:sz="4" w:space="0"/>
              <w:left w:val="single" w:color="auto" w:sz="4" w:space="0"/>
              <w:bottom w:val="single" w:color="auto" w:sz="4" w:space="0"/>
              <w:right w:val="single" w:color="auto" w:sz="4" w:space="0"/>
            </w:tcBorders>
            <w:vAlign w:val="center"/>
          </w:tcPr>
          <w:p w14:paraId="55EB2EDB">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default" w:ascii="宋体" w:hAnsi="宋体" w:eastAsia="宋体" w:cs="宋体"/>
                <w:color w:val="auto"/>
                <w:kern w:val="0"/>
                <w:szCs w:val="21"/>
                <w:highlight w:val="none"/>
              </w:rPr>
              <w:t>供水抢修专项方案</w:t>
            </w:r>
          </w:p>
        </w:tc>
        <w:tc>
          <w:tcPr>
            <w:tcW w:w="3692" w:type="pct"/>
            <w:tcBorders>
              <w:top w:val="single" w:color="auto" w:sz="4" w:space="0"/>
              <w:left w:val="single" w:color="auto" w:sz="4" w:space="0"/>
              <w:bottom w:val="single" w:color="auto" w:sz="4" w:space="0"/>
              <w:right w:val="single" w:color="auto" w:sz="4" w:space="0"/>
            </w:tcBorders>
            <w:vAlign w:val="center"/>
          </w:tcPr>
          <w:p w14:paraId="4801D69E">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根据各投标人的编制的供水抢修专项方案，</w:t>
            </w:r>
            <w:r>
              <w:rPr>
                <w:rFonts w:hint="eastAsia" w:ascii="宋体" w:hAnsi="宋体" w:eastAsia="宋体" w:cs="宋体"/>
                <w:color w:val="auto"/>
                <w:kern w:val="0"/>
                <w:szCs w:val="21"/>
                <w:highlight w:val="none"/>
                <w:lang w:val="en-US" w:eastAsia="zh-CN"/>
              </w:rPr>
              <w:t>包括但不限于供水管道维修方法，响应及维修、供水复通、交通恢复时效性，人材机配置情况等进行评审：</w:t>
            </w:r>
          </w:p>
          <w:p w14:paraId="6D0F51FE">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优：</w:t>
            </w:r>
            <w:r>
              <w:rPr>
                <w:rFonts w:hint="eastAsia" w:ascii="宋体" w:hAnsi="宋体" w:eastAsia="宋体" w:cs="宋体"/>
                <w:b w:val="0"/>
                <w:bCs w:val="0"/>
                <w:color w:val="auto"/>
                <w:kern w:val="0"/>
                <w:szCs w:val="21"/>
                <w:highlight w:val="none"/>
                <w:lang w:val="en-US" w:eastAsia="zh-CN"/>
              </w:rPr>
              <w:t>可针对不同供水管道损坏类型提出各种行之有效的维修方法，可快速响应维修需求且维修、</w:t>
            </w:r>
            <w:r>
              <w:rPr>
                <w:rFonts w:hint="eastAsia" w:ascii="宋体" w:hAnsi="宋体" w:eastAsia="宋体" w:cs="宋体"/>
                <w:color w:val="auto"/>
                <w:kern w:val="0"/>
                <w:szCs w:val="21"/>
                <w:highlight w:val="none"/>
                <w:lang w:val="en-US" w:eastAsia="zh-CN"/>
              </w:rPr>
              <w:t>供水复通、</w:t>
            </w:r>
            <w:r>
              <w:rPr>
                <w:rFonts w:hint="eastAsia" w:ascii="宋体" w:hAnsi="宋体" w:eastAsia="宋体" w:cs="宋体"/>
                <w:b w:val="0"/>
                <w:bCs w:val="0"/>
                <w:color w:val="auto"/>
                <w:kern w:val="0"/>
                <w:szCs w:val="21"/>
                <w:highlight w:val="none"/>
                <w:lang w:val="en-US" w:eastAsia="zh-CN"/>
              </w:rPr>
              <w:t>交通恢复时效性高，人材机配置齐全的</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得10分</w:t>
            </w:r>
            <w:r>
              <w:rPr>
                <w:rFonts w:hint="eastAsia" w:ascii="宋体" w:hAnsi="宋体" w:eastAsia="宋体" w:cs="宋体"/>
                <w:color w:val="auto"/>
                <w:kern w:val="0"/>
                <w:szCs w:val="21"/>
                <w:highlight w:val="none"/>
              </w:rPr>
              <w:t>；</w:t>
            </w:r>
          </w:p>
          <w:p w14:paraId="0829093B">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良：</w:t>
            </w:r>
            <w:r>
              <w:rPr>
                <w:rFonts w:hint="eastAsia" w:ascii="宋体" w:hAnsi="宋体" w:eastAsia="宋体" w:cs="宋体"/>
                <w:b w:val="0"/>
                <w:bCs w:val="0"/>
                <w:color w:val="auto"/>
                <w:kern w:val="0"/>
                <w:szCs w:val="21"/>
                <w:highlight w:val="none"/>
                <w:lang w:val="en-US" w:eastAsia="zh-CN"/>
              </w:rPr>
              <w:t>可针对不同供水管道损坏类型提出相应的维修方法，能较快响应维修需求，维修、</w:t>
            </w:r>
            <w:r>
              <w:rPr>
                <w:rFonts w:hint="eastAsia" w:ascii="宋体" w:hAnsi="宋体" w:eastAsia="宋体" w:cs="宋体"/>
                <w:color w:val="auto"/>
                <w:kern w:val="0"/>
                <w:szCs w:val="21"/>
                <w:highlight w:val="none"/>
                <w:lang w:val="en-US" w:eastAsia="zh-CN"/>
              </w:rPr>
              <w:t>供水复通、</w:t>
            </w:r>
            <w:r>
              <w:rPr>
                <w:rFonts w:hint="eastAsia" w:ascii="宋体" w:hAnsi="宋体" w:eastAsia="宋体" w:cs="宋体"/>
                <w:b w:val="0"/>
                <w:bCs w:val="0"/>
                <w:color w:val="auto"/>
                <w:kern w:val="0"/>
                <w:szCs w:val="21"/>
                <w:highlight w:val="none"/>
                <w:lang w:val="en-US" w:eastAsia="zh-CN"/>
              </w:rPr>
              <w:t>交通恢复时效性较高，人材机配置较齐全，</w:t>
            </w:r>
            <w:r>
              <w:rPr>
                <w:rFonts w:hint="eastAsia" w:ascii="宋体" w:hAnsi="宋体" w:eastAsia="宋体" w:cs="宋体"/>
                <w:color w:val="auto"/>
                <w:kern w:val="0"/>
                <w:szCs w:val="21"/>
                <w:highlight w:val="none"/>
                <w:lang w:val="en-US" w:eastAsia="zh-CN"/>
              </w:rPr>
              <w:t>得8分</w:t>
            </w:r>
            <w:r>
              <w:rPr>
                <w:rFonts w:hint="eastAsia" w:ascii="宋体" w:hAnsi="宋体" w:eastAsia="宋体" w:cs="宋体"/>
                <w:color w:val="auto"/>
                <w:kern w:val="0"/>
                <w:szCs w:val="21"/>
                <w:highlight w:val="none"/>
              </w:rPr>
              <w:t>；</w:t>
            </w:r>
          </w:p>
          <w:p w14:paraId="0E3341BC">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中：</w:t>
            </w:r>
            <w:r>
              <w:rPr>
                <w:rFonts w:hint="eastAsia" w:ascii="宋体" w:hAnsi="宋体" w:eastAsia="宋体" w:cs="宋体"/>
                <w:b w:val="0"/>
                <w:bCs w:val="0"/>
                <w:color w:val="auto"/>
                <w:kern w:val="0"/>
                <w:szCs w:val="21"/>
                <w:highlight w:val="none"/>
                <w:lang w:val="en-US" w:eastAsia="zh-CN"/>
              </w:rPr>
              <w:t>维修方法基本可行，</w:t>
            </w:r>
            <w:r>
              <w:rPr>
                <w:rFonts w:hint="eastAsia" w:ascii="宋体" w:hAnsi="宋体" w:eastAsia="宋体" w:cs="宋体"/>
                <w:color w:val="auto"/>
                <w:kern w:val="0"/>
                <w:szCs w:val="21"/>
                <w:highlight w:val="none"/>
                <w:lang w:val="en-US" w:eastAsia="zh-CN"/>
              </w:rPr>
              <w:t>响应及维修、供水复通、交通恢复时效性一般</w:t>
            </w:r>
            <w:r>
              <w:rPr>
                <w:rFonts w:hint="eastAsia" w:ascii="宋体" w:hAnsi="宋体" w:eastAsia="宋体" w:cs="宋体"/>
                <w:b w:val="0"/>
                <w:bCs w:val="0"/>
                <w:color w:val="auto"/>
                <w:kern w:val="0"/>
                <w:szCs w:val="21"/>
                <w:highlight w:val="none"/>
                <w:lang w:val="en-US" w:eastAsia="zh-CN"/>
              </w:rPr>
              <w:t>，人材机配置简单</w:t>
            </w:r>
            <w:r>
              <w:rPr>
                <w:rFonts w:hint="eastAsia" w:ascii="宋体" w:hAnsi="宋体" w:eastAsia="宋体" w:cs="宋体"/>
                <w:color w:val="auto"/>
                <w:kern w:val="0"/>
                <w:szCs w:val="21"/>
                <w:highlight w:val="none"/>
                <w:lang w:val="en-US" w:eastAsia="zh-CN"/>
              </w:rPr>
              <w:t>的，得6分</w:t>
            </w:r>
            <w:r>
              <w:rPr>
                <w:rFonts w:hint="eastAsia" w:ascii="宋体" w:hAnsi="宋体" w:eastAsia="宋体" w:cs="宋体"/>
                <w:color w:val="auto"/>
                <w:kern w:val="0"/>
                <w:szCs w:val="21"/>
                <w:highlight w:val="none"/>
              </w:rPr>
              <w:t>；</w:t>
            </w:r>
          </w:p>
          <w:p w14:paraId="5522763E">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差：</w:t>
            </w:r>
            <w:r>
              <w:rPr>
                <w:rFonts w:hint="eastAsia" w:ascii="宋体" w:hAnsi="宋体" w:eastAsia="宋体" w:cs="宋体"/>
                <w:b w:val="0"/>
                <w:bCs w:val="0"/>
                <w:color w:val="auto"/>
                <w:kern w:val="0"/>
                <w:szCs w:val="21"/>
                <w:highlight w:val="none"/>
                <w:lang w:val="en-US" w:eastAsia="zh-CN"/>
              </w:rPr>
              <w:t>维修方法单一且可行性低，</w:t>
            </w:r>
            <w:r>
              <w:rPr>
                <w:rFonts w:hint="eastAsia" w:ascii="宋体" w:hAnsi="宋体" w:eastAsia="宋体" w:cs="宋体"/>
                <w:color w:val="auto"/>
                <w:kern w:val="0"/>
                <w:szCs w:val="21"/>
                <w:highlight w:val="none"/>
                <w:lang w:val="en-US" w:eastAsia="zh-CN"/>
              </w:rPr>
              <w:t>响应及维修、供水复通、交通恢复时效性低</w:t>
            </w:r>
            <w:r>
              <w:rPr>
                <w:rFonts w:hint="eastAsia" w:ascii="宋体" w:hAnsi="宋体" w:eastAsia="宋体" w:cs="宋体"/>
                <w:b w:val="0"/>
                <w:bCs w:val="0"/>
                <w:color w:val="auto"/>
                <w:kern w:val="0"/>
                <w:szCs w:val="21"/>
                <w:highlight w:val="none"/>
                <w:lang w:val="en-US" w:eastAsia="zh-CN"/>
              </w:rPr>
              <w:t>，人材机配置缺漏</w:t>
            </w:r>
            <w:r>
              <w:rPr>
                <w:rFonts w:hint="eastAsia" w:ascii="宋体" w:hAnsi="宋体" w:eastAsia="宋体" w:cs="宋体"/>
                <w:color w:val="auto"/>
                <w:kern w:val="0"/>
                <w:szCs w:val="21"/>
                <w:highlight w:val="none"/>
                <w:lang w:val="en-US" w:eastAsia="zh-CN"/>
              </w:rPr>
              <w:t>的，得4分</w:t>
            </w:r>
            <w:r>
              <w:rPr>
                <w:rFonts w:hint="eastAsia" w:ascii="宋体" w:hAnsi="宋体" w:eastAsia="宋体" w:cs="宋体"/>
                <w:color w:val="auto"/>
                <w:kern w:val="0"/>
                <w:szCs w:val="21"/>
                <w:highlight w:val="none"/>
              </w:rPr>
              <w:t>。</w:t>
            </w:r>
          </w:p>
          <w:p w14:paraId="7DB51029">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未提供供水抢修专项方案的不得分。</w:t>
            </w:r>
          </w:p>
        </w:tc>
        <w:tc>
          <w:tcPr>
            <w:tcW w:w="437" w:type="pct"/>
            <w:tcBorders>
              <w:top w:val="single" w:color="auto" w:sz="4" w:space="0"/>
              <w:left w:val="single" w:color="auto" w:sz="4" w:space="0"/>
              <w:bottom w:val="single" w:color="auto" w:sz="4" w:space="0"/>
              <w:right w:val="single" w:color="auto" w:sz="4" w:space="0"/>
            </w:tcBorders>
            <w:vAlign w:val="center"/>
          </w:tcPr>
          <w:p w14:paraId="3369D04F">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eastAsia" w:ascii="宋体" w:hAnsi="宋体" w:eastAsia="宋体" w:cs="宋体"/>
                <w:color w:val="auto"/>
                <w:kern w:val="0"/>
                <w:szCs w:val="21"/>
                <w:highlight w:val="none"/>
                <w:lang w:val="en-US" w:eastAsia="zh-CN"/>
              </w:rPr>
              <w:t>0</w:t>
            </w:r>
            <w:r>
              <w:rPr>
                <w:rFonts w:hint="eastAsia" w:ascii="宋体" w:hAnsi="宋体" w:eastAsia="宋体" w:cs="宋体"/>
                <w:color w:val="auto"/>
                <w:kern w:val="0"/>
                <w:szCs w:val="21"/>
                <w:highlight w:val="none"/>
              </w:rPr>
              <w:t>分</w:t>
            </w:r>
          </w:p>
        </w:tc>
      </w:tr>
      <w:tr w14:paraId="4B16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3" w:type="pct"/>
            <w:tcBorders>
              <w:top w:val="single" w:color="auto" w:sz="4" w:space="0"/>
              <w:left w:val="single" w:color="auto" w:sz="4" w:space="0"/>
              <w:bottom w:val="single" w:color="auto" w:sz="4" w:space="0"/>
              <w:right w:val="single" w:color="auto" w:sz="4" w:space="0"/>
            </w:tcBorders>
            <w:vAlign w:val="center"/>
          </w:tcPr>
          <w:p w14:paraId="1EB56E9A">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546" w:type="pct"/>
            <w:tcBorders>
              <w:top w:val="single" w:color="auto" w:sz="4" w:space="0"/>
              <w:left w:val="single" w:color="auto" w:sz="4" w:space="0"/>
              <w:bottom w:val="single" w:color="auto" w:sz="4" w:space="0"/>
              <w:right w:val="single" w:color="auto" w:sz="4" w:space="0"/>
            </w:tcBorders>
            <w:vAlign w:val="center"/>
          </w:tcPr>
          <w:p w14:paraId="4BAA1772">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服务便利性方案</w:t>
            </w:r>
          </w:p>
        </w:tc>
        <w:tc>
          <w:tcPr>
            <w:tcW w:w="3692" w:type="pct"/>
            <w:tcBorders>
              <w:top w:val="single" w:color="auto" w:sz="4" w:space="0"/>
              <w:left w:val="single" w:color="auto" w:sz="4" w:space="0"/>
              <w:bottom w:val="single" w:color="auto" w:sz="4" w:space="0"/>
              <w:right w:val="single" w:color="auto" w:sz="4" w:space="0"/>
            </w:tcBorders>
            <w:vAlign w:val="center"/>
          </w:tcPr>
          <w:p w14:paraId="2C219398">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根据各投标人的编制的服务便利性方案，</w:t>
            </w:r>
            <w:r>
              <w:rPr>
                <w:rFonts w:hint="eastAsia" w:ascii="宋体" w:hAnsi="宋体" w:eastAsia="宋体" w:cs="宋体"/>
                <w:color w:val="auto"/>
                <w:kern w:val="0"/>
                <w:szCs w:val="21"/>
                <w:highlight w:val="none"/>
                <w:lang w:val="en-US" w:eastAsia="zh-CN"/>
              </w:rPr>
              <w:t>包括但不限于现场应急处理措施，特殊天气、节假日的抢修预案等进行评审：</w:t>
            </w:r>
          </w:p>
          <w:p w14:paraId="1F1D0BF2">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优：</w:t>
            </w:r>
            <w:r>
              <w:rPr>
                <w:rFonts w:hint="eastAsia" w:ascii="宋体" w:hAnsi="宋体" w:eastAsia="宋体" w:cs="宋体"/>
                <w:b w:val="0"/>
                <w:bCs w:val="0"/>
                <w:color w:val="auto"/>
                <w:kern w:val="0"/>
                <w:szCs w:val="21"/>
                <w:highlight w:val="none"/>
                <w:lang w:val="en-US" w:eastAsia="zh-CN"/>
              </w:rPr>
              <w:t>制定的方案详细，工作内容切实可行，逻辑严谨，</w:t>
            </w:r>
            <w:r>
              <w:rPr>
                <w:rFonts w:hint="eastAsia" w:ascii="宋体" w:hAnsi="宋体" w:eastAsia="宋体" w:cs="宋体"/>
                <w:color w:val="auto"/>
                <w:kern w:val="0"/>
                <w:szCs w:val="21"/>
                <w:highlight w:val="none"/>
                <w:lang w:val="en-US" w:eastAsia="zh-CN"/>
              </w:rPr>
              <w:t>能预料抢修现场可能出现的各种特殊情况并有对应的解决措施且措施得当的，特殊天气、节假日的抢修预案完善、人材机的指挥调度高效的，得10分</w:t>
            </w:r>
            <w:r>
              <w:rPr>
                <w:rFonts w:hint="eastAsia" w:ascii="宋体" w:hAnsi="宋体" w:eastAsia="宋体" w:cs="宋体"/>
                <w:color w:val="auto"/>
                <w:kern w:val="0"/>
                <w:szCs w:val="21"/>
                <w:highlight w:val="none"/>
              </w:rPr>
              <w:t>；</w:t>
            </w:r>
          </w:p>
          <w:p w14:paraId="01827EC8">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良：</w:t>
            </w:r>
            <w:r>
              <w:rPr>
                <w:rFonts w:hint="eastAsia" w:ascii="宋体" w:hAnsi="宋体" w:eastAsia="宋体" w:cs="宋体"/>
                <w:color w:val="auto"/>
                <w:kern w:val="2"/>
                <w:sz w:val="21"/>
                <w:szCs w:val="21"/>
                <w:highlight w:val="none"/>
                <w:lang w:val="en-US" w:eastAsia="zh-CN"/>
              </w:rPr>
              <w:t>制定的方案较详细，工作内容基本可行，逻辑较严谨</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能预料抢修现场可能出现的各种特殊情况并有对应的解决措施且措施较为得当的，特殊天气、节假日的抢修预案基本可行、有一定的人材机协调能力的，得8分</w:t>
            </w:r>
            <w:r>
              <w:rPr>
                <w:rFonts w:hint="eastAsia" w:ascii="宋体" w:hAnsi="宋体" w:eastAsia="宋体" w:cs="宋体"/>
                <w:color w:val="auto"/>
                <w:kern w:val="0"/>
                <w:szCs w:val="21"/>
                <w:highlight w:val="none"/>
              </w:rPr>
              <w:t>；</w:t>
            </w:r>
          </w:p>
          <w:p w14:paraId="5529773D">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中：</w:t>
            </w:r>
            <w:r>
              <w:rPr>
                <w:rFonts w:hint="eastAsia" w:ascii="宋体" w:hAnsi="宋体" w:eastAsia="宋体" w:cs="宋体"/>
                <w:color w:val="auto"/>
                <w:kern w:val="2"/>
                <w:sz w:val="21"/>
                <w:szCs w:val="21"/>
                <w:highlight w:val="none"/>
                <w:lang w:val="en-US" w:eastAsia="zh-CN"/>
              </w:rPr>
              <w:t>制定的方案一般，工作内容阐述不清，逻辑混乱</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能预料抢修现场可能出现的某些特殊情况并有对应的解决措施的</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特殊天气、节假日的抢修预案可操作性低、人材机协调协作效率一般的，得6分</w:t>
            </w:r>
            <w:r>
              <w:rPr>
                <w:rFonts w:hint="eastAsia" w:ascii="宋体" w:hAnsi="宋体" w:eastAsia="宋体" w:cs="宋体"/>
                <w:color w:val="auto"/>
                <w:kern w:val="0"/>
                <w:szCs w:val="21"/>
                <w:highlight w:val="none"/>
              </w:rPr>
              <w:t>；</w:t>
            </w:r>
          </w:p>
          <w:p w14:paraId="30191D1E">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差：</w:t>
            </w:r>
            <w:r>
              <w:rPr>
                <w:rFonts w:hint="eastAsia" w:ascii="宋体" w:hAnsi="宋体" w:eastAsia="宋体" w:cs="宋体"/>
                <w:color w:val="auto"/>
                <w:kern w:val="2"/>
                <w:sz w:val="21"/>
                <w:szCs w:val="21"/>
                <w:highlight w:val="none"/>
                <w:lang w:val="en-US" w:eastAsia="zh-CN"/>
              </w:rPr>
              <w:t>制定的方案差，工作内容阐述缺项，缺乏逻辑</w:t>
            </w:r>
            <w:r>
              <w:rPr>
                <w:rFonts w:hint="eastAsia" w:ascii="宋体" w:hAnsi="宋体" w:eastAsia="宋体" w:cs="宋体"/>
                <w:color w:val="auto"/>
                <w:kern w:val="0"/>
                <w:szCs w:val="21"/>
                <w:highlight w:val="none"/>
                <w:lang w:eastAsia="zh-CN"/>
              </w:rPr>
              <w:t>，</w:t>
            </w:r>
            <w:r>
              <w:rPr>
                <w:rFonts w:hint="eastAsia" w:ascii="宋体" w:hAnsi="宋体" w:eastAsia="宋体" w:cs="宋体"/>
                <w:b w:val="0"/>
                <w:bCs w:val="0"/>
                <w:color w:val="auto"/>
                <w:kern w:val="0"/>
                <w:szCs w:val="21"/>
                <w:highlight w:val="none"/>
                <w:lang w:val="en-US" w:eastAsia="zh-CN"/>
              </w:rPr>
              <w:t>不</w:t>
            </w:r>
            <w:r>
              <w:rPr>
                <w:rFonts w:hint="eastAsia" w:ascii="宋体" w:hAnsi="宋体" w:eastAsia="宋体" w:cs="宋体"/>
                <w:color w:val="auto"/>
                <w:kern w:val="0"/>
                <w:szCs w:val="21"/>
                <w:highlight w:val="none"/>
                <w:lang w:val="en-US" w:eastAsia="zh-CN"/>
              </w:rPr>
              <w:t>能预料抢修现场可能出现的特殊情况的</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特殊天气、节假日的抢修预案粗略、人材机协调能力差的，得4分</w:t>
            </w:r>
            <w:r>
              <w:rPr>
                <w:rFonts w:hint="eastAsia" w:ascii="宋体" w:hAnsi="宋体" w:eastAsia="宋体" w:cs="宋体"/>
                <w:color w:val="auto"/>
                <w:kern w:val="0"/>
                <w:szCs w:val="21"/>
                <w:highlight w:val="none"/>
              </w:rPr>
              <w:t>。</w:t>
            </w:r>
          </w:p>
          <w:p w14:paraId="4FF6A6A1">
            <w:pPr>
              <w:keepNext w:val="0"/>
              <w:keepLines w:val="0"/>
              <w:suppressLineNumbers w:val="0"/>
              <w:autoSpaceDE w:val="0"/>
              <w:autoSpaceDN w:val="0"/>
              <w:spacing w:before="0" w:beforeAutospacing="0" w:after="0" w:afterAutospacing="0" w:line="400" w:lineRule="exact"/>
              <w:ind w:left="0" w:right="0"/>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未提供服务便利性方案的不得分。</w:t>
            </w:r>
          </w:p>
        </w:tc>
        <w:tc>
          <w:tcPr>
            <w:tcW w:w="437" w:type="pct"/>
            <w:tcBorders>
              <w:top w:val="single" w:color="auto" w:sz="4" w:space="0"/>
              <w:left w:val="single" w:color="auto" w:sz="4" w:space="0"/>
              <w:bottom w:val="single" w:color="auto" w:sz="4" w:space="0"/>
              <w:right w:val="single" w:color="auto" w:sz="4" w:space="0"/>
            </w:tcBorders>
            <w:vAlign w:val="center"/>
          </w:tcPr>
          <w:p w14:paraId="017B3C81">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10</w:t>
            </w:r>
            <w:r>
              <w:rPr>
                <w:rFonts w:hint="eastAsia" w:ascii="宋体" w:hAnsi="宋体" w:eastAsia="宋体" w:cs="宋体"/>
                <w:color w:val="auto"/>
                <w:kern w:val="0"/>
                <w:szCs w:val="21"/>
                <w:highlight w:val="none"/>
              </w:rPr>
              <w:t>分</w:t>
            </w:r>
          </w:p>
        </w:tc>
      </w:tr>
      <w:tr w14:paraId="3157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3" w:type="pct"/>
            <w:tcBorders>
              <w:top w:val="single" w:color="auto" w:sz="4" w:space="0"/>
              <w:left w:val="single" w:color="auto" w:sz="4" w:space="0"/>
              <w:bottom w:val="single" w:color="auto" w:sz="4" w:space="0"/>
              <w:right w:val="single" w:color="auto" w:sz="4" w:space="0"/>
            </w:tcBorders>
            <w:vAlign w:val="center"/>
          </w:tcPr>
          <w:p w14:paraId="33262411">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546" w:type="pct"/>
            <w:tcBorders>
              <w:top w:val="single" w:color="auto" w:sz="4" w:space="0"/>
              <w:left w:val="single" w:color="auto" w:sz="4" w:space="0"/>
              <w:bottom w:val="single" w:color="auto" w:sz="4" w:space="0"/>
              <w:right w:val="single" w:color="auto" w:sz="4" w:space="0"/>
            </w:tcBorders>
            <w:vAlign w:val="center"/>
          </w:tcPr>
          <w:p w14:paraId="3DA9FF6F">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有限空间作业实施方案</w:t>
            </w:r>
          </w:p>
        </w:tc>
        <w:tc>
          <w:tcPr>
            <w:tcW w:w="3692" w:type="pct"/>
            <w:tcBorders>
              <w:top w:val="single" w:color="auto" w:sz="4" w:space="0"/>
              <w:left w:val="single" w:color="auto" w:sz="4" w:space="0"/>
              <w:bottom w:val="single" w:color="auto" w:sz="4" w:space="0"/>
              <w:right w:val="single" w:color="auto" w:sz="4" w:space="0"/>
            </w:tcBorders>
            <w:vAlign w:val="center"/>
          </w:tcPr>
          <w:p w14:paraId="4EAD260D">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bookmarkStart w:id="822" w:name="OLE_LINK1"/>
            <w:r>
              <w:rPr>
                <w:rFonts w:hint="eastAsia" w:ascii="宋体" w:hAnsi="宋体" w:eastAsia="宋体" w:cs="宋体"/>
                <w:color w:val="auto"/>
                <w:kern w:val="0"/>
                <w:szCs w:val="21"/>
                <w:highlight w:val="none"/>
              </w:rPr>
              <w:t>根据各投标人有限空间作业实施方案（包</w:t>
            </w:r>
            <w:r>
              <w:rPr>
                <w:rFonts w:hint="eastAsia" w:ascii="宋体" w:hAnsi="宋体" w:eastAsia="宋体" w:cs="宋体"/>
                <w:color w:val="auto"/>
                <w:kern w:val="0"/>
                <w:szCs w:val="21"/>
                <w:highlight w:val="none"/>
                <w:lang w:val="en-US" w:eastAsia="zh-CN"/>
              </w:rPr>
              <w:t>括</w:t>
            </w:r>
            <w:r>
              <w:rPr>
                <w:rFonts w:hint="eastAsia" w:ascii="宋体" w:hAnsi="宋体" w:eastAsia="宋体" w:cs="宋体"/>
                <w:color w:val="auto"/>
                <w:kern w:val="0"/>
                <w:szCs w:val="21"/>
                <w:highlight w:val="none"/>
              </w:rPr>
              <w:t>但不限于</w:t>
            </w:r>
            <w:r>
              <w:rPr>
                <w:rFonts w:hint="eastAsia" w:ascii="宋体" w:hAnsi="宋体" w:eastAsia="宋体" w:cs="宋体"/>
                <w:color w:val="auto"/>
                <w:kern w:val="0"/>
                <w:szCs w:val="21"/>
                <w:highlight w:val="none"/>
                <w:lang w:val="en-US" w:eastAsia="zh-CN"/>
              </w:rPr>
              <w:t>有限空间作业操作证的</w:t>
            </w:r>
            <w:r>
              <w:rPr>
                <w:rFonts w:hint="eastAsia" w:ascii="宋体" w:hAnsi="宋体" w:eastAsia="宋体" w:cs="宋体"/>
                <w:color w:val="auto"/>
                <w:kern w:val="0"/>
                <w:szCs w:val="21"/>
                <w:highlight w:val="none"/>
              </w:rPr>
              <w:t>持证上岗人员数量</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有限空间作业装备数量</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作业流程</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现场安全风险点识别及处理方式进行</w:t>
            </w:r>
            <w:r>
              <w:rPr>
                <w:rFonts w:hint="eastAsia" w:ascii="宋体" w:hAnsi="宋体" w:eastAsia="宋体" w:cs="宋体"/>
                <w:color w:val="auto"/>
                <w:kern w:val="0"/>
                <w:szCs w:val="21"/>
                <w:highlight w:val="none"/>
                <w:lang w:val="en-US" w:eastAsia="zh-CN"/>
              </w:rPr>
              <w:t>评审</w:t>
            </w:r>
            <w:r>
              <w:rPr>
                <w:rFonts w:hint="eastAsia" w:ascii="宋体" w:hAnsi="宋体" w:eastAsia="宋体" w:cs="宋体"/>
                <w:color w:val="auto"/>
                <w:kern w:val="0"/>
                <w:szCs w:val="21"/>
                <w:highlight w:val="none"/>
              </w:rPr>
              <w:t>：</w:t>
            </w:r>
          </w:p>
          <w:p w14:paraId="306C8E83">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优：</w:t>
            </w:r>
            <w:r>
              <w:rPr>
                <w:rFonts w:hint="eastAsia" w:ascii="宋体" w:hAnsi="宋体" w:eastAsia="宋体" w:cs="宋体"/>
                <w:color w:val="auto"/>
                <w:kern w:val="0"/>
                <w:szCs w:val="21"/>
                <w:highlight w:val="none"/>
              </w:rPr>
              <w:t>持证上岗人员及作业装备数量充足，作业流程</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步骤切合实际，</w:t>
            </w:r>
            <w:r>
              <w:rPr>
                <w:rFonts w:hint="eastAsia" w:ascii="宋体" w:hAnsi="宋体" w:eastAsia="宋体" w:cs="宋体"/>
                <w:color w:val="auto"/>
                <w:kern w:val="0"/>
                <w:szCs w:val="21"/>
                <w:highlight w:val="none"/>
              </w:rPr>
              <w:t>现场安全风险点识别及处理方式科学合理</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得8分</w:t>
            </w:r>
            <w:r>
              <w:rPr>
                <w:rFonts w:hint="eastAsia" w:ascii="宋体" w:hAnsi="宋体" w:eastAsia="宋体" w:cs="宋体"/>
                <w:color w:val="auto"/>
                <w:kern w:val="0"/>
                <w:szCs w:val="21"/>
                <w:highlight w:val="none"/>
              </w:rPr>
              <w:t>；</w:t>
            </w:r>
          </w:p>
          <w:p w14:paraId="69DEEF84">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良：</w:t>
            </w:r>
            <w:r>
              <w:rPr>
                <w:rFonts w:hint="eastAsia" w:ascii="宋体" w:hAnsi="宋体" w:eastAsia="宋体" w:cs="宋体"/>
                <w:color w:val="auto"/>
                <w:kern w:val="0"/>
                <w:szCs w:val="21"/>
                <w:highlight w:val="none"/>
              </w:rPr>
              <w:t>持证上岗人员及作业装备数量比较充足，作业流程</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步骤合规</w:t>
            </w:r>
            <w:r>
              <w:rPr>
                <w:rFonts w:hint="eastAsia" w:ascii="宋体" w:hAnsi="宋体" w:eastAsia="宋体" w:cs="宋体"/>
                <w:color w:val="auto"/>
                <w:kern w:val="0"/>
                <w:szCs w:val="21"/>
                <w:highlight w:val="none"/>
              </w:rPr>
              <w:t>，现场安全风险点识别及处理方式比较合理</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得6.4分</w:t>
            </w:r>
            <w:r>
              <w:rPr>
                <w:rFonts w:hint="eastAsia" w:ascii="宋体" w:hAnsi="宋体" w:eastAsia="宋体" w:cs="宋体"/>
                <w:color w:val="auto"/>
                <w:kern w:val="0"/>
                <w:szCs w:val="21"/>
                <w:highlight w:val="none"/>
              </w:rPr>
              <w:t>；</w:t>
            </w:r>
          </w:p>
          <w:p w14:paraId="619A88CC">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中：</w:t>
            </w:r>
            <w:r>
              <w:rPr>
                <w:rFonts w:hint="eastAsia" w:ascii="宋体" w:hAnsi="宋体" w:eastAsia="宋体" w:cs="宋体"/>
                <w:color w:val="auto"/>
                <w:kern w:val="0"/>
                <w:szCs w:val="21"/>
                <w:highlight w:val="none"/>
              </w:rPr>
              <w:t>持证上岗人员及作业装备数量</w:t>
            </w:r>
            <w:r>
              <w:rPr>
                <w:rFonts w:hint="eastAsia" w:ascii="宋体" w:hAnsi="宋体" w:eastAsia="宋体" w:cs="宋体"/>
                <w:color w:val="auto"/>
                <w:kern w:val="0"/>
                <w:szCs w:val="21"/>
                <w:highlight w:val="none"/>
                <w:lang w:val="en-US" w:eastAsia="zh-CN"/>
              </w:rPr>
              <w:t>较少</w:t>
            </w:r>
            <w:r>
              <w:rPr>
                <w:rFonts w:hint="eastAsia" w:ascii="宋体" w:hAnsi="宋体" w:eastAsia="宋体" w:cs="宋体"/>
                <w:color w:val="auto"/>
                <w:kern w:val="0"/>
                <w:szCs w:val="21"/>
                <w:highlight w:val="none"/>
              </w:rPr>
              <w:t>，作业流程</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步骤存在局部疏漏</w:t>
            </w:r>
            <w:r>
              <w:rPr>
                <w:rFonts w:hint="eastAsia" w:ascii="宋体" w:hAnsi="宋体" w:eastAsia="宋体" w:cs="宋体"/>
                <w:color w:val="auto"/>
                <w:kern w:val="0"/>
                <w:szCs w:val="21"/>
                <w:highlight w:val="none"/>
              </w:rPr>
              <w:t>，现场安全风险点识别及处理方式基本合理</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得4.8分</w:t>
            </w:r>
            <w:r>
              <w:rPr>
                <w:rFonts w:hint="eastAsia" w:ascii="宋体" w:hAnsi="宋体" w:eastAsia="宋体" w:cs="宋体"/>
                <w:color w:val="auto"/>
                <w:kern w:val="0"/>
                <w:szCs w:val="21"/>
                <w:highlight w:val="none"/>
              </w:rPr>
              <w:t>；</w:t>
            </w:r>
          </w:p>
          <w:p w14:paraId="0C25D36A">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差：</w:t>
            </w:r>
            <w:r>
              <w:rPr>
                <w:rFonts w:hint="eastAsia" w:ascii="宋体" w:hAnsi="宋体" w:eastAsia="宋体" w:cs="宋体"/>
                <w:color w:val="auto"/>
                <w:kern w:val="0"/>
                <w:szCs w:val="21"/>
                <w:highlight w:val="none"/>
              </w:rPr>
              <w:t>持证上岗人员及作业装备数量</w:t>
            </w:r>
            <w:r>
              <w:rPr>
                <w:rFonts w:hint="eastAsia" w:ascii="宋体" w:hAnsi="宋体" w:eastAsia="宋体" w:cs="宋体"/>
                <w:color w:val="auto"/>
                <w:kern w:val="0"/>
                <w:szCs w:val="21"/>
                <w:highlight w:val="none"/>
                <w:lang w:val="en-US" w:eastAsia="zh-CN"/>
              </w:rPr>
              <w:t>缺乏</w:t>
            </w:r>
            <w:r>
              <w:rPr>
                <w:rFonts w:hint="eastAsia" w:ascii="宋体" w:hAnsi="宋体" w:eastAsia="宋体" w:cs="宋体"/>
                <w:color w:val="auto"/>
                <w:kern w:val="0"/>
                <w:szCs w:val="21"/>
                <w:highlight w:val="none"/>
              </w:rPr>
              <w:t>，作业流程</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步骤混乱</w:t>
            </w:r>
            <w:r>
              <w:rPr>
                <w:rFonts w:hint="eastAsia" w:ascii="宋体" w:hAnsi="宋体" w:eastAsia="宋体" w:cs="宋体"/>
                <w:color w:val="auto"/>
                <w:kern w:val="0"/>
                <w:szCs w:val="21"/>
                <w:highlight w:val="none"/>
              </w:rPr>
              <w:t>，现场安全风险点识别及处理方式不合理</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得3.2分</w:t>
            </w:r>
            <w:r>
              <w:rPr>
                <w:rFonts w:hint="eastAsia" w:ascii="宋体" w:hAnsi="宋体" w:eastAsia="宋体" w:cs="宋体"/>
                <w:color w:val="auto"/>
                <w:kern w:val="0"/>
                <w:szCs w:val="21"/>
                <w:highlight w:val="none"/>
              </w:rPr>
              <w:t>。</w:t>
            </w:r>
            <w:bookmarkEnd w:id="822"/>
          </w:p>
          <w:p w14:paraId="2BFEE33E">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未提供</w:t>
            </w:r>
            <w:r>
              <w:rPr>
                <w:rFonts w:hint="eastAsia" w:ascii="宋体" w:hAnsi="宋体" w:eastAsia="宋体" w:cs="宋体"/>
                <w:color w:val="auto"/>
                <w:kern w:val="0"/>
                <w:szCs w:val="21"/>
                <w:highlight w:val="none"/>
              </w:rPr>
              <w:t>有限空间作业实施方案</w:t>
            </w:r>
            <w:r>
              <w:rPr>
                <w:rFonts w:hint="eastAsia" w:ascii="宋体" w:hAnsi="宋体" w:eastAsia="宋体" w:cs="宋体"/>
                <w:color w:val="auto"/>
                <w:kern w:val="0"/>
                <w:szCs w:val="21"/>
                <w:highlight w:val="none"/>
                <w:lang w:val="en-US" w:eastAsia="zh-CN"/>
              </w:rPr>
              <w:t>的不得分。</w:t>
            </w:r>
          </w:p>
        </w:tc>
        <w:tc>
          <w:tcPr>
            <w:tcW w:w="437" w:type="pct"/>
            <w:tcBorders>
              <w:top w:val="single" w:color="auto" w:sz="4" w:space="0"/>
              <w:left w:val="single" w:color="auto" w:sz="4" w:space="0"/>
              <w:bottom w:val="single" w:color="auto" w:sz="4" w:space="0"/>
              <w:right w:val="single" w:color="auto" w:sz="4" w:space="0"/>
            </w:tcBorders>
            <w:vAlign w:val="center"/>
          </w:tcPr>
          <w:p w14:paraId="68151005">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8</w:t>
            </w:r>
            <w:r>
              <w:rPr>
                <w:rFonts w:hint="eastAsia" w:ascii="宋体" w:hAnsi="宋体" w:eastAsia="宋体" w:cs="宋体"/>
                <w:color w:val="auto"/>
                <w:kern w:val="0"/>
                <w:szCs w:val="21"/>
                <w:highlight w:val="none"/>
              </w:rPr>
              <w:t>分</w:t>
            </w:r>
          </w:p>
        </w:tc>
      </w:tr>
      <w:tr w14:paraId="2EE2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3" w:type="pct"/>
            <w:tcBorders>
              <w:top w:val="single" w:color="auto" w:sz="4" w:space="0"/>
              <w:left w:val="single" w:color="auto" w:sz="4" w:space="0"/>
              <w:bottom w:val="single" w:color="auto" w:sz="4" w:space="0"/>
              <w:right w:val="single" w:color="auto" w:sz="4" w:space="0"/>
            </w:tcBorders>
            <w:vAlign w:val="center"/>
          </w:tcPr>
          <w:p w14:paraId="5E554086">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w:t>
            </w:r>
          </w:p>
        </w:tc>
        <w:tc>
          <w:tcPr>
            <w:tcW w:w="546" w:type="pct"/>
            <w:tcBorders>
              <w:top w:val="single" w:color="auto" w:sz="4" w:space="0"/>
              <w:left w:val="single" w:color="auto" w:sz="4" w:space="0"/>
              <w:bottom w:val="single" w:color="auto" w:sz="4" w:space="0"/>
              <w:right w:val="single" w:color="auto" w:sz="4" w:space="0"/>
            </w:tcBorders>
            <w:vAlign w:val="center"/>
          </w:tcPr>
          <w:p w14:paraId="20E6A3BE">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施工进度、质量保证措施</w:t>
            </w:r>
          </w:p>
        </w:tc>
        <w:tc>
          <w:tcPr>
            <w:tcW w:w="3692" w:type="pct"/>
            <w:tcBorders>
              <w:top w:val="single" w:color="auto" w:sz="4" w:space="0"/>
              <w:left w:val="single" w:color="auto" w:sz="4" w:space="0"/>
              <w:bottom w:val="single" w:color="auto" w:sz="4" w:space="0"/>
              <w:right w:val="single" w:color="auto" w:sz="4" w:space="0"/>
            </w:tcBorders>
            <w:vAlign w:val="center"/>
          </w:tcPr>
          <w:p w14:paraId="054EC37F">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根据各投标人施工进度</w:t>
            </w:r>
            <w:r>
              <w:rPr>
                <w:rFonts w:hint="eastAsia" w:ascii="宋体" w:hAnsi="宋体" w:eastAsia="宋体" w:cs="宋体"/>
                <w:color w:val="auto"/>
                <w:kern w:val="0"/>
                <w:szCs w:val="21"/>
                <w:highlight w:val="none"/>
                <w:lang w:val="en-US" w:eastAsia="zh-CN"/>
              </w:rPr>
              <w:t>计划</w:t>
            </w:r>
            <w:r>
              <w:rPr>
                <w:rFonts w:hint="eastAsia" w:ascii="宋体" w:hAnsi="宋体" w:eastAsia="宋体" w:cs="宋体"/>
                <w:color w:val="auto"/>
                <w:kern w:val="0"/>
                <w:szCs w:val="21"/>
                <w:highlight w:val="none"/>
              </w:rPr>
              <w:t>、质量目标</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质量保证措施及质量管理</w:t>
            </w:r>
            <w:r>
              <w:rPr>
                <w:rFonts w:hint="eastAsia" w:ascii="宋体" w:hAnsi="宋体" w:eastAsia="宋体" w:cs="宋体"/>
                <w:color w:val="auto"/>
                <w:kern w:val="0"/>
                <w:szCs w:val="21"/>
                <w:highlight w:val="none"/>
              </w:rPr>
              <w:t>体系（</w:t>
            </w:r>
            <w:r>
              <w:rPr>
                <w:rFonts w:hint="eastAsia" w:ascii="宋体" w:hAnsi="宋体" w:eastAsia="宋体" w:cs="宋体"/>
                <w:color w:val="auto"/>
                <w:kern w:val="0"/>
                <w:szCs w:val="21"/>
                <w:highlight w:val="none"/>
                <w:lang w:val="en-US" w:eastAsia="zh-CN"/>
              </w:rPr>
              <w:t>包括施工</w:t>
            </w:r>
            <w:r>
              <w:rPr>
                <w:rFonts w:hint="eastAsia" w:ascii="宋体" w:hAnsi="宋体" w:eastAsia="宋体" w:cs="宋体"/>
                <w:color w:val="auto"/>
                <w:kern w:val="0"/>
                <w:szCs w:val="21"/>
                <w:highlight w:val="none"/>
              </w:rPr>
              <w:t>原材料质量控制体系、现场班组管理体系等）进行</w:t>
            </w:r>
            <w:r>
              <w:rPr>
                <w:rFonts w:hint="eastAsia" w:ascii="宋体" w:hAnsi="宋体" w:eastAsia="宋体" w:cs="宋体"/>
                <w:color w:val="auto"/>
                <w:kern w:val="0"/>
                <w:szCs w:val="21"/>
                <w:highlight w:val="none"/>
                <w:lang w:val="en-US" w:eastAsia="zh-CN"/>
              </w:rPr>
              <w:t>评审</w:t>
            </w:r>
            <w:r>
              <w:rPr>
                <w:rFonts w:hint="eastAsia" w:ascii="宋体" w:hAnsi="宋体" w:eastAsia="宋体" w:cs="宋体"/>
                <w:color w:val="auto"/>
                <w:kern w:val="0"/>
                <w:szCs w:val="21"/>
                <w:highlight w:val="none"/>
              </w:rPr>
              <w:t>：</w:t>
            </w:r>
          </w:p>
          <w:p w14:paraId="3C6237B8">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优：</w:t>
            </w:r>
            <w:r>
              <w:rPr>
                <w:rFonts w:hint="eastAsia" w:ascii="宋体" w:hAnsi="宋体" w:eastAsia="宋体" w:cs="宋体"/>
                <w:b w:val="0"/>
                <w:bCs w:val="0"/>
                <w:color w:val="auto"/>
                <w:kern w:val="0"/>
                <w:szCs w:val="21"/>
                <w:highlight w:val="none"/>
                <w:lang w:val="en-US" w:eastAsia="zh-CN"/>
              </w:rPr>
              <w:t>施工进度计划编制科学合理，关键节点清晰明确，人材机等资源配置与工期进度高度匹配；质量目标明确，</w:t>
            </w:r>
            <w:r>
              <w:rPr>
                <w:rFonts w:hint="eastAsia" w:ascii="宋体" w:hAnsi="宋体" w:eastAsia="宋体" w:cs="宋体"/>
                <w:color w:val="auto"/>
                <w:kern w:val="0"/>
                <w:szCs w:val="21"/>
                <w:highlight w:val="none"/>
                <w:lang w:val="en-US" w:eastAsia="zh-CN"/>
              </w:rPr>
              <w:t>质量控制措施严谨、管理体系完善的</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得8分</w:t>
            </w:r>
            <w:r>
              <w:rPr>
                <w:rFonts w:hint="eastAsia" w:ascii="宋体" w:hAnsi="宋体" w:eastAsia="宋体" w:cs="宋体"/>
                <w:color w:val="auto"/>
                <w:kern w:val="0"/>
                <w:szCs w:val="21"/>
                <w:highlight w:val="none"/>
              </w:rPr>
              <w:t>；</w:t>
            </w:r>
          </w:p>
          <w:p w14:paraId="116DCA5F">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良：</w:t>
            </w:r>
            <w:r>
              <w:rPr>
                <w:rFonts w:hint="eastAsia" w:ascii="宋体" w:hAnsi="宋体" w:eastAsia="宋体" w:cs="宋体"/>
                <w:b w:val="0"/>
                <w:bCs w:val="0"/>
                <w:color w:val="auto"/>
                <w:kern w:val="0"/>
                <w:szCs w:val="21"/>
                <w:highlight w:val="none"/>
                <w:lang w:val="en-US" w:eastAsia="zh-CN"/>
              </w:rPr>
              <w:t>施工进度计划编制较合理，部分非关键节点存在衔接不紧密，人材机等资源配置局部存在资源冲突或浪费；质量目标基本明确，</w:t>
            </w:r>
            <w:r>
              <w:rPr>
                <w:rFonts w:hint="eastAsia" w:ascii="宋体" w:hAnsi="宋体" w:eastAsia="宋体" w:cs="宋体"/>
                <w:color w:val="auto"/>
                <w:kern w:val="0"/>
                <w:szCs w:val="21"/>
                <w:highlight w:val="none"/>
                <w:lang w:val="en-US" w:eastAsia="zh-CN"/>
              </w:rPr>
              <w:t>质量控制措施相对规范、管理体系基本完整的</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得6.4分</w:t>
            </w:r>
            <w:r>
              <w:rPr>
                <w:rFonts w:hint="eastAsia" w:ascii="宋体" w:hAnsi="宋体" w:eastAsia="宋体" w:cs="宋体"/>
                <w:color w:val="auto"/>
                <w:kern w:val="0"/>
                <w:szCs w:val="21"/>
                <w:highlight w:val="none"/>
              </w:rPr>
              <w:t>；</w:t>
            </w:r>
          </w:p>
          <w:p w14:paraId="733BA522">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中：</w:t>
            </w:r>
            <w:r>
              <w:rPr>
                <w:rFonts w:hint="eastAsia" w:ascii="宋体" w:hAnsi="宋体" w:eastAsia="宋体" w:cs="宋体"/>
                <w:b w:val="0"/>
                <w:bCs w:val="0"/>
                <w:color w:val="auto"/>
                <w:kern w:val="0"/>
                <w:szCs w:val="21"/>
                <w:highlight w:val="none"/>
                <w:lang w:val="en-US" w:eastAsia="zh-CN"/>
              </w:rPr>
              <w:t>施工进度计划编制简单粗糙，关键节点不突出，人材机等资源配置不合理；质量目标不清晰，</w:t>
            </w:r>
            <w:r>
              <w:rPr>
                <w:rFonts w:hint="eastAsia" w:ascii="宋体" w:hAnsi="宋体" w:eastAsia="宋体" w:cs="宋体"/>
                <w:color w:val="auto"/>
                <w:kern w:val="0"/>
                <w:szCs w:val="21"/>
                <w:highlight w:val="none"/>
                <w:lang w:val="en-US" w:eastAsia="zh-CN"/>
              </w:rPr>
              <w:t>质量控制措施、管理体系存在缺陷的</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得4.8分</w:t>
            </w:r>
            <w:r>
              <w:rPr>
                <w:rFonts w:hint="eastAsia" w:ascii="宋体" w:hAnsi="宋体" w:eastAsia="宋体" w:cs="宋体"/>
                <w:color w:val="auto"/>
                <w:kern w:val="0"/>
                <w:szCs w:val="21"/>
                <w:highlight w:val="none"/>
              </w:rPr>
              <w:t>；</w:t>
            </w:r>
          </w:p>
          <w:p w14:paraId="22821E74">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差：</w:t>
            </w:r>
            <w:r>
              <w:rPr>
                <w:rFonts w:hint="eastAsia" w:ascii="宋体" w:hAnsi="宋体" w:eastAsia="宋体" w:cs="宋体"/>
                <w:b w:val="0"/>
                <w:bCs w:val="0"/>
                <w:color w:val="auto"/>
                <w:kern w:val="0"/>
                <w:szCs w:val="21"/>
                <w:highlight w:val="none"/>
                <w:lang w:val="en-US" w:eastAsia="zh-CN"/>
              </w:rPr>
              <w:t>施工进度计划缺失，关键节点不突出，人材机等资源分配混乱；无明确质量目标</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质量控制措施、管理体系脱离实际的，得3.2分</w:t>
            </w:r>
            <w:r>
              <w:rPr>
                <w:rFonts w:hint="eastAsia" w:ascii="宋体" w:hAnsi="宋体" w:eastAsia="宋体" w:cs="宋体"/>
                <w:color w:val="auto"/>
                <w:kern w:val="0"/>
                <w:szCs w:val="21"/>
                <w:highlight w:val="none"/>
              </w:rPr>
              <w:t>。</w:t>
            </w:r>
          </w:p>
          <w:p w14:paraId="29441B6D">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未提供施工进度、质量保证措施的不得分。</w:t>
            </w:r>
          </w:p>
        </w:tc>
        <w:tc>
          <w:tcPr>
            <w:tcW w:w="437" w:type="pct"/>
            <w:tcBorders>
              <w:top w:val="single" w:color="auto" w:sz="4" w:space="0"/>
              <w:left w:val="single" w:color="auto" w:sz="4" w:space="0"/>
              <w:bottom w:val="single" w:color="auto" w:sz="4" w:space="0"/>
              <w:right w:val="single" w:color="auto" w:sz="4" w:space="0"/>
            </w:tcBorders>
            <w:vAlign w:val="center"/>
          </w:tcPr>
          <w:p w14:paraId="08430A77">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8</w:t>
            </w:r>
            <w:r>
              <w:rPr>
                <w:rFonts w:hint="eastAsia" w:ascii="宋体" w:hAnsi="宋体" w:eastAsia="宋体" w:cs="宋体"/>
                <w:color w:val="auto"/>
                <w:kern w:val="0"/>
                <w:szCs w:val="21"/>
                <w:highlight w:val="none"/>
              </w:rPr>
              <w:t>分</w:t>
            </w:r>
          </w:p>
        </w:tc>
      </w:tr>
      <w:tr w14:paraId="690B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3" w:type="pct"/>
            <w:tcBorders>
              <w:top w:val="single" w:color="auto" w:sz="4" w:space="0"/>
              <w:left w:val="single" w:color="auto" w:sz="4" w:space="0"/>
              <w:bottom w:val="single" w:color="auto" w:sz="4" w:space="0"/>
              <w:right w:val="single" w:color="auto" w:sz="4" w:space="0"/>
            </w:tcBorders>
            <w:vAlign w:val="center"/>
          </w:tcPr>
          <w:p w14:paraId="6924C728">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w:t>
            </w:r>
          </w:p>
        </w:tc>
        <w:tc>
          <w:tcPr>
            <w:tcW w:w="546" w:type="pct"/>
            <w:tcBorders>
              <w:top w:val="single" w:color="auto" w:sz="4" w:space="0"/>
              <w:left w:val="single" w:color="auto" w:sz="4" w:space="0"/>
              <w:bottom w:val="single" w:color="auto" w:sz="4" w:space="0"/>
              <w:right w:val="single" w:color="auto" w:sz="4" w:space="0"/>
            </w:tcBorders>
            <w:shd w:val="clear" w:color="auto" w:fill="auto"/>
            <w:vAlign w:val="center"/>
          </w:tcPr>
          <w:p w14:paraId="2ED932BE">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安全生产管理方案</w:t>
            </w:r>
          </w:p>
        </w:tc>
        <w:tc>
          <w:tcPr>
            <w:tcW w:w="3692" w:type="pct"/>
            <w:tcBorders>
              <w:top w:val="single" w:color="auto" w:sz="4" w:space="0"/>
              <w:left w:val="single" w:color="auto" w:sz="4" w:space="0"/>
              <w:bottom w:val="single" w:color="auto" w:sz="4" w:space="0"/>
              <w:right w:val="single" w:color="auto" w:sz="4" w:space="0"/>
            </w:tcBorders>
            <w:shd w:val="clear" w:color="auto" w:fill="auto"/>
            <w:vAlign w:val="center"/>
          </w:tcPr>
          <w:p w14:paraId="58DC8C3F">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根据各投标人安全操作、管理的手段和措施、作业防护措施、安全生产管理制度及贯彻，根据方案及措施切合实际的程度、详细具体的程度及承诺情况进行</w:t>
            </w:r>
            <w:r>
              <w:rPr>
                <w:rFonts w:hint="eastAsia" w:ascii="宋体" w:hAnsi="宋体" w:eastAsia="宋体" w:cs="宋体"/>
                <w:color w:val="auto"/>
                <w:kern w:val="0"/>
                <w:szCs w:val="21"/>
                <w:highlight w:val="none"/>
                <w:lang w:val="en-US" w:eastAsia="zh-CN"/>
              </w:rPr>
              <w:t>评审</w:t>
            </w:r>
            <w:r>
              <w:rPr>
                <w:rFonts w:hint="eastAsia" w:ascii="宋体" w:hAnsi="宋体" w:eastAsia="宋体" w:cs="宋体"/>
                <w:color w:val="auto"/>
                <w:kern w:val="0"/>
                <w:szCs w:val="21"/>
                <w:highlight w:val="none"/>
              </w:rPr>
              <w:t>：</w:t>
            </w:r>
          </w:p>
          <w:p w14:paraId="546A0645">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优：</w:t>
            </w:r>
            <w:r>
              <w:rPr>
                <w:rFonts w:hint="eastAsia" w:ascii="宋体" w:hAnsi="宋体" w:eastAsia="宋体" w:cs="宋体"/>
                <w:color w:val="auto"/>
                <w:kern w:val="0"/>
                <w:szCs w:val="21"/>
                <w:highlight w:val="none"/>
              </w:rPr>
              <w:t>方案及措施切合实际，完整详细，承诺切实可行</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得9分</w:t>
            </w:r>
            <w:r>
              <w:rPr>
                <w:rFonts w:hint="eastAsia" w:ascii="宋体" w:hAnsi="宋体" w:eastAsia="宋体" w:cs="宋体"/>
                <w:color w:val="auto"/>
                <w:kern w:val="0"/>
                <w:szCs w:val="21"/>
                <w:highlight w:val="none"/>
              </w:rPr>
              <w:t>；</w:t>
            </w:r>
          </w:p>
          <w:p w14:paraId="7EF64B7D">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良：</w:t>
            </w:r>
            <w:r>
              <w:rPr>
                <w:rFonts w:hint="eastAsia" w:ascii="宋体" w:hAnsi="宋体" w:eastAsia="宋体" w:cs="宋体"/>
                <w:color w:val="auto"/>
                <w:kern w:val="0"/>
                <w:szCs w:val="21"/>
                <w:highlight w:val="none"/>
              </w:rPr>
              <w:t>方案及措施基本符合实际，基本完整，承诺基本可行</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得7.2分</w:t>
            </w:r>
            <w:r>
              <w:rPr>
                <w:rFonts w:hint="eastAsia" w:ascii="宋体" w:hAnsi="宋体" w:eastAsia="宋体" w:cs="宋体"/>
                <w:color w:val="auto"/>
                <w:kern w:val="0"/>
                <w:szCs w:val="21"/>
                <w:highlight w:val="none"/>
              </w:rPr>
              <w:t>；</w:t>
            </w:r>
          </w:p>
          <w:p w14:paraId="6B2FB58D">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中：</w:t>
            </w:r>
            <w:r>
              <w:rPr>
                <w:rFonts w:hint="eastAsia" w:ascii="宋体" w:hAnsi="宋体" w:eastAsia="宋体" w:cs="宋体"/>
                <w:color w:val="auto"/>
                <w:kern w:val="0"/>
                <w:szCs w:val="21"/>
                <w:highlight w:val="none"/>
              </w:rPr>
              <w:t>方案及措施一般，承诺一般</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得5.4分</w:t>
            </w:r>
            <w:r>
              <w:rPr>
                <w:rFonts w:hint="eastAsia" w:ascii="宋体" w:hAnsi="宋体" w:eastAsia="宋体" w:cs="宋体"/>
                <w:color w:val="auto"/>
                <w:kern w:val="0"/>
                <w:szCs w:val="21"/>
                <w:highlight w:val="none"/>
              </w:rPr>
              <w:t>；</w:t>
            </w:r>
          </w:p>
          <w:p w14:paraId="0FC5A182">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差：</w:t>
            </w:r>
            <w:r>
              <w:rPr>
                <w:rFonts w:hint="eastAsia" w:ascii="宋体" w:hAnsi="宋体" w:eastAsia="宋体" w:cs="宋体"/>
                <w:color w:val="auto"/>
                <w:kern w:val="0"/>
                <w:szCs w:val="21"/>
                <w:highlight w:val="none"/>
              </w:rPr>
              <w:t>方案及措施不符合实际，承诺不可行</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得3.6分</w:t>
            </w:r>
            <w:r>
              <w:rPr>
                <w:rFonts w:hint="eastAsia" w:ascii="宋体" w:hAnsi="宋体" w:eastAsia="宋体" w:cs="宋体"/>
                <w:color w:val="auto"/>
                <w:kern w:val="0"/>
                <w:szCs w:val="21"/>
                <w:highlight w:val="none"/>
              </w:rPr>
              <w:t>。</w:t>
            </w:r>
          </w:p>
          <w:p w14:paraId="5E595AA6">
            <w:pPr>
              <w:keepNext w:val="0"/>
              <w:keepLines w:val="0"/>
              <w:suppressLineNumbers w:val="0"/>
              <w:autoSpaceDE w:val="0"/>
              <w:autoSpaceDN w:val="0"/>
              <w:spacing w:before="0" w:beforeAutospacing="0" w:after="0" w:afterAutospacing="0" w:line="400" w:lineRule="exact"/>
              <w:ind w:left="0" w:right="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未提供安全生产管理方案的不得分。</w:t>
            </w:r>
          </w:p>
        </w:tc>
        <w:tc>
          <w:tcPr>
            <w:tcW w:w="437" w:type="pct"/>
            <w:tcBorders>
              <w:top w:val="single" w:color="auto" w:sz="4" w:space="0"/>
              <w:left w:val="single" w:color="auto" w:sz="4" w:space="0"/>
              <w:bottom w:val="single" w:color="auto" w:sz="4" w:space="0"/>
              <w:right w:val="single" w:color="auto" w:sz="4" w:space="0"/>
            </w:tcBorders>
            <w:vAlign w:val="center"/>
          </w:tcPr>
          <w:p w14:paraId="1BE79152">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9</w:t>
            </w:r>
            <w:r>
              <w:rPr>
                <w:rFonts w:hint="eastAsia" w:ascii="宋体" w:hAnsi="宋体" w:eastAsia="宋体" w:cs="宋体"/>
                <w:color w:val="auto"/>
                <w:kern w:val="0"/>
                <w:szCs w:val="21"/>
                <w:highlight w:val="none"/>
              </w:rPr>
              <w:t>分</w:t>
            </w:r>
          </w:p>
        </w:tc>
      </w:tr>
      <w:bookmarkEnd w:id="821"/>
    </w:tbl>
    <w:p w14:paraId="267C4FE3">
      <w:pPr>
        <w:autoSpaceDE w:val="0"/>
        <w:autoSpaceDN w:val="0"/>
        <w:adjustRightInd w:val="0"/>
        <w:spacing w:line="360" w:lineRule="auto"/>
        <w:ind w:firstLine="42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备注：</w:t>
      </w:r>
    </w:p>
    <w:p w14:paraId="401FC36C">
      <w:pPr>
        <w:autoSpaceDE w:val="0"/>
        <w:autoSpaceDN w:val="0"/>
        <w:adjustRightInd w:val="0"/>
        <w:spacing w:line="360" w:lineRule="auto"/>
        <w:ind w:firstLine="42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en-US" w:eastAsia="zh-CN"/>
        </w:rPr>
        <w:t>①</w:t>
      </w:r>
      <w:r>
        <w:rPr>
          <w:rFonts w:ascii="宋体" w:hAnsi="宋体" w:eastAsia="宋体" w:cs="宋体"/>
          <w:color w:val="auto"/>
          <w:szCs w:val="24"/>
          <w:highlight w:val="none"/>
          <w:lang w:val="zh-CN"/>
        </w:rPr>
        <w:t>分数出现小数点，保留小数点后2位，从小数点后第3位四</w:t>
      </w:r>
      <w:r>
        <w:rPr>
          <w:rFonts w:hint="eastAsia" w:ascii="宋体" w:hAnsi="宋体" w:eastAsia="宋体" w:cs="宋体"/>
          <w:color w:val="auto"/>
          <w:szCs w:val="24"/>
          <w:highlight w:val="none"/>
          <w:lang w:val="zh-CN"/>
        </w:rPr>
        <w:t>舍五入。</w:t>
      </w:r>
    </w:p>
    <w:p w14:paraId="1B0C5E96">
      <w:pPr>
        <w:autoSpaceDE w:val="0"/>
        <w:autoSpaceDN w:val="0"/>
        <w:adjustRightInd w:val="0"/>
        <w:spacing w:line="360" w:lineRule="auto"/>
        <w:ind w:firstLine="422" w:firstLineChars="200"/>
        <w:rPr>
          <w:rFonts w:hint="eastAsia" w:ascii="宋体" w:hAnsi="宋体" w:eastAsia="宋体" w:cs="宋体"/>
          <w:b/>
          <w:color w:val="auto"/>
          <w:szCs w:val="24"/>
          <w:highlight w:val="none"/>
          <w:lang w:val="zh-CN"/>
        </w:rPr>
      </w:pPr>
      <w:r>
        <w:rPr>
          <w:rFonts w:hint="eastAsia" w:ascii="宋体" w:hAnsi="宋体" w:eastAsia="宋体" w:cs="宋体"/>
          <w:b/>
          <w:color w:val="auto"/>
          <w:szCs w:val="24"/>
          <w:highlight w:val="none"/>
          <w:lang w:val="en-US" w:eastAsia="zh-CN"/>
        </w:rPr>
        <w:t>②</w:t>
      </w:r>
      <w:r>
        <w:rPr>
          <w:rFonts w:hint="eastAsia" w:ascii="宋体" w:hAnsi="宋体" w:eastAsia="宋体" w:cs="宋体"/>
          <w:b/>
          <w:color w:val="auto"/>
          <w:szCs w:val="24"/>
          <w:highlight w:val="none"/>
          <w:lang w:val="zh-CN"/>
        </w:rPr>
        <w:t>上述“评分项目”中按“优、良、中、差”评审的，若低于该项满分分值</w:t>
      </w:r>
      <w:r>
        <w:rPr>
          <w:rFonts w:ascii="宋体" w:hAnsi="宋体" w:eastAsia="宋体" w:cs="宋体"/>
          <w:b/>
          <w:color w:val="auto"/>
          <w:szCs w:val="24"/>
          <w:highlight w:val="none"/>
          <w:lang w:val="zh-CN"/>
        </w:rPr>
        <w:t>60%时，评标专家需详细填写该项低分的充分理由，例如：该项目内容存在违反国家有关标</w:t>
      </w:r>
      <w:r>
        <w:rPr>
          <w:rFonts w:hint="eastAsia" w:ascii="宋体" w:hAnsi="宋体" w:eastAsia="宋体" w:cs="宋体"/>
          <w:b/>
          <w:color w:val="auto"/>
          <w:szCs w:val="24"/>
          <w:highlight w:val="none"/>
          <w:lang w:val="zh-CN"/>
        </w:rPr>
        <w:t>准和规范或与项目实际不符等原则性问题。</w:t>
      </w:r>
    </w:p>
    <w:p w14:paraId="7E73BEC8">
      <w:pPr>
        <w:autoSpaceDE w:val="0"/>
        <w:autoSpaceDN w:val="0"/>
        <w:adjustRightInd w:val="0"/>
        <w:spacing w:line="360" w:lineRule="auto"/>
        <w:ind w:firstLine="422" w:firstLineChars="200"/>
        <w:rPr>
          <w:rFonts w:hint="eastAsia" w:ascii="宋体" w:hAnsi="宋体" w:eastAsia="宋体" w:cs="宋体"/>
          <w:color w:val="auto"/>
          <w:kern w:val="0"/>
          <w:szCs w:val="21"/>
          <w:highlight w:val="none"/>
        </w:rPr>
      </w:pPr>
      <w:r>
        <w:rPr>
          <w:rFonts w:hint="eastAsia" w:ascii="宋体" w:hAnsi="宋体" w:eastAsia="宋体" w:cs="宋体"/>
          <w:b/>
          <w:color w:val="auto"/>
          <w:szCs w:val="24"/>
          <w:highlight w:val="none"/>
          <w:lang w:val="en-US" w:eastAsia="zh-CN"/>
        </w:rPr>
        <w:t>③</w:t>
      </w:r>
      <w:r>
        <w:rPr>
          <w:rFonts w:hint="eastAsia" w:ascii="宋体" w:hAnsi="宋体" w:eastAsia="宋体" w:cs="宋体"/>
          <w:b/>
          <w:color w:val="auto"/>
          <w:kern w:val="0"/>
          <w:szCs w:val="21"/>
          <w:highlight w:val="none"/>
          <w:lang w:val="zh-CN"/>
        </w:rPr>
        <w:t>对</w:t>
      </w:r>
      <w:r>
        <w:rPr>
          <w:rFonts w:hint="eastAsia" w:ascii="宋体" w:hAnsi="宋体" w:eastAsia="宋体" w:cs="宋体"/>
          <w:b/>
          <w:color w:val="auto"/>
          <w:kern w:val="0"/>
          <w:szCs w:val="21"/>
          <w:highlight w:val="none"/>
        </w:rPr>
        <w:t>于各</w:t>
      </w:r>
      <w:r>
        <w:rPr>
          <w:rFonts w:hint="eastAsia" w:ascii="宋体" w:hAnsi="宋体" w:eastAsia="宋体" w:cs="宋体"/>
          <w:b/>
          <w:color w:val="auto"/>
          <w:kern w:val="0"/>
          <w:szCs w:val="21"/>
          <w:highlight w:val="none"/>
          <w:lang w:val="zh-CN"/>
        </w:rPr>
        <w:t>评标委员会成员</w:t>
      </w:r>
      <w:r>
        <w:rPr>
          <w:rFonts w:hint="eastAsia" w:ascii="宋体" w:hAnsi="宋体" w:eastAsia="宋体" w:cs="宋体"/>
          <w:b/>
          <w:color w:val="auto"/>
          <w:kern w:val="0"/>
          <w:szCs w:val="21"/>
          <w:highlight w:val="none"/>
        </w:rPr>
        <w:t>存在客观分打分不一致时</w:t>
      </w:r>
      <w:r>
        <w:rPr>
          <w:rFonts w:hint="eastAsia" w:ascii="宋体" w:hAnsi="宋体" w:eastAsia="宋体" w:cs="宋体"/>
          <w:b/>
          <w:color w:val="auto"/>
          <w:kern w:val="0"/>
          <w:szCs w:val="21"/>
          <w:highlight w:val="none"/>
          <w:lang w:val="zh-CN"/>
        </w:rPr>
        <w:t>,根据少数服</w:t>
      </w:r>
      <w:r>
        <w:rPr>
          <w:rFonts w:hint="eastAsia" w:ascii="宋体" w:hAnsi="宋体" w:eastAsia="宋体" w:cs="宋体"/>
          <w:b/>
          <w:color w:val="auto"/>
          <w:kern w:val="0"/>
          <w:szCs w:val="21"/>
          <w:highlight w:val="none"/>
        </w:rPr>
        <w:t>从</w:t>
      </w:r>
      <w:r>
        <w:rPr>
          <w:rFonts w:hint="eastAsia" w:ascii="宋体" w:hAnsi="宋体" w:eastAsia="宋体" w:cs="宋体"/>
          <w:b/>
          <w:color w:val="auto"/>
          <w:kern w:val="0"/>
          <w:szCs w:val="21"/>
          <w:highlight w:val="none"/>
          <w:lang w:val="zh-CN"/>
        </w:rPr>
        <w:t>多数的原则，以记名方式表决</w:t>
      </w:r>
      <w:r>
        <w:rPr>
          <w:rFonts w:hint="eastAsia" w:ascii="宋体" w:hAnsi="宋体" w:eastAsia="宋体" w:cs="宋体"/>
          <w:b/>
          <w:color w:val="auto"/>
          <w:kern w:val="0"/>
          <w:szCs w:val="21"/>
          <w:highlight w:val="none"/>
        </w:rPr>
        <w:t>确定该项的评分。</w:t>
      </w:r>
    </w:p>
    <w:p w14:paraId="2B533A24">
      <w:pPr>
        <w:spacing w:line="360" w:lineRule="auto"/>
        <w:ind w:left="0" w:leftChars="0" w:firstLine="0" w:firstLineChars="0"/>
        <w:rPr>
          <w:rFonts w:hint="eastAsia" w:ascii="宋体" w:hAnsi="宋体" w:eastAsia="宋体" w:cs="宋体"/>
          <w:color w:val="auto"/>
          <w:kern w:val="0"/>
          <w:szCs w:val="21"/>
          <w:highlight w:val="none"/>
          <w:lang w:val="zh-CN"/>
        </w:rPr>
      </w:pPr>
    </w:p>
    <w:p w14:paraId="6E2AF45E">
      <w:pPr>
        <w:tabs>
          <w:tab w:val="left" w:pos="585"/>
        </w:tabs>
        <w:autoSpaceDE w:val="0"/>
        <w:autoSpaceDN w:val="0"/>
        <w:adjustRightInd w:val="0"/>
        <w:spacing w:line="400" w:lineRule="exact"/>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w:t>
      </w:r>
      <w:r>
        <w:rPr>
          <w:rFonts w:hint="eastAsia" w:ascii="宋体" w:hAnsi="宋体" w:eastAsia="宋体" w:cs="宋体"/>
          <w:b/>
          <w:color w:val="auto"/>
          <w:szCs w:val="21"/>
          <w:highlight w:val="none"/>
        </w:rPr>
        <w:t>3</w:t>
      </w:r>
      <w:r>
        <w:rPr>
          <w:rFonts w:hint="eastAsia" w:ascii="宋体" w:hAnsi="宋体" w:eastAsia="宋体" w:cs="宋体"/>
          <w:b/>
          <w:color w:val="auto"/>
          <w:szCs w:val="21"/>
          <w:highlight w:val="none"/>
          <w:lang w:val="zh-CN"/>
        </w:rPr>
        <w:t>）综合得分</w:t>
      </w:r>
    </w:p>
    <w:p w14:paraId="64D61791">
      <w:pPr>
        <w:spacing w:line="400" w:lineRule="exact"/>
        <w:ind w:firstLine="848" w:firstLineChars="404"/>
        <w:rPr>
          <w:rFonts w:hint="eastAsia" w:ascii="宋体" w:hAnsi="宋体" w:eastAsia="宋体" w:cs="宋体"/>
          <w:color w:val="auto"/>
          <w:kern w:val="0"/>
          <w:szCs w:val="28"/>
          <w:highlight w:val="none"/>
          <w:lang w:val="zh-CN"/>
        </w:rPr>
      </w:pPr>
      <w:bookmarkStart w:id="823" w:name="_Toc31624_WPSOffice_Level2"/>
      <w:r>
        <w:rPr>
          <w:rFonts w:hint="eastAsia" w:ascii="宋体" w:hAnsi="宋体" w:eastAsia="宋体" w:cs="宋体"/>
          <w:color w:val="auto"/>
          <w:kern w:val="0"/>
          <w:szCs w:val="28"/>
          <w:highlight w:val="none"/>
          <w:lang w:val="zh-CN"/>
        </w:rPr>
        <w:t>评标总得分=F1＋F2＋……+Fn</w:t>
      </w:r>
      <w:bookmarkEnd w:id="823"/>
    </w:p>
    <w:p w14:paraId="2B697960">
      <w:pPr>
        <w:widowControl/>
        <w:autoSpaceDE w:val="0"/>
        <w:autoSpaceDN w:val="0"/>
        <w:adjustRightInd w:val="0"/>
        <w:spacing w:line="400" w:lineRule="exact"/>
        <w:ind w:firstLine="840" w:firstLineChars="400"/>
        <w:jc w:val="left"/>
        <w:rPr>
          <w:rFonts w:hint="eastAsia" w:ascii="宋体" w:hAnsi="宋体" w:eastAsia="宋体" w:cs="宋体"/>
          <w:color w:val="auto"/>
          <w:kern w:val="0"/>
          <w:szCs w:val="21"/>
          <w:highlight w:val="none"/>
        </w:rPr>
      </w:pPr>
      <w:bookmarkStart w:id="824" w:name="_Toc13236_WPSOffice_Level2"/>
      <w:r>
        <w:rPr>
          <w:rFonts w:hint="eastAsia" w:ascii="宋体" w:hAnsi="宋体" w:eastAsia="宋体" w:cs="宋体"/>
          <w:color w:val="auto"/>
          <w:kern w:val="0"/>
          <w:szCs w:val="21"/>
          <w:highlight w:val="none"/>
        </w:rPr>
        <w:t>F1、F2、……Fn分别为各项评分因素的得分</w:t>
      </w:r>
      <w:bookmarkEnd w:id="824"/>
      <w:r>
        <w:rPr>
          <w:rFonts w:hint="eastAsia" w:ascii="宋体" w:hAnsi="宋体" w:eastAsia="宋体" w:cs="宋体"/>
          <w:color w:val="auto"/>
          <w:kern w:val="0"/>
          <w:szCs w:val="21"/>
          <w:highlight w:val="none"/>
        </w:rPr>
        <w:t>。</w:t>
      </w:r>
    </w:p>
    <w:p w14:paraId="727C387E">
      <w:pPr>
        <w:autoSpaceDE w:val="0"/>
        <w:autoSpaceDN w:val="0"/>
        <w:adjustRightInd w:val="0"/>
        <w:spacing w:line="360" w:lineRule="auto"/>
        <w:ind w:left="564" w:leftChars="1" w:hanging="562" w:hangingChars="200"/>
        <w:rPr>
          <w:rFonts w:hint="eastAsia" w:ascii="宋体" w:hAnsi="宋体" w:eastAsia="宋体" w:cs="宋体"/>
          <w:b/>
          <w:bCs/>
          <w:color w:val="auto"/>
          <w:sz w:val="28"/>
          <w:szCs w:val="28"/>
          <w:highlight w:val="none"/>
        </w:rPr>
      </w:pPr>
    </w:p>
    <w:p w14:paraId="739A5AD0">
      <w:pPr>
        <w:autoSpaceDE w:val="0"/>
        <w:autoSpaceDN w:val="0"/>
        <w:adjustRightInd w:val="0"/>
        <w:spacing w:line="360" w:lineRule="auto"/>
        <w:jc w:val="center"/>
        <w:rPr>
          <w:rFonts w:hint="eastAsia" w:ascii="宋体" w:hAnsi="宋体" w:eastAsia="宋体" w:cs="宋体"/>
          <w:b/>
          <w:bCs/>
          <w:color w:val="auto"/>
          <w:sz w:val="28"/>
          <w:szCs w:val="28"/>
          <w:highlight w:val="none"/>
        </w:rPr>
      </w:pPr>
      <w:bookmarkStart w:id="825" w:name="_Toc518_WPSOffice_Level1"/>
      <w:r>
        <w:rPr>
          <w:rFonts w:hint="eastAsia" w:ascii="宋体" w:hAnsi="宋体" w:eastAsia="宋体" w:cs="宋体"/>
          <w:b/>
          <w:bCs/>
          <w:color w:val="auto"/>
          <w:sz w:val="28"/>
          <w:szCs w:val="28"/>
          <w:highlight w:val="none"/>
          <w:lang w:val="zh-CN"/>
        </w:rPr>
        <w:t>五、推荐中标人</w:t>
      </w:r>
      <w:bookmarkEnd w:id="825"/>
    </w:p>
    <w:p w14:paraId="660B18F2">
      <w:pPr>
        <w:autoSpaceDE w:val="0"/>
        <w:autoSpaceDN w:val="0"/>
        <w:adjustRightInd w:val="0"/>
        <w:spacing w:line="360" w:lineRule="auto"/>
        <w:ind w:left="525" w:leftChars="0" w:hanging="525" w:hangingChars="250"/>
        <w:jc w:val="left"/>
        <w:rPr>
          <w:rFonts w:hint="default" w:ascii="宋体" w:hAnsi="宋体" w:eastAsia="宋体" w:cs="Times New Roman"/>
          <w:color w:val="auto"/>
          <w:kern w:val="0"/>
          <w:szCs w:val="21"/>
          <w:highlight w:val="none"/>
          <w:lang w:val="en-US" w:eastAsia="zh-CN"/>
        </w:rPr>
      </w:pPr>
      <w:r>
        <w:rPr>
          <w:rFonts w:ascii="宋体" w:hAnsi="宋体" w:eastAsia="宋体" w:cs="宋体"/>
          <w:color w:val="auto"/>
          <w:kern w:val="0"/>
          <w:szCs w:val="21"/>
          <w:highlight w:val="none"/>
        </w:rPr>
        <w:t>13</w:t>
      </w:r>
      <w:r>
        <w:rPr>
          <w:rFonts w:hint="eastAsia" w:ascii="宋体" w:hAnsi="宋体" w:eastAsia="宋体" w:cs="宋体"/>
          <w:color w:val="auto"/>
          <w:kern w:val="0"/>
          <w:szCs w:val="21"/>
          <w:highlight w:val="none"/>
        </w:rPr>
        <w:t xml:space="preserve">.1 </w:t>
      </w:r>
      <w:r>
        <w:rPr>
          <w:rFonts w:hint="eastAsia" w:ascii="宋体" w:hAnsi="宋体" w:eastAsia="宋体" w:cs="Times New Roman"/>
          <w:color w:val="auto"/>
          <w:szCs w:val="24"/>
          <w:highlight w:val="none"/>
          <w:lang w:val="zh-CN"/>
        </w:rPr>
        <w:t>评标委员会按评审后得分由高到低顺序排列</w:t>
      </w:r>
      <w:r>
        <w:rPr>
          <w:rFonts w:hint="eastAsia" w:ascii="宋体" w:hAnsi="宋体" w:eastAsia="宋体" w:cs="Times New Roman"/>
          <w:color w:val="auto"/>
          <w:kern w:val="0"/>
          <w:szCs w:val="21"/>
          <w:highlight w:val="none"/>
        </w:rPr>
        <w:t>，如果有两个或以上的投标人的最后综合得分相同，则按技术标的评标得分高低排出次序，得分高的排前，得分低的排后。如果出现投标人的最后综合得分及技术标得分均相同时，</w:t>
      </w:r>
      <w:r>
        <w:rPr>
          <w:rFonts w:hint="eastAsia" w:ascii="宋体" w:hAnsi="宋体" w:eastAsia="宋体" w:cs="Times New Roman"/>
          <w:color w:val="auto"/>
          <w:kern w:val="0"/>
          <w:szCs w:val="21"/>
          <w:highlight w:val="none"/>
          <w:lang w:val="en-US" w:eastAsia="zh-CN"/>
        </w:rPr>
        <w:t>则按技术标第1项“用户需求响应程度”</w:t>
      </w:r>
      <w:r>
        <w:rPr>
          <w:rFonts w:hint="eastAsia" w:ascii="宋体" w:hAnsi="宋体" w:eastAsia="宋体" w:cs="Times New Roman"/>
          <w:color w:val="auto"/>
          <w:kern w:val="0"/>
          <w:szCs w:val="21"/>
          <w:highlight w:val="none"/>
        </w:rPr>
        <w:t>评标得分高低排出次序</w:t>
      </w:r>
      <w:r>
        <w:rPr>
          <w:rFonts w:hint="eastAsia" w:ascii="宋体" w:hAnsi="宋体" w:eastAsia="宋体" w:cs="Times New Roman"/>
          <w:color w:val="auto"/>
          <w:kern w:val="0"/>
          <w:szCs w:val="21"/>
          <w:highlight w:val="none"/>
          <w:lang w:eastAsia="zh-CN"/>
        </w:rPr>
        <w:t>；</w:t>
      </w:r>
      <w:r>
        <w:rPr>
          <w:rFonts w:hint="eastAsia" w:ascii="宋体" w:hAnsi="宋体" w:eastAsia="宋体" w:cs="Times New Roman"/>
          <w:color w:val="auto"/>
          <w:kern w:val="0"/>
          <w:szCs w:val="21"/>
          <w:highlight w:val="none"/>
          <w:lang w:val="en-US" w:eastAsia="zh-CN"/>
        </w:rPr>
        <w:t>如果出现技术标第1项</w:t>
      </w:r>
      <w:r>
        <w:rPr>
          <w:rFonts w:hint="eastAsia" w:ascii="宋体" w:hAnsi="宋体" w:eastAsia="宋体" w:cs="Times New Roman"/>
          <w:color w:val="auto"/>
          <w:kern w:val="0"/>
          <w:szCs w:val="21"/>
          <w:highlight w:val="none"/>
        </w:rPr>
        <w:t>评标得分</w:t>
      </w:r>
      <w:r>
        <w:rPr>
          <w:rFonts w:hint="eastAsia" w:ascii="宋体" w:hAnsi="宋体" w:eastAsia="宋体" w:cs="Times New Roman"/>
          <w:color w:val="auto"/>
          <w:kern w:val="0"/>
          <w:szCs w:val="21"/>
          <w:highlight w:val="none"/>
          <w:lang w:val="en-US" w:eastAsia="zh-CN"/>
        </w:rPr>
        <w:t>相同时，则按技术标第2项“拟投入本项目人员情况”</w:t>
      </w:r>
      <w:r>
        <w:rPr>
          <w:rFonts w:hint="eastAsia" w:ascii="宋体" w:hAnsi="宋体" w:eastAsia="宋体" w:cs="Times New Roman"/>
          <w:color w:val="auto"/>
          <w:kern w:val="0"/>
          <w:szCs w:val="21"/>
          <w:highlight w:val="none"/>
        </w:rPr>
        <w:t>评标得分高低排出次序</w:t>
      </w:r>
      <w:r>
        <w:rPr>
          <w:rFonts w:hint="eastAsia" w:ascii="宋体" w:hAnsi="宋体" w:eastAsia="宋体" w:cs="Times New Roman"/>
          <w:color w:val="auto"/>
          <w:kern w:val="0"/>
          <w:szCs w:val="21"/>
          <w:highlight w:val="none"/>
          <w:lang w:eastAsia="zh-CN"/>
        </w:rPr>
        <w:t>；</w:t>
      </w:r>
      <w:r>
        <w:rPr>
          <w:rFonts w:hint="eastAsia" w:ascii="宋体" w:hAnsi="宋体" w:eastAsia="宋体" w:cs="Times New Roman"/>
          <w:color w:val="auto"/>
          <w:kern w:val="0"/>
          <w:szCs w:val="21"/>
          <w:highlight w:val="none"/>
          <w:lang w:val="en-US" w:eastAsia="zh-CN"/>
        </w:rPr>
        <w:t>如果出现技术标第1项及第2项</w:t>
      </w:r>
      <w:r>
        <w:rPr>
          <w:rFonts w:hint="eastAsia" w:ascii="宋体" w:hAnsi="宋体" w:eastAsia="宋体" w:cs="Times New Roman"/>
          <w:color w:val="auto"/>
          <w:kern w:val="0"/>
          <w:szCs w:val="21"/>
          <w:highlight w:val="none"/>
        </w:rPr>
        <w:t>评标得分</w:t>
      </w:r>
      <w:r>
        <w:rPr>
          <w:rFonts w:hint="eastAsia" w:ascii="宋体" w:hAnsi="宋体" w:eastAsia="宋体" w:cs="Times New Roman"/>
          <w:color w:val="auto"/>
          <w:kern w:val="0"/>
          <w:szCs w:val="21"/>
          <w:highlight w:val="none"/>
          <w:lang w:val="en-US" w:eastAsia="zh-CN"/>
        </w:rPr>
        <w:t>相同时，则按技术标第3项“</w:t>
      </w:r>
      <w:r>
        <w:rPr>
          <w:rFonts w:hint="default" w:ascii="宋体" w:hAnsi="宋体" w:eastAsia="宋体" w:cs="宋体"/>
          <w:color w:val="auto"/>
          <w:kern w:val="0"/>
          <w:szCs w:val="21"/>
          <w:highlight w:val="none"/>
        </w:rPr>
        <w:t>供水抢修专项方案</w:t>
      </w:r>
      <w:r>
        <w:rPr>
          <w:rFonts w:hint="eastAsia" w:ascii="宋体" w:hAnsi="宋体" w:eastAsia="宋体" w:cs="Times New Roman"/>
          <w:color w:val="auto"/>
          <w:kern w:val="0"/>
          <w:szCs w:val="21"/>
          <w:highlight w:val="none"/>
          <w:lang w:val="en-US" w:eastAsia="zh-CN"/>
        </w:rPr>
        <w:t>”</w:t>
      </w:r>
      <w:r>
        <w:rPr>
          <w:rFonts w:hint="eastAsia" w:ascii="宋体" w:hAnsi="宋体" w:eastAsia="宋体" w:cs="Times New Roman"/>
          <w:color w:val="auto"/>
          <w:kern w:val="0"/>
          <w:szCs w:val="21"/>
          <w:highlight w:val="none"/>
        </w:rPr>
        <w:t>评标得分高低排出次序</w:t>
      </w:r>
      <w:r>
        <w:rPr>
          <w:rFonts w:hint="eastAsia" w:ascii="宋体" w:hAnsi="宋体" w:eastAsia="宋体" w:cs="Times New Roman"/>
          <w:color w:val="auto"/>
          <w:kern w:val="0"/>
          <w:szCs w:val="21"/>
          <w:highlight w:val="none"/>
          <w:lang w:eastAsia="zh-CN"/>
        </w:rPr>
        <w:t>；</w:t>
      </w:r>
      <w:r>
        <w:rPr>
          <w:rFonts w:hint="eastAsia" w:ascii="宋体" w:hAnsi="宋体" w:eastAsia="宋体" w:cs="Times New Roman"/>
          <w:color w:val="auto"/>
          <w:kern w:val="0"/>
          <w:szCs w:val="21"/>
          <w:highlight w:val="none"/>
          <w:lang w:val="en-US" w:eastAsia="zh-CN"/>
        </w:rPr>
        <w:t>如此类推。如按上述排序方式仍无法确定排序次序时，则由评标委员会在评审现场采取摇珠方式，按照先摇出的排序在前，后摇出的排序在后的原则进行排序。</w:t>
      </w:r>
    </w:p>
    <w:p w14:paraId="0EB50DEF">
      <w:pPr>
        <w:autoSpaceDE w:val="0"/>
        <w:autoSpaceDN w:val="0"/>
        <w:adjustRightInd w:val="0"/>
        <w:spacing w:line="360" w:lineRule="auto"/>
        <w:ind w:left="525" w:leftChars="0" w:hanging="525" w:hangingChars="250"/>
        <w:jc w:val="left"/>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13.2 评标委员会将按以下方法推荐中标候选人：</w:t>
      </w:r>
    </w:p>
    <w:p w14:paraId="7EAD123E">
      <w:pPr>
        <w:autoSpaceDE w:val="0"/>
        <w:autoSpaceDN w:val="0"/>
        <w:adjustRightInd w:val="0"/>
        <w:spacing w:line="360" w:lineRule="auto"/>
        <w:ind w:left="525" w:leftChars="0" w:hanging="525" w:hangingChars="250"/>
        <w:jc w:val="left"/>
        <w:rPr>
          <w:rFonts w:hint="default"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13.2.1 得出各投标人的最终综合得分排列顺序后，评标委员会首先按最终综合得分排列顺序，再按投标人填报的《投标意向区域表》为每个片区推荐十名中标候选人（若某片区最终可推荐的投标人不足十家时，则根据实际情况推荐）；</w:t>
      </w:r>
    </w:p>
    <w:p w14:paraId="5EF6A482">
      <w:pPr>
        <w:autoSpaceDE w:val="0"/>
        <w:autoSpaceDN w:val="0"/>
        <w:adjustRightInd w:val="0"/>
        <w:spacing w:line="360" w:lineRule="auto"/>
        <w:ind w:left="525" w:leftChars="0" w:hanging="525" w:hangingChars="250"/>
        <w:jc w:val="left"/>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13.2.2 评标委员会将根据投标人填报的第一意向区域、第二意向区域、第三意向区域的顺序及按13.2.4 中标候选人推荐方法表进行推荐；</w:t>
      </w:r>
    </w:p>
    <w:p w14:paraId="5165159B">
      <w:pPr>
        <w:autoSpaceDE w:val="0"/>
        <w:autoSpaceDN w:val="0"/>
        <w:adjustRightInd w:val="0"/>
        <w:spacing w:line="360" w:lineRule="auto"/>
        <w:ind w:left="525" w:leftChars="0" w:hanging="525" w:hangingChars="250"/>
        <w:jc w:val="left"/>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13.2.3 当某投标人已在某片区被推荐为第一、第二、第三、第四、第五中标候选人时，则该投标人不再在其他片区被推荐为中标候选人；</w:t>
      </w:r>
    </w:p>
    <w:p w14:paraId="1651AF22">
      <w:pPr>
        <w:autoSpaceDE w:val="0"/>
        <w:autoSpaceDN w:val="0"/>
        <w:adjustRightInd w:val="0"/>
        <w:spacing w:line="360" w:lineRule="auto"/>
        <w:ind w:left="525" w:leftChars="0" w:hanging="525" w:hangingChars="250"/>
        <w:jc w:val="left"/>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13.2.4 中标候选人推荐方法表：</w:t>
      </w:r>
    </w:p>
    <w:tbl>
      <w:tblPr>
        <w:tblStyle w:val="3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8"/>
        <w:gridCol w:w="1715"/>
        <w:gridCol w:w="4962"/>
        <w:gridCol w:w="2801"/>
      </w:tblGrid>
      <w:tr w14:paraId="61111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CBD5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情况类别</w:t>
            </w:r>
          </w:p>
        </w:tc>
        <w:tc>
          <w:tcPr>
            <w:tcW w:w="8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87B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投标人意向区域填报情形</w:t>
            </w:r>
          </w:p>
        </w:tc>
        <w:tc>
          <w:tcPr>
            <w:tcW w:w="2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CD7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填报的意向区域中标候选人已推荐情况</w:t>
            </w:r>
          </w:p>
        </w:tc>
        <w:tc>
          <w:tcPr>
            <w:tcW w:w="1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F51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如何推荐</w:t>
            </w:r>
          </w:p>
        </w:tc>
      </w:tr>
      <w:tr w14:paraId="370D5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C165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①</w:t>
            </w:r>
          </w:p>
        </w:tc>
        <w:tc>
          <w:tcPr>
            <w:tcW w:w="8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20916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当投标人填报了1个意向区域时</w:t>
            </w:r>
          </w:p>
        </w:tc>
        <w:tc>
          <w:tcPr>
            <w:tcW w:w="2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8FB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该区域中标候选人已推荐＜5名</w:t>
            </w:r>
          </w:p>
        </w:tc>
        <w:tc>
          <w:tcPr>
            <w:tcW w:w="1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06F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被推荐为填报区域的第一或第二或第三或第四或第五中标候选人</w:t>
            </w:r>
          </w:p>
        </w:tc>
      </w:tr>
      <w:tr w14:paraId="2AC0C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777A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②</w:t>
            </w: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EA6C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2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AF9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5名≤该区域中标候选人已推荐＜10名</w:t>
            </w:r>
          </w:p>
        </w:tc>
        <w:tc>
          <w:tcPr>
            <w:tcW w:w="1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A3E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被推荐为填报区域的第六或第七或第八或第九或第十中标候选人</w:t>
            </w:r>
          </w:p>
        </w:tc>
      </w:tr>
      <w:tr w14:paraId="139A5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1485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③</w:t>
            </w: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80A5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2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9A8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该区域中标候选人已推荐≥10名</w:t>
            </w:r>
          </w:p>
        </w:tc>
        <w:tc>
          <w:tcPr>
            <w:tcW w:w="1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60C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落选</w:t>
            </w:r>
          </w:p>
        </w:tc>
      </w:tr>
      <w:tr w14:paraId="55AE3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7114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④</w:t>
            </w:r>
          </w:p>
        </w:tc>
        <w:tc>
          <w:tcPr>
            <w:tcW w:w="8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A372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当投标人填报了2个意向区域时</w:t>
            </w:r>
          </w:p>
        </w:tc>
        <w:tc>
          <w:tcPr>
            <w:tcW w:w="2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5F5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第一意向区域中标候选人已推荐＜5名</w:t>
            </w:r>
          </w:p>
        </w:tc>
        <w:tc>
          <w:tcPr>
            <w:tcW w:w="1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EFF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被推荐为第一意向区域的第一或第二或第三或第四或第五中标候选人</w:t>
            </w:r>
          </w:p>
        </w:tc>
      </w:tr>
      <w:tr w14:paraId="03298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2BE1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⑤</w:t>
            </w: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B7BE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2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F27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5名≤第一意向区域中标候选人已推荐＜10名</w:t>
            </w:r>
          </w:p>
          <w:p w14:paraId="49ECFE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且</w:t>
            </w:r>
          </w:p>
          <w:p w14:paraId="389CE6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第二意向区域中标候选人已推荐＜5名</w:t>
            </w:r>
          </w:p>
        </w:tc>
        <w:tc>
          <w:tcPr>
            <w:tcW w:w="1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2FE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被推荐为第二意向区域的第一或第二或第三或第四或第五中标候选人</w:t>
            </w:r>
          </w:p>
        </w:tc>
      </w:tr>
      <w:tr w14:paraId="7D7A7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D82F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⑥</w:t>
            </w: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778A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2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317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5名≤第一意向区域中标候选人已推荐＜10名</w:t>
            </w:r>
          </w:p>
        </w:tc>
        <w:tc>
          <w:tcPr>
            <w:tcW w:w="1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27D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被推荐为第一意向区域的第六或第七或第八或第九或第十中标候选人</w:t>
            </w:r>
          </w:p>
        </w:tc>
      </w:tr>
      <w:tr w14:paraId="31D0B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7C8C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⑦</w:t>
            </w: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AE4C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2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C3E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第一意向区域中标候选人已推荐≥10名</w:t>
            </w:r>
          </w:p>
          <w:p w14:paraId="02F714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且</w:t>
            </w:r>
          </w:p>
          <w:p w14:paraId="07753F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5名≤第二意向区域中标候选人已推荐＜10名</w:t>
            </w:r>
          </w:p>
        </w:tc>
        <w:tc>
          <w:tcPr>
            <w:tcW w:w="1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CC7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被推荐为第二意向区域的第六或第七或第八或第九或第十中标候选人</w:t>
            </w:r>
          </w:p>
        </w:tc>
      </w:tr>
      <w:tr w14:paraId="708C1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A724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⑧</w:t>
            </w: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5FCB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2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2BA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第一意向区域中标候选人已推荐≥10名</w:t>
            </w:r>
          </w:p>
          <w:p w14:paraId="6B4088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且</w:t>
            </w:r>
          </w:p>
          <w:p w14:paraId="0A4091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第二意向区域中标候选人已推荐≥10名</w:t>
            </w:r>
          </w:p>
        </w:tc>
        <w:tc>
          <w:tcPr>
            <w:tcW w:w="1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90D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落选</w:t>
            </w:r>
          </w:p>
        </w:tc>
      </w:tr>
      <w:tr w14:paraId="51B4F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8696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⑨</w:t>
            </w:r>
          </w:p>
        </w:tc>
        <w:tc>
          <w:tcPr>
            <w:tcW w:w="8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35F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当投标人填报了3个意向区域时</w:t>
            </w:r>
          </w:p>
        </w:tc>
        <w:tc>
          <w:tcPr>
            <w:tcW w:w="2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0EE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第一意向区域中标候选人已推荐＜5名</w:t>
            </w:r>
          </w:p>
        </w:tc>
        <w:tc>
          <w:tcPr>
            <w:tcW w:w="1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4E6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被推荐为第一意向区域的第一或第二或第三或第四或第五中标候选人</w:t>
            </w:r>
          </w:p>
        </w:tc>
      </w:tr>
      <w:tr w14:paraId="247D1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8B3CD">
            <w:pPr>
              <w:keepNext w:val="0"/>
              <w:keepLines w:val="0"/>
              <w:suppressLineNumbers w:val="0"/>
              <w:spacing w:before="0" w:beforeAutospacing="0" w:after="0" w:afterAutospacing="0"/>
              <w:ind w:left="0" w:right="0"/>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⑩</w:t>
            </w: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7712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2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18E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5名≤第一意向区域中标候选人已推荐＜10名</w:t>
            </w:r>
          </w:p>
          <w:p w14:paraId="682CB4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且</w:t>
            </w:r>
          </w:p>
          <w:p w14:paraId="43D80A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第二意向区域中标候选人已推荐＜5名</w:t>
            </w:r>
          </w:p>
        </w:tc>
        <w:tc>
          <w:tcPr>
            <w:tcW w:w="1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17C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被推荐为第二意向区域的第一或第二或第三或第四或第五中标候选人</w:t>
            </w:r>
          </w:p>
        </w:tc>
      </w:tr>
      <w:tr w14:paraId="3F5EE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A83C4">
            <w:pPr>
              <w:keepNext w:val="0"/>
              <w:keepLines w:val="0"/>
              <w:suppressLineNumbers w:val="0"/>
              <w:spacing w:before="0" w:beforeAutospacing="0" w:after="0" w:afterAutospacing="0"/>
              <w:ind w:left="0" w:right="0"/>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fldChar w:fldCharType="begin"/>
            </w:r>
            <w:r>
              <w:rPr>
                <w:rFonts w:hint="eastAsia" w:ascii="宋体" w:hAnsi="宋体" w:eastAsia="宋体" w:cs="宋体"/>
                <w:i w:val="0"/>
                <w:iCs w:val="0"/>
                <w:color w:val="auto"/>
                <w:sz w:val="21"/>
                <w:szCs w:val="21"/>
                <w:highlight w:val="none"/>
                <w:u w:val="none"/>
                <w:lang w:val="en-US" w:eastAsia="zh-CN"/>
              </w:rPr>
              <w:instrText xml:space="preserve"> EQ \o\ac(○,</w:instrText>
            </w:r>
            <w:r>
              <w:rPr>
                <w:rFonts w:hint="eastAsia" w:ascii="宋体" w:hAnsi="宋体" w:eastAsia="宋体" w:cs="宋体"/>
                <w:i w:val="0"/>
                <w:iCs w:val="0"/>
                <w:color w:val="auto"/>
                <w:position w:val="2"/>
                <w:sz w:val="14"/>
                <w:szCs w:val="21"/>
                <w:highlight w:val="none"/>
                <w:u w:val="none"/>
                <w:lang w:val="en-US" w:eastAsia="zh-CN"/>
              </w:rPr>
              <w:instrText xml:space="preserve">11</w:instrText>
            </w:r>
            <w:r>
              <w:rPr>
                <w:rFonts w:hint="eastAsia" w:ascii="宋体" w:hAnsi="宋体" w:eastAsia="宋体" w:cs="宋体"/>
                <w:i w:val="0"/>
                <w:iCs w:val="0"/>
                <w:color w:val="auto"/>
                <w:sz w:val="21"/>
                <w:szCs w:val="21"/>
                <w:highlight w:val="none"/>
                <w:u w:val="none"/>
                <w:lang w:val="en-US" w:eastAsia="zh-CN"/>
              </w:rPr>
              <w:instrText xml:space="preserve">)</w:instrText>
            </w:r>
            <w:r>
              <w:rPr>
                <w:rFonts w:hint="eastAsia" w:ascii="宋体" w:hAnsi="宋体" w:eastAsia="宋体" w:cs="宋体"/>
                <w:i w:val="0"/>
                <w:iCs w:val="0"/>
                <w:color w:val="auto"/>
                <w:sz w:val="21"/>
                <w:szCs w:val="21"/>
                <w:highlight w:val="none"/>
                <w:u w:val="none"/>
                <w:lang w:val="en-US" w:eastAsia="zh-CN"/>
              </w:rPr>
              <w:fldChar w:fldCharType="end"/>
            </w: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9BDA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2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98E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5名≤第一意向区域中标候选人已推荐＜10名</w:t>
            </w:r>
          </w:p>
          <w:p w14:paraId="553E55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且</w:t>
            </w:r>
          </w:p>
          <w:p w14:paraId="3A1A15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5名≤第二意向区域中标候选人已推荐＜10名</w:t>
            </w:r>
          </w:p>
          <w:p w14:paraId="07214D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且</w:t>
            </w:r>
          </w:p>
          <w:p w14:paraId="3C11C0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第三意向区域中标候选人已推荐＜5名</w:t>
            </w:r>
          </w:p>
        </w:tc>
        <w:tc>
          <w:tcPr>
            <w:tcW w:w="1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FF9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被推荐为第三意向区域的第一或第二或第三或第四或第五中标候选人</w:t>
            </w:r>
          </w:p>
        </w:tc>
      </w:tr>
      <w:tr w14:paraId="2920F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0A511">
            <w:pPr>
              <w:keepNext w:val="0"/>
              <w:keepLines w:val="0"/>
              <w:suppressLineNumbers w:val="0"/>
              <w:spacing w:before="0" w:beforeAutospacing="0" w:after="0" w:afterAutospacing="0"/>
              <w:ind w:left="0" w:right="0"/>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fldChar w:fldCharType="begin"/>
            </w:r>
            <w:r>
              <w:rPr>
                <w:rFonts w:hint="eastAsia" w:ascii="宋体" w:hAnsi="宋体" w:eastAsia="宋体" w:cs="宋体"/>
                <w:i w:val="0"/>
                <w:iCs w:val="0"/>
                <w:color w:val="auto"/>
                <w:sz w:val="21"/>
                <w:szCs w:val="21"/>
                <w:highlight w:val="none"/>
                <w:u w:val="none"/>
                <w:lang w:val="en-US" w:eastAsia="zh-CN"/>
              </w:rPr>
              <w:instrText xml:space="preserve"> EQ \o\ac(○,</w:instrText>
            </w:r>
            <w:r>
              <w:rPr>
                <w:rFonts w:hint="eastAsia" w:ascii="宋体" w:hAnsi="宋体" w:eastAsia="宋体" w:cs="宋体"/>
                <w:i w:val="0"/>
                <w:iCs w:val="0"/>
                <w:color w:val="auto"/>
                <w:position w:val="2"/>
                <w:sz w:val="14"/>
                <w:szCs w:val="21"/>
                <w:highlight w:val="none"/>
                <w:u w:val="none"/>
                <w:lang w:val="en-US" w:eastAsia="zh-CN"/>
              </w:rPr>
              <w:instrText xml:space="preserve">12</w:instrText>
            </w:r>
            <w:r>
              <w:rPr>
                <w:rFonts w:hint="eastAsia" w:ascii="宋体" w:hAnsi="宋体" w:eastAsia="宋体" w:cs="宋体"/>
                <w:i w:val="0"/>
                <w:iCs w:val="0"/>
                <w:color w:val="auto"/>
                <w:sz w:val="21"/>
                <w:szCs w:val="21"/>
                <w:highlight w:val="none"/>
                <w:u w:val="none"/>
                <w:lang w:val="en-US" w:eastAsia="zh-CN"/>
              </w:rPr>
              <w:instrText xml:space="preserve">)</w:instrText>
            </w:r>
            <w:r>
              <w:rPr>
                <w:rFonts w:hint="eastAsia" w:ascii="宋体" w:hAnsi="宋体" w:eastAsia="宋体" w:cs="宋体"/>
                <w:i w:val="0"/>
                <w:iCs w:val="0"/>
                <w:color w:val="auto"/>
                <w:sz w:val="21"/>
                <w:szCs w:val="21"/>
                <w:highlight w:val="none"/>
                <w:u w:val="none"/>
                <w:lang w:val="en-US" w:eastAsia="zh-CN"/>
              </w:rPr>
              <w:fldChar w:fldCharType="end"/>
            </w: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1989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2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30B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5名≤第一意向区域中标候选人已推荐＜10名</w:t>
            </w:r>
          </w:p>
        </w:tc>
        <w:tc>
          <w:tcPr>
            <w:tcW w:w="1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010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被推荐为第一意向区域的第六或第七或第八或第九或第十中标候选人</w:t>
            </w:r>
          </w:p>
        </w:tc>
      </w:tr>
      <w:tr w14:paraId="569CB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6FC6F">
            <w:pPr>
              <w:keepNext w:val="0"/>
              <w:keepLines w:val="0"/>
              <w:suppressLineNumbers w:val="0"/>
              <w:spacing w:before="0" w:beforeAutospacing="0" w:after="0" w:afterAutospacing="0"/>
              <w:ind w:left="0" w:right="0"/>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fldChar w:fldCharType="begin"/>
            </w:r>
            <w:r>
              <w:rPr>
                <w:rFonts w:hint="eastAsia" w:ascii="宋体" w:hAnsi="宋体" w:eastAsia="宋体" w:cs="宋体"/>
                <w:i w:val="0"/>
                <w:iCs w:val="0"/>
                <w:color w:val="auto"/>
                <w:sz w:val="21"/>
                <w:szCs w:val="21"/>
                <w:highlight w:val="none"/>
                <w:u w:val="none"/>
                <w:lang w:val="en-US" w:eastAsia="zh-CN"/>
              </w:rPr>
              <w:instrText xml:space="preserve"> EQ \o\ac(○,</w:instrText>
            </w:r>
            <w:r>
              <w:rPr>
                <w:rFonts w:hint="eastAsia" w:ascii="宋体" w:hAnsi="宋体" w:eastAsia="宋体" w:cs="宋体"/>
                <w:i w:val="0"/>
                <w:iCs w:val="0"/>
                <w:color w:val="auto"/>
                <w:position w:val="2"/>
                <w:sz w:val="14"/>
                <w:szCs w:val="21"/>
                <w:highlight w:val="none"/>
                <w:u w:val="none"/>
                <w:lang w:val="en-US" w:eastAsia="zh-CN"/>
              </w:rPr>
              <w:instrText xml:space="preserve">13</w:instrText>
            </w:r>
            <w:r>
              <w:rPr>
                <w:rFonts w:hint="eastAsia" w:ascii="宋体" w:hAnsi="宋体" w:eastAsia="宋体" w:cs="宋体"/>
                <w:i w:val="0"/>
                <w:iCs w:val="0"/>
                <w:color w:val="auto"/>
                <w:sz w:val="21"/>
                <w:szCs w:val="21"/>
                <w:highlight w:val="none"/>
                <w:u w:val="none"/>
                <w:lang w:val="en-US" w:eastAsia="zh-CN"/>
              </w:rPr>
              <w:instrText xml:space="preserve">)</w:instrText>
            </w:r>
            <w:r>
              <w:rPr>
                <w:rFonts w:hint="eastAsia" w:ascii="宋体" w:hAnsi="宋体" w:eastAsia="宋体" w:cs="宋体"/>
                <w:i w:val="0"/>
                <w:iCs w:val="0"/>
                <w:color w:val="auto"/>
                <w:sz w:val="21"/>
                <w:szCs w:val="21"/>
                <w:highlight w:val="none"/>
                <w:u w:val="none"/>
                <w:lang w:val="en-US" w:eastAsia="zh-CN"/>
              </w:rPr>
              <w:fldChar w:fldCharType="end"/>
            </w: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B73B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2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206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第一意向区域中标候选人已推荐≥10名</w:t>
            </w:r>
          </w:p>
          <w:p w14:paraId="02681C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且</w:t>
            </w:r>
          </w:p>
          <w:p w14:paraId="10F1DD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5名≤第二意向区域中标候选人已推荐＜10名</w:t>
            </w:r>
          </w:p>
        </w:tc>
        <w:tc>
          <w:tcPr>
            <w:tcW w:w="1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2AF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被推荐为第二意向区域的第六或第七或第八或第九或第十中标候选人</w:t>
            </w:r>
          </w:p>
        </w:tc>
      </w:tr>
      <w:tr w14:paraId="38DF7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EAFE3">
            <w:pPr>
              <w:keepNext w:val="0"/>
              <w:keepLines w:val="0"/>
              <w:suppressLineNumbers w:val="0"/>
              <w:spacing w:before="0" w:beforeAutospacing="0" w:after="0" w:afterAutospacing="0"/>
              <w:ind w:left="0" w:right="0"/>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fldChar w:fldCharType="begin"/>
            </w:r>
            <w:r>
              <w:rPr>
                <w:rFonts w:hint="eastAsia" w:ascii="宋体" w:hAnsi="宋体" w:eastAsia="宋体" w:cs="宋体"/>
                <w:i w:val="0"/>
                <w:iCs w:val="0"/>
                <w:color w:val="auto"/>
                <w:sz w:val="21"/>
                <w:szCs w:val="21"/>
                <w:highlight w:val="none"/>
                <w:u w:val="none"/>
                <w:lang w:val="en-US" w:eastAsia="zh-CN"/>
              </w:rPr>
              <w:instrText xml:space="preserve"> EQ \o\ac(○,</w:instrText>
            </w:r>
            <w:r>
              <w:rPr>
                <w:rFonts w:hint="eastAsia" w:ascii="宋体" w:hAnsi="宋体" w:eastAsia="宋体" w:cs="宋体"/>
                <w:i w:val="0"/>
                <w:iCs w:val="0"/>
                <w:color w:val="auto"/>
                <w:position w:val="2"/>
                <w:sz w:val="14"/>
                <w:szCs w:val="21"/>
                <w:highlight w:val="none"/>
                <w:u w:val="none"/>
                <w:lang w:val="en-US" w:eastAsia="zh-CN"/>
              </w:rPr>
              <w:instrText xml:space="preserve">14</w:instrText>
            </w:r>
            <w:r>
              <w:rPr>
                <w:rFonts w:hint="eastAsia" w:ascii="宋体" w:hAnsi="宋体" w:eastAsia="宋体" w:cs="宋体"/>
                <w:i w:val="0"/>
                <w:iCs w:val="0"/>
                <w:color w:val="auto"/>
                <w:sz w:val="21"/>
                <w:szCs w:val="21"/>
                <w:highlight w:val="none"/>
                <w:u w:val="none"/>
                <w:lang w:val="en-US" w:eastAsia="zh-CN"/>
              </w:rPr>
              <w:instrText xml:space="preserve">)</w:instrText>
            </w:r>
            <w:r>
              <w:rPr>
                <w:rFonts w:hint="eastAsia" w:ascii="宋体" w:hAnsi="宋体" w:eastAsia="宋体" w:cs="宋体"/>
                <w:i w:val="0"/>
                <w:iCs w:val="0"/>
                <w:color w:val="auto"/>
                <w:sz w:val="21"/>
                <w:szCs w:val="21"/>
                <w:highlight w:val="none"/>
                <w:u w:val="none"/>
                <w:lang w:val="en-US" w:eastAsia="zh-CN"/>
              </w:rPr>
              <w:fldChar w:fldCharType="end"/>
            </w: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7E24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2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294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第一意向区域中标候选人已推荐≥10名</w:t>
            </w:r>
          </w:p>
          <w:p w14:paraId="335AD8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且</w:t>
            </w:r>
          </w:p>
          <w:p w14:paraId="7EED5E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第二意向区域中标候选人已推荐≥10名</w:t>
            </w:r>
          </w:p>
          <w:p w14:paraId="703270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且</w:t>
            </w:r>
          </w:p>
          <w:p w14:paraId="25E542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5名≤第三意向区域中标候选人已推荐＜10名</w:t>
            </w:r>
          </w:p>
        </w:tc>
        <w:tc>
          <w:tcPr>
            <w:tcW w:w="1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FC2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被推荐为第三意向区域的第六或第七或第八或第九或第十中标候选人</w:t>
            </w:r>
          </w:p>
        </w:tc>
      </w:tr>
      <w:tr w14:paraId="26414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0E4F1">
            <w:pPr>
              <w:keepNext w:val="0"/>
              <w:keepLines w:val="0"/>
              <w:suppressLineNumbers w:val="0"/>
              <w:spacing w:before="0" w:beforeAutospacing="0" w:after="0" w:afterAutospacing="0"/>
              <w:ind w:left="0" w:right="0"/>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fldChar w:fldCharType="begin"/>
            </w:r>
            <w:r>
              <w:rPr>
                <w:rFonts w:hint="eastAsia" w:ascii="宋体" w:hAnsi="宋体" w:eastAsia="宋体" w:cs="宋体"/>
                <w:i w:val="0"/>
                <w:iCs w:val="0"/>
                <w:color w:val="auto"/>
                <w:sz w:val="21"/>
                <w:szCs w:val="21"/>
                <w:highlight w:val="none"/>
                <w:u w:val="none"/>
                <w:lang w:val="en-US" w:eastAsia="zh-CN"/>
              </w:rPr>
              <w:instrText xml:space="preserve"> EQ \o\ac(○,</w:instrText>
            </w:r>
            <w:r>
              <w:rPr>
                <w:rFonts w:hint="eastAsia" w:ascii="宋体" w:hAnsi="宋体" w:eastAsia="宋体" w:cs="宋体"/>
                <w:i w:val="0"/>
                <w:iCs w:val="0"/>
                <w:color w:val="auto"/>
                <w:position w:val="2"/>
                <w:sz w:val="14"/>
                <w:szCs w:val="21"/>
                <w:highlight w:val="none"/>
                <w:u w:val="none"/>
                <w:lang w:val="en-US" w:eastAsia="zh-CN"/>
              </w:rPr>
              <w:instrText xml:space="preserve">15</w:instrText>
            </w:r>
            <w:r>
              <w:rPr>
                <w:rFonts w:hint="eastAsia" w:ascii="宋体" w:hAnsi="宋体" w:eastAsia="宋体" w:cs="宋体"/>
                <w:i w:val="0"/>
                <w:iCs w:val="0"/>
                <w:color w:val="auto"/>
                <w:sz w:val="21"/>
                <w:szCs w:val="21"/>
                <w:highlight w:val="none"/>
                <w:u w:val="none"/>
                <w:lang w:val="en-US" w:eastAsia="zh-CN"/>
              </w:rPr>
              <w:instrText xml:space="preserve">)</w:instrText>
            </w:r>
            <w:r>
              <w:rPr>
                <w:rFonts w:hint="eastAsia" w:ascii="宋体" w:hAnsi="宋体" w:eastAsia="宋体" w:cs="宋体"/>
                <w:i w:val="0"/>
                <w:iCs w:val="0"/>
                <w:color w:val="auto"/>
                <w:sz w:val="21"/>
                <w:szCs w:val="21"/>
                <w:highlight w:val="none"/>
                <w:u w:val="none"/>
                <w:lang w:val="en-US" w:eastAsia="zh-CN"/>
              </w:rPr>
              <w:fldChar w:fldCharType="end"/>
            </w: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85D9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2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A91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第一意向区域中标候选人已推荐≥10名</w:t>
            </w:r>
          </w:p>
          <w:p w14:paraId="70E9E5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且</w:t>
            </w:r>
          </w:p>
          <w:p w14:paraId="6DE4EC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第二意向区域中标候选人已推荐≥10名</w:t>
            </w:r>
          </w:p>
          <w:p w14:paraId="4E7C02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且</w:t>
            </w:r>
          </w:p>
          <w:p w14:paraId="41239E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第三意向区域中标候选人已推荐≥10名</w:t>
            </w:r>
          </w:p>
        </w:tc>
        <w:tc>
          <w:tcPr>
            <w:tcW w:w="1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851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落选</w:t>
            </w:r>
          </w:p>
        </w:tc>
      </w:tr>
    </w:tbl>
    <w:p w14:paraId="31885016">
      <w:pPr>
        <w:widowControl/>
        <w:spacing w:before="164" w:beforeLines="50" w:line="360" w:lineRule="auto"/>
        <w:ind w:left="0" w:firstLine="0" w:firstLineChars="0"/>
        <w:jc w:val="left"/>
        <w:rPr>
          <w:rFonts w:hint="default" w:ascii="宋体" w:hAnsi="宋体" w:eastAsia="宋体" w:cs="宋体"/>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举例说明：</w:t>
      </w:r>
      <w:r>
        <w:rPr>
          <w:rFonts w:hint="eastAsia" w:ascii="宋体" w:hAnsi="宋体" w:eastAsia="宋体" w:cs="宋体"/>
          <w:color w:val="auto"/>
          <w:kern w:val="0"/>
          <w:szCs w:val="21"/>
          <w:highlight w:val="none"/>
          <w:lang w:val="en-US" w:eastAsia="zh-CN"/>
        </w:rPr>
        <w:t>以下将按上述推荐方法，在假设各投标人综合得分排名及其意向区域填报情况下，模拟各区域中标候选人的推荐情况：</w:t>
      </w:r>
    </w:p>
    <w:tbl>
      <w:tblPr>
        <w:tblStyle w:val="4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1589"/>
        <w:gridCol w:w="1589"/>
        <w:gridCol w:w="1589"/>
        <w:gridCol w:w="1595"/>
        <w:gridCol w:w="2418"/>
      </w:tblGrid>
      <w:tr w14:paraId="3D48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3" w:type="pct"/>
            <w:gridSpan w:val="5"/>
          </w:tcPr>
          <w:p w14:paraId="59EF60EE">
            <w:pPr>
              <w:keepNext w:val="0"/>
              <w:keepLines w:val="0"/>
              <w:widowControl/>
              <w:suppressLineNumbers w:val="0"/>
              <w:spacing w:before="164" w:beforeLines="50" w:beforeAutospacing="0" w:after="0" w:afterAutospacing="0" w:line="360" w:lineRule="auto"/>
              <w:ind w:left="0" w:right="0"/>
              <w:jc w:val="center"/>
              <w:rPr>
                <w:rFonts w:hint="default" w:ascii="宋体" w:hAnsi="宋体" w:eastAsia="宋体" w:cs="宋体"/>
                <w:b/>
                <w:bCs/>
                <w:color w:val="auto"/>
                <w:kern w:val="0"/>
                <w:szCs w:val="21"/>
                <w:highlight w:val="none"/>
                <w:vertAlign w:val="baseline"/>
                <w:lang w:val="en-US" w:eastAsia="zh-CN"/>
              </w:rPr>
            </w:pPr>
            <w:r>
              <w:rPr>
                <w:rFonts w:hint="eastAsia" w:ascii="宋体" w:hAnsi="宋体" w:eastAsia="宋体" w:cs="宋体"/>
                <w:b/>
                <w:bCs/>
                <w:color w:val="auto"/>
                <w:kern w:val="0"/>
                <w:szCs w:val="21"/>
                <w:highlight w:val="none"/>
                <w:vertAlign w:val="baseline"/>
                <w:lang w:val="en-US" w:eastAsia="zh-CN"/>
              </w:rPr>
              <w:t>各投标人综合得分排名及其意向区域填报情况</w:t>
            </w:r>
          </w:p>
        </w:tc>
        <w:tc>
          <w:tcPr>
            <w:tcW w:w="1166" w:type="pct"/>
            <w:vMerge w:val="restart"/>
            <w:vAlign w:val="center"/>
          </w:tcPr>
          <w:p w14:paraId="028669A9">
            <w:pPr>
              <w:keepNext w:val="0"/>
              <w:keepLines w:val="0"/>
              <w:widowControl/>
              <w:suppressLineNumbers w:val="0"/>
              <w:spacing w:before="164" w:beforeLines="50" w:beforeAutospacing="0" w:after="0" w:afterAutospacing="0" w:line="360" w:lineRule="auto"/>
              <w:ind w:left="0" w:right="0"/>
              <w:jc w:val="center"/>
              <w:rPr>
                <w:rFonts w:hint="default"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该投标人对应中标候选人推荐方法表的情况类别</w:t>
            </w:r>
          </w:p>
        </w:tc>
      </w:tr>
      <w:tr w14:paraId="5B3F1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vAlign w:val="center"/>
          </w:tcPr>
          <w:p w14:paraId="47CB0E46">
            <w:pPr>
              <w:keepNext w:val="0"/>
              <w:keepLines w:val="0"/>
              <w:widowControl/>
              <w:suppressLineNumbers w:val="0"/>
              <w:spacing w:before="164" w:beforeLines="50" w:beforeAutospacing="0" w:after="0" w:afterAutospacing="0" w:line="360" w:lineRule="auto"/>
              <w:ind w:left="0" w:right="0"/>
              <w:jc w:val="center"/>
              <w:rPr>
                <w:rFonts w:hint="default" w:ascii="宋体" w:hAnsi="宋体" w:eastAsia="宋体" w:cs="宋体"/>
                <w:b/>
                <w:bCs/>
                <w:color w:val="auto"/>
                <w:kern w:val="0"/>
                <w:szCs w:val="21"/>
                <w:highlight w:val="none"/>
                <w:vertAlign w:val="baseline"/>
                <w:lang w:val="en-US" w:eastAsia="zh-CN"/>
              </w:rPr>
            </w:pPr>
            <w:r>
              <w:rPr>
                <w:rFonts w:hint="eastAsia" w:ascii="宋体" w:hAnsi="宋体" w:eastAsia="宋体" w:cs="宋体"/>
                <w:b/>
                <w:bCs/>
                <w:color w:val="auto"/>
                <w:kern w:val="0"/>
                <w:szCs w:val="21"/>
                <w:highlight w:val="none"/>
                <w:vertAlign w:val="baseline"/>
                <w:lang w:val="en-US" w:eastAsia="zh-CN"/>
              </w:rPr>
              <w:t>综合得分排名</w:t>
            </w:r>
          </w:p>
        </w:tc>
        <w:tc>
          <w:tcPr>
            <w:tcW w:w="766" w:type="pct"/>
            <w:vAlign w:val="center"/>
          </w:tcPr>
          <w:p w14:paraId="55226981">
            <w:pPr>
              <w:keepNext w:val="0"/>
              <w:keepLines w:val="0"/>
              <w:widowControl/>
              <w:suppressLineNumbers w:val="0"/>
              <w:spacing w:before="164" w:beforeLines="50" w:beforeAutospacing="0" w:after="0" w:afterAutospacing="0" w:line="360" w:lineRule="auto"/>
              <w:ind w:left="0" w:right="0"/>
              <w:jc w:val="center"/>
              <w:rPr>
                <w:rFonts w:hint="default" w:ascii="宋体" w:hAnsi="宋体" w:eastAsia="宋体" w:cs="宋体"/>
                <w:b/>
                <w:bCs/>
                <w:color w:val="auto"/>
                <w:kern w:val="0"/>
                <w:szCs w:val="21"/>
                <w:highlight w:val="none"/>
                <w:vertAlign w:val="baseline"/>
                <w:lang w:val="en-US" w:eastAsia="zh-CN"/>
              </w:rPr>
            </w:pPr>
            <w:r>
              <w:rPr>
                <w:rFonts w:hint="eastAsia" w:ascii="宋体" w:hAnsi="宋体" w:eastAsia="宋体" w:cs="宋体"/>
                <w:b/>
                <w:bCs/>
                <w:color w:val="auto"/>
                <w:kern w:val="0"/>
                <w:szCs w:val="21"/>
                <w:highlight w:val="none"/>
                <w:vertAlign w:val="baseline"/>
                <w:lang w:val="en-US" w:eastAsia="zh-CN"/>
              </w:rPr>
              <w:t>投标人名称</w:t>
            </w:r>
          </w:p>
        </w:tc>
        <w:tc>
          <w:tcPr>
            <w:tcW w:w="766" w:type="pct"/>
            <w:vAlign w:val="center"/>
          </w:tcPr>
          <w:p w14:paraId="5BC03943">
            <w:pPr>
              <w:keepNext w:val="0"/>
              <w:keepLines w:val="0"/>
              <w:widowControl/>
              <w:suppressLineNumbers w:val="0"/>
              <w:spacing w:before="164" w:beforeLines="50" w:beforeAutospacing="0" w:after="0" w:afterAutospacing="0" w:line="360" w:lineRule="auto"/>
              <w:ind w:left="0" w:right="0"/>
              <w:jc w:val="center"/>
              <w:rPr>
                <w:rFonts w:hint="default" w:ascii="宋体" w:hAnsi="宋体" w:eastAsia="宋体" w:cs="宋体"/>
                <w:b/>
                <w:bCs/>
                <w:color w:val="auto"/>
                <w:kern w:val="0"/>
                <w:szCs w:val="21"/>
                <w:highlight w:val="none"/>
                <w:vertAlign w:val="baseline"/>
                <w:lang w:val="en-US" w:eastAsia="zh-CN"/>
              </w:rPr>
            </w:pPr>
            <w:r>
              <w:rPr>
                <w:rFonts w:hint="eastAsia" w:ascii="宋体" w:hAnsi="宋体" w:eastAsia="宋体" w:cs="宋体"/>
                <w:b/>
                <w:bCs/>
                <w:color w:val="auto"/>
                <w:kern w:val="0"/>
                <w:szCs w:val="21"/>
                <w:highlight w:val="none"/>
                <w:vertAlign w:val="baseline"/>
                <w:lang w:val="en-US" w:eastAsia="zh-CN"/>
              </w:rPr>
              <w:t>第一意向区域</w:t>
            </w:r>
          </w:p>
        </w:tc>
        <w:tc>
          <w:tcPr>
            <w:tcW w:w="766" w:type="pct"/>
            <w:vAlign w:val="center"/>
          </w:tcPr>
          <w:p w14:paraId="580A92C3">
            <w:pPr>
              <w:keepNext w:val="0"/>
              <w:keepLines w:val="0"/>
              <w:widowControl/>
              <w:suppressLineNumbers w:val="0"/>
              <w:spacing w:before="164" w:beforeLines="50" w:beforeAutospacing="0" w:after="0" w:afterAutospacing="0" w:line="360" w:lineRule="auto"/>
              <w:ind w:left="0" w:right="0"/>
              <w:jc w:val="center"/>
              <w:rPr>
                <w:rFonts w:hint="eastAsia" w:ascii="宋体" w:hAnsi="宋体" w:eastAsia="宋体" w:cs="宋体"/>
                <w:b/>
                <w:bCs/>
                <w:color w:val="auto"/>
                <w:kern w:val="0"/>
                <w:szCs w:val="21"/>
                <w:highlight w:val="none"/>
                <w:vertAlign w:val="baseline"/>
                <w:lang w:val="en-US" w:eastAsia="zh-CN"/>
              </w:rPr>
            </w:pPr>
            <w:r>
              <w:rPr>
                <w:rFonts w:hint="eastAsia" w:ascii="宋体" w:hAnsi="宋体" w:eastAsia="宋体" w:cs="宋体"/>
                <w:b/>
                <w:bCs/>
                <w:color w:val="auto"/>
                <w:kern w:val="0"/>
                <w:szCs w:val="21"/>
                <w:highlight w:val="none"/>
                <w:vertAlign w:val="baseline"/>
                <w:lang w:val="en-US" w:eastAsia="zh-CN"/>
              </w:rPr>
              <w:t>第二意向区域</w:t>
            </w:r>
          </w:p>
        </w:tc>
        <w:tc>
          <w:tcPr>
            <w:tcW w:w="768" w:type="pct"/>
            <w:vAlign w:val="center"/>
          </w:tcPr>
          <w:p w14:paraId="0E68682D">
            <w:pPr>
              <w:keepNext w:val="0"/>
              <w:keepLines w:val="0"/>
              <w:widowControl/>
              <w:suppressLineNumbers w:val="0"/>
              <w:spacing w:before="164" w:beforeLines="50" w:beforeAutospacing="0" w:after="0" w:afterAutospacing="0" w:line="360" w:lineRule="auto"/>
              <w:ind w:left="0" w:right="0"/>
              <w:jc w:val="center"/>
              <w:rPr>
                <w:rFonts w:hint="eastAsia" w:ascii="宋体" w:hAnsi="宋体" w:eastAsia="宋体" w:cs="宋体"/>
                <w:b/>
                <w:bCs/>
                <w:color w:val="auto"/>
                <w:kern w:val="0"/>
                <w:szCs w:val="21"/>
                <w:highlight w:val="none"/>
                <w:vertAlign w:val="baseline"/>
                <w:lang w:val="en-US" w:eastAsia="zh-CN"/>
              </w:rPr>
            </w:pPr>
            <w:r>
              <w:rPr>
                <w:rFonts w:hint="eastAsia" w:ascii="宋体" w:hAnsi="宋体" w:eastAsia="宋体" w:cs="宋体"/>
                <w:b/>
                <w:bCs/>
                <w:color w:val="auto"/>
                <w:kern w:val="0"/>
                <w:szCs w:val="21"/>
                <w:highlight w:val="none"/>
                <w:vertAlign w:val="baseline"/>
                <w:lang w:val="en-US" w:eastAsia="zh-CN"/>
              </w:rPr>
              <w:t>第三意向区域</w:t>
            </w:r>
          </w:p>
        </w:tc>
        <w:tc>
          <w:tcPr>
            <w:tcW w:w="1166" w:type="pct"/>
            <w:vMerge w:val="continue"/>
            <w:vAlign w:val="center"/>
          </w:tcPr>
          <w:p w14:paraId="1682E856">
            <w:pPr>
              <w:keepNext w:val="0"/>
              <w:keepLines w:val="0"/>
              <w:widowControl/>
              <w:suppressLineNumbers w:val="0"/>
              <w:spacing w:before="164" w:beforeLines="50" w:beforeAutospacing="0" w:after="0" w:afterAutospacing="0" w:line="360" w:lineRule="auto"/>
              <w:ind w:left="0" w:right="0"/>
              <w:jc w:val="center"/>
              <w:rPr>
                <w:rFonts w:hint="default" w:ascii="宋体" w:hAnsi="宋体" w:eastAsia="宋体" w:cs="宋体"/>
                <w:color w:val="auto"/>
                <w:kern w:val="0"/>
                <w:szCs w:val="21"/>
                <w:highlight w:val="none"/>
                <w:vertAlign w:val="baseline"/>
                <w:lang w:val="en-US" w:eastAsia="zh-CN"/>
              </w:rPr>
            </w:pPr>
          </w:p>
        </w:tc>
      </w:tr>
      <w:tr w14:paraId="2C3F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78DC34C2">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1</w:t>
            </w:r>
          </w:p>
        </w:tc>
        <w:tc>
          <w:tcPr>
            <w:tcW w:w="766" w:type="pct"/>
            <w:vAlign w:val="center"/>
          </w:tcPr>
          <w:p w14:paraId="6855C515">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投标人一</w:t>
            </w:r>
          </w:p>
        </w:tc>
        <w:tc>
          <w:tcPr>
            <w:tcW w:w="766" w:type="pct"/>
            <w:vAlign w:val="center"/>
          </w:tcPr>
          <w:p w14:paraId="43B3216A">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6" w:type="pct"/>
            <w:vAlign w:val="center"/>
          </w:tcPr>
          <w:p w14:paraId="46D59C0D">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8" w:type="pct"/>
            <w:vAlign w:val="center"/>
          </w:tcPr>
          <w:p w14:paraId="0F74197F">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08F7E8BA">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④</w:t>
            </w:r>
          </w:p>
        </w:tc>
      </w:tr>
      <w:tr w14:paraId="2F6A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3951AB97">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2</w:t>
            </w:r>
          </w:p>
        </w:tc>
        <w:tc>
          <w:tcPr>
            <w:tcW w:w="766" w:type="pct"/>
            <w:vAlign w:val="center"/>
          </w:tcPr>
          <w:p w14:paraId="4082DF3A">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投标人二</w:t>
            </w:r>
          </w:p>
        </w:tc>
        <w:tc>
          <w:tcPr>
            <w:tcW w:w="766" w:type="pct"/>
            <w:vAlign w:val="center"/>
          </w:tcPr>
          <w:p w14:paraId="1614189F">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6" w:type="pct"/>
            <w:vAlign w:val="center"/>
          </w:tcPr>
          <w:p w14:paraId="01F401B0">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8" w:type="pct"/>
            <w:vAlign w:val="center"/>
          </w:tcPr>
          <w:p w14:paraId="5AC37929">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1166" w:type="pct"/>
            <w:vAlign w:val="center"/>
          </w:tcPr>
          <w:p w14:paraId="7DF9B3CA">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⑨</w:t>
            </w:r>
          </w:p>
        </w:tc>
      </w:tr>
      <w:tr w14:paraId="17B6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139E13CA">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3</w:t>
            </w:r>
          </w:p>
        </w:tc>
        <w:tc>
          <w:tcPr>
            <w:tcW w:w="766" w:type="pct"/>
            <w:vAlign w:val="center"/>
          </w:tcPr>
          <w:p w14:paraId="38388C2F">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投标人三</w:t>
            </w:r>
          </w:p>
        </w:tc>
        <w:tc>
          <w:tcPr>
            <w:tcW w:w="766" w:type="pct"/>
            <w:vAlign w:val="center"/>
          </w:tcPr>
          <w:p w14:paraId="165F4383">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6" w:type="pct"/>
            <w:vAlign w:val="center"/>
          </w:tcPr>
          <w:p w14:paraId="6A770B72">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768" w:type="pct"/>
            <w:vAlign w:val="center"/>
          </w:tcPr>
          <w:p w14:paraId="5B6C97D2">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753AC0A8">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④</w:t>
            </w:r>
          </w:p>
        </w:tc>
      </w:tr>
      <w:tr w14:paraId="1961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1E37C5F5">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4</w:t>
            </w:r>
          </w:p>
        </w:tc>
        <w:tc>
          <w:tcPr>
            <w:tcW w:w="766" w:type="pct"/>
            <w:vAlign w:val="center"/>
          </w:tcPr>
          <w:p w14:paraId="1FF8B928">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投标人四</w:t>
            </w:r>
          </w:p>
        </w:tc>
        <w:tc>
          <w:tcPr>
            <w:tcW w:w="766" w:type="pct"/>
            <w:vAlign w:val="center"/>
          </w:tcPr>
          <w:p w14:paraId="085988CC">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6" w:type="pct"/>
            <w:vAlign w:val="center"/>
          </w:tcPr>
          <w:p w14:paraId="0C7D47D9">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8" w:type="pct"/>
            <w:vAlign w:val="center"/>
          </w:tcPr>
          <w:p w14:paraId="73A2B675">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5A378AA9">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④</w:t>
            </w:r>
          </w:p>
        </w:tc>
      </w:tr>
      <w:tr w14:paraId="4EB0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5D87D1F6">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5</w:t>
            </w:r>
          </w:p>
        </w:tc>
        <w:tc>
          <w:tcPr>
            <w:tcW w:w="766" w:type="pct"/>
            <w:vAlign w:val="center"/>
          </w:tcPr>
          <w:p w14:paraId="0797D711">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投标人五</w:t>
            </w:r>
          </w:p>
        </w:tc>
        <w:tc>
          <w:tcPr>
            <w:tcW w:w="766" w:type="pct"/>
            <w:vAlign w:val="center"/>
          </w:tcPr>
          <w:p w14:paraId="23C06E3B">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766" w:type="pct"/>
            <w:vAlign w:val="center"/>
          </w:tcPr>
          <w:p w14:paraId="6D6D1A54">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768" w:type="pct"/>
            <w:vAlign w:val="center"/>
          </w:tcPr>
          <w:p w14:paraId="14661858">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764136CF">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①</w:t>
            </w:r>
          </w:p>
        </w:tc>
      </w:tr>
      <w:tr w14:paraId="4421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74615219">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6</w:t>
            </w:r>
          </w:p>
        </w:tc>
        <w:tc>
          <w:tcPr>
            <w:tcW w:w="766" w:type="pct"/>
            <w:vAlign w:val="center"/>
          </w:tcPr>
          <w:p w14:paraId="40329484">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投标人六</w:t>
            </w:r>
          </w:p>
        </w:tc>
        <w:tc>
          <w:tcPr>
            <w:tcW w:w="766" w:type="pct"/>
            <w:vAlign w:val="center"/>
          </w:tcPr>
          <w:p w14:paraId="213FA91C">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766" w:type="pct"/>
            <w:vAlign w:val="center"/>
          </w:tcPr>
          <w:p w14:paraId="46BA2684">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8" w:type="pct"/>
            <w:vAlign w:val="center"/>
          </w:tcPr>
          <w:p w14:paraId="34D2A1B4">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7B977B05">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④</w:t>
            </w:r>
          </w:p>
        </w:tc>
      </w:tr>
      <w:tr w14:paraId="3FCF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7A7B5D47">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7</w:t>
            </w:r>
          </w:p>
        </w:tc>
        <w:tc>
          <w:tcPr>
            <w:tcW w:w="766" w:type="pct"/>
            <w:vAlign w:val="center"/>
          </w:tcPr>
          <w:p w14:paraId="0E81C7DC">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投标人七</w:t>
            </w:r>
          </w:p>
        </w:tc>
        <w:tc>
          <w:tcPr>
            <w:tcW w:w="766" w:type="pct"/>
            <w:vAlign w:val="center"/>
          </w:tcPr>
          <w:p w14:paraId="276CE8CD">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6" w:type="pct"/>
            <w:vAlign w:val="center"/>
          </w:tcPr>
          <w:p w14:paraId="77742570">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8" w:type="pct"/>
            <w:vAlign w:val="center"/>
          </w:tcPr>
          <w:p w14:paraId="51AF6B6E">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1166" w:type="pct"/>
            <w:vAlign w:val="center"/>
          </w:tcPr>
          <w:p w14:paraId="36366CCA">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⑨</w:t>
            </w:r>
          </w:p>
        </w:tc>
      </w:tr>
      <w:tr w14:paraId="4A0DF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251F3BA7">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8</w:t>
            </w:r>
          </w:p>
        </w:tc>
        <w:tc>
          <w:tcPr>
            <w:tcW w:w="766" w:type="pct"/>
            <w:vAlign w:val="center"/>
          </w:tcPr>
          <w:p w14:paraId="2F126AF3">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投标人八</w:t>
            </w:r>
          </w:p>
        </w:tc>
        <w:tc>
          <w:tcPr>
            <w:tcW w:w="766" w:type="pct"/>
            <w:vAlign w:val="center"/>
          </w:tcPr>
          <w:p w14:paraId="7430E862">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766" w:type="pct"/>
            <w:vAlign w:val="center"/>
          </w:tcPr>
          <w:p w14:paraId="6F727FA0">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8" w:type="pct"/>
            <w:vAlign w:val="center"/>
          </w:tcPr>
          <w:p w14:paraId="1C04D6CD">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1166" w:type="pct"/>
            <w:vAlign w:val="center"/>
          </w:tcPr>
          <w:p w14:paraId="5332B6E6">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⑨</w:t>
            </w:r>
          </w:p>
        </w:tc>
      </w:tr>
      <w:tr w14:paraId="726C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3C820E75">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9</w:t>
            </w:r>
          </w:p>
        </w:tc>
        <w:tc>
          <w:tcPr>
            <w:tcW w:w="766" w:type="pct"/>
            <w:vAlign w:val="center"/>
          </w:tcPr>
          <w:p w14:paraId="5A7A449A">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投标人九</w:t>
            </w:r>
          </w:p>
        </w:tc>
        <w:tc>
          <w:tcPr>
            <w:tcW w:w="766" w:type="pct"/>
            <w:vAlign w:val="center"/>
          </w:tcPr>
          <w:p w14:paraId="23721BEB">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6" w:type="pct"/>
            <w:vAlign w:val="center"/>
          </w:tcPr>
          <w:p w14:paraId="6C8C4025">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768" w:type="pct"/>
            <w:vAlign w:val="center"/>
          </w:tcPr>
          <w:p w14:paraId="60FB6F12">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1E08B0AC">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①</w:t>
            </w:r>
          </w:p>
        </w:tc>
      </w:tr>
      <w:tr w14:paraId="395D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16AF805D">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10</w:t>
            </w:r>
          </w:p>
        </w:tc>
        <w:tc>
          <w:tcPr>
            <w:tcW w:w="766" w:type="pct"/>
            <w:vAlign w:val="center"/>
          </w:tcPr>
          <w:p w14:paraId="3308D18F">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投标人十</w:t>
            </w:r>
          </w:p>
        </w:tc>
        <w:tc>
          <w:tcPr>
            <w:tcW w:w="766" w:type="pct"/>
            <w:vAlign w:val="center"/>
          </w:tcPr>
          <w:p w14:paraId="7CC60A31">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6" w:type="pct"/>
            <w:vAlign w:val="center"/>
          </w:tcPr>
          <w:p w14:paraId="0CB8B601">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768" w:type="pct"/>
            <w:vAlign w:val="center"/>
          </w:tcPr>
          <w:p w14:paraId="64D9691B">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27712599">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①</w:t>
            </w:r>
          </w:p>
        </w:tc>
      </w:tr>
      <w:tr w14:paraId="1E1D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3A6E75AA">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11</w:t>
            </w:r>
          </w:p>
        </w:tc>
        <w:tc>
          <w:tcPr>
            <w:tcW w:w="766" w:type="pct"/>
            <w:vAlign w:val="center"/>
          </w:tcPr>
          <w:p w14:paraId="6FB49C6D">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投标人十一</w:t>
            </w:r>
          </w:p>
        </w:tc>
        <w:tc>
          <w:tcPr>
            <w:tcW w:w="766" w:type="pct"/>
            <w:vAlign w:val="center"/>
          </w:tcPr>
          <w:p w14:paraId="17EF4B03">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6" w:type="pct"/>
            <w:vAlign w:val="center"/>
          </w:tcPr>
          <w:p w14:paraId="3D122C77">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8" w:type="pct"/>
            <w:vAlign w:val="center"/>
          </w:tcPr>
          <w:p w14:paraId="1DD82D40">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1166" w:type="pct"/>
            <w:vAlign w:val="center"/>
          </w:tcPr>
          <w:p w14:paraId="625E3547">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⑨</w:t>
            </w:r>
          </w:p>
        </w:tc>
      </w:tr>
      <w:tr w14:paraId="0AE4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405E5B24">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12</w:t>
            </w:r>
          </w:p>
        </w:tc>
        <w:tc>
          <w:tcPr>
            <w:tcW w:w="766" w:type="pct"/>
            <w:vAlign w:val="center"/>
          </w:tcPr>
          <w:p w14:paraId="18C8090D">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投标人十二</w:t>
            </w:r>
          </w:p>
        </w:tc>
        <w:tc>
          <w:tcPr>
            <w:tcW w:w="766" w:type="pct"/>
            <w:vAlign w:val="center"/>
          </w:tcPr>
          <w:p w14:paraId="7F215037">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766" w:type="pct"/>
            <w:vAlign w:val="center"/>
          </w:tcPr>
          <w:p w14:paraId="1F603B3D">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8" w:type="pct"/>
            <w:vAlign w:val="center"/>
          </w:tcPr>
          <w:p w14:paraId="6DEAB48A">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2BE6B70D">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④</w:t>
            </w:r>
          </w:p>
        </w:tc>
      </w:tr>
      <w:tr w14:paraId="5FBE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0C637D12">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13</w:t>
            </w:r>
          </w:p>
        </w:tc>
        <w:tc>
          <w:tcPr>
            <w:tcW w:w="766" w:type="pct"/>
            <w:vAlign w:val="center"/>
          </w:tcPr>
          <w:p w14:paraId="71351FFD">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投标人十三</w:t>
            </w:r>
          </w:p>
        </w:tc>
        <w:tc>
          <w:tcPr>
            <w:tcW w:w="766" w:type="pct"/>
            <w:vAlign w:val="center"/>
          </w:tcPr>
          <w:p w14:paraId="6A0CB1B8">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766" w:type="pct"/>
            <w:vAlign w:val="center"/>
          </w:tcPr>
          <w:p w14:paraId="1394CE74">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768" w:type="pct"/>
            <w:vAlign w:val="center"/>
          </w:tcPr>
          <w:p w14:paraId="2CF0FC2F">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1DD0482D">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①</w:t>
            </w:r>
          </w:p>
        </w:tc>
      </w:tr>
      <w:tr w14:paraId="0226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1774D852">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14</w:t>
            </w:r>
          </w:p>
        </w:tc>
        <w:tc>
          <w:tcPr>
            <w:tcW w:w="766" w:type="pct"/>
            <w:vAlign w:val="center"/>
          </w:tcPr>
          <w:p w14:paraId="6841A53A">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投标人十四</w:t>
            </w:r>
          </w:p>
        </w:tc>
        <w:tc>
          <w:tcPr>
            <w:tcW w:w="766" w:type="pct"/>
            <w:vAlign w:val="center"/>
          </w:tcPr>
          <w:p w14:paraId="0E429E75">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6" w:type="pct"/>
            <w:vAlign w:val="center"/>
          </w:tcPr>
          <w:p w14:paraId="01719A0B">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8" w:type="pct"/>
            <w:vAlign w:val="center"/>
          </w:tcPr>
          <w:p w14:paraId="39FE9148">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13E1FEF6">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④</w:t>
            </w:r>
          </w:p>
        </w:tc>
      </w:tr>
      <w:tr w14:paraId="5FF7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703F8523">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15</w:t>
            </w:r>
          </w:p>
        </w:tc>
        <w:tc>
          <w:tcPr>
            <w:tcW w:w="766" w:type="pct"/>
            <w:vAlign w:val="center"/>
          </w:tcPr>
          <w:p w14:paraId="0CC8F75E">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投标人十五</w:t>
            </w:r>
          </w:p>
        </w:tc>
        <w:tc>
          <w:tcPr>
            <w:tcW w:w="766" w:type="pct"/>
            <w:vAlign w:val="center"/>
          </w:tcPr>
          <w:p w14:paraId="756B6C19">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766" w:type="pct"/>
            <w:vAlign w:val="center"/>
          </w:tcPr>
          <w:p w14:paraId="76E3E0F2">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8" w:type="pct"/>
            <w:vAlign w:val="center"/>
          </w:tcPr>
          <w:p w14:paraId="6626D37A">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1166" w:type="pct"/>
            <w:vAlign w:val="center"/>
          </w:tcPr>
          <w:p w14:paraId="22CB2CC3">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⑩</w:t>
            </w:r>
          </w:p>
        </w:tc>
      </w:tr>
      <w:tr w14:paraId="0C4C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282CC29F">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16</w:t>
            </w:r>
          </w:p>
        </w:tc>
        <w:tc>
          <w:tcPr>
            <w:tcW w:w="766" w:type="pct"/>
            <w:vAlign w:val="center"/>
          </w:tcPr>
          <w:p w14:paraId="0E48A38B">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投标人十六</w:t>
            </w:r>
          </w:p>
        </w:tc>
        <w:tc>
          <w:tcPr>
            <w:tcW w:w="766" w:type="pct"/>
            <w:vAlign w:val="center"/>
          </w:tcPr>
          <w:p w14:paraId="1E024F7E">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6" w:type="pct"/>
            <w:vAlign w:val="center"/>
          </w:tcPr>
          <w:p w14:paraId="16E3628E">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8" w:type="pct"/>
            <w:vAlign w:val="center"/>
          </w:tcPr>
          <w:p w14:paraId="2E3C78F8">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26BD02C2">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sz w:val="21"/>
                <w:szCs w:val="21"/>
                <w:highlight w:val="none"/>
                <w:u w:val="none"/>
                <w:lang w:val="en-US" w:eastAsia="zh-CN"/>
              </w:rPr>
              <w:t>⑥</w:t>
            </w:r>
          </w:p>
        </w:tc>
      </w:tr>
      <w:tr w14:paraId="1F12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31432986">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17</w:t>
            </w:r>
          </w:p>
        </w:tc>
        <w:tc>
          <w:tcPr>
            <w:tcW w:w="766" w:type="pct"/>
            <w:vAlign w:val="center"/>
          </w:tcPr>
          <w:p w14:paraId="745B36A7">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投标人十七</w:t>
            </w:r>
          </w:p>
        </w:tc>
        <w:tc>
          <w:tcPr>
            <w:tcW w:w="766" w:type="pct"/>
            <w:vAlign w:val="center"/>
          </w:tcPr>
          <w:p w14:paraId="500FC2CD">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6" w:type="pct"/>
            <w:vAlign w:val="center"/>
          </w:tcPr>
          <w:p w14:paraId="3DA36365">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768" w:type="pct"/>
            <w:vAlign w:val="center"/>
          </w:tcPr>
          <w:p w14:paraId="140F1B87">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3E445CFF">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sz w:val="21"/>
                <w:szCs w:val="21"/>
                <w:highlight w:val="none"/>
                <w:u w:val="none"/>
                <w:lang w:val="en-US" w:eastAsia="zh-CN"/>
              </w:rPr>
              <w:t>②</w:t>
            </w:r>
          </w:p>
        </w:tc>
      </w:tr>
      <w:tr w14:paraId="3FD1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1C673E27">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18</w:t>
            </w:r>
          </w:p>
        </w:tc>
        <w:tc>
          <w:tcPr>
            <w:tcW w:w="766" w:type="pct"/>
            <w:vAlign w:val="center"/>
          </w:tcPr>
          <w:p w14:paraId="222D2E1D">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投标人十八</w:t>
            </w:r>
          </w:p>
        </w:tc>
        <w:tc>
          <w:tcPr>
            <w:tcW w:w="766" w:type="pct"/>
            <w:vAlign w:val="center"/>
          </w:tcPr>
          <w:p w14:paraId="4557B5F6">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6" w:type="pct"/>
            <w:vAlign w:val="center"/>
          </w:tcPr>
          <w:p w14:paraId="7DD94E6D">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768" w:type="pct"/>
            <w:vAlign w:val="center"/>
          </w:tcPr>
          <w:p w14:paraId="438A3189">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58C3E14B">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sz w:val="21"/>
                <w:szCs w:val="21"/>
                <w:highlight w:val="none"/>
                <w:u w:val="none"/>
                <w:lang w:val="en-US" w:eastAsia="zh-CN"/>
              </w:rPr>
              <w:t>②</w:t>
            </w:r>
          </w:p>
        </w:tc>
      </w:tr>
      <w:tr w14:paraId="3F1D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68D8B9D1">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19</w:t>
            </w:r>
          </w:p>
        </w:tc>
        <w:tc>
          <w:tcPr>
            <w:tcW w:w="766" w:type="pct"/>
            <w:vAlign w:val="center"/>
          </w:tcPr>
          <w:p w14:paraId="2CAC34A6">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投标人十九</w:t>
            </w:r>
          </w:p>
        </w:tc>
        <w:tc>
          <w:tcPr>
            <w:tcW w:w="766" w:type="pct"/>
            <w:vAlign w:val="center"/>
          </w:tcPr>
          <w:p w14:paraId="6B2865F2">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766" w:type="pct"/>
            <w:vAlign w:val="center"/>
          </w:tcPr>
          <w:p w14:paraId="70FD6632">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8" w:type="pct"/>
            <w:vAlign w:val="center"/>
          </w:tcPr>
          <w:p w14:paraId="38EF5E25">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71C0C846">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sz w:val="21"/>
                <w:szCs w:val="21"/>
                <w:highlight w:val="none"/>
                <w:u w:val="none"/>
                <w:lang w:val="en-US" w:eastAsia="zh-CN"/>
              </w:rPr>
              <w:t>⑥</w:t>
            </w:r>
          </w:p>
        </w:tc>
      </w:tr>
      <w:tr w14:paraId="1843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1CC30943">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20</w:t>
            </w:r>
          </w:p>
        </w:tc>
        <w:tc>
          <w:tcPr>
            <w:tcW w:w="766" w:type="pct"/>
            <w:vAlign w:val="center"/>
          </w:tcPr>
          <w:p w14:paraId="1593AB01">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投标人二十</w:t>
            </w:r>
          </w:p>
        </w:tc>
        <w:tc>
          <w:tcPr>
            <w:tcW w:w="766" w:type="pct"/>
            <w:vAlign w:val="center"/>
          </w:tcPr>
          <w:p w14:paraId="38332988">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6" w:type="pct"/>
            <w:vAlign w:val="center"/>
          </w:tcPr>
          <w:p w14:paraId="4D2D3604">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8" w:type="pct"/>
            <w:vAlign w:val="center"/>
          </w:tcPr>
          <w:p w14:paraId="283B827F">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458756B0">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sz w:val="21"/>
                <w:szCs w:val="21"/>
                <w:highlight w:val="none"/>
                <w:u w:val="none"/>
                <w:lang w:val="en-US" w:eastAsia="zh-CN"/>
              </w:rPr>
              <w:t>⑥</w:t>
            </w:r>
          </w:p>
        </w:tc>
      </w:tr>
      <w:tr w14:paraId="6839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11C801DE">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21</w:t>
            </w:r>
          </w:p>
        </w:tc>
        <w:tc>
          <w:tcPr>
            <w:tcW w:w="766" w:type="pct"/>
            <w:vAlign w:val="center"/>
          </w:tcPr>
          <w:p w14:paraId="4404738A">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投标人二十一</w:t>
            </w:r>
          </w:p>
        </w:tc>
        <w:tc>
          <w:tcPr>
            <w:tcW w:w="766" w:type="pct"/>
            <w:vAlign w:val="center"/>
          </w:tcPr>
          <w:p w14:paraId="4411F493">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6" w:type="pct"/>
            <w:vAlign w:val="center"/>
          </w:tcPr>
          <w:p w14:paraId="78D7C575">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8" w:type="pct"/>
            <w:vAlign w:val="center"/>
          </w:tcPr>
          <w:p w14:paraId="1A18B379">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1166" w:type="pct"/>
            <w:vAlign w:val="center"/>
          </w:tcPr>
          <w:p w14:paraId="3BE94422">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sz w:val="21"/>
                <w:szCs w:val="21"/>
                <w:highlight w:val="none"/>
                <w:u w:val="none"/>
                <w:lang w:val="en-US" w:eastAsia="zh-CN"/>
              </w:rPr>
              <w:fldChar w:fldCharType="begin"/>
            </w:r>
            <w:r>
              <w:rPr>
                <w:rFonts w:hint="eastAsia" w:ascii="宋体" w:hAnsi="宋体" w:eastAsia="宋体" w:cs="宋体"/>
                <w:i w:val="0"/>
                <w:iCs w:val="0"/>
                <w:color w:val="auto"/>
                <w:sz w:val="21"/>
                <w:szCs w:val="21"/>
                <w:highlight w:val="none"/>
                <w:u w:val="none"/>
                <w:lang w:val="en-US" w:eastAsia="zh-CN"/>
              </w:rPr>
              <w:instrText xml:space="preserve"> EQ \o\ac(○,</w:instrText>
            </w:r>
            <w:r>
              <w:rPr>
                <w:rFonts w:hint="eastAsia" w:ascii="宋体" w:hAnsi="宋体" w:eastAsia="宋体" w:cs="宋体"/>
                <w:i w:val="0"/>
                <w:iCs w:val="0"/>
                <w:color w:val="auto"/>
                <w:position w:val="2"/>
                <w:sz w:val="14"/>
                <w:szCs w:val="21"/>
                <w:highlight w:val="none"/>
                <w:u w:val="none"/>
                <w:lang w:val="en-US" w:eastAsia="zh-CN"/>
              </w:rPr>
              <w:instrText xml:space="preserve">12</w:instrText>
            </w:r>
            <w:r>
              <w:rPr>
                <w:rFonts w:hint="eastAsia" w:ascii="宋体" w:hAnsi="宋体" w:eastAsia="宋体" w:cs="宋体"/>
                <w:i w:val="0"/>
                <w:iCs w:val="0"/>
                <w:color w:val="auto"/>
                <w:sz w:val="21"/>
                <w:szCs w:val="21"/>
                <w:highlight w:val="none"/>
                <w:u w:val="none"/>
                <w:lang w:val="en-US" w:eastAsia="zh-CN"/>
              </w:rPr>
              <w:instrText xml:space="preserve">)</w:instrText>
            </w:r>
            <w:r>
              <w:rPr>
                <w:rFonts w:hint="eastAsia" w:ascii="宋体" w:hAnsi="宋体" w:eastAsia="宋体" w:cs="宋体"/>
                <w:i w:val="0"/>
                <w:iCs w:val="0"/>
                <w:color w:val="auto"/>
                <w:sz w:val="21"/>
                <w:szCs w:val="21"/>
                <w:highlight w:val="none"/>
                <w:u w:val="none"/>
                <w:lang w:val="en-US" w:eastAsia="zh-CN"/>
              </w:rPr>
              <w:fldChar w:fldCharType="end"/>
            </w:r>
          </w:p>
        </w:tc>
      </w:tr>
      <w:tr w14:paraId="7DFA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39A9EA44">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22</w:t>
            </w:r>
          </w:p>
        </w:tc>
        <w:tc>
          <w:tcPr>
            <w:tcW w:w="766" w:type="pct"/>
            <w:vAlign w:val="center"/>
          </w:tcPr>
          <w:p w14:paraId="36D28F0A">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投标人二十二</w:t>
            </w:r>
          </w:p>
        </w:tc>
        <w:tc>
          <w:tcPr>
            <w:tcW w:w="766" w:type="pct"/>
            <w:vAlign w:val="center"/>
          </w:tcPr>
          <w:p w14:paraId="39EBFB87">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6" w:type="pct"/>
            <w:vAlign w:val="center"/>
          </w:tcPr>
          <w:p w14:paraId="77A666A1">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8" w:type="pct"/>
            <w:vAlign w:val="center"/>
          </w:tcPr>
          <w:p w14:paraId="6854CE87">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68148FCD">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sz w:val="21"/>
                <w:szCs w:val="21"/>
                <w:highlight w:val="none"/>
                <w:u w:val="none"/>
                <w:lang w:val="en-US" w:eastAsia="zh-CN"/>
              </w:rPr>
              <w:t>⑥</w:t>
            </w:r>
          </w:p>
        </w:tc>
      </w:tr>
      <w:tr w14:paraId="7AE8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59634B70">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23</w:t>
            </w:r>
          </w:p>
        </w:tc>
        <w:tc>
          <w:tcPr>
            <w:tcW w:w="766" w:type="pct"/>
            <w:vAlign w:val="center"/>
          </w:tcPr>
          <w:p w14:paraId="65D70FAF">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投标人二十三</w:t>
            </w:r>
          </w:p>
        </w:tc>
        <w:tc>
          <w:tcPr>
            <w:tcW w:w="766" w:type="pct"/>
            <w:vAlign w:val="center"/>
          </w:tcPr>
          <w:p w14:paraId="7BECF83A">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6" w:type="pct"/>
            <w:vAlign w:val="center"/>
          </w:tcPr>
          <w:p w14:paraId="1E4A2E87">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768" w:type="pct"/>
            <w:vAlign w:val="center"/>
          </w:tcPr>
          <w:p w14:paraId="6A9D08F5">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33414395">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sz w:val="21"/>
                <w:szCs w:val="21"/>
                <w:highlight w:val="none"/>
                <w:u w:val="none"/>
                <w:lang w:val="en-US" w:eastAsia="zh-CN"/>
              </w:rPr>
              <w:t>⑥</w:t>
            </w:r>
          </w:p>
        </w:tc>
      </w:tr>
      <w:tr w14:paraId="763F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6A0EBC19">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24</w:t>
            </w:r>
          </w:p>
        </w:tc>
        <w:tc>
          <w:tcPr>
            <w:tcW w:w="766" w:type="pct"/>
            <w:vAlign w:val="center"/>
          </w:tcPr>
          <w:p w14:paraId="567E7374">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投标人二十四</w:t>
            </w:r>
          </w:p>
        </w:tc>
        <w:tc>
          <w:tcPr>
            <w:tcW w:w="766" w:type="pct"/>
            <w:vAlign w:val="center"/>
          </w:tcPr>
          <w:p w14:paraId="66935EEE">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6" w:type="pct"/>
            <w:vAlign w:val="center"/>
          </w:tcPr>
          <w:p w14:paraId="49131A22">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8" w:type="pct"/>
            <w:vAlign w:val="center"/>
          </w:tcPr>
          <w:p w14:paraId="1ED0A2B0">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1166" w:type="pct"/>
            <w:vAlign w:val="center"/>
          </w:tcPr>
          <w:p w14:paraId="700F5D13">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sz w:val="21"/>
                <w:szCs w:val="21"/>
                <w:highlight w:val="none"/>
                <w:u w:val="none"/>
                <w:lang w:val="en-US" w:eastAsia="zh-CN"/>
              </w:rPr>
              <w:fldChar w:fldCharType="begin"/>
            </w:r>
            <w:r>
              <w:rPr>
                <w:rFonts w:hint="eastAsia" w:ascii="宋体" w:hAnsi="宋体" w:eastAsia="宋体" w:cs="宋体"/>
                <w:i w:val="0"/>
                <w:iCs w:val="0"/>
                <w:color w:val="auto"/>
                <w:sz w:val="21"/>
                <w:szCs w:val="21"/>
                <w:highlight w:val="none"/>
                <w:u w:val="none"/>
                <w:lang w:val="en-US" w:eastAsia="zh-CN"/>
              </w:rPr>
              <w:instrText xml:space="preserve"> EQ \o\ac(○,</w:instrText>
            </w:r>
            <w:r>
              <w:rPr>
                <w:rFonts w:hint="eastAsia" w:ascii="宋体" w:hAnsi="宋体" w:eastAsia="宋体" w:cs="宋体"/>
                <w:i w:val="0"/>
                <w:iCs w:val="0"/>
                <w:color w:val="auto"/>
                <w:position w:val="2"/>
                <w:sz w:val="14"/>
                <w:szCs w:val="21"/>
                <w:highlight w:val="none"/>
                <w:u w:val="none"/>
                <w:lang w:val="en-US" w:eastAsia="zh-CN"/>
              </w:rPr>
              <w:instrText xml:space="preserve">12</w:instrText>
            </w:r>
            <w:r>
              <w:rPr>
                <w:rFonts w:hint="eastAsia" w:ascii="宋体" w:hAnsi="宋体" w:eastAsia="宋体" w:cs="宋体"/>
                <w:i w:val="0"/>
                <w:iCs w:val="0"/>
                <w:color w:val="auto"/>
                <w:sz w:val="21"/>
                <w:szCs w:val="21"/>
                <w:highlight w:val="none"/>
                <w:u w:val="none"/>
                <w:lang w:val="en-US" w:eastAsia="zh-CN"/>
              </w:rPr>
              <w:instrText xml:space="preserve">)</w:instrText>
            </w:r>
            <w:r>
              <w:rPr>
                <w:rFonts w:hint="eastAsia" w:ascii="宋体" w:hAnsi="宋体" w:eastAsia="宋体" w:cs="宋体"/>
                <w:i w:val="0"/>
                <w:iCs w:val="0"/>
                <w:color w:val="auto"/>
                <w:sz w:val="21"/>
                <w:szCs w:val="21"/>
                <w:highlight w:val="none"/>
                <w:u w:val="none"/>
                <w:lang w:val="en-US" w:eastAsia="zh-CN"/>
              </w:rPr>
              <w:fldChar w:fldCharType="end"/>
            </w:r>
          </w:p>
        </w:tc>
      </w:tr>
      <w:tr w14:paraId="4176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334A6F26">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25</w:t>
            </w:r>
          </w:p>
        </w:tc>
        <w:tc>
          <w:tcPr>
            <w:tcW w:w="766" w:type="pct"/>
            <w:vAlign w:val="center"/>
          </w:tcPr>
          <w:p w14:paraId="0D5259BC">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投标人二十五</w:t>
            </w:r>
          </w:p>
        </w:tc>
        <w:tc>
          <w:tcPr>
            <w:tcW w:w="766" w:type="pct"/>
            <w:vAlign w:val="center"/>
          </w:tcPr>
          <w:p w14:paraId="7675545C">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766" w:type="pct"/>
            <w:vAlign w:val="center"/>
          </w:tcPr>
          <w:p w14:paraId="0E8DFBB7">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8" w:type="pct"/>
            <w:vAlign w:val="center"/>
          </w:tcPr>
          <w:p w14:paraId="73781B42">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51B939E6">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⑥</w:t>
            </w:r>
          </w:p>
        </w:tc>
      </w:tr>
      <w:tr w14:paraId="4444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2AE117B9">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26</w:t>
            </w:r>
          </w:p>
        </w:tc>
        <w:tc>
          <w:tcPr>
            <w:tcW w:w="766" w:type="pct"/>
            <w:vAlign w:val="center"/>
          </w:tcPr>
          <w:p w14:paraId="029B2489">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投标人二十六</w:t>
            </w:r>
          </w:p>
        </w:tc>
        <w:tc>
          <w:tcPr>
            <w:tcW w:w="766" w:type="pct"/>
            <w:vAlign w:val="center"/>
          </w:tcPr>
          <w:p w14:paraId="4232AAE7">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6" w:type="pct"/>
            <w:vAlign w:val="center"/>
          </w:tcPr>
          <w:p w14:paraId="1F90F163">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768" w:type="pct"/>
            <w:vAlign w:val="center"/>
          </w:tcPr>
          <w:p w14:paraId="728AEE2A">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10D20AD9">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③（落选）</w:t>
            </w:r>
          </w:p>
        </w:tc>
      </w:tr>
      <w:tr w14:paraId="1E3C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331ADA04">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27</w:t>
            </w:r>
          </w:p>
        </w:tc>
        <w:tc>
          <w:tcPr>
            <w:tcW w:w="766" w:type="pct"/>
            <w:vAlign w:val="center"/>
          </w:tcPr>
          <w:p w14:paraId="53DF3D74">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投标人二十七</w:t>
            </w:r>
          </w:p>
        </w:tc>
        <w:tc>
          <w:tcPr>
            <w:tcW w:w="766" w:type="pct"/>
            <w:vAlign w:val="center"/>
          </w:tcPr>
          <w:p w14:paraId="3EAA8CD5">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6" w:type="pct"/>
            <w:vAlign w:val="center"/>
          </w:tcPr>
          <w:p w14:paraId="2E40D7EB">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8" w:type="pct"/>
            <w:vAlign w:val="center"/>
          </w:tcPr>
          <w:p w14:paraId="5051053D">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1166" w:type="pct"/>
            <w:vAlign w:val="center"/>
          </w:tcPr>
          <w:p w14:paraId="54AF5082">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sz w:val="21"/>
                <w:szCs w:val="21"/>
                <w:highlight w:val="none"/>
                <w:u w:val="none"/>
                <w:lang w:val="en-US" w:eastAsia="zh-CN"/>
              </w:rPr>
              <w:fldChar w:fldCharType="begin"/>
            </w:r>
            <w:r>
              <w:rPr>
                <w:rFonts w:hint="eastAsia" w:ascii="宋体" w:hAnsi="宋体" w:eastAsia="宋体" w:cs="宋体"/>
                <w:i w:val="0"/>
                <w:iCs w:val="0"/>
                <w:color w:val="auto"/>
                <w:sz w:val="21"/>
                <w:szCs w:val="21"/>
                <w:highlight w:val="none"/>
                <w:u w:val="none"/>
                <w:lang w:val="en-US" w:eastAsia="zh-CN"/>
              </w:rPr>
              <w:instrText xml:space="preserve"> EQ \o\ac(○,</w:instrText>
            </w:r>
            <w:r>
              <w:rPr>
                <w:rFonts w:hint="eastAsia" w:ascii="宋体" w:hAnsi="宋体" w:eastAsia="宋体" w:cs="宋体"/>
                <w:i w:val="0"/>
                <w:iCs w:val="0"/>
                <w:color w:val="auto"/>
                <w:position w:val="2"/>
                <w:sz w:val="14"/>
                <w:szCs w:val="21"/>
                <w:highlight w:val="none"/>
                <w:u w:val="none"/>
                <w:lang w:val="en-US" w:eastAsia="zh-CN"/>
              </w:rPr>
              <w:instrText xml:space="preserve">13</w:instrText>
            </w:r>
            <w:r>
              <w:rPr>
                <w:rFonts w:hint="eastAsia" w:ascii="宋体" w:hAnsi="宋体" w:eastAsia="宋体" w:cs="宋体"/>
                <w:i w:val="0"/>
                <w:iCs w:val="0"/>
                <w:color w:val="auto"/>
                <w:sz w:val="21"/>
                <w:szCs w:val="21"/>
                <w:highlight w:val="none"/>
                <w:u w:val="none"/>
                <w:lang w:val="en-US" w:eastAsia="zh-CN"/>
              </w:rPr>
              <w:instrText xml:space="preserve">)</w:instrText>
            </w:r>
            <w:r>
              <w:rPr>
                <w:rFonts w:hint="eastAsia" w:ascii="宋体" w:hAnsi="宋体" w:eastAsia="宋体" w:cs="宋体"/>
                <w:i w:val="0"/>
                <w:iCs w:val="0"/>
                <w:color w:val="auto"/>
                <w:sz w:val="21"/>
                <w:szCs w:val="21"/>
                <w:highlight w:val="none"/>
                <w:u w:val="none"/>
                <w:lang w:val="en-US" w:eastAsia="zh-CN"/>
              </w:rPr>
              <w:fldChar w:fldCharType="end"/>
            </w:r>
          </w:p>
        </w:tc>
      </w:tr>
      <w:tr w14:paraId="6A13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6DFA6212">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28</w:t>
            </w:r>
          </w:p>
        </w:tc>
        <w:tc>
          <w:tcPr>
            <w:tcW w:w="766" w:type="pct"/>
            <w:vAlign w:val="center"/>
          </w:tcPr>
          <w:p w14:paraId="4BAE8848">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投标人二十八</w:t>
            </w:r>
          </w:p>
        </w:tc>
        <w:tc>
          <w:tcPr>
            <w:tcW w:w="766" w:type="pct"/>
            <w:vAlign w:val="center"/>
          </w:tcPr>
          <w:p w14:paraId="3BCA2FD5">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766" w:type="pct"/>
            <w:vAlign w:val="center"/>
          </w:tcPr>
          <w:p w14:paraId="0216157F">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768" w:type="pct"/>
            <w:vAlign w:val="center"/>
          </w:tcPr>
          <w:p w14:paraId="75903DA7">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567A954C">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sz w:val="21"/>
                <w:szCs w:val="21"/>
                <w:highlight w:val="none"/>
                <w:u w:val="none"/>
                <w:lang w:val="en-US" w:eastAsia="zh-CN"/>
              </w:rPr>
              <w:t>②</w:t>
            </w:r>
          </w:p>
        </w:tc>
      </w:tr>
      <w:tr w14:paraId="4E68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0077BD31">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29</w:t>
            </w:r>
          </w:p>
        </w:tc>
        <w:tc>
          <w:tcPr>
            <w:tcW w:w="766" w:type="pct"/>
            <w:vAlign w:val="center"/>
          </w:tcPr>
          <w:p w14:paraId="3BE81679">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投标人二十九</w:t>
            </w:r>
          </w:p>
        </w:tc>
        <w:tc>
          <w:tcPr>
            <w:tcW w:w="766" w:type="pct"/>
            <w:vAlign w:val="center"/>
          </w:tcPr>
          <w:p w14:paraId="2B4ED285">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6" w:type="pct"/>
            <w:vAlign w:val="center"/>
          </w:tcPr>
          <w:p w14:paraId="634F5A96">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768" w:type="pct"/>
            <w:vAlign w:val="center"/>
          </w:tcPr>
          <w:p w14:paraId="573C0ABC">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4FD97C15">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sz w:val="21"/>
                <w:szCs w:val="21"/>
                <w:highlight w:val="none"/>
                <w:u w:val="none"/>
                <w:lang w:val="en-US" w:eastAsia="zh-CN"/>
              </w:rPr>
              <w:t>②</w:t>
            </w:r>
          </w:p>
        </w:tc>
      </w:tr>
      <w:tr w14:paraId="5D27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63B15171">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30</w:t>
            </w:r>
          </w:p>
        </w:tc>
        <w:tc>
          <w:tcPr>
            <w:tcW w:w="766" w:type="pct"/>
            <w:vAlign w:val="center"/>
          </w:tcPr>
          <w:p w14:paraId="684C74C3">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投标人三十</w:t>
            </w:r>
          </w:p>
        </w:tc>
        <w:tc>
          <w:tcPr>
            <w:tcW w:w="766" w:type="pct"/>
            <w:vAlign w:val="center"/>
          </w:tcPr>
          <w:p w14:paraId="78106E77">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6" w:type="pct"/>
            <w:vAlign w:val="center"/>
          </w:tcPr>
          <w:p w14:paraId="04AB6A63">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8" w:type="pct"/>
            <w:vAlign w:val="center"/>
          </w:tcPr>
          <w:p w14:paraId="10B42F79">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1166" w:type="pct"/>
            <w:vAlign w:val="center"/>
          </w:tcPr>
          <w:p w14:paraId="0B05290C">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sz w:val="21"/>
                <w:szCs w:val="21"/>
                <w:highlight w:val="none"/>
                <w:u w:val="none"/>
                <w:lang w:val="en-US" w:eastAsia="zh-CN"/>
              </w:rPr>
              <w:fldChar w:fldCharType="begin"/>
            </w:r>
            <w:r>
              <w:rPr>
                <w:rFonts w:hint="eastAsia" w:ascii="宋体" w:hAnsi="宋体" w:eastAsia="宋体" w:cs="宋体"/>
                <w:i w:val="0"/>
                <w:iCs w:val="0"/>
                <w:color w:val="auto"/>
                <w:sz w:val="21"/>
                <w:szCs w:val="21"/>
                <w:highlight w:val="none"/>
                <w:u w:val="none"/>
                <w:lang w:val="en-US" w:eastAsia="zh-CN"/>
              </w:rPr>
              <w:instrText xml:space="preserve"> EQ \o\ac(○,</w:instrText>
            </w:r>
            <w:r>
              <w:rPr>
                <w:rFonts w:hint="eastAsia" w:ascii="宋体" w:hAnsi="宋体" w:eastAsia="宋体" w:cs="宋体"/>
                <w:i w:val="0"/>
                <w:iCs w:val="0"/>
                <w:color w:val="auto"/>
                <w:position w:val="2"/>
                <w:sz w:val="14"/>
                <w:szCs w:val="21"/>
                <w:highlight w:val="none"/>
                <w:u w:val="none"/>
                <w:lang w:val="en-US" w:eastAsia="zh-CN"/>
              </w:rPr>
              <w:instrText xml:space="preserve">14</w:instrText>
            </w:r>
            <w:r>
              <w:rPr>
                <w:rFonts w:hint="eastAsia" w:ascii="宋体" w:hAnsi="宋体" w:eastAsia="宋体" w:cs="宋体"/>
                <w:i w:val="0"/>
                <w:iCs w:val="0"/>
                <w:color w:val="auto"/>
                <w:sz w:val="21"/>
                <w:szCs w:val="21"/>
                <w:highlight w:val="none"/>
                <w:u w:val="none"/>
                <w:lang w:val="en-US" w:eastAsia="zh-CN"/>
              </w:rPr>
              <w:instrText xml:space="preserve">)</w:instrText>
            </w:r>
            <w:r>
              <w:rPr>
                <w:rFonts w:hint="eastAsia" w:ascii="宋体" w:hAnsi="宋体" w:eastAsia="宋体" w:cs="宋体"/>
                <w:i w:val="0"/>
                <w:iCs w:val="0"/>
                <w:color w:val="auto"/>
                <w:sz w:val="21"/>
                <w:szCs w:val="21"/>
                <w:highlight w:val="none"/>
                <w:u w:val="none"/>
                <w:lang w:val="en-US" w:eastAsia="zh-CN"/>
              </w:rPr>
              <w:fldChar w:fldCharType="end"/>
            </w:r>
          </w:p>
        </w:tc>
      </w:tr>
      <w:tr w14:paraId="737A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452B892B">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31</w:t>
            </w:r>
          </w:p>
        </w:tc>
        <w:tc>
          <w:tcPr>
            <w:tcW w:w="766" w:type="pct"/>
            <w:vAlign w:val="center"/>
          </w:tcPr>
          <w:p w14:paraId="53673B61">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投标人三十一</w:t>
            </w:r>
          </w:p>
        </w:tc>
        <w:tc>
          <w:tcPr>
            <w:tcW w:w="766" w:type="pct"/>
            <w:vAlign w:val="center"/>
          </w:tcPr>
          <w:p w14:paraId="33A6A45F">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6" w:type="pct"/>
            <w:vAlign w:val="center"/>
          </w:tcPr>
          <w:p w14:paraId="482D74D5">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8" w:type="pct"/>
            <w:vAlign w:val="center"/>
          </w:tcPr>
          <w:p w14:paraId="412CCDBB">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734523F1">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sz w:val="21"/>
                <w:szCs w:val="21"/>
                <w:highlight w:val="none"/>
                <w:u w:val="none"/>
                <w:lang w:val="en-US" w:eastAsia="zh-CN"/>
              </w:rPr>
              <w:t>⑧（落选）</w:t>
            </w:r>
          </w:p>
        </w:tc>
      </w:tr>
      <w:tr w14:paraId="3CB8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50BEF862">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32</w:t>
            </w:r>
          </w:p>
        </w:tc>
        <w:tc>
          <w:tcPr>
            <w:tcW w:w="766" w:type="pct"/>
            <w:vAlign w:val="center"/>
          </w:tcPr>
          <w:p w14:paraId="7F2CC051">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投标人三十二</w:t>
            </w:r>
          </w:p>
        </w:tc>
        <w:tc>
          <w:tcPr>
            <w:tcW w:w="766" w:type="pct"/>
            <w:vAlign w:val="center"/>
          </w:tcPr>
          <w:p w14:paraId="3A8B8CBE">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766" w:type="pct"/>
            <w:vAlign w:val="center"/>
          </w:tcPr>
          <w:p w14:paraId="7A72DEB1">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8" w:type="pct"/>
            <w:vAlign w:val="center"/>
          </w:tcPr>
          <w:p w14:paraId="7EC9CDB1">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065309DB">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sz w:val="21"/>
                <w:szCs w:val="21"/>
                <w:highlight w:val="none"/>
                <w:u w:val="none"/>
                <w:lang w:val="en-US" w:eastAsia="zh-CN"/>
              </w:rPr>
              <w:t>⑥</w:t>
            </w:r>
          </w:p>
        </w:tc>
      </w:tr>
      <w:tr w14:paraId="0D9E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78B5BC45">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33</w:t>
            </w:r>
          </w:p>
        </w:tc>
        <w:tc>
          <w:tcPr>
            <w:tcW w:w="766" w:type="pct"/>
            <w:vAlign w:val="center"/>
          </w:tcPr>
          <w:p w14:paraId="79169B4E">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投标人三十三</w:t>
            </w:r>
          </w:p>
        </w:tc>
        <w:tc>
          <w:tcPr>
            <w:tcW w:w="766" w:type="pct"/>
            <w:vAlign w:val="center"/>
          </w:tcPr>
          <w:p w14:paraId="28E658D3">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6" w:type="pct"/>
            <w:vAlign w:val="center"/>
          </w:tcPr>
          <w:p w14:paraId="2855E2B2">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8" w:type="pct"/>
            <w:vAlign w:val="center"/>
          </w:tcPr>
          <w:p w14:paraId="275BA32A">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575F766B">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sz w:val="21"/>
                <w:szCs w:val="21"/>
                <w:highlight w:val="none"/>
                <w:u w:val="none"/>
                <w:lang w:val="en-US" w:eastAsia="zh-CN"/>
              </w:rPr>
              <w:t>⑧（落选）</w:t>
            </w:r>
          </w:p>
        </w:tc>
      </w:tr>
      <w:tr w14:paraId="0D5D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6C8E6959">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34</w:t>
            </w:r>
          </w:p>
        </w:tc>
        <w:tc>
          <w:tcPr>
            <w:tcW w:w="766" w:type="pct"/>
            <w:vAlign w:val="center"/>
          </w:tcPr>
          <w:p w14:paraId="32B8CEE8">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投标人三十四</w:t>
            </w:r>
          </w:p>
        </w:tc>
        <w:tc>
          <w:tcPr>
            <w:tcW w:w="766" w:type="pct"/>
            <w:vAlign w:val="center"/>
          </w:tcPr>
          <w:p w14:paraId="0B264792">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A</w:t>
            </w:r>
          </w:p>
        </w:tc>
        <w:tc>
          <w:tcPr>
            <w:tcW w:w="766" w:type="pct"/>
            <w:vAlign w:val="center"/>
          </w:tcPr>
          <w:p w14:paraId="7E44BC2F">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B</w:t>
            </w:r>
          </w:p>
        </w:tc>
        <w:tc>
          <w:tcPr>
            <w:tcW w:w="768" w:type="pct"/>
            <w:vAlign w:val="center"/>
          </w:tcPr>
          <w:p w14:paraId="72D4D464">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C</w:t>
            </w:r>
          </w:p>
        </w:tc>
        <w:tc>
          <w:tcPr>
            <w:tcW w:w="1166" w:type="pct"/>
            <w:vAlign w:val="center"/>
          </w:tcPr>
          <w:p w14:paraId="7898D440">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r>
              <w:rPr>
                <w:rFonts w:hint="eastAsia" w:ascii="宋体" w:hAnsi="宋体" w:eastAsia="宋体" w:cs="宋体"/>
                <w:i w:val="0"/>
                <w:iCs w:val="0"/>
                <w:color w:val="auto"/>
                <w:sz w:val="21"/>
                <w:szCs w:val="21"/>
                <w:highlight w:val="none"/>
                <w:u w:val="none"/>
                <w:lang w:val="en-US" w:eastAsia="zh-CN"/>
              </w:rPr>
              <w:fldChar w:fldCharType="begin"/>
            </w:r>
            <w:r>
              <w:rPr>
                <w:rFonts w:hint="eastAsia" w:ascii="宋体" w:hAnsi="宋体" w:eastAsia="宋体" w:cs="宋体"/>
                <w:i w:val="0"/>
                <w:iCs w:val="0"/>
                <w:color w:val="auto"/>
                <w:sz w:val="21"/>
                <w:szCs w:val="21"/>
                <w:highlight w:val="none"/>
                <w:u w:val="none"/>
                <w:lang w:val="en-US" w:eastAsia="zh-CN"/>
              </w:rPr>
              <w:instrText xml:space="preserve"> EQ \o\ac(○,</w:instrText>
            </w:r>
            <w:r>
              <w:rPr>
                <w:rFonts w:hint="eastAsia" w:ascii="宋体" w:hAnsi="宋体" w:eastAsia="宋体" w:cs="宋体"/>
                <w:i w:val="0"/>
                <w:iCs w:val="0"/>
                <w:color w:val="auto"/>
                <w:position w:val="2"/>
                <w:sz w:val="14"/>
                <w:szCs w:val="21"/>
                <w:highlight w:val="none"/>
                <w:u w:val="none"/>
                <w:lang w:val="en-US" w:eastAsia="zh-CN"/>
              </w:rPr>
              <w:instrText xml:space="preserve">15</w:instrText>
            </w:r>
            <w:r>
              <w:rPr>
                <w:rFonts w:hint="eastAsia" w:ascii="宋体" w:hAnsi="宋体" w:eastAsia="宋体" w:cs="宋体"/>
                <w:i w:val="0"/>
                <w:iCs w:val="0"/>
                <w:color w:val="auto"/>
                <w:sz w:val="21"/>
                <w:szCs w:val="21"/>
                <w:highlight w:val="none"/>
                <w:u w:val="none"/>
                <w:lang w:val="en-US" w:eastAsia="zh-CN"/>
              </w:rPr>
              <w:instrText xml:space="preserve">)</w:instrText>
            </w:r>
            <w:r>
              <w:rPr>
                <w:rFonts w:hint="eastAsia" w:ascii="宋体" w:hAnsi="宋体" w:eastAsia="宋体" w:cs="宋体"/>
                <w:i w:val="0"/>
                <w:iCs w:val="0"/>
                <w:color w:val="auto"/>
                <w:sz w:val="21"/>
                <w:szCs w:val="21"/>
                <w:highlight w:val="none"/>
                <w:u w:val="none"/>
                <w:lang w:val="en-US" w:eastAsia="zh-CN"/>
              </w:rPr>
              <w:fldChar w:fldCharType="end"/>
            </w:r>
            <w:r>
              <w:rPr>
                <w:rFonts w:hint="eastAsia" w:ascii="宋体" w:hAnsi="宋体" w:eastAsia="宋体" w:cs="宋体"/>
                <w:i w:val="0"/>
                <w:iCs w:val="0"/>
                <w:color w:val="auto"/>
                <w:sz w:val="21"/>
                <w:szCs w:val="21"/>
                <w:highlight w:val="none"/>
                <w:u w:val="none"/>
                <w:lang w:val="en-US" w:eastAsia="zh-CN"/>
              </w:rPr>
              <w:t>（落选）</w:t>
            </w:r>
          </w:p>
        </w:tc>
      </w:tr>
      <w:tr w14:paraId="76DC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6" w:type="pct"/>
            <w:vAlign w:val="center"/>
          </w:tcPr>
          <w:p w14:paraId="658C5A2E">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766" w:type="pct"/>
            <w:vAlign w:val="center"/>
          </w:tcPr>
          <w:p w14:paraId="3E15D125">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766" w:type="pct"/>
            <w:vAlign w:val="center"/>
          </w:tcPr>
          <w:p w14:paraId="4D4154DF">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766" w:type="pct"/>
            <w:vAlign w:val="center"/>
          </w:tcPr>
          <w:p w14:paraId="2114A211">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768" w:type="pct"/>
            <w:vAlign w:val="center"/>
          </w:tcPr>
          <w:p w14:paraId="764F4FA5">
            <w:pPr>
              <w:keepNext w:val="0"/>
              <w:keepLines w:val="0"/>
              <w:widowControl/>
              <w:suppressLineNumbers w:val="0"/>
              <w:spacing w:before="164" w:beforeLines="50" w:beforeAutospacing="0" w:after="0" w:afterAutospacing="0" w:line="240" w:lineRule="auto"/>
              <w:ind w:left="0" w:right="0"/>
              <w:jc w:val="center"/>
              <w:rPr>
                <w:rFonts w:hint="default" w:ascii="宋体" w:hAnsi="宋体" w:eastAsia="宋体" w:cs="宋体"/>
                <w:color w:val="auto"/>
                <w:kern w:val="0"/>
                <w:szCs w:val="21"/>
                <w:highlight w:val="none"/>
                <w:vertAlign w:val="baseline"/>
                <w:lang w:val="en-US" w:eastAsia="zh-CN"/>
              </w:rPr>
            </w:pPr>
            <w:r>
              <w:rPr>
                <w:rFonts w:hint="eastAsia" w:ascii="宋体" w:hAnsi="宋体" w:eastAsia="宋体" w:cs="宋体"/>
                <w:color w:val="auto"/>
                <w:kern w:val="0"/>
                <w:szCs w:val="21"/>
                <w:highlight w:val="none"/>
                <w:vertAlign w:val="baseline"/>
                <w:lang w:val="en-US" w:eastAsia="zh-CN"/>
              </w:rPr>
              <w:t>...</w:t>
            </w:r>
          </w:p>
        </w:tc>
        <w:tc>
          <w:tcPr>
            <w:tcW w:w="1166" w:type="pct"/>
            <w:vAlign w:val="center"/>
          </w:tcPr>
          <w:p w14:paraId="7BF971E7">
            <w:pPr>
              <w:keepNext w:val="0"/>
              <w:keepLines w:val="0"/>
              <w:widowControl/>
              <w:suppressLineNumbers w:val="0"/>
              <w:spacing w:before="164" w:beforeLines="50" w:beforeAutospacing="0" w:after="0" w:afterAutospacing="0" w:line="240" w:lineRule="auto"/>
              <w:ind w:left="0" w:right="0"/>
              <w:jc w:val="center"/>
              <w:rPr>
                <w:rFonts w:hint="eastAsia" w:ascii="宋体" w:hAnsi="宋体" w:eastAsia="宋体" w:cs="宋体"/>
                <w:color w:val="auto"/>
                <w:kern w:val="0"/>
                <w:szCs w:val="21"/>
                <w:highlight w:val="none"/>
                <w:vertAlign w:val="baseline"/>
                <w:lang w:val="en-US" w:eastAsia="zh-CN"/>
              </w:rPr>
            </w:pPr>
          </w:p>
        </w:tc>
      </w:tr>
    </w:tbl>
    <w:p w14:paraId="114DA1D6">
      <w:pPr>
        <w:widowControl/>
        <w:spacing w:before="164" w:beforeLines="50" w:line="360" w:lineRule="auto"/>
        <w:ind w:left="0" w:hanging="420" w:hangingChars="200"/>
        <w:jc w:val="left"/>
        <w:rPr>
          <w:rFonts w:hint="eastAsia" w:ascii="宋体" w:hAnsi="宋体" w:eastAsia="宋体" w:cs="宋体"/>
          <w:color w:val="auto"/>
          <w:kern w:val="0"/>
          <w:szCs w:val="21"/>
          <w:highlight w:val="none"/>
          <w:lang w:val="en-US" w:eastAsia="zh-CN"/>
        </w:rPr>
      </w:pP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8"/>
        <w:gridCol w:w="2456"/>
        <w:gridCol w:w="2456"/>
        <w:gridCol w:w="2460"/>
      </w:tblGrid>
      <w:tr w14:paraId="694E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5000" w:type="pct"/>
            <w:gridSpan w:val="4"/>
          </w:tcPr>
          <w:p w14:paraId="4129F741">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各区域中标候选人推荐情况</w:t>
            </w:r>
          </w:p>
        </w:tc>
      </w:tr>
      <w:tr w14:paraId="49F0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6" w:type="pct"/>
            <w:shd w:val="clear" w:color="auto" w:fill="auto"/>
            <w:vAlign w:val="center"/>
          </w:tcPr>
          <w:p w14:paraId="4B2C0986">
            <w:pPr>
              <w:keepNext w:val="0"/>
              <w:keepLines w:val="0"/>
              <w:widowControl/>
              <w:suppressLineNumbers w:val="0"/>
              <w:spacing w:before="0" w:beforeLines="0" w:beforeAutospacing="0" w:after="0" w:afterAutospacing="0" w:line="240" w:lineRule="auto"/>
              <w:ind w:left="0" w:right="0"/>
              <w:jc w:val="center"/>
              <w:rPr>
                <w:rFonts w:hint="default" w:ascii="宋体" w:hAnsi="宋体" w:eastAsia="宋体" w:cs="宋体"/>
                <w:b/>
                <w:bCs/>
                <w:color w:val="auto"/>
                <w:kern w:val="0"/>
                <w:sz w:val="21"/>
                <w:szCs w:val="21"/>
                <w:highlight w:val="none"/>
                <w:vertAlign w:val="baseline"/>
                <w:lang w:val="en-US" w:eastAsia="zh-CN" w:bidi="ar-SA"/>
              </w:rPr>
            </w:pPr>
            <w:r>
              <w:rPr>
                <w:rFonts w:hint="eastAsia" w:ascii="宋体" w:hAnsi="宋体" w:eastAsia="宋体" w:cs="宋体"/>
                <w:b/>
                <w:bCs/>
                <w:color w:val="auto"/>
                <w:kern w:val="0"/>
                <w:szCs w:val="21"/>
                <w:highlight w:val="none"/>
                <w:vertAlign w:val="baseline"/>
                <w:lang w:val="en-US" w:eastAsia="zh-CN"/>
              </w:rPr>
              <w:t>中标候选人</w:t>
            </w:r>
          </w:p>
        </w:tc>
        <w:tc>
          <w:tcPr>
            <w:tcW w:w="1184" w:type="pct"/>
            <w:shd w:val="clear" w:color="auto" w:fill="auto"/>
            <w:vAlign w:val="center"/>
          </w:tcPr>
          <w:p w14:paraId="5FDC7F87">
            <w:pPr>
              <w:keepNext w:val="0"/>
              <w:keepLines w:val="0"/>
              <w:widowControl/>
              <w:suppressLineNumbers w:val="0"/>
              <w:spacing w:before="0" w:beforeLines="0" w:beforeAutospacing="0" w:after="0" w:afterAutospacing="0" w:line="240" w:lineRule="auto"/>
              <w:ind w:left="0" w:right="0"/>
              <w:jc w:val="center"/>
              <w:rPr>
                <w:rFonts w:hint="default" w:ascii="宋体" w:hAnsi="宋体" w:eastAsia="宋体" w:cs="宋体"/>
                <w:b/>
                <w:bCs/>
                <w:color w:val="auto"/>
                <w:kern w:val="0"/>
                <w:sz w:val="21"/>
                <w:szCs w:val="21"/>
                <w:highlight w:val="none"/>
                <w:vertAlign w:val="baseline"/>
                <w:lang w:val="en-US" w:eastAsia="zh-CN" w:bidi="ar-SA"/>
              </w:rPr>
            </w:pPr>
            <w:r>
              <w:rPr>
                <w:rFonts w:hint="eastAsia" w:ascii="宋体" w:hAnsi="宋体" w:eastAsia="宋体" w:cs="宋体"/>
                <w:b/>
                <w:bCs/>
                <w:color w:val="auto"/>
                <w:kern w:val="0"/>
                <w:szCs w:val="21"/>
                <w:highlight w:val="none"/>
                <w:vertAlign w:val="baseline"/>
                <w:lang w:val="en-US" w:eastAsia="zh-CN"/>
              </w:rPr>
              <w:t>A区</w:t>
            </w:r>
          </w:p>
        </w:tc>
        <w:tc>
          <w:tcPr>
            <w:tcW w:w="1184" w:type="pct"/>
            <w:shd w:val="clear" w:color="auto" w:fill="auto"/>
            <w:vAlign w:val="center"/>
          </w:tcPr>
          <w:p w14:paraId="63C66AC0">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b/>
                <w:bCs/>
                <w:color w:val="auto"/>
                <w:kern w:val="0"/>
                <w:sz w:val="21"/>
                <w:szCs w:val="21"/>
                <w:highlight w:val="none"/>
                <w:vertAlign w:val="baseline"/>
                <w:lang w:val="en-US" w:eastAsia="zh-CN" w:bidi="ar-SA"/>
              </w:rPr>
            </w:pPr>
            <w:r>
              <w:rPr>
                <w:rFonts w:hint="eastAsia" w:ascii="宋体" w:hAnsi="宋体" w:eastAsia="宋体" w:cs="宋体"/>
                <w:b/>
                <w:bCs/>
                <w:color w:val="auto"/>
                <w:kern w:val="0"/>
                <w:szCs w:val="21"/>
                <w:highlight w:val="none"/>
                <w:vertAlign w:val="baseline"/>
                <w:lang w:val="en-US" w:eastAsia="zh-CN"/>
              </w:rPr>
              <w:t>B区</w:t>
            </w:r>
          </w:p>
        </w:tc>
        <w:tc>
          <w:tcPr>
            <w:tcW w:w="1185" w:type="pct"/>
            <w:shd w:val="clear" w:color="auto" w:fill="auto"/>
            <w:vAlign w:val="center"/>
          </w:tcPr>
          <w:p w14:paraId="5CA49A4F">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b/>
                <w:bCs/>
                <w:color w:val="auto"/>
                <w:kern w:val="0"/>
                <w:sz w:val="21"/>
                <w:szCs w:val="21"/>
                <w:highlight w:val="none"/>
                <w:vertAlign w:val="baseline"/>
                <w:lang w:val="en-US" w:eastAsia="zh-CN" w:bidi="ar-SA"/>
              </w:rPr>
            </w:pPr>
            <w:r>
              <w:rPr>
                <w:rFonts w:hint="eastAsia" w:ascii="宋体" w:hAnsi="宋体" w:eastAsia="宋体" w:cs="宋体"/>
                <w:b/>
                <w:bCs/>
                <w:color w:val="auto"/>
                <w:kern w:val="0"/>
                <w:szCs w:val="21"/>
                <w:highlight w:val="none"/>
                <w:vertAlign w:val="baseline"/>
                <w:lang w:val="en-US" w:eastAsia="zh-CN"/>
              </w:rPr>
              <w:t>C区</w:t>
            </w:r>
          </w:p>
        </w:tc>
      </w:tr>
      <w:tr w14:paraId="3388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6" w:type="pct"/>
            <w:shd w:val="clear" w:color="auto" w:fill="auto"/>
            <w:vAlign w:val="center"/>
          </w:tcPr>
          <w:p w14:paraId="4A18BFB5">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第一中标候选人</w:t>
            </w:r>
          </w:p>
        </w:tc>
        <w:tc>
          <w:tcPr>
            <w:tcW w:w="1184" w:type="pct"/>
            <w:shd w:val="clear" w:color="auto" w:fill="auto"/>
            <w:vAlign w:val="center"/>
          </w:tcPr>
          <w:p w14:paraId="60D8853F">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投标人一</w:t>
            </w:r>
          </w:p>
        </w:tc>
        <w:tc>
          <w:tcPr>
            <w:tcW w:w="1184" w:type="pct"/>
            <w:shd w:val="clear" w:color="auto" w:fill="auto"/>
            <w:vAlign w:val="center"/>
          </w:tcPr>
          <w:p w14:paraId="6A84551B">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投标人二</w:t>
            </w:r>
          </w:p>
        </w:tc>
        <w:tc>
          <w:tcPr>
            <w:tcW w:w="1185" w:type="pct"/>
            <w:shd w:val="clear" w:color="auto" w:fill="auto"/>
            <w:vAlign w:val="center"/>
          </w:tcPr>
          <w:p w14:paraId="459CDA72">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投标人五</w:t>
            </w:r>
          </w:p>
        </w:tc>
      </w:tr>
      <w:tr w14:paraId="4240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6" w:type="pct"/>
            <w:shd w:val="clear" w:color="auto" w:fill="auto"/>
            <w:vAlign w:val="center"/>
          </w:tcPr>
          <w:p w14:paraId="6E2094B7">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第二中标候选人</w:t>
            </w:r>
          </w:p>
        </w:tc>
        <w:tc>
          <w:tcPr>
            <w:tcW w:w="1184" w:type="pct"/>
            <w:shd w:val="clear" w:color="auto" w:fill="auto"/>
            <w:vAlign w:val="center"/>
          </w:tcPr>
          <w:p w14:paraId="22307E3E">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投标人三</w:t>
            </w:r>
          </w:p>
        </w:tc>
        <w:tc>
          <w:tcPr>
            <w:tcW w:w="1184" w:type="pct"/>
            <w:shd w:val="clear" w:color="auto" w:fill="auto"/>
            <w:vAlign w:val="center"/>
          </w:tcPr>
          <w:p w14:paraId="59BAC31B">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投标人四</w:t>
            </w:r>
          </w:p>
        </w:tc>
        <w:tc>
          <w:tcPr>
            <w:tcW w:w="1185" w:type="pct"/>
            <w:shd w:val="clear" w:color="auto" w:fill="auto"/>
            <w:vAlign w:val="center"/>
          </w:tcPr>
          <w:p w14:paraId="54C75F7F">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投标人六</w:t>
            </w:r>
          </w:p>
        </w:tc>
      </w:tr>
      <w:tr w14:paraId="379A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6" w:type="pct"/>
            <w:shd w:val="clear" w:color="auto" w:fill="auto"/>
            <w:vAlign w:val="center"/>
          </w:tcPr>
          <w:p w14:paraId="74EAE5E1">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第三中标候选人</w:t>
            </w:r>
          </w:p>
        </w:tc>
        <w:tc>
          <w:tcPr>
            <w:tcW w:w="1184" w:type="pct"/>
            <w:shd w:val="clear" w:color="auto" w:fill="auto"/>
            <w:vAlign w:val="center"/>
          </w:tcPr>
          <w:p w14:paraId="08B532F5">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投标人七</w:t>
            </w:r>
          </w:p>
        </w:tc>
        <w:tc>
          <w:tcPr>
            <w:tcW w:w="1184" w:type="pct"/>
            <w:shd w:val="clear" w:color="auto" w:fill="auto"/>
            <w:vAlign w:val="center"/>
          </w:tcPr>
          <w:p w14:paraId="2A58FA08">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投标人九</w:t>
            </w:r>
          </w:p>
        </w:tc>
        <w:tc>
          <w:tcPr>
            <w:tcW w:w="1185" w:type="pct"/>
            <w:shd w:val="clear" w:color="auto" w:fill="auto"/>
            <w:vAlign w:val="center"/>
          </w:tcPr>
          <w:p w14:paraId="1154562A">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投标人八</w:t>
            </w:r>
          </w:p>
        </w:tc>
      </w:tr>
      <w:tr w14:paraId="5AFE3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6" w:type="pct"/>
            <w:shd w:val="clear" w:color="auto" w:fill="auto"/>
            <w:vAlign w:val="center"/>
          </w:tcPr>
          <w:p w14:paraId="42D77BC0">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第四中标候选人</w:t>
            </w:r>
          </w:p>
        </w:tc>
        <w:tc>
          <w:tcPr>
            <w:tcW w:w="1184" w:type="pct"/>
            <w:shd w:val="clear" w:color="auto" w:fill="auto"/>
            <w:vAlign w:val="center"/>
          </w:tcPr>
          <w:p w14:paraId="2170B891">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投标人十</w:t>
            </w:r>
          </w:p>
        </w:tc>
        <w:tc>
          <w:tcPr>
            <w:tcW w:w="1184" w:type="pct"/>
            <w:shd w:val="clear" w:color="auto" w:fill="auto"/>
            <w:vAlign w:val="center"/>
          </w:tcPr>
          <w:p w14:paraId="7F4B239D">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投标人十一</w:t>
            </w:r>
          </w:p>
        </w:tc>
        <w:tc>
          <w:tcPr>
            <w:tcW w:w="1185" w:type="pct"/>
            <w:shd w:val="clear" w:color="auto" w:fill="auto"/>
            <w:vAlign w:val="center"/>
          </w:tcPr>
          <w:p w14:paraId="3C808DD0">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投标人十二</w:t>
            </w:r>
          </w:p>
        </w:tc>
      </w:tr>
      <w:tr w14:paraId="190C6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6" w:type="pct"/>
            <w:shd w:val="clear" w:color="auto" w:fill="auto"/>
            <w:vAlign w:val="center"/>
          </w:tcPr>
          <w:p w14:paraId="56D1F5A0">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第五中标候选人</w:t>
            </w:r>
          </w:p>
        </w:tc>
        <w:tc>
          <w:tcPr>
            <w:tcW w:w="1184" w:type="pct"/>
            <w:shd w:val="clear" w:color="auto" w:fill="auto"/>
            <w:vAlign w:val="center"/>
          </w:tcPr>
          <w:p w14:paraId="32FAB516">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投标人十五</w:t>
            </w:r>
          </w:p>
        </w:tc>
        <w:tc>
          <w:tcPr>
            <w:tcW w:w="1184" w:type="pct"/>
            <w:shd w:val="clear" w:color="auto" w:fill="auto"/>
            <w:vAlign w:val="center"/>
          </w:tcPr>
          <w:p w14:paraId="1CEDDF26">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投标人十四</w:t>
            </w:r>
          </w:p>
        </w:tc>
        <w:tc>
          <w:tcPr>
            <w:tcW w:w="1185" w:type="pct"/>
            <w:shd w:val="clear" w:color="auto" w:fill="auto"/>
            <w:vAlign w:val="center"/>
          </w:tcPr>
          <w:p w14:paraId="242060F4">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投标人十三</w:t>
            </w:r>
          </w:p>
        </w:tc>
      </w:tr>
      <w:tr w14:paraId="7C8B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6" w:type="pct"/>
            <w:shd w:val="clear" w:color="auto" w:fill="auto"/>
            <w:vAlign w:val="center"/>
          </w:tcPr>
          <w:p w14:paraId="01B7228A">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第六中标候选人</w:t>
            </w:r>
          </w:p>
        </w:tc>
        <w:tc>
          <w:tcPr>
            <w:tcW w:w="1184" w:type="pct"/>
            <w:shd w:val="clear" w:color="auto" w:fill="auto"/>
            <w:vAlign w:val="center"/>
          </w:tcPr>
          <w:p w14:paraId="3BF84414">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投标人十六</w:t>
            </w:r>
          </w:p>
        </w:tc>
        <w:tc>
          <w:tcPr>
            <w:tcW w:w="1184" w:type="pct"/>
            <w:shd w:val="clear" w:color="auto" w:fill="auto"/>
            <w:vAlign w:val="center"/>
          </w:tcPr>
          <w:p w14:paraId="6FD4BF97">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投标人十七</w:t>
            </w:r>
          </w:p>
        </w:tc>
        <w:tc>
          <w:tcPr>
            <w:tcW w:w="1185" w:type="pct"/>
            <w:shd w:val="clear" w:color="auto" w:fill="auto"/>
            <w:vAlign w:val="center"/>
          </w:tcPr>
          <w:p w14:paraId="3E4204E7">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投标人十九</w:t>
            </w:r>
          </w:p>
        </w:tc>
      </w:tr>
      <w:tr w14:paraId="1E53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6" w:type="pct"/>
            <w:shd w:val="clear" w:color="auto" w:fill="auto"/>
            <w:vAlign w:val="center"/>
          </w:tcPr>
          <w:p w14:paraId="6D396452">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第七中标候选人</w:t>
            </w:r>
          </w:p>
        </w:tc>
        <w:tc>
          <w:tcPr>
            <w:tcW w:w="1184" w:type="pct"/>
            <w:shd w:val="clear" w:color="auto" w:fill="auto"/>
            <w:vAlign w:val="center"/>
          </w:tcPr>
          <w:p w14:paraId="60B17EFF">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投标人十八</w:t>
            </w:r>
          </w:p>
        </w:tc>
        <w:tc>
          <w:tcPr>
            <w:tcW w:w="1184" w:type="pct"/>
            <w:shd w:val="clear" w:color="auto" w:fill="auto"/>
            <w:vAlign w:val="center"/>
          </w:tcPr>
          <w:p w14:paraId="4E0BCBC4">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投标人二十</w:t>
            </w:r>
          </w:p>
        </w:tc>
        <w:tc>
          <w:tcPr>
            <w:tcW w:w="1185" w:type="pct"/>
            <w:shd w:val="clear" w:color="auto" w:fill="auto"/>
            <w:vAlign w:val="center"/>
          </w:tcPr>
          <w:p w14:paraId="6AC848E8">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vertAlign w:val="baseline"/>
                <w:lang w:val="en-US" w:eastAsia="zh-CN" w:bidi="ar-SA"/>
              </w:rPr>
              <w:t>投标人二十五</w:t>
            </w:r>
          </w:p>
        </w:tc>
      </w:tr>
      <w:tr w14:paraId="73E0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6" w:type="pct"/>
            <w:shd w:val="clear" w:color="auto" w:fill="auto"/>
            <w:vAlign w:val="center"/>
          </w:tcPr>
          <w:p w14:paraId="10992E1E">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第八中标候选人</w:t>
            </w:r>
          </w:p>
        </w:tc>
        <w:tc>
          <w:tcPr>
            <w:tcW w:w="1184" w:type="pct"/>
            <w:shd w:val="clear" w:color="auto" w:fill="auto"/>
            <w:vAlign w:val="center"/>
          </w:tcPr>
          <w:p w14:paraId="1EA38AD1">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投标人二十一</w:t>
            </w:r>
          </w:p>
        </w:tc>
        <w:tc>
          <w:tcPr>
            <w:tcW w:w="1184" w:type="pct"/>
            <w:shd w:val="clear" w:color="auto" w:fill="auto"/>
            <w:vAlign w:val="center"/>
          </w:tcPr>
          <w:p w14:paraId="486C0233">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投标人二十二</w:t>
            </w:r>
          </w:p>
        </w:tc>
        <w:tc>
          <w:tcPr>
            <w:tcW w:w="1185" w:type="pct"/>
            <w:shd w:val="clear" w:color="auto" w:fill="auto"/>
            <w:vAlign w:val="center"/>
          </w:tcPr>
          <w:p w14:paraId="0807BF6B">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投标人二十八</w:t>
            </w:r>
          </w:p>
        </w:tc>
      </w:tr>
      <w:tr w14:paraId="3E53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6" w:type="pct"/>
            <w:shd w:val="clear" w:color="auto" w:fill="auto"/>
            <w:vAlign w:val="center"/>
          </w:tcPr>
          <w:p w14:paraId="6851A9EE">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第九中标候选人</w:t>
            </w:r>
          </w:p>
        </w:tc>
        <w:tc>
          <w:tcPr>
            <w:tcW w:w="1184" w:type="pct"/>
            <w:shd w:val="clear" w:color="auto" w:fill="auto"/>
            <w:vAlign w:val="center"/>
          </w:tcPr>
          <w:p w14:paraId="18CD4F96">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投标人二十三</w:t>
            </w:r>
          </w:p>
        </w:tc>
        <w:tc>
          <w:tcPr>
            <w:tcW w:w="1184" w:type="pct"/>
            <w:shd w:val="clear" w:color="auto" w:fill="auto"/>
            <w:vAlign w:val="center"/>
          </w:tcPr>
          <w:p w14:paraId="3470A4C7">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投标人二十七</w:t>
            </w:r>
          </w:p>
        </w:tc>
        <w:tc>
          <w:tcPr>
            <w:tcW w:w="1185" w:type="pct"/>
            <w:shd w:val="clear" w:color="auto" w:fill="auto"/>
            <w:vAlign w:val="center"/>
          </w:tcPr>
          <w:p w14:paraId="6F4416E6">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投标人三十</w:t>
            </w:r>
          </w:p>
        </w:tc>
      </w:tr>
      <w:tr w14:paraId="3042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46" w:type="pct"/>
            <w:shd w:val="clear" w:color="auto" w:fill="auto"/>
            <w:vAlign w:val="center"/>
          </w:tcPr>
          <w:p w14:paraId="3A12E99B">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第十中标候选人</w:t>
            </w:r>
          </w:p>
        </w:tc>
        <w:tc>
          <w:tcPr>
            <w:tcW w:w="1184" w:type="pct"/>
            <w:shd w:val="clear" w:color="auto" w:fill="auto"/>
            <w:vAlign w:val="center"/>
          </w:tcPr>
          <w:p w14:paraId="72276372">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投标人二十四</w:t>
            </w:r>
          </w:p>
        </w:tc>
        <w:tc>
          <w:tcPr>
            <w:tcW w:w="1184" w:type="pct"/>
            <w:shd w:val="clear" w:color="auto" w:fill="auto"/>
            <w:vAlign w:val="center"/>
          </w:tcPr>
          <w:p w14:paraId="09FFC211">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投标人二十九</w:t>
            </w:r>
          </w:p>
        </w:tc>
        <w:tc>
          <w:tcPr>
            <w:tcW w:w="1185" w:type="pct"/>
            <w:shd w:val="clear" w:color="auto" w:fill="auto"/>
            <w:vAlign w:val="center"/>
          </w:tcPr>
          <w:p w14:paraId="5BE2E8AA">
            <w:pPr>
              <w:keepNext w:val="0"/>
              <w:keepLines w:val="0"/>
              <w:widowControl/>
              <w:suppressLineNumbers w:val="0"/>
              <w:spacing w:before="0" w:beforeLines="0" w:beforeAutospacing="0" w:after="0" w:afterAutospacing="0" w:line="240" w:lineRule="auto"/>
              <w:ind w:left="0" w:right="0"/>
              <w:jc w:val="center"/>
              <w:rPr>
                <w:rFonts w:hint="eastAsia" w:ascii="宋体" w:hAnsi="宋体" w:eastAsia="宋体" w:cs="宋体"/>
                <w:color w:val="auto"/>
                <w:kern w:val="0"/>
                <w:sz w:val="21"/>
                <w:szCs w:val="21"/>
                <w:highlight w:val="none"/>
                <w:vertAlign w:val="baseline"/>
                <w:lang w:val="en-US" w:eastAsia="zh-CN" w:bidi="ar-SA"/>
              </w:rPr>
            </w:pPr>
            <w:r>
              <w:rPr>
                <w:rFonts w:hint="eastAsia" w:ascii="宋体" w:hAnsi="宋体" w:eastAsia="宋体" w:cs="宋体"/>
                <w:color w:val="auto"/>
                <w:kern w:val="0"/>
                <w:szCs w:val="21"/>
                <w:highlight w:val="none"/>
                <w:vertAlign w:val="baseline"/>
                <w:lang w:val="en-US" w:eastAsia="zh-CN"/>
              </w:rPr>
              <w:t>投标人三十二</w:t>
            </w:r>
          </w:p>
        </w:tc>
      </w:tr>
    </w:tbl>
    <w:p w14:paraId="63A3EBB8">
      <w:pPr>
        <w:widowControl/>
        <w:spacing w:before="164" w:beforeLines="50" w:line="360" w:lineRule="auto"/>
        <w:ind w:left="0" w:hanging="420" w:hangingChars="200"/>
        <w:jc w:val="left"/>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13.3 招标人将确定每个片区的第一、第二、第三、第四、第五中标候选人为中标人；每个片区的第五、第六、第七、第八、第九、第十候选人作为该片区的备选人（如有）。</w:t>
      </w:r>
    </w:p>
    <w:p w14:paraId="33DA4BDF">
      <w:pPr>
        <w:widowControl/>
        <w:spacing w:line="360" w:lineRule="auto"/>
        <w:ind w:left="422" w:leftChars="201" w:firstLine="422" w:firstLineChars="200"/>
        <w:jc w:val="left"/>
        <w:rPr>
          <w:rFonts w:hint="eastAsia" w:ascii="宋体" w:hAnsi="宋体" w:eastAsia="宋体" w:cs="Times New Roman"/>
          <w:b/>
          <w:bCs/>
          <w:color w:val="auto"/>
          <w:szCs w:val="21"/>
          <w:highlight w:val="none"/>
        </w:rPr>
      </w:pPr>
    </w:p>
    <w:p w14:paraId="0AA5C832">
      <w:pPr>
        <w:autoSpaceDE w:val="0"/>
        <w:autoSpaceDN w:val="0"/>
        <w:adjustRightInd w:val="0"/>
        <w:spacing w:line="360" w:lineRule="auto"/>
        <w:ind w:left="185" w:leftChars="88" w:firstLine="3443" w:firstLineChars="1225"/>
        <w:rPr>
          <w:rFonts w:hint="eastAsia" w:ascii="宋体" w:hAnsi="宋体" w:eastAsia="宋体" w:cs="宋体"/>
          <w:b/>
          <w:bCs/>
          <w:color w:val="auto"/>
          <w:sz w:val="28"/>
          <w:szCs w:val="28"/>
          <w:highlight w:val="none"/>
          <w:lang w:val="zh-CN"/>
        </w:rPr>
      </w:pPr>
      <w:bookmarkStart w:id="826" w:name="_Toc22724_WPSOffice_Level1"/>
      <w:r>
        <w:rPr>
          <w:rFonts w:hint="eastAsia" w:ascii="宋体" w:hAnsi="宋体" w:eastAsia="宋体" w:cs="宋体"/>
          <w:b/>
          <w:bCs/>
          <w:color w:val="auto"/>
          <w:sz w:val="28"/>
          <w:szCs w:val="28"/>
          <w:highlight w:val="none"/>
          <w:lang w:val="zh-CN"/>
        </w:rPr>
        <w:t>六、编写评标报告</w:t>
      </w:r>
      <w:bookmarkEnd w:id="826"/>
    </w:p>
    <w:p w14:paraId="6BAE6B5D">
      <w:pPr>
        <w:autoSpaceDE w:val="0"/>
        <w:autoSpaceDN w:val="0"/>
        <w:adjustRightInd w:val="0"/>
        <w:spacing w:line="360" w:lineRule="auto"/>
        <w:ind w:left="420" w:hanging="420" w:hangingChars="200"/>
        <w:jc w:val="left"/>
        <w:rPr>
          <w:rFonts w:hint="eastAsia" w:ascii="宋体" w:hAnsi="宋体" w:eastAsia="宋体" w:cs="宋体"/>
          <w:b/>
          <w:bCs/>
          <w:color w:val="auto"/>
          <w:szCs w:val="32"/>
          <w:highlight w:val="none"/>
          <w:lang w:val="zh-CN"/>
        </w:rPr>
      </w:pPr>
      <w:r>
        <w:rPr>
          <w:rFonts w:hint="eastAsia" w:ascii="宋体" w:hAnsi="宋体" w:eastAsia="宋体" w:cs="宋体"/>
          <w:color w:val="auto"/>
          <w:szCs w:val="24"/>
          <w:highlight w:val="none"/>
          <w:lang w:val="zh-CN"/>
        </w:rPr>
        <w:t>1</w:t>
      </w:r>
      <w:r>
        <w:rPr>
          <w:rFonts w:ascii="宋体" w:hAnsi="宋体" w:eastAsia="宋体" w:cs="宋体"/>
          <w:color w:val="auto"/>
          <w:szCs w:val="24"/>
          <w:highlight w:val="none"/>
          <w:lang w:val="zh-CN"/>
        </w:rPr>
        <w:t>4</w:t>
      </w:r>
      <w:r>
        <w:rPr>
          <w:rFonts w:hint="eastAsia" w:ascii="宋体" w:hAnsi="宋体" w:eastAsia="宋体" w:cs="宋体"/>
          <w:color w:val="auto"/>
          <w:szCs w:val="24"/>
          <w:highlight w:val="none"/>
          <w:lang w:val="zh-CN"/>
        </w:rPr>
        <w:t>、评标委员会根据评审结果撰写评标报告。评标报告是评标委员会根据全体评标委员会成员签字的原始评审记录和评审结果编写的报告，其主要内容包括：</w:t>
      </w:r>
    </w:p>
    <w:p w14:paraId="101509C2">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（1）开标邀请时间、开标日期和地点；</w:t>
      </w:r>
    </w:p>
    <w:p w14:paraId="455D3BED">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（2）投标人名单和评标委员会成员名单；</w:t>
      </w:r>
    </w:p>
    <w:p w14:paraId="566B10F4">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（3）开标评审方法和标准；</w:t>
      </w:r>
    </w:p>
    <w:p w14:paraId="1EDA65DB">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（4）开标评审记录和评审情况及说明，包括投标无效投标人名单及原因；</w:t>
      </w:r>
    </w:p>
    <w:p w14:paraId="520A57C8">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（5）评审结果和中标候选投标人排序表；</w:t>
      </w:r>
    </w:p>
    <w:p w14:paraId="3BC8976B">
      <w:pPr>
        <w:autoSpaceDE w:val="0"/>
        <w:autoSpaceDN w:val="0"/>
        <w:adjustRightInd w:val="0"/>
        <w:spacing w:line="360" w:lineRule="auto"/>
        <w:jc w:val="left"/>
        <w:rPr>
          <w:rFonts w:hint="eastAsia" w:ascii="宋体" w:hAnsi="宋体" w:eastAsia="宋体" w:cs="宋体"/>
          <w:color w:val="auto"/>
          <w:szCs w:val="24"/>
          <w:highlight w:val="none"/>
          <w:lang w:val="zh-CN"/>
        </w:rPr>
      </w:pPr>
      <w:r>
        <w:rPr>
          <w:rFonts w:hint="eastAsia" w:ascii="宋体" w:hAnsi="宋体" w:eastAsia="宋体" w:cs="宋体"/>
          <w:color w:val="auto"/>
          <w:kern w:val="0"/>
          <w:szCs w:val="24"/>
          <w:highlight w:val="none"/>
          <w:lang w:val="zh-CN"/>
        </w:rPr>
        <w:t>（6）评标委员会的推荐</w:t>
      </w:r>
      <w:r>
        <w:rPr>
          <w:rFonts w:hint="eastAsia" w:ascii="宋体" w:hAnsi="宋体" w:eastAsia="宋体" w:cs="宋体"/>
          <w:color w:val="auto"/>
          <w:szCs w:val="24"/>
          <w:highlight w:val="none"/>
          <w:lang w:val="zh-CN"/>
        </w:rPr>
        <w:t>建议。</w:t>
      </w:r>
    </w:p>
    <w:p w14:paraId="58286B28">
      <w:pPr>
        <w:autoSpaceDE w:val="0"/>
        <w:autoSpaceDN w:val="0"/>
        <w:adjustRightInd w:val="0"/>
        <w:spacing w:line="360" w:lineRule="auto"/>
        <w:jc w:val="center"/>
        <w:rPr>
          <w:rFonts w:hint="eastAsia" w:ascii="宋体" w:hAnsi="宋体" w:eastAsia="宋体" w:cs="宋体"/>
          <w:b/>
          <w:bCs/>
          <w:color w:val="auto"/>
          <w:sz w:val="28"/>
          <w:szCs w:val="28"/>
          <w:highlight w:val="none"/>
          <w:lang w:val="zh-CN"/>
        </w:rPr>
      </w:pPr>
    </w:p>
    <w:p w14:paraId="1005DEED">
      <w:pPr>
        <w:autoSpaceDE w:val="0"/>
        <w:autoSpaceDN w:val="0"/>
        <w:adjustRightInd w:val="0"/>
        <w:spacing w:line="360" w:lineRule="auto"/>
        <w:jc w:val="center"/>
        <w:rPr>
          <w:rFonts w:hint="eastAsia" w:ascii="宋体" w:hAnsi="宋体" w:eastAsia="宋体" w:cs="宋体"/>
          <w:b/>
          <w:bCs/>
          <w:color w:val="auto"/>
          <w:sz w:val="30"/>
          <w:szCs w:val="30"/>
          <w:highlight w:val="none"/>
          <w:lang w:val="zh-CN"/>
        </w:rPr>
      </w:pPr>
      <w:bookmarkStart w:id="827" w:name="_Toc23773_WPSOffice_Level1"/>
      <w:r>
        <w:rPr>
          <w:rFonts w:hint="eastAsia" w:ascii="宋体" w:hAnsi="宋体" w:eastAsia="宋体" w:cs="宋体"/>
          <w:b/>
          <w:bCs/>
          <w:color w:val="auto"/>
          <w:sz w:val="28"/>
          <w:szCs w:val="28"/>
          <w:highlight w:val="none"/>
          <w:lang w:val="zh-CN"/>
        </w:rPr>
        <w:t>七、注意事项</w:t>
      </w:r>
      <w:bookmarkEnd w:id="827"/>
    </w:p>
    <w:p w14:paraId="2219EA0D">
      <w:pPr>
        <w:autoSpaceDE w:val="0"/>
        <w:autoSpaceDN w:val="0"/>
        <w:adjustRightInd w:val="0"/>
        <w:spacing w:line="360" w:lineRule="auto"/>
        <w:ind w:left="420" w:hanging="420" w:hanging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w:t>
      </w:r>
      <w:r>
        <w:rPr>
          <w:rFonts w:ascii="宋体" w:hAnsi="宋体" w:eastAsia="宋体" w:cs="宋体"/>
          <w:color w:val="auto"/>
          <w:szCs w:val="24"/>
          <w:highlight w:val="none"/>
          <w:lang w:val="zh-CN"/>
        </w:rPr>
        <w:t>5</w:t>
      </w:r>
      <w:r>
        <w:rPr>
          <w:rFonts w:hint="eastAsia" w:ascii="宋体" w:hAnsi="宋体" w:eastAsia="宋体" w:cs="宋体"/>
          <w:color w:val="auto"/>
          <w:szCs w:val="24"/>
          <w:highlight w:val="none"/>
          <w:lang w:val="zh-CN"/>
        </w:rPr>
        <w:t>、为确保评审工作的顺利进行，防止因泄密或其它意外而造成的不良后果及影响，凡参加评审工作的人员都必须认真执行本规定：</w:t>
      </w:r>
    </w:p>
    <w:p w14:paraId="43BD15FE">
      <w:pPr>
        <w:autoSpaceDE w:val="0"/>
        <w:autoSpaceDN w:val="0"/>
        <w:adjustRightInd w:val="0"/>
        <w:spacing w:line="360" w:lineRule="auto"/>
        <w:ind w:left="436" w:leftChars="-59" w:hanging="560" w:hangingChars="267"/>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（1）在评审工作期间，所有分发的投标文件、资料等仅限于在评审场所中使用，不得带往其它地方，所有的招标文件、投标文件、资料等一律编号登记；</w:t>
      </w:r>
    </w:p>
    <w:p w14:paraId="3D2F4577">
      <w:pPr>
        <w:autoSpaceDE w:val="0"/>
        <w:autoSpaceDN w:val="0"/>
        <w:adjustRightInd w:val="0"/>
        <w:spacing w:line="360" w:lineRule="auto"/>
        <w:ind w:left="436" w:leftChars="-59" w:hanging="560" w:hangingChars="267"/>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（2）评审人员及工作人员不得在公共场合谈论有关评审内容；</w:t>
      </w:r>
    </w:p>
    <w:p w14:paraId="4F8627E2">
      <w:pPr>
        <w:autoSpaceDE w:val="0"/>
        <w:autoSpaceDN w:val="0"/>
        <w:adjustRightInd w:val="0"/>
        <w:spacing w:line="360" w:lineRule="auto"/>
        <w:ind w:left="436" w:leftChars="-59" w:hanging="560" w:hangingChars="267"/>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3）评审人员及工作人员不得以书信、电讯、口述等方式将有关评审内容（如资料、投标文件、投标报价、评审方式、评标委员会的决定、评审组织机构、评审人员名单等）披露给未参加评审的任何无关人员，包括上级领导、同级和下级人员，任何与评审无关的人员（包括亲朋好友和同事）不得进入评审场所；</w:t>
      </w:r>
    </w:p>
    <w:p w14:paraId="47700138">
      <w:pPr>
        <w:autoSpaceDE w:val="0"/>
        <w:autoSpaceDN w:val="0"/>
        <w:adjustRightInd w:val="0"/>
        <w:spacing w:line="360" w:lineRule="auto"/>
        <w:ind w:left="436" w:leftChars="-59" w:hanging="560" w:hangingChars="267"/>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（4）</w:t>
      </w:r>
      <w:r>
        <w:rPr>
          <w:rFonts w:hint="eastAsia" w:ascii="宋体" w:hAnsi="宋体" w:eastAsia="宋体" w:cs="宋体"/>
          <w:color w:val="auto"/>
          <w:szCs w:val="24"/>
          <w:highlight w:val="none"/>
        </w:rPr>
        <w:t>如有需要举行</w:t>
      </w:r>
      <w:r>
        <w:rPr>
          <w:rFonts w:hint="eastAsia" w:ascii="宋体" w:hAnsi="宋体" w:eastAsia="宋体" w:cs="宋体"/>
          <w:color w:val="auto"/>
          <w:szCs w:val="24"/>
          <w:highlight w:val="none"/>
          <w:lang w:val="zh-CN"/>
        </w:rPr>
        <w:t>澄清会，在举行与各投标人的澄清会之前评标委员会应明确参加会议的人员及主谈人。任何需要投标人在澄清会上澄清的问题必须经评标委员会成员签字并由主谈人提出。在澄清期间，对于涉及本规定保密范畴的所有内容，主谈人不得向投标人透露；</w:t>
      </w:r>
    </w:p>
    <w:p w14:paraId="545796ED">
      <w:pPr>
        <w:widowControl/>
        <w:autoSpaceDE w:val="0"/>
        <w:autoSpaceDN w:val="0"/>
        <w:adjustRightInd w:val="0"/>
        <w:spacing w:line="360" w:lineRule="auto"/>
        <w:ind w:left="436" w:leftChars="-59" w:hanging="560" w:hangingChars="267"/>
        <w:jc w:val="left"/>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（5）任何评审人员和工作人员不得对外公布评审的一切内容。</w:t>
      </w:r>
      <w:bookmarkEnd w:id="780"/>
      <w:bookmarkEnd w:id="802"/>
      <w:bookmarkEnd w:id="803"/>
      <w:bookmarkEnd w:id="804"/>
    </w:p>
    <w:sectPr>
      <w:pgSz w:w="12240" w:h="15840"/>
      <w:pgMar w:top="1191" w:right="1043" w:bottom="1191" w:left="1043" w:header="720" w:footer="720" w:gutter="0"/>
      <w:cols w:space="720" w:num="1"/>
      <w:titlePg/>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47E9170-63BC-4969-B4EE-49880BBFFA0D}"/>
  </w:font>
  <w:font w:name="黑体">
    <w:panose1 w:val="02010609060101010101"/>
    <w:charset w:val="86"/>
    <w:family w:val="auto"/>
    <w:pitch w:val="default"/>
    <w:sig w:usb0="800002BF" w:usb1="38CF7CFA" w:usb2="00000016" w:usb3="00000000" w:csb0="00040001" w:csb1="00000000"/>
    <w:embedRegular r:id="rId2" w:fontKey="{D9108B29-D500-47FB-BB8E-4F5D498A73F2}"/>
  </w:font>
  <w:font w:name="Courier New">
    <w:panose1 w:val="02070309020205020404"/>
    <w:charset w:val="01"/>
    <w:family w:val="modern"/>
    <w:pitch w:val="default"/>
    <w:sig w:usb0="E0002EFF" w:usb1="C0007843" w:usb2="00000009" w:usb3="00000000" w:csb0="400001FF" w:csb1="FFFF0000"/>
    <w:embedRegular r:id="rId3" w:fontKey="{5B34C532-78EC-4AE9-B110-4B4C512C85C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4" w:fontKey="{CCBD290C-2A69-44BD-99AC-D107F76F234C}"/>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5" w:fontKey="{E05A6977-D253-4BA9-91FE-477675ECED3E}"/>
  </w:font>
  <w:font w:name="ˎ̥">
    <w:altName w:val="Times New Roman"/>
    <w:panose1 w:val="00000000000000000000"/>
    <w:charset w:val="01"/>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FrutigerNext LT Light">
    <w:altName w:val="宋体"/>
    <w:panose1 w:val="00000000000000000000"/>
    <w:charset w:val="86"/>
    <w:family w:val="swiss"/>
    <w:pitch w:val="default"/>
    <w:sig w:usb0="00000000" w:usb1="00000000" w:usb2="00000010"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embedRegular r:id="rId6" w:fontKey="{231E51BD-F0D6-4C67-B78E-71318838233B}"/>
  </w:font>
  <w:font w:name="Wingdings 2">
    <w:panose1 w:val="05020102010507070707"/>
    <w:charset w:val="02"/>
    <w:family w:val="roman"/>
    <w:pitch w:val="default"/>
    <w:sig w:usb0="00000000" w:usb1="00000000" w:usb2="00000000" w:usb3="00000000" w:csb0="80000000" w:csb1="00000000"/>
    <w:embedRegular r:id="rId7" w:fontKey="{301AC47A-7157-46DF-BDF5-09304ABB8987}"/>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9E773">
    <w:pPr>
      <w:pStyle w:val="25"/>
      <w:jc w:val="center"/>
      <w:rPr>
        <w:rFonts w:hint="eastAsia"/>
      </w:rPr>
    </w:pPr>
    <w:r>
      <w:rPr>
        <w:rFonts w:hint="eastAsia"/>
      </w:rPr>
      <w:t>第</w:t>
    </w:r>
    <w:r>
      <w:rPr>
        <w:bCs/>
      </w:rPr>
      <w:fldChar w:fldCharType="begin"/>
    </w:r>
    <w:r>
      <w:rPr>
        <w:bCs/>
      </w:rPr>
      <w:instrText xml:space="preserve">PAGE</w:instrText>
    </w:r>
    <w:r>
      <w:rPr>
        <w:bCs/>
      </w:rPr>
      <w:fldChar w:fldCharType="separate"/>
    </w:r>
    <w:r>
      <w:rPr>
        <w:bCs/>
      </w:rPr>
      <w:t>25</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69</w:t>
    </w:r>
    <w:r>
      <w:rPr>
        <w:bCs/>
      </w:rPr>
      <w:fldChar w:fldCharType="end"/>
    </w:r>
    <w:r>
      <w:rPr>
        <w:rFonts w:hint="eastAsia"/>
        <w:bCs/>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3643E">
    <w:pPr>
      <w:pStyle w:val="25"/>
      <w:jc w:val="center"/>
      <w:rPr>
        <w:rFonts w:hint="eastAsia"/>
      </w:rPr>
    </w:pPr>
    <w:r>
      <w:rPr>
        <w:rFonts w:hint="eastAsia"/>
      </w:rPr>
      <w:t>第</w:t>
    </w:r>
    <w:r>
      <w:rPr>
        <w:bCs/>
      </w:rPr>
      <w:fldChar w:fldCharType="begin"/>
    </w:r>
    <w:r>
      <w:rPr>
        <w:bCs/>
      </w:rPr>
      <w:instrText xml:space="preserve">PAGE</w:instrText>
    </w:r>
    <w:r>
      <w:rPr>
        <w:bCs/>
      </w:rPr>
      <w:fldChar w:fldCharType="separate"/>
    </w:r>
    <w:r>
      <w:rPr>
        <w:bCs/>
      </w:rPr>
      <w:t>1</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69</w:t>
    </w:r>
    <w:r>
      <w:rPr>
        <w:bCs/>
      </w:rPr>
      <w:fldChar w:fldCharType="end"/>
    </w:r>
    <w:r>
      <w:rPr>
        <w:rFonts w:hint="eastAsia"/>
        <w:bCs/>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F4F8F">
    <w:pPr>
      <w:pStyle w:val="25"/>
      <w:jc w:val="center"/>
      <w:rPr>
        <w:rFonts w:hint="eastAsia"/>
      </w:rPr>
    </w:pPr>
    <w:r>
      <w:rPr>
        <w:rFonts w:hint="eastAsia"/>
      </w:rPr>
      <w:t>第</w:t>
    </w:r>
    <w:r>
      <w:rPr>
        <w:bCs/>
      </w:rPr>
      <w:fldChar w:fldCharType="begin"/>
    </w:r>
    <w:r>
      <w:rPr>
        <w:bCs/>
      </w:rPr>
      <w:instrText xml:space="preserve">PAGE</w:instrText>
    </w:r>
    <w:r>
      <w:rPr>
        <w:bCs/>
      </w:rPr>
      <w:fldChar w:fldCharType="separate"/>
    </w:r>
    <w:r>
      <w:rPr>
        <w:bCs/>
      </w:rPr>
      <w:t>40</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40</w:t>
    </w:r>
    <w:r>
      <w:rPr>
        <w:bCs/>
      </w:rPr>
      <w:fldChar w:fldCharType="end"/>
    </w:r>
    <w:r>
      <w:rPr>
        <w:rFonts w:hint="eastAsia"/>
        <w:bCs/>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4C41B">
    <w:pPr>
      <w:pStyle w:val="25"/>
      <w:jc w:val="center"/>
      <w:rPr>
        <w:rFonts w:hint="eastAsia"/>
      </w:rPr>
    </w:pPr>
    <w:r>
      <w:rPr>
        <w:rFonts w:hint="eastAsia"/>
      </w:rPr>
      <w:t>第</w:t>
    </w:r>
    <w:r>
      <w:rPr>
        <w:bCs/>
      </w:rPr>
      <w:fldChar w:fldCharType="begin"/>
    </w:r>
    <w:r>
      <w:rPr>
        <w:bCs/>
      </w:rPr>
      <w:instrText xml:space="preserve">PAGE</w:instrText>
    </w:r>
    <w:r>
      <w:rPr>
        <w:bCs/>
      </w:rPr>
      <w:fldChar w:fldCharType="separate"/>
    </w:r>
    <w:r>
      <w:rPr>
        <w:bCs/>
      </w:rPr>
      <w:t>49</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49</w:t>
    </w:r>
    <w:r>
      <w:rPr>
        <w:bCs/>
      </w:rPr>
      <w:fldChar w:fldCharType="end"/>
    </w:r>
    <w:r>
      <w:rPr>
        <w:rFonts w:hint="eastAsia"/>
        <w:bCs/>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5ACED">
    <w:pPr>
      <w:pStyle w:val="25"/>
      <w:jc w:val="center"/>
      <w:rPr>
        <w:rFonts w:hint="eastAsia"/>
      </w:rPr>
    </w:pPr>
    <w:r>
      <w:rPr>
        <w:rFonts w:hint="eastAsia"/>
      </w:rPr>
      <w:t>第</w:t>
    </w:r>
    <w:r>
      <w:rPr>
        <w:lang w:val="zh-CN"/>
      </w:rPr>
      <w:t xml:space="preserve"> </w:t>
    </w:r>
    <w:r>
      <w:rPr>
        <w:bCs/>
        <w:sz w:val="24"/>
        <w:szCs w:val="24"/>
      </w:rPr>
      <w:fldChar w:fldCharType="begin"/>
    </w:r>
    <w:r>
      <w:rPr>
        <w:bCs/>
      </w:rPr>
      <w:instrText xml:space="preserve">PAGE</w:instrText>
    </w:r>
    <w:r>
      <w:rPr>
        <w:bCs/>
        <w:sz w:val="24"/>
        <w:szCs w:val="24"/>
      </w:rPr>
      <w:fldChar w:fldCharType="separate"/>
    </w:r>
    <w:r>
      <w:rPr>
        <w:bCs/>
      </w:rPr>
      <w:t>66</w:t>
    </w:r>
    <w:r>
      <w:rPr>
        <w:bCs/>
        <w:sz w:val="24"/>
        <w:szCs w:val="24"/>
      </w:rPr>
      <w:fldChar w:fldCharType="end"/>
    </w:r>
    <w:r>
      <w:rPr>
        <w:lang w:val="zh-CN"/>
      </w:rPr>
      <w:t xml:space="preserve"> </w:t>
    </w:r>
    <w:r>
      <w:rPr>
        <w:rFonts w:hint="eastAsia"/>
        <w:lang w:val="zh-CN"/>
      </w:rPr>
      <w:t>页，共</w:t>
    </w:r>
    <w:r>
      <w:rPr>
        <w:lang w:val="zh-CN"/>
      </w:rPr>
      <w:t xml:space="preserve"> </w:t>
    </w:r>
    <w:r>
      <w:rPr>
        <w:bCs/>
        <w:sz w:val="24"/>
        <w:szCs w:val="24"/>
      </w:rPr>
      <w:fldChar w:fldCharType="begin"/>
    </w:r>
    <w:r>
      <w:rPr>
        <w:bCs/>
      </w:rPr>
      <w:instrText xml:space="preserve">NUMPAGES</w:instrText>
    </w:r>
    <w:r>
      <w:rPr>
        <w:bCs/>
        <w:sz w:val="24"/>
        <w:szCs w:val="24"/>
      </w:rPr>
      <w:fldChar w:fldCharType="separate"/>
    </w:r>
    <w:r>
      <w:rPr>
        <w:bCs/>
      </w:rPr>
      <w:t>68</w:t>
    </w:r>
    <w:r>
      <w:rPr>
        <w:bCs/>
        <w:sz w:val="24"/>
        <w:szCs w:val="24"/>
      </w:rPr>
      <w:fldChar w:fldCharType="end"/>
    </w:r>
    <w:r>
      <w:rPr>
        <w:b/>
        <w:bCs/>
        <w:sz w:val="24"/>
        <w:szCs w:val="24"/>
      </w:rPr>
      <w:t xml:space="preserve"> </w:t>
    </w:r>
    <w:r>
      <w:rPr>
        <w:rFonts w:hint="eastAsia"/>
      </w:rPr>
      <w:t>页</w:t>
    </w:r>
  </w:p>
  <w:p w14:paraId="5F15EAF2">
    <w:pPr>
      <w:pStyle w:val="25"/>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33099A"/>
    <w:multiLevelType w:val="singleLevel"/>
    <w:tmpl w:val="1633099A"/>
    <w:lvl w:ilvl="0" w:tentative="0">
      <w:start w:val="1"/>
      <w:numFmt w:val="decimal"/>
      <w:suff w:val="nothing"/>
      <w:lvlText w:val="%1、"/>
      <w:lvlJc w:val="left"/>
    </w:lvl>
  </w:abstractNum>
  <w:abstractNum w:abstractNumId="1">
    <w:nsid w:val="2F8D6FBB"/>
    <w:multiLevelType w:val="multilevel"/>
    <w:tmpl w:val="2F8D6FBB"/>
    <w:lvl w:ilvl="0" w:tentative="0">
      <w:start w:val="1"/>
      <w:numFmt w:val="decimal"/>
      <w:lvlText w:val="%1."/>
      <w:legacy w:legacy="1" w:legacySpace="0" w:legacyIndent="360"/>
      <w:lvlJc w:val="left"/>
      <w:rPr>
        <w:rFonts w:hint="eastAsia" w:ascii="宋体" w:hAnsi="宋体" w:eastAsia="宋体"/>
      </w:rPr>
    </w:lvl>
    <w:lvl w:ilvl="1" w:tentative="0">
      <w:start w:val="5"/>
      <w:numFmt w:val="decimal"/>
      <w:isLgl/>
      <w:lvlText w:val="%1.%2"/>
      <w:lvlJc w:val="left"/>
      <w:pPr>
        <w:tabs>
          <w:tab w:val="left" w:pos="0"/>
        </w:tabs>
        <w:ind w:left="0" w:firstLine="0"/>
      </w:pPr>
      <w:rPr>
        <w:rFonts w:hint="default"/>
      </w:rPr>
    </w:lvl>
    <w:lvl w:ilvl="2" w:tentative="0">
      <w:start w:val="1"/>
      <w:numFmt w:val="decimal"/>
      <w:isLgl/>
      <w:lvlText w:val="%1.%2.%3"/>
      <w:lvlJc w:val="left"/>
      <w:pPr>
        <w:tabs>
          <w:tab w:val="left" w:pos="0"/>
        </w:tabs>
        <w:ind w:left="0" w:firstLine="0"/>
      </w:pPr>
      <w:rPr>
        <w:rFonts w:hint="default"/>
      </w:rPr>
    </w:lvl>
    <w:lvl w:ilvl="3" w:tentative="0">
      <w:start w:val="1"/>
      <w:numFmt w:val="decimal"/>
      <w:isLgl/>
      <w:lvlText w:val="%1.%2.%3.%4"/>
      <w:lvlJc w:val="left"/>
      <w:pPr>
        <w:tabs>
          <w:tab w:val="left" w:pos="0"/>
        </w:tabs>
        <w:ind w:left="0" w:firstLine="0"/>
      </w:pPr>
      <w:rPr>
        <w:rFonts w:hint="default"/>
      </w:rPr>
    </w:lvl>
    <w:lvl w:ilvl="4" w:tentative="0">
      <w:start w:val="1"/>
      <w:numFmt w:val="decimal"/>
      <w:isLgl/>
      <w:lvlText w:val="%1.%2.%3.%4.%5"/>
      <w:lvlJc w:val="left"/>
      <w:pPr>
        <w:tabs>
          <w:tab w:val="left" w:pos="0"/>
        </w:tabs>
        <w:ind w:left="0" w:firstLine="0"/>
      </w:pPr>
      <w:rPr>
        <w:rFonts w:hint="default"/>
      </w:rPr>
    </w:lvl>
    <w:lvl w:ilvl="5" w:tentative="0">
      <w:start w:val="1"/>
      <w:numFmt w:val="decimal"/>
      <w:isLgl/>
      <w:lvlText w:val="%1.%2.%3.%4.%5.%6"/>
      <w:lvlJc w:val="left"/>
      <w:pPr>
        <w:tabs>
          <w:tab w:val="left" w:pos="0"/>
        </w:tabs>
        <w:ind w:left="0" w:firstLine="0"/>
      </w:pPr>
      <w:rPr>
        <w:rFonts w:hint="default"/>
      </w:rPr>
    </w:lvl>
    <w:lvl w:ilvl="6" w:tentative="0">
      <w:start w:val="1"/>
      <w:numFmt w:val="decimal"/>
      <w:isLgl/>
      <w:lvlText w:val="%1.%2.%3.%4.%5.%6.%7"/>
      <w:lvlJc w:val="left"/>
      <w:pPr>
        <w:tabs>
          <w:tab w:val="left" w:pos="0"/>
        </w:tabs>
        <w:ind w:left="0" w:firstLine="0"/>
      </w:pPr>
      <w:rPr>
        <w:rFonts w:hint="default"/>
      </w:rPr>
    </w:lvl>
    <w:lvl w:ilvl="7" w:tentative="0">
      <w:start w:val="1"/>
      <w:numFmt w:val="decimal"/>
      <w:isLgl/>
      <w:lvlText w:val="%1.%2.%3.%4.%5.%6.%7.%8"/>
      <w:lvlJc w:val="left"/>
      <w:pPr>
        <w:tabs>
          <w:tab w:val="left" w:pos="0"/>
        </w:tabs>
        <w:ind w:left="0" w:firstLine="0"/>
      </w:pPr>
      <w:rPr>
        <w:rFonts w:hint="default"/>
      </w:rPr>
    </w:lvl>
    <w:lvl w:ilvl="8" w:tentative="0">
      <w:start w:val="1"/>
      <w:numFmt w:val="decimal"/>
      <w:isLgl/>
      <w:lvlText w:val="%1.%2.%3.%4.%5.%6.%7.%8.%9"/>
      <w:lvlJc w:val="left"/>
      <w:pPr>
        <w:tabs>
          <w:tab w:val="left" w:pos="0"/>
        </w:tabs>
        <w:ind w:left="0" w:firstLine="0"/>
      </w:pPr>
      <w:rPr>
        <w:rFonts w:hint="default"/>
      </w:rPr>
    </w:lvl>
  </w:abstractNum>
  <w:abstractNum w:abstractNumId="2">
    <w:nsid w:val="442A3BA7"/>
    <w:multiLevelType w:val="multilevel"/>
    <w:tmpl w:val="442A3BA7"/>
    <w:lvl w:ilvl="0" w:tentative="0">
      <w:start w:val="1"/>
      <w:numFmt w:val="decimal"/>
      <w:lvlText w:val="%1"/>
      <w:lvlJc w:val="left"/>
      <w:pPr>
        <w:ind w:left="360" w:hanging="36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1A6509E"/>
    <w:multiLevelType w:val="singleLevel"/>
    <w:tmpl w:val="51A6509E"/>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lODZmYzRmZDczNjA1NDMyNTNlYjdlZGM1NWQxYjQifQ=="/>
  </w:docVars>
  <w:rsids>
    <w:rsidRoot w:val="001E63B6"/>
    <w:rsid w:val="000011AE"/>
    <w:rsid w:val="00004430"/>
    <w:rsid w:val="00006AEC"/>
    <w:rsid w:val="00015A2E"/>
    <w:rsid w:val="000245A6"/>
    <w:rsid w:val="0002570D"/>
    <w:rsid w:val="00027708"/>
    <w:rsid w:val="00035595"/>
    <w:rsid w:val="00040BE6"/>
    <w:rsid w:val="00040F92"/>
    <w:rsid w:val="00046C4B"/>
    <w:rsid w:val="00052FA1"/>
    <w:rsid w:val="00054A52"/>
    <w:rsid w:val="00054D9C"/>
    <w:rsid w:val="000622F9"/>
    <w:rsid w:val="000640CD"/>
    <w:rsid w:val="000768C6"/>
    <w:rsid w:val="000770B9"/>
    <w:rsid w:val="0008097F"/>
    <w:rsid w:val="00084D8D"/>
    <w:rsid w:val="000853A8"/>
    <w:rsid w:val="00086BE3"/>
    <w:rsid w:val="00094AF8"/>
    <w:rsid w:val="00097C65"/>
    <w:rsid w:val="000A26AA"/>
    <w:rsid w:val="000A31BD"/>
    <w:rsid w:val="000A34F7"/>
    <w:rsid w:val="000A65CD"/>
    <w:rsid w:val="000A73D7"/>
    <w:rsid w:val="000B4B09"/>
    <w:rsid w:val="000C1661"/>
    <w:rsid w:val="000C18B7"/>
    <w:rsid w:val="000C5D06"/>
    <w:rsid w:val="000C6A11"/>
    <w:rsid w:val="000D0B5D"/>
    <w:rsid w:val="000D5537"/>
    <w:rsid w:val="000D75D3"/>
    <w:rsid w:val="000E3ECA"/>
    <w:rsid w:val="000E4A4F"/>
    <w:rsid w:val="000E4D54"/>
    <w:rsid w:val="000F0A84"/>
    <w:rsid w:val="001059DC"/>
    <w:rsid w:val="0010738F"/>
    <w:rsid w:val="0011440A"/>
    <w:rsid w:val="00114519"/>
    <w:rsid w:val="001233ED"/>
    <w:rsid w:val="00127946"/>
    <w:rsid w:val="00131E91"/>
    <w:rsid w:val="001450A8"/>
    <w:rsid w:val="001523C0"/>
    <w:rsid w:val="00152F07"/>
    <w:rsid w:val="0015711A"/>
    <w:rsid w:val="001644BA"/>
    <w:rsid w:val="001647C7"/>
    <w:rsid w:val="00165203"/>
    <w:rsid w:val="00166309"/>
    <w:rsid w:val="00170004"/>
    <w:rsid w:val="00174AE6"/>
    <w:rsid w:val="001758D3"/>
    <w:rsid w:val="00177B51"/>
    <w:rsid w:val="0018078B"/>
    <w:rsid w:val="00183284"/>
    <w:rsid w:val="00183344"/>
    <w:rsid w:val="0019682B"/>
    <w:rsid w:val="001A1FCB"/>
    <w:rsid w:val="001B74B3"/>
    <w:rsid w:val="001C2086"/>
    <w:rsid w:val="001C4AC2"/>
    <w:rsid w:val="001C6FAA"/>
    <w:rsid w:val="001D00B3"/>
    <w:rsid w:val="001D5A65"/>
    <w:rsid w:val="001D6B15"/>
    <w:rsid w:val="001E4158"/>
    <w:rsid w:val="001E6227"/>
    <w:rsid w:val="001E63B6"/>
    <w:rsid w:val="001E6DD8"/>
    <w:rsid w:val="001F0290"/>
    <w:rsid w:val="001F6A01"/>
    <w:rsid w:val="00202DB9"/>
    <w:rsid w:val="00215B7A"/>
    <w:rsid w:val="00223D5B"/>
    <w:rsid w:val="0022528C"/>
    <w:rsid w:val="002258BB"/>
    <w:rsid w:val="00225B7D"/>
    <w:rsid w:val="002260FC"/>
    <w:rsid w:val="002315B7"/>
    <w:rsid w:val="002347FE"/>
    <w:rsid w:val="0024360C"/>
    <w:rsid w:val="002451A7"/>
    <w:rsid w:val="0024662E"/>
    <w:rsid w:val="00247373"/>
    <w:rsid w:val="00260C05"/>
    <w:rsid w:val="00261575"/>
    <w:rsid w:val="00262407"/>
    <w:rsid w:val="00275E0E"/>
    <w:rsid w:val="0028146F"/>
    <w:rsid w:val="002831F6"/>
    <w:rsid w:val="00290CBF"/>
    <w:rsid w:val="0029590E"/>
    <w:rsid w:val="002A3EB3"/>
    <w:rsid w:val="002B1734"/>
    <w:rsid w:val="002B5DBC"/>
    <w:rsid w:val="002B7423"/>
    <w:rsid w:val="002B7CA9"/>
    <w:rsid w:val="002C4A4A"/>
    <w:rsid w:val="002D0003"/>
    <w:rsid w:val="002D1442"/>
    <w:rsid w:val="002E4079"/>
    <w:rsid w:val="002F022C"/>
    <w:rsid w:val="002F68EE"/>
    <w:rsid w:val="002F7DEF"/>
    <w:rsid w:val="003014E2"/>
    <w:rsid w:val="00302D85"/>
    <w:rsid w:val="0030753D"/>
    <w:rsid w:val="00311DA1"/>
    <w:rsid w:val="003121B1"/>
    <w:rsid w:val="003125E6"/>
    <w:rsid w:val="0031709C"/>
    <w:rsid w:val="003223D5"/>
    <w:rsid w:val="00322AA4"/>
    <w:rsid w:val="00325EF0"/>
    <w:rsid w:val="00326230"/>
    <w:rsid w:val="00326290"/>
    <w:rsid w:val="00330DA7"/>
    <w:rsid w:val="00332C2D"/>
    <w:rsid w:val="00335872"/>
    <w:rsid w:val="003462FF"/>
    <w:rsid w:val="00347A73"/>
    <w:rsid w:val="00347CB0"/>
    <w:rsid w:val="00352495"/>
    <w:rsid w:val="00353707"/>
    <w:rsid w:val="00354BE6"/>
    <w:rsid w:val="0035524D"/>
    <w:rsid w:val="00357E51"/>
    <w:rsid w:val="003628C2"/>
    <w:rsid w:val="00364854"/>
    <w:rsid w:val="00366BB7"/>
    <w:rsid w:val="003721DF"/>
    <w:rsid w:val="003748D5"/>
    <w:rsid w:val="0037694B"/>
    <w:rsid w:val="00381E11"/>
    <w:rsid w:val="003824D1"/>
    <w:rsid w:val="00393CBD"/>
    <w:rsid w:val="00395C76"/>
    <w:rsid w:val="003A2B25"/>
    <w:rsid w:val="003A5520"/>
    <w:rsid w:val="003B077B"/>
    <w:rsid w:val="003B3342"/>
    <w:rsid w:val="003B5C9C"/>
    <w:rsid w:val="003C193B"/>
    <w:rsid w:val="003D0D72"/>
    <w:rsid w:val="003D17A4"/>
    <w:rsid w:val="003D39E2"/>
    <w:rsid w:val="003D3F68"/>
    <w:rsid w:val="003D46D4"/>
    <w:rsid w:val="003E006E"/>
    <w:rsid w:val="003E30F8"/>
    <w:rsid w:val="003E399E"/>
    <w:rsid w:val="003E6830"/>
    <w:rsid w:val="003F3875"/>
    <w:rsid w:val="003F42C0"/>
    <w:rsid w:val="003F51B0"/>
    <w:rsid w:val="004033E1"/>
    <w:rsid w:val="00405E84"/>
    <w:rsid w:val="0040607F"/>
    <w:rsid w:val="00417860"/>
    <w:rsid w:val="00420A7A"/>
    <w:rsid w:val="004235AF"/>
    <w:rsid w:val="0042558D"/>
    <w:rsid w:val="00427A89"/>
    <w:rsid w:val="0043107A"/>
    <w:rsid w:val="00432C43"/>
    <w:rsid w:val="004359C6"/>
    <w:rsid w:val="004360FC"/>
    <w:rsid w:val="004378C7"/>
    <w:rsid w:val="00437B9C"/>
    <w:rsid w:val="00437FC4"/>
    <w:rsid w:val="00441805"/>
    <w:rsid w:val="004551D1"/>
    <w:rsid w:val="0045753C"/>
    <w:rsid w:val="004577C3"/>
    <w:rsid w:val="0046038A"/>
    <w:rsid w:val="00460F3E"/>
    <w:rsid w:val="00464570"/>
    <w:rsid w:val="0046680C"/>
    <w:rsid w:val="004761B2"/>
    <w:rsid w:val="00481AFA"/>
    <w:rsid w:val="0049337D"/>
    <w:rsid w:val="004B093D"/>
    <w:rsid w:val="004B604C"/>
    <w:rsid w:val="004E4ADE"/>
    <w:rsid w:val="004E5028"/>
    <w:rsid w:val="004E5F4E"/>
    <w:rsid w:val="004F2802"/>
    <w:rsid w:val="00500B9E"/>
    <w:rsid w:val="00503499"/>
    <w:rsid w:val="00506501"/>
    <w:rsid w:val="00507BC4"/>
    <w:rsid w:val="00513DB6"/>
    <w:rsid w:val="005218E9"/>
    <w:rsid w:val="00524E92"/>
    <w:rsid w:val="00531E28"/>
    <w:rsid w:val="005344B1"/>
    <w:rsid w:val="005423E7"/>
    <w:rsid w:val="005572B4"/>
    <w:rsid w:val="0056010A"/>
    <w:rsid w:val="00563302"/>
    <w:rsid w:val="00571307"/>
    <w:rsid w:val="005743EA"/>
    <w:rsid w:val="00576F2E"/>
    <w:rsid w:val="00581210"/>
    <w:rsid w:val="00581FC3"/>
    <w:rsid w:val="005832B2"/>
    <w:rsid w:val="005851F1"/>
    <w:rsid w:val="005910B4"/>
    <w:rsid w:val="00594395"/>
    <w:rsid w:val="00596A23"/>
    <w:rsid w:val="005B735D"/>
    <w:rsid w:val="005C4A71"/>
    <w:rsid w:val="005C6F40"/>
    <w:rsid w:val="005D4119"/>
    <w:rsid w:val="005D66C2"/>
    <w:rsid w:val="005E2AC9"/>
    <w:rsid w:val="005E4D67"/>
    <w:rsid w:val="005F3D7C"/>
    <w:rsid w:val="00602D7E"/>
    <w:rsid w:val="00603BD0"/>
    <w:rsid w:val="0060555D"/>
    <w:rsid w:val="00606161"/>
    <w:rsid w:val="006062B3"/>
    <w:rsid w:val="00612EB1"/>
    <w:rsid w:val="0061352C"/>
    <w:rsid w:val="006165C8"/>
    <w:rsid w:val="006175B4"/>
    <w:rsid w:val="00617AAD"/>
    <w:rsid w:val="00621CDC"/>
    <w:rsid w:val="006229B2"/>
    <w:rsid w:val="00625E3D"/>
    <w:rsid w:val="00630B61"/>
    <w:rsid w:val="006402A6"/>
    <w:rsid w:val="00644B65"/>
    <w:rsid w:val="006516F9"/>
    <w:rsid w:val="006530F8"/>
    <w:rsid w:val="006537BE"/>
    <w:rsid w:val="006654C0"/>
    <w:rsid w:val="00681997"/>
    <w:rsid w:val="0068405C"/>
    <w:rsid w:val="00691017"/>
    <w:rsid w:val="0069152C"/>
    <w:rsid w:val="006A29A5"/>
    <w:rsid w:val="006A2BD9"/>
    <w:rsid w:val="006A3C57"/>
    <w:rsid w:val="006A4F83"/>
    <w:rsid w:val="006A5072"/>
    <w:rsid w:val="006B5151"/>
    <w:rsid w:val="006C2D84"/>
    <w:rsid w:val="006C2F7D"/>
    <w:rsid w:val="006C3580"/>
    <w:rsid w:val="006C3F4D"/>
    <w:rsid w:val="006C6349"/>
    <w:rsid w:val="006D479F"/>
    <w:rsid w:val="006E2E51"/>
    <w:rsid w:val="006F6DB2"/>
    <w:rsid w:val="00704B3A"/>
    <w:rsid w:val="00710CF8"/>
    <w:rsid w:val="00711E08"/>
    <w:rsid w:val="007138FD"/>
    <w:rsid w:val="00716BB1"/>
    <w:rsid w:val="007172FD"/>
    <w:rsid w:val="007200C8"/>
    <w:rsid w:val="007215F6"/>
    <w:rsid w:val="00721BAA"/>
    <w:rsid w:val="00745968"/>
    <w:rsid w:val="00747A3E"/>
    <w:rsid w:val="007730C9"/>
    <w:rsid w:val="00775150"/>
    <w:rsid w:val="00776B48"/>
    <w:rsid w:val="0078099D"/>
    <w:rsid w:val="00787DE8"/>
    <w:rsid w:val="007942D8"/>
    <w:rsid w:val="00794983"/>
    <w:rsid w:val="00796ED7"/>
    <w:rsid w:val="007A7740"/>
    <w:rsid w:val="007B4F1D"/>
    <w:rsid w:val="007C002A"/>
    <w:rsid w:val="007C024B"/>
    <w:rsid w:val="007D408A"/>
    <w:rsid w:val="007D4A5A"/>
    <w:rsid w:val="007D6B20"/>
    <w:rsid w:val="007E0673"/>
    <w:rsid w:val="007E32FC"/>
    <w:rsid w:val="007F01A2"/>
    <w:rsid w:val="007F0378"/>
    <w:rsid w:val="007F2ABC"/>
    <w:rsid w:val="007F7FEC"/>
    <w:rsid w:val="0081027D"/>
    <w:rsid w:val="00817B3D"/>
    <w:rsid w:val="00822299"/>
    <w:rsid w:val="008270D5"/>
    <w:rsid w:val="008279A7"/>
    <w:rsid w:val="00831B7F"/>
    <w:rsid w:val="0085250F"/>
    <w:rsid w:val="008525D6"/>
    <w:rsid w:val="0085388E"/>
    <w:rsid w:val="00856F5E"/>
    <w:rsid w:val="008604D1"/>
    <w:rsid w:val="008659E9"/>
    <w:rsid w:val="0087095D"/>
    <w:rsid w:val="00871835"/>
    <w:rsid w:val="00871F12"/>
    <w:rsid w:val="00875420"/>
    <w:rsid w:val="00876184"/>
    <w:rsid w:val="00880A50"/>
    <w:rsid w:val="00884732"/>
    <w:rsid w:val="0089007C"/>
    <w:rsid w:val="008928AE"/>
    <w:rsid w:val="00893092"/>
    <w:rsid w:val="00894583"/>
    <w:rsid w:val="008A4C9B"/>
    <w:rsid w:val="008B08C5"/>
    <w:rsid w:val="008B6384"/>
    <w:rsid w:val="008B6557"/>
    <w:rsid w:val="008B74A7"/>
    <w:rsid w:val="008C02C2"/>
    <w:rsid w:val="008C1CB3"/>
    <w:rsid w:val="008C7F21"/>
    <w:rsid w:val="008D1795"/>
    <w:rsid w:val="008D4357"/>
    <w:rsid w:val="008D565D"/>
    <w:rsid w:val="008D6357"/>
    <w:rsid w:val="008E5EA1"/>
    <w:rsid w:val="008E6AB7"/>
    <w:rsid w:val="008F13C0"/>
    <w:rsid w:val="008F38EE"/>
    <w:rsid w:val="009001CB"/>
    <w:rsid w:val="009004F6"/>
    <w:rsid w:val="009077A0"/>
    <w:rsid w:val="009113DE"/>
    <w:rsid w:val="00913121"/>
    <w:rsid w:val="009171D5"/>
    <w:rsid w:val="00917709"/>
    <w:rsid w:val="00917C84"/>
    <w:rsid w:val="009220F2"/>
    <w:rsid w:val="009227C1"/>
    <w:rsid w:val="00923EDB"/>
    <w:rsid w:val="00925D9A"/>
    <w:rsid w:val="00926978"/>
    <w:rsid w:val="00932BD9"/>
    <w:rsid w:val="00944ED3"/>
    <w:rsid w:val="0094670F"/>
    <w:rsid w:val="009479D0"/>
    <w:rsid w:val="00961BA9"/>
    <w:rsid w:val="00967923"/>
    <w:rsid w:val="009701D2"/>
    <w:rsid w:val="00970774"/>
    <w:rsid w:val="00972FAE"/>
    <w:rsid w:val="0097462A"/>
    <w:rsid w:val="00986292"/>
    <w:rsid w:val="00987779"/>
    <w:rsid w:val="009A2AA5"/>
    <w:rsid w:val="009A63FB"/>
    <w:rsid w:val="009B55D4"/>
    <w:rsid w:val="009B787A"/>
    <w:rsid w:val="009B7A49"/>
    <w:rsid w:val="009B7AD9"/>
    <w:rsid w:val="009C387D"/>
    <w:rsid w:val="009C571F"/>
    <w:rsid w:val="009D0461"/>
    <w:rsid w:val="009D4188"/>
    <w:rsid w:val="009D4EFC"/>
    <w:rsid w:val="009D7FA3"/>
    <w:rsid w:val="009E216D"/>
    <w:rsid w:val="009E6283"/>
    <w:rsid w:val="009E63CA"/>
    <w:rsid w:val="009F34CB"/>
    <w:rsid w:val="009F7460"/>
    <w:rsid w:val="00A03E44"/>
    <w:rsid w:val="00A075A8"/>
    <w:rsid w:val="00A10A7B"/>
    <w:rsid w:val="00A15F6A"/>
    <w:rsid w:val="00A311C2"/>
    <w:rsid w:val="00A32233"/>
    <w:rsid w:val="00A36A24"/>
    <w:rsid w:val="00A376FB"/>
    <w:rsid w:val="00A45306"/>
    <w:rsid w:val="00A45D73"/>
    <w:rsid w:val="00A62F8C"/>
    <w:rsid w:val="00A64725"/>
    <w:rsid w:val="00A6666A"/>
    <w:rsid w:val="00A73490"/>
    <w:rsid w:val="00A74C54"/>
    <w:rsid w:val="00A819B6"/>
    <w:rsid w:val="00A91C8B"/>
    <w:rsid w:val="00A95824"/>
    <w:rsid w:val="00A9730E"/>
    <w:rsid w:val="00AB2EDC"/>
    <w:rsid w:val="00AB47F4"/>
    <w:rsid w:val="00AC136E"/>
    <w:rsid w:val="00AC1F6A"/>
    <w:rsid w:val="00AC413D"/>
    <w:rsid w:val="00AD1EDD"/>
    <w:rsid w:val="00AD3A9D"/>
    <w:rsid w:val="00AD79D3"/>
    <w:rsid w:val="00AE5434"/>
    <w:rsid w:val="00AE6DBF"/>
    <w:rsid w:val="00AE75DB"/>
    <w:rsid w:val="00B0092D"/>
    <w:rsid w:val="00B01C60"/>
    <w:rsid w:val="00B01D22"/>
    <w:rsid w:val="00B03A00"/>
    <w:rsid w:val="00B0445D"/>
    <w:rsid w:val="00B0447C"/>
    <w:rsid w:val="00B05E53"/>
    <w:rsid w:val="00B072AA"/>
    <w:rsid w:val="00B10650"/>
    <w:rsid w:val="00B10E08"/>
    <w:rsid w:val="00B11436"/>
    <w:rsid w:val="00B12341"/>
    <w:rsid w:val="00B25D19"/>
    <w:rsid w:val="00B359D9"/>
    <w:rsid w:val="00B35BC7"/>
    <w:rsid w:val="00B40B8B"/>
    <w:rsid w:val="00B4404D"/>
    <w:rsid w:val="00B50993"/>
    <w:rsid w:val="00B63168"/>
    <w:rsid w:val="00B63E9B"/>
    <w:rsid w:val="00B64963"/>
    <w:rsid w:val="00B70085"/>
    <w:rsid w:val="00B7099F"/>
    <w:rsid w:val="00B71873"/>
    <w:rsid w:val="00B72A5D"/>
    <w:rsid w:val="00B736B7"/>
    <w:rsid w:val="00B73C45"/>
    <w:rsid w:val="00B82E01"/>
    <w:rsid w:val="00B84DD7"/>
    <w:rsid w:val="00B91811"/>
    <w:rsid w:val="00B94460"/>
    <w:rsid w:val="00B9561A"/>
    <w:rsid w:val="00BA437F"/>
    <w:rsid w:val="00BA5C29"/>
    <w:rsid w:val="00BB6C9A"/>
    <w:rsid w:val="00BC0594"/>
    <w:rsid w:val="00BC11FC"/>
    <w:rsid w:val="00BC1F54"/>
    <w:rsid w:val="00BC4C9D"/>
    <w:rsid w:val="00BC54FC"/>
    <w:rsid w:val="00BD2118"/>
    <w:rsid w:val="00BD5092"/>
    <w:rsid w:val="00BD5997"/>
    <w:rsid w:val="00BE6F50"/>
    <w:rsid w:val="00BF1BA3"/>
    <w:rsid w:val="00BF588D"/>
    <w:rsid w:val="00C03447"/>
    <w:rsid w:val="00C07EF5"/>
    <w:rsid w:val="00C128FE"/>
    <w:rsid w:val="00C13304"/>
    <w:rsid w:val="00C1777A"/>
    <w:rsid w:val="00C212E3"/>
    <w:rsid w:val="00C22FAE"/>
    <w:rsid w:val="00C24C44"/>
    <w:rsid w:val="00C26B0C"/>
    <w:rsid w:val="00C30F18"/>
    <w:rsid w:val="00C331D1"/>
    <w:rsid w:val="00C35958"/>
    <w:rsid w:val="00C372A8"/>
    <w:rsid w:val="00C375FF"/>
    <w:rsid w:val="00C40848"/>
    <w:rsid w:val="00C50E47"/>
    <w:rsid w:val="00C562AA"/>
    <w:rsid w:val="00C574F4"/>
    <w:rsid w:val="00C747C6"/>
    <w:rsid w:val="00C756C3"/>
    <w:rsid w:val="00C80F66"/>
    <w:rsid w:val="00C84AE8"/>
    <w:rsid w:val="00C85D1B"/>
    <w:rsid w:val="00C91F96"/>
    <w:rsid w:val="00C96DDA"/>
    <w:rsid w:val="00CA7F1F"/>
    <w:rsid w:val="00CB5D3E"/>
    <w:rsid w:val="00CC4C46"/>
    <w:rsid w:val="00CC6AAB"/>
    <w:rsid w:val="00CC77FF"/>
    <w:rsid w:val="00CC7CF5"/>
    <w:rsid w:val="00CE3C5A"/>
    <w:rsid w:val="00CE59C6"/>
    <w:rsid w:val="00CE7586"/>
    <w:rsid w:val="00D03659"/>
    <w:rsid w:val="00D03EDF"/>
    <w:rsid w:val="00D10DC0"/>
    <w:rsid w:val="00D11555"/>
    <w:rsid w:val="00D13D6D"/>
    <w:rsid w:val="00D20C74"/>
    <w:rsid w:val="00D24FD7"/>
    <w:rsid w:val="00D25647"/>
    <w:rsid w:val="00D34FE4"/>
    <w:rsid w:val="00D377A7"/>
    <w:rsid w:val="00D44C95"/>
    <w:rsid w:val="00D452A7"/>
    <w:rsid w:val="00D4584F"/>
    <w:rsid w:val="00D54725"/>
    <w:rsid w:val="00D559FF"/>
    <w:rsid w:val="00D62B8C"/>
    <w:rsid w:val="00D63276"/>
    <w:rsid w:val="00D66F39"/>
    <w:rsid w:val="00D84B36"/>
    <w:rsid w:val="00D85853"/>
    <w:rsid w:val="00D936A0"/>
    <w:rsid w:val="00D97162"/>
    <w:rsid w:val="00D97CE9"/>
    <w:rsid w:val="00DA36E7"/>
    <w:rsid w:val="00DA4FC7"/>
    <w:rsid w:val="00DA550D"/>
    <w:rsid w:val="00DA7017"/>
    <w:rsid w:val="00DB13DD"/>
    <w:rsid w:val="00DB1B31"/>
    <w:rsid w:val="00DB1C27"/>
    <w:rsid w:val="00DB38EE"/>
    <w:rsid w:val="00DB7973"/>
    <w:rsid w:val="00DC13AB"/>
    <w:rsid w:val="00DC514F"/>
    <w:rsid w:val="00DC5EF2"/>
    <w:rsid w:val="00DC7EF7"/>
    <w:rsid w:val="00DD6B5E"/>
    <w:rsid w:val="00DD6BD4"/>
    <w:rsid w:val="00DE5E58"/>
    <w:rsid w:val="00DE7B46"/>
    <w:rsid w:val="00E0162C"/>
    <w:rsid w:val="00E11487"/>
    <w:rsid w:val="00E14ACC"/>
    <w:rsid w:val="00E15A8C"/>
    <w:rsid w:val="00E32A62"/>
    <w:rsid w:val="00E4144C"/>
    <w:rsid w:val="00E44F84"/>
    <w:rsid w:val="00E463C6"/>
    <w:rsid w:val="00E53121"/>
    <w:rsid w:val="00E5318E"/>
    <w:rsid w:val="00E53532"/>
    <w:rsid w:val="00E6034D"/>
    <w:rsid w:val="00E71967"/>
    <w:rsid w:val="00E754B1"/>
    <w:rsid w:val="00E801B5"/>
    <w:rsid w:val="00E905E8"/>
    <w:rsid w:val="00E93F56"/>
    <w:rsid w:val="00E952D9"/>
    <w:rsid w:val="00E96773"/>
    <w:rsid w:val="00E97CB9"/>
    <w:rsid w:val="00EB27E9"/>
    <w:rsid w:val="00EB37C9"/>
    <w:rsid w:val="00EC134E"/>
    <w:rsid w:val="00ED0445"/>
    <w:rsid w:val="00ED3C3B"/>
    <w:rsid w:val="00EE48C3"/>
    <w:rsid w:val="00EF199D"/>
    <w:rsid w:val="00EF4E12"/>
    <w:rsid w:val="00EF5326"/>
    <w:rsid w:val="00EF65F3"/>
    <w:rsid w:val="00F01510"/>
    <w:rsid w:val="00F02A6D"/>
    <w:rsid w:val="00F0424C"/>
    <w:rsid w:val="00F10495"/>
    <w:rsid w:val="00F10DA8"/>
    <w:rsid w:val="00F1168A"/>
    <w:rsid w:val="00F12A10"/>
    <w:rsid w:val="00F14A11"/>
    <w:rsid w:val="00F2391C"/>
    <w:rsid w:val="00F31E30"/>
    <w:rsid w:val="00F3326F"/>
    <w:rsid w:val="00F34781"/>
    <w:rsid w:val="00F41A5D"/>
    <w:rsid w:val="00F470A2"/>
    <w:rsid w:val="00F51F93"/>
    <w:rsid w:val="00F552E5"/>
    <w:rsid w:val="00F56AA8"/>
    <w:rsid w:val="00F67C91"/>
    <w:rsid w:val="00F723F9"/>
    <w:rsid w:val="00F82315"/>
    <w:rsid w:val="00F83D3C"/>
    <w:rsid w:val="00F840D6"/>
    <w:rsid w:val="00F8691C"/>
    <w:rsid w:val="00F900BE"/>
    <w:rsid w:val="00F97392"/>
    <w:rsid w:val="00F97DF6"/>
    <w:rsid w:val="00FA4EEC"/>
    <w:rsid w:val="00FB335B"/>
    <w:rsid w:val="00FB4EAA"/>
    <w:rsid w:val="00FC5512"/>
    <w:rsid w:val="00FC6366"/>
    <w:rsid w:val="00FD0CD9"/>
    <w:rsid w:val="00FD4970"/>
    <w:rsid w:val="00FD6927"/>
    <w:rsid w:val="00FE02D9"/>
    <w:rsid w:val="00FE14F9"/>
    <w:rsid w:val="00FF2EFF"/>
    <w:rsid w:val="00FF4843"/>
    <w:rsid w:val="00FF5EEA"/>
    <w:rsid w:val="017C6D0A"/>
    <w:rsid w:val="01A22C15"/>
    <w:rsid w:val="01BF12A1"/>
    <w:rsid w:val="0213766F"/>
    <w:rsid w:val="021456F0"/>
    <w:rsid w:val="02157810"/>
    <w:rsid w:val="02D0173E"/>
    <w:rsid w:val="035E4919"/>
    <w:rsid w:val="04643395"/>
    <w:rsid w:val="0587553F"/>
    <w:rsid w:val="058F7720"/>
    <w:rsid w:val="05A54A82"/>
    <w:rsid w:val="05D747ED"/>
    <w:rsid w:val="06A75D00"/>
    <w:rsid w:val="07380C93"/>
    <w:rsid w:val="08045810"/>
    <w:rsid w:val="081163FE"/>
    <w:rsid w:val="08940DDD"/>
    <w:rsid w:val="0908272A"/>
    <w:rsid w:val="09280F57"/>
    <w:rsid w:val="09691D10"/>
    <w:rsid w:val="09D57022"/>
    <w:rsid w:val="09E10052"/>
    <w:rsid w:val="0A6172EA"/>
    <w:rsid w:val="0B446AEB"/>
    <w:rsid w:val="0B512FB6"/>
    <w:rsid w:val="0C175F4C"/>
    <w:rsid w:val="0CE71E7C"/>
    <w:rsid w:val="0D215336"/>
    <w:rsid w:val="0E39045D"/>
    <w:rsid w:val="0E5350BC"/>
    <w:rsid w:val="0EB75D71"/>
    <w:rsid w:val="0EC3241C"/>
    <w:rsid w:val="0F241091"/>
    <w:rsid w:val="0FFC3E38"/>
    <w:rsid w:val="10231EAF"/>
    <w:rsid w:val="103A226A"/>
    <w:rsid w:val="10BC03C7"/>
    <w:rsid w:val="10E620EE"/>
    <w:rsid w:val="123F32F6"/>
    <w:rsid w:val="128357E5"/>
    <w:rsid w:val="130F4A87"/>
    <w:rsid w:val="137C56AB"/>
    <w:rsid w:val="14237C67"/>
    <w:rsid w:val="143D524C"/>
    <w:rsid w:val="15A13C38"/>
    <w:rsid w:val="15BD4216"/>
    <w:rsid w:val="15F24B29"/>
    <w:rsid w:val="1623210C"/>
    <w:rsid w:val="164F084E"/>
    <w:rsid w:val="16677B31"/>
    <w:rsid w:val="16AF39B2"/>
    <w:rsid w:val="16B60189"/>
    <w:rsid w:val="16BB7650"/>
    <w:rsid w:val="16C85A6F"/>
    <w:rsid w:val="16F3180C"/>
    <w:rsid w:val="176C3651"/>
    <w:rsid w:val="177644D0"/>
    <w:rsid w:val="18191FCE"/>
    <w:rsid w:val="184C3483"/>
    <w:rsid w:val="1A167CF5"/>
    <w:rsid w:val="1A47417D"/>
    <w:rsid w:val="1A5E2A38"/>
    <w:rsid w:val="1A6A2983"/>
    <w:rsid w:val="1B065B6B"/>
    <w:rsid w:val="1B0940FF"/>
    <w:rsid w:val="1B7A0C3A"/>
    <w:rsid w:val="1BD12C18"/>
    <w:rsid w:val="1BD60C5B"/>
    <w:rsid w:val="1C443400"/>
    <w:rsid w:val="1C7357AD"/>
    <w:rsid w:val="1C8141C6"/>
    <w:rsid w:val="1C9F5D91"/>
    <w:rsid w:val="1D484219"/>
    <w:rsid w:val="1D622E93"/>
    <w:rsid w:val="1E4C5F8A"/>
    <w:rsid w:val="1F5A6485"/>
    <w:rsid w:val="1F5C667B"/>
    <w:rsid w:val="1F88407A"/>
    <w:rsid w:val="1FB42039"/>
    <w:rsid w:val="1FFC578E"/>
    <w:rsid w:val="2015536C"/>
    <w:rsid w:val="204213F3"/>
    <w:rsid w:val="20560FD3"/>
    <w:rsid w:val="205729C5"/>
    <w:rsid w:val="207A1985"/>
    <w:rsid w:val="208732AA"/>
    <w:rsid w:val="20D67D8D"/>
    <w:rsid w:val="21015C1B"/>
    <w:rsid w:val="212227D0"/>
    <w:rsid w:val="212B632B"/>
    <w:rsid w:val="216D68BA"/>
    <w:rsid w:val="219B6BEF"/>
    <w:rsid w:val="21DA5A2E"/>
    <w:rsid w:val="21E07116"/>
    <w:rsid w:val="220124C7"/>
    <w:rsid w:val="22347694"/>
    <w:rsid w:val="22665141"/>
    <w:rsid w:val="227B0BEC"/>
    <w:rsid w:val="229E2B2D"/>
    <w:rsid w:val="22C62CF4"/>
    <w:rsid w:val="22C869BE"/>
    <w:rsid w:val="23A06120"/>
    <w:rsid w:val="23B577CC"/>
    <w:rsid w:val="23DB0BEB"/>
    <w:rsid w:val="23DB30C9"/>
    <w:rsid w:val="240B41F2"/>
    <w:rsid w:val="26FA3D34"/>
    <w:rsid w:val="27625F46"/>
    <w:rsid w:val="279D7857"/>
    <w:rsid w:val="286E02B3"/>
    <w:rsid w:val="286E6198"/>
    <w:rsid w:val="28AC24C6"/>
    <w:rsid w:val="28CD7B64"/>
    <w:rsid w:val="28DA73F5"/>
    <w:rsid w:val="28F90ABD"/>
    <w:rsid w:val="2907142C"/>
    <w:rsid w:val="291015D1"/>
    <w:rsid w:val="29325D7D"/>
    <w:rsid w:val="294522E0"/>
    <w:rsid w:val="29AE6B2F"/>
    <w:rsid w:val="2A141CA3"/>
    <w:rsid w:val="2A8D3D7C"/>
    <w:rsid w:val="2A9A007E"/>
    <w:rsid w:val="2A9E4307"/>
    <w:rsid w:val="2BA5564B"/>
    <w:rsid w:val="2C22032B"/>
    <w:rsid w:val="2C616E7D"/>
    <w:rsid w:val="2CED484A"/>
    <w:rsid w:val="2CFC2BFE"/>
    <w:rsid w:val="2D204AA6"/>
    <w:rsid w:val="2D572753"/>
    <w:rsid w:val="2D7F7E34"/>
    <w:rsid w:val="2D99286E"/>
    <w:rsid w:val="2DCE2518"/>
    <w:rsid w:val="2F703EC1"/>
    <w:rsid w:val="2FE34275"/>
    <w:rsid w:val="3031746F"/>
    <w:rsid w:val="30AE6631"/>
    <w:rsid w:val="314D028A"/>
    <w:rsid w:val="31B727DA"/>
    <w:rsid w:val="3236068C"/>
    <w:rsid w:val="323668DE"/>
    <w:rsid w:val="324F6C25"/>
    <w:rsid w:val="3277311C"/>
    <w:rsid w:val="328C29A2"/>
    <w:rsid w:val="32A57E3C"/>
    <w:rsid w:val="32D3412D"/>
    <w:rsid w:val="32DA740F"/>
    <w:rsid w:val="32E4633A"/>
    <w:rsid w:val="32FA6B4C"/>
    <w:rsid w:val="330240EE"/>
    <w:rsid w:val="331210F9"/>
    <w:rsid w:val="338851E6"/>
    <w:rsid w:val="33A84B14"/>
    <w:rsid w:val="33F33EB3"/>
    <w:rsid w:val="345D2848"/>
    <w:rsid w:val="34AF11BB"/>
    <w:rsid w:val="34B35DBC"/>
    <w:rsid w:val="34E0547B"/>
    <w:rsid w:val="34F03133"/>
    <w:rsid w:val="355530AA"/>
    <w:rsid w:val="355754E9"/>
    <w:rsid w:val="355D23D3"/>
    <w:rsid w:val="356E2833"/>
    <w:rsid w:val="35942299"/>
    <w:rsid w:val="35A818A1"/>
    <w:rsid w:val="3619454C"/>
    <w:rsid w:val="363654D0"/>
    <w:rsid w:val="364631D7"/>
    <w:rsid w:val="368928C2"/>
    <w:rsid w:val="36AD0223"/>
    <w:rsid w:val="36D77DF8"/>
    <w:rsid w:val="376A35A2"/>
    <w:rsid w:val="37850378"/>
    <w:rsid w:val="37A42D41"/>
    <w:rsid w:val="3852656B"/>
    <w:rsid w:val="385C101E"/>
    <w:rsid w:val="38F00B77"/>
    <w:rsid w:val="390414E4"/>
    <w:rsid w:val="3963436B"/>
    <w:rsid w:val="398268AC"/>
    <w:rsid w:val="398C060D"/>
    <w:rsid w:val="39C605D8"/>
    <w:rsid w:val="3A401455"/>
    <w:rsid w:val="3A7C154E"/>
    <w:rsid w:val="3AFB079A"/>
    <w:rsid w:val="3B0B6CC6"/>
    <w:rsid w:val="3B1F29B6"/>
    <w:rsid w:val="3B530501"/>
    <w:rsid w:val="3BCF188C"/>
    <w:rsid w:val="3C0577C8"/>
    <w:rsid w:val="3C1147CF"/>
    <w:rsid w:val="3C4D7109"/>
    <w:rsid w:val="3D401C11"/>
    <w:rsid w:val="3D691137"/>
    <w:rsid w:val="3D7B5AED"/>
    <w:rsid w:val="3DE17A4B"/>
    <w:rsid w:val="3EB867FA"/>
    <w:rsid w:val="3F5B255F"/>
    <w:rsid w:val="3F890A77"/>
    <w:rsid w:val="3FDD2A8F"/>
    <w:rsid w:val="3FF11BCF"/>
    <w:rsid w:val="402A57CF"/>
    <w:rsid w:val="409273D5"/>
    <w:rsid w:val="40DC5A18"/>
    <w:rsid w:val="41943EB7"/>
    <w:rsid w:val="41AC2719"/>
    <w:rsid w:val="41D67795"/>
    <w:rsid w:val="42100EF9"/>
    <w:rsid w:val="422A7CF6"/>
    <w:rsid w:val="425E5A80"/>
    <w:rsid w:val="42815953"/>
    <w:rsid w:val="42C754D7"/>
    <w:rsid w:val="438123EF"/>
    <w:rsid w:val="43B50E83"/>
    <w:rsid w:val="453347A7"/>
    <w:rsid w:val="45980025"/>
    <w:rsid w:val="45B370B6"/>
    <w:rsid w:val="46004DE1"/>
    <w:rsid w:val="46274A64"/>
    <w:rsid w:val="464A5C6E"/>
    <w:rsid w:val="46727E51"/>
    <w:rsid w:val="474B6530"/>
    <w:rsid w:val="475A6773"/>
    <w:rsid w:val="47725AFA"/>
    <w:rsid w:val="47B07329"/>
    <w:rsid w:val="482429BB"/>
    <w:rsid w:val="486C084A"/>
    <w:rsid w:val="48900494"/>
    <w:rsid w:val="49A11F60"/>
    <w:rsid w:val="4A13564A"/>
    <w:rsid w:val="4A245E60"/>
    <w:rsid w:val="4AD0226C"/>
    <w:rsid w:val="4BC8467F"/>
    <w:rsid w:val="4CA278B5"/>
    <w:rsid w:val="4CED05B6"/>
    <w:rsid w:val="4CFE53E3"/>
    <w:rsid w:val="4D041169"/>
    <w:rsid w:val="4D203FBB"/>
    <w:rsid w:val="4D9E7981"/>
    <w:rsid w:val="4DD651E0"/>
    <w:rsid w:val="4DEE5E67"/>
    <w:rsid w:val="4DEF4A16"/>
    <w:rsid w:val="4ECD1EDE"/>
    <w:rsid w:val="4EDF479E"/>
    <w:rsid w:val="4F0A4599"/>
    <w:rsid w:val="4F310701"/>
    <w:rsid w:val="4F530677"/>
    <w:rsid w:val="4FE63648"/>
    <w:rsid w:val="4FFA5FFC"/>
    <w:rsid w:val="502419DA"/>
    <w:rsid w:val="508A302F"/>
    <w:rsid w:val="50A373DC"/>
    <w:rsid w:val="510B47A7"/>
    <w:rsid w:val="518F170F"/>
    <w:rsid w:val="51AC0513"/>
    <w:rsid w:val="53841B2F"/>
    <w:rsid w:val="539354E6"/>
    <w:rsid w:val="53E94D74"/>
    <w:rsid w:val="540A7E62"/>
    <w:rsid w:val="545A3443"/>
    <w:rsid w:val="54F06565"/>
    <w:rsid w:val="55285B8E"/>
    <w:rsid w:val="556D1D67"/>
    <w:rsid w:val="558570B1"/>
    <w:rsid w:val="566413BC"/>
    <w:rsid w:val="568E48D4"/>
    <w:rsid w:val="56B37004"/>
    <w:rsid w:val="570D2E66"/>
    <w:rsid w:val="572E79EC"/>
    <w:rsid w:val="576D09F9"/>
    <w:rsid w:val="578D7B2A"/>
    <w:rsid w:val="578E4193"/>
    <w:rsid w:val="57F4051E"/>
    <w:rsid w:val="581666E6"/>
    <w:rsid w:val="58BC1123"/>
    <w:rsid w:val="59633BAD"/>
    <w:rsid w:val="59993190"/>
    <w:rsid w:val="599B3347"/>
    <w:rsid w:val="59CA59DA"/>
    <w:rsid w:val="59FB128F"/>
    <w:rsid w:val="5A51272E"/>
    <w:rsid w:val="5AE44879"/>
    <w:rsid w:val="5B0410CF"/>
    <w:rsid w:val="5B785127"/>
    <w:rsid w:val="5BB1758D"/>
    <w:rsid w:val="5BC14BBB"/>
    <w:rsid w:val="5BE12FA3"/>
    <w:rsid w:val="5C4D6613"/>
    <w:rsid w:val="5D112AB2"/>
    <w:rsid w:val="5D277923"/>
    <w:rsid w:val="5D8866EC"/>
    <w:rsid w:val="5E2E1136"/>
    <w:rsid w:val="5E4E533F"/>
    <w:rsid w:val="5EBF421E"/>
    <w:rsid w:val="5F1A5F80"/>
    <w:rsid w:val="5F8E1258"/>
    <w:rsid w:val="60714E01"/>
    <w:rsid w:val="60883EF9"/>
    <w:rsid w:val="608B4F4D"/>
    <w:rsid w:val="60CD0D5D"/>
    <w:rsid w:val="60EE0200"/>
    <w:rsid w:val="60F358DF"/>
    <w:rsid w:val="61F22ACE"/>
    <w:rsid w:val="62830E1C"/>
    <w:rsid w:val="62B13874"/>
    <w:rsid w:val="63672753"/>
    <w:rsid w:val="646A4041"/>
    <w:rsid w:val="64BB2AEF"/>
    <w:rsid w:val="65062E7D"/>
    <w:rsid w:val="650805C8"/>
    <w:rsid w:val="652F2B95"/>
    <w:rsid w:val="65E62E7A"/>
    <w:rsid w:val="66724667"/>
    <w:rsid w:val="66A22C31"/>
    <w:rsid w:val="66EC7F6C"/>
    <w:rsid w:val="67287B59"/>
    <w:rsid w:val="6753700F"/>
    <w:rsid w:val="67BB5990"/>
    <w:rsid w:val="68710B18"/>
    <w:rsid w:val="68C33D20"/>
    <w:rsid w:val="68D83A09"/>
    <w:rsid w:val="68ED5470"/>
    <w:rsid w:val="69114801"/>
    <w:rsid w:val="69BA3375"/>
    <w:rsid w:val="69F452BC"/>
    <w:rsid w:val="6A576E3E"/>
    <w:rsid w:val="6A731776"/>
    <w:rsid w:val="6AAD178D"/>
    <w:rsid w:val="6BA936A1"/>
    <w:rsid w:val="6CC649E7"/>
    <w:rsid w:val="6D0F39D8"/>
    <w:rsid w:val="6D3616A8"/>
    <w:rsid w:val="6DDA5CDD"/>
    <w:rsid w:val="6DEC3D19"/>
    <w:rsid w:val="6DF04A13"/>
    <w:rsid w:val="6E0550DC"/>
    <w:rsid w:val="6E276308"/>
    <w:rsid w:val="6E9668B0"/>
    <w:rsid w:val="6EFE46BB"/>
    <w:rsid w:val="6F5F71DE"/>
    <w:rsid w:val="71107184"/>
    <w:rsid w:val="7130216F"/>
    <w:rsid w:val="714479C8"/>
    <w:rsid w:val="71570FB2"/>
    <w:rsid w:val="71A62431"/>
    <w:rsid w:val="72435ED2"/>
    <w:rsid w:val="7287571B"/>
    <w:rsid w:val="72893E9E"/>
    <w:rsid w:val="733B1128"/>
    <w:rsid w:val="738D38A8"/>
    <w:rsid w:val="73970283"/>
    <w:rsid w:val="739B4217"/>
    <w:rsid w:val="743A7144"/>
    <w:rsid w:val="74493ED0"/>
    <w:rsid w:val="751D3132"/>
    <w:rsid w:val="756D0ACB"/>
    <w:rsid w:val="75750A98"/>
    <w:rsid w:val="75846316"/>
    <w:rsid w:val="75A44ED9"/>
    <w:rsid w:val="75B02618"/>
    <w:rsid w:val="75B568B9"/>
    <w:rsid w:val="76684159"/>
    <w:rsid w:val="770C042E"/>
    <w:rsid w:val="77281627"/>
    <w:rsid w:val="779D6932"/>
    <w:rsid w:val="77F853BE"/>
    <w:rsid w:val="785B37BD"/>
    <w:rsid w:val="785E0218"/>
    <w:rsid w:val="7867302D"/>
    <w:rsid w:val="78B50339"/>
    <w:rsid w:val="78CD4747"/>
    <w:rsid w:val="790D22C6"/>
    <w:rsid w:val="79297BCF"/>
    <w:rsid w:val="793B4347"/>
    <w:rsid w:val="794060FE"/>
    <w:rsid w:val="7A122D59"/>
    <w:rsid w:val="7A7E5746"/>
    <w:rsid w:val="7A800A48"/>
    <w:rsid w:val="7AF1296F"/>
    <w:rsid w:val="7B851309"/>
    <w:rsid w:val="7BA07EF1"/>
    <w:rsid w:val="7BD7479D"/>
    <w:rsid w:val="7D630A43"/>
    <w:rsid w:val="7D6457E7"/>
    <w:rsid w:val="7D6C5E8D"/>
    <w:rsid w:val="7DCE5707"/>
    <w:rsid w:val="7E0D1A7B"/>
    <w:rsid w:val="7E2250D8"/>
    <w:rsid w:val="7F64758A"/>
    <w:rsid w:val="7FD84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iPriority="99"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53"/>
    <w:autoRedefine/>
    <w:qFormat/>
    <w:uiPriority w:val="9"/>
    <w:pPr>
      <w:autoSpaceDE w:val="0"/>
      <w:autoSpaceDN w:val="0"/>
      <w:adjustRightInd w:val="0"/>
      <w:jc w:val="left"/>
      <w:outlineLvl w:val="0"/>
    </w:pPr>
    <w:rPr>
      <w:rFonts w:ascii="宋体" w:hAnsi="Calibri" w:eastAsia="宋体" w:cs="Times New Roman"/>
      <w:kern w:val="0"/>
      <w:sz w:val="24"/>
      <w:szCs w:val="24"/>
    </w:rPr>
  </w:style>
  <w:style w:type="paragraph" w:styleId="4">
    <w:name w:val="heading 2"/>
    <w:basedOn w:val="1"/>
    <w:next w:val="1"/>
    <w:link w:val="51"/>
    <w:autoRedefine/>
    <w:qFormat/>
    <w:uiPriority w:val="0"/>
    <w:pPr>
      <w:autoSpaceDE w:val="0"/>
      <w:autoSpaceDN w:val="0"/>
      <w:adjustRightInd w:val="0"/>
      <w:jc w:val="left"/>
      <w:outlineLvl w:val="1"/>
    </w:pPr>
    <w:rPr>
      <w:rFonts w:ascii="宋体" w:hAnsi="Calibri" w:eastAsia="宋体" w:cs="Times New Roman"/>
      <w:kern w:val="0"/>
      <w:sz w:val="24"/>
      <w:szCs w:val="24"/>
    </w:rPr>
  </w:style>
  <w:style w:type="paragraph" w:styleId="5">
    <w:name w:val="heading 3"/>
    <w:basedOn w:val="1"/>
    <w:next w:val="1"/>
    <w:link w:val="147"/>
    <w:autoRedefine/>
    <w:qFormat/>
    <w:uiPriority w:val="0"/>
    <w:pPr>
      <w:autoSpaceDE w:val="0"/>
      <w:autoSpaceDN w:val="0"/>
      <w:adjustRightInd w:val="0"/>
      <w:jc w:val="left"/>
      <w:outlineLvl w:val="2"/>
    </w:pPr>
    <w:rPr>
      <w:rFonts w:ascii="宋体" w:hAnsi="Calibri" w:eastAsia="宋体" w:cs="Times New Roman"/>
      <w:kern w:val="0"/>
      <w:sz w:val="24"/>
      <w:szCs w:val="24"/>
    </w:rPr>
  </w:style>
  <w:style w:type="paragraph" w:styleId="6">
    <w:name w:val="heading 4"/>
    <w:basedOn w:val="1"/>
    <w:next w:val="1"/>
    <w:link w:val="53"/>
    <w:autoRedefine/>
    <w:qFormat/>
    <w:uiPriority w:val="9"/>
    <w:pPr>
      <w:keepNext/>
      <w:keepLines/>
      <w:autoSpaceDE w:val="0"/>
      <w:autoSpaceDN w:val="0"/>
      <w:adjustRightInd w:val="0"/>
      <w:spacing w:before="280" w:after="290" w:line="376" w:lineRule="auto"/>
      <w:jc w:val="left"/>
      <w:outlineLvl w:val="3"/>
    </w:pPr>
    <w:rPr>
      <w:rFonts w:ascii="Arial" w:hAnsi="Arial" w:eastAsia="黑体" w:cs="Times New Roman"/>
      <w:b/>
      <w:bCs/>
      <w:kern w:val="0"/>
      <w:sz w:val="28"/>
      <w:szCs w:val="28"/>
    </w:rPr>
  </w:style>
  <w:style w:type="paragraph" w:styleId="7">
    <w:name w:val="heading 5"/>
    <w:basedOn w:val="1"/>
    <w:next w:val="1"/>
    <w:link w:val="135"/>
    <w:autoRedefine/>
    <w:qFormat/>
    <w:uiPriority w:val="9"/>
    <w:pPr>
      <w:keepNext/>
      <w:keepLines/>
      <w:autoSpaceDE w:val="0"/>
      <w:autoSpaceDN w:val="0"/>
      <w:adjustRightInd w:val="0"/>
      <w:spacing w:before="280" w:after="290" w:line="376" w:lineRule="auto"/>
      <w:jc w:val="left"/>
      <w:outlineLvl w:val="4"/>
    </w:pPr>
    <w:rPr>
      <w:rFonts w:ascii="宋体" w:hAnsi="Calibri" w:eastAsia="宋体" w:cs="Times New Roman"/>
      <w:b/>
      <w:bCs/>
      <w:kern w:val="0"/>
      <w:sz w:val="28"/>
      <w:szCs w:val="28"/>
    </w:rPr>
  </w:style>
  <w:style w:type="paragraph" w:styleId="8">
    <w:name w:val="heading 6"/>
    <w:basedOn w:val="1"/>
    <w:next w:val="9"/>
    <w:link w:val="145"/>
    <w:autoRedefine/>
    <w:qFormat/>
    <w:uiPriority w:val="9"/>
    <w:pPr>
      <w:keepLines/>
      <w:tabs>
        <w:tab w:val="left" w:pos="1152"/>
      </w:tabs>
      <w:adjustRightInd w:val="0"/>
      <w:snapToGrid w:val="0"/>
      <w:spacing w:beforeLines="50" w:line="360" w:lineRule="auto"/>
      <w:ind w:left="1152" w:hanging="1152"/>
      <w:jc w:val="left"/>
      <w:textAlignment w:val="baseline"/>
      <w:outlineLvl w:val="5"/>
    </w:pPr>
    <w:rPr>
      <w:rFonts w:ascii="Times New Roman" w:hAnsi="Calibri" w:eastAsia="黑体" w:cs="Times New Roman"/>
      <w:b/>
      <w:bCs/>
      <w:kern w:val="0"/>
      <w:sz w:val="28"/>
      <w:szCs w:val="24"/>
    </w:rPr>
  </w:style>
  <w:style w:type="paragraph" w:styleId="10">
    <w:name w:val="heading 7"/>
    <w:basedOn w:val="1"/>
    <w:next w:val="9"/>
    <w:link w:val="56"/>
    <w:autoRedefine/>
    <w:qFormat/>
    <w:uiPriority w:val="9"/>
    <w:pPr>
      <w:keepNext/>
      <w:keepLines/>
      <w:tabs>
        <w:tab w:val="left" w:pos="1296"/>
      </w:tabs>
      <w:adjustRightInd w:val="0"/>
      <w:snapToGrid w:val="0"/>
      <w:spacing w:before="240" w:after="120"/>
      <w:ind w:left="1296" w:hanging="1296"/>
      <w:textAlignment w:val="baseline"/>
      <w:outlineLvl w:val="6"/>
    </w:pPr>
    <w:rPr>
      <w:rFonts w:ascii="Times New Roman" w:hAnsi="Calibri" w:eastAsia="黑体" w:cs="Times New Roman"/>
      <w:b/>
      <w:bCs/>
      <w:kern w:val="0"/>
      <w:sz w:val="28"/>
      <w:szCs w:val="24"/>
    </w:rPr>
  </w:style>
  <w:style w:type="paragraph" w:styleId="11">
    <w:name w:val="heading 8"/>
    <w:basedOn w:val="1"/>
    <w:next w:val="9"/>
    <w:link w:val="57"/>
    <w:autoRedefine/>
    <w:qFormat/>
    <w:uiPriority w:val="9"/>
    <w:pPr>
      <w:keepNext/>
      <w:keepLines/>
      <w:tabs>
        <w:tab w:val="left" w:pos="1440"/>
      </w:tabs>
      <w:snapToGrid w:val="0"/>
      <w:spacing w:before="240" w:after="120"/>
      <w:ind w:left="1440" w:hanging="1440"/>
      <w:outlineLvl w:val="7"/>
    </w:pPr>
    <w:rPr>
      <w:rFonts w:ascii="Times New Roman" w:hAnsi="Calibri" w:eastAsia="黑体" w:cs="Times New Roman"/>
      <w:b/>
      <w:kern w:val="0"/>
      <w:sz w:val="28"/>
      <w:szCs w:val="24"/>
    </w:rPr>
  </w:style>
  <w:style w:type="paragraph" w:styleId="12">
    <w:name w:val="heading 9"/>
    <w:basedOn w:val="1"/>
    <w:next w:val="9"/>
    <w:link w:val="58"/>
    <w:autoRedefine/>
    <w:qFormat/>
    <w:uiPriority w:val="9"/>
    <w:pPr>
      <w:keepNext/>
      <w:keepLines/>
      <w:tabs>
        <w:tab w:val="left" w:pos="1584"/>
      </w:tabs>
      <w:snapToGrid w:val="0"/>
      <w:spacing w:before="240" w:after="120"/>
      <w:ind w:left="1584" w:hanging="1584"/>
      <w:outlineLvl w:val="8"/>
    </w:pPr>
    <w:rPr>
      <w:rFonts w:ascii="Times New Roman" w:hAnsi="Calibri" w:eastAsia="黑体" w:cs="Times New Roman"/>
      <w:b/>
      <w:kern w:val="0"/>
      <w:sz w:val="28"/>
      <w:szCs w:val="24"/>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link w:val="121"/>
    <w:autoRedefine/>
    <w:qFormat/>
    <w:uiPriority w:val="99"/>
    <w:pPr>
      <w:autoSpaceDE w:val="0"/>
      <w:autoSpaceDN w:val="0"/>
      <w:adjustRightInd w:val="0"/>
      <w:ind w:right="-26"/>
      <w:jc w:val="center"/>
    </w:pPr>
    <w:rPr>
      <w:rFonts w:ascii="宋体" w:eastAsia="宋体"/>
      <w:b/>
      <w:bCs/>
      <w:sz w:val="84"/>
      <w:szCs w:val="84"/>
      <w:lang w:val="zh-CN"/>
    </w:rPr>
  </w:style>
  <w:style w:type="paragraph" w:customStyle="1" w:styleId="9">
    <w:name w:val="模板正文"/>
    <w:basedOn w:val="1"/>
    <w:link w:val="97"/>
    <w:autoRedefine/>
    <w:qFormat/>
    <w:uiPriority w:val="0"/>
    <w:pPr>
      <w:wordWrap w:val="0"/>
      <w:autoSpaceDE w:val="0"/>
      <w:autoSpaceDN w:val="0"/>
      <w:adjustRightInd w:val="0"/>
      <w:spacing w:beforeLines="50" w:line="360" w:lineRule="auto"/>
      <w:ind w:firstLine="200" w:firstLineChars="200"/>
      <w:jc w:val="left"/>
    </w:pPr>
    <w:rPr>
      <w:rFonts w:ascii="宋体" w:eastAsia="仿宋"/>
      <w:sz w:val="24"/>
      <w:szCs w:val="21"/>
    </w:rPr>
  </w:style>
  <w:style w:type="paragraph" w:styleId="13">
    <w:name w:val="Normal Indent"/>
    <w:basedOn w:val="1"/>
    <w:autoRedefine/>
    <w:qFormat/>
    <w:uiPriority w:val="0"/>
    <w:pPr>
      <w:widowControl/>
      <w:autoSpaceDE w:val="0"/>
      <w:autoSpaceDN w:val="0"/>
      <w:adjustRightInd w:val="0"/>
      <w:ind w:firstLine="420" w:firstLineChars="200"/>
      <w:jc w:val="left"/>
    </w:pPr>
    <w:rPr>
      <w:rFonts w:ascii="宋体" w:hAnsi="Calibri" w:eastAsia="宋体" w:cs="Times New Roman"/>
      <w:kern w:val="0"/>
      <w:sz w:val="20"/>
      <w:szCs w:val="20"/>
    </w:rPr>
  </w:style>
  <w:style w:type="paragraph" w:styleId="14">
    <w:name w:val="caption"/>
    <w:basedOn w:val="1"/>
    <w:next w:val="1"/>
    <w:link w:val="86"/>
    <w:autoRedefine/>
    <w:qFormat/>
    <w:uiPriority w:val="0"/>
    <w:pPr>
      <w:autoSpaceDE w:val="0"/>
      <w:autoSpaceDN w:val="0"/>
      <w:adjustRightInd w:val="0"/>
      <w:spacing w:before="152" w:after="160"/>
      <w:jc w:val="left"/>
    </w:pPr>
    <w:rPr>
      <w:rFonts w:ascii="Arial" w:hAnsi="Arial" w:eastAsia="黑体" w:cs="Arial"/>
    </w:rPr>
  </w:style>
  <w:style w:type="paragraph" w:styleId="15">
    <w:name w:val="Document Map"/>
    <w:basedOn w:val="1"/>
    <w:link w:val="119"/>
    <w:autoRedefine/>
    <w:semiHidden/>
    <w:qFormat/>
    <w:uiPriority w:val="99"/>
    <w:pPr>
      <w:shd w:val="clear" w:color="auto" w:fill="000080"/>
      <w:autoSpaceDE w:val="0"/>
      <w:autoSpaceDN w:val="0"/>
      <w:adjustRightInd w:val="0"/>
      <w:jc w:val="left"/>
    </w:pPr>
    <w:rPr>
      <w:rFonts w:ascii="宋体" w:hAnsi="Times New Roman" w:eastAsia="宋体" w:cs="Times New Roman"/>
      <w:kern w:val="0"/>
      <w:sz w:val="24"/>
      <w:szCs w:val="24"/>
    </w:rPr>
  </w:style>
  <w:style w:type="paragraph" w:styleId="16">
    <w:name w:val="toa heading"/>
    <w:basedOn w:val="1"/>
    <w:next w:val="1"/>
    <w:autoRedefine/>
    <w:qFormat/>
    <w:uiPriority w:val="0"/>
    <w:pPr>
      <w:autoSpaceDE w:val="0"/>
      <w:autoSpaceDN w:val="0"/>
      <w:adjustRightInd w:val="0"/>
      <w:snapToGrid w:val="0"/>
      <w:spacing w:before="120" w:line="360" w:lineRule="auto"/>
    </w:pPr>
    <w:rPr>
      <w:rFonts w:ascii="Arial" w:hAnsi="Arial"/>
      <w:snapToGrid w:val="0"/>
      <w:color w:val="000000"/>
      <w:kern w:val="0"/>
      <w:szCs w:val="20"/>
    </w:rPr>
  </w:style>
  <w:style w:type="paragraph" w:styleId="17">
    <w:name w:val="annotation text"/>
    <w:basedOn w:val="1"/>
    <w:link w:val="166"/>
    <w:autoRedefine/>
    <w:unhideWhenUsed/>
    <w:qFormat/>
    <w:uiPriority w:val="99"/>
    <w:pPr>
      <w:jc w:val="left"/>
    </w:pPr>
  </w:style>
  <w:style w:type="paragraph" w:styleId="18">
    <w:name w:val="Body Text 3"/>
    <w:basedOn w:val="1"/>
    <w:link w:val="159"/>
    <w:autoRedefine/>
    <w:qFormat/>
    <w:uiPriority w:val="0"/>
    <w:pPr>
      <w:autoSpaceDE w:val="0"/>
      <w:autoSpaceDN w:val="0"/>
      <w:adjustRightInd w:val="0"/>
      <w:ind w:right="-26"/>
      <w:jc w:val="center"/>
    </w:pPr>
    <w:rPr>
      <w:rFonts w:ascii="宋体" w:hAnsi="Times New Roman" w:eastAsia="宋体" w:cs="Times New Roman"/>
      <w:b/>
      <w:bCs/>
      <w:color w:val="3366FF"/>
      <w:sz w:val="52"/>
      <w:szCs w:val="52"/>
      <w:lang w:val="zh-CN"/>
    </w:rPr>
  </w:style>
  <w:style w:type="paragraph" w:styleId="19">
    <w:name w:val="Body Text Indent"/>
    <w:basedOn w:val="1"/>
    <w:link w:val="95"/>
    <w:autoRedefine/>
    <w:qFormat/>
    <w:uiPriority w:val="0"/>
    <w:pPr>
      <w:ind w:left="567" w:leftChars="270"/>
    </w:pPr>
    <w:rPr>
      <w:rFonts w:ascii="Times New Roman" w:hAnsi="Times New Roman" w:eastAsia="宋体" w:cs="Times New Roman"/>
      <w:szCs w:val="20"/>
    </w:rPr>
  </w:style>
  <w:style w:type="paragraph" w:styleId="20">
    <w:name w:val="toc 3"/>
    <w:basedOn w:val="1"/>
    <w:next w:val="1"/>
    <w:autoRedefine/>
    <w:unhideWhenUsed/>
    <w:qFormat/>
    <w:uiPriority w:val="39"/>
    <w:pPr>
      <w:tabs>
        <w:tab w:val="right" w:leader="dot" w:pos="10144"/>
      </w:tabs>
      <w:ind w:left="840" w:leftChars="400"/>
    </w:pPr>
  </w:style>
  <w:style w:type="paragraph" w:styleId="21">
    <w:name w:val="Plain Text"/>
    <w:basedOn w:val="1"/>
    <w:link w:val="103"/>
    <w:autoRedefine/>
    <w:qFormat/>
    <w:uiPriority w:val="0"/>
    <w:rPr>
      <w:rFonts w:ascii="宋体" w:hAnsi="Courier New" w:eastAsia="宋体"/>
    </w:rPr>
  </w:style>
  <w:style w:type="paragraph" w:styleId="22">
    <w:name w:val="Date"/>
    <w:basedOn w:val="1"/>
    <w:next w:val="1"/>
    <w:link w:val="111"/>
    <w:autoRedefine/>
    <w:qFormat/>
    <w:uiPriority w:val="99"/>
    <w:pPr>
      <w:autoSpaceDE w:val="0"/>
      <w:autoSpaceDN w:val="0"/>
      <w:adjustRightInd w:val="0"/>
      <w:ind w:left="100" w:leftChars="2500"/>
      <w:jc w:val="left"/>
    </w:pPr>
    <w:rPr>
      <w:rFonts w:ascii="宋体" w:hAnsi="Times New Roman" w:eastAsia="宋体" w:cs="Times New Roman"/>
      <w:b/>
      <w:bCs/>
      <w:szCs w:val="21"/>
      <w:lang w:val="zh-CN"/>
    </w:rPr>
  </w:style>
  <w:style w:type="paragraph" w:styleId="23">
    <w:name w:val="Body Text Indent 2"/>
    <w:basedOn w:val="1"/>
    <w:link w:val="104"/>
    <w:autoRedefine/>
    <w:qFormat/>
    <w:uiPriority w:val="0"/>
    <w:pPr>
      <w:tabs>
        <w:tab w:val="left" w:pos="8640"/>
      </w:tabs>
      <w:ind w:left="1260"/>
    </w:pPr>
    <w:rPr>
      <w:rFonts w:ascii="宋体" w:hAnsi="Times New Roman" w:eastAsia="宋体" w:cs="Times New Roman"/>
      <w:szCs w:val="20"/>
    </w:rPr>
  </w:style>
  <w:style w:type="paragraph" w:styleId="24">
    <w:name w:val="Balloon Text"/>
    <w:basedOn w:val="1"/>
    <w:link w:val="77"/>
    <w:autoRedefine/>
    <w:qFormat/>
    <w:uiPriority w:val="0"/>
    <w:rPr>
      <w:rFonts w:ascii="Times New Roman" w:hAnsi="Times New Roman" w:eastAsia="宋体" w:cs="Times New Roman"/>
      <w:sz w:val="18"/>
      <w:szCs w:val="18"/>
    </w:rPr>
  </w:style>
  <w:style w:type="paragraph" w:styleId="25">
    <w:name w:val="footer"/>
    <w:basedOn w:val="1"/>
    <w:link w:val="81"/>
    <w:autoRedefine/>
    <w:qFormat/>
    <w:uiPriority w:val="99"/>
    <w:pPr>
      <w:tabs>
        <w:tab w:val="center" w:pos="4153"/>
        <w:tab w:val="right" w:pos="8306"/>
      </w:tabs>
      <w:autoSpaceDE w:val="0"/>
      <w:autoSpaceDN w:val="0"/>
      <w:adjustRightInd w:val="0"/>
      <w:snapToGrid w:val="0"/>
      <w:jc w:val="left"/>
    </w:pPr>
    <w:rPr>
      <w:rFonts w:ascii="宋体" w:eastAsia="宋体"/>
      <w:sz w:val="18"/>
      <w:szCs w:val="18"/>
    </w:rPr>
  </w:style>
  <w:style w:type="paragraph" w:styleId="26">
    <w:name w:val="header"/>
    <w:basedOn w:val="1"/>
    <w:link w:val="123"/>
    <w:autoRedefine/>
    <w:qFormat/>
    <w:uiPriority w:val="99"/>
    <w:pPr>
      <w:pBdr>
        <w:bottom w:val="single" w:color="auto" w:sz="6" w:space="1"/>
      </w:pBdr>
      <w:tabs>
        <w:tab w:val="center" w:pos="4153"/>
        <w:tab w:val="right" w:pos="8306"/>
      </w:tabs>
      <w:autoSpaceDE w:val="0"/>
      <w:autoSpaceDN w:val="0"/>
      <w:adjustRightInd w:val="0"/>
      <w:snapToGrid w:val="0"/>
      <w:jc w:val="center"/>
    </w:pPr>
    <w:rPr>
      <w:rFonts w:ascii="宋体" w:eastAsia="宋体"/>
      <w:sz w:val="18"/>
      <w:szCs w:val="18"/>
    </w:rPr>
  </w:style>
  <w:style w:type="paragraph" w:styleId="27">
    <w:name w:val="toc 1"/>
    <w:basedOn w:val="1"/>
    <w:next w:val="1"/>
    <w:autoRedefine/>
    <w:unhideWhenUsed/>
    <w:qFormat/>
    <w:uiPriority w:val="39"/>
  </w:style>
  <w:style w:type="paragraph" w:styleId="28">
    <w:name w:val="List"/>
    <w:basedOn w:val="1"/>
    <w:autoRedefine/>
    <w:unhideWhenUsed/>
    <w:qFormat/>
    <w:uiPriority w:val="0"/>
    <w:pPr>
      <w:autoSpaceDE w:val="0"/>
      <w:autoSpaceDN w:val="0"/>
      <w:adjustRightInd w:val="0"/>
      <w:ind w:left="200" w:hanging="200" w:hangingChars="200"/>
      <w:contextualSpacing/>
      <w:jc w:val="left"/>
    </w:pPr>
    <w:rPr>
      <w:rFonts w:ascii="宋体" w:hAnsi="Calibri" w:eastAsia="宋体" w:cs="Times New Roman"/>
      <w:kern w:val="0"/>
      <w:sz w:val="24"/>
      <w:szCs w:val="24"/>
    </w:rPr>
  </w:style>
  <w:style w:type="paragraph" w:styleId="29">
    <w:name w:val="footnote text"/>
    <w:basedOn w:val="1"/>
    <w:autoRedefine/>
    <w:qFormat/>
    <w:uiPriority w:val="0"/>
    <w:pPr>
      <w:snapToGrid w:val="0"/>
      <w:jc w:val="left"/>
    </w:pPr>
    <w:rPr>
      <w:sz w:val="18"/>
    </w:rPr>
  </w:style>
  <w:style w:type="paragraph" w:styleId="30">
    <w:name w:val="Body Text Indent 3"/>
    <w:basedOn w:val="1"/>
    <w:link w:val="157"/>
    <w:autoRedefine/>
    <w:qFormat/>
    <w:uiPriority w:val="0"/>
    <w:pPr>
      <w:autoSpaceDE w:val="0"/>
      <w:autoSpaceDN w:val="0"/>
      <w:adjustRightInd w:val="0"/>
      <w:spacing w:line="360" w:lineRule="auto"/>
      <w:ind w:firstLine="480" w:firstLineChars="200"/>
      <w:jc w:val="left"/>
    </w:pPr>
    <w:rPr>
      <w:rFonts w:ascii="宋体" w:hAnsi="Times New Roman" w:eastAsia="宋体" w:cs="Times New Roman"/>
      <w:kern w:val="0"/>
      <w:sz w:val="24"/>
      <w:szCs w:val="24"/>
    </w:rPr>
  </w:style>
  <w:style w:type="paragraph" w:styleId="31">
    <w:name w:val="toc 2"/>
    <w:basedOn w:val="1"/>
    <w:next w:val="1"/>
    <w:autoRedefine/>
    <w:semiHidden/>
    <w:unhideWhenUsed/>
    <w:qFormat/>
    <w:uiPriority w:val="39"/>
    <w:pPr>
      <w:ind w:left="420" w:leftChars="200"/>
    </w:pPr>
  </w:style>
  <w:style w:type="paragraph" w:styleId="32">
    <w:name w:val="Body Text 2"/>
    <w:basedOn w:val="1"/>
    <w:link w:val="146"/>
    <w:autoRedefine/>
    <w:qFormat/>
    <w:uiPriority w:val="0"/>
    <w:pPr>
      <w:tabs>
        <w:tab w:val="left" w:pos="0"/>
      </w:tabs>
      <w:spacing w:line="400" w:lineRule="atLeast"/>
    </w:pPr>
    <w:rPr>
      <w:rFonts w:ascii="Arial" w:hAnsi="Arial" w:eastAsia="宋体" w:cs="Times New Roman"/>
      <w:color w:val="000000"/>
      <w:szCs w:val="24"/>
    </w:rPr>
  </w:style>
  <w:style w:type="paragraph" w:styleId="33">
    <w:name w:val="HTML Preformatted"/>
    <w:basedOn w:val="1"/>
    <w:link w:val="89"/>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szCs w:val="21"/>
    </w:rPr>
  </w:style>
  <w:style w:type="paragraph" w:styleId="34">
    <w:name w:val="Normal (Web)"/>
    <w:basedOn w:val="1"/>
    <w:link w:val="96"/>
    <w:autoRedefine/>
    <w:qFormat/>
    <w:uiPriority w:val="0"/>
    <w:pPr>
      <w:widowControl/>
      <w:spacing w:before="100" w:beforeAutospacing="1" w:after="100" w:afterAutospacing="1"/>
      <w:jc w:val="left"/>
    </w:pPr>
    <w:rPr>
      <w:rFonts w:ascii="宋体" w:hAnsi="宋体"/>
      <w:sz w:val="15"/>
      <w:szCs w:val="15"/>
    </w:rPr>
  </w:style>
  <w:style w:type="paragraph" w:styleId="35">
    <w:name w:val="Title"/>
    <w:basedOn w:val="1"/>
    <w:next w:val="1"/>
    <w:link w:val="61"/>
    <w:autoRedefine/>
    <w:qFormat/>
    <w:uiPriority w:val="10"/>
    <w:pPr>
      <w:spacing w:before="120" w:after="60" w:line="300" w:lineRule="auto"/>
      <w:jc w:val="left"/>
      <w:outlineLvl w:val="0"/>
    </w:pPr>
    <w:rPr>
      <w:rFonts w:ascii="等线 Light" w:hAnsi="等线 Light" w:eastAsia="仿宋"/>
      <w:b/>
      <w:bCs/>
      <w:sz w:val="28"/>
      <w:szCs w:val="32"/>
    </w:rPr>
  </w:style>
  <w:style w:type="paragraph" w:styleId="36">
    <w:name w:val="annotation subject"/>
    <w:basedOn w:val="17"/>
    <w:next w:val="17"/>
    <w:link w:val="113"/>
    <w:autoRedefine/>
    <w:qFormat/>
    <w:uiPriority w:val="99"/>
    <w:pPr>
      <w:autoSpaceDE w:val="0"/>
      <w:autoSpaceDN w:val="0"/>
      <w:adjustRightInd w:val="0"/>
    </w:pPr>
    <w:rPr>
      <w:rFonts w:ascii="宋体" w:hAnsi="Times New Roman" w:eastAsia="宋体" w:cs="Times New Roman"/>
      <w:b/>
      <w:bCs/>
      <w:kern w:val="0"/>
      <w:sz w:val="24"/>
      <w:szCs w:val="24"/>
    </w:rPr>
  </w:style>
  <w:style w:type="paragraph" w:styleId="37">
    <w:name w:val="Body Text First Indent"/>
    <w:basedOn w:val="2"/>
    <w:link w:val="204"/>
    <w:autoRedefine/>
    <w:semiHidden/>
    <w:unhideWhenUsed/>
    <w:qFormat/>
    <w:uiPriority w:val="99"/>
    <w:pPr>
      <w:autoSpaceDE/>
      <w:autoSpaceDN/>
      <w:adjustRightInd/>
      <w:spacing w:after="120"/>
      <w:ind w:right="0" w:firstLine="420" w:firstLineChars="100"/>
      <w:jc w:val="both"/>
    </w:pPr>
    <w:rPr>
      <w:rFonts w:asciiTheme="minorHAnsi" w:eastAsiaTheme="minorEastAsia"/>
      <w:b w:val="0"/>
      <w:bCs w:val="0"/>
      <w:sz w:val="21"/>
      <w:szCs w:val="22"/>
      <w:lang w:val="en-US"/>
    </w:rPr>
  </w:style>
  <w:style w:type="paragraph" w:styleId="38">
    <w:name w:val="Body Text First Indent 2"/>
    <w:basedOn w:val="19"/>
    <w:next w:val="13"/>
    <w:autoRedefine/>
    <w:unhideWhenUsed/>
    <w:qFormat/>
    <w:uiPriority w:val="99"/>
    <w:pPr>
      <w:tabs>
        <w:tab w:val="left" w:pos="0"/>
        <w:tab w:val="left" w:pos="540"/>
        <w:tab w:val="left" w:pos="630"/>
        <w:tab w:val="left" w:pos="1440"/>
      </w:tabs>
      <w:spacing w:after="120" w:line="360" w:lineRule="auto"/>
      <w:ind w:left="420" w:leftChars="200" w:firstLine="420" w:firstLineChars="200"/>
    </w:pPr>
    <w:rPr>
      <w:kern w:val="0"/>
      <w:sz w:val="20"/>
    </w:rPr>
  </w:style>
  <w:style w:type="table" w:styleId="40">
    <w:name w:val="Table Grid"/>
    <w:basedOn w:val="39"/>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autoRedefine/>
    <w:qFormat/>
    <w:uiPriority w:val="0"/>
    <w:rPr>
      <w:b/>
      <w:bCs/>
    </w:rPr>
  </w:style>
  <w:style w:type="character" w:styleId="43">
    <w:name w:val="FollowedHyperlink"/>
    <w:autoRedefine/>
    <w:unhideWhenUsed/>
    <w:qFormat/>
    <w:uiPriority w:val="99"/>
    <w:rPr>
      <w:color w:val="954F72"/>
      <w:u w:val="single"/>
    </w:rPr>
  </w:style>
  <w:style w:type="character" w:styleId="44">
    <w:name w:val="Emphasis"/>
    <w:autoRedefine/>
    <w:qFormat/>
    <w:uiPriority w:val="0"/>
    <w:rPr>
      <w:i/>
      <w:iCs/>
    </w:rPr>
  </w:style>
  <w:style w:type="character" w:styleId="45">
    <w:name w:val="Hyperlink"/>
    <w:basedOn w:val="41"/>
    <w:autoRedefine/>
    <w:qFormat/>
    <w:uiPriority w:val="99"/>
    <w:rPr>
      <w:rFonts w:hint="default" w:ascii="Arial" w:hAnsi="Arial" w:cs="Arial"/>
      <w:color w:val="000000"/>
      <w:sz w:val="20"/>
      <w:szCs w:val="20"/>
      <w:u w:val="none"/>
    </w:rPr>
  </w:style>
  <w:style w:type="character" w:styleId="46">
    <w:name w:val="annotation reference"/>
    <w:autoRedefine/>
    <w:qFormat/>
    <w:uiPriority w:val="99"/>
    <w:rPr>
      <w:sz w:val="21"/>
      <w:szCs w:val="21"/>
    </w:rPr>
  </w:style>
  <w:style w:type="character" w:styleId="47">
    <w:name w:val="footnote reference"/>
    <w:basedOn w:val="41"/>
    <w:autoRedefine/>
    <w:qFormat/>
    <w:uiPriority w:val="0"/>
    <w:rPr>
      <w:vertAlign w:val="superscript"/>
    </w:rPr>
  </w:style>
  <w:style w:type="paragraph" w:customStyle="1" w:styleId="48">
    <w:name w:val="样式 宋体 行距: 1.5 倍行距"/>
    <w:basedOn w:val="1"/>
    <w:autoRedefine/>
    <w:qFormat/>
    <w:uiPriority w:val="0"/>
    <w:pPr>
      <w:jc w:val="center"/>
    </w:pPr>
    <w:rPr>
      <w:rFonts w:ascii="Times New Roman" w:hAnsi="Times New Roman"/>
      <w:b/>
    </w:rPr>
  </w:style>
  <w:style w:type="paragraph" w:customStyle="1" w:styleId="49">
    <w:name w:val="首行缩进"/>
    <w:basedOn w:val="1"/>
    <w:autoRedefine/>
    <w:qFormat/>
    <w:uiPriority w:val="0"/>
    <w:pPr>
      <w:ind w:firstLine="480" w:firstLineChars="200"/>
    </w:pPr>
    <w:rPr>
      <w:lang w:val="zh-CN"/>
    </w:rPr>
  </w:style>
  <w:style w:type="character" w:customStyle="1" w:styleId="50">
    <w:name w:val="标题 1 字符"/>
    <w:basedOn w:val="41"/>
    <w:autoRedefine/>
    <w:qFormat/>
    <w:uiPriority w:val="0"/>
    <w:rPr>
      <w:b/>
      <w:bCs/>
      <w:kern w:val="44"/>
      <w:sz w:val="44"/>
      <w:szCs w:val="44"/>
    </w:rPr>
  </w:style>
  <w:style w:type="character" w:customStyle="1" w:styleId="51">
    <w:name w:val="标题 2 字符"/>
    <w:basedOn w:val="41"/>
    <w:link w:val="4"/>
    <w:autoRedefine/>
    <w:qFormat/>
    <w:uiPriority w:val="0"/>
    <w:rPr>
      <w:rFonts w:ascii="宋体" w:hAnsi="Calibri" w:eastAsia="宋体" w:cs="Times New Roman"/>
      <w:kern w:val="0"/>
      <w:sz w:val="24"/>
      <w:szCs w:val="24"/>
    </w:rPr>
  </w:style>
  <w:style w:type="character" w:customStyle="1" w:styleId="52">
    <w:name w:val="标题 3 字符"/>
    <w:basedOn w:val="41"/>
    <w:autoRedefine/>
    <w:qFormat/>
    <w:uiPriority w:val="0"/>
    <w:rPr>
      <w:b/>
      <w:bCs/>
      <w:sz w:val="32"/>
      <w:szCs w:val="32"/>
    </w:rPr>
  </w:style>
  <w:style w:type="character" w:customStyle="1" w:styleId="53">
    <w:name w:val="标题 4 字符"/>
    <w:basedOn w:val="41"/>
    <w:link w:val="6"/>
    <w:autoRedefine/>
    <w:qFormat/>
    <w:uiPriority w:val="9"/>
    <w:rPr>
      <w:rFonts w:ascii="Arial" w:hAnsi="Arial" w:eastAsia="黑体" w:cs="Times New Roman"/>
      <w:b/>
      <w:bCs/>
      <w:kern w:val="0"/>
      <w:sz w:val="28"/>
      <w:szCs w:val="28"/>
    </w:rPr>
  </w:style>
  <w:style w:type="character" w:customStyle="1" w:styleId="54">
    <w:name w:val="标题 5 字符"/>
    <w:basedOn w:val="41"/>
    <w:autoRedefine/>
    <w:qFormat/>
    <w:uiPriority w:val="9"/>
    <w:rPr>
      <w:b/>
      <w:bCs/>
      <w:sz w:val="28"/>
      <w:szCs w:val="28"/>
    </w:rPr>
  </w:style>
  <w:style w:type="character" w:customStyle="1" w:styleId="55">
    <w:name w:val="标题 6 字符"/>
    <w:basedOn w:val="41"/>
    <w:autoRedefine/>
    <w:qFormat/>
    <w:uiPriority w:val="0"/>
    <w:rPr>
      <w:rFonts w:asciiTheme="majorHAnsi" w:hAnsiTheme="majorHAnsi" w:eastAsiaTheme="majorEastAsia" w:cstheme="majorBidi"/>
      <w:b/>
      <w:bCs/>
      <w:sz w:val="24"/>
      <w:szCs w:val="24"/>
    </w:rPr>
  </w:style>
  <w:style w:type="character" w:customStyle="1" w:styleId="56">
    <w:name w:val="标题 7 字符"/>
    <w:basedOn w:val="41"/>
    <w:link w:val="10"/>
    <w:autoRedefine/>
    <w:qFormat/>
    <w:uiPriority w:val="9"/>
    <w:rPr>
      <w:rFonts w:ascii="Times New Roman" w:hAnsi="Calibri" w:eastAsia="黑体" w:cs="Times New Roman"/>
      <w:b/>
      <w:bCs/>
      <w:kern w:val="0"/>
      <w:sz w:val="28"/>
      <w:szCs w:val="24"/>
    </w:rPr>
  </w:style>
  <w:style w:type="character" w:customStyle="1" w:styleId="57">
    <w:name w:val="标题 8 字符"/>
    <w:basedOn w:val="41"/>
    <w:link w:val="11"/>
    <w:autoRedefine/>
    <w:qFormat/>
    <w:uiPriority w:val="9"/>
    <w:rPr>
      <w:rFonts w:ascii="Times New Roman" w:hAnsi="Calibri" w:eastAsia="黑体" w:cs="Times New Roman"/>
      <w:b/>
      <w:kern w:val="0"/>
      <w:sz w:val="28"/>
      <w:szCs w:val="24"/>
    </w:rPr>
  </w:style>
  <w:style w:type="character" w:customStyle="1" w:styleId="58">
    <w:name w:val="标题 9 字符"/>
    <w:basedOn w:val="41"/>
    <w:link w:val="12"/>
    <w:autoRedefine/>
    <w:qFormat/>
    <w:uiPriority w:val="9"/>
    <w:rPr>
      <w:rFonts w:ascii="Times New Roman" w:hAnsi="Calibri" w:eastAsia="黑体" w:cs="Times New Roman"/>
      <w:b/>
      <w:kern w:val="0"/>
      <w:sz w:val="28"/>
      <w:szCs w:val="24"/>
    </w:rPr>
  </w:style>
  <w:style w:type="character" w:customStyle="1" w:styleId="59">
    <w:name w:val="正文文本缩进 字符"/>
    <w:autoRedefine/>
    <w:qFormat/>
    <w:uiPriority w:val="0"/>
    <w:rPr>
      <w:rFonts w:ascii="Times New Roman" w:hAnsi="Times New Roman" w:eastAsia="宋体" w:cs="Times New Roman"/>
      <w:szCs w:val="20"/>
    </w:rPr>
  </w:style>
  <w:style w:type="character" w:customStyle="1" w:styleId="60">
    <w:name w:val="普通(网站) Char"/>
    <w:autoRedefine/>
    <w:qFormat/>
    <w:locked/>
    <w:uiPriority w:val="0"/>
    <w:rPr>
      <w:rFonts w:ascii="宋体" w:hAnsi="宋体"/>
      <w:sz w:val="15"/>
      <w:szCs w:val="15"/>
    </w:rPr>
  </w:style>
  <w:style w:type="character" w:customStyle="1" w:styleId="61">
    <w:name w:val="标题 字符1"/>
    <w:link w:val="35"/>
    <w:autoRedefine/>
    <w:qFormat/>
    <w:uiPriority w:val="10"/>
    <w:rPr>
      <w:rFonts w:ascii="等线 Light" w:hAnsi="等线 Light" w:eastAsia="仿宋"/>
      <w:b/>
      <w:bCs/>
      <w:sz w:val="28"/>
      <w:szCs w:val="32"/>
    </w:rPr>
  </w:style>
  <w:style w:type="character" w:customStyle="1" w:styleId="62">
    <w:name w:val="日期 Char"/>
    <w:autoRedefine/>
    <w:semiHidden/>
    <w:qFormat/>
    <w:uiPriority w:val="99"/>
    <w:rPr>
      <w:kern w:val="2"/>
      <w:sz w:val="21"/>
    </w:rPr>
  </w:style>
  <w:style w:type="character" w:customStyle="1" w:styleId="63">
    <w:name w:val="文档结构图 字符1"/>
    <w:autoRedefine/>
    <w:semiHidden/>
    <w:qFormat/>
    <w:uiPriority w:val="99"/>
    <w:rPr>
      <w:rFonts w:ascii="Microsoft YaHei UI" w:hAnsi="Calibri" w:eastAsia="Microsoft YaHei UI" w:cs="Times New Roman"/>
      <w:kern w:val="0"/>
      <w:sz w:val="18"/>
      <w:szCs w:val="18"/>
    </w:rPr>
  </w:style>
  <w:style w:type="character" w:customStyle="1" w:styleId="64">
    <w:name w:val="批注文字 Char"/>
    <w:autoRedefine/>
    <w:semiHidden/>
    <w:qFormat/>
    <w:uiPriority w:val="99"/>
    <w:rPr>
      <w:kern w:val="2"/>
      <w:sz w:val="21"/>
    </w:rPr>
  </w:style>
  <w:style w:type="character" w:customStyle="1" w:styleId="65">
    <w:name w:val="正文缩进2格 Char"/>
    <w:link w:val="66"/>
    <w:autoRedefine/>
    <w:qFormat/>
    <w:uiPriority w:val="0"/>
    <w:rPr>
      <w:rFonts w:ascii="仿宋_GB2312" w:hAnsi="宋体" w:eastAsia="仿宋_GB2312"/>
      <w:sz w:val="31"/>
      <w:szCs w:val="28"/>
    </w:rPr>
  </w:style>
  <w:style w:type="paragraph" w:customStyle="1" w:styleId="66">
    <w:name w:val="正文缩进2格"/>
    <w:basedOn w:val="1"/>
    <w:link w:val="65"/>
    <w:autoRedefine/>
    <w:qFormat/>
    <w:uiPriority w:val="0"/>
    <w:pPr>
      <w:spacing w:line="600" w:lineRule="exact"/>
      <w:ind w:firstLine="639" w:firstLineChars="206"/>
    </w:pPr>
    <w:rPr>
      <w:rFonts w:ascii="仿宋_GB2312" w:hAnsi="宋体" w:eastAsia="仿宋_GB2312"/>
      <w:sz w:val="31"/>
      <w:szCs w:val="28"/>
    </w:rPr>
  </w:style>
  <w:style w:type="character" w:customStyle="1" w:styleId="67">
    <w:name w:val="批注文字 字符"/>
    <w:autoRedefine/>
    <w:semiHidden/>
    <w:qFormat/>
    <w:uiPriority w:val="99"/>
    <w:rPr>
      <w:rFonts w:ascii="Times New Roman" w:hAnsi="Times New Roman"/>
      <w:kern w:val="2"/>
      <w:sz w:val="24"/>
      <w:szCs w:val="24"/>
    </w:rPr>
  </w:style>
  <w:style w:type="character" w:customStyle="1" w:styleId="68">
    <w:name w:val="正文文本缩进 Char"/>
    <w:autoRedefine/>
    <w:qFormat/>
    <w:uiPriority w:val="0"/>
    <w:rPr>
      <w:rFonts w:ascii="Times New Roman" w:hAnsi="Times New Roman" w:eastAsia="宋体" w:cs="Times New Roman"/>
      <w:szCs w:val="20"/>
      <w:lang w:val="en-US" w:eastAsia="zh-CN"/>
    </w:rPr>
  </w:style>
  <w:style w:type="character" w:customStyle="1" w:styleId="69">
    <w:name w:val="批注框文本 字符1"/>
    <w:autoRedefine/>
    <w:semiHidden/>
    <w:qFormat/>
    <w:uiPriority w:val="99"/>
    <w:rPr>
      <w:rFonts w:ascii="宋体" w:hAnsi="Calibri" w:eastAsia="宋体" w:cs="Times New Roman"/>
      <w:kern w:val="0"/>
      <w:sz w:val="18"/>
      <w:szCs w:val="18"/>
    </w:rPr>
  </w:style>
  <w:style w:type="character" w:customStyle="1" w:styleId="70">
    <w:name w:val="List Paragraph Char"/>
    <w:link w:val="71"/>
    <w:autoRedefine/>
    <w:qFormat/>
    <w:uiPriority w:val="34"/>
    <w:rPr>
      <w:rFonts w:ascii="Calibri" w:hAnsi="Calibri"/>
    </w:rPr>
  </w:style>
  <w:style w:type="paragraph" w:customStyle="1" w:styleId="71">
    <w:name w:val="列出段落1"/>
    <w:basedOn w:val="1"/>
    <w:link w:val="70"/>
    <w:autoRedefine/>
    <w:qFormat/>
    <w:uiPriority w:val="34"/>
    <w:pPr>
      <w:ind w:firstLine="420" w:firstLineChars="200"/>
    </w:pPr>
    <w:rPr>
      <w:rFonts w:ascii="Calibri" w:hAnsi="Calibri"/>
    </w:rPr>
  </w:style>
  <w:style w:type="character" w:customStyle="1" w:styleId="72">
    <w:name w:val="标书正文 字符"/>
    <w:link w:val="73"/>
    <w:autoRedefine/>
    <w:qFormat/>
    <w:uiPriority w:val="0"/>
    <w:rPr>
      <w:rFonts w:ascii="Calibri" w:hAnsi="Calibri" w:eastAsia="仿宋"/>
      <w:sz w:val="24"/>
      <w:szCs w:val="21"/>
    </w:rPr>
  </w:style>
  <w:style w:type="paragraph" w:customStyle="1" w:styleId="73">
    <w:name w:val="标书正文"/>
    <w:basedOn w:val="1"/>
    <w:link w:val="72"/>
    <w:autoRedefine/>
    <w:qFormat/>
    <w:uiPriority w:val="0"/>
    <w:pPr>
      <w:adjustRightInd w:val="0"/>
      <w:snapToGrid w:val="0"/>
      <w:spacing w:beforeLines="50" w:line="360" w:lineRule="auto"/>
      <w:ind w:firstLine="200" w:firstLineChars="200"/>
    </w:pPr>
    <w:rPr>
      <w:rFonts w:ascii="Calibri" w:hAnsi="Calibri" w:eastAsia="仿宋"/>
      <w:sz w:val="24"/>
      <w:szCs w:val="21"/>
    </w:rPr>
  </w:style>
  <w:style w:type="character" w:customStyle="1" w:styleId="74">
    <w:name w:val="正文文本 字符"/>
    <w:autoRedefine/>
    <w:semiHidden/>
    <w:qFormat/>
    <w:uiPriority w:val="99"/>
    <w:rPr>
      <w:rFonts w:ascii="Times New Roman" w:hAnsi="Times New Roman"/>
      <w:kern w:val="2"/>
      <w:sz w:val="24"/>
      <w:szCs w:val="24"/>
    </w:rPr>
  </w:style>
  <w:style w:type="character" w:customStyle="1" w:styleId="75">
    <w:name w:val="页脚 Char"/>
    <w:autoRedefine/>
    <w:qFormat/>
    <w:uiPriority w:val="0"/>
    <w:rPr>
      <w:kern w:val="2"/>
      <w:sz w:val="18"/>
      <w:szCs w:val="18"/>
    </w:rPr>
  </w:style>
  <w:style w:type="character" w:customStyle="1" w:styleId="76">
    <w:name w:val="neir1"/>
    <w:autoRedefine/>
    <w:qFormat/>
    <w:uiPriority w:val="0"/>
    <w:rPr>
      <w:rFonts w:hint="default" w:ascii="ˎ̥" w:hAnsi="ˎ̥"/>
      <w:color w:val="333333"/>
      <w:sz w:val="21"/>
      <w:szCs w:val="21"/>
      <w:u w:val="none"/>
    </w:rPr>
  </w:style>
  <w:style w:type="character" w:customStyle="1" w:styleId="77">
    <w:name w:val="批注框文本 字符"/>
    <w:link w:val="24"/>
    <w:autoRedefine/>
    <w:qFormat/>
    <w:uiPriority w:val="0"/>
    <w:rPr>
      <w:rFonts w:ascii="Times New Roman" w:hAnsi="Times New Roman" w:eastAsia="宋体" w:cs="Times New Roman"/>
      <w:sz w:val="18"/>
      <w:szCs w:val="18"/>
    </w:rPr>
  </w:style>
  <w:style w:type="character" w:customStyle="1" w:styleId="78">
    <w:name w:val="正文文本 3 字符1"/>
    <w:autoRedefine/>
    <w:semiHidden/>
    <w:qFormat/>
    <w:uiPriority w:val="99"/>
    <w:rPr>
      <w:rFonts w:ascii="宋体" w:hAnsi="Calibri" w:eastAsia="宋体" w:cs="Times New Roman"/>
      <w:kern w:val="0"/>
      <w:sz w:val="16"/>
      <w:szCs w:val="16"/>
    </w:rPr>
  </w:style>
  <w:style w:type="character" w:customStyle="1" w:styleId="79">
    <w:name w:val="正文文本 字符3"/>
    <w:autoRedefine/>
    <w:semiHidden/>
    <w:qFormat/>
    <w:uiPriority w:val="99"/>
    <w:rPr>
      <w:rFonts w:ascii="宋体" w:hAnsi="Calibri" w:eastAsia="宋体" w:cs="Times New Roman"/>
      <w:kern w:val="0"/>
      <w:sz w:val="24"/>
      <w:szCs w:val="24"/>
    </w:rPr>
  </w:style>
  <w:style w:type="character" w:customStyle="1" w:styleId="80">
    <w:name w:val="日期 字符1"/>
    <w:autoRedefine/>
    <w:semiHidden/>
    <w:qFormat/>
    <w:uiPriority w:val="99"/>
    <w:rPr>
      <w:rFonts w:ascii="宋体" w:hAnsi="Calibri" w:eastAsia="宋体" w:cs="Times New Roman"/>
      <w:kern w:val="0"/>
      <w:sz w:val="24"/>
      <w:szCs w:val="24"/>
    </w:rPr>
  </w:style>
  <w:style w:type="character" w:customStyle="1" w:styleId="81">
    <w:name w:val="页脚 字符"/>
    <w:link w:val="25"/>
    <w:autoRedefine/>
    <w:qFormat/>
    <w:uiPriority w:val="99"/>
    <w:rPr>
      <w:rFonts w:ascii="宋体" w:eastAsia="宋体"/>
      <w:sz w:val="18"/>
      <w:szCs w:val="18"/>
    </w:rPr>
  </w:style>
  <w:style w:type="character" w:customStyle="1" w:styleId="82">
    <w:name w:val="吉奥正文 Char"/>
    <w:link w:val="83"/>
    <w:autoRedefine/>
    <w:qFormat/>
    <w:locked/>
    <w:uiPriority w:val="0"/>
    <w:rPr>
      <w:rFonts w:eastAsia="仿宋_GB2312"/>
      <w:sz w:val="28"/>
    </w:rPr>
  </w:style>
  <w:style w:type="paragraph" w:customStyle="1" w:styleId="83">
    <w:name w:val="吉奥正文"/>
    <w:basedOn w:val="1"/>
    <w:link w:val="82"/>
    <w:autoRedefine/>
    <w:qFormat/>
    <w:uiPriority w:val="0"/>
    <w:pPr>
      <w:adjustRightInd w:val="0"/>
      <w:snapToGrid w:val="0"/>
      <w:spacing w:before="120" w:line="360" w:lineRule="auto"/>
      <w:ind w:firstLine="200" w:firstLineChars="200"/>
      <w:textAlignment w:val="baseline"/>
    </w:pPr>
    <w:rPr>
      <w:rFonts w:eastAsia="仿宋_GB2312"/>
      <w:sz w:val="28"/>
    </w:rPr>
  </w:style>
  <w:style w:type="character" w:customStyle="1" w:styleId="84">
    <w:name w:val="页脚 Char1"/>
    <w:autoRedefine/>
    <w:qFormat/>
    <w:uiPriority w:val="99"/>
    <w:rPr>
      <w:rFonts w:ascii="宋体" w:hAnsi="Times New Roman" w:eastAsia="宋体" w:cs="Times New Roman"/>
      <w:kern w:val="0"/>
      <w:sz w:val="18"/>
      <w:szCs w:val="18"/>
    </w:rPr>
  </w:style>
  <w:style w:type="character" w:customStyle="1" w:styleId="85">
    <w:name w:val="标题 字符"/>
    <w:autoRedefine/>
    <w:qFormat/>
    <w:uiPriority w:val="10"/>
    <w:rPr>
      <w:rFonts w:ascii="Cambria" w:hAnsi="Cambria" w:eastAsia="宋体" w:cs="Times New Roman"/>
      <w:b/>
      <w:bCs/>
      <w:kern w:val="0"/>
      <w:sz w:val="32"/>
      <w:szCs w:val="32"/>
      <w:lang w:val="en-US" w:eastAsia="zh-CN"/>
    </w:rPr>
  </w:style>
  <w:style w:type="character" w:customStyle="1" w:styleId="86">
    <w:name w:val="题注 字符1"/>
    <w:link w:val="14"/>
    <w:autoRedefine/>
    <w:qFormat/>
    <w:uiPriority w:val="0"/>
    <w:rPr>
      <w:rFonts w:ascii="Arial" w:hAnsi="Arial" w:eastAsia="黑体" w:cs="Arial"/>
    </w:rPr>
  </w:style>
  <w:style w:type="character" w:customStyle="1" w:styleId="87">
    <w:name w:val="批注文字 字符2"/>
    <w:autoRedefine/>
    <w:qFormat/>
    <w:uiPriority w:val="99"/>
    <w:rPr>
      <w:rFonts w:ascii="宋体" w:hAnsi="Times New Roman" w:eastAsia="宋体" w:cs="Times New Roman"/>
      <w:kern w:val="0"/>
      <w:sz w:val="24"/>
      <w:szCs w:val="24"/>
    </w:rPr>
  </w:style>
  <w:style w:type="character" w:customStyle="1" w:styleId="88">
    <w:name w:val="批注主题 字符1"/>
    <w:autoRedefine/>
    <w:semiHidden/>
    <w:qFormat/>
    <w:uiPriority w:val="99"/>
    <w:rPr>
      <w:rFonts w:ascii="宋体" w:hAnsi="Calibri" w:eastAsia="宋体" w:cs="Times New Roman"/>
      <w:b/>
      <w:bCs/>
      <w:kern w:val="0"/>
      <w:sz w:val="24"/>
      <w:szCs w:val="24"/>
    </w:rPr>
  </w:style>
  <w:style w:type="character" w:customStyle="1" w:styleId="89">
    <w:name w:val="HTML 预设格式 字符"/>
    <w:link w:val="33"/>
    <w:autoRedefine/>
    <w:qFormat/>
    <w:uiPriority w:val="99"/>
    <w:rPr>
      <w:rFonts w:ascii="Arial" w:hAnsi="Arial" w:eastAsia="宋体" w:cs="Arial"/>
      <w:szCs w:val="21"/>
    </w:rPr>
  </w:style>
  <w:style w:type="character" w:customStyle="1" w:styleId="90">
    <w:name w:val="标题 3.1 Char"/>
    <w:link w:val="91"/>
    <w:autoRedefine/>
    <w:qFormat/>
    <w:uiPriority w:val="0"/>
    <w:rPr>
      <w:rFonts w:ascii="宋体" w:hAnsi="宋体"/>
      <w:b/>
      <w:bCs/>
      <w:sz w:val="32"/>
      <w:szCs w:val="32"/>
    </w:rPr>
  </w:style>
  <w:style w:type="paragraph" w:customStyle="1" w:styleId="91">
    <w:name w:val="标题 3.1"/>
    <w:basedOn w:val="5"/>
    <w:link w:val="90"/>
    <w:autoRedefine/>
    <w:qFormat/>
    <w:uiPriority w:val="0"/>
    <w:pPr>
      <w:keepNext/>
      <w:keepLines/>
      <w:pageBreakBefore/>
      <w:tabs>
        <w:tab w:val="left" w:pos="1440"/>
        <w:tab w:val="left" w:pos="1620"/>
      </w:tabs>
      <w:autoSpaceDE/>
      <w:autoSpaceDN/>
      <w:adjustRightInd/>
      <w:spacing w:before="260" w:after="260" w:line="600" w:lineRule="exact"/>
      <w:jc w:val="both"/>
    </w:pPr>
    <w:rPr>
      <w:rFonts w:hAnsi="宋体" w:eastAsiaTheme="minorEastAsia" w:cstheme="minorBidi"/>
      <w:b/>
      <w:bCs/>
      <w:kern w:val="2"/>
      <w:sz w:val="32"/>
      <w:szCs w:val="32"/>
    </w:rPr>
  </w:style>
  <w:style w:type="character" w:customStyle="1" w:styleId="92">
    <w:name w:val="HTML 预设格式 Char1"/>
    <w:autoRedefine/>
    <w:semiHidden/>
    <w:qFormat/>
    <w:uiPriority w:val="99"/>
    <w:rPr>
      <w:rFonts w:ascii="Courier New" w:hAnsi="Courier New" w:eastAsia="宋体" w:cs="Courier New"/>
      <w:kern w:val="0"/>
      <w:sz w:val="20"/>
      <w:szCs w:val="20"/>
    </w:rPr>
  </w:style>
  <w:style w:type="character" w:customStyle="1" w:styleId="93">
    <w:name w:val="批注文字 字符1"/>
    <w:autoRedefine/>
    <w:qFormat/>
    <w:uiPriority w:val="0"/>
    <w:rPr>
      <w:rFonts w:eastAsia="宋体"/>
      <w:kern w:val="2"/>
      <w:sz w:val="24"/>
      <w:szCs w:val="24"/>
      <w:lang w:val="en-US" w:eastAsia="zh-CN" w:bidi="ar-SA"/>
    </w:rPr>
  </w:style>
  <w:style w:type="character" w:customStyle="1" w:styleId="94">
    <w:name w:val="正文文本缩进 字符2"/>
    <w:autoRedefine/>
    <w:semiHidden/>
    <w:qFormat/>
    <w:uiPriority w:val="99"/>
    <w:rPr>
      <w:rFonts w:ascii="宋体" w:hAnsi="Calibri" w:eastAsia="宋体" w:cs="Times New Roman"/>
      <w:kern w:val="0"/>
      <w:sz w:val="24"/>
      <w:szCs w:val="24"/>
    </w:rPr>
  </w:style>
  <w:style w:type="character" w:customStyle="1" w:styleId="95">
    <w:name w:val="正文文本缩进 字符1"/>
    <w:link w:val="19"/>
    <w:autoRedefine/>
    <w:qFormat/>
    <w:uiPriority w:val="0"/>
    <w:rPr>
      <w:rFonts w:ascii="Times New Roman" w:hAnsi="Times New Roman" w:eastAsia="宋体" w:cs="Times New Roman"/>
      <w:szCs w:val="20"/>
    </w:rPr>
  </w:style>
  <w:style w:type="character" w:customStyle="1" w:styleId="96">
    <w:name w:val="普通(网站) 字符2"/>
    <w:link w:val="34"/>
    <w:autoRedefine/>
    <w:qFormat/>
    <w:locked/>
    <w:uiPriority w:val="0"/>
    <w:rPr>
      <w:rFonts w:ascii="宋体" w:hAnsi="宋体"/>
      <w:sz w:val="15"/>
      <w:szCs w:val="15"/>
    </w:rPr>
  </w:style>
  <w:style w:type="character" w:customStyle="1" w:styleId="97">
    <w:name w:val="模板正文 Char"/>
    <w:link w:val="9"/>
    <w:autoRedefine/>
    <w:qFormat/>
    <w:uiPriority w:val="0"/>
    <w:rPr>
      <w:rFonts w:ascii="宋体" w:eastAsia="仿宋"/>
      <w:sz w:val="24"/>
      <w:szCs w:val="21"/>
    </w:rPr>
  </w:style>
  <w:style w:type="character" w:customStyle="1" w:styleId="98">
    <w:name w:val="批注主题 Char"/>
    <w:autoRedefine/>
    <w:semiHidden/>
    <w:qFormat/>
    <w:uiPriority w:val="99"/>
    <w:rPr>
      <w:b/>
      <w:bCs/>
      <w:kern w:val="2"/>
      <w:sz w:val="21"/>
    </w:rPr>
  </w:style>
  <w:style w:type="character" w:customStyle="1" w:styleId="99">
    <w:name w:val="正文文本 Char1"/>
    <w:autoRedefine/>
    <w:qFormat/>
    <w:uiPriority w:val="0"/>
    <w:rPr>
      <w:rFonts w:ascii="宋体" w:hAnsi="Times New Roman" w:eastAsia="宋体" w:cs="Times New Roman"/>
      <w:kern w:val="0"/>
      <w:sz w:val="24"/>
      <w:szCs w:val="24"/>
    </w:rPr>
  </w:style>
  <w:style w:type="character" w:customStyle="1" w:styleId="100">
    <w:name w:val="正文文本 字符1"/>
    <w:autoRedefine/>
    <w:qFormat/>
    <w:uiPriority w:val="99"/>
    <w:rPr>
      <w:rFonts w:ascii="宋体" w:eastAsia="宋体"/>
      <w:b/>
      <w:bCs/>
      <w:sz w:val="84"/>
      <w:szCs w:val="84"/>
      <w:lang w:val="zh-CN"/>
    </w:rPr>
  </w:style>
  <w:style w:type="character" w:customStyle="1" w:styleId="101">
    <w:name w:val="标题 1 Char"/>
    <w:autoRedefine/>
    <w:qFormat/>
    <w:uiPriority w:val="9"/>
    <w:rPr>
      <w:rFonts w:ascii="宋体" w:hAnsi="Times New Roman" w:eastAsia="宋体" w:cs="Times New Roman"/>
      <w:kern w:val="0"/>
      <w:sz w:val="24"/>
      <w:szCs w:val="24"/>
    </w:rPr>
  </w:style>
  <w:style w:type="character" w:customStyle="1" w:styleId="102">
    <w:name w:val="正文文本 Char2"/>
    <w:autoRedefine/>
    <w:qFormat/>
    <w:uiPriority w:val="99"/>
    <w:rPr>
      <w:rFonts w:ascii="宋体" w:eastAsia="宋体"/>
      <w:b/>
      <w:bCs/>
      <w:sz w:val="84"/>
      <w:szCs w:val="84"/>
      <w:lang w:val="zh-CN"/>
    </w:rPr>
  </w:style>
  <w:style w:type="character" w:customStyle="1" w:styleId="103">
    <w:name w:val="纯文本 字符2"/>
    <w:link w:val="21"/>
    <w:autoRedefine/>
    <w:qFormat/>
    <w:uiPriority w:val="0"/>
    <w:rPr>
      <w:rFonts w:ascii="宋体" w:hAnsi="Courier New" w:eastAsia="宋体"/>
    </w:rPr>
  </w:style>
  <w:style w:type="character" w:customStyle="1" w:styleId="104">
    <w:name w:val="正文文本缩进 2 字符"/>
    <w:link w:val="23"/>
    <w:autoRedefine/>
    <w:qFormat/>
    <w:uiPriority w:val="0"/>
    <w:rPr>
      <w:rFonts w:ascii="宋体" w:hAnsi="Times New Roman" w:eastAsia="宋体" w:cs="Times New Roman"/>
      <w:szCs w:val="20"/>
    </w:rPr>
  </w:style>
  <w:style w:type="character" w:customStyle="1" w:styleId="105">
    <w:name w:val="HTML Markup"/>
    <w:autoRedefine/>
    <w:qFormat/>
    <w:uiPriority w:val="0"/>
    <w:rPr>
      <w:vanish/>
      <w:color w:val="FF0000"/>
    </w:rPr>
  </w:style>
  <w:style w:type="character" w:customStyle="1" w:styleId="106">
    <w:name w:val="页眉 Char1"/>
    <w:autoRedefine/>
    <w:qFormat/>
    <w:uiPriority w:val="0"/>
    <w:rPr>
      <w:rFonts w:ascii="宋体" w:hAnsi="Times New Roman" w:eastAsia="宋体" w:cs="Times New Roman"/>
      <w:kern w:val="0"/>
      <w:sz w:val="18"/>
      <w:szCs w:val="18"/>
    </w:rPr>
  </w:style>
  <w:style w:type="character" w:customStyle="1" w:styleId="107">
    <w:name w:val="font11"/>
    <w:autoRedefine/>
    <w:qFormat/>
    <w:uiPriority w:val="0"/>
    <w:rPr>
      <w:rFonts w:hint="eastAsia" w:ascii="宋体" w:hAnsi="宋体" w:eastAsia="宋体" w:cs="宋体"/>
      <w:color w:val="FF0000"/>
      <w:sz w:val="22"/>
      <w:szCs w:val="22"/>
      <w:u w:val="none"/>
    </w:rPr>
  </w:style>
  <w:style w:type="character" w:customStyle="1" w:styleId="108">
    <w:name w:val="style61"/>
    <w:autoRedefine/>
    <w:qFormat/>
    <w:uiPriority w:val="0"/>
    <w:rPr>
      <w:b/>
      <w:bCs/>
    </w:rPr>
  </w:style>
  <w:style w:type="character" w:customStyle="1" w:styleId="109">
    <w:name w:val="表头文字 Char"/>
    <w:link w:val="110"/>
    <w:autoRedefine/>
    <w:qFormat/>
    <w:uiPriority w:val="0"/>
    <w:rPr>
      <w:rFonts w:eastAsia="仿宋_GB2312"/>
      <w:b/>
      <w:sz w:val="28"/>
      <w:szCs w:val="21"/>
    </w:rPr>
  </w:style>
  <w:style w:type="paragraph" w:customStyle="1" w:styleId="110">
    <w:name w:val="表头文字"/>
    <w:basedOn w:val="1"/>
    <w:link w:val="109"/>
    <w:autoRedefine/>
    <w:qFormat/>
    <w:uiPriority w:val="0"/>
    <w:pPr>
      <w:adjustRightInd w:val="0"/>
      <w:snapToGrid w:val="0"/>
      <w:spacing w:before="120" w:line="360" w:lineRule="auto"/>
      <w:jc w:val="center"/>
      <w:textAlignment w:val="baseline"/>
    </w:pPr>
    <w:rPr>
      <w:rFonts w:eastAsia="仿宋_GB2312"/>
      <w:b/>
      <w:sz w:val="28"/>
      <w:szCs w:val="21"/>
    </w:rPr>
  </w:style>
  <w:style w:type="character" w:customStyle="1" w:styleId="111">
    <w:name w:val="日期 字符"/>
    <w:link w:val="22"/>
    <w:autoRedefine/>
    <w:qFormat/>
    <w:uiPriority w:val="99"/>
    <w:rPr>
      <w:rFonts w:ascii="宋体" w:hAnsi="Times New Roman" w:eastAsia="宋体" w:cs="Times New Roman"/>
      <w:b/>
      <w:bCs/>
      <w:szCs w:val="21"/>
      <w:lang w:val="zh-CN"/>
    </w:rPr>
  </w:style>
  <w:style w:type="character" w:customStyle="1" w:styleId="112">
    <w:name w:val="纯文本 Char1"/>
    <w:autoRedefine/>
    <w:qFormat/>
    <w:uiPriority w:val="0"/>
    <w:rPr>
      <w:rFonts w:ascii="宋体" w:hAnsi="Courier New" w:eastAsia="宋体" w:cs="Courier New"/>
      <w:kern w:val="0"/>
      <w:szCs w:val="21"/>
    </w:rPr>
  </w:style>
  <w:style w:type="character" w:customStyle="1" w:styleId="113">
    <w:name w:val="批注主题 字符"/>
    <w:link w:val="36"/>
    <w:autoRedefine/>
    <w:qFormat/>
    <w:uiPriority w:val="99"/>
    <w:rPr>
      <w:rFonts w:ascii="宋体" w:hAnsi="Times New Roman" w:eastAsia="宋体" w:cs="Times New Roman"/>
      <w:b/>
      <w:bCs/>
      <w:kern w:val="0"/>
      <w:sz w:val="24"/>
      <w:szCs w:val="24"/>
    </w:rPr>
  </w:style>
  <w:style w:type="character" w:customStyle="1" w:styleId="114">
    <w:name w:val="纯文本 字符"/>
    <w:autoRedefine/>
    <w:qFormat/>
    <w:uiPriority w:val="99"/>
    <w:rPr>
      <w:rFonts w:ascii="宋体" w:hAnsi="Courier New" w:eastAsia="宋体" w:cs="Times New Roman"/>
      <w:szCs w:val="20"/>
      <w:lang w:val="en-US" w:eastAsia="zh-CN"/>
    </w:rPr>
  </w:style>
  <w:style w:type="character" w:customStyle="1" w:styleId="115">
    <w:name w:val="font71"/>
    <w:autoRedefine/>
    <w:qFormat/>
    <w:uiPriority w:val="0"/>
    <w:rPr>
      <w:rFonts w:hint="eastAsia" w:ascii="宋体" w:hAnsi="宋体" w:eastAsia="宋体" w:cs="宋体"/>
      <w:color w:val="FF0000"/>
      <w:sz w:val="18"/>
      <w:szCs w:val="18"/>
      <w:u w:val="none"/>
    </w:rPr>
  </w:style>
  <w:style w:type="character" w:customStyle="1" w:styleId="116">
    <w:name w:val="font21"/>
    <w:autoRedefine/>
    <w:qFormat/>
    <w:uiPriority w:val="0"/>
    <w:rPr>
      <w:rFonts w:hint="eastAsia" w:ascii="宋体" w:hAnsi="宋体" w:eastAsia="宋体" w:cs="宋体"/>
      <w:b/>
      <w:color w:val="000000"/>
      <w:sz w:val="21"/>
      <w:szCs w:val="21"/>
      <w:u w:val="none"/>
    </w:rPr>
  </w:style>
  <w:style w:type="character" w:customStyle="1" w:styleId="117">
    <w:name w:val="纯文本 字符3"/>
    <w:autoRedefine/>
    <w:semiHidden/>
    <w:qFormat/>
    <w:uiPriority w:val="99"/>
    <w:rPr>
      <w:rFonts w:ascii="等线" w:hAnsi="Courier New" w:cs="Courier New"/>
      <w:kern w:val="0"/>
      <w:sz w:val="24"/>
      <w:szCs w:val="24"/>
    </w:rPr>
  </w:style>
  <w:style w:type="character" w:customStyle="1" w:styleId="118">
    <w:name w:val="font31"/>
    <w:autoRedefine/>
    <w:qFormat/>
    <w:uiPriority w:val="0"/>
    <w:rPr>
      <w:rFonts w:hint="eastAsia" w:ascii="宋体" w:hAnsi="宋体" w:eastAsia="宋体" w:cs="宋体"/>
      <w:color w:val="000000"/>
      <w:sz w:val="18"/>
      <w:szCs w:val="18"/>
      <w:u w:val="none"/>
    </w:rPr>
  </w:style>
  <w:style w:type="character" w:customStyle="1" w:styleId="119">
    <w:name w:val="文档结构图 字符"/>
    <w:link w:val="15"/>
    <w:autoRedefine/>
    <w:semiHidden/>
    <w:qFormat/>
    <w:uiPriority w:val="99"/>
    <w:rPr>
      <w:rFonts w:ascii="宋体" w:hAnsi="Times New Roman" w:eastAsia="宋体" w:cs="Times New Roman"/>
      <w:kern w:val="0"/>
      <w:sz w:val="24"/>
      <w:szCs w:val="24"/>
      <w:shd w:val="clear" w:color="auto" w:fill="000080"/>
    </w:rPr>
  </w:style>
  <w:style w:type="character" w:customStyle="1" w:styleId="120">
    <w:name w:val="普通(网站) 字符1"/>
    <w:autoRedefine/>
    <w:qFormat/>
    <w:locked/>
    <w:uiPriority w:val="0"/>
    <w:rPr>
      <w:rFonts w:ascii="宋体" w:hAnsi="宋体"/>
      <w:sz w:val="15"/>
      <w:szCs w:val="15"/>
    </w:rPr>
  </w:style>
  <w:style w:type="character" w:customStyle="1" w:styleId="121">
    <w:name w:val="正文文本 字符2"/>
    <w:link w:val="2"/>
    <w:autoRedefine/>
    <w:qFormat/>
    <w:uiPriority w:val="99"/>
    <w:rPr>
      <w:rFonts w:ascii="宋体" w:eastAsia="宋体"/>
      <w:b/>
      <w:bCs/>
      <w:sz w:val="84"/>
      <w:szCs w:val="84"/>
      <w:lang w:val="zh-CN"/>
    </w:rPr>
  </w:style>
  <w:style w:type="character" w:customStyle="1" w:styleId="122">
    <w:name w:val="标题 5 Char"/>
    <w:autoRedefine/>
    <w:semiHidden/>
    <w:qFormat/>
    <w:uiPriority w:val="9"/>
    <w:rPr>
      <w:b/>
      <w:bCs/>
      <w:kern w:val="2"/>
      <w:sz w:val="28"/>
      <w:szCs w:val="28"/>
    </w:rPr>
  </w:style>
  <w:style w:type="character" w:customStyle="1" w:styleId="123">
    <w:name w:val="页眉 字符"/>
    <w:link w:val="26"/>
    <w:autoRedefine/>
    <w:qFormat/>
    <w:uiPriority w:val="99"/>
    <w:rPr>
      <w:rFonts w:ascii="宋体" w:eastAsia="宋体"/>
      <w:sz w:val="18"/>
      <w:szCs w:val="18"/>
    </w:rPr>
  </w:style>
  <w:style w:type="character" w:customStyle="1" w:styleId="124">
    <w:name w:val="表格文字 Char"/>
    <w:link w:val="125"/>
    <w:autoRedefine/>
    <w:qFormat/>
    <w:uiPriority w:val="0"/>
    <w:rPr>
      <w:rFonts w:eastAsia="仿宋_GB2312"/>
      <w:sz w:val="28"/>
      <w:szCs w:val="24"/>
    </w:rPr>
  </w:style>
  <w:style w:type="paragraph" w:customStyle="1" w:styleId="125">
    <w:name w:val="表格文字"/>
    <w:basedOn w:val="1"/>
    <w:link w:val="124"/>
    <w:autoRedefine/>
    <w:qFormat/>
    <w:uiPriority w:val="0"/>
    <w:rPr>
      <w:rFonts w:eastAsia="仿宋_GB2312"/>
      <w:sz w:val="28"/>
      <w:szCs w:val="24"/>
    </w:rPr>
  </w:style>
  <w:style w:type="character" w:customStyle="1" w:styleId="126">
    <w:name w:val="标题 字符2"/>
    <w:autoRedefine/>
    <w:qFormat/>
    <w:uiPriority w:val="10"/>
    <w:rPr>
      <w:rFonts w:ascii="等线 Light" w:hAnsi="等线 Light" w:eastAsia="等线 Light" w:cs="Times New Roman"/>
      <w:b/>
      <w:bCs/>
      <w:kern w:val="0"/>
      <w:sz w:val="32"/>
      <w:szCs w:val="32"/>
    </w:rPr>
  </w:style>
  <w:style w:type="character" w:customStyle="1" w:styleId="127">
    <w:name w:val="正文缩进2格 Char Char"/>
    <w:autoRedefine/>
    <w:qFormat/>
    <w:uiPriority w:val="0"/>
    <w:rPr>
      <w:rFonts w:ascii="仿宋_GB2312" w:hAnsi="宋体" w:eastAsia="仿宋_GB2312"/>
      <w:kern w:val="2"/>
      <w:sz w:val="31"/>
      <w:szCs w:val="28"/>
      <w:lang w:val="en-US" w:eastAsia="zh-CN" w:bidi="ar-SA"/>
    </w:rPr>
  </w:style>
  <w:style w:type="character" w:customStyle="1" w:styleId="128">
    <w:name w:val="小 Char"/>
    <w:autoRedefine/>
    <w:qFormat/>
    <w:uiPriority w:val="0"/>
    <w:rPr>
      <w:rFonts w:ascii="宋体" w:hAnsi="Courier New" w:eastAsia="宋体"/>
      <w:kern w:val="2"/>
      <w:sz w:val="21"/>
      <w:lang w:val="en-US" w:eastAsia="zh-CN" w:bidi="ar-SA"/>
    </w:rPr>
  </w:style>
  <w:style w:type="character" w:customStyle="1" w:styleId="129">
    <w:name w:val="themebody1"/>
    <w:autoRedefine/>
    <w:qFormat/>
    <w:uiPriority w:val="0"/>
    <w:rPr>
      <w:color w:val="FFFFFF"/>
    </w:rPr>
  </w:style>
  <w:style w:type="character" w:customStyle="1" w:styleId="130">
    <w:name w:val="页脚 字符1"/>
    <w:autoRedefine/>
    <w:semiHidden/>
    <w:qFormat/>
    <w:uiPriority w:val="99"/>
    <w:rPr>
      <w:rFonts w:ascii="宋体" w:hAnsi="Calibri" w:eastAsia="宋体" w:cs="Times New Roman"/>
      <w:kern w:val="0"/>
      <w:sz w:val="18"/>
      <w:szCs w:val="18"/>
    </w:rPr>
  </w:style>
  <w:style w:type="character" w:customStyle="1" w:styleId="131">
    <w:name w:val="列表段落 字符"/>
    <w:link w:val="132"/>
    <w:autoRedefine/>
    <w:qFormat/>
    <w:uiPriority w:val="34"/>
    <w:rPr>
      <w:kern w:val="2"/>
      <w:sz w:val="21"/>
      <w:szCs w:val="22"/>
    </w:rPr>
  </w:style>
  <w:style w:type="paragraph" w:styleId="132">
    <w:name w:val="List Paragraph"/>
    <w:basedOn w:val="1"/>
    <w:link w:val="131"/>
    <w:autoRedefine/>
    <w:qFormat/>
    <w:uiPriority w:val="34"/>
    <w:pPr>
      <w:ind w:firstLine="420" w:firstLineChars="200"/>
    </w:pPr>
  </w:style>
  <w:style w:type="character" w:customStyle="1" w:styleId="133">
    <w:name w:val="正文文本 Char"/>
    <w:autoRedefine/>
    <w:qFormat/>
    <w:uiPriority w:val="99"/>
    <w:rPr>
      <w:rFonts w:ascii="宋体" w:eastAsia="宋体"/>
      <w:b/>
      <w:bCs/>
      <w:sz w:val="84"/>
      <w:szCs w:val="84"/>
      <w:lang w:val="zh-CN"/>
    </w:rPr>
  </w:style>
  <w:style w:type="character" w:customStyle="1" w:styleId="134">
    <w:name w:val="页眉 字符1"/>
    <w:autoRedefine/>
    <w:semiHidden/>
    <w:qFormat/>
    <w:uiPriority w:val="99"/>
    <w:rPr>
      <w:rFonts w:ascii="宋体" w:hAnsi="Calibri" w:eastAsia="宋体" w:cs="Times New Roman"/>
      <w:kern w:val="0"/>
      <w:sz w:val="18"/>
      <w:szCs w:val="18"/>
    </w:rPr>
  </w:style>
  <w:style w:type="character" w:customStyle="1" w:styleId="135">
    <w:name w:val="标题 5 字符1"/>
    <w:link w:val="7"/>
    <w:autoRedefine/>
    <w:qFormat/>
    <w:uiPriority w:val="9"/>
    <w:rPr>
      <w:rFonts w:ascii="宋体" w:hAnsi="Calibri" w:eastAsia="宋体" w:cs="Times New Roman"/>
      <w:b/>
      <w:bCs/>
      <w:kern w:val="0"/>
      <w:sz w:val="28"/>
      <w:szCs w:val="28"/>
    </w:rPr>
  </w:style>
  <w:style w:type="character" w:customStyle="1" w:styleId="136">
    <w:name w:val="keyfeatures1"/>
    <w:autoRedefine/>
    <w:qFormat/>
    <w:uiPriority w:val="0"/>
    <w:rPr>
      <w:rFonts w:hint="default" w:ascii="Arial" w:hAnsi="Arial" w:cs="Arial"/>
      <w:color w:val="003366"/>
      <w:sz w:val="17"/>
      <w:szCs w:val="17"/>
      <w:u w:val="none"/>
    </w:rPr>
  </w:style>
  <w:style w:type="character" w:customStyle="1" w:styleId="137">
    <w:name w:val="题注 字符"/>
    <w:autoRedefine/>
    <w:qFormat/>
    <w:uiPriority w:val="0"/>
    <w:rPr>
      <w:rFonts w:ascii="宋体" w:hAnsi="宋体" w:eastAsia="黑体" w:cs="Times New Roman"/>
      <w:b/>
      <w:szCs w:val="21"/>
    </w:rPr>
  </w:style>
  <w:style w:type="character" w:customStyle="1" w:styleId="138">
    <w:name w:val="标题 4 Char"/>
    <w:autoRedefine/>
    <w:qFormat/>
    <w:uiPriority w:val="0"/>
    <w:rPr>
      <w:rFonts w:ascii="宋体" w:hAnsi="宋体" w:eastAsia="宋体"/>
      <w:b/>
      <w:kern w:val="2"/>
      <w:sz w:val="21"/>
      <w:szCs w:val="24"/>
      <w:lang w:val="en-US" w:eastAsia="zh-CN" w:bidi="ar-SA"/>
    </w:rPr>
  </w:style>
  <w:style w:type="character" w:customStyle="1" w:styleId="139">
    <w:name w:val="批注文字 字符3"/>
    <w:autoRedefine/>
    <w:semiHidden/>
    <w:qFormat/>
    <w:uiPriority w:val="99"/>
    <w:rPr>
      <w:rFonts w:ascii="宋体" w:hAnsi="Calibri" w:eastAsia="宋体" w:cs="Times New Roman"/>
      <w:kern w:val="0"/>
      <w:sz w:val="24"/>
      <w:szCs w:val="24"/>
    </w:rPr>
  </w:style>
  <w:style w:type="character" w:customStyle="1" w:styleId="140">
    <w:name w:val="纯文本 字符1"/>
    <w:autoRedefine/>
    <w:qFormat/>
    <w:uiPriority w:val="0"/>
    <w:rPr>
      <w:rFonts w:ascii="宋体" w:hAnsi="Courier New" w:eastAsia="宋体"/>
      <w:kern w:val="2"/>
      <w:sz w:val="21"/>
      <w:szCs w:val="24"/>
      <w:lang w:val="en-US" w:eastAsia="zh-CN" w:bidi="ar-SA"/>
    </w:rPr>
  </w:style>
  <w:style w:type="character" w:customStyle="1" w:styleId="141">
    <w:name w:val="列出段落 Char1"/>
    <w:autoRedefine/>
    <w:qFormat/>
    <w:uiPriority w:val="34"/>
    <w:rPr>
      <w:rFonts w:ascii="宋体"/>
      <w:sz w:val="24"/>
      <w:szCs w:val="24"/>
    </w:rPr>
  </w:style>
  <w:style w:type="character" w:customStyle="1" w:styleId="142">
    <w:name w:val="彩色列表 - 着色 1 字符"/>
    <w:link w:val="143"/>
    <w:autoRedefine/>
    <w:qFormat/>
    <w:uiPriority w:val="0"/>
    <w:rPr>
      <w:rFonts w:ascii="Calibri" w:hAnsi="Calibri"/>
    </w:rPr>
  </w:style>
  <w:style w:type="paragraph" w:customStyle="1" w:styleId="143">
    <w:name w:val="彩色列表 - 着色 11"/>
    <w:basedOn w:val="1"/>
    <w:link w:val="142"/>
    <w:autoRedefine/>
    <w:qFormat/>
    <w:uiPriority w:val="0"/>
    <w:pPr>
      <w:ind w:firstLine="420" w:firstLineChars="200"/>
    </w:pPr>
    <w:rPr>
      <w:rFonts w:ascii="Calibri" w:hAnsi="Calibri"/>
    </w:rPr>
  </w:style>
  <w:style w:type="character" w:customStyle="1" w:styleId="144">
    <w:name w:val="纯文本 Char"/>
    <w:autoRedefine/>
    <w:qFormat/>
    <w:uiPriority w:val="0"/>
    <w:rPr>
      <w:rFonts w:ascii="宋体" w:hAnsi="Courier New" w:eastAsia="宋体" w:cs="Times New Roman"/>
      <w:szCs w:val="20"/>
    </w:rPr>
  </w:style>
  <w:style w:type="character" w:customStyle="1" w:styleId="145">
    <w:name w:val="标题 6 字符1"/>
    <w:link w:val="8"/>
    <w:autoRedefine/>
    <w:qFormat/>
    <w:uiPriority w:val="9"/>
    <w:rPr>
      <w:rFonts w:ascii="Times New Roman" w:hAnsi="Calibri" w:eastAsia="黑体" w:cs="Times New Roman"/>
      <w:b/>
      <w:bCs/>
      <w:kern w:val="0"/>
      <w:sz w:val="28"/>
      <w:szCs w:val="24"/>
    </w:rPr>
  </w:style>
  <w:style w:type="character" w:customStyle="1" w:styleId="146">
    <w:name w:val="正文文本 2 字符"/>
    <w:link w:val="32"/>
    <w:autoRedefine/>
    <w:qFormat/>
    <w:uiPriority w:val="0"/>
    <w:rPr>
      <w:rFonts w:ascii="Arial" w:hAnsi="Arial" w:eastAsia="宋体" w:cs="Times New Roman"/>
      <w:color w:val="000000"/>
      <w:szCs w:val="24"/>
    </w:rPr>
  </w:style>
  <w:style w:type="character" w:customStyle="1" w:styleId="147">
    <w:name w:val="标题 3 字符1"/>
    <w:link w:val="5"/>
    <w:autoRedefine/>
    <w:qFormat/>
    <w:uiPriority w:val="0"/>
    <w:rPr>
      <w:rFonts w:ascii="宋体" w:hAnsi="Calibri" w:eastAsia="宋体" w:cs="Times New Roman"/>
      <w:kern w:val="0"/>
      <w:sz w:val="24"/>
      <w:szCs w:val="24"/>
    </w:rPr>
  </w:style>
  <w:style w:type="character" w:customStyle="1" w:styleId="148">
    <w:name w:val="正文文本缩进 2 字符1"/>
    <w:autoRedefine/>
    <w:semiHidden/>
    <w:qFormat/>
    <w:uiPriority w:val="99"/>
    <w:rPr>
      <w:rFonts w:ascii="宋体" w:hAnsi="Calibri" w:eastAsia="宋体" w:cs="Times New Roman"/>
      <w:kern w:val="0"/>
      <w:sz w:val="24"/>
      <w:szCs w:val="24"/>
    </w:rPr>
  </w:style>
  <w:style w:type="character" w:customStyle="1" w:styleId="149">
    <w:name w:val="正文文本缩进 3 字符1"/>
    <w:autoRedefine/>
    <w:semiHidden/>
    <w:qFormat/>
    <w:uiPriority w:val="99"/>
    <w:rPr>
      <w:rFonts w:ascii="宋体" w:hAnsi="Calibri" w:eastAsia="宋体" w:cs="Times New Roman"/>
      <w:kern w:val="0"/>
      <w:sz w:val="16"/>
      <w:szCs w:val="16"/>
    </w:rPr>
  </w:style>
  <w:style w:type="character" w:customStyle="1" w:styleId="150">
    <w:name w:val="正文文本 2 字符1"/>
    <w:autoRedefine/>
    <w:semiHidden/>
    <w:qFormat/>
    <w:uiPriority w:val="99"/>
    <w:rPr>
      <w:rFonts w:ascii="宋体" w:hAnsi="Calibri" w:eastAsia="宋体" w:cs="Times New Roman"/>
      <w:kern w:val="0"/>
      <w:sz w:val="24"/>
      <w:szCs w:val="24"/>
    </w:rPr>
  </w:style>
  <w:style w:type="character" w:customStyle="1" w:styleId="151">
    <w:name w:val="eschoolnr"/>
    <w:autoRedefine/>
    <w:qFormat/>
    <w:uiPriority w:val="0"/>
    <w:rPr>
      <w:sz w:val="23"/>
      <w:szCs w:val="23"/>
    </w:rPr>
  </w:style>
  <w:style w:type="character" w:customStyle="1" w:styleId="152">
    <w:name w:val="访问过的超链接1"/>
    <w:autoRedefine/>
    <w:qFormat/>
    <w:uiPriority w:val="0"/>
    <w:rPr>
      <w:rFonts w:ascii="Arial" w:hAnsi="Arial" w:cs="Arial"/>
      <w:color w:val="000000"/>
      <w:sz w:val="20"/>
      <w:szCs w:val="20"/>
      <w:u w:val="none"/>
    </w:rPr>
  </w:style>
  <w:style w:type="character" w:customStyle="1" w:styleId="153">
    <w:name w:val="标题 1 字符1"/>
    <w:link w:val="3"/>
    <w:autoRedefine/>
    <w:qFormat/>
    <w:uiPriority w:val="0"/>
    <w:rPr>
      <w:rFonts w:ascii="宋体" w:hAnsi="Calibri" w:eastAsia="宋体" w:cs="Times New Roman"/>
      <w:kern w:val="0"/>
      <w:sz w:val="24"/>
      <w:szCs w:val="24"/>
    </w:rPr>
  </w:style>
  <w:style w:type="character" w:customStyle="1" w:styleId="154">
    <w:name w:val="批注文字 Char1"/>
    <w:autoRedefine/>
    <w:qFormat/>
    <w:uiPriority w:val="0"/>
    <w:rPr>
      <w:kern w:val="2"/>
      <w:sz w:val="21"/>
      <w:szCs w:val="24"/>
    </w:rPr>
  </w:style>
  <w:style w:type="character" w:customStyle="1" w:styleId="155">
    <w:name w:val="批注框文本 Char"/>
    <w:autoRedefine/>
    <w:semiHidden/>
    <w:qFormat/>
    <w:uiPriority w:val="99"/>
    <w:rPr>
      <w:kern w:val="2"/>
      <w:sz w:val="18"/>
      <w:szCs w:val="18"/>
    </w:rPr>
  </w:style>
  <w:style w:type="character" w:customStyle="1" w:styleId="156">
    <w:name w:val="DAS正文 Char"/>
    <w:autoRedefine/>
    <w:qFormat/>
    <w:uiPriority w:val="0"/>
    <w:rPr>
      <w:rFonts w:ascii="Verdana" w:hAnsi="Verdana" w:eastAsia="宋体"/>
      <w:kern w:val="2"/>
      <w:sz w:val="21"/>
      <w:szCs w:val="21"/>
      <w:lang w:val="en-US" w:eastAsia="zh-CN" w:bidi="ar-SA"/>
    </w:rPr>
  </w:style>
  <w:style w:type="character" w:customStyle="1" w:styleId="157">
    <w:name w:val="正文文本缩进 3 字符"/>
    <w:link w:val="30"/>
    <w:autoRedefine/>
    <w:qFormat/>
    <w:uiPriority w:val="0"/>
    <w:rPr>
      <w:rFonts w:ascii="宋体" w:hAnsi="Times New Roman" w:eastAsia="宋体" w:cs="Times New Roman"/>
      <w:kern w:val="0"/>
      <w:sz w:val="24"/>
      <w:szCs w:val="24"/>
    </w:rPr>
  </w:style>
  <w:style w:type="character" w:customStyle="1" w:styleId="158">
    <w:name w:val="页眉 Char"/>
    <w:autoRedefine/>
    <w:qFormat/>
    <w:uiPriority w:val="99"/>
    <w:rPr>
      <w:kern w:val="2"/>
      <w:sz w:val="18"/>
      <w:szCs w:val="18"/>
    </w:rPr>
  </w:style>
  <w:style w:type="character" w:customStyle="1" w:styleId="159">
    <w:name w:val="正文文本 3 字符"/>
    <w:link w:val="18"/>
    <w:autoRedefine/>
    <w:qFormat/>
    <w:uiPriority w:val="0"/>
    <w:rPr>
      <w:rFonts w:ascii="宋体" w:hAnsi="Times New Roman" w:eastAsia="宋体" w:cs="Times New Roman"/>
      <w:b/>
      <w:bCs/>
      <w:color w:val="3366FF"/>
      <w:sz w:val="52"/>
      <w:szCs w:val="52"/>
      <w:lang w:val="zh-CN"/>
    </w:rPr>
  </w:style>
  <w:style w:type="character" w:customStyle="1" w:styleId="160">
    <w:name w:val="HTML 预设格式 字符1"/>
    <w:autoRedefine/>
    <w:semiHidden/>
    <w:qFormat/>
    <w:uiPriority w:val="99"/>
    <w:rPr>
      <w:rFonts w:ascii="Courier New" w:hAnsi="Courier New" w:eastAsia="宋体" w:cs="Courier New"/>
      <w:kern w:val="0"/>
      <w:sz w:val="20"/>
      <w:szCs w:val="20"/>
    </w:rPr>
  </w:style>
  <w:style w:type="character" w:customStyle="1" w:styleId="161">
    <w:name w:val="彩色列表 - 强调文字颜色 1 Char"/>
    <w:link w:val="162"/>
    <w:autoRedefine/>
    <w:qFormat/>
    <w:uiPriority w:val="0"/>
    <w:rPr>
      <w:rFonts w:ascii="宋体"/>
      <w:sz w:val="24"/>
      <w:szCs w:val="24"/>
    </w:rPr>
  </w:style>
  <w:style w:type="paragraph" w:customStyle="1" w:styleId="162">
    <w:name w:val="彩色列表 - 强调文字颜色 11"/>
    <w:basedOn w:val="1"/>
    <w:link w:val="161"/>
    <w:autoRedefine/>
    <w:qFormat/>
    <w:uiPriority w:val="0"/>
    <w:pPr>
      <w:autoSpaceDE w:val="0"/>
      <w:autoSpaceDN w:val="0"/>
      <w:adjustRightInd w:val="0"/>
      <w:ind w:firstLine="420" w:firstLineChars="200"/>
      <w:jc w:val="left"/>
    </w:pPr>
    <w:rPr>
      <w:rFonts w:ascii="宋体"/>
      <w:sz w:val="24"/>
      <w:szCs w:val="24"/>
    </w:rPr>
  </w:style>
  <w:style w:type="character" w:customStyle="1" w:styleId="163">
    <w:name w:val="普通(网站) 字符"/>
    <w:autoRedefine/>
    <w:qFormat/>
    <w:locked/>
    <w:uiPriority w:val="99"/>
    <w:rPr>
      <w:rFonts w:ascii="宋体" w:hAnsi="宋体" w:eastAsia="宋体" w:cs="Times New Roman"/>
      <w:kern w:val="0"/>
      <w:sz w:val="15"/>
      <w:szCs w:val="15"/>
      <w:lang w:val="en-US" w:eastAsia="zh-CN"/>
    </w:rPr>
  </w:style>
  <w:style w:type="paragraph" w:customStyle="1" w:styleId="164">
    <w:name w:val="_Style 123"/>
    <w:basedOn w:val="1"/>
    <w:next w:val="132"/>
    <w:autoRedefine/>
    <w:qFormat/>
    <w:uiPriority w:val="34"/>
    <w:pPr>
      <w:spacing w:line="360" w:lineRule="auto"/>
      <w:ind w:firstLine="420" w:firstLineChars="200"/>
    </w:pPr>
    <w:rPr>
      <w:rFonts w:ascii="Calibri" w:hAnsi="Calibri" w:eastAsia="宋体" w:cs="Times New Roman"/>
    </w:rPr>
  </w:style>
  <w:style w:type="character" w:customStyle="1" w:styleId="165">
    <w:name w:val="纯文本 字符4"/>
    <w:basedOn w:val="41"/>
    <w:autoRedefine/>
    <w:semiHidden/>
    <w:qFormat/>
    <w:uiPriority w:val="99"/>
    <w:rPr>
      <w:rFonts w:hAnsi="Courier New" w:cs="Courier New" w:asciiTheme="minorEastAsia"/>
    </w:rPr>
  </w:style>
  <w:style w:type="character" w:customStyle="1" w:styleId="166">
    <w:name w:val="批注文字 字符4"/>
    <w:basedOn w:val="41"/>
    <w:link w:val="17"/>
    <w:autoRedefine/>
    <w:semiHidden/>
    <w:qFormat/>
    <w:uiPriority w:val="99"/>
  </w:style>
  <w:style w:type="character" w:customStyle="1" w:styleId="167">
    <w:name w:val="批注主题 字符2"/>
    <w:basedOn w:val="166"/>
    <w:autoRedefine/>
    <w:semiHidden/>
    <w:qFormat/>
    <w:uiPriority w:val="99"/>
    <w:rPr>
      <w:b/>
      <w:bCs/>
    </w:rPr>
  </w:style>
  <w:style w:type="character" w:customStyle="1" w:styleId="168">
    <w:name w:val="标题 字符3"/>
    <w:basedOn w:val="41"/>
    <w:autoRedefine/>
    <w:qFormat/>
    <w:uiPriority w:val="10"/>
    <w:rPr>
      <w:rFonts w:asciiTheme="majorHAnsi" w:hAnsiTheme="majorHAnsi" w:eastAsiaTheme="majorEastAsia" w:cstheme="majorBidi"/>
      <w:b/>
      <w:bCs/>
      <w:sz w:val="32"/>
      <w:szCs w:val="32"/>
    </w:rPr>
  </w:style>
  <w:style w:type="character" w:customStyle="1" w:styleId="169">
    <w:name w:val="正文文本缩进 字符3"/>
    <w:basedOn w:val="41"/>
    <w:autoRedefine/>
    <w:semiHidden/>
    <w:qFormat/>
    <w:uiPriority w:val="99"/>
  </w:style>
  <w:style w:type="character" w:customStyle="1" w:styleId="170">
    <w:name w:val="正文文本 字符4"/>
    <w:basedOn w:val="41"/>
    <w:autoRedefine/>
    <w:semiHidden/>
    <w:qFormat/>
    <w:uiPriority w:val="99"/>
  </w:style>
  <w:style w:type="character" w:customStyle="1" w:styleId="171">
    <w:name w:val="正文文本缩进 3 字符2"/>
    <w:basedOn w:val="41"/>
    <w:autoRedefine/>
    <w:semiHidden/>
    <w:qFormat/>
    <w:uiPriority w:val="99"/>
    <w:rPr>
      <w:sz w:val="16"/>
      <w:szCs w:val="16"/>
    </w:rPr>
  </w:style>
  <w:style w:type="character" w:customStyle="1" w:styleId="172">
    <w:name w:val="页眉 字符2"/>
    <w:basedOn w:val="41"/>
    <w:autoRedefine/>
    <w:semiHidden/>
    <w:qFormat/>
    <w:uiPriority w:val="99"/>
    <w:rPr>
      <w:sz w:val="18"/>
      <w:szCs w:val="18"/>
    </w:rPr>
  </w:style>
  <w:style w:type="character" w:customStyle="1" w:styleId="173">
    <w:name w:val="批注框文本 字符2"/>
    <w:basedOn w:val="41"/>
    <w:autoRedefine/>
    <w:semiHidden/>
    <w:qFormat/>
    <w:uiPriority w:val="99"/>
    <w:rPr>
      <w:sz w:val="18"/>
      <w:szCs w:val="18"/>
    </w:rPr>
  </w:style>
  <w:style w:type="character" w:customStyle="1" w:styleId="174">
    <w:name w:val="HTML 预设格式 字符2"/>
    <w:basedOn w:val="41"/>
    <w:autoRedefine/>
    <w:semiHidden/>
    <w:qFormat/>
    <w:uiPriority w:val="99"/>
    <w:rPr>
      <w:rFonts w:ascii="Courier New" w:hAnsi="Courier New" w:cs="Courier New"/>
      <w:sz w:val="20"/>
      <w:szCs w:val="20"/>
    </w:rPr>
  </w:style>
  <w:style w:type="character" w:customStyle="1" w:styleId="175">
    <w:name w:val="页脚 字符2"/>
    <w:basedOn w:val="41"/>
    <w:autoRedefine/>
    <w:semiHidden/>
    <w:qFormat/>
    <w:uiPriority w:val="99"/>
    <w:rPr>
      <w:sz w:val="18"/>
      <w:szCs w:val="18"/>
    </w:rPr>
  </w:style>
  <w:style w:type="character" w:customStyle="1" w:styleId="176">
    <w:name w:val="正文文本缩进 2 字符2"/>
    <w:basedOn w:val="41"/>
    <w:autoRedefine/>
    <w:semiHidden/>
    <w:qFormat/>
    <w:uiPriority w:val="99"/>
  </w:style>
  <w:style w:type="character" w:customStyle="1" w:styleId="177">
    <w:name w:val="正文文本 3 字符2"/>
    <w:basedOn w:val="41"/>
    <w:autoRedefine/>
    <w:semiHidden/>
    <w:qFormat/>
    <w:uiPriority w:val="99"/>
    <w:rPr>
      <w:sz w:val="16"/>
      <w:szCs w:val="16"/>
    </w:rPr>
  </w:style>
  <w:style w:type="character" w:customStyle="1" w:styleId="178">
    <w:name w:val="正文文本 2 字符2"/>
    <w:basedOn w:val="41"/>
    <w:autoRedefine/>
    <w:semiHidden/>
    <w:qFormat/>
    <w:uiPriority w:val="99"/>
  </w:style>
  <w:style w:type="paragraph" w:customStyle="1" w:styleId="179">
    <w:name w:val="WPSOffice手动目录 3"/>
    <w:autoRedefine/>
    <w:qFormat/>
    <w:uiPriority w:val="0"/>
    <w:pPr>
      <w:ind w:left="400" w:leftChars="400"/>
    </w:pPr>
    <w:rPr>
      <w:rFonts w:ascii="Calibri" w:hAnsi="Calibri" w:eastAsia="宋体" w:cs="Times New Roman"/>
      <w:lang w:val="en-US" w:eastAsia="zh-CN" w:bidi="ar-SA"/>
    </w:rPr>
  </w:style>
  <w:style w:type="paragraph" w:customStyle="1" w:styleId="180">
    <w:name w:val="列表段落1"/>
    <w:basedOn w:val="1"/>
    <w:autoRedefine/>
    <w:qFormat/>
    <w:uiPriority w:val="0"/>
    <w:pPr>
      <w:ind w:firstLine="420" w:firstLineChars="200"/>
    </w:pPr>
    <w:rPr>
      <w:rFonts w:ascii="Times New Roman" w:hAnsi="Times New Roman" w:eastAsia="宋体" w:cs="Times New Roman"/>
      <w:szCs w:val="20"/>
    </w:rPr>
  </w:style>
  <w:style w:type="character" w:customStyle="1" w:styleId="181">
    <w:name w:val="文档结构图 字符2"/>
    <w:basedOn w:val="41"/>
    <w:autoRedefine/>
    <w:semiHidden/>
    <w:qFormat/>
    <w:uiPriority w:val="99"/>
    <w:rPr>
      <w:rFonts w:ascii="Microsoft YaHei UI" w:eastAsia="Microsoft YaHei UI"/>
      <w:sz w:val="18"/>
      <w:szCs w:val="18"/>
    </w:rPr>
  </w:style>
  <w:style w:type="character" w:customStyle="1" w:styleId="182">
    <w:name w:val="日期 字符2"/>
    <w:basedOn w:val="41"/>
    <w:autoRedefine/>
    <w:semiHidden/>
    <w:qFormat/>
    <w:uiPriority w:val="99"/>
  </w:style>
  <w:style w:type="paragraph" w:customStyle="1" w:styleId="183">
    <w:name w:val="彩色底纹 - 强调文字颜色 11"/>
    <w:autoRedefine/>
    <w:semiHidden/>
    <w:qFormat/>
    <w:uiPriority w:val="99"/>
    <w:rPr>
      <w:rFonts w:ascii="宋体" w:hAnsi="Calibri" w:eastAsia="宋体" w:cs="Times New Roman"/>
      <w:sz w:val="24"/>
      <w:szCs w:val="24"/>
      <w:lang w:val="en-US" w:eastAsia="zh-CN" w:bidi="ar-SA"/>
    </w:rPr>
  </w:style>
  <w:style w:type="paragraph" w:customStyle="1" w:styleId="184">
    <w:name w:val="d"/>
    <w:basedOn w:val="1"/>
    <w:autoRedefine/>
    <w:qFormat/>
    <w:uiPriority w:val="0"/>
    <w:pPr>
      <w:overflowPunct w:val="0"/>
      <w:autoSpaceDE w:val="0"/>
      <w:autoSpaceDN w:val="0"/>
      <w:adjustRightInd w:val="0"/>
      <w:snapToGrid w:val="0"/>
      <w:spacing w:line="360" w:lineRule="auto"/>
      <w:ind w:firstLine="480" w:firstLineChars="200"/>
    </w:pPr>
    <w:rPr>
      <w:rFonts w:ascii="宋体" w:hAnsi="宋体" w:eastAsia="宋体" w:cs="Arial"/>
      <w:snapToGrid w:val="0"/>
      <w:kern w:val="0"/>
      <w:sz w:val="24"/>
      <w:szCs w:val="21"/>
    </w:rPr>
  </w:style>
  <w:style w:type="paragraph" w:customStyle="1" w:styleId="185">
    <w:name w:val="修订1"/>
    <w:autoRedefine/>
    <w:semiHidden/>
    <w:qFormat/>
    <w:uiPriority w:val="99"/>
    <w:rPr>
      <w:rFonts w:ascii="宋体" w:hAnsi="Calibri" w:eastAsia="宋体" w:cs="Times New Roman"/>
      <w:sz w:val="24"/>
      <w:szCs w:val="24"/>
      <w:lang w:val="en-US" w:eastAsia="zh-CN" w:bidi="ar-SA"/>
    </w:rPr>
  </w:style>
  <w:style w:type="paragraph" w:customStyle="1" w:styleId="186">
    <w:name w:val="图/图注"/>
    <w:basedOn w:val="9"/>
    <w:autoRedefine/>
    <w:qFormat/>
    <w:uiPriority w:val="0"/>
    <w:pPr>
      <w:wordWrap/>
      <w:autoSpaceDE/>
      <w:autoSpaceDN/>
      <w:adjustRightInd/>
      <w:spacing w:before="50"/>
      <w:ind w:firstLine="0" w:firstLineChars="0"/>
      <w:jc w:val="center"/>
    </w:pPr>
    <w:rPr>
      <w:rFonts w:ascii="Times New Roman" w:eastAsia="黑体"/>
      <w:b/>
      <w:sz w:val="21"/>
      <w:szCs w:val="22"/>
    </w:rPr>
  </w:style>
  <w:style w:type="paragraph" w:customStyle="1" w:styleId="187">
    <w:name w:val="Default"/>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8">
    <w:name w:val="A."/>
    <w:basedOn w:val="1"/>
    <w:autoRedefine/>
    <w:qFormat/>
    <w:uiPriority w:val="0"/>
    <w:pPr>
      <w:widowControl/>
      <w:tabs>
        <w:tab w:val="left" w:pos="859"/>
        <w:tab w:val="left" w:pos="1200"/>
      </w:tabs>
      <w:spacing w:before="240" w:line="240" w:lineRule="atLeast"/>
      <w:ind w:left="859" w:hanging="453"/>
    </w:pPr>
    <w:rPr>
      <w:rFonts w:ascii="Times New Roman" w:hAnsi="Times New Roman" w:eastAsia="宋体" w:cs="Times New Roman"/>
      <w:sz w:val="24"/>
      <w:szCs w:val="24"/>
    </w:rPr>
  </w:style>
  <w:style w:type="paragraph" w:customStyle="1" w:styleId="189">
    <w:name w:val="Pa8"/>
    <w:basedOn w:val="1"/>
    <w:next w:val="1"/>
    <w:autoRedefine/>
    <w:qFormat/>
    <w:uiPriority w:val="99"/>
    <w:pPr>
      <w:autoSpaceDE w:val="0"/>
      <w:autoSpaceDN w:val="0"/>
      <w:adjustRightInd w:val="0"/>
      <w:spacing w:line="181" w:lineRule="atLeast"/>
      <w:jc w:val="left"/>
    </w:pPr>
    <w:rPr>
      <w:rFonts w:ascii="FrutigerNext LT Light" w:hAnsi="Calibri" w:eastAsia="FrutigerNext LT Light" w:cs="Times New Roman"/>
      <w:kern w:val="0"/>
      <w:sz w:val="24"/>
      <w:szCs w:val="24"/>
    </w:rPr>
  </w:style>
  <w:style w:type="paragraph" w:customStyle="1" w:styleId="190">
    <w:name w:val="p0"/>
    <w:basedOn w:val="1"/>
    <w:autoRedefine/>
    <w:qFormat/>
    <w:uiPriority w:val="0"/>
    <w:pPr>
      <w:widowControl/>
    </w:pPr>
    <w:rPr>
      <w:rFonts w:ascii="Times New Roman" w:hAnsi="Calibri" w:eastAsia="宋体" w:cs="Times New Roman"/>
      <w:kern w:val="0"/>
      <w:szCs w:val="20"/>
    </w:rPr>
  </w:style>
  <w:style w:type="paragraph" w:customStyle="1" w:styleId="191">
    <w:name w:val="Char Char Char Char Char Char"/>
    <w:basedOn w:val="1"/>
    <w:autoRedefine/>
    <w:qFormat/>
    <w:uiPriority w:val="0"/>
    <w:pPr>
      <w:widowControl/>
      <w:spacing w:after="160" w:line="240" w:lineRule="exact"/>
      <w:jc w:val="left"/>
    </w:pPr>
    <w:rPr>
      <w:rFonts w:ascii="Times New Roman" w:hAnsi="Times New Roman" w:eastAsia="宋体" w:cs="Times New Roman"/>
      <w:szCs w:val="24"/>
    </w:rPr>
  </w:style>
  <w:style w:type="paragraph" w:customStyle="1" w:styleId="192">
    <w:name w:val="Char"/>
    <w:basedOn w:val="1"/>
    <w:autoRedefine/>
    <w:qFormat/>
    <w:uiPriority w:val="0"/>
    <w:pPr>
      <w:widowControl/>
      <w:spacing w:after="160" w:line="240" w:lineRule="exact"/>
      <w:jc w:val="center"/>
    </w:pPr>
    <w:rPr>
      <w:rFonts w:ascii="Times New Roman" w:hAnsi="Times New Roman" w:eastAsia="宋体" w:cs="Times New Roman"/>
      <w:szCs w:val="24"/>
    </w:rPr>
  </w:style>
  <w:style w:type="paragraph" w:customStyle="1" w:styleId="193">
    <w:name w:val="网格表 32"/>
    <w:basedOn w:val="3"/>
    <w:next w:val="1"/>
    <w:autoRedefine/>
    <w:qFormat/>
    <w:uiPriority w:val="39"/>
    <w:pPr>
      <w:keepNext/>
      <w:keepLines/>
      <w:widowControl/>
      <w:autoSpaceDE/>
      <w:autoSpaceDN/>
      <w:adjustRightInd/>
      <w:spacing w:before="480" w:line="276" w:lineRule="auto"/>
      <w:outlineLvl w:val="9"/>
    </w:pPr>
    <w:rPr>
      <w:rFonts w:ascii="Cambria" w:hAnsi="Cambria"/>
      <w:b/>
      <w:bCs/>
      <w:color w:val="365F91"/>
      <w:sz w:val="28"/>
      <w:szCs w:val="28"/>
    </w:rPr>
  </w:style>
  <w:style w:type="paragraph" w:customStyle="1" w:styleId="194">
    <w:name w:val="WPSOffice手动目录 1"/>
    <w:autoRedefine/>
    <w:qFormat/>
    <w:uiPriority w:val="0"/>
    <w:rPr>
      <w:rFonts w:ascii="Calibri" w:hAnsi="Calibri" w:eastAsia="宋体" w:cs="Times New Roman"/>
      <w:lang w:val="en-US" w:eastAsia="zh-CN" w:bidi="ar-SA"/>
    </w:rPr>
  </w:style>
  <w:style w:type="paragraph" w:customStyle="1" w:styleId="195">
    <w:name w:val="_Style 69"/>
    <w:basedOn w:val="1"/>
    <w:next w:val="132"/>
    <w:autoRedefine/>
    <w:qFormat/>
    <w:uiPriority w:val="34"/>
    <w:pPr>
      <w:spacing w:line="360" w:lineRule="auto"/>
      <w:ind w:firstLine="420" w:firstLineChars="200"/>
    </w:pPr>
    <w:rPr>
      <w:rFonts w:ascii="Calibri" w:hAnsi="Calibri" w:eastAsia="宋体" w:cs="Times New Roman"/>
    </w:rPr>
  </w:style>
  <w:style w:type="paragraph" w:customStyle="1" w:styleId="196">
    <w:name w:val="中等深浅网格 2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197">
    <w:name w:val="保留正文"/>
    <w:basedOn w:val="2"/>
    <w:autoRedefine/>
    <w:qFormat/>
    <w:uiPriority w:val="0"/>
    <w:pPr>
      <w:keepNext/>
      <w:autoSpaceDE/>
      <w:autoSpaceDN/>
      <w:adjustRightInd/>
      <w:spacing w:after="160"/>
      <w:ind w:right="0"/>
      <w:jc w:val="both"/>
    </w:pPr>
    <w:rPr>
      <w:rFonts w:ascii="Times New Roman"/>
      <w:b w:val="0"/>
      <w:bCs w:val="0"/>
      <w:sz w:val="21"/>
      <w:szCs w:val="24"/>
      <w:lang w:val="en-US"/>
    </w:rPr>
  </w:style>
  <w:style w:type="paragraph" w:customStyle="1" w:styleId="198">
    <w:name w:val="彩色底纹 - 着色 11"/>
    <w:autoRedefine/>
    <w:semiHidden/>
    <w:qFormat/>
    <w:uiPriority w:val="99"/>
    <w:rPr>
      <w:rFonts w:ascii="宋体" w:hAnsi="Calibri" w:eastAsia="宋体" w:cs="Times New Roman"/>
      <w:sz w:val="24"/>
      <w:szCs w:val="24"/>
      <w:lang w:val="en-US" w:eastAsia="zh-CN" w:bidi="ar-SA"/>
    </w:rPr>
  </w:style>
  <w:style w:type="paragraph" w:customStyle="1" w:styleId="199">
    <w:name w:val="WPSOffice手动目录 2"/>
    <w:autoRedefine/>
    <w:qFormat/>
    <w:uiPriority w:val="0"/>
    <w:pPr>
      <w:ind w:left="200" w:leftChars="200"/>
    </w:pPr>
    <w:rPr>
      <w:rFonts w:ascii="Calibri" w:hAnsi="Calibri" w:eastAsia="宋体" w:cs="Times New Roman"/>
      <w:lang w:val="en-US" w:eastAsia="zh-CN" w:bidi="ar-SA"/>
    </w:rPr>
  </w:style>
  <w:style w:type="paragraph" w:customStyle="1" w:styleId="200">
    <w:name w:val="网格表 31"/>
    <w:basedOn w:val="3"/>
    <w:next w:val="1"/>
    <w:autoRedefine/>
    <w:unhideWhenUsed/>
    <w:qFormat/>
    <w:uiPriority w:val="39"/>
    <w:pPr>
      <w:keepNext/>
      <w:keepLines/>
      <w:widowControl/>
      <w:autoSpaceDE/>
      <w:autoSpaceDN/>
      <w:adjustRightInd/>
      <w:spacing w:before="480" w:line="276" w:lineRule="auto"/>
      <w:outlineLvl w:val="9"/>
    </w:pPr>
    <w:rPr>
      <w:rFonts w:ascii="Cambria" w:hAnsi="Cambria"/>
      <w:b/>
      <w:bCs/>
      <w:color w:val="365F91"/>
      <w:sz w:val="28"/>
      <w:szCs w:val="28"/>
    </w:rPr>
  </w:style>
  <w:style w:type="paragraph" w:customStyle="1" w:styleId="201">
    <w:name w:val="表格文字居中"/>
    <w:basedOn w:val="125"/>
    <w:autoRedefine/>
    <w:qFormat/>
    <w:uiPriority w:val="0"/>
    <w:pPr>
      <w:jc w:val="center"/>
    </w:pPr>
    <w:rPr>
      <w:rFonts w:cs="宋体"/>
      <w:szCs w:val="20"/>
    </w:rPr>
  </w:style>
  <w:style w:type="paragraph" w:customStyle="1" w:styleId="202">
    <w:name w:val="正文缩进4格"/>
    <w:basedOn w:val="66"/>
    <w:autoRedefine/>
    <w:qFormat/>
    <w:uiPriority w:val="0"/>
    <w:pPr>
      <w:spacing w:line="360" w:lineRule="auto"/>
      <w:ind w:left="964" w:leftChars="314" w:hanging="210" w:hangingChars="100"/>
    </w:pPr>
    <w:rPr>
      <w:rFonts w:ascii="宋体" w:eastAsia="宋体"/>
      <w:sz w:val="21"/>
      <w:szCs w:val="21"/>
      <w:lang w:val="zh-CN"/>
    </w:rPr>
  </w:style>
  <w:style w:type="paragraph" w:customStyle="1" w:styleId="203">
    <w:name w:val="版本说明标题"/>
    <w:basedOn w:val="1"/>
    <w:autoRedefine/>
    <w:qFormat/>
    <w:uiPriority w:val="0"/>
    <w:pPr>
      <w:adjustRightInd w:val="0"/>
      <w:snapToGrid w:val="0"/>
      <w:spacing w:beforeLines="50" w:afterLines="50"/>
      <w:ind w:firstLine="560"/>
      <w:jc w:val="center"/>
      <w:textAlignment w:val="baseline"/>
    </w:pPr>
    <w:rPr>
      <w:rFonts w:ascii="Times New Roman" w:hAnsi="Calibri" w:eastAsia="仿宋_GB2312" w:cs="Times New Roman"/>
      <w:b/>
      <w:color w:val="000000"/>
      <w:sz w:val="28"/>
      <w:szCs w:val="28"/>
    </w:rPr>
  </w:style>
  <w:style w:type="character" w:customStyle="1" w:styleId="204">
    <w:name w:val="正文文本首行缩进 字符"/>
    <w:basedOn w:val="121"/>
    <w:link w:val="37"/>
    <w:autoRedefine/>
    <w:semiHidden/>
    <w:qFormat/>
    <w:uiPriority w:val="99"/>
    <w:rPr>
      <w:rFonts w:ascii="宋体" w:eastAsia="宋体"/>
      <w:b w:val="0"/>
      <w:bCs w:val="0"/>
      <w:sz w:val="84"/>
      <w:szCs w:val="84"/>
      <w:lang w:val="zh-CN"/>
    </w:rPr>
  </w:style>
  <w:style w:type="paragraph" w:customStyle="1" w:styleId="205">
    <w:name w:val="修订2"/>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06">
    <w:name w:val="Body text|1"/>
    <w:basedOn w:val="1"/>
    <w:autoRedefine/>
    <w:qFormat/>
    <w:uiPriority w:val="0"/>
    <w:pPr>
      <w:spacing w:line="446" w:lineRule="auto"/>
      <w:ind w:firstLine="400"/>
    </w:pPr>
    <w:rPr>
      <w:rFonts w:ascii="宋体" w:hAnsi="宋体" w:eastAsia="宋体" w:cs="宋体"/>
      <w:sz w:val="22"/>
      <w:lang w:val="zh-TW" w:eastAsia="zh-TW" w:bidi="zh-TW"/>
    </w:rPr>
  </w:style>
  <w:style w:type="paragraph" w:customStyle="1" w:styleId="207">
    <w:name w:val="我的正文"/>
    <w:basedOn w:val="1"/>
    <w:autoRedefine/>
    <w:qFormat/>
    <w:uiPriority w:val="0"/>
    <w:pPr>
      <w:snapToGrid w:val="0"/>
      <w:spacing w:line="360" w:lineRule="auto"/>
      <w:ind w:firstLine="480" w:firstLineChars="200"/>
    </w:pPr>
    <w:rPr>
      <w:rFonts w:ascii="Arial" w:hAnsi="Arial"/>
      <w:b/>
      <w:kern w:val="0"/>
      <w:sz w:val="24"/>
    </w:rPr>
  </w:style>
  <w:style w:type="paragraph" w:customStyle="1" w:styleId="208">
    <w:name w:val="正文文本缩进 21"/>
    <w:basedOn w:val="1"/>
    <w:autoRedefine/>
    <w:qFormat/>
    <w:uiPriority w:val="0"/>
    <w:pPr>
      <w:adjustRightInd w:val="0"/>
      <w:spacing w:line="480" w:lineRule="auto"/>
      <w:ind w:firstLine="540"/>
      <w:textAlignment w:val="baseline"/>
    </w:pPr>
    <w:rPr>
      <w:rFonts w:ascii="Calibri" w:hAnsi="Calibri" w:eastAsia="宋体" w:cs="Times New Roman"/>
      <w:szCs w:val="21"/>
    </w:rPr>
  </w:style>
  <w:style w:type="paragraph" w:customStyle="1" w:styleId="209">
    <w:name w:val="Table Paragraph"/>
    <w:basedOn w:val="1"/>
    <w:autoRedefine/>
    <w:qFormat/>
    <w:uiPriority w:val="1"/>
    <w:rPr>
      <w:rFonts w:ascii="楷体" w:hAnsi="楷体" w:eastAsia="楷体" w:cs="楷体"/>
      <w:lang w:val="zh-CN" w:bidi="zh-CN"/>
    </w:rPr>
  </w:style>
  <w:style w:type="table" w:customStyle="1" w:styleId="210">
    <w:name w:val="Table Normal"/>
    <w:autoRedefine/>
    <w:semiHidden/>
    <w:unhideWhenUsed/>
    <w:qFormat/>
    <w:uiPriority w:val="0"/>
    <w:tblPr>
      <w:tblCellMar>
        <w:top w:w="0" w:type="dxa"/>
        <w:left w:w="0" w:type="dxa"/>
        <w:bottom w:w="0" w:type="dxa"/>
        <w:right w:w="0" w:type="dxa"/>
      </w:tblCellMar>
    </w:tblPr>
  </w:style>
  <w:style w:type="paragraph" w:customStyle="1" w:styleId="211">
    <w:name w:val="Table Text"/>
    <w:basedOn w:val="1"/>
    <w:autoRedefine/>
    <w:semiHidden/>
    <w:qFormat/>
    <w:uiPriority w:val="0"/>
    <w:rPr>
      <w:rFonts w:ascii="宋体" w:hAnsi="宋体" w:eastAsia="宋体" w:cs="宋体"/>
      <w:sz w:val="25"/>
      <w:szCs w:val="25"/>
      <w:lang w:eastAsia="en-US"/>
    </w:rPr>
  </w:style>
  <w:style w:type="paragraph" w:customStyle="1" w:styleId="212">
    <w:name w:val="Revision"/>
    <w:autoRedefine/>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146</Pages>
  <Words>33852</Words>
  <Characters>35125</Characters>
  <Lines>3946</Lines>
  <Paragraphs>3152</Paragraphs>
  <TotalTime>43</TotalTime>
  <ScaleCrop>false</ScaleCrop>
  <LinksUpToDate>false</LinksUpToDate>
  <CharactersWithSpaces>35621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2023-07-19T02:55:00Z</dcterms:created>
  <dc:creator>HS</dc:creator>
  <cp:lastModifiedBy>123</cp:lastModifiedBy>
  <dcterms:modified xsi:type="dcterms:W3CDTF">2025-06-03T02:44:53Z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02BE3DA48B3145A6968128A2D18C9CD1_13</vt:lpwstr>
  </property>
  <property fmtid="{D5CDD505-2E9C-101B-9397-08002B2CF9AE}" pid="4" name="KSOTemplateDocerSaveRecord">
    <vt:lpwstr>eyJoZGlkIjoiYzhiNGQ3OTEzYjE3OTMxMWUyYmUxMjVkY2I3YjVmOTQifQ==</vt:lpwstr>
  </property>
</Properties>
</file>